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D1B67E">
      <w:pPr>
        <w:spacing w:line="360" w:lineRule="auto"/>
        <w:ind w:firstLine="160" w:firstLineChars="50"/>
        <w:rPr>
          <w:rFonts w:hint="eastAsia" w:ascii="CESI黑体-GB2312" w:hAnsi="CESI黑体-GB2312" w:eastAsia="CESI黑体-GB2312" w:cs="CESI黑体-GB2312"/>
          <w:color w:val="auto"/>
          <w:sz w:val="32"/>
          <w:szCs w:val="32"/>
          <w:highlight w:val="none"/>
          <w:shd w:val="clear" w:color="auto" w:fill="auto"/>
        </w:rPr>
      </w:pPr>
      <w:r>
        <w:rPr>
          <w:rFonts w:hint="eastAsia" w:ascii="CESI黑体-GB2312" w:hAnsi="CESI黑体-GB2312" w:eastAsia="CESI黑体-GB2312" w:cs="CESI黑体-GB2312"/>
          <w:color w:val="auto"/>
          <w:sz w:val="32"/>
          <w:szCs w:val="32"/>
          <w:highlight w:val="none"/>
          <w:shd w:val="clear" w:color="auto" w:fill="auto"/>
        </w:rPr>
        <w:t xml:space="preserve"> </w:t>
      </w:r>
    </w:p>
    <w:p w14:paraId="5EA72960">
      <w:pPr>
        <w:spacing w:line="360" w:lineRule="auto"/>
        <w:ind w:firstLine="300" w:firstLineChars="50"/>
        <w:rPr>
          <w:color w:val="auto"/>
          <w:sz w:val="60"/>
          <w:szCs w:val="60"/>
          <w:highlight w:val="none"/>
          <w:shd w:val="clear" w:color="auto" w:fill="auto"/>
        </w:rPr>
      </w:pPr>
    </w:p>
    <w:p w14:paraId="5E34CDB8">
      <w:pPr>
        <w:jc w:val="center"/>
        <w:rPr>
          <w:rFonts w:hint="eastAsia" w:eastAsia="宋体"/>
          <w:b/>
          <w:bCs/>
          <w:color w:val="auto"/>
          <w:sz w:val="60"/>
          <w:szCs w:val="60"/>
          <w:highlight w:val="none"/>
          <w:shd w:val="clear" w:color="auto" w:fill="auto"/>
          <w:lang w:eastAsia="zh-CN"/>
        </w:rPr>
      </w:pPr>
      <w:r>
        <w:rPr>
          <w:rFonts w:hint="eastAsia"/>
          <w:b/>
          <w:bCs/>
          <w:color w:val="auto"/>
          <w:sz w:val="60"/>
          <w:szCs w:val="60"/>
          <w:highlight w:val="none"/>
          <w:shd w:val="clear" w:color="auto" w:fill="auto"/>
          <w:lang w:eastAsia="zh-CN"/>
        </w:rPr>
        <w:t>寺墩遗址保护回填和环境整治项目（一期）</w:t>
      </w:r>
    </w:p>
    <w:p w14:paraId="7DEAFC2F">
      <w:pPr>
        <w:jc w:val="center"/>
        <w:rPr>
          <w:b/>
          <w:bCs/>
          <w:color w:val="auto"/>
          <w:sz w:val="60"/>
          <w:szCs w:val="60"/>
          <w:highlight w:val="none"/>
          <w:shd w:val="clear" w:color="auto" w:fill="auto"/>
        </w:rPr>
      </w:pPr>
      <w:r>
        <w:rPr>
          <w:b/>
          <w:bCs/>
          <w:color w:val="auto"/>
          <w:sz w:val="60"/>
          <w:szCs w:val="60"/>
          <w:highlight w:val="none"/>
          <w:shd w:val="clear" w:color="auto" w:fill="auto"/>
        </w:rPr>
        <w:t>竞争性磋商文件</w:t>
      </w:r>
    </w:p>
    <w:p w14:paraId="02018F8D">
      <w:pPr>
        <w:spacing w:line="360" w:lineRule="auto"/>
        <w:jc w:val="center"/>
        <w:rPr>
          <w:rFonts w:ascii="宋体" w:hAnsi="宋体"/>
          <w:b/>
          <w:bCs/>
          <w:color w:val="auto"/>
          <w:sz w:val="60"/>
          <w:szCs w:val="60"/>
          <w:highlight w:val="none"/>
          <w:shd w:val="clear" w:color="auto" w:fill="auto"/>
        </w:rPr>
      </w:pPr>
    </w:p>
    <w:p w14:paraId="12963C53">
      <w:pPr>
        <w:spacing w:line="360" w:lineRule="auto"/>
        <w:jc w:val="center"/>
        <w:rPr>
          <w:rFonts w:ascii="宋体" w:hAnsi="宋体"/>
          <w:b/>
          <w:bCs/>
          <w:color w:val="auto"/>
          <w:sz w:val="60"/>
          <w:szCs w:val="60"/>
          <w:highlight w:val="none"/>
          <w:shd w:val="clear" w:color="auto" w:fill="auto"/>
        </w:rPr>
      </w:pPr>
    </w:p>
    <w:p w14:paraId="47E30A48">
      <w:pPr>
        <w:tabs>
          <w:tab w:val="left" w:pos="5609"/>
        </w:tabs>
        <w:spacing w:line="360" w:lineRule="auto"/>
        <w:ind w:left="2832" w:leftChars="444" w:hanging="1900" w:hangingChars="528"/>
        <w:jc w:val="left"/>
        <w:rPr>
          <w:rFonts w:hint="eastAsia" w:eastAsia="宋体"/>
          <w:bCs/>
          <w:color w:val="auto"/>
          <w:sz w:val="36"/>
          <w:szCs w:val="36"/>
          <w:highlight w:val="none"/>
          <w:shd w:val="clear" w:color="auto" w:fill="auto"/>
          <w:lang w:eastAsia="zh-CN"/>
        </w:rPr>
      </w:pPr>
      <w:r>
        <w:rPr>
          <w:bCs/>
          <w:color w:val="auto"/>
          <w:sz w:val="36"/>
          <w:szCs w:val="36"/>
          <w:highlight w:val="none"/>
          <w:shd w:val="clear" w:color="auto" w:fill="auto"/>
        </w:rPr>
        <w:t>项目名称：</w:t>
      </w:r>
      <w:r>
        <w:rPr>
          <w:rFonts w:hint="eastAsia"/>
          <w:bCs/>
          <w:color w:val="auto"/>
          <w:sz w:val="36"/>
          <w:szCs w:val="36"/>
          <w:highlight w:val="none"/>
          <w:shd w:val="clear" w:color="auto" w:fill="auto"/>
          <w:lang w:eastAsia="zh-CN"/>
        </w:rPr>
        <w:t xml:space="preserve">寺墩遗址保护回填和环境整治项目（一期）（政府采购工程）（面向中小企业） </w:t>
      </w:r>
    </w:p>
    <w:p w14:paraId="50250018">
      <w:pPr>
        <w:tabs>
          <w:tab w:val="left" w:pos="3240"/>
          <w:tab w:val="left" w:pos="3420"/>
        </w:tabs>
        <w:spacing w:line="360" w:lineRule="auto"/>
        <w:ind w:left="2832" w:leftChars="444" w:hanging="1900" w:hangingChars="528"/>
        <w:jc w:val="left"/>
        <w:rPr>
          <w:rFonts w:hint="eastAsia" w:eastAsia="宋体"/>
          <w:bCs/>
          <w:color w:val="auto"/>
          <w:sz w:val="36"/>
          <w:szCs w:val="36"/>
          <w:highlight w:val="none"/>
          <w:shd w:val="clear" w:color="auto" w:fill="auto"/>
          <w:lang w:eastAsia="zh-CN"/>
        </w:rPr>
      </w:pPr>
      <w:r>
        <w:rPr>
          <w:bCs/>
          <w:color w:val="auto"/>
          <w:sz w:val="36"/>
          <w:szCs w:val="36"/>
          <w:highlight w:val="none"/>
          <w:shd w:val="clear" w:color="auto" w:fill="auto"/>
        </w:rPr>
        <w:t>项目编号：</w:t>
      </w:r>
      <w:r>
        <w:rPr>
          <w:rFonts w:hint="eastAsia"/>
          <w:bCs/>
          <w:color w:val="auto"/>
          <w:sz w:val="36"/>
          <w:szCs w:val="36"/>
          <w:highlight w:val="none"/>
          <w:shd w:val="clear" w:color="auto" w:fill="auto"/>
          <w:lang w:eastAsia="zh-CN"/>
        </w:rPr>
        <w:t>JSZC-320402012-SYZB-C2026-0026</w:t>
      </w:r>
    </w:p>
    <w:p w14:paraId="3406DCC9">
      <w:pPr>
        <w:tabs>
          <w:tab w:val="left" w:pos="3240"/>
          <w:tab w:val="left" w:pos="3420"/>
        </w:tabs>
        <w:spacing w:line="360" w:lineRule="auto"/>
        <w:ind w:left="2832" w:leftChars="444" w:hanging="1900" w:hangingChars="528"/>
        <w:jc w:val="left"/>
        <w:rPr>
          <w:rFonts w:hint="eastAsia" w:eastAsia="宋体"/>
          <w:bCs/>
          <w:color w:val="auto"/>
          <w:sz w:val="36"/>
          <w:szCs w:val="36"/>
          <w:highlight w:val="none"/>
          <w:shd w:val="clear" w:color="auto" w:fill="auto"/>
          <w:lang w:val="en-US" w:eastAsia="zh-CN"/>
        </w:rPr>
      </w:pPr>
      <w:r>
        <w:rPr>
          <w:bCs/>
          <w:color w:val="auto"/>
          <w:sz w:val="36"/>
          <w:szCs w:val="36"/>
          <w:highlight w:val="none"/>
          <w:shd w:val="clear" w:color="auto" w:fill="auto"/>
        </w:rPr>
        <w:t>采 购 人：</w:t>
      </w:r>
      <w:r>
        <w:rPr>
          <w:rFonts w:hint="eastAsia"/>
          <w:bCs/>
          <w:color w:val="auto"/>
          <w:sz w:val="36"/>
          <w:szCs w:val="36"/>
          <w:highlight w:val="none"/>
          <w:shd w:val="clear" w:color="auto" w:fill="auto"/>
          <w:lang w:val="en-US" w:eastAsia="zh-CN"/>
        </w:rPr>
        <w:t>常州市天宁区郑陆镇人民政府</w:t>
      </w:r>
    </w:p>
    <w:p w14:paraId="425B4664">
      <w:pPr>
        <w:tabs>
          <w:tab w:val="left" w:pos="3240"/>
          <w:tab w:val="left" w:pos="3420"/>
        </w:tabs>
        <w:spacing w:line="360" w:lineRule="auto"/>
        <w:ind w:left="2832" w:leftChars="444" w:hanging="1900" w:hangingChars="528"/>
        <w:jc w:val="left"/>
        <w:rPr>
          <w:bCs/>
          <w:color w:val="auto"/>
          <w:sz w:val="36"/>
          <w:szCs w:val="36"/>
          <w:highlight w:val="none"/>
          <w:shd w:val="clear" w:color="auto" w:fill="auto"/>
        </w:rPr>
      </w:pPr>
      <w:r>
        <w:rPr>
          <w:rFonts w:hint="eastAsia"/>
          <w:bCs/>
          <w:color w:val="auto"/>
          <w:sz w:val="36"/>
          <w:szCs w:val="36"/>
          <w:highlight w:val="none"/>
          <w:shd w:val="clear" w:color="auto" w:fill="auto"/>
        </w:rPr>
        <w:t>采购</w:t>
      </w:r>
      <w:r>
        <w:rPr>
          <w:bCs/>
          <w:color w:val="auto"/>
          <w:sz w:val="36"/>
          <w:szCs w:val="36"/>
          <w:highlight w:val="none"/>
          <w:shd w:val="clear" w:color="auto" w:fill="auto"/>
        </w:rPr>
        <w:t>代理机构：</w:t>
      </w:r>
      <w:r>
        <w:rPr>
          <w:rFonts w:hint="eastAsia"/>
          <w:bCs/>
          <w:color w:val="auto"/>
          <w:sz w:val="36"/>
          <w:szCs w:val="36"/>
          <w:highlight w:val="none"/>
          <w:shd w:val="clear" w:color="auto" w:fill="auto"/>
        </w:rPr>
        <w:t>江苏尚阳工程管理有限公司</w:t>
      </w:r>
    </w:p>
    <w:p w14:paraId="0AB9DF5D">
      <w:pPr>
        <w:spacing w:before="100" w:after="240" w:line="500" w:lineRule="exact"/>
        <w:jc w:val="center"/>
        <w:rPr>
          <w:b/>
          <w:bCs/>
          <w:color w:val="auto"/>
          <w:sz w:val="44"/>
          <w:highlight w:val="none"/>
          <w:shd w:val="clear" w:color="auto" w:fill="auto"/>
        </w:rPr>
      </w:pPr>
      <w:r>
        <w:rPr>
          <w:b/>
          <w:bCs/>
          <w:color w:val="auto"/>
          <w:sz w:val="44"/>
          <w:highlight w:val="none"/>
          <w:shd w:val="clear" w:color="auto" w:fill="auto"/>
        </w:rPr>
        <w:br w:type="page"/>
      </w:r>
      <w:bookmarkStart w:id="0" w:name="_Toc104818924"/>
    </w:p>
    <w:p w14:paraId="7DE5C856">
      <w:pPr>
        <w:keepNext w:val="0"/>
        <w:keepLines w:val="0"/>
        <w:pageBreakBefore w:val="0"/>
        <w:widowControl w:val="0"/>
        <w:kinsoku/>
        <w:wordWrap/>
        <w:overflowPunct/>
        <w:topLinePunct w:val="0"/>
        <w:autoSpaceDE/>
        <w:autoSpaceDN/>
        <w:bidi w:val="0"/>
        <w:adjustRightInd/>
        <w:snapToGrid/>
        <w:spacing w:before="100" w:after="100" w:line="500" w:lineRule="exact"/>
        <w:jc w:val="center"/>
        <w:textAlignment w:val="auto"/>
        <w:rPr>
          <w:rFonts w:hint="eastAsia" w:ascii="宋体" w:hAnsi="宋体" w:eastAsia="宋体" w:cs="宋体"/>
          <w:b/>
          <w:color w:val="auto"/>
          <w:sz w:val="44"/>
          <w:szCs w:val="44"/>
          <w:highlight w:val="none"/>
          <w:shd w:val="clear" w:color="auto" w:fill="auto"/>
        </w:rPr>
      </w:pPr>
      <w:r>
        <w:rPr>
          <w:rFonts w:hint="eastAsia" w:ascii="宋体" w:hAnsi="宋体" w:eastAsia="宋体" w:cs="宋体"/>
          <w:b/>
          <w:color w:val="auto"/>
          <w:sz w:val="44"/>
          <w:szCs w:val="44"/>
          <w:highlight w:val="none"/>
          <w:shd w:val="clear" w:color="auto" w:fill="auto"/>
        </w:rPr>
        <w:t>目      录</w:t>
      </w:r>
      <w:bookmarkEnd w:id="0"/>
    </w:p>
    <w:p w14:paraId="22DB361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32"/>
          <w:szCs w:val="32"/>
          <w:highlight w:val="none"/>
          <w:shd w:val="clear" w:color="auto" w:fill="auto"/>
        </w:rPr>
      </w:pPr>
    </w:p>
    <w:p w14:paraId="6E4CF980">
      <w:pPr>
        <w:pStyle w:val="11"/>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360" w:lineRule="auto"/>
        <w:textAlignment w:val="auto"/>
        <w:rPr>
          <w:rFonts w:hint="eastAsia" w:ascii="宋体" w:hAnsi="宋体" w:eastAsia="宋体" w:cs="宋体"/>
          <w:b w:val="0"/>
          <w:color w:val="auto"/>
          <w:sz w:val="32"/>
          <w:szCs w:val="32"/>
          <w:highlight w:val="none"/>
          <w:shd w:val="clear" w:color="auto" w:fill="auto"/>
        </w:rPr>
      </w:pPr>
    </w:p>
    <w:p w14:paraId="769852D5">
      <w:pPr>
        <w:pStyle w:val="11"/>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360" w:lineRule="auto"/>
        <w:textAlignment w:val="auto"/>
        <w:rPr>
          <w:color w:val="auto"/>
          <w:sz w:val="32"/>
          <w:szCs w:val="32"/>
          <w:highlight w:val="none"/>
          <w:shd w:val="clear" w:color="auto" w:fill="auto"/>
        </w:rPr>
      </w:pPr>
      <w:r>
        <w:rPr>
          <w:rFonts w:hint="eastAsia" w:ascii="宋体" w:hAnsi="宋体" w:eastAsia="宋体" w:cs="宋体"/>
          <w:b w:val="0"/>
          <w:color w:val="auto"/>
          <w:sz w:val="32"/>
          <w:szCs w:val="32"/>
          <w:highlight w:val="none"/>
          <w:shd w:val="clear" w:color="auto" w:fill="auto"/>
        </w:rPr>
        <w:fldChar w:fldCharType="begin"/>
      </w:r>
      <w:r>
        <w:rPr>
          <w:rFonts w:hint="eastAsia" w:ascii="宋体" w:hAnsi="宋体" w:eastAsia="宋体" w:cs="宋体"/>
          <w:b w:val="0"/>
          <w:color w:val="auto"/>
          <w:sz w:val="32"/>
          <w:szCs w:val="32"/>
          <w:highlight w:val="none"/>
          <w:shd w:val="clear" w:color="auto" w:fill="auto"/>
        </w:rPr>
        <w:instrText xml:space="preserve"> TOC \o "1-1" \h \z \u </w:instrText>
      </w:r>
      <w:r>
        <w:rPr>
          <w:rFonts w:hint="eastAsia" w:ascii="宋体" w:hAnsi="宋体" w:eastAsia="宋体" w:cs="宋体"/>
          <w:b w:val="0"/>
          <w:color w:val="auto"/>
          <w:sz w:val="32"/>
          <w:szCs w:val="32"/>
          <w:highlight w:val="none"/>
          <w:shd w:val="clear" w:color="auto" w:fill="auto"/>
        </w:rPr>
        <w:fldChar w:fldCharType="separate"/>
      </w:r>
      <w:r>
        <w:rPr>
          <w:rFonts w:hint="eastAsia" w:ascii="宋体" w:hAnsi="宋体" w:eastAsia="宋体" w:cs="宋体"/>
          <w:color w:val="auto"/>
          <w:sz w:val="32"/>
          <w:szCs w:val="32"/>
          <w:highlight w:val="none"/>
          <w:shd w:val="clear" w:color="auto" w:fill="auto"/>
        </w:rPr>
        <w:fldChar w:fldCharType="begin"/>
      </w:r>
      <w:r>
        <w:rPr>
          <w:rFonts w:hint="eastAsia" w:ascii="宋体" w:hAnsi="宋体" w:eastAsia="宋体" w:cs="宋体"/>
          <w:color w:val="auto"/>
          <w:sz w:val="32"/>
          <w:szCs w:val="32"/>
          <w:highlight w:val="none"/>
          <w:shd w:val="clear" w:color="auto" w:fill="auto"/>
        </w:rPr>
        <w:instrText xml:space="preserve"> HYPERLINK \l _Toc26361 </w:instrText>
      </w:r>
      <w:r>
        <w:rPr>
          <w:rFonts w:hint="eastAsia" w:ascii="宋体" w:hAnsi="宋体" w:eastAsia="宋体" w:cs="宋体"/>
          <w:color w:val="auto"/>
          <w:sz w:val="32"/>
          <w:szCs w:val="32"/>
          <w:highlight w:val="none"/>
          <w:shd w:val="clear" w:color="auto" w:fill="auto"/>
        </w:rPr>
        <w:fldChar w:fldCharType="separate"/>
      </w:r>
      <w:r>
        <w:rPr>
          <w:color w:val="auto"/>
          <w:sz w:val="32"/>
          <w:szCs w:val="32"/>
          <w:highlight w:val="none"/>
          <w:shd w:val="clear" w:color="auto" w:fill="auto"/>
        </w:rPr>
        <w:t>第一章   采购邀请</w:t>
      </w:r>
      <w:r>
        <w:rPr>
          <w:color w:val="auto"/>
          <w:sz w:val="32"/>
          <w:szCs w:val="32"/>
          <w:highlight w:val="none"/>
          <w:shd w:val="clear" w:color="auto" w:fill="auto"/>
        </w:rPr>
        <w:tab/>
      </w:r>
      <w:r>
        <w:rPr>
          <w:color w:val="auto"/>
          <w:sz w:val="32"/>
          <w:szCs w:val="32"/>
          <w:highlight w:val="none"/>
          <w:shd w:val="clear" w:color="auto" w:fill="auto"/>
        </w:rPr>
        <w:fldChar w:fldCharType="begin"/>
      </w:r>
      <w:r>
        <w:rPr>
          <w:color w:val="auto"/>
          <w:sz w:val="32"/>
          <w:szCs w:val="32"/>
          <w:highlight w:val="none"/>
          <w:shd w:val="clear" w:color="auto" w:fill="auto"/>
        </w:rPr>
        <w:instrText xml:space="preserve"> PAGEREF _Toc26361 \h </w:instrText>
      </w:r>
      <w:r>
        <w:rPr>
          <w:color w:val="auto"/>
          <w:sz w:val="32"/>
          <w:szCs w:val="32"/>
          <w:highlight w:val="none"/>
          <w:shd w:val="clear" w:color="auto" w:fill="auto"/>
        </w:rPr>
        <w:fldChar w:fldCharType="separate"/>
      </w:r>
      <w:r>
        <w:rPr>
          <w:color w:val="auto"/>
          <w:sz w:val="32"/>
          <w:szCs w:val="32"/>
          <w:highlight w:val="none"/>
          <w:shd w:val="clear" w:color="auto" w:fill="auto"/>
        </w:rPr>
        <w:t>1</w:t>
      </w:r>
      <w:r>
        <w:rPr>
          <w:color w:val="auto"/>
          <w:sz w:val="32"/>
          <w:szCs w:val="32"/>
          <w:highlight w:val="none"/>
          <w:shd w:val="clear" w:color="auto" w:fill="auto"/>
        </w:rPr>
        <w:fldChar w:fldCharType="end"/>
      </w:r>
      <w:r>
        <w:rPr>
          <w:rFonts w:hint="eastAsia" w:ascii="宋体" w:hAnsi="宋体" w:eastAsia="宋体" w:cs="宋体"/>
          <w:color w:val="auto"/>
          <w:sz w:val="32"/>
          <w:szCs w:val="32"/>
          <w:highlight w:val="none"/>
          <w:shd w:val="clear" w:color="auto" w:fill="auto"/>
        </w:rPr>
        <w:fldChar w:fldCharType="end"/>
      </w:r>
    </w:p>
    <w:p w14:paraId="5845B513">
      <w:pPr>
        <w:pStyle w:val="11"/>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360" w:lineRule="auto"/>
        <w:textAlignment w:val="auto"/>
        <w:rPr>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fldChar w:fldCharType="begin"/>
      </w:r>
      <w:r>
        <w:rPr>
          <w:rFonts w:hint="eastAsia" w:ascii="宋体" w:hAnsi="宋体" w:eastAsia="宋体" w:cs="宋体"/>
          <w:color w:val="auto"/>
          <w:sz w:val="32"/>
          <w:szCs w:val="32"/>
          <w:highlight w:val="none"/>
          <w:shd w:val="clear" w:color="auto" w:fill="auto"/>
        </w:rPr>
        <w:instrText xml:space="preserve"> HYPERLINK \l _Toc6147 </w:instrText>
      </w:r>
      <w:r>
        <w:rPr>
          <w:rFonts w:hint="eastAsia" w:ascii="宋体" w:hAnsi="宋体" w:eastAsia="宋体" w:cs="宋体"/>
          <w:color w:val="auto"/>
          <w:sz w:val="32"/>
          <w:szCs w:val="32"/>
          <w:highlight w:val="none"/>
          <w:shd w:val="clear" w:color="auto" w:fill="auto"/>
        </w:rPr>
        <w:fldChar w:fldCharType="separate"/>
      </w:r>
      <w:r>
        <w:rPr>
          <w:color w:val="auto"/>
          <w:sz w:val="32"/>
          <w:szCs w:val="32"/>
          <w:highlight w:val="none"/>
          <w:shd w:val="clear" w:color="auto" w:fill="auto"/>
        </w:rPr>
        <w:t>第二章   供应商须知</w:t>
      </w:r>
      <w:r>
        <w:rPr>
          <w:color w:val="auto"/>
          <w:sz w:val="32"/>
          <w:szCs w:val="32"/>
          <w:highlight w:val="none"/>
          <w:shd w:val="clear" w:color="auto" w:fill="auto"/>
        </w:rPr>
        <w:tab/>
      </w:r>
      <w:r>
        <w:rPr>
          <w:color w:val="auto"/>
          <w:sz w:val="32"/>
          <w:szCs w:val="32"/>
          <w:highlight w:val="none"/>
          <w:shd w:val="clear" w:color="auto" w:fill="auto"/>
        </w:rPr>
        <w:fldChar w:fldCharType="begin"/>
      </w:r>
      <w:r>
        <w:rPr>
          <w:color w:val="auto"/>
          <w:sz w:val="32"/>
          <w:szCs w:val="32"/>
          <w:highlight w:val="none"/>
          <w:shd w:val="clear" w:color="auto" w:fill="auto"/>
        </w:rPr>
        <w:instrText xml:space="preserve"> PAGEREF _Toc6147 \h </w:instrText>
      </w:r>
      <w:r>
        <w:rPr>
          <w:color w:val="auto"/>
          <w:sz w:val="32"/>
          <w:szCs w:val="32"/>
          <w:highlight w:val="none"/>
          <w:shd w:val="clear" w:color="auto" w:fill="auto"/>
        </w:rPr>
        <w:fldChar w:fldCharType="separate"/>
      </w:r>
      <w:r>
        <w:rPr>
          <w:color w:val="auto"/>
          <w:sz w:val="32"/>
          <w:szCs w:val="32"/>
          <w:highlight w:val="none"/>
          <w:shd w:val="clear" w:color="auto" w:fill="auto"/>
        </w:rPr>
        <w:t>6</w:t>
      </w:r>
      <w:r>
        <w:rPr>
          <w:color w:val="auto"/>
          <w:sz w:val="32"/>
          <w:szCs w:val="32"/>
          <w:highlight w:val="none"/>
          <w:shd w:val="clear" w:color="auto" w:fill="auto"/>
        </w:rPr>
        <w:fldChar w:fldCharType="end"/>
      </w:r>
      <w:r>
        <w:rPr>
          <w:rFonts w:hint="eastAsia" w:ascii="宋体" w:hAnsi="宋体" w:eastAsia="宋体" w:cs="宋体"/>
          <w:color w:val="auto"/>
          <w:sz w:val="32"/>
          <w:szCs w:val="32"/>
          <w:highlight w:val="none"/>
          <w:shd w:val="clear" w:color="auto" w:fill="auto"/>
        </w:rPr>
        <w:fldChar w:fldCharType="end"/>
      </w:r>
    </w:p>
    <w:p w14:paraId="138776CE">
      <w:pPr>
        <w:pStyle w:val="11"/>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360" w:lineRule="auto"/>
        <w:textAlignment w:val="auto"/>
        <w:rPr>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fldChar w:fldCharType="begin"/>
      </w:r>
      <w:r>
        <w:rPr>
          <w:rFonts w:hint="eastAsia" w:ascii="宋体" w:hAnsi="宋体" w:eastAsia="宋体" w:cs="宋体"/>
          <w:color w:val="auto"/>
          <w:sz w:val="32"/>
          <w:szCs w:val="32"/>
          <w:highlight w:val="none"/>
          <w:shd w:val="clear" w:color="auto" w:fill="auto"/>
        </w:rPr>
        <w:instrText xml:space="preserve"> HYPERLINK \l _Toc8164 </w:instrText>
      </w:r>
      <w:r>
        <w:rPr>
          <w:rFonts w:hint="eastAsia" w:ascii="宋体" w:hAnsi="宋体" w:eastAsia="宋体" w:cs="宋体"/>
          <w:color w:val="auto"/>
          <w:sz w:val="32"/>
          <w:szCs w:val="32"/>
          <w:highlight w:val="none"/>
          <w:shd w:val="clear" w:color="auto" w:fill="auto"/>
        </w:rPr>
        <w:fldChar w:fldCharType="separate"/>
      </w:r>
      <w:r>
        <w:rPr>
          <w:color w:val="auto"/>
          <w:sz w:val="32"/>
          <w:szCs w:val="32"/>
          <w:highlight w:val="none"/>
          <w:shd w:val="clear" w:color="auto" w:fill="auto"/>
        </w:rPr>
        <w:t>第三章   评审</w:t>
      </w:r>
      <w:r>
        <w:rPr>
          <w:rFonts w:hint="eastAsia"/>
          <w:color w:val="auto"/>
          <w:sz w:val="32"/>
          <w:szCs w:val="32"/>
          <w:highlight w:val="none"/>
          <w:shd w:val="clear" w:color="auto" w:fill="auto"/>
        </w:rPr>
        <w:t>程序、评审</w:t>
      </w:r>
      <w:r>
        <w:rPr>
          <w:color w:val="auto"/>
          <w:sz w:val="32"/>
          <w:szCs w:val="32"/>
          <w:highlight w:val="none"/>
          <w:shd w:val="clear" w:color="auto" w:fill="auto"/>
        </w:rPr>
        <w:t>方法和评审标准</w:t>
      </w:r>
      <w:r>
        <w:rPr>
          <w:color w:val="auto"/>
          <w:sz w:val="32"/>
          <w:szCs w:val="32"/>
          <w:highlight w:val="none"/>
          <w:shd w:val="clear" w:color="auto" w:fill="auto"/>
        </w:rPr>
        <w:tab/>
      </w:r>
      <w:r>
        <w:rPr>
          <w:color w:val="auto"/>
          <w:sz w:val="32"/>
          <w:szCs w:val="32"/>
          <w:highlight w:val="none"/>
          <w:shd w:val="clear" w:color="auto" w:fill="auto"/>
        </w:rPr>
        <w:fldChar w:fldCharType="begin"/>
      </w:r>
      <w:r>
        <w:rPr>
          <w:color w:val="auto"/>
          <w:sz w:val="32"/>
          <w:szCs w:val="32"/>
          <w:highlight w:val="none"/>
          <w:shd w:val="clear" w:color="auto" w:fill="auto"/>
        </w:rPr>
        <w:instrText xml:space="preserve"> PAGEREF _Toc8164 \h </w:instrText>
      </w:r>
      <w:r>
        <w:rPr>
          <w:color w:val="auto"/>
          <w:sz w:val="32"/>
          <w:szCs w:val="32"/>
          <w:highlight w:val="none"/>
          <w:shd w:val="clear" w:color="auto" w:fill="auto"/>
        </w:rPr>
        <w:fldChar w:fldCharType="separate"/>
      </w:r>
      <w:r>
        <w:rPr>
          <w:color w:val="auto"/>
          <w:sz w:val="32"/>
          <w:szCs w:val="32"/>
          <w:highlight w:val="none"/>
          <w:shd w:val="clear" w:color="auto" w:fill="auto"/>
        </w:rPr>
        <w:t>22</w:t>
      </w:r>
      <w:r>
        <w:rPr>
          <w:color w:val="auto"/>
          <w:sz w:val="32"/>
          <w:szCs w:val="32"/>
          <w:highlight w:val="none"/>
          <w:shd w:val="clear" w:color="auto" w:fill="auto"/>
        </w:rPr>
        <w:fldChar w:fldCharType="end"/>
      </w:r>
      <w:r>
        <w:rPr>
          <w:rFonts w:hint="eastAsia" w:ascii="宋体" w:hAnsi="宋体" w:eastAsia="宋体" w:cs="宋体"/>
          <w:color w:val="auto"/>
          <w:sz w:val="32"/>
          <w:szCs w:val="32"/>
          <w:highlight w:val="none"/>
          <w:shd w:val="clear" w:color="auto" w:fill="auto"/>
        </w:rPr>
        <w:fldChar w:fldCharType="end"/>
      </w:r>
    </w:p>
    <w:p w14:paraId="52ECE50C">
      <w:pPr>
        <w:pStyle w:val="11"/>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360" w:lineRule="auto"/>
        <w:textAlignment w:val="auto"/>
        <w:rPr>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fldChar w:fldCharType="begin"/>
      </w:r>
      <w:r>
        <w:rPr>
          <w:rFonts w:hint="eastAsia" w:ascii="宋体" w:hAnsi="宋体" w:eastAsia="宋体" w:cs="宋体"/>
          <w:color w:val="auto"/>
          <w:sz w:val="32"/>
          <w:szCs w:val="32"/>
          <w:highlight w:val="none"/>
          <w:shd w:val="clear" w:color="auto" w:fill="auto"/>
        </w:rPr>
        <w:instrText xml:space="preserve"> HYPERLINK \l _Toc10818 </w:instrText>
      </w:r>
      <w:r>
        <w:rPr>
          <w:rFonts w:hint="eastAsia" w:ascii="宋体" w:hAnsi="宋体" w:eastAsia="宋体" w:cs="宋体"/>
          <w:color w:val="auto"/>
          <w:sz w:val="32"/>
          <w:szCs w:val="32"/>
          <w:highlight w:val="none"/>
          <w:shd w:val="clear" w:color="auto" w:fill="auto"/>
        </w:rPr>
        <w:fldChar w:fldCharType="separate"/>
      </w:r>
      <w:r>
        <w:rPr>
          <w:color w:val="auto"/>
          <w:sz w:val="32"/>
          <w:szCs w:val="32"/>
          <w:highlight w:val="none"/>
          <w:shd w:val="clear" w:color="auto" w:fill="auto"/>
        </w:rPr>
        <w:t>第四章   采购需求</w:t>
      </w:r>
      <w:r>
        <w:rPr>
          <w:color w:val="auto"/>
          <w:sz w:val="32"/>
          <w:szCs w:val="32"/>
          <w:highlight w:val="none"/>
          <w:shd w:val="clear" w:color="auto" w:fill="auto"/>
        </w:rPr>
        <w:tab/>
      </w:r>
      <w:r>
        <w:rPr>
          <w:color w:val="auto"/>
          <w:sz w:val="32"/>
          <w:szCs w:val="32"/>
          <w:highlight w:val="none"/>
          <w:shd w:val="clear" w:color="auto" w:fill="auto"/>
        </w:rPr>
        <w:fldChar w:fldCharType="begin"/>
      </w:r>
      <w:r>
        <w:rPr>
          <w:color w:val="auto"/>
          <w:sz w:val="32"/>
          <w:szCs w:val="32"/>
          <w:highlight w:val="none"/>
          <w:shd w:val="clear" w:color="auto" w:fill="auto"/>
        </w:rPr>
        <w:instrText xml:space="preserve"> PAGEREF _Toc10818 \h </w:instrText>
      </w:r>
      <w:r>
        <w:rPr>
          <w:color w:val="auto"/>
          <w:sz w:val="32"/>
          <w:szCs w:val="32"/>
          <w:highlight w:val="none"/>
          <w:shd w:val="clear" w:color="auto" w:fill="auto"/>
        </w:rPr>
        <w:fldChar w:fldCharType="separate"/>
      </w:r>
      <w:r>
        <w:rPr>
          <w:color w:val="auto"/>
          <w:sz w:val="32"/>
          <w:szCs w:val="32"/>
          <w:highlight w:val="none"/>
          <w:shd w:val="clear" w:color="auto" w:fill="auto"/>
        </w:rPr>
        <w:t>32</w:t>
      </w:r>
      <w:r>
        <w:rPr>
          <w:color w:val="auto"/>
          <w:sz w:val="32"/>
          <w:szCs w:val="32"/>
          <w:highlight w:val="none"/>
          <w:shd w:val="clear" w:color="auto" w:fill="auto"/>
        </w:rPr>
        <w:fldChar w:fldCharType="end"/>
      </w:r>
      <w:r>
        <w:rPr>
          <w:rFonts w:hint="eastAsia" w:ascii="宋体" w:hAnsi="宋体" w:eastAsia="宋体" w:cs="宋体"/>
          <w:color w:val="auto"/>
          <w:sz w:val="32"/>
          <w:szCs w:val="32"/>
          <w:highlight w:val="none"/>
          <w:shd w:val="clear" w:color="auto" w:fill="auto"/>
        </w:rPr>
        <w:fldChar w:fldCharType="end"/>
      </w:r>
    </w:p>
    <w:p w14:paraId="4E1631BB">
      <w:pPr>
        <w:pStyle w:val="11"/>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360" w:lineRule="auto"/>
        <w:textAlignment w:val="auto"/>
        <w:rPr>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fldChar w:fldCharType="begin"/>
      </w:r>
      <w:r>
        <w:rPr>
          <w:rFonts w:hint="eastAsia" w:ascii="宋体" w:hAnsi="宋体" w:eastAsia="宋体" w:cs="宋体"/>
          <w:color w:val="auto"/>
          <w:sz w:val="32"/>
          <w:szCs w:val="32"/>
          <w:highlight w:val="none"/>
          <w:shd w:val="clear" w:color="auto" w:fill="auto"/>
        </w:rPr>
        <w:instrText xml:space="preserve"> HYPERLINK \l _Toc17556 </w:instrText>
      </w:r>
      <w:r>
        <w:rPr>
          <w:rFonts w:hint="eastAsia" w:ascii="宋体" w:hAnsi="宋体" w:eastAsia="宋体" w:cs="宋体"/>
          <w:color w:val="auto"/>
          <w:sz w:val="32"/>
          <w:szCs w:val="32"/>
          <w:highlight w:val="none"/>
          <w:shd w:val="clear" w:color="auto" w:fill="auto"/>
        </w:rPr>
        <w:fldChar w:fldCharType="separate"/>
      </w:r>
      <w:r>
        <w:rPr>
          <w:color w:val="auto"/>
          <w:sz w:val="32"/>
          <w:szCs w:val="32"/>
          <w:highlight w:val="none"/>
          <w:shd w:val="clear" w:color="auto" w:fill="auto"/>
        </w:rPr>
        <w:t>第五章   合同草案条款</w:t>
      </w:r>
      <w:r>
        <w:rPr>
          <w:color w:val="auto"/>
          <w:sz w:val="32"/>
          <w:szCs w:val="32"/>
          <w:highlight w:val="none"/>
          <w:shd w:val="clear" w:color="auto" w:fill="auto"/>
        </w:rPr>
        <w:tab/>
      </w:r>
      <w:r>
        <w:rPr>
          <w:color w:val="auto"/>
          <w:sz w:val="32"/>
          <w:szCs w:val="32"/>
          <w:highlight w:val="none"/>
          <w:shd w:val="clear" w:color="auto" w:fill="auto"/>
        </w:rPr>
        <w:fldChar w:fldCharType="begin"/>
      </w:r>
      <w:r>
        <w:rPr>
          <w:color w:val="auto"/>
          <w:sz w:val="32"/>
          <w:szCs w:val="32"/>
          <w:highlight w:val="none"/>
          <w:shd w:val="clear" w:color="auto" w:fill="auto"/>
        </w:rPr>
        <w:instrText xml:space="preserve"> PAGEREF _Toc17556 \h </w:instrText>
      </w:r>
      <w:r>
        <w:rPr>
          <w:color w:val="auto"/>
          <w:sz w:val="32"/>
          <w:szCs w:val="32"/>
          <w:highlight w:val="none"/>
          <w:shd w:val="clear" w:color="auto" w:fill="auto"/>
        </w:rPr>
        <w:fldChar w:fldCharType="separate"/>
      </w:r>
      <w:r>
        <w:rPr>
          <w:color w:val="auto"/>
          <w:sz w:val="32"/>
          <w:szCs w:val="32"/>
          <w:highlight w:val="none"/>
          <w:shd w:val="clear" w:color="auto" w:fill="auto"/>
        </w:rPr>
        <w:t>38</w:t>
      </w:r>
      <w:r>
        <w:rPr>
          <w:color w:val="auto"/>
          <w:sz w:val="32"/>
          <w:szCs w:val="32"/>
          <w:highlight w:val="none"/>
          <w:shd w:val="clear" w:color="auto" w:fill="auto"/>
        </w:rPr>
        <w:fldChar w:fldCharType="end"/>
      </w:r>
      <w:r>
        <w:rPr>
          <w:rFonts w:hint="eastAsia" w:ascii="宋体" w:hAnsi="宋体" w:eastAsia="宋体" w:cs="宋体"/>
          <w:color w:val="auto"/>
          <w:sz w:val="32"/>
          <w:szCs w:val="32"/>
          <w:highlight w:val="none"/>
          <w:shd w:val="clear" w:color="auto" w:fill="auto"/>
        </w:rPr>
        <w:fldChar w:fldCharType="end"/>
      </w:r>
    </w:p>
    <w:p w14:paraId="0C56B481">
      <w:pPr>
        <w:pStyle w:val="11"/>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360" w:lineRule="auto"/>
        <w:textAlignment w:val="auto"/>
        <w:rPr>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fldChar w:fldCharType="begin"/>
      </w:r>
      <w:r>
        <w:rPr>
          <w:rFonts w:hint="eastAsia" w:ascii="宋体" w:hAnsi="宋体" w:eastAsia="宋体" w:cs="宋体"/>
          <w:color w:val="auto"/>
          <w:sz w:val="32"/>
          <w:szCs w:val="32"/>
          <w:highlight w:val="none"/>
          <w:shd w:val="clear" w:color="auto" w:fill="auto"/>
        </w:rPr>
        <w:instrText xml:space="preserve"> HYPERLINK \l _Toc11016 </w:instrText>
      </w:r>
      <w:r>
        <w:rPr>
          <w:rFonts w:hint="eastAsia" w:ascii="宋体" w:hAnsi="宋体" w:eastAsia="宋体" w:cs="宋体"/>
          <w:color w:val="auto"/>
          <w:sz w:val="32"/>
          <w:szCs w:val="32"/>
          <w:highlight w:val="none"/>
          <w:shd w:val="clear" w:color="auto" w:fill="auto"/>
        </w:rPr>
        <w:fldChar w:fldCharType="separate"/>
      </w:r>
      <w:r>
        <w:rPr>
          <w:color w:val="auto"/>
          <w:sz w:val="32"/>
          <w:szCs w:val="32"/>
          <w:highlight w:val="none"/>
          <w:shd w:val="clear" w:color="auto" w:fill="auto"/>
        </w:rPr>
        <w:t>第六章   响应文件格式</w:t>
      </w:r>
      <w:r>
        <w:rPr>
          <w:color w:val="auto"/>
          <w:sz w:val="32"/>
          <w:szCs w:val="32"/>
          <w:highlight w:val="none"/>
          <w:shd w:val="clear" w:color="auto" w:fill="auto"/>
        </w:rPr>
        <w:tab/>
      </w:r>
      <w:r>
        <w:rPr>
          <w:color w:val="auto"/>
          <w:sz w:val="32"/>
          <w:szCs w:val="32"/>
          <w:highlight w:val="none"/>
          <w:shd w:val="clear" w:color="auto" w:fill="auto"/>
        </w:rPr>
        <w:fldChar w:fldCharType="begin"/>
      </w:r>
      <w:r>
        <w:rPr>
          <w:color w:val="auto"/>
          <w:sz w:val="32"/>
          <w:szCs w:val="32"/>
          <w:highlight w:val="none"/>
          <w:shd w:val="clear" w:color="auto" w:fill="auto"/>
        </w:rPr>
        <w:instrText xml:space="preserve"> PAGEREF _Toc11016 \h </w:instrText>
      </w:r>
      <w:r>
        <w:rPr>
          <w:color w:val="auto"/>
          <w:sz w:val="32"/>
          <w:szCs w:val="32"/>
          <w:highlight w:val="none"/>
          <w:shd w:val="clear" w:color="auto" w:fill="auto"/>
        </w:rPr>
        <w:fldChar w:fldCharType="separate"/>
      </w:r>
      <w:r>
        <w:rPr>
          <w:color w:val="auto"/>
          <w:sz w:val="32"/>
          <w:szCs w:val="32"/>
          <w:highlight w:val="none"/>
          <w:shd w:val="clear" w:color="auto" w:fill="auto"/>
        </w:rPr>
        <w:t>48</w:t>
      </w:r>
      <w:r>
        <w:rPr>
          <w:color w:val="auto"/>
          <w:sz w:val="32"/>
          <w:szCs w:val="32"/>
          <w:highlight w:val="none"/>
          <w:shd w:val="clear" w:color="auto" w:fill="auto"/>
        </w:rPr>
        <w:fldChar w:fldCharType="end"/>
      </w:r>
      <w:r>
        <w:rPr>
          <w:rFonts w:hint="eastAsia" w:ascii="宋体" w:hAnsi="宋体" w:eastAsia="宋体" w:cs="宋体"/>
          <w:color w:val="auto"/>
          <w:sz w:val="32"/>
          <w:szCs w:val="32"/>
          <w:highlight w:val="none"/>
          <w:shd w:val="clear" w:color="auto" w:fill="auto"/>
        </w:rPr>
        <w:fldChar w:fldCharType="end"/>
      </w:r>
    </w:p>
    <w:p w14:paraId="5EED6911">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fldChar w:fldCharType="end"/>
      </w:r>
    </w:p>
    <w:p w14:paraId="31EBDEC5">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color w:val="auto"/>
          <w:sz w:val="32"/>
          <w:szCs w:val="32"/>
          <w:highlight w:val="none"/>
          <w:shd w:val="clear" w:color="auto" w:fill="auto"/>
        </w:rPr>
      </w:pPr>
    </w:p>
    <w:p w14:paraId="1B8A9A71">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sz w:val="32"/>
          <w:szCs w:val="32"/>
          <w:highlight w:val="none"/>
          <w:shd w:val="clear" w:color="auto" w:fill="auto"/>
        </w:rPr>
        <w:sectPr>
          <w:headerReference r:id="rId4" w:type="first"/>
          <w:footerReference r:id="rId7" w:type="first"/>
          <w:headerReference r:id="rId3" w:type="default"/>
          <w:footerReference r:id="rId5" w:type="default"/>
          <w:footerReference r:id="rId6" w:type="even"/>
          <w:pgSz w:w="11907" w:h="16840"/>
          <w:pgMar w:top="1418" w:right="1134" w:bottom="1418" w:left="1701" w:header="851" w:footer="851" w:gutter="0"/>
          <w:pgNumType w:start="1"/>
          <w:cols w:space="720" w:num="1"/>
          <w:titlePg/>
          <w:docGrid w:linePitch="462" w:charSpace="0"/>
        </w:sectPr>
      </w:pPr>
    </w:p>
    <w:p w14:paraId="674EC73D">
      <w:pPr>
        <w:spacing w:line="360" w:lineRule="auto"/>
        <w:jc w:val="center"/>
        <w:outlineLvl w:val="0"/>
        <w:rPr>
          <w:b/>
          <w:color w:val="auto"/>
          <w:sz w:val="36"/>
          <w:szCs w:val="36"/>
          <w:highlight w:val="none"/>
          <w:shd w:val="clear" w:color="auto" w:fill="auto"/>
        </w:rPr>
      </w:pPr>
      <w:bookmarkStart w:id="1" w:name="_Toc26361"/>
      <w:r>
        <w:rPr>
          <w:b/>
          <w:color w:val="auto"/>
          <w:sz w:val="36"/>
          <w:szCs w:val="36"/>
          <w:highlight w:val="none"/>
          <w:shd w:val="clear" w:color="auto" w:fill="auto"/>
        </w:rPr>
        <w:t>第一章   采购邀请</w:t>
      </w:r>
      <w:bookmarkEnd w:id="1"/>
      <w:bookmarkStart w:id="2" w:name="_Toc28359079"/>
      <w:bookmarkStart w:id="3" w:name="_Toc35393790"/>
      <w:bookmarkStart w:id="4" w:name="_Toc35393621"/>
      <w:bookmarkStart w:id="5" w:name="_Toc28359002"/>
      <w:bookmarkStart w:id="6" w:name="_Hlk24379207"/>
    </w:p>
    <w:p w14:paraId="72F2A6D3">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Times New Roman"/>
          <w:b/>
          <w:bCs/>
          <w:color w:val="auto"/>
          <w:sz w:val="24"/>
          <w:szCs w:val="24"/>
          <w:highlight w:val="none"/>
          <w:shd w:val="clear" w:color="auto" w:fill="auto"/>
        </w:rPr>
      </w:pPr>
      <w:r>
        <w:rPr>
          <w:rFonts w:hint="eastAsia" w:ascii="宋体" w:hAnsi="宋体" w:eastAsia="宋体" w:cs="Times New Roman"/>
          <w:b/>
          <w:bCs/>
          <w:color w:val="auto"/>
          <w:sz w:val="24"/>
          <w:szCs w:val="24"/>
          <w:highlight w:val="none"/>
          <w:shd w:val="clear" w:color="auto" w:fill="auto"/>
        </w:rPr>
        <w:t>一、项目基本情况</w:t>
      </w:r>
      <w:bookmarkEnd w:id="2"/>
      <w:bookmarkEnd w:id="3"/>
      <w:bookmarkEnd w:id="4"/>
      <w:bookmarkEnd w:id="5"/>
    </w:p>
    <w:p w14:paraId="49ABE50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1.项目编号：</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cs="宋体"/>
          <w:color w:val="auto"/>
          <w:sz w:val="24"/>
          <w:szCs w:val="24"/>
          <w:highlight w:val="none"/>
          <w:u w:val="single"/>
          <w:shd w:val="clear" w:color="auto" w:fill="auto"/>
          <w:lang w:eastAsia="zh-CN"/>
        </w:rPr>
        <w:t>JSZC-320402012-SYZB-C2026-0026</w:t>
      </w:r>
      <w:r>
        <w:rPr>
          <w:rFonts w:hint="eastAsia" w:ascii="宋体" w:hAnsi="宋体" w:eastAsia="宋体" w:cs="宋体"/>
          <w:color w:val="auto"/>
          <w:sz w:val="24"/>
          <w:szCs w:val="24"/>
          <w:highlight w:val="none"/>
          <w:u w:val="single"/>
          <w:shd w:val="clear" w:color="auto" w:fill="auto"/>
          <w:lang w:val="en-US" w:eastAsia="zh-CN"/>
        </w:rPr>
        <w:t xml:space="preserve"> </w:t>
      </w:r>
    </w:p>
    <w:p w14:paraId="6BA949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2.项目名称：</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cs="宋体"/>
          <w:color w:val="auto"/>
          <w:sz w:val="24"/>
          <w:szCs w:val="24"/>
          <w:highlight w:val="none"/>
          <w:u w:val="single"/>
          <w:shd w:val="clear" w:color="auto" w:fill="auto"/>
          <w:lang w:val="en-US" w:eastAsia="zh-CN"/>
        </w:rPr>
        <w:t>寺墩遗址保护回填和环境整治项目（一期）（政府采购工程）（面向中小企业）</w:t>
      </w:r>
      <w:r>
        <w:rPr>
          <w:rFonts w:hint="eastAsia" w:ascii="宋体" w:hAnsi="宋体" w:eastAsia="宋体" w:cs="宋体"/>
          <w:color w:val="auto"/>
          <w:sz w:val="24"/>
          <w:szCs w:val="24"/>
          <w:highlight w:val="none"/>
          <w:u w:val="single"/>
          <w:shd w:val="clear" w:color="auto" w:fill="auto"/>
        </w:rPr>
        <w:t xml:space="preserve"> </w:t>
      </w:r>
    </w:p>
    <w:p w14:paraId="0359D48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3.采购方式：竞争性磋商</w:t>
      </w:r>
    </w:p>
    <w:bookmarkEnd w:id="6"/>
    <w:p w14:paraId="0281496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4.项目预算金额：</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cs="宋体"/>
          <w:color w:val="auto"/>
          <w:sz w:val="24"/>
          <w:szCs w:val="24"/>
          <w:highlight w:val="none"/>
          <w:u w:val="single"/>
          <w:shd w:val="clear" w:color="auto" w:fill="auto"/>
          <w:lang w:val="en-US" w:eastAsia="zh-CN"/>
        </w:rPr>
        <w:t>287</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cs="宋体"/>
          <w:color w:val="auto"/>
          <w:sz w:val="24"/>
          <w:szCs w:val="24"/>
          <w:highlight w:val="none"/>
          <w:u w:val="none"/>
          <w:shd w:val="clear" w:color="auto" w:fill="auto"/>
          <w:lang w:val="en-US" w:eastAsia="zh-CN"/>
        </w:rPr>
        <w:t>万</w:t>
      </w:r>
      <w:r>
        <w:rPr>
          <w:rFonts w:hint="eastAsia" w:ascii="宋体" w:hAnsi="宋体" w:eastAsia="宋体" w:cs="宋体"/>
          <w:color w:val="auto"/>
          <w:sz w:val="24"/>
          <w:szCs w:val="24"/>
          <w:highlight w:val="none"/>
          <w:shd w:val="clear" w:color="auto" w:fill="auto"/>
        </w:rPr>
        <w:t>元、项目最高限价：</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cs="宋体"/>
          <w:color w:val="auto"/>
          <w:sz w:val="24"/>
          <w:szCs w:val="24"/>
          <w:highlight w:val="none"/>
          <w:u w:val="single"/>
          <w:shd w:val="clear" w:color="auto" w:fill="auto"/>
          <w:lang w:eastAsia="zh-CN"/>
        </w:rPr>
        <w:t>2869207.88</w:t>
      </w:r>
      <w:r>
        <w:rPr>
          <w:rFonts w:hint="eastAsia" w:ascii="宋体" w:hAnsi="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元</w:t>
      </w:r>
    </w:p>
    <w:p w14:paraId="6A180D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5.采购需求：</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6"/>
        <w:gridCol w:w="1649"/>
        <w:gridCol w:w="670"/>
        <w:gridCol w:w="5523"/>
      </w:tblGrid>
      <w:tr w14:paraId="23FBE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46" w:type="dxa"/>
            <w:noWrap w:val="0"/>
            <w:vAlign w:val="center"/>
          </w:tcPr>
          <w:p w14:paraId="2D385520">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标的名称</w:t>
            </w:r>
          </w:p>
        </w:tc>
        <w:tc>
          <w:tcPr>
            <w:tcW w:w="1649" w:type="dxa"/>
            <w:noWrap w:val="0"/>
            <w:vAlign w:val="center"/>
          </w:tcPr>
          <w:p w14:paraId="5ED68B79">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采购预算金额（</w:t>
            </w:r>
            <w:r>
              <w:rPr>
                <w:rFonts w:hint="eastAsia" w:ascii="宋体" w:hAnsi="宋体" w:cs="宋体"/>
                <w:color w:val="auto"/>
                <w:sz w:val="24"/>
                <w:szCs w:val="24"/>
                <w:highlight w:val="none"/>
                <w:u w:val="none"/>
                <w:shd w:val="clear" w:color="auto" w:fill="auto"/>
                <w:lang w:val="en-US" w:eastAsia="zh-CN"/>
              </w:rPr>
              <w:t>万</w:t>
            </w:r>
            <w:r>
              <w:rPr>
                <w:rFonts w:hint="eastAsia" w:ascii="宋体" w:hAnsi="宋体" w:eastAsia="宋体" w:cs="宋体"/>
                <w:bCs/>
                <w:color w:val="auto"/>
                <w:sz w:val="24"/>
                <w:szCs w:val="24"/>
                <w:highlight w:val="none"/>
                <w:shd w:val="clear" w:color="auto" w:fill="auto"/>
              </w:rPr>
              <w:t>元）</w:t>
            </w:r>
          </w:p>
        </w:tc>
        <w:tc>
          <w:tcPr>
            <w:tcW w:w="670" w:type="dxa"/>
            <w:noWrap w:val="0"/>
            <w:vAlign w:val="center"/>
          </w:tcPr>
          <w:p w14:paraId="0D6FFC47">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数量</w:t>
            </w:r>
          </w:p>
        </w:tc>
        <w:tc>
          <w:tcPr>
            <w:tcW w:w="5523" w:type="dxa"/>
            <w:noWrap w:val="0"/>
            <w:vAlign w:val="center"/>
          </w:tcPr>
          <w:p w14:paraId="6E812F5D">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简要技术需求或服务要求</w:t>
            </w:r>
          </w:p>
        </w:tc>
      </w:tr>
      <w:tr w14:paraId="38159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46" w:type="dxa"/>
            <w:noWrap w:val="0"/>
            <w:vAlign w:val="center"/>
          </w:tcPr>
          <w:p w14:paraId="29E5A862">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Cs/>
                <w:color w:val="auto"/>
                <w:sz w:val="24"/>
                <w:szCs w:val="24"/>
                <w:highlight w:val="none"/>
                <w:shd w:val="clear" w:color="auto" w:fill="auto"/>
                <w:lang w:eastAsia="zh-CN"/>
              </w:rPr>
            </w:pPr>
            <w:r>
              <w:rPr>
                <w:rFonts w:hint="eastAsia" w:ascii="宋体" w:hAnsi="宋体" w:cs="宋体"/>
                <w:bCs/>
                <w:color w:val="auto"/>
                <w:sz w:val="24"/>
                <w:szCs w:val="24"/>
                <w:highlight w:val="none"/>
                <w:shd w:val="clear" w:color="auto" w:fill="auto"/>
                <w:lang w:eastAsia="zh-CN"/>
              </w:rPr>
              <w:t>寺墩遗址保护回填和环境整治项目（一期）</w:t>
            </w:r>
          </w:p>
        </w:tc>
        <w:tc>
          <w:tcPr>
            <w:tcW w:w="1649" w:type="dxa"/>
            <w:noWrap w:val="0"/>
            <w:vAlign w:val="center"/>
          </w:tcPr>
          <w:p w14:paraId="7D3E3507">
            <w:pPr>
              <w:keepNext w:val="0"/>
              <w:keepLines w:val="0"/>
              <w:pageBreakBefore w:val="0"/>
              <w:widowControl w:val="0"/>
              <w:kinsoku/>
              <w:wordWrap/>
              <w:overflowPunct/>
              <w:topLinePunct w:val="0"/>
              <w:autoSpaceDE/>
              <w:autoSpaceDN/>
              <w:bidi w:val="0"/>
              <w:adjustRightInd/>
              <w:snapToGrid/>
              <w:jc w:val="center"/>
              <w:textAlignment w:val="auto"/>
              <w:rPr>
                <w:rFonts w:hint="default" w:ascii="宋体" w:hAnsi="宋体" w:cs="宋体"/>
                <w:bCs/>
                <w:color w:val="auto"/>
                <w:sz w:val="24"/>
                <w:szCs w:val="24"/>
                <w:highlight w:val="none"/>
                <w:shd w:val="clear" w:color="auto" w:fill="auto"/>
                <w:lang w:val="en-US" w:eastAsia="zh-CN"/>
              </w:rPr>
            </w:pPr>
            <w:r>
              <w:rPr>
                <w:rFonts w:hint="eastAsia" w:ascii="宋体" w:hAnsi="宋体" w:cs="宋体"/>
                <w:bCs/>
                <w:color w:val="auto"/>
                <w:sz w:val="24"/>
                <w:szCs w:val="24"/>
                <w:highlight w:val="none"/>
                <w:shd w:val="clear" w:color="auto" w:fill="auto"/>
                <w:lang w:val="en-US" w:eastAsia="zh-CN"/>
              </w:rPr>
              <w:t>287</w:t>
            </w:r>
          </w:p>
        </w:tc>
        <w:tc>
          <w:tcPr>
            <w:tcW w:w="670" w:type="dxa"/>
            <w:noWrap w:val="0"/>
            <w:vAlign w:val="center"/>
          </w:tcPr>
          <w:p w14:paraId="3E6DB948">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cs="宋体"/>
                <w:bCs/>
                <w:color w:val="auto"/>
                <w:sz w:val="24"/>
                <w:szCs w:val="24"/>
                <w:highlight w:val="none"/>
                <w:shd w:val="clear" w:color="auto" w:fill="auto"/>
                <w:lang w:val="en-US" w:eastAsia="zh-CN"/>
              </w:rPr>
            </w:pPr>
            <w:r>
              <w:rPr>
                <w:rFonts w:hint="eastAsia" w:ascii="宋体" w:hAnsi="宋体" w:cs="宋体"/>
                <w:bCs/>
                <w:color w:val="auto"/>
                <w:sz w:val="24"/>
                <w:szCs w:val="24"/>
                <w:highlight w:val="none"/>
                <w:shd w:val="clear" w:color="auto" w:fill="auto"/>
                <w:lang w:val="en-US" w:eastAsia="zh-CN"/>
              </w:rPr>
              <w:t>1</w:t>
            </w:r>
          </w:p>
        </w:tc>
        <w:tc>
          <w:tcPr>
            <w:tcW w:w="5523" w:type="dxa"/>
            <w:noWrap w:val="0"/>
            <w:vAlign w:val="center"/>
          </w:tcPr>
          <w:p w14:paraId="3D4C2355">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包括但不限于</w:t>
            </w:r>
            <w:r>
              <w:rPr>
                <w:rFonts w:hint="eastAsia" w:ascii="宋体" w:hAnsi="宋体" w:eastAsia="宋体" w:cs="宋体"/>
                <w:bCs/>
                <w:color w:val="auto"/>
                <w:sz w:val="24"/>
                <w:szCs w:val="24"/>
                <w:highlight w:val="none"/>
                <w:shd w:val="clear" w:color="auto" w:fill="auto"/>
                <w:lang w:eastAsia="zh-CN"/>
              </w:rPr>
              <w:t>竞争性磋商文件</w:t>
            </w:r>
            <w:r>
              <w:rPr>
                <w:rFonts w:hint="eastAsia" w:ascii="宋体" w:hAnsi="宋体" w:eastAsia="宋体" w:cs="宋体"/>
                <w:bCs/>
                <w:color w:val="auto"/>
                <w:sz w:val="24"/>
                <w:szCs w:val="24"/>
                <w:highlight w:val="none"/>
                <w:shd w:val="clear" w:color="auto" w:fill="auto"/>
              </w:rPr>
              <w:t>及其基本技术要求范围内相应工程开工前的准备（包括现场踏勘、技术核对等）、技术资料、施工、技术服务、主管单位验收、质保期及维保服务和</w:t>
            </w:r>
            <w:r>
              <w:rPr>
                <w:rFonts w:hint="eastAsia" w:ascii="宋体" w:hAnsi="宋体" w:eastAsia="宋体" w:cs="宋体"/>
                <w:bCs/>
                <w:color w:val="auto"/>
                <w:sz w:val="24"/>
                <w:szCs w:val="24"/>
                <w:highlight w:val="none"/>
                <w:shd w:val="clear" w:color="auto" w:fill="auto"/>
                <w:lang w:eastAsia="zh-CN"/>
              </w:rPr>
              <w:t>竞争性磋商文件</w:t>
            </w:r>
            <w:r>
              <w:rPr>
                <w:rFonts w:hint="eastAsia" w:ascii="宋体" w:hAnsi="宋体" w:eastAsia="宋体" w:cs="宋体"/>
                <w:bCs/>
                <w:color w:val="auto"/>
                <w:sz w:val="24"/>
                <w:szCs w:val="24"/>
                <w:highlight w:val="none"/>
                <w:shd w:val="clear" w:color="auto" w:fill="auto"/>
              </w:rPr>
              <w:t>所要求的相关工程等全部内容。</w:t>
            </w:r>
          </w:p>
        </w:tc>
      </w:tr>
    </w:tbl>
    <w:p w14:paraId="638DFF71">
      <w:pPr>
        <w:keepNext w:val="0"/>
        <w:keepLines w:val="0"/>
        <w:pageBreakBefore w:val="0"/>
        <w:widowControl w:val="0"/>
        <w:kinsoku/>
        <w:wordWrap/>
        <w:overflowPunct/>
        <w:topLinePunct w:val="0"/>
        <w:autoSpaceDE/>
        <w:autoSpaceDN/>
        <w:bidi w:val="0"/>
        <w:adjustRightInd/>
        <w:snapToGrid/>
        <w:spacing w:before="233" w:beforeLines="50" w:line="360" w:lineRule="auto"/>
        <w:ind w:firstLine="480" w:firstLineChars="200"/>
        <w:textAlignment w:val="auto"/>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6.合同履行期限：</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cs="宋体"/>
          <w:color w:val="auto"/>
          <w:sz w:val="24"/>
          <w:szCs w:val="24"/>
          <w:highlight w:val="none"/>
          <w:u w:val="single"/>
          <w:shd w:val="clear" w:color="auto" w:fill="auto"/>
          <w:lang w:val="en-US" w:eastAsia="zh-CN"/>
        </w:rPr>
        <w:t>100日历天</w:t>
      </w:r>
      <w:r>
        <w:rPr>
          <w:rFonts w:hint="eastAsia" w:ascii="宋体" w:hAnsi="宋体" w:eastAsia="宋体" w:cs="宋体"/>
          <w:color w:val="auto"/>
          <w:sz w:val="24"/>
          <w:szCs w:val="24"/>
          <w:highlight w:val="none"/>
          <w:u w:val="single"/>
          <w:shd w:val="clear" w:color="auto" w:fill="auto"/>
          <w:lang w:val="en-US" w:eastAsia="zh-CN"/>
        </w:rPr>
        <w:t xml:space="preserve">。 </w:t>
      </w:r>
    </w:p>
    <w:p w14:paraId="69FBECD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7.本项目是否接受联合体：</w:t>
      </w:r>
      <w:r>
        <w:rPr>
          <w:rFonts w:hint="eastAsia" w:ascii="宋体" w:hAnsi="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是  ■否。</w:t>
      </w:r>
    </w:p>
    <w:p w14:paraId="2E83F9BB">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Times New Roman"/>
          <w:b/>
          <w:bCs/>
          <w:color w:val="auto"/>
          <w:sz w:val="24"/>
          <w:szCs w:val="24"/>
          <w:highlight w:val="none"/>
          <w:shd w:val="clear" w:color="auto" w:fill="auto"/>
        </w:rPr>
      </w:pPr>
      <w:bookmarkStart w:id="7" w:name="_Toc35393791"/>
      <w:bookmarkStart w:id="8" w:name="_Toc28359080"/>
      <w:bookmarkStart w:id="9" w:name="_Toc35393622"/>
      <w:bookmarkStart w:id="10" w:name="_Toc28359003"/>
      <w:r>
        <w:rPr>
          <w:rFonts w:hint="eastAsia" w:ascii="宋体" w:hAnsi="宋体" w:eastAsia="宋体" w:cs="Times New Roman"/>
          <w:b/>
          <w:bCs/>
          <w:color w:val="auto"/>
          <w:sz w:val="24"/>
          <w:szCs w:val="24"/>
          <w:highlight w:val="none"/>
          <w:shd w:val="clear" w:color="auto" w:fill="auto"/>
        </w:rPr>
        <w:t>二、申请人的资格要求（须同时满足）</w:t>
      </w:r>
      <w:bookmarkEnd w:id="7"/>
      <w:bookmarkEnd w:id="8"/>
      <w:bookmarkEnd w:id="9"/>
      <w:bookmarkEnd w:id="10"/>
    </w:p>
    <w:p w14:paraId="0E78A599">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bookmarkStart w:id="11" w:name="_Toc28359081"/>
      <w:bookmarkStart w:id="12" w:name="_Toc28359004"/>
      <w:r>
        <w:rPr>
          <w:rFonts w:hint="eastAsia" w:ascii="宋体" w:hAnsi="宋体" w:eastAsia="宋体" w:cs="宋体"/>
          <w:color w:val="auto"/>
          <w:sz w:val="24"/>
          <w:szCs w:val="24"/>
          <w:highlight w:val="none"/>
          <w:shd w:val="clear" w:color="auto" w:fill="auto"/>
        </w:rPr>
        <w:t>1.满足《中华人民共和国政府采购法》第二十二条规定以及下列情形：</w:t>
      </w:r>
    </w:p>
    <w:p w14:paraId="32DF0C27">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1.1未被“信用中国”网站（WWW.creditchina.gov.cn）或“中国政府采购网”网站（www.ccgp.gov.cn）列入失信被执行人、重大税收违法案件当事人名单、政府采购严重失信行为记录名单；</w:t>
      </w:r>
    </w:p>
    <w:p w14:paraId="7D2CF51E">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1.2单位负责人为同一人或者存在直接控股、管理关系的不同供应商（包含法定代表人为同一个人的两个及两个以上法人，母公司、全资子公司及其控股公司），不得参加同一合同项下的政府采购活动。</w:t>
      </w:r>
    </w:p>
    <w:p w14:paraId="58DDDA4E">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2.落实政府采购政策需满足的资格要求：</w:t>
      </w:r>
    </w:p>
    <w:p w14:paraId="4843302D">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 中小企业政策</w:t>
      </w:r>
    </w:p>
    <w:p w14:paraId="3B3092DC">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□本项目不专门面向中小企业预留采购份额。</w:t>
      </w:r>
    </w:p>
    <w:p w14:paraId="445278BB">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■本项目专门面向  ■中小 □小微企业  采购。即：提供的</w:t>
      </w:r>
      <w:r>
        <w:rPr>
          <w:rFonts w:hint="eastAsia" w:ascii="宋体" w:hAnsi="宋体" w:eastAsia="宋体" w:cs="宋体"/>
          <w:color w:val="auto"/>
          <w:sz w:val="24"/>
          <w:szCs w:val="24"/>
          <w:highlight w:val="none"/>
          <w:shd w:val="clear" w:color="auto" w:fill="auto"/>
          <w:lang w:eastAsia="zh-CN"/>
        </w:rPr>
        <w:t>工程</w:t>
      </w:r>
      <w:r>
        <w:rPr>
          <w:rFonts w:hint="eastAsia" w:ascii="宋体" w:hAnsi="宋体" w:eastAsia="宋体" w:cs="宋体"/>
          <w:color w:val="auto"/>
          <w:sz w:val="24"/>
          <w:szCs w:val="24"/>
          <w:highlight w:val="none"/>
          <w:shd w:val="clear" w:color="auto" w:fill="auto"/>
        </w:rPr>
        <w:t>全部由中小企业承接（提供《中小企业声明函》）。</w:t>
      </w:r>
    </w:p>
    <w:p w14:paraId="61F7DF8A">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w:t>
      </w:r>
    </w:p>
    <w:p w14:paraId="058F6E73">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2.2 其它落实政府采购政策的资格要求：</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w:t>
      </w:r>
    </w:p>
    <w:p w14:paraId="2B619433">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
          <w:iCs/>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3.本项目的特定资格要求：</w:t>
      </w:r>
    </w:p>
    <w:p w14:paraId="56380ACF">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3.1本项目是否接受分支机构参与响应：□是   ■否；</w:t>
      </w:r>
    </w:p>
    <w:p w14:paraId="1D27BECD">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 本项目是否属于政府购买服务：</w:t>
      </w:r>
    </w:p>
    <w:p w14:paraId="1BAA6ED7">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left="991" w:leftChars="472" w:firstLine="2"/>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■否</w:t>
      </w:r>
    </w:p>
    <w:p w14:paraId="34ED1BA3">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left="991" w:leftChars="472" w:firstLine="2"/>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□是，公益一类事业单位、使用事业编制且由财政拨款保障的群团组织，不得作为承接主体；</w:t>
      </w:r>
    </w:p>
    <w:p w14:paraId="14E4E0C9">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3.3其他特定资格要求</w:t>
      </w:r>
      <w:r>
        <w:rPr>
          <w:rFonts w:hint="eastAsia" w:ascii="宋体" w:hAnsi="宋体" w:eastAsia="宋体" w:cs="宋体"/>
          <w:color w:val="auto"/>
          <w:sz w:val="24"/>
          <w:szCs w:val="24"/>
          <w:highlight w:val="none"/>
          <w:shd w:val="clear" w:color="auto" w:fill="auto"/>
          <w:lang w:eastAsia="zh-CN"/>
        </w:rPr>
        <w:t>：</w:t>
      </w:r>
    </w:p>
    <w:p w14:paraId="2040CF58">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cs="宋体"/>
          <w:color w:val="auto"/>
          <w:sz w:val="24"/>
          <w:szCs w:val="24"/>
          <w:highlight w:val="none"/>
          <w:u w:val="single"/>
          <w:shd w:val="clear" w:color="auto" w:fill="auto"/>
          <w:lang w:val="en-US" w:eastAsia="zh-CN"/>
        </w:rPr>
        <w:t>3.3.1供应商</w:t>
      </w:r>
      <w:r>
        <w:rPr>
          <w:rFonts w:hint="eastAsia" w:ascii="宋体" w:hAnsi="宋体" w:eastAsia="宋体" w:cs="宋体"/>
          <w:color w:val="auto"/>
          <w:sz w:val="24"/>
          <w:szCs w:val="24"/>
          <w:highlight w:val="none"/>
          <w:u w:val="single"/>
          <w:shd w:val="clear" w:color="auto" w:fill="auto"/>
        </w:rPr>
        <w:t>：</w:t>
      </w:r>
    </w:p>
    <w:p w14:paraId="0AEAB2D2">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t>（1）</w:t>
      </w:r>
      <w:r>
        <w:rPr>
          <w:rFonts w:hint="eastAsia" w:ascii="宋体" w:hAnsi="宋体" w:cs="宋体"/>
          <w:color w:val="auto"/>
          <w:sz w:val="24"/>
          <w:szCs w:val="24"/>
          <w:highlight w:val="none"/>
          <w:u w:val="single"/>
          <w:shd w:val="clear" w:color="auto" w:fill="auto"/>
          <w:lang w:eastAsia="zh-CN"/>
        </w:rPr>
        <w:t>具备有效的市政公用工程施工总承包三级及以上资质；具备安全生产条件，并取得有效的安全生产许可证</w:t>
      </w:r>
      <w:r>
        <w:rPr>
          <w:rFonts w:hint="eastAsia" w:ascii="宋体" w:hAnsi="宋体" w:eastAsia="宋体" w:cs="宋体"/>
          <w:color w:val="auto"/>
          <w:sz w:val="24"/>
          <w:szCs w:val="24"/>
          <w:highlight w:val="none"/>
          <w:u w:val="single"/>
          <w:shd w:val="clear" w:color="auto" w:fill="auto"/>
        </w:rPr>
        <w:t>；</w:t>
      </w:r>
    </w:p>
    <w:p w14:paraId="33475B40">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t>（2）</w:t>
      </w:r>
      <w:r>
        <w:rPr>
          <w:rFonts w:hint="eastAsia" w:ascii="宋体" w:hAnsi="宋体" w:cs="宋体"/>
          <w:color w:val="auto"/>
          <w:sz w:val="24"/>
          <w:szCs w:val="24"/>
          <w:highlight w:val="none"/>
          <w:u w:val="single"/>
          <w:shd w:val="clear" w:color="auto" w:fill="auto"/>
          <w:lang w:val="en-US" w:eastAsia="zh-CN"/>
        </w:rPr>
        <w:t>供应商</w:t>
      </w:r>
      <w:r>
        <w:rPr>
          <w:rFonts w:hint="eastAsia" w:ascii="宋体" w:hAnsi="宋体" w:eastAsia="宋体" w:cs="宋体"/>
          <w:color w:val="auto"/>
          <w:sz w:val="24"/>
          <w:szCs w:val="24"/>
          <w:highlight w:val="none"/>
          <w:u w:val="single"/>
          <w:shd w:val="clear" w:color="auto" w:fill="auto"/>
        </w:rPr>
        <w:t>不得存在下列情形之一：①为本项目的监理人、代建人、项目管理人，以及为本项目提供招标代理、设计服务的；②与本项目的监理人、代建人、招标代理机构同为一个法定代表人的，或者相互控股、参股的；③与</w:t>
      </w:r>
      <w:r>
        <w:rPr>
          <w:rFonts w:hint="eastAsia" w:ascii="宋体" w:hAnsi="宋体" w:cs="宋体"/>
          <w:color w:val="auto"/>
          <w:sz w:val="24"/>
          <w:szCs w:val="24"/>
          <w:highlight w:val="none"/>
          <w:u w:val="single"/>
          <w:shd w:val="clear" w:color="auto" w:fill="auto"/>
          <w:lang w:val="en-US" w:eastAsia="zh-CN"/>
        </w:rPr>
        <w:t>采购人</w:t>
      </w:r>
      <w:r>
        <w:rPr>
          <w:rFonts w:hint="eastAsia" w:ascii="宋体" w:hAnsi="宋体" w:eastAsia="宋体" w:cs="宋体"/>
          <w:color w:val="auto"/>
          <w:sz w:val="24"/>
          <w:szCs w:val="24"/>
          <w:highlight w:val="none"/>
          <w:u w:val="single"/>
          <w:shd w:val="clear" w:color="auto" w:fill="auto"/>
        </w:rPr>
        <w:t>存在利害关系可能影响公正性的；④处于被责令停业、财产被接管、冻结和破产状态，以及投标资格被取消或者被暂停且在暂停期内；⑤因拖欠工人工资或者因发生质量安全事故被有关部门限制在</w:t>
      </w:r>
      <w:r>
        <w:rPr>
          <w:rFonts w:hint="eastAsia" w:ascii="宋体" w:hAnsi="宋体" w:cs="宋体"/>
          <w:color w:val="auto"/>
          <w:sz w:val="24"/>
          <w:szCs w:val="24"/>
          <w:highlight w:val="none"/>
          <w:u w:val="single"/>
          <w:shd w:val="clear" w:color="auto" w:fill="auto"/>
          <w:lang w:val="en-US" w:eastAsia="zh-CN"/>
        </w:rPr>
        <w:t>本</w:t>
      </w:r>
      <w:r>
        <w:rPr>
          <w:rFonts w:hint="eastAsia" w:ascii="宋体" w:hAnsi="宋体" w:eastAsia="宋体" w:cs="宋体"/>
          <w:color w:val="auto"/>
          <w:sz w:val="24"/>
          <w:szCs w:val="24"/>
          <w:highlight w:val="none"/>
          <w:u w:val="single"/>
          <w:shd w:val="clear" w:color="auto" w:fill="auto"/>
        </w:rPr>
        <w:t>项目所在地承接工程的；⑥不符合法律、法规规定的其他条件。</w:t>
      </w:r>
    </w:p>
    <w:p w14:paraId="336F4E01">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u w:val="single"/>
          <w:shd w:val="clear" w:color="auto" w:fill="auto"/>
        </w:rPr>
      </w:pPr>
      <w:r>
        <w:rPr>
          <w:rFonts w:hint="eastAsia" w:ascii="宋体" w:hAnsi="宋体" w:cs="宋体"/>
          <w:color w:val="auto"/>
          <w:sz w:val="24"/>
          <w:szCs w:val="24"/>
          <w:highlight w:val="none"/>
          <w:u w:val="single"/>
          <w:shd w:val="clear" w:color="auto" w:fill="auto"/>
          <w:lang w:val="en-US" w:eastAsia="zh-CN"/>
        </w:rPr>
        <w:t>3.3.2项目负责人</w:t>
      </w:r>
      <w:r>
        <w:rPr>
          <w:rFonts w:hint="eastAsia" w:ascii="宋体" w:hAnsi="宋体" w:eastAsia="宋体" w:cs="宋体"/>
          <w:color w:val="auto"/>
          <w:sz w:val="24"/>
          <w:szCs w:val="24"/>
          <w:highlight w:val="none"/>
          <w:u w:val="single"/>
          <w:shd w:val="clear" w:color="auto" w:fill="auto"/>
        </w:rPr>
        <w:t>：</w:t>
      </w:r>
    </w:p>
    <w:p w14:paraId="760F1F1D">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t>（1）</w:t>
      </w:r>
      <w:r>
        <w:rPr>
          <w:rFonts w:hint="eastAsia" w:ascii="宋体" w:hAnsi="宋体" w:cs="宋体"/>
          <w:color w:val="auto"/>
          <w:sz w:val="24"/>
          <w:szCs w:val="24"/>
          <w:highlight w:val="none"/>
          <w:u w:val="single"/>
          <w:shd w:val="clear" w:color="auto" w:fill="auto"/>
          <w:lang w:eastAsia="zh-CN"/>
        </w:rPr>
        <w:t>具备市政公用工程二级及以上注册建造师</w:t>
      </w:r>
      <w:r>
        <w:rPr>
          <w:rFonts w:hint="eastAsia" w:ascii="宋体" w:hAnsi="宋体" w:eastAsia="宋体" w:cs="宋体"/>
          <w:color w:val="auto"/>
          <w:sz w:val="24"/>
          <w:szCs w:val="24"/>
          <w:highlight w:val="none"/>
          <w:u w:val="single"/>
          <w:shd w:val="clear" w:color="auto" w:fill="auto"/>
        </w:rPr>
        <w:t>；</w:t>
      </w:r>
    </w:p>
    <w:p w14:paraId="7ED1FFFD">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t>（2）注册建造师不得同时在两个或者两个以上单位受聘或者执业；</w:t>
      </w:r>
    </w:p>
    <w:p w14:paraId="3B45E8FC">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t>（</w:t>
      </w:r>
      <w:r>
        <w:rPr>
          <w:rFonts w:hint="eastAsia" w:ascii="宋体" w:hAnsi="宋体" w:cs="宋体"/>
          <w:color w:val="auto"/>
          <w:sz w:val="24"/>
          <w:szCs w:val="24"/>
          <w:highlight w:val="none"/>
          <w:u w:val="single"/>
          <w:shd w:val="clear" w:color="auto" w:fill="auto"/>
          <w:lang w:val="en-US" w:eastAsia="zh-CN"/>
        </w:rPr>
        <w:t>3</w:t>
      </w:r>
      <w:r>
        <w:rPr>
          <w:rFonts w:hint="eastAsia" w:ascii="宋体" w:hAnsi="宋体" w:eastAsia="宋体" w:cs="宋体"/>
          <w:color w:val="auto"/>
          <w:sz w:val="24"/>
          <w:szCs w:val="24"/>
          <w:highlight w:val="none"/>
          <w:u w:val="single"/>
          <w:shd w:val="clear" w:color="auto" w:fill="auto"/>
        </w:rPr>
        <w:t>）注册建造师具有有效的建设行政主管部门核发的安全生产考核合格证（B证）；</w:t>
      </w:r>
    </w:p>
    <w:p w14:paraId="4590C587">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t>（</w:t>
      </w:r>
      <w:r>
        <w:rPr>
          <w:rFonts w:hint="eastAsia" w:ascii="宋体" w:hAnsi="宋体" w:cs="宋体"/>
          <w:color w:val="auto"/>
          <w:sz w:val="24"/>
          <w:szCs w:val="24"/>
          <w:highlight w:val="none"/>
          <w:u w:val="single"/>
          <w:shd w:val="clear" w:color="auto" w:fill="auto"/>
          <w:lang w:val="en-US" w:eastAsia="zh-CN"/>
        </w:rPr>
        <w:t>4</w:t>
      </w:r>
      <w:r>
        <w:rPr>
          <w:rFonts w:hint="eastAsia" w:ascii="宋体" w:hAnsi="宋体" w:eastAsia="宋体" w:cs="宋体"/>
          <w:color w:val="auto"/>
          <w:sz w:val="24"/>
          <w:szCs w:val="24"/>
          <w:highlight w:val="none"/>
          <w:u w:val="single"/>
          <w:shd w:val="clear" w:color="auto" w:fill="auto"/>
        </w:rPr>
        <w:t>）具有社保机构出具的</w:t>
      </w:r>
      <w:r>
        <w:rPr>
          <w:rFonts w:hint="eastAsia" w:ascii="宋体" w:hAnsi="宋体" w:cs="宋体"/>
          <w:color w:val="auto"/>
          <w:sz w:val="24"/>
          <w:szCs w:val="24"/>
          <w:highlight w:val="none"/>
          <w:u w:val="single"/>
          <w:shd w:val="clear" w:color="auto" w:fill="auto"/>
          <w:lang w:val="en-US" w:eastAsia="zh-CN"/>
        </w:rPr>
        <w:t>供应商</w:t>
      </w:r>
      <w:r>
        <w:rPr>
          <w:rFonts w:hint="eastAsia" w:ascii="宋体" w:hAnsi="宋体" w:eastAsia="宋体" w:cs="宋体"/>
          <w:color w:val="auto"/>
          <w:sz w:val="24"/>
          <w:szCs w:val="24"/>
          <w:highlight w:val="none"/>
          <w:u w:val="single"/>
          <w:shd w:val="clear" w:color="auto" w:fill="auto"/>
        </w:rPr>
        <w:t>为</w:t>
      </w:r>
      <w:r>
        <w:rPr>
          <w:rFonts w:hint="eastAsia" w:ascii="宋体" w:hAnsi="宋体" w:cs="宋体"/>
          <w:color w:val="auto"/>
          <w:sz w:val="24"/>
          <w:szCs w:val="24"/>
          <w:highlight w:val="none"/>
          <w:u w:val="single"/>
          <w:shd w:val="clear" w:color="auto" w:fill="auto"/>
          <w:lang w:val="en-US" w:eastAsia="zh-CN"/>
        </w:rPr>
        <w:t>项目负责人</w:t>
      </w:r>
      <w:r>
        <w:rPr>
          <w:rFonts w:hint="eastAsia" w:ascii="宋体" w:hAnsi="宋体" w:eastAsia="宋体" w:cs="宋体"/>
          <w:color w:val="auto"/>
          <w:sz w:val="24"/>
          <w:szCs w:val="24"/>
          <w:highlight w:val="none"/>
          <w:u w:val="single"/>
          <w:shd w:val="clear" w:color="auto" w:fill="auto"/>
        </w:rPr>
        <w:t>缴纳社会基本养老保险的</w:t>
      </w:r>
      <w:r>
        <w:rPr>
          <w:rFonts w:hint="eastAsia" w:cs="Times New Roman"/>
          <w:color w:val="auto"/>
          <w:sz w:val="24"/>
          <w:szCs w:val="20"/>
          <w:highlight w:val="none"/>
          <w:u w:val="single"/>
          <w:shd w:val="clear" w:color="auto" w:fill="auto"/>
          <w:lang w:val="en-US" w:eastAsia="zh-CN"/>
        </w:rPr>
        <w:t>2026年2月至2026年4月</w:t>
      </w:r>
      <w:r>
        <w:rPr>
          <w:rFonts w:hint="eastAsia" w:ascii="宋体" w:hAnsi="宋体" w:cs="宋体"/>
          <w:color w:val="auto"/>
          <w:sz w:val="24"/>
          <w:szCs w:val="24"/>
          <w:highlight w:val="none"/>
          <w:u w:val="single"/>
          <w:shd w:val="clear" w:color="auto" w:fill="auto"/>
          <w:lang w:val="en-US" w:eastAsia="zh-CN"/>
        </w:rPr>
        <w:t>中任意一个月的</w:t>
      </w:r>
      <w:r>
        <w:rPr>
          <w:rFonts w:hint="eastAsia" w:ascii="宋体" w:hAnsi="宋体" w:eastAsia="宋体" w:cs="宋体"/>
          <w:color w:val="auto"/>
          <w:sz w:val="24"/>
          <w:szCs w:val="24"/>
          <w:highlight w:val="none"/>
          <w:u w:val="single"/>
          <w:shd w:val="clear" w:color="auto" w:fill="auto"/>
        </w:rPr>
        <w:t>缴纳凭证。</w:t>
      </w:r>
    </w:p>
    <w:bookmarkEnd w:id="11"/>
    <w:bookmarkEnd w:id="12"/>
    <w:p w14:paraId="0A089F5F">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Times New Roman"/>
          <w:b/>
          <w:bCs/>
          <w:color w:val="auto"/>
          <w:sz w:val="24"/>
          <w:szCs w:val="24"/>
          <w:highlight w:val="none"/>
          <w:shd w:val="clear" w:color="auto" w:fill="auto"/>
        </w:rPr>
      </w:pPr>
      <w:bookmarkStart w:id="13" w:name="_Toc35393623"/>
      <w:bookmarkStart w:id="14" w:name="_Toc35393792"/>
      <w:r>
        <w:rPr>
          <w:rFonts w:hint="eastAsia" w:ascii="宋体" w:hAnsi="宋体" w:eastAsia="宋体" w:cs="Times New Roman"/>
          <w:b/>
          <w:bCs/>
          <w:color w:val="auto"/>
          <w:sz w:val="24"/>
          <w:szCs w:val="24"/>
          <w:highlight w:val="none"/>
          <w:shd w:val="clear" w:color="auto" w:fill="auto"/>
        </w:rPr>
        <w:t>三、获取采购文件</w:t>
      </w:r>
      <w:bookmarkEnd w:id="13"/>
      <w:bookmarkEnd w:id="14"/>
    </w:p>
    <w:p w14:paraId="63BBB1EB">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宋体" w:hAnsi="宋体" w:eastAsia="宋体" w:cs="宋体"/>
          <w:color w:val="auto"/>
          <w:sz w:val="24"/>
          <w:highlight w:val="none"/>
          <w:u w:val="none"/>
          <w:lang w:bidi="ar"/>
        </w:rPr>
      </w:pPr>
      <w:bookmarkStart w:id="15" w:name="_Toc28359005"/>
      <w:bookmarkStart w:id="16" w:name="_Toc28359082"/>
      <w:bookmarkStart w:id="17" w:name="_Toc35393793"/>
      <w:bookmarkStart w:id="18" w:name="_Toc35393624"/>
      <w:r>
        <w:rPr>
          <w:rFonts w:hint="eastAsia" w:ascii="宋体" w:hAnsi="宋体" w:eastAsia="宋体" w:cs="宋体"/>
          <w:color w:val="auto"/>
          <w:sz w:val="24"/>
          <w:highlight w:val="none"/>
          <w:u w:val="none"/>
          <w:lang w:bidi="ar"/>
        </w:rPr>
        <w:t>1.时间：</w:t>
      </w:r>
      <w:r>
        <w:rPr>
          <w:rFonts w:hint="eastAsia" w:ascii="宋体" w:hAnsi="宋体" w:eastAsia="宋体" w:cs="宋体"/>
          <w:color w:val="auto"/>
          <w:sz w:val="24"/>
          <w:highlight w:val="none"/>
          <w:u w:val="none"/>
        </w:rPr>
        <w:t>自磋商文件公告发布之日起5个工作日</w:t>
      </w:r>
      <w:r>
        <w:rPr>
          <w:rFonts w:hint="eastAsia" w:ascii="宋体" w:hAnsi="宋体" w:eastAsia="宋体" w:cs="宋体"/>
          <w:color w:val="auto"/>
          <w:sz w:val="24"/>
          <w:highlight w:val="none"/>
          <w:u w:val="none"/>
          <w:lang w:bidi="ar"/>
        </w:rPr>
        <w:t>。</w:t>
      </w:r>
    </w:p>
    <w:p w14:paraId="715CF797">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2.地点：</w:t>
      </w:r>
      <w:r>
        <w:rPr>
          <w:rFonts w:hint="eastAsia" w:ascii="宋体" w:hAnsi="宋体" w:eastAsia="宋体" w:cs="宋体"/>
          <w:color w:val="auto"/>
          <w:sz w:val="24"/>
          <w:szCs w:val="24"/>
          <w:highlight w:val="none"/>
        </w:rPr>
        <w:t>“苏采云”政府采购一体化平台。</w:t>
      </w:r>
    </w:p>
    <w:p w14:paraId="729CCB1E">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3.方式：</w:t>
      </w:r>
      <w:r>
        <w:rPr>
          <w:rFonts w:hint="eastAsia" w:ascii="宋体" w:hAnsi="宋体" w:eastAsia="宋体" w:cs="宋体"/>
          <w:color w:val="auto"/>
          <w:sz w:val="24"/>
          <w:szCs w:val="24"/>
          <w:highlight w:val="none"/>
          <w:lang w:val="en-US" w:eastAsia="zh-CN"/>
        </w:rPr>
        <w:t>供应商</w:t>
      </w:r>
      <w:r>
        <w:rPr>
          <w:rFonts w:hint="eastAsia" w:ascii="宋体" w:hAnsi="宋体" w:cs="宋体"/>
          <w:color w:val="auto"/>
          <w:sz w:val="24"/>
          <w:szCs w:val="24"/>
          <w:highlight w:val="none"/>
          <w:lang w:val="en-US" w:eastAsia="zh-CN"/>
        </w:rPr>
        <w:t>登录</w:t>
      </w:r>
      <w:r>
        <w:rPr>
          <w:rFonts w:hint="eastAsia" w:ascii="宋体" w:hAnsi="宋体" w:eastAsia="宋体" w:cs="宋体"/>
          <w:color w:val="auto"/>
          <w:sz w:val="24"/>
          <w:szCs w:val="24"/>
          <w:highlight w:val="none"/>
          <w:lang w:val="en-US" w:eastAsia="zh-CN"/>
        </w:rPr>
        <w:t>“江苏政府采购网”，在网站首页点击“苏采云”→使用CA锁登录系统（新用户需进行“平台用户注册”）→“项目参与”进行登记，在“可参与项目”中选择“我要参与”，参与成功后到“已参与项目”界面中找到该项目下载文件并进行操作。</w:t>
      </w:r>
    </w:p>
    <w:p w14:paraId="55E79748">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4.售价：</w:t>
      </w:r>
      <w:r>
        <w:rPr>
          <w:rFonts w:hint="eastAsia" w:ascii="宋体" w:hAnsi="宋体" w:eastAsia="宋体" w:cs="宋体"/>
          <w:color w:val="auto"/>
          <w:sz w:val="24"/>
          <w:highlight w:val="none"/>
          <w:u w:val="single"/>
          <w:lang w:bidi="ar"/>
        </w:rPr>
        <w:t xml:space="preserve"> 0 </w:t>
      </w:r>
      <w:r>
        <w:rPr>
          <w:rFonts w:hint="eastAsia" w:ascii="宋体" w:hAnsi="宋体" w:eastAsia="宋体" w:cs="宋体"/>
          <w:color w:val="auto"/>
          <w:sz w:val="24"/>
          <w:highlight w:val="none"/>
          <w:lang w:bidi="ar"/>
        </w:rPr>
        <w:t>元。</w:t>
      </w:r>
    </w:p>
    <w:p w14:paraId="4C6BA038">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Times New Roman"/>
          <w:b/>
          <w:bCs/>
          <w:color w:val="auto"/>
          <w:sz w:val="24"/>
          <w:szCs w:val="24"/>
          <w:highlight w:val="none"/>
          <w:shd w:val="clear" w:color="auto" w:fill="auto"/>
        </w:rPr>
      </w:pPr>
      <w:r>
        <w:rPr>
          <w:rFonts w:hint="eastAsia" w:ascii="宋体" w:hAnsi="宋体" w:eastAsia="宋体" w:cs="Times New Roman"/>
          <w:b/>
          <w:bCs/>
          <w:color w:val="auto"/>
          <w:sz w:val="24"/>
          <w:szCs w:val="24"/>
          <w:highlight w:val="none"/>
          <w:shd w:val="clear" w:color="auto" w:fill="auto"/>
        </w:rPr>
        <w:t>四、</w:t>
      </w:r>
      <w:bookmarkEnd w:id="15"/>
      <w:bookmarkEnd w:id="16"/>
      <w:bookmarkEnd w:id="17"/>
      <w:bookmarkEnd w:id="18"/>
      <w:r>
        <w:rPr>
          <w:rFonts w:hint="eastAsia" w:ascii="宋体" w:hAnsi="宋体" w:eastAsia="宋体" w:cs="Times New Roman"/>
          <w:b/>
          <w:bCs/>
          <w:color w:val="auto"/>
          <w:sz w:val="24"/>
          <w:szCs w:val="24"/>
          <w:highlight w:val="none"/>
          <w:shd w:val="clear" w:color="auto" w:fill="auto"/>
        </w:rPr>
        <w:t>响应文件提交</w:t>
      </w:r>
    </w:p>
    <w:p w14:paraId="7EBFD87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lang w:bidi="ar"/>
        </w:rPr>
        <w:t>截止时间：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202</w:t>
      </w:r>
      <w:r>
        <w:rPr>
          <w:rFonts w:hint="eastAsia" w:ascii="宋体" w:hAnsi="宋体" w:cs="宋体"/>
          <w:color w:val="auto"/>
          <w:sz w:val="24"/>
          <w:highlight w:val="none"/>
          <w:u w:val="single"/>
          <w:lang w:val="en-US" w:eastAsia="zh-CN"/>
        </w:rPr>
        <w:t>6</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5</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18</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日</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9</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点</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00</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分</w:t>
      </w:r>
      <w:r>
        <w:rPr>
          <w:rFonts w:hint="eastAsia" w:ascii="宋体" w:hAnsi="宋体" w:eastAsia="宋体" w:cs="宋体"/>
          <w:bCs/>
          <w:color w:val="auto"/>
          <w:sz w:val="24"/>
          <w:highlight w:val="none"/>
          <w:lang w:bidi="ar"/>
        </w:rPr>
        <w:t>（北京时间）</w:t>
      </w:r>
      <w:r>
        <w:rPr>
          <w:rFonts w:hint="eastAsia" w:ascii="宋体" w:hAnsi="宋体" w:eastAsia="宋体" w:cs="宋体"/>
          <w:iCs/>
          <w:color w:val="auto"/>
          <w:sz w:val="24"/>
          <w:highlight w:val="none"/>
          <w:lang w:bidi="ar"/>
        </w:rPr>
        <w:t>。</w:t>
      </w:r>
    </w:p>
    <w:p w14:paraId="0166A6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地点：</w:t>
      </w:r>
      <w:r>
        <w:rPr>
          <w:rFonts w:hint="eastAsia" w:ascii="宋体" w:hAnsi="宋体"/>
          <w:color w:val="auto"/>
          <w:sz w:val="24"/>
          <w:highlight w:val="none"/>
          <w:u w:val="single"/>
          <w:lang w:eastAsia="zh-CN"/>
        </w:rPr>
        <w:t>本项目采用远程“不见面”交易方式，无需到现场提交，请供应商在</w:t>
      </w:r>
      <w:r>
        <w:rPr>
          <w:rFonts w:hint="eastAsia" w:ascii="宋体" w:hAnsi="宋体"/>
          <w:color w:val="auto"/>
          <w:sz w:val="24"/>
          <w:highlight w:val="none"/>
          <w:u w:val="single"/>
          <w:lang w:val="en-US" w:eastAsia="zh-CN"/>
        </w:rPr>
        <w:t>提交</w:t>
      </w:r>
      <w:r>
        <w:rPr>
          <w:rFonts w:hint="eastAsia" w:ascii="宋体" w:hAnsi="宋体"/>
          <w:color w:val="auto"/>
          <w:sz w:val="24"/>
          <w:highlight w:val="none"/>
          <w:u w:val="single"/>
          <w:lang w:eastAsia="zh-CN"/>
        </w:rPr>
        <w:t>时间截止前提前登入“苏采云”，通过系统在线提交电子磋商响应文件</w:t>
      </w:r>
      <w:r>
        <w:rPr>
          <w:rFonts w:hint="eastAsia" w:ascii="宋体" w:hAnsi="宋体" w:eastAsia="宋体" w:cs="宋体"/>
          <w:color w:val="auto"/>
          <w:sz w:val="24"/>
          <w:highlight w:val="none"/>
          <w:lang w:bidi="ar"/>
        </w:rPr>
        <w:t>。</w:t>
      </w:r>
    </w:p>
    <w:p w14:paraId="57D97FDE">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Times New Roman"/>
          <w:b/>
          <w:bCs/>
          <w:color w:val="auto"/>
          <w:sz w:val="24"/>
          <w:szCs w:val="24"/>
          <w:highlight w:val="none"/>
          <w:shd w:val="clear" w:color="auto" w:fill="auto"/>
        </w:rPr>
      </w:pPr>
      <w:r>
        <w:rPr>
          <w:rFonts w:hint="eastAsia" w:ascii="宋体" w:hAnsi="宋体" w:eastAsia="宋体" w:cs="Times New Roman"/>
          <w:b/>
          <w:bCs/>
          <w:color w:val="auto"/>
          <w:sz w:val="24"/>
          <w:szCs w:val="24"/>
          <w:highlight w:val="none"/>
          <w:shd w:val="clear" w:color="auto" w:fill="auto"/>
        </w:rPr>
        <w:t>五、开启</w:t>
      </w:r>
    </w:p>
    <w:p w14:paraId="5F32B0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Cs/>
          <w:color w:val="auto"/>
          <w:sz w:val="24"/>
          <w:highlight w:val="none"/>
          <w:u w:val="single"/>
        </w:rPr>
      </w:pPr>
      <w:bookmarkStart w:id="19" w:name="_Toc35393794"/>
      <w:bookmarkStart w:id="20" w:name="_Toc28359084"/>
      <w:bookmarkStart w:id="21" w:name="_Toc28359007"/>
      <w:bookmarkStart w:id="22" w:name="_Toc35393625"/>
      <w:r>
        <w:rPr>
          <w:rFonts w:hint="eastAsia" w:ascii="宋体" w:hAnsi="宋体" w:eastAsia="宋体" w:cs="宋体"/>
          <w:color w:val="auto"/>
          <w:sz w:val="24"/>
          <w:highlight w:val="none"/>
          <w:lang w:bidi="ar"/>
        </w:rPr>
        <w:t>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202</w:t>
      </w:r>
      <w:r>
        <w:rPr>
          <w:rFonts w:hint="eastAsia" w:ascii="宋体" w:hAnsi="宋体" w:cs="宋体"/>
          <w:color w:val="auto"/>
          <w:sz w:val="24"/>
          <w:highlight w:val="none"/>
          <w:u w:val="single"/>
          <w:lang w:val="en-US" w:eastAsia="zh-CN"/>
        </w:rPr>
        <w:t>6</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5</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18</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日</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9</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点</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00</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分</w:t>
      </w:r>
      <w:r>
        <w:rPr>
          <w:rFonts w:hint="eastAsia" w:ascii="宋体" w:hAnsi="宋体" w:eastAsia="宋体" w:cs="宋体"/>
          <w:bCs/>
          <w:color w:val="auto"/>
          <w:sz w:val="24"/>
          <w:highlight w:val="none"/>
          <w:lang w:bidi="ar"/>
        </w:rPr>
        <w:t>（北京时间）</w:t>
      </w:r>
      <w:r>
        <w:rPr>
          <w:rFonts w:hint="eastAsia" w:ascii="宋体" w:hAnsi="宋体" w:eastAsia="宋体" w:cs="宋体"/>
          <w:iCs/>
          <w:color w:val="auto"/>
          <w:sz w:val="24"/>
          <w:highlight w:val="none"/>
          <w:lang w:bidi="ar"/>
        </w:rPr>
        <w:t>。</w:t>
      </w:r>
    </w:p>
    <w:p w14:paraId="7DE7A4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地点：</w:t>
      </w:r>
      <w:r>
        <w:rPr>
          <w:rFonts w:hint="eastAsia" w:ascii="宋体" w:hAnsi="宋体"/>
          <w:color w:val="auto"/>
          <w:sz w:val="24"/>
          <w:highlight w:val="none"/>
          <w:u w:val="single"/>
          <w:lang w:eastAsia="zh-CN"/>
        </w:rPr>
        <w:t>“苏采云”政府采购交易系统网上开标大厅</w:t>
      </w:r>
      <w:r>
        <w:rPr>
          <w:rFonts w:hint="eastAsia" w:ascii="宋体" w:hAnsi="宋体" w:eastAsia="宋体" w:cs="宋体"/>
          <w:color w:val="auto"/>
          <w:sz w:val="24"/>
          <w:highlight w:val="none"/>
          <w:lang w:bidi="ar"/>
        </w:rPr>
        <w:t>。</w:t>
      </w:r>
    </w:p>
    <w:p w14:paraId="565D9489">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Times New Roman"/>
          <w:b/>
          <w:bCs/>
          <w:color w:val="auto"/>
          <w:sz w:val="24"/>
          <w:szCs w:val="24"/>
          <w:highlight w:val="none"/>
          <w:shd w:val="clear" w:color="auto" w:fill="auto"/>
        </w:rPr>
      </w:pPr>
      <w:r>
        <w:rPr>
          <w:rFonts w:hint="eastAsia" w:ascii="宋体" w:hAnsi="宋体" w:eastAsia="宋体" w:cs="Times New Roman"/>
          <w:b/>
          <w:bCs/>
          <w:color w:val="auto"/>
          <w:sz w:val="24"/>
          <w:szCs w:val="24"/>
          <w:highlight w:val="none"/>
          <w:shd w:val="clear" w:color="auto" w:fill="auto"/>
        </w:rPr>
        <w:t>六、公告期限</w:t>
      </w:r>
      <w:bookmarkEnd w:id="19"/>
      <w:bookmarkEnd w:id="20"/>
      <w:bookmarkEnd w:id="21"/>
      <w:bookmarkEnd w:id="22"/>
    </w:p>
    <w:p w14:paraId="51BBEC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shd w:val="clear" w:color="auto" w:fill="auto"/>
          <w:lang w:bidi="ar"/>
        </w:rPr>
      </w:pPr>
      <w:r>
        <w:rPr>
          <w:rFonts w:hint="eastAsia" w:ascii="宋体" w:hAnsi="宋体" w:eastAsia="宋体" w:cs="宋体"/>
          <w:color w:val="auto"/>
          <w:sz w:val="24"/>
          <w:highlight w:val="none"/>
          <w:shd w:val="clear" w:color="auto" w:fill="auto"/>
          <w:lang w:bidi="ar"/>
        </w:rPr>
        <w:t>自本公告发布之日起3个工作日。</w:t>
      </w:r>
    </w:p>
    <w:p w14:paraId="65FB11DF">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Times New Roman"/>
          <w:b/>
          <w:bCs/>
          <w:color w:val="auto"/>
          <w:sz w:val="24"/>
          <w:szCs w:val="24"/>
          <w:highlight w:val="none"/>
          <w:shd w:val="clear" w:color="auto" w:fill="auto"/>
        </w:rPr>
      </w:pPr>
      <w:bookmarkStart w:id="23" w:name="_Toc35393626"/>
      <w:bookmarkStart w:id="24" w:name="_Toc35393795"/>
      <w:r>
        <w:rPr>
          <w:rFonts w:hint="eastAsia" w:ascii="宋体" w:hAnsi="宋体" w:eastAsia="宋体" w:cs="Times New Roman"/>
          <w:b/>
          <w:bCs/>
          <w:color w:val="auto"/>
          <w:sz w:val="24"/>
          <w:szCs w:val="24"/>
          <w:highlight w:val="none"/>
          <w:shd w:val="clear" w:color="auto" w:fill="auto"/>
        </w:rPr>
        <w:t>七、其他补充事宜</w:t>
      </w:r>
      <w:bookmarkEnd w:id="23"/>
      <w:bookmarkEnd w:id="24"/>
    </w:p>
    <w:p w14:paraId="2AA66CD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1.本项目需要落实的政府采购政策：</w:t>
      </w:r>
      <w:r>
        <w:rPr>
          <w:rFonts w:hint="eastAsia" w:ascii="宋体" w:hAnsi="宋体" w:eastAsia="宋体" w:cs="宋体"/>
          <w:b w:val="0"/>
          <w:bCs w:val="0"/>
          <w:color w:val="auto"/>
          <w:sz w:val="24"/>
          <w:szCs w:val="24"/>
          <w:highlight w:val="none"/>
          <w:u w:val="single"/>
          <w:shd w:val="clear" w:color="auto" w:fill="auto"/>
        </w:rPr>
        <w:t xml:space="preserve"> </w:t>
      </w:r>
      <w:r>
        <w:rPr>
          <w:rFonts w:hint="eastAsia" w:ascii="宋体" w:hAnsi="宋体" w:cs="宋体"/>
          <w:b w:val="0"/>
          <w:bCs w:val="0"/>
          <w:color w:val="auto"/>
          <w:sz w:val="24"/>
          <w:szCs w:val="24"/>
          <w:highlight w:val="none"/>
          <w:u w:val="single"/>
          <w:shd w:val="clear" w:color="auto" w:fill="auto"/>
          <w:lang w:val="en-US" w:eastAsia="zh-CN"/>
        </w:rPr>
        <w:t xml:space="preserve"> / </w:t>
      </w:r>
      <w:r>
        <w:rPr>
          <w:rFonts w:hint="eastAsia" w:ascii="宋体" w:hAnsi="宋体" w:eastAsia="宋体" w:cs="宋体"/>
          <w:b w:val="0"/>
          <w:bCs w:val="0"/>
          <w:color w:val="auto"/>
          <w:sz w:val="24"/>
          <w:szCs w:val="24"/>
          <w:highlight w:val="none"/>
          <w:u w:val="single"/>
          <w:shd w:val="clear" w:color="auto" w:fill="auto"/>
          <w:lang w:val="en-US" w:eastAsia="zh-CN"/>
        </w:rPr>
        <w:t xml:space="preserve"> </w:t>
      </w:r>
      <w:r>
        <w:rPr>
          <w:rFonts w:hint="eastAsia" w:ascii="宋体" w:hAnsi="宋体" w:eastAsia="宋体" w:cs="宋体"/>
          <w:b w:val="0"/>
          <w:bCs w:val="0"/>
          <w:color w:val="auto"/>
          <w:sz w:val="24"/>
          <w:szCs w:val="24"/>
          <w:highlight w:val="none"/>
          <w:shd w:val="clear" w:color="auto" w:fill="auto"/>
        </w:rPr>
        <w:t>。</w:t>
      </w:r>
    </w:p>
    <w:p w14:paraId="36D252BE">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highlight w:val="none"/>
        </w:rPr>
      </w:pPr>
      <w:bookmarkStart w:id="25" w:name="_Toc28359085"/>
      <w:bookmarkStart w:id="26" w:name="_Toc35393627"/>
      <w:bookmarkStart w:id="27" w:name="_Toc28359008"/>
      <w:bookmarkStart w:id="28" w:name="_Toc35393796"/>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w:t>
      </w: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通过苏采云系统参与政府采购项目，需要更换CA数字证书和电子签章。</w:t>
      </w:r>
    </w:p>
    <w:p w14:paraId="206EBAF7">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w:t>
      </w:r>
      <w:r>
        <w:rPr>
          <w:rFonts w:hint="eastAsia" w:ascii="宋体" w:hAnsi="宋体" w:eastAsia="宋体" w:cs="宋体"/>
          <w:color w:val="auto"/>
          <w:sz w:val="24"/>
          <w:highlight w:val="none"/>
          <w:lang w:val="en-US" w:eastAsia="zh-CN"/>
        </w:rPr>
        <w:t>磋商响应文件</w:t>
      </w:r>
      <w:r>
        <w:rPr>
          <w:rFonts w:hint="eastAsia" w:ascii="宋体" w:hAnsi="宋体" w:eastAsia="宋体" w:cs="宋体"/>
          <w:color w:val="auto"/>
          <w:sz w:val="24"/>
          <w:highlight w:val="none"/>
        </w:rPr>
        <w:t>。</w:t>
      </w:r>
    </w:p>
    <w:p w14:paraId="0B215877">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.有关本次</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的事项若存在变动或修改，敬请及时关注“江苏政府采购网”、“常州市政府采购网”发布的更正公告。</w:t>
      </w:r>
    </w:p>
    <w:p w14:paraId="266AA166">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.本次</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不收取</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保证金。</w:t>
      </w:r>
    </w:p>
    <w:p w14:paraId="1C140DB1">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.注意事项</w:t>
      </w:r>
    </w:p>
    <w:p w14:paraId="759FE12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在</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highlight w:val="none"/>
        </w:rPr>
        <w:t>前应当使用“验证CA”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w:t>
      </w: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自行承担。</w:t>
      </w:r>
    </w:p>
    <w:p w14:paraId="533504EF">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供应商可以在“江苏政府采购网”或者“常州市政府采购网”自行免费下载采购文件，但本项目通过“苏采云”系统采用电子化不见面交易的模式，供应商通过“江苏政府采购网”或“常州市政府采购网”下载采购文件后，还必须登录“苏采云”系统按照获取采购文件方式要求进行登记、参与及下载电子采购文件方可通过系统进行磋商响应文件的编制和提交。</w:t>
      </w:r>
    </w:p>
    <w:p w14:paraId="74E21103">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jc w:val="left"/>
        <w:textAlignment w:val="auto"/>
        <w:outlineLvl w:val="9"/>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8.供应商在“苏采云”系统进行登记、参与及下载电子采购文件，选择“我要参与”点提交的日期视同为依法获取采购文件日期。报名成功后须打印、保留“投标供应商确认函”，质疑时“投标供应商确认函”与质疑函一并提交；未依照竞争性磋商公告要求实行网上报名的供应商，视为未参与该项政府采购活动，不具备对该政府采购项目提出质疑的法定权利，但因供应商资格条件或报名时间设定不符合有关法律法规规定等原因使供应商权益受损的除外。</w:t>
      </w:r>
    </w:p>
    <w:p w14:paraId="4D2AA14F">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9.如潜在供应商未按上述要求操作，将自行承担所产生的风险。</w:t>
      </w:r>
    </w:p>
    <w:p w14:paraId="57D8FC8F">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.关于常州市中小企业政府采购信用融资：</w:t>
      </w:r>
    </w:p>
    <w:p w14:paraId="3BF8A320">
      <w:pPr>
        <w:widowControl/>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38685F7A">
      <w:pPr>
        <w:widowControl/>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11.关于深入开展常州市政府采购线上合同信用融资：</w:t>
      </w:r>
    </w:p>
    <w:p w14:paraId="7FF7C07B">
      <w:pPr>
        <w:widowControl/>
        <w:spacing w:line="360" w:lineRule="auto"/>
        <w:ind w:firstLine="480" w:firstLineChars="200"/>
        <w:jc w:val="left"/>
        <w:rPr>
          <w:rFonts w:hint="eastAsia"/>
          <w:color w:val="auto"/>
          <w:highlight w:val="none"/>
        </w:rPr>
      </w:pPr>
      <w:r>
        <w:rPr>
          <w:rFonts w:hint="eastAsia" w:ascii="宋体" w:hAnsi="宋体" w:eastAsia="宋体" w:cs="宋体"/>
          <w:color w:val="auto"/>
          <w:sz w:val="24"/>
          <w:highlight w:val="none"/>
        </w:rPr>
        <w:t>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p>
    <w:p w14:paraId="61E3FA30">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Times New Roman"/>
          <w:b/>
          <w:bCs/>
          <w:color w:val="auto"/>
          <w:sz w:val="24"/>
          <w:szCs w:val="24"/>
          <w:highlight w:val="none"/>
          <w:shd w:val="clear" w:color="auto" w:fill="auto"/>
        </w:rPr>
      </w:pPr>
      <w:r>
        <w:rPr>
          <w:rFonts w:hint="eastAsia" w:ascii="宋体" w:hAnsi="宋体" w:eastAsia="宋体" w:cs="Times New Roman"/>
          <w:b/>
          <w:bCs/>
          <w:color w:val="auto"/>
          <w:sz w:val="24"/>
          <w:szCs w:val="24"/>
          <w:highlight w:val="none"/>
          <w:shd w:val="clear" w:color="auto" w:fill="auto"/>
        </w:rPr>
        <w:t>八、对本项目提出询问，请按以下方式联系。</w:t>
      </w:r>
      <w:bookmarkEnd w:id="25"/>
      <w:bookmarkEnd w:id="26"/>
      <w:bookmarkEnd w:id="27"/>
      <w:bookmarkEnd w:id="28"/>
    </w:p>
    <w:p w14:paraId="0C523A06">
      <w:pPr>
        <w:keepNext w:val="0"/>
        <w:keepLines w:val="0"/>
        <w:pageBreakBefore w:val="0"/>
        <w:widowControl/>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auto"/>
          <w:sz w:val="24"/>
          <w:highlight w:val="none"/>
          <w:shd w:val="clear" w:color="auto" w:fill="auto"/>
          <w:lang w:val="zh-TW" w:bidi="ar"/>
        </w:rPr>
      </w:pPr>
      <w:r>
        <w:rPr>
          <w:rFonts w:hint="eastAsia" w:ascii="宋体" w:hAnsi="宋体" w:eastAsia="宋体" w:cs="宋体"/>
          <w:b/>
          <w:bCs/>
          <w:color w:val="auto"/>
          <w:sz w:val="24"/>
          <w:highlight w:val="none"/>
          <w:shd w:val="clear" w:color="auto" w:fill="auto"/>
          <w:lang w:val="zh-TW" w:bidi="ar"/>
        </w:rPr>
        <w:t>1.采购人信息</w:t>
      </w:r>
    </w:p>
    <w:p w14:paraId="7EB506C4">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highlight w:val="none"/>
          <w:shd w:val="clear" w:color="auto" w:fill="auto"/>
          <w:lang w:val="zh-TW" w:bidi="ar"/>
        </w:rPr>
      </w:pPr>
      <w:r>
        <w:rPr>
          <w:rFonts w:hint="eastAsia" w:ascii="宋体" w:hAnsi="宋体" w:eastAsia="宋体" w:cs="宋体"/>
          <w:color w:val="auto"/>
          <w:sz w:val="24"/>
          <w:highlight w:val="none"/>
          <w:shd w:val="clear" w:color="auto" w:fill="auto"/>
          <w:lang w:val="zh-TW" w:bidi="ar"/>
        </w:rPr>
        <w:t>名    称：</w:t>
      </w:r>
      <w:r>
        <w:rPr>
          <w:rFonts w:hint="eastAsia" w:ascii="宋体" w:hAnsi="宋体" w:eastAsia="宋体" w:cs="宋体"/>
          <w:color w:val="auto"/>
          <w:sz w:val="24"/>
          <w:highlight w:val="none"/>
          <w:u w:val="single"/>
          <w:shd w:val="clear" w:color="auto" w:fill="auto"/>
          <w:lang w:val="zh-TW" w:bidi="ar"/>
        </w:rPr>
        <w:t xml:space="preserve"> </w:t>
      </w:r>
      <w:r>
        <w:rPr>
          <w:rFonts w:hint="eastAsia" w:ascii="宋体" w:hAnsi="宋体" w:cs="宋体"/>
          <w:color w:val="auto"/>
          <w:sz w:val="24"/>
          <w:highlight w:val="none"/>
          <w:u w:val="single"/>
          <w:shd w:val="clear" w:color="auto" w:fill="auto"/>
          <w:lang w:val="en-US" w:eastAsia="zh-CN" w:bidi="ar"/>
        </w:rPr>
        <w:t>常州市天宁区郑陆镇人民政府</w:t>
      </w:r>
      <w:r>
        <w:rPr>
          <w:rFonts w:hint="eastAsia" w:ascii="宋体" w:hAnsi="宋体" w:eastAsia="宋体" w:cs="宋体"/>
          <w:color w:val="auto"/>
          <w:sz w:val="24"/>
          <w:highlight w:val="none"/>
          <w:u w:val="single"/>
          <w:shd w:val="clear" w:color="auto" w:fill="auto"/>
          <w:lang w:val="en-US" w:eastAsia="zh-CN" w:bidi="ar"/>
        </w:rPr>
        <w:t xml:space="preserve"> </w:t>
      </w:r>
    </w:p>
    <w:p w14:paraId="55CE670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default" w:ascii="宋体" w:hAnsi="宋体" w:eastAsia="宋体" w:cs="宋体"/>
          <w:color w:val="auto"/>
          <w:sz w:val="24"/>
          <w:highlight w:val="none"/>
          <w:u w:val="single"/>
          <w:lang w:val="en-US" w:eastAsia="zh-CN" w:bidi="ar"/>
        </w:rPr>
      </w:pPr>
      <w:r>
        <w:rPr>
          <w:rFonts w:hint="eastAsia" w:ascii="宋体" w:hAnsi="宋体" w:eastAsia="宋体" w:cs="宋体"/>
          <w:color w:val="auto"/>
          <w:sz w:val="24"/>
          <w:highlight w:val="none"/>
          <w:lang w:val="zh-TW" w:bidi="ar"/>
        </w:rPr>
        <w:t>地    址：</w:t>
      </w:r>
      <w:r>
        <w:rPr>
          <w:rFonts w:hint="eastAsia" w:ascii="宋体" w:hAnsi="宋体" w:eastAsia="宋体" w:cs="宋体"/>
          <w:color w:val="auto"/>
          <w:sz w:val="24"/>
          <w:highlight w:val="none"/>
          <w:u w:val="single"/>
          <w:lang w:val="zh-TW" w:bidi="ar"/>
        </w:rPr>
        <w:t xml:space="preserve"> </w:t>
      </w:r>
      <w:r>
        <w:rPr>
          <w:rFonts w:hint="eastAsia" w:ascii="宋体" w:hAnsi="宋体" w:eastAsia="宋体" w:cs="宋体"/>
          <w:color w:val="auto"/>
          <w:sz w:val="24"/>
          <w:highlight w:val="none"/>
          <w:u w:val="single"/>
          <w:lang w:val="en-US" w:eastAsia="zh-CN" w:bidi="ar"/>
        </w:rPr>
        <w:t xml:space="preserve">常州市天宁区郑陆镇镇南路19号 </w:t>
      </w:r>
    </w:p>
    <w:p w14:paraId="1DB536ED">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lang w:val="zh-TW" w:bidi="ar"/>
        </w:rPr>
        <w:t>联系方式：</w:t>
      </w:r>
      <w:r>
        <w:rPr>
          <w:rFonts w:hint="eastAsia" w:ascii="宋体" w:hAnsi="宋体" w:eastAsia="宋体" w:cs="宋体"/>
          <w:color w:val="auto"/>
          <w:sz w:val="24"/>
          <w:highlight w:val="none"/>
          <w:u w:val="single"/>
          <w:lang w:val="zh-TW" w:bidi="ar"/>
        </w:rPr>
        <w:t xml:space="preserve"> </w:t>
      </w:r>
      <w:r>
        <w:rPr>
          <w:rFonts w:hint="eastAsia" w:ascii="宋体" w:hAnsi="宋体" w:eastAsia="宋体" w:cs="宋体"/>
          <w:color w:val="auto"/>
          <w:sz w:val="24"/>
          <w:highlight w:val="none"/>
          <w:u w:val="single"/>
          <w:lang w:val="en-US" w:eastAsia="zh-CN" w:bidi="ar"/>
        </w:rPr>
        <w:t xml:space="preserve">顾先生、0519-88969303 </w:t>
      </w:r>
    </w:p>
    <w:p w14:paraId="32A31C8D">
      <w:pPr>
        <w:keepNext w:val="0"/>
        <w:keepLines w:val="0"/>
        <w:pageBreakBefore w:val="0"/>
        <w:widowControl/>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auto"/>
          <w:sz w:val="24"/>
          <w:highlight w:val="none"/>
          <w:shd w:val="clear" w:color="auto" w:fill="auto"/>
          <w:lang w:val="zh-TW" w:bidi="ar"/>
        </w:rPr>
      </w:pPr>
      <w:r>
        <w:rPr>
          <w:rFonts w:hint="eastAsia" w:ascii="宋体" w:hAnsi="宋体" w:eastAsia="宋体" w:cs="宋体"/>
          <w:b/>
          <w:bCs/>
          <w:color w:val="auto"/>
          <w:sz w:val="24"/>
          <w:highlight w:val="none"/>
          <w:shd w:val="clear" w:color="auto" w:fill="auto"/>
          <w:lang w:val="zh-TW" w:bidi="ar"/>
        </w:rPr>
        <w:t>2.采购代理机构信息</w:t>
      </w:r>
    </w:p>
    <w:p w14:paraId="08502B03">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highlight w:val="none"/>
          <w:shd w:val="clear" w:color="auto" w:fill="auto"/>
          <w:lang w:val="zh-TW" w:bidi="ar"/>
        </w:rPr>
      </w:pPr>
      <w:r>
        <w:rPr>
          <w:rFonts w:hint="eastAsia" w:ascii="宋体" w:hAnsi="宋体" w:eastAsia="宋体" w:cs="宋体"/>
          <w:color w:val="auto"/>
          <w:sz w:val="24"/>
          <w:highlight w:val="none"/>
          <w:shd w:val="clear" w:color="auto" w:fill="auto"/>
          <w:lang w:val="zh-TW" w:bidi="ar"/>
        </w:rPr>
        <w:t>名    称：</w:t>
      </w:r>
      <w:r>
        <w:rPr>
          <w:rFonts w:hint="eastAsia" w:ascii="宋体" w:hAnsi="宋体" w:eastAsia="宋体" w:cs="宋体"/>
          <w:color w:val="auto"/>
          <w:sz w:val="24"/>
          <w:highlight w:val="none"/>
          <w:u w:val="single"/>
          <w:shd w:val="clear" w:color="auto" w:fill="auto"/>
          <w:lang w:val="zh-TW" w:bidi="ar"/>
        </w:rPr>
        <w:t xml:space="preserve"> 江苏尚阳工程管理有限公司</w:t>
      </w:r>
      <w:r>
        <w:rPr>
          <w:rFonts w:hint="eastAsia" w:ascii="宋体" w:hAnsi="宋体" w:eastAsia="宋体" w:cs="宋体"/>
          <w:color w:val="auto"/>
          <w:sz w:val="24"/>
          <w:highlight w:val="none"/>
          <w:u w:val="single"/>
          <w:shd w:val="clear" w:color="auto" w:fill="auto"/>
          <w:lang w:val="en-US" w:eastAsia="zh-CN" w:bidi="ar"/>
        </w:rPr>
        <w:t xml:space="preserve"> </w:t>
      </w:r>
    </w:p>
    <w:p w14:paraId="3284145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highlight w:val="none"/>
          <w:shd w:val="clear" w:color="auto" w:fill="auto"/>
          <w:lang w:val="zh-TW" w:bidi="ar"/>
        </w:rPr>
      </w:pPr>
      <w:r>
        <w:rPr>
          <w:rFonts w:hint="eastAsia" w:ascii="宋体" w:hAnsi="宋体" w:eastAsia="宋体" w:cs="宋体"/>
          <w:color w:val="auto"/>
          <w:sz w:val="24"/>
          <w:highlight w:val="none"/>
          <w:shd w:val="clear" w:color="auto" w:fill="auto"/>
          <w:lang w:val="zh-TW" w:bidi="ar"/>
        </w:rPr>
        <w:t>地    址：</w:t>
      </w:r>
      <w:r>
        <w:rPr>
          <w:rFonts w:hint="eastAsia" w:ascii="宋体" w:hAnsi="宋体" w:eastAsia="宋体" w:cs="宋体"/>
          <w:color w:val="auto"/>
          <w:sz w:val="24"/>
          <w:highlight w:val="none"/>
          <w:u w:val="single"/>
          <w:shd w:val="clear" w:color="auto" w:fill="auto"/>
          <w:lang w:val="zh-TW" w:bidi="ar"/>
        </w:rPr>
        <w:t xml:space="preserve"> </w:t>
      </w:r>
      <w:r>
        <w:rPr>
          <w:rFonts w:hint="eastAsia" w:ascii="宋体" w:hAnsi="宋体" w:eastAsia="宋体" w:cs="宋体"/>
          <w:color w:val="auto"/>
          <w:sz w:val="24"/>
          <w:highlight w:val="none"/>
          <w:u w:val="single"/>
          <w:shd w:val="clear" w:color="auto" w:fill="auto"/>
          <w:lang w:val="zh-TW" w:eastAsia="zh-CN" w:bidi="ar"/>
        </w:rPr>
        <w:t>常州市新北区嵩山路1-301号（太湖明珠苑综合市场3楼）</w:t>
      </w:r>
      <w:r>
        <w:rPr>
          <w:rFonts w:hint="eastAsia" w:ascii="宋体" w:hAnsi="宋体" w:eastAsia="宋体" w:cs="宋体"/>
          <w:color w:val="auto"/>
          <w:sz w:val="24"/>
          <w:highlight w:val="none"/>
          <w:u w:val="single"/>
          <w:shd w:val="clear" w:color="auto" w:fill="auto"/>
          <w:lang w:val="en-US" w:eastAsia="zh-CN" w:bidi="ar"/>
        </w:rPr>
        <w:t xml:space="preserve"> </w:t>
      </w:r>
    </w:p>
    <w:p w14:paraId="41A9F678">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highlight w:val="none"/>
          <w:shd w:val="clear" w:color="auto" w:fill="auto"/>
          <w:lang w:val="zh-TW" w:bidi="ar"/>
        </w:rPr>
      </w:pPr>
      <w:r>
        <w:rPr>
          <w:rFonts w:hint="eastAsia" w:ascii="宋体" w:hAnsi="宋体" w:eastAsia="宋体" w:cs="宋体"/>
          <w:color w:val="auto"/>
          <w:sz w:val="24"/>
          <w:highlight w:val="none"/>
          <w:shd w:val="clear" w:color="auto" w:fill="auto"/>
          <w:lang w:val="zh-TW" w:bidi="ar"/>
        </w:rPr>
        <w:t>联系方式：</w:t>
      </w:r>
      <w:r>
        <w:rPr>
          <w:rFonts w:hint="eastAsia" w:ascii="宋体" w:hAnsi="宋体" w:eastAsia="宋体" w:cs="宋体"/>
          <w:color w:val="auto"/>
          <w:sz w:val="24"/>
          <w:highlight w:val="none"/>
          <w:u w:val="single"/>
          <w:shd w:val="clear" w:color="auto" w:fill="auto"/>
          <w:lang w:val="zh-TW" w:bidi="ar"/>
        </w:rPr>
        <w:t xml:space="preserve"> 0519-88818225</w:t>
      </w:r>
      <w:r>
        <w:rPr>
          <w:rFonts w:hint="eastAsia" w:ascii="宋体" w:hAnsi="宋体" w:eastAsia="宋体" w:cs="宋体"/>
          <w:color w:val="auto"/>
          <w:sz w:val="24"/>
          <w:highlight w:val="none"/>
          <w:u w:val="single"/>
          <w:shd w:val="clear" w:color="auto" w:fill="auto"/>
          <w:lang w:val="en-US" w:eastAsia="zh-CN" w:bidi="ar"/>
        </w:rPr>
        <w:t xml:space="preserve"> </w:t>
      </w:r>
    </w:p>
    <w:p w14:paraId="22C3AAF0">
      <w:pPr>
        <w:keepNext w:val="0"/>
        <w:keepLines w:val="0"/>
        <w:pageBreakBefore w:val="0"/>
        <w:widowControl/>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auto"/>
          <w:sz w:val="24"/>
          <w:highlight w:val="none"/>
          <w:shd w:val="clear" w:color="auto" w:fill="auto"/>
          <w:lang w:val="zh-TW" w:bidi="ar"/>
        </w:rPr>
      </w:pPr>
      <w:r>
        <w:rPr>
          <w:rFonts w:hint="eastAsia" w:ascii="宋体" w:hAnsi="宋体" w:eastAsia="宋体" w:cs="宋体"/>
          <w:b/>
          <w:bCs/>
          <w:color w:val="auto"/>
          <w:sz w:val="24"/>
          <w:highlight w:val="none"/>
          <w:shd w:val="clear" w:color="auto" w:fill="auto"/>
          <w:lang w:val="zh-TW" w:bidi="ar"/>
        </w:rPr>
        <w:t>3.项目联系方式</w:t>
      </w:r>
    </w:p>
    <w:p w14:paraId="33C77BDB">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highlight w:val="none"/>
          <w:shd w:val="clear" w:color="auto" w:fill="auto"/>
          <w:lang w:val="zh-TW" w:bidi="ar"/>
        </w:rPr>
      </w:pPr>
      <w:r>
        <w:rPr>
          <w:rFonts w:hint="eastAsia" w:ascii="宋体" w:hAnsi="宋体" w:eastAsia="宋体" w:cs="宋体"/>
          <w:color w:val="auto"/>
          <w:sz w:val="24"/>
          <w:highlight w:val="none"/>
          <w:shd w:val="clear" w:color="auto" w:fill="auto"/>
          <w:lang w:val="zh-TW" w:bidi="ar"/>
        </w:rPr>
        <w:t>项目联系人：</w:t>
      </w:r>
      <w:r>
        <w:rPr>
          <w:rFonts w:hint="eastAsia" w:ascii="宋体" w:hAnsi="宋体" w:eastAsia="宋体" w:cs="宋体"/>
          <w:color w:val="auto"/>
          <w:sz w:val="24"/>
          <w:highlight w:val="none"/>
          <w:u w:val="single"/>
          <w:shd w:val="clear" w:color="auto" w:fill="auto"/>
          <w:lang w:val="zh-TW" w:bidi="ar"/>
        </w:rPr>
        <w:t xml:space="preserve"> </w:t>
      </w:r>
      <w:r>
        <w:rPr>
          <w:rFonts w:hint="eastAsia" w:ascii="宋体" w:hAnsi="宋体" w:eastAsia="宋体" w:cs="宋体"/>
          <w:color w:val="auto"/>
          <w:sz w:val="24"/>
          <w:highlight w:val="none"/>
          <w:u w:val="single"/>
          <w:shd w:val="clear" w:color="auto" w:fill="auto"/>
          <w:lang w:val="en-US" w:eastAsia="zh-CN" w:bidi="ar"/>
        </w:rPr>
        <w:t xml:space="preserve">嵇玲 </w:t>
      </w:r>
    </w:p>
    <w:p w14:paraId="3029D9D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highlight w:val="none"/>
          <w:shd w:val="clear" w:color="auto" w:fill="auto"/>
          <w:lang w:val="zh-TW" w:bidi="ar"/>
        </w:rPr>
      </w:pPr>
      <w:r>
        <w:rPr>
          <w:rFonts w:hint="eastAsia" w:ascii="宋体" w:hAnsi="宋体" w:eastAsia="宋体" w:cs="宋体"/>
          <w:color w:val="auto"/>
          <w:sz w:val="24"/>
          <w:highlight w:val="none"/>
          <w:shd w:val="clear" w:color="auto" w:fill="auto"/>
          <w:lang w:val="zh-TW" w:bidi="ar"/>
        </w:rPr>
        <w:t>电      话：</w:t>
      </w:r>
      <w:r>
        <w:rPr>
          <w:rFonts w:hint="eastAsia" w:ascii="宋体" w:hAnsi="宋体" w:eastAsia="宋体" w:cs="宋体"/>
          <w:color w:val="auto"/>
          <w:sz w:val="24"/>
          <w:highlight w:val="none"/>
          <w:u w:val="single"/>
          <w:shd w:val="clear" w:color="auto" w:fill="auto"/>
          <w:lang w:val="zh-TW" w:bidi="ar"/>
        </w:rPr>
        <w:t xml:space="preserve"> </w:t>
      </w:r>
      <w:r>
        <w:rPr>
          <w:rFonts w:hint="eastAsia" w:ascii="宋体" w:hAnsi="宋体" w:eastAsia="宋体" w:cs="宋体"/>
          <w:color w:val="auto"/>
          <w:sz w:val="24"/>
          <w:highlight w:val="none"/>
          <w:u w:val="single"/>
          <w:shd w:val="clear" w:color="auto" w:fill="auto"/>
          <w:lang w:val="zh-TW" w:eastAsia="zh-CN" w:bidi="ar"/>
        </w:rPr>
        <w:t>0519-88818295（8000）</w:t>
      </w:r>
      <w:r>
        <w:rPr>
          <w:rFonts w:hint="eastAsia" w:ascii="宋体" w:hAnsi="宋体" w:eastAsia="宋体" w:cs="宋体"/>
          <w:color w:val="auto"/>
          <w:sz w:val="24"/>
          <w:highlight w:val="none"/>
          <w:u w:val="single"/>
          <w:shd w:val="clear" w:color="auto" w:fill="auto"/>
          <w:lang w:val="en-US" w:eastAsia="zh-CN" w:bidi="ar"/>
        </w:rPr>
        <w:t xml:space="preserve"> </w:t>
      </w:r>
    </w:p>
    <w:p w14:paraId="099E6553">
      <w:pPr>
        <w:keepNext w:val="0"/>
        <w:keepLines w:val="0"/>
        <w:pageBreakBefore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color w:val="auto"/>
          <w:sz w:val="24"/>
          <w:highlight w:val="none"/>
          <w:shd w:val="clear" w:color="auto" w:fill="auto"/>
        </w:rPr>
        <w:sectPr>
          <w:footerReference r:id="rId9" w:type="first"/>
          <w:footerReference r:id="rId8" w:type="default"/>
          <w:pgSz w:w="11907" w:h="16840"/>
          <w:pgMar w:top="1418" w:right="1134" w:bottom="1418" w:left="1701" w:header="851" w:footer="851" w:gutter="0"/>
          <w:pgNumType w:fmt="decimal" w:start="1"/>
          <w:cols w:space="720" w:num="1"/>
          <w:titlePg/>
          <w:docGrid w:linePitch="462" w:charSpace="0"/>
        </w:sectPr>
      </w:pPr>
    </w:p>
    <w:p w14:paraId="597A98BC">
      <w:pPr>
        <w:keepNext w:val="0"/>
        <w:keepLines w:val="0"/>
        <w:pageBreakBefore w:val="0"/>
        <w:kinsoku/>
        <w:wordWrap/>
        <w:overflowPunct/>
        <w:topLinePunct w:val="0"/>
        <w:autoSpaceDE/>
        <w:autoSpaceDN/>
        <w:bidi w:val="0"/>
        <w:adjustRightInd/>
        <w:snapToGrid/>
        <w:spacing w:line="360" w:lineRule="auto"/>
        <w:jc w:val="center"/>
        <w:textAlignment w:val="auto"/>
        <w:outlineLvl w:val="0"/>
        <w:rPr>
          <w:b/>
          <w:color w:val="auto"/>
          <w:sz w:val="36"/>
          <w:szCs w:val="36"/>
          <w:highlight w:val="none"/>
          <w:shd w:val="clear" w:color="auto" w:fill="auto"/>
        </w:rPr>
      </w:pPr>
      <w:bookmarkStart w:id="29" w:name="_Toc150774783"/>
      <w:bookmarkStart w:id="30" w:name="_Toc264969275"/>
      <w:bookmarkStart w:id="31" w:name="_Toc226965856"/>
      <w:bookmarkStart w:id="32" w:name="_Toc353873938"/>
      <w:bookmarkStart w:id="33" w:name="_Toc127151777"/>
      <w:bookmarkStart w:id="34" w:name="_Toc265228423"/>
      <w:bookmarkStart w:id="35" w:name="_Toc127161488"/>
      <w:bookmarkStart w:id="36" w:name="_Toc512937850"/>
      <w:bookmarkStart w:id="37" w:name="_Toc195842950"/>
      <w:bookmarkStart w:id="38" w:name="_Toc353825548"/>
      <w:bookmarkStart w:id="39" w:name="_Toc305158928"/>
      <w:bookmarkStart w:id="40" w:name="_Toc6147"/>
      <w:bookmarkStart w:id="41" w:name="_Toc305158854"/>
      <w:r>
        <w:rPr>
          <w:b/>
          <w:color w:val="auto"/>
          <w:sz w:val="36"/>
          <w:szCs w:val="36"/>
          <w:highlight w:val="none"/>
          <w:shd w:val="clear" w:color="auto" w:fill="auto"/>
        </w:rPr>
        <w:t>第二章   供应商须知</w:t>
      </w:r>
      <w:bookmarkEnd w:id="29"/>
      <w:bookmarkEnd w:id="30"/>
      <w:bookmarkEnd w:id="31"/>
      <w:bookmarkEnd w:id="32"/>
      <w:bookmarkEnd w:id="33"/>
      <w:bookmarkEnd w:id="34"/>
      <w:bookmarkEnd w:id="35"/>
      <w:bookmarkEnd w:id="36"/>
      <w:bookmarkEnd w:id="37"/>
      <w:bookmarkEnd w:id="38"/>
      <w:bookmarkEnd w:id="39"/>
      <w:bookmarkEnd w:id="40"/>
      <w:bookmarkEnd w:id="41"/>
    </w:p>
    <w:p w14:paraId="17B04010">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Times New Roman"/>
          <w:b/>
          <w:bCs/>
          <w:color w:val="auto"/>
          <w:sz w:val="28"/>
          <w:szCs w:val="28"/>
          <w:highlight w:val="none"/>
          <w:shd w:val="clear" w:color="auto" w:fill="auto"/>
          <w:lang w:val="en-US" w:eastAsia="zh-CN"/>
        </w:rPr>
      </w:pPr>
      <w:bookmarkStart w:id="42" w:name="_Toc142311021"/>
      <w:bookmarkStart w:id="43" w:name="_Toc151190146"/>
      <w:bookmarkStart w:id="44" w:name="_Toc195842884"/>
      <w:bookmarkStart w:id="45" w:name="_Toc226337215"/>
      <w:bookmarkStart w:id="46" w:name="_Toc520356144"/>
      <w:bookmarkStart w:id="47" w:name="_Toc164351613"/>
      <w:bookmarkStart w:id="48" w:name="_Toc226965709"/>
      <w:bookmarkStart w:id="49" w:name="_Toc150774619"/>
      <w:bookmarkStart w:id="50" w:name="_Toc127151519"/>
      <w:bookmarkStart w:id="51" w:name="_Toc127151720"/>
      <w:bookmarkStart w:id="52" w:name="_Toc151193689"/>
      <w:bookmarkStart w:id="53" w:name="_Toc149720812"/>
      <w:bookmarkStart w:id="54" w:name="_Toc164229214"/>
      <w:bookmarkStart w:id="55" w:name="_Toc150480757"/>
      <w:bookmarkStart w:id="56" w:name="_Toc164229360"/>
      <w:bookmarkStart w:id="57" w:name="_Toc164608788"/>
      <w:bookmarkStart w:id="58" w:name="_Toc150774724"/>
      <w:bookmarkStart w:id="59" w:name="_Toc150509270"/>
      <w:bookmarkStart w:id="60" w:name="_Toc226965792"/>
      <w:bookmarkStart w:id="61" w:name="_Toc151193833"/>
      <w:bookmarkStart w:id="62" w:name="_Toc151193761"/>
      <w:bookmarkStart w:id="63" w:name="_Toc164608633"/>
      <w:bookmarkStart w:id="64" w:name="_Toc151193907"/>
      <w:bookmarkStart w:id="65" w:name="_Toc151193617"/>
      <w:bookmarkStart w:id="66" w:name="_Toc226309763"/>
      <w:bookmarkStart w:id="67" w:name="_Toc127161433"/>
      <w:r>
        <w:rPr>
          <w:rFonts w:hint="eastAsia" w:ascii="宋体" w:hAnsi="宋体" w:eastAsia="宋体" w:cs="Times New Roman"/>
          <w:b/>
          <w:bCs/>
          <w:color w:val="auto"/>
          <w:sz w:val="28"/>
          <w:szCs w:val="28"/>
          <w:highlight w:val="none"/>
          <w:shd w:val="clear" w:color="auto" w:fill="auto"/>
          <w:lang w:val="en-US" w:eastAsia="zh-CN"/>
        </w:rPr>
        <w:t>供应商须知资料表</w:t>
      </w:r>
    </w:p>
    <w:p w14:paraId="7822D649">
      <w:pPr>
        <w:jc w:val="center"/>
        <w:rPr>
          <w:b/>
          <w:color w:val="auto"/>
          <w:sz w:val="28"/>
          <w:szCs w:val="28"/>
          <w:highlight w:val="none"/>
          <w:shd w:val="clear" w:color="auto" w:fill="auto"/>
        </w:rPr>
      </w:pPr>
    </w:p>
    <w:p w14:paraId="5E2CA75A">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highlight w:val="none"/>
          <w:shd w:val="clear" w:color="auto" w:fill="auto"/>
          <w:lang w:val="zh-TW" w:bidi="ar"/>
        </w:rPr>
      </w:pPr>
      <w:r>
        <w:rPr>
          <w:rFonts w:hint="eastAsia" w:ascii="宋体" w:hAnsi="宋体" w:eastAsia="宋体" w:cs="宋体"/>
          <w:color w:val="auto"/>
          <w:sz w:val="24"/>
          <w:highlight w:val="none"/>
          <w:shd w:val="clear" w:color="auto" w:fill="auto"/>
          <w:lang w:val="zh-TW" w:bidi="ar"/>
        </w:rPr>
        <w:t>本表是对供应商须知的具体补充和修改，如有矛盾，均以本资料表为准。标记“■”的选项意为适用于本项目，标记“□”的选项意为不适用于本项目。</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2BD11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7CF9E22C">
            <w:pPr>
              <w:jc w:val="center"/>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条款号</w:t>
            </w:r>
          </w:p>
        </w:tc>
        <w:tc>
          <w:tcPr>
            <w:tcW w:w="1701" w:type="dxa"/>
            <w:noWrap w:val="0"/>
            <w:vAlign w:val="center"/>
          </w:tcPr>
          <w:p w14:paraId="472A5FE6">
            <w:pPr>
              <w:jc w:val="center"/>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条目</w:t>
            </w:r>
          </w:p>
        </w:tc>
        <w:tc>
          <w:tcPr>
            <w:tcW w:w="7253" w:type="dxa"/>
            <w:noWrap w:val="0"/>
            <w:vAlign w:val="center"/>
          </w:tcPr>
          <w:p w14:paraId="573D78BF">
            <w:pPr>
              <w:jc w:val="center"/>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内容</w:t>
            </w:r>
          </w:p>
        </w:tc>
      </w:tr>
      <w:tr w14:paraId="29F87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76ECD93">
            <w:pPr>
              <w:pStyle w:val="8"/>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2.2</w:t>
            </w:r>
          </w:p>
        </w:tc>
        <w:tc>
          <w:tcPr>
            <w:tcW w:w="1701" w:type="dxa"/>
            <w:noWrap w:val="0"/>
            <w:vAlign w:val="center"/>
          </w:tcPr>
          <w:p w14:paraId="36979CFC">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项目属性</w:t>
            </w:r>
          </w:p>
        </w:tc>
        <w:tc>
          <w:tcPr>
            <w:tcW w:w="7253" w:type="dxa"/>
            <w:noWrap w:val="0"/>
            <w:vAlign w:val="center"/>
          </w:tcPr>
          <w:p w14:paraId="74D83CE6">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项目属性：</w:t>
            </w:r>
          </w:p>
          <w:p w14:paraId="4C944052">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□服务</w:t>
            </w:r>
          </w:p>
          <w:p w14:paraId="503C6CB8">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□货物</w:t>
            </w:r>
          </w:p>
          <w:p w14:paraId="0A83D55F">
            <w:pPr>
              <w:jc w:val="left"/>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■工程</w:t>
            </w:r>
          </w:p>
        </w:tc>
      </w:tr>
      <w:tr w14:paraId="03D0F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noWrap w:val="0"/>
            <w:vAlign w:val="center"/>
          </w:tcPr>
          <w:p w14:paraId="7C9C4324">
            <w:pPr>
              <w:pStyle w:val="8"/>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w:t>
            </w:r>
          </w:p>
        </w:tc>
        <w:tc>
          <w:tcPr>
            <w:tcW w:w="1701" w:type="dxa"/>
            <w:noWrap w:val="0"/>
            <w:vAlign w:val="center"/>
          </w:tcPr>
          <w:p w14:paraId="060522DB">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现场考察</w:t>
            </w:r>
          </w:p>
        </w:tc>
        <w:tc>
          <w:tcPr>
            <w:tcW w:w="7253" w:type="dxa"/>
            <w:noWrap w:val="0"/>
            <w:vAlign w:val="center"/>
          </w:tcPr>
          <w:p w14:paraId="3372BC97">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■不组织</w:t>
            </w:r>
          </w:p>
          <w:p w14:paraId="76EDDDBA">
            <w:pPr>
              <w:jc w:val="left"/>
              <w:rPr>
                <w:rFonts w:hint="eastAsia" w:ascii="宋体" w:hAnsi="宋体" w:eastAsia="宋体" w:cs="宋体"/>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□组织，考察时间：</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bidi="ar"/>
              </w:rPr>
              <w:t>年</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bidi="ar"/>
              </w:rPr>
              <w:t>月</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bidi="ar"/>
              </w:rPr>
              <w:t>日</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bidi="ar"/>
              </w:rPr>
              <w:t>点</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bidi="ar"/>
              </w:rPr>
              <w:t>分</w:t>
            </w:r>
          </w:p>
          <w:p w14:paraId="4B9542EE">
            <w:pPr>
              <w:pStyle w:val="8"/>
              <w:adjustRightInd w:val="0"/>
              <w:snapToGrid w:val="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考察地点：</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w:t>
            </w:r>
          </w:p>
        </w:tc>
      </w:tr>
      <w:tr w14:paraId="3ADE7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noWrap w:val="0"/>
            <w:vAlign w:val="center"/>
          </w:tcPr>
          <w:p w14:paraId="38EC17DD">
            <w:pPr>
              <w:pStyle w:val="8"/>
              <w:adjustRightInd w:val="0"/>
              <w:snapToGrid w:val="0"/>
              <w:jc w:val="center"/>
              <w:rPr>
                <w:rFonts w:hint="eastAsia" w:ascii="宋体" w:hAnsi="宋体" w:eastAsia="宋体" w:cs="宋体"/>
                <w:color w:val="auto"/>
                <w:sz w:val="24"/>
                <w:szCs w:val="24"/>
                <w:highlight w:val="none"/>
                <w:shd w:val="clear" w:color="auto" w:fill="auto"/>
              </w:rPr>
            </w:pPr>
          </w:p>
        </w:tc>
        <w:tc>
          <w:tcPr>
            <w:tcW w:w="1701" w:type="dxa"/>
            <w:noWrap w:val="0"/>
            <w:vAlign w:val="center"/>
          </w:tcPr>
          <w:p w14:paraId="1044BA22">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磋商前答疑会</w:t>
            </w:r>
          </w:p>
        </w:tc>
        <w:tc>
          <w:tcPr>
            <w:tcW w:w="7253" w:type="dxa"/>
            <w:noWrap w:val="0"/>
            <w:vAlign w:val="center"/>
          </w:tcPr>
          <w:p w14:paraId="60859A49">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■不召开</w:t>
            </w:r>
          </w:p>
          <w:p w14:paraId="3BB7A7F4">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□召开，召开时间：</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bidi="ar"/>
              </w:rPr>
              <w:t>年</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bidi="ar"/>
              </w:rPr>
              <w:t>月</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bidi="ar"/>
              </w:rPr>
              <w:t>日</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bidi="ar"/>
              </w:rPr>
              <w:t>点</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bidi="ar"/>
              </w:rPr>
              <w:t>分</w:t>
            </w:r>
          </w:p>
          <w:p w14:paraId="477312B1">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召开地点：</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w:t>
            </w:r>
          </w:p>
        </w:tc>
      </w:tr>
      <w:tr w14:paraId="2EF33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988" w:type="dxa"/>
            <w:noWrap w:val="0"/>
            <w:vAlign w:val="center"/>
          </w:tcPr>
          <w:p w14:paraId="70187E8A">
            <w:pPr>
              <w:pStyle w:val="8"/>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4.2.5</w:t>
            </w:r>
          </w:p>
        </w:tc>
        <w:tc>
          <w:tcPr>
            <w:tcW w:w="1701" w:type="dxa"/>
            <w:noWrap w:val="0"/>
            <w:vAlign w:val="center"/>
          </w:tcPr>
          <w:p w14:paraId="0EAE3664">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标的所属行业</w:t>
            </w:r>
          </w:p>
        </w:tc>
        <w:tc>
          <w:tcPr>
            <w:tcW w:w="7253" w:type="dxa"/>
            <w:noWrap w:val="0"/>
            <w:vAlign w:val="center"/>
          </w:tcPr>
          <w:p w14:paraId="2BDD102C">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本项目采购标的对应的中小企业划分标准所属行业：</w:t>
            </w:r>
            <w:r>
              <w:rPr>
                <w:rFonts w:hint="eastAsia" w:ascii="宋体" w:hAnsi="宋体" w:eastAsia="宋体" w:cs="宋体"/>
                <w:color w:val="auto"/>
                <w:sz w:val="24"/>
                <w:szCs w:val="24"/>
                <w:highlight w:val="none"/>
                <w:u w:val="single"/>
                <w:shd w:val="clear" w:color="auto" w:fill="auto"/>
              </w:rPr>
              <w:t xml:space="preserve"> 建筑业 </w:t>
            </w:r>
          </w:p>
        </w:tc>
      </w:tr>
      <w:tr w14:paraId="3B33E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noWrap w:val="0"/>
            <w:vAlign w:val="center"/>
          </w:tcPr>
          <w:p w14:paraId="46A50069">
            <w:pPr>
              <w:pStyle w:val="8"/>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10.2</w:t>
            </w:r>
          </w:p>
        </w:tc>
        <w:tc>
          <w:tcPr>
            <w:tcW w:w="1701" w:type="dxa"/>
            <w:noWrap w:val="0"/>
            <w:vAlign w:val="center"/>
          </w:tcPr>
          <w:p w14:paraId="054025CA">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报价</w:t>
            </w:r>
          </w:p>
        </w:tc>
        <w:tc>
          <w:tcPr>
            <w:tcW w:w="7253" w:type="dxa"/>
            <w:noWrap w:val="0"/>
            <w:vAlign w:val="center"/>
          </w:tcPr>
          <w:p w14:paraId="00476D36">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报价的特殊规定：</w:t>
            </w:r>
          </w:p>
          <w:p w14:paraId="64D96FC3">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□无</w:t>
            </w:r>
          </w:p>
          <w:p w14:paraId="631144A5">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■有，具体情形：</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lang w:val="en-US" w:eastAsia="zh-CN"/>
              </w:rPr>
              <w:t>本项目采用至少二次报价，磋商响应文件报价一览表的报价作为首次报价，在磋商结束后，磋商小组应当要求所有实质性响应的供应商在规定时间内提交最后报价，最后报价作为评分依据</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w:t>
            </w:r>
          </w:p>
        </w:tc>
      </w:tr>
      <w:tr w14:paraId="6EA33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CF7E2EB">
            <w:pPr>
              <w:pStyle w:val="8"/>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11.1</w:t>
            </w:r>
          </w:p>
        </w:tc>
        <w:tc>
          <w:tcPr>
            <w:tcW w:w="1701" w:type="dxa"/>
            <w:noWrap w:val="0"/>
            <w:vAlign w:val="center"/>
          </w:tcPr>
          <w:p w14:paraId="2D767FA9">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磋商保证金</w:t>
            </w:r>
          </w:p>
        </w:tc>
        <w:tc>
          <w:tcPr>
            <w:tcW w:w="7253" w:type="dxa"/>
            <w:noWrap w:val="0"/>
            <w:vAlign w:val="center"/>
          </w:tcPr>
          <w:p w14:paraId="29687331">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免收</w:t>
            </w:r>
          </w:p>
        </w:tc>
      </w:tr>
      <w:tr w14:paraId="2A7E1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988" w:type="dxa"/>
            <w:noWrap w:val="0"/>
            <w:vAlign w:val="center"/>
          </w:tcPr>
          <w:p w14:paraId="311EBF16">
            <w:pPr>
              <w:pStyle w:val="8"/>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12.1</w:t>
            </w:r>
          </w:p>
        </w:tc>
        <w:tc>
          <w:tcPr>
            <w:tcW w:w="1701" w:type="dxa"/>
            <w:noWrap w:val="0"/>
            <w:vAlign w:val="center"/>
          </w:tcPr>
          <w:p w14:paraId="216BF86F">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响应有效期</w:t>
            </w:r>
          </w:p>
        </w:tc>
        <w:tc>
          <w:tcPr>
            <w:tcW w:w="7253" w:type="dxa"/>
            <w:noWrap w:val="0"/>
            <w:vAlign w:val="center"/>
          </w:tcPr>
          <w:p w14:paraId="77B85B1F">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自提交响应文件的截止之日起算</w:t>
            </w:r>
            <w:r>
              <w:rPr>
                <w:rFonts w:hint="eastAsia" w:ascii="宋体" w:hAnsi="宋体" w:eastAsia="宋体" w:cs="宋体"/>
                <w:color w:val="auto"/>
                <w:sz w:val="24"/>
                <w:szCs w:val="24"/>
                <w:highlight w:val="none"/>
                <w:u w:val="single"/>
                <w:shd w:val="clear" w:color="auto" w:fill="auto"/>
                <w:lang w:val="en-US" w:eastAsia="zh-CN"/>
              </w:rPr>
              <w:t xml:space="preserve"> 60 </w:t>
            </w:r>
            <w:r>
              <w:rPr>
                <w:rFonts w:hint="eastAsia" w:ascii="宋体" w:hAnsi="宋体" w:eastAsia="宋体" w:cs="宋体"/>
                <w:color w:val="auto"/>
                <w:sz w:val="24"/>
                <w:szCs w:val="24"/>
                <w:highlight w:val="none"/>
                <w:shd w:val="clear" w:color="auto" w:fill="auto"/>
              </w:rPr>
              <w:t>日历天。</w:t>
            </w:r>
          </w:p>
        </w:tc>
      </w:tr>
      <w:tr w14:paraId="0CC71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8E699BB">
            <w:pPr>
              <w:pStyle w:val="8"/>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23.5</w:t>
            </w:r>
          </w:p>
        </w:tc>
        <w:tc>
          <w:tcPr>
            <w:tcW w:w="1701" w:type="dxa"/>
            <w:noWrap w:val="0"/>
            <w:vAlign w:val="center"/>
          </w:tcPr>
          <w:p w14:paraId="0AE0A8F5">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分包</w:t>
            </w:r>
          </w:p>
        </w:tc>
        <w:tc>
          <w:tcPr>
            <w:tcW w:w="7253" w:type="dxa"/>
            <w:noWrap w:val="0"/>
            <w:vAlign w:val="center"/>
          </w:tcPr>
          <w:p w14:paraId="59D34612">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本项目是否允许分包： </w:t>
            </w:r>
          </w:p>
          <w:p w14:paraId="1D1BB7AD">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■不允许</w:t>
            </w:r>
          </w:p>
          <w:p w14:paraId="0EC40D63">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□允许，具体要求：</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w:t>
            </w:r>
          </w:p>
          <w:p w14:paraId="04DACD06">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（1）可以分包履行的具体内容：</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w:t>
            </w:r>
          </w:p>
          <w:p w14:paraId="75A25904">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（2）允许分包的金额或者比例：</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w:t>
            </w:r>
          </w:p>
          <w:p w14:paraId="08AA121F">
            <w:pPr>
              <w:jc w:val="left"/>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（3）其他要求：</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w:t>
            </w:r>
          </w:p>
        </w:tc>
      </w:tr>
      <w:tr w14:paraId="3559C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13EEE1F">
            <w:pPr>
              <w:pStyle w:val="8"/>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24.1.1</w:t>
            </w:r>
          </w:p>
        </w:tc>
        <w:tc>
          <w:tcPr>
            <w:tcW w:w="1701" w:type="dxa"/>
            <w:noWrap w:val="0"/>
            <w:vAlign w:val="center"/>
          </w:tcPr>
          <w:p w14:paraId="747BA2AC">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询问</w:t>
            </w:r>
          </w:p>
        </w:tc>
        <w:tc>
          <w:tcPr>
            <w:tcW w:w="7253" w:type="dxa"/>
            <w:noWrap w:val="0"/>
            <w:vAlign w:val="center"/>
          </w:tcPr>
          <w:p w14:paraId="11EBC2A7">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询问送达形式：</w:t>
            </w:r>
            <w:r>
              <w:rPr>
                <w:rFonts w:hint="eastAsia" w:ascii="宋体" w:hAnsi="宋体" w:eastAsia="宋体" w:cs="宋体"/>
                <w:color w:val="auto"/>
                <w:sz w:val="24"/>
                <w:szCs w:val="24"/>
                <w:highlight w:val="none"/>
                <w:u w:val="single"/>
                <w:shd w:val="clear" w:color="auto" w:fill="auto"/>
                <w:lang w:val="en-US" w:eastAsia="zh-CN"/>
              </w:rPr>
              <w:t xml:space="preserve"> 于202</w:t>
            </w:r>
            <w:r>
              <w:rPr>
                <w:rFonts w:hint="eastAsia" w:ascii="宋体" w:hAnsi="宋体" w:cs="宋体"/>
                <w:color w:val="auto"/>
                <w:sz w:val="24"/>
                <w:szCs w:val="24"/>
                <w:highlight w:val="none"/>
                <w:u w:val="single"/>
                <w:shd w:val="clear" w:color="auto" w:fill="auto"/>
                <w:lang w:val="en-US" w:eastAsia="zh-CN"/>
              </w:rPr>
              <w:t>6</w:t>
            </w:r>
            <w:r>
              <w:rPr>
                <w:rFonts w:hint="eastAsia" w:ascii="宋体" w:hAnsi="宋体" w:eastAsia="宋体" w:cs="宋体"/>
                <w:color w:val="auto"/>
                <w:sz w:val="24"/>
                <w:szCs w:val="24"/>
                <w:highlight w:val="none"/>
                <w:u w:val="single"/>
                <w:shd w:val="clear" w:color="auto" w:fill="auto"/>
                <w:lang w:val="en-US" w:eastAsia="zh-CN"/>
              </w:rPr>
              <w:t>年</w:t>
            </w:r>
            <w:r>
              <w:rPr>
                <w:rFonts w:hint="eastAsia" w:ascii="宋体" w:hAnsi="宋体" w:cs="宋体"/>
                <w:color w:val="auto"/>
                <w:sz w:val="24"/>
                <w:szCs w:val="24"/>
                <w:highlight w:val="none"/>
                <w:u w:val="single"/>
                <w:shd w:val="clear" w:color="auto" w:fill="auto"/>
                <w:lang w:val="en-US" w:eastAsia="zh-CN"/>
              </w:rPr>
              <w:t>5</w:t>
            </w:r>
            <w:r>
              <w:rPr>
                <w:rFonts w:hint="eastAsia" w:ascii="宋体" w:hAnsi="宋体" w:eastAsia="宋体" w:cs="宋体"/>
                <w:color w:val="auto"/>
                <w:sz w:val="24"/>
                <w:szCs w:val="24"/>
                <w:highlight w:val="none"/>
                <w:u w:val="single"/>
                <w:shd w:val="clear" w:color="auto" w:fill="auto"/>
                <w:lang w:val="en-US" w:eastAsia="zh-CN"/>
              </w:rPr>
              <w:t>月</w:t>
            </w:r>
            <w:r>
              <w:rPr>
                <w:rFonts w:hint="eastAsia" w:ascii="宋体" w:hAnsi="宋体" w:cs="宋体"/>
                <w:color w:val="auto"/>
                <w:sz w:val="24"/>
                <w:szCs w:val="24"/>
                <w:highlight w:val="none"/>
                <w:u w:val="single"/>
                <w:shd w:val="clear" w:color="auto" w:fill="auto"/>
                <w:lang w:val="en-US" w:eastAsia="zh-CN"/>
              </w:rPr>
              <w:t>14</w:t>
            </w:r>
            <w:r>
              <w:rPr>
                <w:rFonts w:hint="eastAsia" w:ascii="宋体" w:hAnsi="宋体" w:eastAsia="宋体" w:cs="宋体"/>
                <w:color w:val="auto"/>
                <w:sz w:val="24"/>
                <w:szCs w:val="24"/>
                <w:highlight w:val="none"/>
                <w:u w:val="single"/>
                <w:shd w:val="clear" w:color="auto" w:fill="auto"/>
                <w:lang w:val="en-US" w:eastAsia="zh-CN"/>
              </w:rPr>
              <w:t xml:space="preserve">日11:00（北京时间）前以书面形式递交至江苏尚阳工程管理有限公司 </w:t>
            </w:r>
            <w:r>
              <w:rPr>
                <w:rFonts w:hint="eastAsia" w:ascii="宋体" w:hAnsi="宋体" w:eastAsia="宋体" w:cs="宋体"/>
                <w:color w:val="auto"/>
                <w:sz w:val="24"/>
                <w:szCs w:val="24"/>
                <w:highlight w:val="none"/>
                <w:shd w:val="clear" w:color="auto" w:fill="auto"/>
              </w:rPr>
              <w:t>。</w:t>
            </w:r>
          </w:p>
        </w:tc>
      </w:tr>
      <w:tr w14:paraId="52690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3CB8E09">
            <w:pPr>
              <w:pStyle w:val="8"/>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24.3</w:t>
            </w:r>
          </w:p>
        </w:tc>
        <w:tc>
          <w:tcPr>
            <w:tcW w:w="1701" w:type="dxa"/>
            <w:noWrap w:val="0"/>
            <w:vAlign w:val="center"/>
          </w:tcPr>
          <w:p w14:paraId="04AB1716">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联系方式</w:t>
            </w:r>
          </w:p>
        </w:tc>
        <w:tc>
          <w:tcPr>
            <w:tcW w:w="7253" w:type="dxa"/>
            <w:noWrap w:val="0"/>
            <w:vAlign w:val="center"/>
          </w:tcPr>
          <w:p w14:paraId="246E7D65">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接收询问和质疑的联系方式</w:t>
            </w:r>
          </w:p>
          <w:p w14:paraId="1E38210A">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联系部门：</w:t>
            </w:r>
            <w:r>
              <w:rPr>
                <w:rFonts w:hint="eastAsia" w:ascii="宋体" w:hAnsi="宋体" w:eastAsia="宋体" w:cs="宋体"/>
                <w:color w:val="auto"/>
                <w:sz w:val="24"/>
                <w:szCs w:val="24"/>
                <w:highlight w:val="none"/>
                <w:u w:val="single"/>
                <w:shd w:val="clear" w:color="auto" w:fill="auto"/>
              </w:rPr>
              <w:t xml:space="preserve">  嵇玲  </w:t>
            </w:r>
            <w:r>
              <w:rPr>
                <w:rFonts w:hint="eastAsia" w:ascii="宋体" w:hAnsi="宋体" w:eastAsia="宋体" w:cs="宋体"/>
                <w:color w:val="auto"/>
                <w:sz w:val="24"/>
                <w:szCs w:val="24"/>
                <w:highlight w:val="none"/>
                <w:shd w:val="clear" w:color="auto" w:fill="auto"/>
              </w:rPr>
              <w:t>；</w:t>
            </w:r>
          </w:p>
          <w:p w14:paraId="5216854C">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联系电话：</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eastAsia="zh-CN"/>
              </w:rPr>
              <w:t>0519-88818295（8000）</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w:t>
            </w:r>
          </w:p>
          <w:p w14:paraId="14AC707B">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通讯地址：</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eastAsia="zh-CN"/>
              </w:rPr>
              <w:t>常州市新北区嵩山路1-301号（太湖明珠苑综合市场3楼）</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w:t>
            </w:r>
          </w:p>
        </w:tc>
      </w:tr>
      <w:tr w14:paraId="7FE6C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A408A9B">
            <w:pPr>
              <w:pStyle w:val="8"/>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25</w:t>
            </w:r>
          </w:p>
        </w:tc>
        <w:tc>
          <w:tcPr>
            <w:tcW w:w="1701" w:type="dxa"/>
            <w:noWrap w:val="0"/>
            <w:vAlign w:val="center"/>
          </w:tcPr>
          <w:p w14:paraId="65F1BCAC">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代理费</w:t>
            </w:r>
          </w:p>
        </w:tc>
        <w:tc>
          <w:tcPr>
            <w:tcW w:w="7253" w:type="dxa"/>
            <w:noWrap w:val="0"/>
            <w:vAlign w:val="center"/>
          </w:tcPr>
          <w:p w14:paraId="6CFAAFA3">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收费对象：</w:t>
            </w:r>
          </w:p>
          <w:p w14:paraId="07432797">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□采购人</w:t>
            </w:r>
          </w:p>
          <w:p w14:paraId="2B012923">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■成交供应商</w:t>
            </w:r>
          </w:p>
          <w:p w14:paraId="2B08DA2D">
            <w:pPr>
              <w:jc w:val="left"/>
              <w:rPr>
                <w:rFonts w:hint="eastAsia" w:ascii="宋体" w:hAnsi="宋体" w:eastAsia="宋体" w:cs="宋体"/>
                <w:color w:val="auto"/>
                <w:sz w:val="24"/>
                <w:szCs w:val="24"/>
                <w:highlight w:val="none"/>
                <w:u w:val="none"/>
                <w:shd w:val="clear" w:color="auto" w:fill="auto"/>
                <w:lang w:eastAsia="zh-CN"/>
              </w:rPr>
            </w:pPr>
            <w:r>
              <w:rPr>
                <w:rFonts w:hint="eastAsia" w:ascii="宋体" w:hAnsi="宋体" w:eastAsia="宋体" w:cs="宋体"/>
                <w:color w:val="auto"/>
                <w:sz w:val="24"/>
                <w:szCs w:val="24"/>
                <w:highlight w:val="none"/>
                <w:shd w:val="clear" w:color="auto" w:fill="auto"/>
              </w:rPr>
              <w:t>收费标准：</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w:t>
            </w:r>
            <w:r>
              <w:rPr>
                <w:rFonts w:hint="eastAsia" w:ascii="宋体" w:hAnsi="宋体" w:cs="宋体"/>
                <w:color w:val="auto"/>
                <w:sz w:val="24"/>
                <w:highlight w:val="none"/>
                <w:u w:val="single"/>
                <w:lang w:val="en-US" w:eastAsia="zh-CN"/>
              </w:rPr>
              <w:t>1</w:t>
            </w:r>
            <w:r>
              <w:rPr>
                <w:rFonts w:hint="eastAsia" w:ascii="宋体" w:hAnsi="宋体" w:cs="宋体"/>
                <w:color w:val="auto"/>
                <w:sz w:val="24"/>
                <w:highlight w:val="none"/>
                <w:u w:val="single"/>
                <w:lang w:eastAsia="zh-CN"/>
              </w:rPr>
              <w:t>）代理费：</w:t>
            </w:r>
            <w:r>
              <w:rPr>
                <w:rFonts w:hint="eastAsia" w:ascii="宋体" w:hAnsi="宋体" w:eastAsia="宋体" w:cs="宋体"/>
                <w:color w:val="auto"/>
                <w:sz w:val="24"/>
                <w:szCs w:val="24"/>
                <w:highlight w:val="none"/>
                <w:u w:val="single"/>
                <w:shd w:val="clear" w:color="auto" w:fill="auto"/>
              </w:rPr>
              <w:t>收费比例按差额定率分档累进法计算，收费差额费率：</w:t>
            </w:r>
            <w:r>
              <w:rPr>
                <w:rFonts w:hint="eastAsia" w:ascii="宋体" w:hAnsi="宋体" w:eastAsia="宋体" w:cs="宋体"/>
                <w:color w:val="auto"/>
                <w:sz w:val="24"/>
                <w:szCs w:val="24"/>
                <w:highlight w:val="none"/>
                <w:u w:val="single"/>
                <w:shd w:val="clear" w:color="auto" w:fill="auto"/>
                <w:lang w:val="en-US" w:eastAsia="zh-CN"/>
              </w:rPr>
              <w:t>成交</w:t>
            </w:r>
            <w:r>
              <w:rPr>
                <w:rFonts w:hint="eastAsia" w:ascii="宋体" w:hAnsi="宋体" w:eastAsia="宋体" w:cs="宋体"/>
                <w:color w:val="auto"/>
                <w:sz w:val="24"/>
                <w:szCs w:val="24"/>
                <w:highlight w:val="none"/>
                <w:u w:val="single"/>
                <w:shd w:val="clear" w:color="auto" w:fill="auto"/>
              </w:rPr>
              <w:t>金额在100万元(含)以下的为1.</w:t>
            </w:r>
            <w:r>
              <w:rPr>
                <w:rFonts w:hint="eastAsia" w:ascii="宋体" w:hAnsi="宋体" w:eastAsia="宋体" w:cs="宋体"/>
                <w:color w:val="auto"/>
                <w:sz w:val="24"/>
                <w:szCs w:val="24"/>
                <w:highlight w:val="none"/>
                <w:u w:val="single"/>
                <w:shd w:val="clear" w:color="auto" w:fill="auto"/>
                <w:lang w:val="en-US" w:eastAsia="zh-CN"/>
              </w:rPr>
              <w:t>0</w:t>
            </w:r>
            <w:r>
              <w:rPr>
                <w:rFonts w:hint="eastAsia" w:ascii="宋体" w:hAnsi="宋体" w:eastAsia="宋体" w:cs="宋体"/>
                <w:color w:val="auto"/>
                <w:sz w:val="24"/>
                <w:szCs w:val="24"/>
                <w:highlight w:val="none"/>
                <w:u w:val="single"/>
                <w:shd w:val="clear" w:color="auto" w:fill="auto"/>
              </w:rPr>
              <w:t>%，</w:t>
            </w:r>
            <w:r>
              <w:rPr>
                <w:rFonts w:hint="eastAsia" w:ascii="宋体" w:hAnsi="宋体" w:eastAsia="宋体" w:cs="宋体"/>
                <w:color w:val="auto"/>
                <w:sz w:val="24"/>
                <w:szCs w:val="24"/>
                <w:highlight w:val="none"/>
                <w:u w:val="single"/>
                <w:shd w:val="clear" w:color="auto" w:fill="auto"/>
                <w:lang w:val="en-US" w:eastAsia="zh-CN"/>
              </w:rPr>
              <w:t>成交</w:t>
            </w:r>
            <w:r>
              <w:rPr>
                <w:rFonts w:hint="eastAsia" w:ascii="宋体" w:hAnsi="宋体" w:eastAsia="宋体" w:cs="宋体"/>
                <w:color w:val="auto"/>
                <w:sz w:val="24"/>
                <w:szCs w:val="24"/>
                <w:highlight w:val="none"/>
                <w:u w:val="single"/>
                <w:shd w:val="clear" w:color="auto" w:fill="auto"/>
              </w:rPr>
              <w:t>金额在100万元（不含）至500万元（含）的为0.</w:t>
            </w:r>
            <w:r>
              <w:rPr>
                <w:rFonts w:hint="eastAsia" w:ascii="宋体" w:hAnsi="宋体" w:eastAsia="宋体" w:cs="宋体"/>
                <w:color w:val="auto"/>
                <w:sz w:val="24"/>
                <w:szCs w:val="24"/>
                <w:highlight w:val="none"/>
                <w:u w:val="single"/>
                <w:shd w:val="clear" w:color="auto" w:fill="auto"/>
                <w:lang w:val="en-US" w:eastAsia="zh-CN"/>
              </w:rPr>
              <w:t>7</w:t>
            </w:r>
            <w:r>
              <w:rPr>
                <w:rFonts w:hint="eastAsia" w:ascii="宋体" w:hAnsi="宋体" w:eastAsia="宋体" w:cs="宋体"/>
                <w:color w:val="auto"/>
                <w:sz w:val="24"/>
                <w:szCs w:val="24"/>
                <w:highlight w:val="none"/>
                <w:u w:val="single"/>
                <w:shd w:val="clear" w:color="auto" w:fill="auto"/>
              </w:rPr>
              <w:t>%，</w:t>
            </w:r>
            <w:r>
              <w:rPr>
                <w:rFonts w:hint="eastAsia" w:ascii="宋体" w:hAnsi="宋体" w:eastAsia="宋体" w:cs="宋体"/>
                <w:color w:val="auto"/>
                <w:sz w:val="24"/>
                <w:szCs w:val="24"/>
                <w:highlight w:val="none"/>
                <w:u w:val="single"/>
                <w:shd w:val="clear" w:color="auto" w:fill="auto"/>
                <w:lang w:val="en-US" w:eastAsia="zh-CN"/>
              </w:rPr>
              <w:t>成交</w:t>
            </w:r>
            <w:r>
              <w:rPr>
                <w:rFonts w:hint="eastAsia" w:ascii="宋体" w:hAnsi="宋体" w:eastAsia="宋体" w:cs="宋体"/>
                <w:color w:val="auto"/>
                <w:sz w:val="24"/>
                <w:szCs w:val="24"/>
                <w:highlight w:val="none"/>
                <w:u w:val="single"/>
                <w:shd w:val="clear" w:color="auto" w:fill="auto"/>
              </w:rPr>
              <w:t>金额在</w:t>
            </w:r>
            <w:r>
              <w:rPr>
                <w:rFonts w:hint="eastAsia" w:ascii="宋体" w:hAnsi="宋体" w:eastAsia="宋体" w:cs="宋体"/>
                <w:color w:val="auto"/>
                <w:sz w:val="24"/>
                <w:szCs w:val="24"/>
                <w:highlight w:val="none"/>
                <w:u w:val="single"/>
                <w:shd w:val="clear" w:color="auto" w:fill="auto"/>
                <w:lang w:val="en-US" w:eastAsia="zh-CN"/>
              </w:rPr>
              <w:t>5</w:t>
            </w:r>
            <w:r>
              <w:rPr>
                <w:rFonts w:hint="eastAsia" w:ascii="宋体" w:hAnsi="宋体" w:eastAsia="宋体" w:cs="宋体"/>
                <w:color w:val="auto"/>
                <w:sz w:val="24"/>
                <w:szCs w:val="24"/>
                <w:highlight w:val="none"/>
                <w:u w:val="single"/>
                <w:shd w:val="clear" w:color="auto" w:fill="auto"/>
              </w:rPr>
              <w:t>00万元（不含）至</w:t>
            </w:r>
            <w:r>
              <w:rPr>
                <w:rFonts w:hint="eastAsia" w:ascii="宋体" w:hAnsi="宋体" w:eastAsia="宋体" w:cs="宋体"/>
                <w:color w:val="auto"/>
                <w:sz w:val="24"/>
                <w:szCs w:val="24"/>
                <w:highlight w:val="none"/>
                <w:u w:val="single"/>
                <w:shd w:val="clear" w:color="auto" w:fill="auto"/>
                <w:lang w:val="en-US" w:eastAsia="zh-CN"/>
              </w:rPr>
              <w:t>10</w:t>
            </w:r>
            <w:r>
              <w:rPr>
                <w:rFonts w:hint="eastAsia" w:ascii="宋体" w:hAnsi="宋体" w:eastAsia="宋体" w:cs="宋体"/>
                <w:color w:val="auto"/>
                <w:sz w:val="24"/>
                <w:szCs w:val="24"/>
                <w:highlight w:val="none"/>
                <w:u w:val="single"/>
                <w:shd w:val="clear" w:color="auto" w:fill="auto"/>
              </w:rPr>
              <w:t>00万元（含）的为0.</w:t>
            </w:r>
            <w:r>
              <w:rPr>
                <w:rFonts w:hint="eastAsia" w:ascii="宋体" w:hAnsi="宋体" w:eastAsia="宋体" w:cs="宋体"/>
                <w:color w:val="auto"/>
                <w:sz w:val="24"/>
                <w:szCs w:val="24"/>
                <w:highlight w:val="none"/>
                <w:u w:val="single"/>
                <w:shd w:val="clear" w:color="auto" w:fill="auto"/>
                <w:lang w:val="en-US" w:eastAsia="zh-CN"/>
              </w:rPr>
              <w:t>55</w:t>
            </w:r>
            <w:r>
              <w:rPr>
                <w:rFonts w:hint="eastAsia" w:ascii="宋体" w:hAnsi="宋体" w:eastAsia="宋体" w:cs="宋体"/>
                <w:color w:val="auto"/>
                <w:sz w:val="24"/>
                <w:szCs w:val="24"/>
                <w:highlight w:val="none"/>
                <w:u w:val="single"/>
                <w:shd w:val="clear" w:color="auto" w:fill="auto"/>
              </w:rPr>
              <w:t>%，</w:t>
            </w:r>
            <w:r>
              <w:rPr>
                <w:rFonts w:hint="eastAsia" w:ascii="宋体" w:hAnsi="宋体" w:eastAsia="宋体" w:cs="宋体"/>
                <w:color w:val="auto"/>
                <w:sz w:val="24"/>
                <w:szCs w:val="24"/>
                <w:highlight w:val="none"/>
                <w:u w:val="single"/>
                <w:shd w:val="clear" w:color="auto" w:fill="auto"/>
                <w:lang w:val="en-US" w:eastAsia="zh-CN"/>
              </w:rPr>
              <w:t>成交</w:t>
            </w:r>
            <w:r>
              <w:rPr>
                <w:rFonts w:hint="eastAsia" w:ascii="宋体" w:hAnsi="宋体" w:eastAsia="宋体" w:cs="宋体"/>
                <w:color w:val="auto"/>
                <w:sz w:val="24"/>
                <w:szCs w:val="24"/>
                <w:highlight w:val="none"/>
                <w:u w:val="single"/>
                <w:shd w:val="clear" w:color="auto" w:fill="auto"/>
              </w:rPr>
              <w:t>服务收费按上述计算方法不足人民币3000元的，按人民币3000元收取</w:t>
            </w:r>
            <w:r>
              <w:rPr>
                <w:rFonts w:hint="eastAsia" w:ascii="宋体" w:hAnsi="宋体" w:cs="宋体"/>
                <w:color w:val="auto"/>
                <w:sz w:val="24"/>
                <w:szCs w:val="24"/>
                <w:highlight w:val="none"/>
                <w:u w:val="single"/>
                <w:shd w:val="clear" w:color="auto" w:fill="auto"/>
                <w:lang w:eastAsia="zh-CN"/>
              </w:rPr>
              <w:t>；（</w:t>
            </w:r>
            <w:r>
              <w:rPr>
                <w:rFonts w:hint="eastAsia" w:ascii="宋体" w:hAnsi="宋体" w:cs="宋体"/>
                <w:color w:val="auto"/>
                <w:sz w:val="24"/>
                <w:szCs w:val="24"/>
                <w:highlight w:val="none"/>
                <w:u w:val="single"/>
                <w:shd w:val="clear" w:color="auto" w:fill="auto"/>
                <w:lang w:val="en-US" w:eastAsia="zh-CN"/>
              </w:rPr>
              <w:t>2</w:t>
            </w:r>
            <w:r>
              <w:rPr>
                <w:rFonts w:hint="eastAsia" w:ascii="宋体" w:hAnsi="宋体" w:cs="宋体"/>
                <w:color w:val="auto"/>
                <w:sz w:val="24"/>
                <w:szCs w:val="24"/>
                <w:highlight w:val="none"/>
                <w:u w:val="single"/>
                <w:shd w:val="clear" w:color="auto" w:fill="auto"/>
                <w:lang w:eastAsia="zh-CN"/>
              </w:rPr>
              <w:t>）控制价编制费：以预算价为基数，500万元（含）以下按0.38%计取，不足3000元按3000元</w:t>
            </w:r>
            <w:r>
              <w:rPr>
                <w:rFonts w:hint="eastAsia" w:ascii="宋体" w:hAnsi="宋体" w:cs="宋体"/>
                <w:color w:val="auto"/>
                <w:sz w:val="24"/>
                <w:highlight w:val="none"/>
                <w:u w:val="single"/>
              </w:rPr>
              <w:t xml:space="preserve"> </w:t>
            </w:r>
            <w:r>
              <w:rPr>
                <w:rFonts w:hint="eastAsia" w:ascii="宋体" w:hAnsi="宋体" w:eastAsia="宋体" w:cs="宋体"/>
                <w:color w:val="auto"/>
                <w:sz w:val="24"/>
                <w:szCs w:val="24"/>
                <w:highlight w:val="none"/>
                <w:u w:val="none"/>
                <w:shd w:val="clear" w:color="auto" w:fill="auto"/>
                <w:lang w:eastAsia="zh-CN"/>
              </w:rPr>
              <w:t>；</w:t>
            </w:r>
          </w:p>
          <w:p w14:paraId="390EC8C5">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缴纳时间：</w:t>
            </w:r>
            <w:r>
              <w:rPr>
                <w:rFonts w:hint="eastAsia" w:ascii="宋体" w:hAnsi="宋体" w:eastAsia="宋体" w:cs="宋体"/>
                <w:color w:val="auto"/>
                <w:sz w:val="24"/>
                <w:szCs w:val="24"/>
                <w:highlight w:val="none"/>
                <w:u w:val="single"/>
                <w:shd w:val="clear" w:color="auto" w:fill="auto"/>
              </w:rPr>
              <w:t xml:space="preserve"> 成交供应商应在领取成交通知书时将成交服务费付至采购代理机构的</w:t>
            </w:r>
            <w:r>
              <w:rPr>
                <w:rFonts w:hint="eastAsia" w:ascii="宋体" w:hAnsi="宋体" w:eastAsia="宋体" w:cs="宋体"/>
                <w:color w:val="auto"/>
                <w:sz w:val="24"/>
                <w:szCs w:val="24"/>
                <w:highlight w:val="none"/>
                <w:u w:val="single"/>
                <w:shd w:val="clear" w:color="auto" w:fill="auto"/>
                <w:lang w:eastAsia="zh-CN"/>
              </w:rPr>
              <w:t>账</w:t>
            </w:r>
            <w:r>
              <w:rPr>
                <w:rFonts w:hint="eastAsia" w:ascii="宋体" w:hAnsi="宋体" w:eastAsia="宋体" w:cs="宋体"/>
                <w:color w:val="auto"/>
                <w:sz w:val="24"/>
                <w:szCs w:val="24"/>
                <w:highlight w:val="none"/>
                <w:u w:val="single"/>
                <w:shd w:val="clear" w:color="auto" w:fill="auto"/>
              </w:rPr>
              <w:t xml:space="preserve">户并备注项目编号 </w:t>
            </w:r>
            <w:r>
              <w:rPr>
                <w:rFonts w:hint="eastAsia" w:ascii="宋体" w:hAnsi="宋体" w:eastAsia="宋体" w:cs="宋体"/>
                <w:color w:val="auto"/>
                <w:sz w:val="24"/>
                <w:szCs w:val="24"/>
                <w:highlight w:val="none"/>
                <w:shd w:val="clear" w:color="auto" w:fill="auto"/>
              </w:rPr>
              <w:t>。</w:t>
            </w:r>
          </w:p>
          <w:p w14:paraId="4B8FF8BD">
            <w:pPr>
              <w:jc w:val="left"/>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t>收款单位：江苏尚阳工程管理有限公司</w:t>
            </w:r>
          </w:p>
          <w:p w14:paraId="7ADC6810">
            <w:pPr>
              <w:jc w:val="left"/>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t>银行账号：406010100100626575</w:t>
            </w:r>
          </w:p>
          <w:p w14:paraId="6E0B57E5">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u w:val="single"/>
                <w:shd w:val="clear" w:color="auto" w:fill="auto"/>
              </w:rPr>
              <w:t>开户银行：兴业银行股份有限公司常州分行</w:t>
            </w:r>
          </w:p>
        </w:tc>
      </w:tr>
      <w:tr w14:paraId="406D5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7FEEAFC">
            <w:pPr>
              <w:pStyle w:val="8"/>
              <w:adjustRightInd w:val="0"/>
              <w:snapToGrid w:val="0"/>
              <w:jc w:val="center"/>
              <w:rPr>
                <w:rFonts w:hint="eastAsia" w:ascii="宋体" w:hAnsi="宋体" w:eastAsia="宋体" w:cs="宋体"/>
                <w:color w:val="auto"/>
                <w:sz w:val="24"/>
                <w:szCs w:val="24"/>
                <w:highlight w:val="none"/>
                <w:shd w:val="clear" w:color="auto" w:fill="auto"/>
              </w:rPr>
            </w:pPr>
            <w:r>
              <w:rPr>
                <w:rFonts w:hint="eastAsia" w:hAnsi="宋体" w:cs="宋体"/>
                <w:color w:val="auto"/>
                <w:sz w:val="24"/>
                <w:szCs w:val="24"/>
                <w:highlight w:val="none"/>
                <w:shd w:val="clear" w:color="auto" w:fill="auto"/>
                <w:lang w:val="en-US" w:eastAsia="zh-CN"/>
              </w:rPr>
              <w:t>26</w:t>
            </w:r>
          </w:p>
        </w:tc>
        <w:tc>
          <w:tcPr>
            <w:tcW w:w="1701" w:type="dxa"/>
            <w:noWrap w:val="0"/>
            <w:vAlign w:val="center"/>
          </w:tcPr>
          <w:p w14:paraId="553D8B45">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电子系统意外情况处理条款</w:t>
            </w:r>
          </w:p>
        </w:tc>
        <w:tc>
          <w:tcPr>
            <w:tcW w:w="7253" w:type="dxa"/>
            <w:noWrap w:val="0"/>
            <w:vAlign w:val="center"/>
          </w:tcPr>
          <w:p w14:paraId="0FB3ECB7">
            <w:pPr>
              <w:jc w:val="left"/>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为确保本项目电子化采购活动顺利进行，防范化解采购风险，特制定相关情形处置举措。所有潜在</w:t>
            </w:r>
            <w:r>
              <w:rPr>
                <w:rFonts w:hint="eastAsia" w:ascii="宋体" w:hAnsi="宋体" w:cs="宋体"/>
                <w:color w:val="auto"/>
                <w:sz w:val="24"/>
                <w:szCs w:val="24"/>
                <w:highlight w:val="none"/>
                <w:u w:val="none"/>
                <w:shd w:val="clear" w:color="auto" w:fill="auto"/>
                <w:lang w:val="en-US" w:eastAsia="zh-CN"/>
              </w:rPr>
              <w:t>供应商</w:t>
            </w:r>
            <w:r>
              <w:rPr>
                <w:rFonts w:hint="eastAsia" w:ascii="宋体" w:hAnsi="宋体" w:eastAsia="宋体" w:cs="宋体"/>
                <w:color w:val="auto"/>
                <w:sz w:val="24"/>
                <w:szCs w:val="24"/>
                <w:highlight w:val="none"/>
                <w:u w:val="none"/>
                <w:shd w:val="clear" w:color="auto" w:fill="auto"/>
              </w:rPr>
              <w:t>及参与各方均应知悉并遵守以下规定：</w:t>
            </w:r>
          </w:p>
          <w:p w14:paraId="5CCADDE7">
            <w:pPr>
              <w:jc w:val="left"/>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1.意外情况定义：本条款所称“电子交易系统无法访问等意外情况”，是指在政府采购电子交易平台使用过程中，出现包括但不限于网络中断、服务器故障、应用软件或数据库错误等情形，导致采购活动无法正常进行。</w:t>
            </w:r>
          </w:p>
          <w:p w14:paraId="01B011FB">
            <w:pPr>
              <w:jc w:val="left"/>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2.开标前环节故障处置：在供应商报名、响应文件上传、响应文件解密及唱标环节等开标活动开始前的任何环节出现系统无法访问的情形，采购代理机构将按照以下原则处置：</w:t>
            </w:r>
          </w:p>
          <w:p w14:paraId="61128FE2">
            <w:pPr>
              <w:jc w:val="left"/>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（一）若故障可在短时间内排除，采购代理机构将等待系统修复后，继续开展采购活动。</w:t>
            </w:r>
          </w:p>
          <w:p w14:paraId="0B43A8D4">
            <w:pPr>
              <w:jc w:val="left"/>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（二）若故障无法在预定开标时间前排除，或故障情况严重影响公平竞争，采购代理机构将通过发布更正公告推迟开标。</w:t>
            </w:r>
          </w:p>
          <w:p w14:paraId="16E497D2">
            <w:pPr>
              <w:jc w:val="left"/>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（三）若因故障导致有效投标人不足法定家数或出现其他法定废标情形，采购代理机构将发布废标（终止）公告，重新开展采购活动。</w:t>
            </w:r>
          </w:p>
          <w:p w14:paraId="5450F27B">
            <w:pPr>
              <w:jc w:val="left"/>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特别说明：本项目响应文件递交方式以招标文件载明为准。在电子系统发生故障时，采购代理机构仅依据上述程序处理，不接受任何现场提交的纸质、U盘等非招标文件规定的响应文件。</w:t>
            </w:r>
          </w:p>
          <w:p w14:paraId="1466B1B1">
            <w:pPr>
              <w:jc w:val="left"/>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3.评审过程中故障处置：在评审委员会组建后至评审报告出具前的评审过程中出现系统无法访问的情形，采购代理机构将按照以下原则处置：</w:t>
            </w:r>
          </w:p>
          <w:p w14:paraId="41AEAC20">
            <w:pPr>
              <w:jc w:val="left"/>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（一）立即暂停评审：采购代理机构将立即宣布暂停评审活动，并采取必要措施封存所有响应文件及评审记录。</w:t>
            </w:r>
          </w:p>
          <w:p w14:paraId="266FE94D">
            <w:pPr>
              <w:jc w:val="left"/>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（二）处置方案：视故障排除情况，采购代理机构将选择：</w:t>
            </w:r>
          </w:p>
          <w:p w14:paraId="7AF1E5C5">
            <w:pPr>
              <w:jc w:val="left"/>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1.若故障可在短时间内排除，采购代理机构将等待系统修复后，由原评审委员会继续完成评审；</w:t>
            </w:r>
          </w:p>
          <w:p w14:paraId="2A1D5522">
            <w:pPr>
              <w:jc w:val="left"/>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2. 若故障无法在当日排除，或故障导致评审无法公正进行，将发布废标（终止）公告，重新开展采购活动；</w:t>
            </w:r>
          </w:p>
          <w:p w14:paraId="7643EF33">
            <w:pPr>
              <w:jc w:val="left"/>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3.若需在第二日继续评审，采购代理机构将重新从政府采购评审专家库中抽取专家，组建新的评审委员会，在系统修复后继续评审活动。</w:t>
            </w:r>
          </w:p>
          <w:p w14:paraId="7AD9BFC9">
            <w:pPr>
              <w:jc w:val="left"/>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三）公告发布程序：如需发布更正公告或废标（终止）公告，采购代理机构将按规定编制公告文本，连同项目相关信息、附件等详细公告内容提交至市财政局政府采购管理处，由市财政局统一报送省财政厅通过江苏政府采购网后台发布。供应商应密切关注上述网站公告，公告内容对各方具有约束力。</w:t>
            </w:r>
          </w:p>
          <w:p w14:paraId="2BE6C3EA">
            <w:pPr>
              <w:jc w:val="left"/>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none"/>
                <w:shd w:val="clear" w:color="auto" w:fill="auto"/>
              </w:rPr>
              <w:t>（四）供应商责任：供应商有责任确保自身网络环境、设备及数字证书（CA）的正常，并在招标文件规定的期限内完成文件上传、解密等操作。因供应商自身原因导致的操作失败，不适用本意外情况处理条款</w:t>
            </w:r>
          </w:p>
        </w:tc>
      </w:tr>
    </w:tbl>
    <w:p w14:paraId="738C3E8B">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cs="宋体"/>
          <w:color w:val="auto"/>
          <w:sz w:val="24"/>
          <w:highlight w:val="none"/>
          <w:lang w:val="en-US" w:eastAsia="zh-CN"/>
        </w:rPr>
        <w:sectPr>
          <w:footerReference r:id="rId10" w:type="even"/>
          <w:pgSz w:w="11907" w:h="16840"/>
          <w:pgMar w:top="1440" w:right="1304" w:bottom="1440" w:left="1304" w:header="851" w:footer="851" w:gutter="0"/>
          <w:pgNumType w:fmt="decimal"/>
          <w:cols w:space="720" w:num="1"/>
          <w:docGrid w:linePitch="462" w:charSpace="0"/>
        </w:sectPr>
      </w:pPr>
      <w:r>
        <w:rPr>
          <w:rFonts w:hint="eastAsia" w:ascii="宋体" w:hAnsi="宋体" w:cs="宋体"/>
          <w:color w:val="auto"/>
          <w:sz w:val="24"/>
          <w:highlight w:val="none"/>
          <w:lang w:val="en-US" w:eastAsia="zh-CN"/>
        </w:rPr>
        <w:t xml:space="preserve"> </w:t>
      </w:r>
    </w:p>
    <w:p w14:paraId="57C32AD1">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Times New Roman"/>
          <w:b/>
          <w:bCs/>
          <w:color w:val="auto"/>
          <w:sz w:val="28"/>
          <w:szCs w:val="28"/>
          <w:highlight w:val="none"/>
          <w:shd w:val="clear" w:color="auto" w:fill="auto"/>
          <w:lang w:val="en-US" w:eastAsia="zh-CN"/>
        </w:rPr>
      </w:pPr>
      <w:r>
        <w:rPr>
          <w:rFonts w:hint="eastAsia" w:ascii="宋体" w:hAnsi="宋体" w:eastAsia="宋体" w:cs="Times New Roman"/>
          <w:b/>
          <w:bCs/>
          <w:color w:val="auto"/>
          <w:sz w:val="28"/>
          <w:szCs w:val="28"/>
          <w:highlight w:val="none"/>
          <w:shd w:val="clear" w:color="auto" w:fill="auto"/>
          <w:lang w:val="en-US" w:eastAsia="zh-CN"/>
        </w:rPr>
        <w:t>供应商须知</w:t>
      </w:r>
    </w:p>
    <w:p w14:paraId="733C528F">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Times New Roman"/>
          <w:b/>
          <w:bCs/>
          <w:color w:val="auto"/>
          <w:sz w:val="28"/>
          <w:szCs w:val="28"/>
          <w:highlight w:val="none"/>
          <w:shd w:val="clear" w:color="auto" w:fill="auto"/>
          <w:lang w:val="en-US" w:eastAsia="zh-CN"/>
        </w:rPr>
      </w:pPr>
      <w:bookmarkStart w:id="68" w:name="_Toc226337214"/>
      <w:bookmarkStart w:id="69" w:name="_Toc264969208"/>
      <w:bookmarkStart w:id="70" w:name="_Toc226965791"/>
      <w:bookmarkStart w:id="71" w:name="_Toc520356143"/>
      <w:bookmarkStart w:id="72" w:name="_Toc195842883"/>
      <w:bookmarkStart w:id="73" w:name="_Toc151193760"/>
      <w:bookmarkStart w:id="74" w:name="_Toc150480756"/>
      <w:bookmarkStart w:id="75" w:name="_Toc226309762"/>
      <w:bookmarkStart w:id="76" w:name="_Toc150509269"/>
      <w:bookmarkStart w:id="77" w:name="_Toc151193688"/>
      <w:bookmarkStart w:id="78" w:name="_Toc151193616"/>
      <w:bookmarkStart w:id="79" w:name="_Toc150774618"/>
      <w:bookmarkStart w:id="80" w:name="_Toc226965708"/>
      <w:bookmarkStart w:id="81" w:name="_Toc142311020"/>
      <w:bookmarkStart w:id="82" w:name="_Toc151193832"/>
      <w:bookmarkStart w:id="83" w:name="_Toc305158860"/>
      <w:bookmarkStart w:id="84" w:name="_Toc151190145"/>
      <w:bookmarkStart w:id="85" w:name="_Toc150774723"/>
      <w:bookmarkStart w:id="86" w:name="_Toc127151518"/>
      <w:bookmarkStart w:id="87" w:name="_Toc265228356"/>
      <w:bookmarkStart w:id="88" w:name="_Toc305158786"/>
      <w:bookmarkStart w:id="89" w:name="_Toc151193906"/>
      <w:r>
        <w:rPr>
          <w:rFonts w:hint="eastAsia" w:ascii="宋体" w:hAnsi="宋体" w:eastAsia="宋体" w:cs="Times New Roman"/>
          <w:b/>
          <w:bCs/>
          <w:color w:val="auto"/>
          <w:sz w:val="28"/>
          <w:szCs w:val="28"/>
          <w:highlight w:val="none"/>
          <w:shd w:val="clear" w:color="auto" w:fill="auto"/>
          <w:lang w:val="en-US" w:eastAsia="zh-CN"/>
        </w:rPr>
        <w:t>一   说  明</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p w14:paraId="154FEED9">
      <w:pPr>
        <w:keepNext w:val="0"/>
        <w:keepLines w:val="0"/>
        <w:pageBreakBefore w:val="0"/>
        <w:widowControl w:val="0"/>
        <w:numPr>
          <w:ilvl w:val="0"/>
          <w:numId w:val="1"/>
        </w:numPr>
        <w:tabs>
          <w:tab w:val="left" w:pos="360"/>
          <w:tab w:val="clear" w:pos="90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szCs w:val="24"/>
          <w:highlight w:val="none"/>
          <w:shd w:val="clear" w:color="auto" w:fill="auto"/>
        </w:rPr>
      </w:pPr>
      <w:bookmarkStart w:id="90" w:name="_Toc305158787"/>
      <w:bookmarkStart w:id="91" w:name="_Toc305158861"/>
      <w:bookmarkStart w:id="92" w:name="_Toc265228357"/>
      <w:bookmarkStart w:id="93" w:name="_Toc264969209"/>
      <w:r>
        <w:rPr>
          <w:rFonts w:hint="eastAsia" w:ascii="宋体" w:hAnsi="宋体" w:eastAsia="宋体" w:cs="宋体"/>
          <w:color w:val="auto"/>
          <w:sz w:val="24"/>
          <w:szCs w:val="24"/>
          <w:highlight w:val="none"/>
          <w:shd w:val="clear" w:color="auto" w:fill="auto"/>
        </w:rPr>
        <w:t>采购人、采购代理机构、供应商</w:t>
      </w:r>
      <w:bookmarkEnd w:id="90"/>
      <w:bookmarkEnd w:id="91"/>
      <w:bookmarkEnd w:id="92"/>
      <w:bookmarkEnd w:id="93"/>
      <w:r>
        <w:rPr>
          <w:rFonts w:hint="eastAsia" w:ascii="宋体" w:hAnsi="宋体" w:eastAsia="宋体" w:cs="宋体"/>
          <w:color w:val="auto"/>
          <w:sz w:val="24"/>
          <w:szCs w:val="24"/>
          <w:highlight w:val="none"/>
          <w:shd w:val="clear" w:color="auto" w:fill="auto"/>
        </w:rPr>
        <w:t>、联合体</w:t>
      </w:r>
    </w:p>
    <w:p w14:paraId="53D3971C">
      <w:pPr>
        <w:keepNext w:val="0"/>
        <w:keepLines w:val="0"/>
        <w:pageBreakBefore w:val="0"/>
        <w:widowControl w:val="0"/>
        <w:numPr>
          <w:ilvl w:val="1"/>
          <w:numId w:val="1"/>
        </w:numPr>
        <w:tabs>
          <w:tab w:val="left" w:pos="1080"/>
          <w:tab w:val="left" w:pos="2014"/>
          <w:tab w:val="left" w:pos="5521"/>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采购人、采购代理机构：指依法进行政府采购的国家机关、事业单位、团体组织，及其委托的采购代理机构。本项目采购人、采购代理机构见第一章《采购邀请》。</w:t>
      </w:r>
    </w:p>
    <w:p w14:paraId="7477C86A">
      <w:pPr>
        <w:keepNext w:val="0"/>
        <w:keepLines w:val="0"/>
        <w:pageBreakBefore w:val="0"/>
        <w:widowControl w:val="0"/>
        <w:numPr>
          <w:ilvl w:val="1"/>
          <w:numId w:val="1"/>
        </w:numPr>
        <w:tabs>
          <w:tab w:val="left" w:pos="1080"/>
          <w:tab w:val="left" w:pos="2014"/>
          <w:tab w:val="left" w:pos="5521"/>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供应商（也称“申请人”）：指向采购人提供货物、工程或者服务的法人、其他组织或者自然人。</w:t>
      </w:r>
    </w:p>
    <w:p w14:paraId="673711C2">
      <w:pPr>
        <w:keepNext w:val="0"/>
        <w:keepLines w:val="0"/>
        <w:pageBreakBefore w:val="0"/>
        <w:widowControl w:val="0"/>
        <w:numPr>
          <w:ilvl w:val="1"/>
          <w:numId w:val="1"/>
        </w:numPr>
        <w:tabs>
          <w:tab w:val="left" w:pos="1080"/>
          <w:tab w:val="left" w:pos="2014"/>
          <w:tab w:val="left" w:pos="5521"/>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联合体：指两个以上的自然人、法人或者其他组织组成一个联合体，以一个供应商的身份共同参加政府采购。</w:t>
      </w:r>
    </w:p>
    <w:p w14:paraId="710AE7EC">
      <w:pPr>
        <w:keepNext w:val="0"/>
        <w:keepLines w:val="0"/>
        <w:pageBreakBefore w:val="0"/>
        <w:widowControl w:val="0"/>
        <w:numPr>
          <w:ilvl w:val="0"/>
          <w:numId w:val="1"/>
        </w:numPr>
        <w:tabs>
          <w:tab w:val="left" w:pos="360"/>
          <w:tab w:val="clear" w:pos="90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szCs w:val="24"/>
          <w:highlight w:val="none"/>
          <w:shd w:val="clear" w:color="auto" w:fill="auto"/>
        </w:rPr>
      </w:pPr>
      <w:bookmarkStart w:id="94" w:name="_Toc226309764"/>
      <w:bookmarkStart w:id="95" w:name="_Toc151190147"/>
      <w:bookmarkStart w:id="96" w:name="_Toc151193618"/>
      <w:bookmarkStart w:id="97" w:name="_Toc151193690"/>
      <w:bookmarkStart w:id="98" w:name="_Toc127161434"/>
      <w:bookmarkStart w:id="99" w:name="_Toc305158788"/>
      <w:bookmarkStart w:id="100" w:name="_Toc305158862"/>
      <w:bookmarkStart w:id="101" w:name="_Toc150509271"/>
      <w:bookmarkStart w:id="102" w:name="_Toc164608634"/>
      <w:bookmarkStart w:id="103" w:name="_Toc150774620"/>
      <w:bookmarkStart w:id="104" w:name="_Toc127151721"/>
      <w:bookmarkStart w:id="105" w:name="_Toc151193762"/>
      <w:bookmarkStart w:id="106" w:name="_Toc164351614"/>
      <w:bookmarkStart w:id="107" w:name="_Toc151193908"/>
      <w:bookmarkStart w:id="108" w:name="_Toc150480758"/>
      <w:bookmarkStart w:id="109" w:name="_Toc150774725"/>
      <w:bookmarkStart w:id="110" w:name="_Toc164608789"/>
      <w:bookmarkStart w:id="111" w:name="_Toc151193834"/>
      <w:bookmarkStart w:id="112" w:name="_Toc226337216"/>
      <w:bookmarkStart w:id="113" w:name="_Toc149720813"/>
      <w:bookmarkStart w:id="114" w:name="_Toc164229361"/>
      <w:bookmarkStart w:id="115" w:name="_Toc164229215"/>
      <w:bookmarkStart w:id="116" w:name="_Toc195842885"/>
      <w:bookmarkStart w:id="117" w:name="_Toc226965793"/>
      <w:bookmarkStart w:id="118" w:name="_Toc264969210"/>
      <w:bookmarkStart w:id="119" w:name="_Toc226965710"/>
      <w:bookmarkStart w:id="120" w:name="_Toc127151520"/>
      <w:bookmarkStart w:id="121" w:name="_Toc265228358"/>
      <w:bookmarkStart w:id="122" w:name="_Toc142311022"/>
      <w:r>
        <w:rPr>
          <w:rFonts w:hint="eastAsia" w:ascii="宋体" w:hAnsi="宋体" w:eastAsia="宋体" w:cs="宋体"/>
          <w:color w:val="auto"/>
          <w:sz w:val="24"/>
          <w:szCs w:val="24"/>
          <w:highlight w:val="none"/>
          <w:shd w:val="clear" w:color="auto" w:fill="auto"/>
        </w:rPr>
        <w:t>资金来源</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r>
        <w:rPr>
          <w:rFonts w:hint="eastAsia" w:ascii="宋体" w:hAnsi="宋体" w:eastAsia="宋体" w:cs="宋体"/>
          <w:color w:val="auto"/>
          <w:sz w:val="24"/>
          <w:szCs w:val="24"/>
          <w:highlight w:val="none"/>
          <w:shd w:val="clear" w:color="auto" w:fill="auto"/>
        </w:rPr>
        <w:t>、项目属性、科研仪器设备采购</w:t>
      </w:r>
    </w:p>
    <w:p w14:paraId="0B6BF4CE">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资金来源为财政性资金和/或本项目采购中无法与财政性资金分割的非财政性资金。</w:t>
      </w:r>
    </w:p>
    <w:p w14:paraId="6533E57A">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项目属性见《供应商须知资料表》。</w:t>
      </w:r>
    </w:p>
    <w:p w14:paraId="2C4CF660">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是否属于科研仪器设备采购见《供应商须知资料表》。</w:t>
      </w:r>
    </w:p>
    <w:p w14:paraId="19EC06AC">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现场考察、磋商前答疑会</w:t>
      </w:r>
    </w:p>
    <w:p w14:paraId="3DD914A3">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若《供应商须知资料表》中规定了组织现场考察、召开磋商前答疑会，则供应商应按要求在规定的时间和地点参加。</w:t>
      </w:r>
      <w:bookmarkStart w:id="123" w:name="_Toc151193836"/>
      <w:bookmarkStart w:id="124" w:name="_Toc151193764"/>
      <w:bookmarkStart w:id="125" w:name="_Toc195842887"/>
      <w:bookmarkStart w:id="126" w:name="_Toc226965712"/>
      <w:bookmarkStart w:id="127" w:name="_Toc151193692"/>
      <w:bookmarkStart w:id="128" w:name="_Toc127151522"/>
      <w:bookmarkStart w:id="129" w:name="_Toc264969212"/>
      <w:bookmarkStart w:id="130" w:name="_Toc226337218"/>
      <w:bookmarkStart w:id="131" w:name="_Toc142311024"/>
      <w:bookmarkStart w:id="132" w:name="_Toc226309766"/>
      <w:bookmarkStart w:id="133" w:name="_Toc305158864"/>
      <w:bookmarkStart w:id="134" w:name="_Toc226965795"/>
      <w:bookmarkStart w:id="135" w:name="_Toc151193620"/>
      <w:bookmarkStart w:id="136" w:name="_Toc305158790"/>
      <w:bookmarkStart w:id="137" w:name="_Toc520356146"/>
      <w:bookmarkStart w:id="138" w:name="_Toc150774622"/>
      <w:bookmarkStart w:id="139" w:name="_Toc150509273"/>
      <w:bookmarkStart w:id="140" w:name="_Toc265228360"/>
      <w:bookmarkStart w:id="141" w:name="_Toc150774727"/>
      <w:bookmarkStart w:id="142" w:name="_Toc151193910"/>
      <w:bookmarkStart w:id="143" w:name="_Toc151190149"/>
      <w:bookmarkStart w:id="144" w:name="_Toc150480760"/>
    </w:p>
    <w:p w14:paraId="7399D290">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由于未参加现场考察或磋商前答疑会而导致对项目实际情况不了解，影响响应文件编制、报价准确性、综合因素响应不全面等问题的，由供应商自行承担不利评审后果。</w:t>
      </w:r>
    </w:p>
    <w:p w14:paraId="555C02AF">
      <w:pPr>
        <w:keepNext w:val="0"/>
        <w:keepLines w:val="0"/>
        <w:pageBreakBefore w:val="0"/>
        <w:widowControl w:val="0"/>
        <w:numPr>
          <w:ilvl w:val="0"/>
          <w:numId w:val="1"/>
        </w:numPr>
        <w:tabs>
          <w:tab w:val="left" w:pos="360"/>
          <w:tab w:val="clear" w:pos="90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政府采购政策（包括但不限于下列具体政策要求）</w:t>
      </w:r>
    </w:p>
    <w:p w14:paraId="6608537E">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进口产品</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lang w:val="en-US" w:eastAsia="zh-CN"/>
        </w:rPr>
        <w:t>本项目不涉及</w:t>
      </w:r>
      <w:r>
        <w:rPr>
          <w:rFonts w:hint="eastAsia" w:ascii="宋体" w:hAnsi="宋体" w:eastAsia="宋体" w:cs="宋体"/>
          <w:color w:val="auto"/>
          <w:sz w:val="24"/>
          <w:szCs w:val="24"/>
          <w:highlight w:val="none"/>
          <w:shd w:val="clear" w:color="auto" w:fill="auto"/>
          <w:lang w:eastAsia="zh-CN"/>
        </w:rPr>
        <w:t>）</w:t>
      </w:r>
    </w:p>
    <w:p w14:paraId="1245E0DC">
      <w:pPr>
        <w:keepNext w:val="0"/>
        <w:keepLines w:val="0"/>
        <w:pageBreakBefore w:val="0"/>
        <w:widowControl w:val="0"/>
        <w:numPr>
          <w:ilvl w:val="2"/>
          <w:numId w:val="1"/>
        </w:numPr>
        <w:tabs>
          <w:tab w:val="left" w:pos="2014"/>
        </w:tabs>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E8EF292">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中小企业、监狱企业及残疾人福利性单位</w:t>
      </w:r>
    </w:p>
    <w:p w14:paraId="65150C15">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中小企业定义：</w:t>
      </w:r>
    </w:p>
    <w:p w14:paraId="6B5F78CF">
      <w:pPr>
        <w:pStyle w:val="16"/>
        <w:keepNext w:val="0"/>
        <w:keepLines w:val="0"/>
        <w:pageBreakBefore w:val="0"/>
        <w:widowControl w:val="0"/>
        <w:numPr>
          <w:ilvl w:val="0"/>
          <w:numId w:val="2"/>
        </w:numPr>
        <w:tabs>
          <w:tab w:val="left" w:pos="1980"/>
          <w:tab w:val="left" w:pos="2035"/>
          <w:tab w:val="left" w:pos="2977"/>
        </w:tabs>
        <w:kinsoku/>
        <w:wordWrap/>
        <w:overflowPunct/>
        <w:topLinePunct w:val="0"/>
        <w:autoSpaceDE/>
        <w:autoSpaceDN/>
        <w:bidi w:val="0"/>
        <w:adjustRightInd/>
        <w:snapToGrid w:val="0"/>
        <w:spacing w:line="360" w:lineRule="auto"/>
        <w:ind w:firstLineChars="0"/>
        <w:textAlignment w:val="auto"/>
        <w:rPr>
          <w:rFonts w:hint="eastAsia" w:ascii="宋体" w:hAnsi="宋体" w:eastAsia="宋体" w:cs="宋体"/>
          <w:vanish/>
          <w:color w:val="auto"/>
          <w:sz w:val="24"/>
          <w:szCs w:val="24"/>
          <w:highlight w:val="none"/>
          <w:shd w:val="clear" w:color="auto" w:fill="auto"/>
        </w:rPr>
      </w:pPr>
    </w:p>
    <w:p w14:paraId="7DB011D5">
      <w:pPr>
        <w:pStyle w:val="16"/>
        <w:keepNext w:val="0"/>
        <w:keepLines w:val="0"/>
        <w:pageBreakBefore w:val="0"/>
        <w:widowControl w:val="0"/>
        <w:numPr>
          <w:ilvl w:val="0"/>
          <w:numId w:val="2"/>
        </w:numPr>
        <w:tabs>
          <w:tab w:val="left" w:pos="1980"/>
          <w:tab w:val="left" w:pos="2035"/>
          <w:tab w:val="left" w:pos="2977"/>
        </w:tabs>
        <w:kinsoku/>
        <w:wordWrap/>
        <w:overflowPunct/>
        <w:topLinePunct w:val="0"/>
        <w:autoSpaceDE/>
        <w:autoSpaceDN/>
        <w:bidi w:val="0"/>
        <w:adjustRightInd/>
        <w:snapToGrid w:val="0"/>
        <w:spacing w:line="360" w:lineRule="auto"/>
        <w:ind w:firstLineChars="0"/>
        <w:textAlignment w:val="auto"/>
        <w:rPr>
          <w:rFonts w:hint="eastAsia" w:ascii="宋体" w:hAnsi="宋体" w:eastAsia="宋体" w:cs="宋体"/>
          <w:vanish/>
          <w:color w:val="auto"/>
          <w:sz w:val="24"/>
          <w:szCs w:val="24"/>
          <w:highlight w:val="none"/>
          <w:shd w:val="clear" w:color="auto" w:fill="auto"/>
        </w:rPr>
      </w:pPr>
    </w:p>
    <w:p w14:paraId="229C725C">
      <w:pPr>
        <w:pStyle w:val="16"/>
        <w:keepNext w:val="0"/>
        <w:keepLines w:val="0"/>
        <w:pageBreakBefore w:val="0"/>
        <w:widowControl w:val="0"/>
        <w:numPr>
          <w:ilvl w:val="0"/>
          <w:numId w:val="2"/>
        </w:numPr>
        <w:tabs>
          <w:tab w:val="left" w:pos="1980"/>
          <w:tab w:val="left" w:pos="2035"/>
          <w:tab w:val="left" w:pos="2977"/>
        </w:tabs>
        <w:kinsoku/>
        <w:wordWrap/>
        <w:overflowPunct/>
        <w:topLinePunct w:val="0"/>
        <w:autoSpaceDE/>
        <w:autoSpaceDN/>
        <w:bidi w:val="0"/>
        <w:adjustRightInd/>
        <w:snapToGrid w:val="0"/>
        <w:spacing w:line="360" w:lineRule="auto"/>
        <w:ind w:firstLineChars="0"/>
        <w:textAlignment w:val="auto"/>
        <w:rPr>
          <w:rFonts w:hint="eastAsia" w:ascii="宋体" w:hAnsi="宋体" w:eastAsia="宋体" w:cs="宋体"/>
          <w:vanish/>
          <w:color w:val="auto"/>
          <w:sz w:val="24"/>
          <w:szCs w:val="24"/>
          <w:highlight w:val="none"/>
          <w:shd w:val="clear" w:color="auto" w:fill="auto"/>
        </w:rPr>
      </w:pPr>
    </w:p>
    <w:p w14:paraId="5481F191">
      <w:pPr>
        <w:pStyle w:val="16"/>
        <w:keepNext w:val="0"/>
        <w:keepLines w:val="0"/>
        <w:pageBreakBefore w:val="0"/>
        <w:widowControl w:val="0"/>
        <w:numPr>
          <w:ilvl w:val="0"/>
          <w:numId w:val="2"/>
        </w:numPr>
        <w:tabs>
          <w:tab w:val="left" w:pos="1980"/>
          <w:tab w:val="left" w:pos="2035"/>
          <w:tab w:val="left" w:pos="2977"/>
        </w:tabs>
        <w:kinsoku/>
        <w:wordWrap/>
        <w:overflowPunct/>
        <w:topLinePunct w:val="0"/>
        <w:autoSpaceDE/>
        <w:autoSpaceDN/>
        <w:bidi w:val="0"/>
        <w:adjustRightInd/>
        <w:snapToGrid w:val="0"/>
        <w:spacing w:line="360" w:lineRule="auto"/>
        <w:ind w:firstLineChars="0"/>
        <w:textAlignment w:val="auto"/>
        <w:rPr>
          <w:rFonts w:hint="eastAsia" w:ascii="宋体" w:hAnsi="宋体" w:eastAsia="宋体" w:cs="宋体"/>
          <w:vanish/>
          <w:color w:val="auto"/>
          <w:sz w:val="24"/>
          <w:szCs w:val="24"/>
          <w:highlight w:val="none"/>
          <w:shd w:val="clear" w:color="auto" w:fill="auto"/>
        </w:rPr>
      </w:pPr>
    </w:p>
    <w:p w14:paraId="774F70F1">
      <w:pPr>
        <w:pStyle w:val="16"/>
        <w:keepNext w:val="0"/>
        <w:keepLines w:val="0"/>
        <w:pageBreakBefore w:val="0"/>
        <w:widowControl w:val="0"/>
        <w:numPr>
          <w:ilvl w:val="1"/>
          <w:numId w:val="2"/>
        </w:numPr>
        <w:tabs>
          <w:tab w:val="left" w:pos="1980"/>
          <w:tab w:val="left" w:pos="2035"/>
          <w:tab w:val="left" w:pos="2977"/>
        </w:tabs>
        <w:kinsoku/>
        <w:wordWrap/>
        <w:overflowPunct/>
        <w:topLinePunct w:val="0"/>
        <w:autoSpaceDE/>
        <w:autoSpaceDN/>
        <w:bidi w:val="0"/>
        <w:adjustRightInd/>
        <w:snapToGrid w:val="0"/>
        <w:spacing w:line="360" w:lineRule="auto"/>
        <w:ind w:firstLineChars="0"/>
        <w:textAlignment w:val="auto"/>
        <w:rPr>
          <w:rFonts w:hint="eastAsia" w:ascii="宋体" w:hAnsi="宋体" w:eastAsia="宋体" w:cs="宋体"/>
          <w:vanish/>
          <w:color w:val="auto"/>
          <w:sz w:val="24"/>
          <w:szCs w:val="24"/>
          <w:highlight w:val="none"/>
          <w:shd w:val="clear" w:color="auto" w:fill="auto"/>
        </w:rPr>
      </w:pPr>
    </w:p>
    <w:p w14:paraId="069C1F98">
      <w:pPr>
        <w:pStyle w:val="16"/>
        <w:keepNext w:val="0"/>
        <w:keepLines w:val="0"/>
        <w:pageBreakBefore w:val="0"/>
        <w:widowControl w:val="0"/>
        <w:numPr>
          <w:ilvl w:val="1"/>
          <w:numId w:val="2"/>
        </w:numPr>
        <w:tabs>
          <w:tab w:val="left" w:pos="1980"/>
          <w:tab w:val="left" w:pos="2035"/>
          <w:tab w:val="left" w:pos="2977"/>
        </w:tabs>
        <w:kinsoku/>
        <w:wordWrap/>
        <w:overflowPunct/>
        <w:topLinePunct w:val="0"/>
        <w:autoSpaceDE/>
        <w:autoSpaceDN/>
        <w:bidi w:val="0"/>
        <w:adjustRightInd/>
        <w:snapToGrid w:val="0"/>
        <w:spacing w:line="360" w:lineRule="auto"/>
        <w:ind w:firstLineChars="0"/>
        <w:textAlignment w:val="auto"/>
        <w:rPr>
          <w:rFonts w:hint="eastAsia" w:ascii="宋体" w:hAnsi="宋体" w:eastAsia="宋体" w:cs="宋体"/>
          <w:vanish/>
          <w:color w:val="auto"/>
          <w:sz w:val="24"/>
          <w:szCs w:val="24"/>
          <w:highlight w:val="none"/>
          <w:shd w:val="clear" w:color="auto" w:fill="auto"/>
        </w:rPr>
      </w:pPr>
    </w:p>
    <w:p w14:paraId="59DC1A68">
      <w:pPr>
        <w:pStyle w:val="16"/>
        <w:keepNext w:val="0"/>
        <w:keepLines w:val="0"/>
        <w:pageBreakBefore w:val="0"/>
        <w:widowControl w:val="0"/>
        <w:numPr>
          <w:ilvl w:val="2"/>
          <w:numId w:val="2"/>
        </w:numPr>
        <w:tabs>
          <w:tab w:val="left" w:pos="2035"/>
          <w:tab w:val="left" w:pos="2977"/>
        </w:tabs>
        <w:kinsoku/>
        <w:wordWrap/>
        <w:overflowPunct/>
        <w:topLinePunct w:val="0"/>
        <w:autoSpaceDE/>
        <w:autoSpaceDN/>
        <w:bidi w:val="0"/>
        <w:adjustRightInd/>
        <w:snapToGrid w:val="0"/>
        <w:spacing w:line="360" w:lineRule="auto"/>
        <w:ind w:firstLineChars="0"/>
        <w:textAlignment w:val="auto"/>
        <w:rPr>
          <w:rFonts w:hint="eastAsia" w:ascii="宋体" w:hAnsi="宋体" w:eastAsia="宋体" w:cs="宋体"/>
          <w:vanish/>
          <w:color w:val="auto"/>
          <w:sz w:val="24"/>
          <w:szCs w:val="24"/>
          <w:highlight w:val="none"/>
          <w:shd w:val="clear" w:color="auto" w:fill="auto"/>
        </w:rPr>
      </w:pPr>
    </w:p>
    <w:p w14:paraId="32351C56">
      <w:pPr>
        <w:keepNext w:val="0"/>
        <w:keepLines w:val="0"/>
        <w:pageBreakBefore w:val="0"/>
        <w:widowControl w:val="0"/>
        <w:numPr>
          <w:ilvl w:val="3"/>
          <w:numId w:val="2"/>
        </w:numPr>
        <w:tabs>
          <w:tab w:val="left" w:pos="1980"/>
          <w:tab w:val="left" w:pos="2035"/>
          <w:tab w:val="left" w:pos="2885"/>
          <w:tab w:val="left" w:pos="2977"/>
          <w:tab w:val="clear" w:pos="900"/>
        </w:tabs>
        <w:kinsoku/>
        <w:wordWrap/>
        <w:overflowPunct/>
        <w:topLinePunct w:val="0"/>
        <w:autoSpaceDE/>
        <w:autoSpaceDN/>
        <w:bidi w:val="0"/>
        <w:adjustRightInd/>
        <w:snapToGrid w:val="0"/>
        <w:spacing w:line="360" w:lineRule="auto"/>
        <w:ind w:left="2885"/>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571441E9">
      <w:pPr>
        <w:keepNext w:val="0"/>
        <w:keepLines w:val="0"/>
        <w:pageBreakBefore w:val="0"/>
        <w:widowControl w:val="0"/>
        <w:numPr>
          <w:ilvl w:val="3"/>
          <w:numId w:val="2"/>
        </w:numPr>
        <w:tabs>
          <w:tab w:val="left" w:pos="1980"/>
          <w:tab w:val="left" w:pos="2035"/>
          <w:tab w:val="left" w:pos="2885"/>
          <w:tab w:val="left" w:pos="2977"/>
          <w:tab w:val="clear" w:pos="900"/>
        </w:tabs>
        <w:kinsoku/>
        <w:wordWrap/>
        <w:overflowPunct/>
        <w:topLinePunct w:val="0"/>
        <w:autoSpaceDE/>
        <w:autoSpaceDN/>
        <w:bidi w:val="0"/>
        <w:adjustRightInd/>
        <w:snapToGrid w:val="0"/>
        <w:spacing w:line="360" w:lineRule="auto"/>
        <w:ind w:left="2885"/>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供应商提供的货物、工程或者服务符合下列情形的，享受中小企业扶持政策：</w:t>
      </w:r>
    </w:p>
    <w:p w14:paraId="5B5DE33A">
      <w:pPr>
        <w:keepNext w:val="0"/>
        <w:keepLines w:val="0"/>
        <w:pageBreakBefore w:val="0"/>
        <w:widowControl w:val="0"/>
        <w:tabs>
          <w:tab w:val="left" w:pos="1980"/>
        </w:tabs>
        <w:kinsoku/>
        <w:wordWrap/>
        <w:overflowPunct/>
        <w:topLinePunct w:val="0"/>
        <w:autoSpaceDE/>
        <w:autoSpaceDN/>
        <w:bidi w:val="0"/>
        <w:adjustRightInd/>
        <w:snapToGrid w:val="0"/>
        <w:spacing w:line="360" w:lineRule="auto"/>
        <w:ind w:left="2835" w:leftChars="135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（1）在货物采购项目中，货物由中小企业制造，即货物由中小企业生产且使用该中小企业商号或者注册商标；</w:t>
      </w:r>
    </w:p>
    <w:p w14:paraId="78C0B4BB">
      <w:pPr>
        <w:keepNext w:val="0"/>
        <w:keepLines w:val="0"/>
        <w:pageBreakBefore w:val="0"/>
        <w:widowControl w:val="0"/>
        <w:tabs>
          <w:tab w:val="left" w:pos="1980"/>
        </w:tabs>
        <w:kinsoku/>
        <w:wordWrap/>
        <w:overflowPunct/>
        <w:topLinePunct w:val="0"/>
        <w:autoSpaceDE/>
        <w:autoSpaceDN/>
        <w:bidi w:val="0"/>
        <w:adjustRightInd/>
        <w:snapToGrid w:val="0"/>
        <w:spacing w:line="360" w:lineRule="auto"/>
        <w:ind w:left="2835" w:leftChars="135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（2）在工程采购项目中，工程由中小企业承建，即工程施工单位为中小企业；</w:t>
      </w:r>
    </w:p>
    <w:p w14:paraId="1819E965">
      <w:pPr>
        <w:keepNext w:val="0"/>
        <w:keepLines w:val="0"/>
        <w:pageBreakBefore w:val="0"/>
        <w:widowControl w:val="0"/>
        <w:tabs>
          <w:tab w:val="left" w:pos="1980"/>
        </w:tabs>
        <w:kinsoku/>
        <w:wordWrap/>
        <w:overflowPunct/>
        <w:topLinePunct w:val="0"/>
        <w:autoSpaceDE/>
        <w:autoSpaceDN/>
        <w:bidi w:val="0"/>
        <w:adjustRightInd/>
        <w:snapToGrid w:val="0"/>
        <w:spacing w:line="360" w:lineRule="auto"/>
        <w:ind w:left="2835" w:leftChars="135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（3）在服务采购项目中，服务由中小企业承接，即提供服务的人员为中小企业依照《中华人民共和国劳动合同法》订立劳动合同的从业人员。</w:t>
      </w:r>
    </w:p>
    <w:p w14:paraId="586D82C7">
      <w:pPr>
        <w:keepNext w:val="0"/>
        <w:keepLines w:val="0"/>
        <w:pageBreakBefore w:val="0"/>
        <w:widowControl w:val="0"/>
        <w:numPr>
          <w:ilvl w:val="3"/>
          <w:numId w:val="2"/>
        </w:numPr>
        <w:tabs>
          <w:tab w:val="left" w:pos="1980"/>
          <w:tab w:val="left" w:pos="2035"/>
          <w:tab w:val="left" w:pos="2885"/>
          <w:tab w:val="left" w:pos="2977"/>
          <w:tab w:val="clear" w:pos="900"/>
        </w:tabs>
        <w:kinsoku/>
        <w:wordWrap/>
        <w:overflowPunct/>
        <w:topLinePunct w:val="0"/>
        <w:autoSpaceDE/>
        <w:autoSpaceDN/>
        <w:bidi w:val="0"/>
        <w:adjustRightInd/>
        <w:snapToGrid w:val="0"/>
        <w:spacing w:line="360" w:lineRule="auto"/>
        <w:ind w:left="2885"/>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在货物采购项目中，供应商提供的货物既有中小企业制造货物，也有大型企业制造货物的，不享受中小企业扶持政策。</w:t>
      </w:r>
    </w:p>
    <w:p w14:paraId="72BE22FB">
      <w:pPr>
        <w:keepNext w:val="0"/>
        <w:keepLines w:val="0"/>
        <w:pageBreakBefore w:val="0"/>
        <w:widowControl w:val="0"/>
        <w:numPr>
          <w:ilvl w:val="3"/>
          <w:numId w:val="2"/>
        </w:numPr>
        <w:tabs>
          <w:tab w:val="left" w:pos="1980"/>
          <w:tab w:val="left" w:pos="2035"/>
          <w:tab w:val="left" w:pos="2885"/>
          <w:tab w:val="left" w:pos="2977"/>
          <w:tab w:val="clear" w:pos="900"/>
        </w:tabs>
        <w:kinsoku/>
        <w:wordWrap/>
        <w:overflowPunct/>
        <w:topLinePunct w:val="0"/>
        <w:autoSpaceDE/>
        <w:autoSpaceDN/>
        <w:bidi w:val="0"/>
        <w:adjustRightInd/>
        <w:snapToGrid w:val="0"/>
        <w:spacing w:line="360" w:lineRule="auto"/>
        <w:ind w:left="2885"/>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以联合体形式参加政府采购活动，联合体各方均为中小企业的，联合体视同中小企业。其中，联合体各方均为小微企业的，联合体视同小微企业。</w:t>
      </w:r>
    </w:p>
    <w:p w14:paraId="32873213">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6B03E26">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残疾人福利单位定义：享受政府采购支持政策的残疾人福利性单位应当同时满足以下条件：</w:t>
      </w:r>
    </w:p>
    <w:p w14:paraId="6AB533F8">
      <w:pPr>
        <w:pStyle w:val="16"/>
        <w:keepNext w:val="0"/>
        <w:keepLines w:val="0"/>
        <w:pageBreakBefore w:val="0"/>
        <w:widowControl w:val="0"/>
        <w:numPr>
          <w:ilvl w:val="2"/>
          <w:numId w:val="2"/>
        </w:numPr>
        <w:tabs>
          <w:tab w:val="left" w:pos="2035"/>
          <w:tab w:val="left" w:pos="2977"/>
        </w:tabs>
        <w:kinsoku/>
        <w:wordWrap/>
        <w:overflowPunct/>
        <w:topLinePunct w:val="0"/>
        <w:autoSpaceDE/>
        <w:autoSpaceDN/>
        <w:bidi w:val="0"/>
        <w:adjustRightInd/>
        <w:snapToGrid w:val="0"/>
        <w:spacing w:line="360" w:lineRule="auto"/>
        <w:ind w:firstLineChars="0"/>
        <w:textAlignment w:val="auto"/>
        <w:rPr>
          <w:rFonts w:hint="eastAsia" w:ascii="宋体" w:hAnsi="宋体" w:eastAsia="宋体" w:cs="宋体"/>
          <w:vanish/>
          <w:color w:val="auto"/>
          <w:sz w:val="24"/>
          <w:szCs w:val="24"/>
          <w:highlight w:val="none"/>
          <w:shd w:val="clear" w:color="auto" w:fill="auto"/>
        </w:rPr>
      </w:pPr>
    </w:p>
    <w:p w14:paraId="3AA70683">
      <w:pPr>
        <w:pStyle w:val="16"/>
        <w:keepNext w:val="0"/>
        <w:keepLines w:val="0"/>
        <w:pageBreakBefore w:val="0"/>
        <w:widowControl w:val="0"/>
        <w:numPr>
          <w:ilvl w:val="2"/>
          <w:numId w:val="2"/>
        </w:numPr>
        <w:tabs>
          <w:tab w:val="left" w:pos="2035"/>
          <w:tab w:val="left" w:pos="2977"/>
        </w:tabs>
        <w:kinsoku/>
        <w:wordWrap/>
        <w:overflowPunct/>
        <w:topLinePunct w:val="0"/>
        <w:autoSpaceDE/>
        <w:autoSpaceDN/>
        <w:bidi w:val="0"/>
        <w:adjustRightInd/>
        <w:snapToGrid w:val="0"/>
        <w:spacing w:line="360" w:lineRule="auto"/>
        <w:ind w:firstLineChars="0"/>
        <w:textAlignment w:val="auto"/>
        <w:rPr>
          <w:rFonts w:hint="eastAsia" w:ascii="宋体" w:hAnsi="宋体" w:eastAsia="宋体" w:cs="宋体"/>
          <w:vanish/>
          <w:color w:val="auto"/>
          <w:sz w:val="24"/>
          <w:szCs w:val="24"/>
          <w:highlight w:val="none"/>
          <w:shd w:val="clear" w:color="auto" w:fill="auto"/>
        </w:rPr>
      </w:pPr>
    </w:p>
    <w:p w14:paraId="7A4F4D3D">
      <w:pPr>
        <w:keepNext w:val="0"/>
        <w:keepLines w:val="0"/>
        <w:pageBreakBefore w:val="0"/>
        <w:widowControl w:val="0"/>
        <w:numPr>
          <w:ilvl w:val="3"/>
          <w:numId w:val="2"/>
        </w:numPr>
        <w:tabs>
          <w:tab w:val="left" w:pos="1980"/>
          <w:tab w:val="left" w:pos="2035"/>
          <w:tab w:val="left" w:pos="2885"/>
          <w:tab w:val="left" w:pos="2977"/>
          <w:tab w:val="clear" w:pos="900"/>
        </w:tabs>
        <w:kinsoku/>
        <w:wordWrap/>
        <w:overflowPunct/>
        <w:topLinePunct w:val="0"/>
        <w:autoSpaceDE/>
        <w:autoSpaceDN/>
        <w:bidi w:val="0"/>
        <w:adjustRightInd/>
        <w:snapToGrid w:val="0"/>
        <w:spacing w:line="360" w:lineRule="auto"/>
        <w:ind w:left="2885"/>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安置的残疾人占本单位在职职工人数的比例不低于25%（含25%），并且安置的残疾人人数不少于10 人（含10 人）；</w:t>
      </w:r>
    </w:p>
    <w:p w14:paraId="62AB4AD4">
      <w:pPr>
        <w:keepNext w:val="0"/>
        <w:keepLines w:val="0"/>
        <w:pageBreakBefore w:val="0"/>
        <w:widowControl w:val="0"/>
        <w:numPr>
          <w:ilvl w:val="3"/>
          <w:numId w:val="2"/>
        </w:numPr>
        <w:tabs>
          <w:tab w:val="left" w:pos="1980"/>
          <w:tab w:val="left" w:pos="2035"/>
          <w:tab w:val="left" w:pos="2885"/>
          <w:tab w:val="left" w:pos="2977"/>
          <w:tab w:val="clear" w:pos="900"/>
        </w:tabs>
        <w:kinsoku/>
        <w:wordWrap/>
        <w:overflowPunct/>
        <w:topLinePunct w:val="0"/>
        <w:autoSpaceDE/>
        <w:autoSpaceDN/>
        <w:bidi w:val="0"/>
        <w:adjustRightInd/>
        <w:snapToGrid w:val="0"/>
        <w:spacing w:line="360" w:lineRule="auto"/>
        <w:ind w:left="2885"/>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依法与安置的每位残疾人签订了一年以上（含一年）的劳动合同或服务协议；</w:t>
      </w:r>
    </w:p>
    <w:p w14:paraId="41B9ED0E">
      <w:pPr>
        <w:keepNext w:val="0"/>
        <w:keepLines w:val="0"/>
        <w:pageBreakBefore w:val="0"/>
        <w:widowControl w:val="0"/>
        <w:numPr>
          <w:ilvl w:val="3"/>
          <w:numId w:val="2"/>
        </w:numPr>
        <w:tabs>
          <w:tab w:val="left" w:pos="1980"/>
          <w:tab w:val="left" w:pos="2035"/>
          <w:tab w:val="left" w:pos="2885"/>
          <w:tab w:val="left" w:pos="2977"/>
          <w:tab w:val="clear" w:pos="900"/>
        </w:tabs>
        <w:kinsoku/>
        <w:wordWrap/>
        <w:overflowPunct/>
        <w:topLinePunct w:val="0"/>
        <w:autoSpaceDE/>
        <w:autoSpaceDN/>
        <w:bidi w:val="0"/>
        <w:adjustRightInd/>
        <w:snapToGrid w:val="0"/>
        <w:spacing w:line="360" w:lineRule="auto"/>
        <w:ind w:left="2885"/>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为安置的每位残疾人按月足额缴纳了基本养老保险、基本医疗保险、失业保险、工伤保险和生育保险等社会保险费；</w:t>
      </w:r>
    </w:p>
    <w:p w14:paraId="0B14348C">
      <w:pPr>
        <w:keepNext w:val="0"/>
        <w:keepLines w:val="0"/>
        <w:pageBreakBefore w:val="0"/>
        <w:widowControl w:val="0"/>
        <w:numPr>
          <w:ilvl w:val="3"/>
          <w:numId w:val="2"/>
        </w:numPr>
        <w:tabs>
          <w:tab w:val="left" w:pos="1980"/>
          <w:tab w:val="left" w:pos="2035"/>
          <w:tab w:val="left" w:pos="2885"/>
          <w:tab w:val="left" w:pos="2977"/>
          <w:tab w:val="clear" w:pos="900"/>
        </w:tabs>
        <w:kinsoku/>
        <w:wordWrap/>
        <w:overflowPunct/>
        <w:topLinePunct w:val="0"/>
        <w:autoSpaceDE/>
        <w:autoSpaceDN/>
        <w:bidi w:val="0"/>
        <w:adjustRightInd/>
        <w:snapToGrid w:val="0"/>
        <w:spacing w:line="360" w:lineRule="auto"/>
        <w:ind w:left="2885"/>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通过银行等金融机构向安置的每位残疾人，按月支付了不低于单位所在区县适用的经省级人民政府批准的月最低工资标准的工资；</w:t>
      </w:r>
    </w:p>
    <w:p w14:paraId="2F8F11B1">
      <w:pPr>
        <w:keepNext w:val="0"/>
        <w:keepLines w:val="0"/>
        <w:pageBreakBefore w:val="0"/>
        <w:widowControl w:val="0"/>
        <w:numPr>
          <w:ilvl w:val="3"/>
          <w:numId w:val="2"/>
        </w:numPr>
        <w:tabs>
          <w:tab w:val="left" w:pos="1980"/>
          <w:tab w:val="left" w:pos="2035"/>
          <w:tab w:val="left" w:pos="2885"/>
          <w:tab w:val="left" w:pos="2977"/>
          <w:tab w:val="clear" w:pos="900"/>
        </w:tabs>
        <w:kinsoku/>
        <w:wordWrap/>
        <w:overflowPunct/>
        <w:topLinePunct w:val="0"/>
        <w:autoSpaceDE/>
        <w:autoSpaceDN/>
        <w:bidi w:val="0"/>
        <w:adjustRightInd/>
        <w:snapToGrid w:val="0"/>
        <w:spacing w:line="360" w:lineRule="auto"/>
        <w:ind w:left="2885"/>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提供本单位制造的货物、承担的工程或者服务（以下简称产品），或者提供其他残疾人福利性单位制造的货物（不包括使用非残疾人福利性单位注册商标的货物）；</w:t>
      </w:r>
    </w:p>
    <w:p w14:paraId="56A2DFA7">
      <w:pPr>
        <w:keepNext w:val="0"/>
        <w:keepLines w:val="0"/>
        <w:pageBreakBefore w:val="0"/>
        <w:widowControl w:val="0"/>
        <w:numPr>
          <w:ilvl w:val="3"/>
          <w:numId w:val="2"/>
        </w:numPr>
        <w:tabs>
          <w:tab w:val="left" w:pos="1980"/>
          <w:tab w:val="left" w:pos="2035"/>
          <w:tab w:val="left" w:pos="2885"/>
          <w:tab w:val="left" w:pos="2977"/>
          <w:tab w:val="clear" w:pos="900"/>
        </w:tabs>
        <w:kinsoku/>
        <w:wordWrap/>
        <w:overflowPunct/>
        <w:topLinePunct w:val="0"/>
        <w:autoSpaceDE/>
        <w:autoSpaceDN/>
        <w:bidi w:val="0"/>
        <w:adjustRightInd/>
        <w:snapToGrid w:val="0"/>
        <w:spacing w:line="360" w:lineRule="auto"/>
        <w:ind w:left="2885"/>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3B3D5E83">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本项目是否专门面向中小企业预留采购份额见第一章《采购邀请》。</w:t>
      </w:r>
    </w:p>
    <w:p w14:paraId="33103633">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采购标的对应的中小企业划分标准所属行业见《供应商须知资料表》。</w:t>
      </w:r>
    </w:p>
    <w:p w14:paraId="66D43B08">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小微企业价格评审优惠的政策调整：见第三章《评审方法和评审标准》。</w:t>
      </w:r>
    </w:p>
    <w:p w14:paraId="4D597803">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政府采购节能产品、环境标志产品（</w:t>
      </w:r>
      <w:r>
        <w:rPr>
          <w:rFonts w:hint="eastAsia" w:ascii="宋体" w:hAnsi="宋体" w:eastAsia="宋体" w:cs="宋体"/>
          <w:color w:val="auto"/>
          <w:sz w:val="24"/>
          <w:szCs w:val="24"/>
          <w:highlight w:val="none"/>
          <w:shd w:val="clear" w:color="auto" w:fill="auto"/>
          <w:lang w:val="en-US" w:eastAsia="zh-CN"/>
        </w:rPr>
        <w:t>本项目不涉及</w:t>
      </w:r>
      <w:r>
        <w:rPr>
          <w:rFonts w:hint="eastAsia" w:ascii="宋体" w:hAnsi="宋体" w:eastAsia="宋体" w:cs="宋体"/>
          <w:color w:val="auto"/>
          <w:sz w:val="24"/>
          <w:szCs w:val="24"/>
          <w:highlight w:val="none"/>
          <w:shd w:val="clear" w:color="auto" w:fill="auto"/>
        </w:rPr>
        <w:t>）</w:t>
      </w:r>
    </w:p>
    <w:p w14:paraId="1617D82E">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258B4F3">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6D991C49">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color w:val="auto"/>
          <w:kern w:val="0"/>
          <w:sz w:val="24"/>
          <w:szCs w:val="24"/>
          <w:highlight w:val="none"/>
          <w:shd w:val="clear" w:color="auto" w:fill="auto"/>
        </w:rPr>
        <w:t>否则</w:t>
      </w:r>
      <w:r>
        <w:rPr>
          <w:rFonts w:hint="eastAsia" w:ascii="宋体" w:hAnsi="宋体" w:eastAsia="宋体" w:cs="宋体"/>
          <w:b/>
          <w:color w:val="auto"/>
          <w:kern w:val="0"/>
          <w:sz w:val="24"/>
          <w:szCs w:val="24"/>
          <w:highlight w:val="none"/>
          <w:shd w:val="clear" w:color="auto" w:fill="auto"/>
        </w:rPr>
        <w:t>响应无效</w:t>
      </w:r>
      <w:r>
        <w:rPr>
          <w:rFonts w:hint="eastAsia" w:ascii="宋体" w:hAnsi="宋体" w:eastAsia="宋体" w:cs="宋体"/>
          <w:color w:val="auto"/>
          <w:sz w:val="24"/>
          <w:szCs w:val="24"/>
          <w:highlight w:val="none"/>
          <w:shd w:val="clear" w:color="auto" w:fill="auto"/>
        </w:rPr>
        <w:t>；</w:t>
      </w:r>
    </w:p>
    <w:p w14:paraId="5EA9F215">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非政府强制采购的节能产品或环境标志产品，依据品目清单和认证证书实施政府优先采购。优先采购的具体规定见第三章《评审方法和评审标准》。</w:t>
      </w:r>
    </w:p>
    <w:p w14:paraId="1FDF52B1">
      <w:pPr>
        <w:keepNext w:val="0"/>
        <w:keepLines w:val="0"/>
        <w:pageBreakBefore w:val="0"/>
        <w:widowControl w:val="0"/>
        <w:numPr>
          <w:ilvl w:val="2"/>
          <w:numId w:val="1"/>
        </w:numPr>
        <w:tabs>
          <w:tab w:val="left" w:pos="2014"/>
        </w:tabs>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p>
    <w:p w14:paraId="4929DCEE">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支持乡村产业振兴管理（</w:t>
      </w:r>
      <w:r>
        <w:rPr>
          <w:rFonts w:hint="eastAsia" w:ascii="宋体" w:hAnsi="宋体" w:eastAsia="宋体" w:cs="宋体"/>
          <w:color w:val="auto"/>
          <w:sz w:val="24"/>
          <w:szCs w:val="24"/>
          <w:highlight w:val="none"/>
          <w:shd w:val="clear" w:color="auto" w:fill="auto"/>
          <w:lang w:val="en-US" w:eastAsia="zh-CN"/>
        </w:rPr>
        <w:t>本项目不涉及</w:t>
      </w:r>
      <w:r>
        <w:rPr>
          <w:rFonts w:hint="eastAsia" w:ascii="宋体" w:hAnsi="宋体" w:eastAsia="宋体" w:cs="宋体"/>
          <w:color w:val="auto"/>
          <w:sz w:val="24"/>
          <w:szCs w:val="24"/>
          <w:highlight w:val="none"/>
          <w:shd w:val="clear" w:color="auto" w:fill="auto"/>
        </w:rPr>
        <w:t>）</w:t>
      </w:r>
    </w:p>
    <w:p w14:paraId="7507E35D">
      <w:pPr>
        <w:keepNext w:val="0"/>
        <w:keepLines w:val="0"/>
        <w:pageBreakBefore w:val="0"/>
        <w:widowControl w:val="0"/>
        <w:numPr>
          <w:ilvl w:val="2"/>
          <w:numId w:val="1"/>
        </w:numPr>
        <w:tabs>
          <w:tab w:val="left" w:pos="2014"/>
        </w:tabs>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为落实《关于运用政府采购政策支持乡村产业振兴的通知》（财库〔2021〕19号）有关要求，做好支持脱贫攻坚工作，本项目采购活动中对于支持乡村振兴管理的相关要求见第四章《采购需求》。</w:t>
      </w:r>
    </w:p>
    <w:p w14:paraId="044DA720">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正版软件（</w:t>
      </w:r>
      <w:r>
        <w:rPr>
          <w:rFonts w:hint="eastAsia" w:ascii="宋体" w:hAnsi="宋体" w:eastAsia="宋体" w:cs="宋体"/>
          <w:color w:val="auto"/>
          <w:sz w:val="24"/>
          <w:szCs w:val="24"/>
          <w:highlight w:val="none"/>
          <w:shd w:val="clear" w:color="auto" w:fill="auto"/>
          <w:lang w:val="en-US" w:eastAsia="zh-CN"/>
        </w:rPr>
        <w:t>本项目不涉及</w:t>
      </w:r>
      <w:r>
        <w:rPr>
          <w:rFonts w:hint="eastAsia" w:ascii="宋体" w:hAnsi="宋体" w:eastAsia="宋体" w:cs="宋体"/>
          <w:color w:val="auto"/>
          <w:sz w:val="24"/>
          <w:szCs w:val="24"/>
          <w:highlight w:val="none"/>
          <w:shd w:val="clear" w:color="auto" w:fill="auto"/>
        </w:rPr>
        <w:t>）</w:t>
      </w:r>
    </w:p>
    <w:p w14:paraId="26298BF2">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eastAsia="宋体" w:cs="宋体"/>
          <w:color w:val="auto"/>
          <w:kern w:val="0"/>
          <w:sz w:val="24"/>
          <w:szCs w:val="24"/>
          <w:highlight w:val="none"/>
          <w:shd w:val="clear" w:color="auto" w:fill="auto"/>
        </w:rPr>
        <w:t>否则</w:t>
      </w:r>
      <w:r>
        <w:rPr>
          <w:rFonts w:hint="eastAsia" w:ascii="宋体" w:hAnsi="宋体" w:eastAsia="宋体" w:cs="宋体"/>
          <w:b/>
          <w:color w:val="auto"/>
          <w:kern w:val="0"/>
          <w:sz w:val="24"/>
          <w:szCs w:val="24"/>
          <w:highlight w:val="none"/>
          <w:shd w:val="clear" w:color="auto" w:fill="auto"/>
        </w:rPr>
        <w:t>响应无效</w:t>
      </w:r>
      <w:r>
        <w:rPr>
          <w:rFonts w:hint="eastAsia" w:ascii="宋体" w:hAnsi="宋体" w:eastAsia="宋体" w:cs="宋体"/>
          <w:color w:val="auto"/>
          <w:sz w:val="24"/>
          <w:szCs w:val="24"/>
          <w:highlight w:val="none"/>
          <w:shd w:val="clear" w:color="auto" w:fill="auto"/>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11C679EE">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74704750">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政府采购创新产品政策（</w:t>
      </w:r>
      <w:r>
        <w:rPr>
          <w:rFonts w:hint="eastAsia" w:ascii="宋体" w:hAnsi="宋体" w:eastAsia="宋体" w:cs="宋体"/>
          <w:color w:val="auto"/>
          <w:sz w:val="24"/>
          <w:szCs w:val="24"/>
          <w:highlight w:val="none"/>
          <w:shd w:val="clear" w:color="auto" w:fill="auto"/>
          <w:lang w:val="en-US" w:eastAsia="zh-CN"/>
        </w:rPr>
        <w:t>本项目不涉及</w:t>
      </w:r>
      <w:r>
        <w:rPr>
          <w:rFonts w:hint="eastAsia" w:ascii="宋体" w:hAnsi="宋体" w:eastAsia="宋体" w:cs="宋体"/>
          <w:color w:val="auto"/>
          <w:sz w:val="24"/>
          <w:szCs w:val="24"/>
          <w:highlight w:val="none"/>
          <w:shd w:val="clear" w:color="auto" w:fill="auto"/>
        </w:rPr>
        <w:t>）</w:t>
      </w:r>
    </w:p>
    <w:p w14:paraId="501ABDB3">
      <w:pPr>
        <w:keepNext w:val="0"/>
        <w:keepLines w:val="0"/>
        <w:pageBreakBefore w:val="0"/>
        <w:widowControl w:val="0"/>
        <w:numPr>
          <w:ilvl w:val="2"/>
          <w:numId w:val="1"/>
        </w:numPr>
        <w:tabs>
          <w:tab w:val="left" w:pos="2014"/>
        </w:tabs>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73C8986C">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绿色采购政策</w:t>
      </w:r>
    </w:p>
    <w:p w14:paraId="22B8021C">
      <w:pPr>
        <w:keepNext w:val="0"/>
        <w:keepLines w:val="0"/>
        <w:pageBreakBefore w:val="0"/>
        <w:widowControl w:val="0"/>
        <w:numPr>
          <w:ilvl w:val="2"/>
          <w:numId w:val="1"/>
        </w:numPr>
        <w:tabs>
          <w:tab w:val="left" w:pos="2014"/>
        </w:tabs>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绿色数据中心政策 </w:t>
      </w:r>
    </w:p>
    <w:p w14:paraId="46F889A9">
      <w:pPr>
        <w:keepNext w:val="0"/>
        <w:keepLines w:val="0"/>
        <w:pageBreakBefore w:val="0"/>
        <w:widowControl w:val="0"/>
        <w:numPr>
          <w:ilvl w:val="0"/>
          <w:numId w:val="0"/>
        </w:numPr>
        <w:tabs>
          <w:tab w:val="left" w:pos="1980"/>
          <w:tab w:val="left" w:pos="2520"/>
        </w:tabs>
        <w:kinsoku/>
        <w:wordWrap/>
        <w:overflowPunct/>
        <w:topLinePunct w:val="0"/>
        <w:autoSpaceDE/>
        <w:autoSpaceDN/>
        <w:bidi w:val="0"/>
        <w:adjustRightInd/>
        <w:snapToGrid w:val="0"/>
        <w:spacing w:line="360" w:lineRule="auto"/>
        <w:ind w:left="1445" w:leftChars="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4ED6F600">
      <w:pPr>
        <w:keepNext w:val="0"/>
        <w:keepLines w:val="0"/>
        <w:pageBreakBefore w:val="0"/>
        <w:widowControl w:val="0"/>
        <w:numPr>
          <w:ilvl w:val="2"/>
          <w:numId w:val="1"/>
        </w:numPr>
        <w:tabs>
          <w:tab w:val="left" w:pos="2014"/>
        </w:tabs>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推广应用绿色建材</w:t>
      </w:r>
    </w:p>
    <w:p w14:paraId="7B62809D">
      <w:pPr>
        <w:keepNext w:val="0"/>
        <w:keepLines w:val="0"/>
        <w:pageBreakBefore w:val="0"/>
        <w:widowControl w:val="0"/>
        <w:numPr>
          <w:ilvl w:val="0"/>
          <w:numId w:val="0"/>
        </w:numPr>
        <w:tabs>
          <w:tab w:val="left" w:pos="1980"/>
          <w:tab w:val="left" w:pos="2520"/>
        </w:tabs>
        <w:kinsoku/>
        <w:wordWrap/>
        <w:overflowPunct/>
        <w:topLinePunct w:val="0"/>
        <w:autoSpaceDE/>
        <w:autoSpaceDN/>
        <w:bidi w:val="0"/>
        <w:adjustRightInd/>
        <w:snapToGrid w:val="0"/>
        <w:spacing w:line="360" w:lineRule="auto"/>
        <w:ind w:left="1445" w:leftChars="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493F851E">
      <w:pPr>
        <w:keepNext w:val="0"/>
        <w:keepLines w:val="0"/>
        <w:pageBreakBefore w:val="0"/>
        <w:widowControl w:val="0"/>
        <w:numPr>
          <w:ilvl w:val="2"/>
          <w:numId w:val="1"/>
        </w:numPr>
        <w:tabs>
          <w:tab w:val="left" w:pos="2014"/>
        </w:tabs>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优先使用低挥发性有机化合物产品</w:t>
      </w:r>
    </w:p>
    <w:p w14:paraId="49605337">
      <w:pPr>
        <w:keepNext w:val="0"/>
        <w:keepLines w:val="0"/>
        <w:pageBreakBefore w:val="0"/>
        <w:widowControl w:val="0"/>
        <w:numPr>
          <w:ilvl w:val="0"/>
          <w:numId w:val="0"/>
        </w:numPr>
        <w:tabs>
          <w:tab w:val="left" w:pos="1980"/>
          <w:tab w:val="left" w:pos="2520"/>
        </w:tabs>
        <w:kinsoku/>
        <w:wordWrap/>
        <w:overflowPunct/>
        <w:topLinePunct w:val="0"/>
        <w:autoSpaceDE/>
        <w:autoSpaceDN/>
        <w:bidi w:val="0"/>
        <w:adjustRightInd/>
        <w:snapToGrid w:val="0"/>
        <w:spacing w:line="360" w:lineRule="auto"/>
        <w:ind w:left="1445" w:leftChars="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采购人要落实挥发性有机化合物（VOCs）治理要求，若本项目中涉及涂料、胶黏剂、油墨、清洗剂等挥发性有机物产品的，属于强制性标准的，</w:t>
      </w:r>
      <w:r>
        <w:rPr>
          <w:rFonts w:hint="eastAsia" w:ascii="宋体" w:hAnsi="宋体" w:cs="宋体"/>
          <w:color w:val="auto"/>
          <w:sz w:val="24"/>
          <w:highlight w:val="none"/>
          <w:lang w:val="en-US" w:eastAsia="zh-CN"/>
        </w:rPr>
        <w:t>供应商</w:t>
      </w:r>
      <w:r>
        <w:rPr>
          <w:rFonts w:hint="eastAsia" w:ascii="宋体" w:hAnsi="宋体" w:eastAsia="宋体" w:cs="宋体"/>
          <w:color w:val="auto"/>
          <w:sz w:val="24"/>
          <w:highlight w:val="none"/>
        </w:rPr>
        <w:t>应当提供符合国家和江苏省相关VOCs 含量限制标准的产品；属于推荐性标准的，应当在采购文件中载明低VOCs的优惠幅度、评审标准等，以体现优先采购。</w:t>
      </w:r>
    </w:p>
    <w:p w14:paraId="24F028B4">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响应费用</w:t>
      </w:r>
    </w:p>
    <w:p w14:paraId="2286146B">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供应商应自行承担所有与准备和参加磋商有关的费用，无论磋商的结果如何，采购人或采购代理机构在任何情况下均无承担这些费用的义务和责任。</w:t>
      </w:r>
    </w:p>
    <w:p w14:paraId="05F2F3ED">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Times New Roman"/>
          <w:b/>
          <w:bCs/>
          <w:color w:val="auto"/>
          <w:sz w:val="28"/>
          <w:szCs w:val="28"/>
          <w:highlight w:val="none"/>
          <w:shd w:val="clear" w:color="auto" w:fill="auto"/>
          <w:lang w:val="en-US" w:eastAsia="zh-CN"/>
        </w:rPr>
      </w:pPr>
      <w:bookmarkStart w:id="145" w:name="_1.8_计量单位"/>
      <w:bookmarkEnd w:id="145"/>
    </w:p>
    <w:p w14:paraId="1D970FAF">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Times New Roman"/>
          <w:b/>
          <w:bCs/>
          <w:color w:val="auto"/>
          <w:sz w:val="28"/>
          <w:szCs w:val="28"/>
          <w:highlight w:val="none"/>
          <w:shd w:val="clear" w:color="auto" w:fill="auto"/>
          <w:lang w:val="en-US" w:eastAsia="zh-CN"/>
        </w:rPr>
      </w:pPr>
      <w:r>
        <w:rPr>
          <w:rFonts w:hint="eastAsia" w:ascii="宋体" w:hAnsi="宋体" w:eastAsia="宋体" w:cs="Times New Roman"/>
          <w:b/>
          <w:bCs/>
          <w:color w:val="auto"/>
          <w:sz w:val="28"/>
          <w:szCs w:val="28"/>
          <w:highlight w:val="none"/>
          <w:shd w:val="clear" w:color="auto" w:fill="auto"/>
          <w:lang w:val="en-US" w:eastAsia="zh-CN"/>
        </w:rPr>
        <w:t>二   竞争性磋商文件</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p>
    <w:p w14:paraId="32CC839A">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szCs w:val="24"/>
          <w:highlight w:val="none"/>
          <w:shd w:val="clear" w:color="auto" w:fill="auto"/>
        </w:rPr>
      </w:pPr>
      <w:bookmarkStart w:id="146" w:name="_Toc195842888"/>
      <w:bookmarkStart w:id="147" w:name="_Toc127161437"/>
      <w:bookmarkStart w:id="148" w:name="_Toc226309767"/>
      <w:bookmarkStart w:id="149" w:name="_Toc226965796"/>
      <w:bookmarkStart w:id="150" w:name="_Toc164229364"/>
      <w:bookmarkStart w:id="151" w:name="_Toc127151523"/>
      <w:bookmarkStart w:id="152" w:name="_Toc142311025"/>
      <w:bookmarkStart w:id="153" w:name="_Toc149720816"/>
      <w:bookmarkStart w:id="154" w:name="_Toc265228361"/>
      <w:bookmarkStart w:id="155" w:name="_Toc151193765"/>
      <w:bookmarkStart w:id="156" w:name="_Toc151193837"/>
      <w:bookmarkStart w:id="157" w:name="_Toc151190150"/>
      <w:bookmarkStart w:id="158" w:name="_Toc150774728"/>
      <w:bookmarkStart w:id="159" w:name="_Toc226965713"/>
      <w:bookmarkStart w:id="160" w:name="_Toc520356147"/>
      <w:bookmarkStart w:id="161" w:name="_Toc150774623"/>
      <w:bookmarkStart w:id="162" w:name="_Toc151193621"/>
      <w:bookmarkStart w:id="163" w:name="_Toc164229218"/>
      <w:bookmarkStart w:id="164" w:name="_Toc264969213"/>
      <w:bookmarkStart w:id="165" w:name="_Toc305158865"/>
      <w:bookmarkStart w:id="166" w:name="_Toc305158791"/>
      <w:bookmarkStart w:id="167" w:name="_Toc150480761"/>
      <w:bookmarkStart w:id="168" w:name="_Toc150509274"/>
      <w:bookmarkStart w:id="169" w:name="_Toc226337219"/>
      <w:bookmarkStart w:id="170" w:name="_Toc151193911"/>
      <w:bookmarkStart w:id="171" w:name="_Toc127151724"/>
      <w:bookmarkStart w:id="172" w:name="_Toc164351617"/>
      <w:bookmarkStart w:id="173" w:name="_Toc164608792"/>
      <w:bookmarkStart w:id="174" w:name="_Toc151193693"/>
      <w:bookmarkStart w:id="175" w:name="_Toc164608637"/>
      <w:r>
        <w:rPr>
          <w:rFonts w:hint="eastAsia" w:ascii="宋体" w:hAnsi="宋体" w:eastAsia="宋体" w:cs="宋体"/>
          <w:color w:val="auto"/>
          <w:sz w:val="24"/>
          <w:szCs w:val="24"/>
          <w:highlight w:val="none"/>
          <w:shd w:val="clear" w:color="auto" w:fill="auto"/>
        </w:rPr>
        <w:t>竞争性磋商文件构</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r>
        <w:rPr>
          <w:rFonts w:hint="eastAsia" w:ascii="宋体" w:hAnsi="宋体" w:eastAsia="宋体" w:cs="宋体"/>
          <w:color w:val="auto"/>
          <w:sz w:val="24"/>
          <w:szCs w:val="24"/>
          <w:highlight w:val="none"/>
          <w:shd w:val="clear" w:color="auto" w:fill="auto"/>
        </w:rPr>
        <w:t>成</w:t>
      </w:r>
    </w:p>
    <w:p w14:paraId="423E29AF">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竞争性磋商文件包括以下部分：</w:t>
      </w:r>
    </w:p>
    <w:p w14:paraId="63E28B9C">
      <w:pPr>
        <w:keepNext w:val="0"/>
        <w:keepLines w:val="0"/>
        <w:pageBreakBefore w:val="0"/>
        <w:widowControl w:val="0"/>
        <w:numPr>
          <w:ilvl w:val="0"/>
          <w:numId w:val="3"/>
        </w:numPr>
        <w:tabs>
          <w:tab w:val="left" w:pos="1980"/>
          <w:tab w:val="left" w:pos="2520"/>
        </w:tabs>
        <w:kinsoku/>
        <w:wordWrap/>
        <w:overflowPunct/>
        <w:topLinePunct w:val="0"/>
        <w:autoSpaceDE/>
        <w:autoSpaceDN/>
        <w:bidi w:val="0"/>
        <w:adjustRightInd/>
        <w:snapToGrid w:val="0"/>
        <w:spacing w:line="360" w:lineRule="auto"/>
        <w:ind w:left="1440" w:firstLine="5"/>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采购邀请</w:t>
      </w:r>
    </w:p>
    <w:p w14:paraId="6F06021E">
      <w:pPr>
        <w:keepNext w:val="0"/>
        <w:keepLines w:val="0"/>
        <w:pageBreakBefore w:val="0"/>
        <w:widowControl w:val="0"/>
        <w:numPr>
          <w:ilvl w:val="0"/>
          <w:numId w:val="3"/>
        </w:numPr>
        <w:tabs>
          <w:tab w:val="left" w:pos="1980"/>
          <w:tab w:val="left" w:pos="2520"/>
        </w:tabs>
        <w:kinsoku/>
        <w:wordWrap/>
        <w:overflowPunct/>
        <w:topLinePunct w:val="0"/>
        <w:autoSpaceDE/>
        <w:autoSpaceDN/>
        <w:bidi w:val="0"/>
        <w:adjustRightInd/>
        <w:snapToGrid w:val="0"/>
        <w:spacing w:line="360" w:lineRule="auto"/>
        <w:ind w:left="1440" w:firstLine="5"/>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供应商须知</w:t>
      </w:r>
    </w:p>
    <w:p w14:paraId="1729578A">
      <w:pPr>
        <w:keepNext w:val="0"/>
        <w:keepLines w:val="0"/>
        <w:pageBreakBefore w:val="0"/>
        <w:widowControl w:val="0"/>
        <w:numPr>
          <w:ilvl w:val="0"/>
          <w:numId w:val="3"/>
        </w:numPr>
        <w:tabs>
          <w:tab w:val="left" w:pos="1980"/>
          <w:tab w:val="left" w:pos="2520"/>
        </w:tabs>
        <w:kinsoku/>
        <w:wordWrap/>
        <w:overflowPunct/>
        <w:topLinePunct w:val="0"/>
        <w:autoSpaceDE/>
        <w:autoSpaceDN/>
        <w:bidi w:val="0"/>
        <w:adjustRightInd/>
        <w:snapToGrid w:val="0"/>
        <w:spacing w:line="360" w:lineRule="auto"/>
        <w:ind w:left="1440" w:firstLine="5"/>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评审程序、评审方法和评审标准</w:t>
      </w:r>
    </w:p>
    <w:p w14:paraId="35D5B417">
      <w:pPr>
        <w:keepNext w:val="0"/>
        <w:keepLines w:val="0"/>
        <w:pageBreakBefore w:val="0"/>
        <w:widowControl w:val="0"/>
        <w:numPr>
          <w:ilvl w:val="0"/>
          <w:numId w:val="3"/>
        </w:numPr>
        <w:tabs>
          <w:tab w:val="left" w:pos="1980"/>
          <w:tab w:val="left" w:pos="2520"/>
        </w:tabs>
        <w:kinsoku/>
        <w:wordWrap/>
        <w:overflowPunct/>
        <w:topLinePunct w:val="0"/>
        <w:autoSpaceDE/>
        <w:autoSpaceDN/>
        <w:bidi w:val="0"/>
        <w:adjustRightInd/>
        <w:snapToGrid w:val="0"/>
        <w:spacing w:line="360" w:lineRule="auto"/>
        <w:ind w:left="1440" w:firstLine="5"/>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采购需求</w:t>
      </w:r>
    </w:p>
    <w:p w14:paraId="0E53E5BE">
      <w:pPr>
        <w:keepNext w:val="0"/>
        <w:keepLines w:val="0"/>
        <w:pageBreakBefore w:val="0"/>
        <w:widowControl w:val="0"/>
        <w:numPr>
          <w:ilvl w:val="0"/>
          <w:numId w:val="3"/>
        </w:numPr>
        <w:tabs>
          <w:tab w:val="left" w:pos="1980"/>
          <w:tab w:val="left" w:pos="2520"/>
        </w:tabs>
        <w:kinsoku/>
        <w:wordWrap/>
        <w:overflowPunct/>
        <w:topLinePunct w:val="0"/>
        <w:autoSpaceDE/>
        <w:autoSpaceDN/>
        <w:bidi w:val="0"/>
        <w:adjustRightInd/>
        <w:snapToGrid w:val="0"/>
        <w:spacing w:line="360" w:lineRule="auto"/>
        <w:ind w:left="1440" w:firstLine="5"/>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合同草案条款</w:t>
      </w:r>
    </w:p>
    <w:p w14:paraId="27CEA913">
      <w:pPr>
        <w:keepNext w:val="0"/>
        <w:keepLines w:val="0"/>
        <w:pageBreakBefore w:val="0"/>
        <w:widowControl w:val="0"/>
        <w:numPr>
          <w:ilvl w:val="0"/>
          <w:numId w:val="3"/>
        </w:numPr>
        <w:tabs>
          <w:tab w:val="left" w:pos="1980"/>
          <w:tab w:val="left" w:pos="2520"/>
        </w:tabs>
        <w:kinsoku/>
        <w:wordWrap/>
        <w:overflowPunct/>
        <w:topLinePunct w:val="0"/>
        <w:autoSpaceDE/>
        <w:autoSpaceDN/>
        <w:bidi w:val="0"/>
        <w:adjustRightInd/>
        <w:snapToGrid w:val="0"/>
        <w:spacing w:line="360" w:lineRule="auto"/>
        <w:ind w:left="1440" w:firstLine="5"/>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响应文件格式</w:t>
      </w:r>
    </w:p>
    <w:p w14:paraId="19C648B4">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eastAsia="宋体" w:cs="宋体"/>
          <w:b/>
          <w:color w:val="auto"/>
          <w:sz w:val="24"/>
          <w:szCs w:val="24"/>
          <w:highlight w:val="none"/>
          <w:shd w:val="clear" w:color="auto" w:fill="auto"/>
        </w:rPr>
        <w:t>响应无效</w:t>
      </w:r>
      <w:r>
        <w:rPr>
          <w:rFonts w:hint="eastAsia" w:ascii="宋体" w:hAnsi="宋体" w:eastAsia="宋体" w:cs="宋体"/>
          <w:color w:val="auto"/>
          <w:sz w:val="24"/>
          <w:szCs w:val="24"/>
          <w:highlight w:val="none"/>
          <w:shd w:val="clear" w:color="auto" w:fill="auto"/>
        </w:rPr>
        <w:t>。</w:t>
      </w:r>
    </w:p>
    <w:p w14:paraId="11C4531D">
      <w:pPr>
        <w:keepNext w:val="0"/>
        <w:keepLines w:val="0"/>
        <w:pageBreakBefore w:val="0"/>
        <w:widowControl w:val="0"/>
        <w:numPr>
          <w:ilvl w:val="0"/>
          <w:numId w:val="1"/>
        </w:numPr>
        <w:tabs>
          <w:tab w:val="left" w:pos="1080"/>
          <w:tab w:val="left" w:pos="2014"/>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对竞争性磋商文件的澄清或修改</w:t>
      </w:r>
    </w:p>
    <w:p w14:paraId="41B88F4F">
      <w:pPr>
        <w:keepNext w:val="0"/>
        <w:keepLines w:val="0"/>
        <w:pageBreakBefore w:val="0"/>
        <w:widowControl w:val="0"/>
        <w:numPr>
          <w:ilvl w:val="1"/>
          <w:numId w:val="1"/>
        </w:numPr>
        <w:tabs>
          <w:tab w:val="left" w:pos="1080"/>
          <w:tab w:val="left" w:pos="1561"/>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采购人或采购代理机构对已发出的竞争性磋商文件进行必要澄清或者修改的，将在原公告发布媒体上以发布更正公告的形式通知所有获取磋商文件的供应商。</w:t>
      </w:r>
    </w:p>
    <w:p w14:paraId="719D9EAD">
      <w:pPr>
        <w:keepNext w:val="0"/>
        <w:keepLines w:val="0"/>
        <w:pageBreakBefore w:val="0"/>
        <w:widowControl w:val="0"/>
        <w:numPr>
          <w:ilvl w:val="1"/>
          <w:numId w:val="1"/>
        </w:numPr>
        <w:tabs>
          <w:tab w:val="left" w:pos="1080"/>
          <w:tab w:val="left" w:pos="1561"/>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p>
    <w:p w14:paraId="2AFB9AE3">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Times New Roman"/>
          <w:b/>
          <w:bCs/>
          <w:color w:val="auto"/>
          <w:sz w:val="28"/>
          <w:szCs w:val="28"/>
          <w:highlight w:val="none"/>
          <w:shd w:val="clear" w:color="auto" w:fill="auto"/>
          <w:lang w:val="en-US" w:eastAsia="zh-CN"/>
        </w:rPr>
      </w:pPr>
      <w:bookmarkStart w:id="176" w:name="_Toc516367020"/>
      <w:bookmarkStart w:id="177" w:name="_Toc265228364"/>
      <w:bookmarkStart w:id="178" w:name="_Toc150509277"/>
      <w:bookmarkStart w:id="179" w:name="_Toc127151526"/>
      <w:bookmarkStart w:id="180" w:name="_Toc151193624"/>
      <w:bookmarkStart w:id="181" w:name="_Toc264969216"/>
      <w:bookmarkStart w:id="182" w:name="_Toc151193840"/>
      <w:bookmarkStart w:id="183" w:name="_Toc151193914"/>
      <w:bookmarkStart w:id="184" w:name="_Toc305158794"/>
      <w:bookmarkStart w:id="185" w:name="_Toc226337222"/>
      <w:bookmarkStart w:id="186" w:name="_Toc150774731"/>
      <w:bookmarkStart w:id="187" w:name="_Toc195842891"/>
      <w:bookmarkStart w:id="188" w:name="_Toc226965716"/>
      <w:bookmarkStart w:id="189" w:name="_Toc150774626"/>
      <w:bookmarkStart w:id="190" w:name="_Toc151193696"/>
      <w:bookmarkStart w:id="191" w:name="_Toc226309770"/>
      <w:bookmarkStart w:id="192" w:name="_Toc151190153"/>
      <w:bookmarkStart w:id="193" w:name="_Toc226965799"/>
      <w:bookmarkStart w:id="194" w:name="_Toc520356150"/>
      <w:bookmarkStart w:id="195" w:name="_Toc150480764"/>
      <w:bookmarkStart w:id="196" w:name="_Toc151193768"/>
      <w:bookmarkStart w:id="197" w:name="_Toc305158868"/>
      <w:bookmarkStart w:id="198" w:name="_Toc142311028"/>
    </w:p>
    <w:p w14:paraId="00ACBF54">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Times New Roman"/>
          <w:b/>
          <w:bCs/>
          <w:color w:val="auto"/>
          <w:sz w:val="28"/>
          <w:szCs w:val="28"/>
          <w:highlight w:val="none"/>
          <w:shd w:val="clear" w:color="auto" w:fill="auto"/>
          <w:lang w:val="en-US" w:eastAsia="zh-CN"/>
        </w:rPr>
      </w:pPr>
      <w:r>
        <w:rPr>
          <w:rFonts w:hint="eastAsia" w:ascii="宋体" w:hAnsi="宋体" w:eastAsia="宋体" w:cs="Times New Roman"/>
          <w:b/>
          <w:bCs/>
          <w:color w:val="auto"/>
          <w:sz w:val="28"/>
          <w:szCs w:val="28"/>
          <w:highlight w:val="none"/>
          <w:shd w:val="clear" w:color="auto" w:fill="auto"/>
          <w:lang w:val="en-US" w:eastAsia="zh-CN"/>
        </w:rPr>
        <w:t>三   响应文件</w:t>
      </w:r>
      <w:bookmarkEnd w:id="176"/>
      <w:r>
        <w:rPr>
          <w:rFonts w:hint="eastAsia" w:ascii="宋体" w:hAnsi="宋体" w:eastAsia="宋体" w:cs="Times New Roman"/>
          <w:b/>
          <w:bCs/>
          <w:color w:val="auto"/>
          <w:sz w:val="28"/>
          <w:szCs w:val="28"/>
          <w:highlight w:val="none"/>
          <w:shd w:val="clear" w:color="auto" w:fill="auto"/>
          <w:lang w:val="en-US" w:eastAsia="zh-CN"/>
        </w:rPr>
        <w:t>的编制</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14:paraId="2EE1CD35">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highlight w:val="none"/>
          <w:shd w:val="clear" w:color="auto" w:fill="auto"/>
        </w:rPr>
      </w:pPr>
      <w:bookmarkStart w:id="199" w:name="_Toc164351621"/>
      <w:bookmarkStart w:id="200" w:name="_Toc127151728"/>
      <w:bookmarkStart w:id="201" w:name="_Toc151193841"/>
      <w:bookmarkStart w:id="202" w:name="_Toc226965800"/>
      <w:bookmarkStart w:id="203" w:name="_Toc149720820"/>
      <w:bookmarkStart w:id="204" w:name="_Toc164229222"/>
      <w:bookmarkStart w:id="205" w:name="_Toc142311029"/>
      <w:bookmarkStart w:id="206" w:name="_Toc151193697"/>
      <w:bookmarkStart w:id="207" w:name="_Toc516367021"/>
      <w:bookmarkStart w:id="208" w:name="_Toc305158869"/>
      <w:bookmarkStart w:id="209" w:name="_Toc127161441"/>
      <w:bookmarkStart w:id="210" w:name="_Toc164608641"/>
      <w:bookmarkStart w:id="211" w:name="_Toc265228365"/>
      <w:bookmarkStart w:id="212" w:name="_Toc226965717"/>
      <w:bookmarkStart w:id="213" w:name="_Toc150509278"/>
      <w:bookmarkStart w:id="214" w:name="_Toc151190154"/>
      <w:bookmarkStart w:id="215" w:name="_Toc150774627"/>
      <w:bookmarkStart w:id="216" w:name="_Toc195842892"/>
      <w:bookmarkStart w:id="217" w:name="_Toc151193915"/>
      <w:bookmarkStart w:id="218" w:name="_Toc150774732"/>
      <w:bookmarkStart w:id="219" w:name="_Toc150480765"/>
      <w:bookmarkStart w:id="220" w:name="_Toc226309771"/>
      <w:bookmarkStart w:id="221" w:name="_Toc164229368"/>
      <w:bookmarkStart w:id="222" w:name="_Toc226337223"/>
      <w:bookmarkStart w:id="223" w:name="_Toc127151527"/>
      <w:bookmarkStart w:id="224" w:name="_Toc305158795"/>
      <w:bookmarkStart w:id="225" w:name="_Toc520356151"/>
      <w:bookmarkStart w:id="226" w:name="_Toc164608796"/>
      <w:bookmarkStart w:id="227" w:name="_Toc151193625"/>
      <w:bookmarkStart w:id="228" w:name="_Toc151193769"/>
      <w:bookmarkStart w:id="229" w:name="_Toc264969217"/>
      <w:r>
        <w:rPr>
          <w:rFonts w:hint="eastAsia" w:ascii="宋体" w:hAnsi="宋体" w:eastAsia="宋体" w:cs="宋体"/>
          <w:color w:val="auto"/>
          <w:sz w:val="24"/>
          <w:highlight w:val="none"/>
          <w:shd w:val="clear" w:color="auto" w:fill="auto"/>
        </w:rPr>
        <w:t>响应范围、竞争性磋商文件中计量单位的使用</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r>
        <w:rPr>
          <w:rFonts w:hint="eastAsia" w:ascii="宋体" w:hAnsi="宋体" w:eastAsia="宋体" w:cs="宋体"/>
          <w:color w:val="auto"/>
          <w:sz w:val="24"/>
          <w:highlight w:val="none"/>
          <w:shd w:val="clear" w:color="auto" w:fill="auto"/>
        </w:rPr>
        <w:t>及磋商语言</w:t>
      </w:r>
    </w:p>
    <w:p w14:paraId="6793D1F5">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eastAsia="宋体" w:cs="宋体"/>
          <w:b/>
          <w:color w:val="auto"/>
          <w:sz w:val="24"/>
          <w:highlight w:val="none"/>
          <w:shd w:val="clear" w:color="auto" w:fill="auto"/>
        </w:rPr>
        <w:t>响应无效</w:t>
      </w:r>
      <w:r>
        <w:rPr>
          <w:rFonts w:hint="eastAsia" w:ascii="宋体" w:hAnsi="宋体" w:eastAsia="宋体" w:cs="宋体"/>
          <w:color w:val="auto"/>
          <w:sz w:val="24"/>
          <w:highlight w:val="none"/>
          <w:shd w:val="clear" w:color="auto" w:fill="auto"/>
        </w:rPr>
        <w:t>。</w:t>
      </w:r>
    </w:p>
    <w:p w14:paraId="630626D5">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除竞争性磋商文件有特殊要求外，本项目磋商所使用的计量单位，应采用中华人民共和国法定计量单位。</w:t>
      </w:r>
    </w:p>
    <w:p w14:paraId="30D5ADA9">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73D6463C">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highlight w:val="none"/>
          <w:shd w:val="clear" w:color="auto" w:fill="auto"/>
        </w:rPr>
      </w:pPr>
      <w:bookmarkStart w:id="230" w:name="_Toc516367022"/>
      <w:bookmarkStart w:id="231" w:name="_Ref467306195"/>
      <w:bookmarkStart w:id="232" w:name="_Ref467306676"/>
      <w:bookmarkStart w:id="233" w:name="_Toc151190155"/>
      <w:bookmarkStart w:id="234" w:name="_Toc226965718"/>
      <w:bookmarkStart w:id="235" w:name="_Toc226337224"/>
      <w:bookmarkStart w:id="236" w:name="_Toc150774628"/>
      <w:bookmarkStart w:id="237" w:name="_Toc150774733"/>
      <w:bookmarkStart w:id="238" w:name="_Toc151193842"/>
      <w:bookmarkStart w:id="239" w:name="_Toc195842893"/>
      <w:bookmarkStart w:id="240" w:name="_Toc151193698"/>
      <w:bookmarkStart w:id="241" w:name="_Toc142311030"/>
      <w:bookmarkStart w:id="242" w:name="_Toc150480766"/>
      <w:bookmarkStart w:id="243" w:name="_Toc151193770"/>
      <w:bookmarkStart w:id="244" w:name="_Toc127151729"/>
      <w:bookmarkStart w:id="245" w:name="_Toc127151528"/>
      <w:bookmarkStart w:id="246" w:name="_Toc264969218"/>
      <w:bookmarkStart w:id="247" w:name="_Toc305158870"/>
      <w:bookmarkStart w:id="248" w:name="_Toc265228366"/>
      <w:bookmarkStart w:id="249" w:name="_Toc164608642"/>
      <w:bookmarkStart w:id="250" w:name="_Toc151193626"/>
      <w:bookmarkStart w:id="251" w:name="_Toc164608797"/>
      <w:bookmarkStart w:id="252" w:name="_Toc164351622"/>
      <w:bookmarkStart w:id="253" w:name="_Toc520356152"/>
      <w:bookmarkStart w:id="254" w:name="_Toc305158796"/>
      <w:bookmarkStart w:id="255" w:name="_Toc150509279"/>
      <w:bookmarkStart w:id="256" w:name="_Toc127161442"/>
      <w:bookmarkStart w:id="257" w:name="_Toc151193916"/>
      <w:bookmarkStart w:id="258" w:name="_Toc226965801"/>
      <w:bookmarkStart w:id="259" w:name="_Toc164229223"/>
      <w:bookmarkStart w:id="260" w:name="_Toc164229369"/>
      <w:bookmarkStart w:id="261" w:name="_Toc226309772"/>
      <w:bookmarkStart w:id="262" w:name="_Toc149720821"/>
      <w:r>
        <w:rPr>
          <w:rFonts w:hint="eastAsia" w:ascii="宋体" w:hAnsi="宋体" w:eastAsia="宋体" w:cs="宋体"/>
          <w:color w:val="auto"/>
          <w:sz w:val="24"/>
          <w:highlight w:val="none"/>
          <w:shd w:val="clear" w:color="auto" w:fill="auto"/>
        </w:rPr>
        <w:t>响应文件</w:t>
      </w:r>
      <w:bookmarkEnd w:id="230"/>
      <w:bookmarkEnd w:id="231"/>
      <w:bookmarkEnd w:id="232"/>
      <w:r>
        <w:rPr>
          <w:rFonts w:hint="eastAsia" w:ascii="宋体" w:hAnsi="宋体" w:eastAsia="宋体" w:cs="宋体"/>
          <w:color w:val="auto"/>
          <w:sz w:val="24"/>
          <w:highlight w:val="none"/>
          <w:shd w:val="clear" w:color="auto" w:fill="auto"/>
        </w:rPr>
        <w:t>构成</w:t>
      </w:r>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14:paraId="67004D01">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bookmarkStart w:id="263" w:name="_Ref467052588"/>
      <w:r>
        <w:rPr>
          <w:rFonts w:hint="eastAsia" w:ascii="宋体" w:hAnsi="宋体" w:eastAsia="宋体" w:cs="宋体"/>
          <w:color w:val="auto"/>
          <w:sz w:val="24"/>
          <w:highlight w:val="none"/>
          <w:shd w:val="clear" w:color="auto" w:fill="auto"/>
        </w:rPr>
        <w:t>供应商应当按照竞争性磋商文件的要求编制响应文件，</w:t>
      </w:r>
      <w:r>
        <w:rPr>
          <w:rFonts w:hint="eastAsia" w:ascii="宋体" w:hAnsi="宋体" w:eastAsia="宋体" w:cs="宋体"/>
          <w:color w:val="auto"/>
          <w:kern w:val="0"/>
          <w:sz w:val="24"/>
          <w:highlight w:val="none"/>
          <w:shd w:val="clear" w:color="auto" w:fill="auto"/>
        </w:rPr>
        <w:t>并对其提交的响应文件的真实性、合法性承担法律责任</w:t>
      </w:r>
      <w:r>
        <w:rPr>
          <w:rFonts w:hint="eastAsia" w:ascii="宋体" w:hAnsi="宋体" w:eastAsia="宋体" w:cs="宋体"/>
          <w:color w:val="auto"/>
          <w:sz w:val="24"/>
          <w:highlight w:val="none"/>
          <w:shd w:val="clear" w:color="auto" w:fill="auto"/>
        </w:rPr>
        <w:t>。响应文件的部分格式要求，见第六章《响应文件格式》。</w:t>
      </w:r>
    </w:p>
    <w:p w14:paraId="49C53398">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kern w:val="0"/>
          <w:sz w:val="24"/>
          <w:highlight w:val="none"/>
          <w:shd w:val="clear" w:color="auto" w:fill="auto"/>
        </w:rPr>
        <w:t>对于竞争性磋商文件中标记了“实质性格式”文件的，</w:t>
      </w:r>
      <w:r>
        <w:rPr>
          <w:rFonts w:hint="eastAsia" w:ascii="宋体" w:hAnsi="宋体" w:eastAsia="宋体" w:cs="宋体"/>
          <w:color w:val="auto"/>
          <w:sz w:val="24"/>
          <w:highlight w:val="none"/>
          <w:shd w:val="clear" w:color="auto" w:fill="auto"/>
        </w:rPr>
        <w:t>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color w:val="auto"/>
          <w:kern w:val="0"/>
          <w:sz w:val="24"/>
          <w:highlight w:val="none"/>
          <w:shd w:val="clear" w:color="auto" w:fill="auto"/>
        </w:rPr>
        <w:t>否则响应无效</w:t>
      </w:r>
      <w:r>
        <w:rPr>
          <w:rFonts w:hint="eastAsia" w:ascii="宋体" w:hAnsi="宋体" w:eastAsia="宋体" w:cs="宋体"/>
          <w:color w:val="auto"/>
          <w:kern w:val="0"/>
          <w:sz w:val="24"/>
          <w:highlight w:val="none"/>
          <w:shd w:val="clear" w:color="auto" w:fill="auto"/>
        </w:rPr>
        <w:t>。未标记“实质性格式”的文件和竞争性磋商文件未提供格式的内容，可由供应商自行编写。</w:t>
      </w:r>
    </w:p>
    <w:p w14:paraId="3AD1CA93">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第三章《评审方法和评审标准》中涉及的证明文件。</w:t>
      </w:r>
    </w:p>
    <w:p w14:paraId="25384C87">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10D0013B">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供应商认为应附的其他材料。</w:t>
      </w:r>
      <w:bookmarkEnd w:id="263"/>
    </w:p>
    <w:p w14:paraId="59950BD3">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highlight w:val="none"/>
          <w:shd w:val="clear" w:color="auto" w:fill="auto"/>
        </w:rPr>
      </w:pPr>
      <w:bookmarkStart w:id="264" w:name="_Toc151193700"/>
      <w:bookmarkStart w:id="265" w:name="_Toc127151731"/>
      <w:bookmarkStart w:id="266" w:name="_Toc142311032"/>
      <w:bookmarkStart w:id="267" w:name="_Toc164351624"/>
      <w:bookmarkStart w:id="268" w:name="_Toc151193918"/>
      <w:bookmarkStart w:id="269" w:name="_Toc151193772"/>
      <w:bookmarkStart w:id="270" w:name="_Toc164229371"/>
      <w:bookmarkStart w:id="271" w:name="_Toc150774630"/>
      <w:bookmarkStart w:id="272" w:name="_Toc150774735"/>
      <w:bookmarkStart w:id="273" w:name="_Toc150480768"/>
      <w:bookmarkStart w:id="274" w:name="_Toc164229225"/>
      <w:bookmarkStart w:id="275" w:name="_Toc150509281"/>
      <w:bookmarkStart w:id="276" w:name="_Toc520356155"/>
      <w:bookmarkStart w:id="277" w:name="_Toc164608799"/>
      <w:bookmarkStart w:id="278" w:name="_Toc151193628"/>
      <w:bookmarkStart w:id="279" w:name="_Toc127151530"/>
      <w:bookmarkStart w:id="280" w:name="_Toc195842895"/>
      <w:bookmarkStart w:id="281" w:name="_Toc151193844"/>
      <w:bookmarkStart w:id="282" w:name="_Toc149720823"/>
      <w:bookmarkStart w:id="283" w:name="_Toc127161444"/>
      <w:bookmarkStart w:id="284" w:name="_Toc164608644"/>
      <w:bookmarkStart w:id="285" w:name="_Toc151190157"/>
      <w:r>
        <w:rPr>
          <w:rFonts w:hint="eastAsia" w:ascii="宋体" w:hAnsi="宋体" w:eastAsia="宋体" w:cs="宋体"/>
          <w:color w:val="auto"/>
          <w:sz w:val="24"/>
          <w:highlight w:val="none"/>
          <w:shd w:val="clear" w:color="auto" w:fill="auto"/>
        </w:rPr>
        <w:t>报价</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14:paraId="0646B969">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所有响应均以人民币报价。</w:t>
      </w:r>
    </w:p>
    <w:p w14:paraId="4FEF8222">
      <w:pPr>
        <w:keepNext w:val="0"/>
        <w:keepLines w:val="0"/>
        <w:pageBreakBefore w:val="0"/>
        <w:widowControl w:val="0"/>
        <w:numPr>
          <w:ilvl w:val="1"/>
          <w:numId w:val="1"/>
        </w:numPr>
        <w:tabs>
          <w:tab w:val="left" w:pos="1080"/>
        </w:tabs>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供应商的报价应包括为完成本项目所发生的一切费用和税费，采购人将不再支付报价以外的任何费用。供应商的报价应包括但不限于下列内容，《供应商须知资料表》中有特殊规定的，从其规定。</w:t>
      </w:r>
    </w:p>
    <w:p w14:paraId="494E43F2">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按照竞争性磋商文件要求完成本项目的全部相关工程费用。</w:t>
      </w:r>
    </w:p>
    <w:p w14:paraId="088467B0">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采购人不得向供应商索要或者接受其给予的赠品、回扣或者与采购无关的其他商品、服务。</w:t>
      </w:r>
    </w:p>
    <w:p w14:paraId="1E92CF79">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供应商不能提供任何有选择性或可调整的最终报价（</w:t>
      </w:r>
      <w:r>
        <w:rPr>
          <w:rFonts w:hint="eastAsia" w:ascii="宋体" w:hAnsi="宋体" w:eastAsia="宋体" w:cs="宋体"/>
          <w:color w:val="auto"/>
          <w:kern w:val="0"/>
          <w:sz w:val="24"/>
          <w:highlight w:val="none"/>
          <w:shd w:val="clear" w:color="auto" w:fill="auto"/>
        </w:rPr>
        <w:t>竞争性磋商文件</w:t>
      </w:r>
      <w:r>
        <w:rPr>
          <w:rFonts w:hint="eastAsia" w:ascii="宋体" w:hAnsi="宋体" w:eastAsia="宋体" w:cs="宋体"/>
          <w:color w:val="auto"/>
          <w:sz w:val="24"/>
          <w:highlight w:val="none"/>
          <w:shd w:val="clear" w:color="auto" w:fill="auto"/>
        </w:rPr>
        <w:t>另有规定的除外），否则其</w:t>
      </w:r>
      <w:r>
        <w:rPr>
          <w:rFonts w:hint="eastAsia" w:ascii="宋体" w:hAnsi="宋体" w:eastAsia="宋体" w:cs="宋体"/>
          <w:b/>
          <w:color w:val="auto"/>
          <w:sz w:val="24"/>
          <w:highlight w:val="none"/>
          <w:shd w:val="clear" w:color="auto" w:fill="auto"/>
        </w:rPr>
        <w:t>响应无效</w:t>
      </w:r>
      <w:r>
        <w:rPr>
          <w:rFonts w:hint="eastAsia" w:ascii="宋体" w:hAnsi="宋体" w:eastAsia="宋体" w:cs="宋体"/>
          <w:color w:val="auto"/>
          <w:sz w:val="24"/>
          <w:highlight w:val="none"/>
          <w:shd w:val="clear" w:color="auto" w:fill="auto"/>
        </w:rPr>
        <w:t>。</w:t>
      </w:r>
    </w:p>
    <w:p w14:paraId="0834B3B6">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磋商保证金</w:t>
      </w:r>
    </w:p>
    <w:p w14:paraId="5FEA2DD1">
      <w:pPr>
        <w:keepNext w:val="0"/>
        <w:keepLines w:val="0"/>
        <w:pageBreakBefore w:val="0"/>
        <w:widowControl w:val="0"/>
        <w:tabs>
          <w:tab w:val="left" w:pos="360"/>
        </w:tabs>
        <w:kinsoku/>
        <w:wordWrap/>
        <w:overflowPunct/>
        <w:topLinePunct w:val="0"/>
        <w:autoSpaceDE/>
        <w:autoSpaceDN/>
        <w:bidi w:val="0"/>
        <w:adjustRightInd/>
        <w:snapToGrid w:val="0"/>
        <w:spacing w:line="360" w:lineRule="auto"/>
        <w:ind w:firstLine="360" w:firstLineChars="150"/>
        <w:textAlignment w:val="auto"/>
        <w:outlineLvl w:val="1"/>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根据江苏省和常州市的相关文件规定，免收保证金。</w:t>
      </w:r>
    </w:p>
    <w:p w14:paraId="77D04BBF">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响应有效期</w:t>
      </w:r>
    </w:p>
    <w:p w14:paraId="53D545A5">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响应文件应在本竞争性磋商文件《供应商须知资料表》中规定的响应有效期内保持有效，响应有效期少于竞争性磋商文件规定期限的，其</w:t>
      </w:r>
      <w:r>
        <w:rPr>
          <w:rFonts w:hint="eastAsia" w:ascii="宋体" w:hAnsi="宋体" w:eastAsia="宋体" w:cs="宋体"/>
          <w:b/>
          <w:color w:val="auto"/>
          <w:sz w:val="24"/>
          <w:highlight w:val="none"/>
          <w:shd w:val="clear" w:color="auto" w:fill="auto"/>
        </w:rPr>
        <w:t>响应无效</w:t>
      </w:r>
      <w:r>
        <w:rPr>
          <w:rFonts w:hint="eastAsia" w:ascii="宋体" w:hAnsi="宋体" w:eastAsia="宋体" w:cs="宋体"/>
          <w:color w:val="auto"/>
          <w:sz w:val="24"/>
          <w:highlight w:val="none"/>
          <w:shd w:val="clear" w:color="auto" w:fill="auto"/>
        </w:rPr>
        <w:t>。</w:t>
      </w:r>
    </w:p>
    <w:p w14:paraId="6219E2B2">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响应文件的签署、盖章</w:t>
      </w:r>
    </w:p>
    <w:p w14:paraId="22510519">
      <w:pPr>
        <w:keepNext w:val="0"/>
        <w:keepLines w:val="0"/>
        <w:pageBreakBefore w:val="0"/>
        <w:widowControl w:val="0"/>
        <w:numPr>
          <w:ilvl w:val="1"/>
          <w:numId w:val="1"/>
        </w:numPr>
        <w:tabs>
          <w:tab w:val="left" w:pos="1080"/>
        </w:tabs>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highlight w:val="none"/>
          <w:shd w:val="clear" w:color="auto" w:fill="auto"/>
        </w:rPr>
      </w:pPr>
      <w:bookmarkStart w:id="286" w:name="_Toc127151534"/>
      <w:bookmarkStart w:id="287" w:name="_Toc150774739"/>
      <w:bookmarkStart w:id="288" w:name="_Toc151193704"/>
      <w:bookmarkStart w:id="289" w:name="_Toc150509285"/>
      <w:bookmarkStart w:id="290" w:name="_Toc305158876"/>
      <w:bookmarkStart w:id="291" w:name="_Toc151193632"/>
      <w:bookmarkStart w:id="292" w:name="_Toc151193922"/>
      <w:bookmarkStart w:id="293" w:name="_Toc151193848"/>
      <w:bookmarkStart w:id="294" w:name="_Toc151190161"/>
      <w:bookmarkStart w:id="295" w:name="_Toc226309778"/>
      <w:bookmarkStart w:id="296" w:name="_Toc142311036"/>
      <w:bookmarkStart w:id="297" w:name="_Toc150480772"/>
      <w:bookmarkStart w:id="298" w:name="_Toc226965724"/>
      <w:bookmarkStart w:id="299" w:name="_Toc520356159"/>
      <w:bookmarkStart w:id="300" w:name="_Toc305158802"/>
      <w:bookmarkStart w:id="301" w:name="_Toc150774634"/>
      <w:bookmarkStart w:id="302" w:name="_Toc226337230"/>
      <w:bookmarkStart w:id="303" w:name="_Toc151193776"/>
      <w:bookmarkStart w:id="304" w:name="_Toc195842899"/>
      <w:bookmarkStart w:id="305" w:name="_Toc226965807"/>
      <w:bookmarkStart w:id="306" w:name="_Toc264969224"/>
      <w:bookmarkStart w:id="307" w:name="_Toc265228372"/>
      <w:r>
        <w:rPr>
          <w:rFonts w:hint="eastAsia" w:ascii="宋体" w:hAnsi="宋体" w:eastAsia="宋体" w:cs="宋体"/>
          <w:color w:val="auto"/>
          <w:sz w:val="24"/>
          <w:highlight w:val="none"/>
          <w:shd w:val="clear" w:color="auto" w:fill="auto"/>
        </w:rPr>
        <w:t>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p>
    <w:p w14:paraId="5F23B8AB">
      <w:pPr>
        <w:keepNext w:val="0"/>
        <w:keepLines w:val="0"/>
        <w:pageBreakBefore w:val="0"/>
        <w:widowControl w:val="0"/>
        <w:numPr>
          <w:ilvl w:val="1"/>
          <w:numId w:val="1"/>
        </w:numPr>
        <w:tabs>
          <w:tab w:val="left" w:pos="1080"/>
        </w:tabs>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竞争性磋商文件要求盖章的内容，一般通过磋商响应文件编制工具加盖电子签章。</w:t>
      </w:r>
    </w:p>
    <w:p w14:paraId="2AD7DCD7">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Times New Roman"/>
          <w:b/>
          <w:bCs/>
          <w:color w:val="auto"/>
          <w:sz w:val="28"/>
          <w:szCs w:val="28"/>
          <w:highlight w:val="none"/>
          <w:shd w:val="clear" w:color="auto" w:fill="auto"/>
          <w:lang w:val="en-US" w:eastAsia="zh-CN"/>
        </w:rPr>
      </w:pPr>
    </w:p>
    <w:p w14:paraId="48C2C630">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Times New Roman"/>
          <w:b/>
          <w:bCs/>
          <w:color w:val="auto"/>
          <w:sz w:val="28"/>
          <w:szCs w:val="28"/>
          <w:highlight w:val="none"/>
          <w:shd w:val="clear" w:color="auto" w:fill="auto"/>
          <w:lang w:val="en-US" w:eastAsia="zh-CN"/>
        </w:rPr>
      </w:pPr>
      <w:r>
        <w:rPr>
          <w:rFonts w:hint="eastAsia" w:ascii="宋体" w:hAnsi="宋体" w:eastAsia="宋体" w:cs="Times New Roman"/>
          <w:b/>
          <w:bCs/>
          <w:color w:val="auto"/>
          <w:sz w:val="28"/>
          <w:szCs w:val="28"/>
          <w:highlight w:val="none"/>
          <w:shd w:val="clear" w:color="auto" w:fill="auto"/>
          <w:lang w:val="en-US" w:eastAsia="zh-CN"/>
        </w:rPr>
        <w:t>四   响应文件的提交</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14:paraId="67B0114B">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highlight w:val="none"/>
          <w:shd w:val="clear" w:color="auto" w:fill="auto"/>
        </w:rPr>
      </w:pPr>
      <w:bookmarkStart w:id="308" w:name="_Toc150509286"/>
      <w:bookmarkStart w:id="309" w:name="_Toc164351629"/>
      <w:bookmarkStart w:id="310" w:name="_Toc164229376"/>
      <w:bookmarkStart w:id="311" w:name="_Toc226965808"/>
      <w:bookmarkStart w:id="312" w:name="_Toc151193777"/>
      <w:bookmarkStart w:id="313" w:name="_Toc305158877"/>
      <w:bookmarkStart w:id="314" w:name="_Toc195842900"/>
      <w:bookmarkStart w:id="315" w:name="_Toc127151736"/>
      <w:bookmarkStart w:id="316" w:name="_Toc150480773"/>
      <w:bookmarkStart w:id="317" w:name="_Toc149720828"/>
      <w:bookmarkStart w:id="318" w:name="_Toc226337231"/>
      <w:bookmarkStart w:id="319" w:name="_Toc127151535"/>
      <w:bookmarkStart w:id="320" w:name="_Toc151193705"/>
      <w:bookmarkStart w:id="321" w:name="_Toc265228373"/>
      <w:bookmarkStart w:id="322" w:name="_Toc264969225"/>
      <w:bookmarkStart w:id="323" w:name="_Toc164608804"/>
      <w:bookmarkStart w:id="324" w:name="_Toc226309779"/>
      <w:bookmarkStart w:id="325" w:name="_Toc520356160"/>
      <w:bookmarkStart w:id="326" w:name="_Toc151193633"/>
      <w:bookmarkStart w:id="327" w:name="_Toc151190162"/>
      <w:bookmarkStart w:id="328" w:name="_Toc142311037"/>
      <w:bookmarkStart w:id="329" w:name="_Toc127161449"/>
      <w:bookmarkStart w:id="330" w:name="_Toc164229230"/>
      <w:bookmarkStart w:id="331" w:name="_Toc151193923"/>
      <w:bookmarkStart w:id="332" w:name="_Toc150774635"/>
      <w:bookmarkStart w:id="333" w:name="_Toc226965725"/>
      <w:bookmarkStart w:id="334" w:name="_Toc150774740"/>
      <w:bookmarkStart w:id="335" w:name="_Toc151193849"/>
      <w:bookmarkStart w:id="336" w:name="_Toc305158803"/>
      <w:bookmarkStart w:id="337" w:name="_Toc164608649"/>
      <w:r>
        <w:rPr>
          <w:rFonts w:hint="eastAsia" w:ascii="宋体" w:hAnsi="宋体" w:eastAsia="宋体" w:cs="宋体"/>
          <w:color w:val="auto"/>
          <w:sz w:val="24"/>
          <w:highlight w:val="none"/>
          <w:shd w:val="clear" w:color="auto" w:fill="auto"/>
        </w:rPr>
        <w:t>响应文件的</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r>
        <w:rPr>
          <w:rFonts w:hint="eastAsia" w:ascii="宋体" w:hAnsi="宋体" w:eastAsia="宋体" w:cs="宋体"/>
          <w:color w:val="auto"/>
          <w:sz w:val="24"/>
          <w:highlight w:val="none"/>
          <w:shd w:val="clear" w:color="auto" w:fill="auto"/>
        </w:rPr>
        <w:t>提交</w:t>
      </w:r>
    </w:p>
    <w:p w14:paraId="36DA4919">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本项目使用</w:t>
      </w:r>
      <w:r>
        <w:rPr>
          <w:rFonts w:hint="eastAsia" w:ascii="宋体" w:hAnsi="宋体" w:eastAsia="宋体" w:cs="宋体"/>
          <w:color w:val="auto"/>
          <w:sz w:val="24"/>
          <w:highlight w:val="none"/>
          <w:lang w:eastAsia="zh-CN"/>
        </w:rPr>
        <w:t>“苏采云”政府采购一体化平台</w:t>
      </w:r>
      <w:r>
        <w:rPr>
          <w:rFonts w:hint="eastAsia" w:ascii="宋体" w:hAnsi="宋体" w:eastAsia="宋体" w:cs="宋体"/>
          <w:color w:val="auto"/>
          <w:sz w:val="24"/>
          <w:highlight w:val="none"/>
        </w:rPr>
        <w:t>。供应商根据竞争性磋商文件及</w:t>
      </w:r>
      <w:r>
        <w:rPr>
          <w:rFonts w:hint="eastAsia" w:ascii="宋体" w:hAnsi="宋体" w:eastAsia="宋体" w:cs="宋体"/>
          <w:color w:val="auto"/>
          <w:sz w:val="24"/>
          <w:highlight w:val="none"/>
          <w:lang w:eastAsia="zh-CN"/>
        </w:rPr>
        <w:t>“苏采云”政府采购一体化平台</w:t>
      </w:r>
      <w:r>
        <w:rPr>
          <w:rFonts w:hint="eastAsia" w:ascii="宋体" w:hAnsi="宋体" w:eastAsia="宋体" w:cs="宋体"/>
          <w:color w:val="auto"/>
          <w:sz w:val="24"/>
          <w:highlight w:val="none"/>
        </w:rPr>
        <w:t>供应商操作手册要求编制、生成并提交电子响应文件。</w:t>
      </w:r>
    </w:p>
    <w:p w14:paraId="267F3AF6">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rPr>
        <w:t>采购人及采购代理机构拒绝接受通过电子交易平台以外任何形式提交的响应文件。</w:t>
      </w:r>
    </w:p>
    <w:p w14:paraId="0DC79868">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highlight w:val="none"/>
          <w:shd w:val="clear" w:color="auto" w:fill="auto"/>
        </w:rPr>
      </w:pPr>
      <w:bookmarkStart w:id="338" w:name="_Toc151193850"/>
      <w:bookmarkStart w:id="339" w:name="_Toc150774636"/>
      <w:bookmarkStart w:id="340" w:name="_Toc150480774"/>
      <w:bookmarkStart w:id="341" w:name="_Toc164229377"/>
      <w:bookmarkStart w:id="342" w:name="_Toc226309780"/>
      <w:bookmarkStart w:id="343" w:name="_Toc151190163"/>
      <w:bookmarkStart w:id="344" w:name="_Toc226965809"/>
      <w:bookmarkStart w:id="345" w:name="_Toc226965726"/>
      <w:bookmarkStart w:id="346" w:name="_Toc127151737"/>
      <w:bookmarkStart w:id="347" w:name="_Toc151193778"/>
      <w:bookmarkStart w:id="348" w:name="_Toc164608650"/>
      <w:bookmarkStart w:id="349" w:name="_Toc142311038"/>
      <w:bookmarkStart w:id="350" w:name="_Toc195842901"/>
      <w:bookmarkStart w:id="351" w:name="_Toc226337232"/>
      <w:bookmarkStart w:id="352" w:name="_Toc164229231"/>
      <w:bookmarkStart w:id="353" w:name="_Toc305158878"/>
      <w:bookmarkStart w:id="354" w:name="_Toc164351630"/>
      <w:bookmarkStart w:id="355" w:name="_Toc149720829"/>
      <w:bookmarkStart w:id="356" w:name="_Toc150774741"/>
      <w:bookmarkStart w:id="357" w:name="_Toc151193634"/>
      <w:bookmarkStart w:id="358" w:name="_Toc305158804"/>
      <w:bookmarkStart w:id="359" w:name="_Toc127161450"/>
      <w:bookmarkStart w:id="360" w:name="_Toc150509287"/>
      <w:bookmarkStart w:id="361" w:name="_Toc264969226"/>
      <w:bookmarkStart w:id="362" w:name="_Toc265228374"/>
      <w:bookmarkStart w:id="363" w:name="_Toc151193706"/>
      <w:bookmarkStart w:id="364" w:name="_Toc151193924"/>
      <w:bookmarkStart w:id="365" w:name="_Toc164608805"/>
      <w:bookmarkStart w:id="366" w:name="_Toc127151536"/>
      <w:bookmarkStart w:id="367" w:name="_Toc520356161"/>
      <w:r>
        <w:rPr>
          <w:rFonts w:hint="eastAsia" w:ascii="宋体" w:hAnsi="宋体" w:eastAsia="宋体" w:cs="宋体"/>
          <w:color w:val="auto"/>
          <w:sz w:val="24"/>
          <w:highlight w:val="none"/>
          <w:shd w:val="clear" w:color="auto" w:fill="auto"/>
        </w:rPr>
        <w:t>响应文件截止</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r>
        <w:rPr>
          <w:rFonts w:hint="eastAsia" w:ascii="宋体" w:hAnsi="宋体" w:eastAsia="宋体" w:cs="宋体"/>
          <w:color w:val="auto"/>
          <w:sz w:val="24"/>
          <w:highlight w:val="none"/>
          <w:shd w:val="clear" w:color="auto" w:fill="auto"/>
        </w:rPr>
        <w:t>时间</w:t>
      </w:r>
    </w:p>
    <w:p w14:paraId="1F0B693F">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供应商应在竞争性磋商文件要求提交响应文件截止时间前，将电子响应文件提交至</w:t>
      </w:r>
      <w:r>
        <w:rPr>
          <w:rFonts w:hint="eastAsia" w:ascii="宋体" w:hAnsi="宋体" w:eastAsia="宋体" w:cs="宋体"/>
          <w:color w:val="auto"/>
          <w:sz w:val="24"/>
          <w:highlight w:val="none"/>
          <w:shd w:val="clear" w:color="auto" w:fill="auto"/>
          <w:lang w:eastAsia="zh-CN"/>
        </w:rPr>
        <w:t>“苏采云”政府采购一体化平台</w:t>
      </w:r>
      <w:r>
        <w:rPr>
          <w:rFonts w:hint="eastAsia" w:ascii="宋体" w:hAnsi="宋体" w:eastAsia="宋体" w:cs="宋体"/>
          <w:color w:val="auto"/>
          <w:sz w:val="24"/>
          <w:highlight w:val="none"/>
          <w:shd w:val="clear" w:color="auto" w:fill="auto"/>
        </w:rPr>
        <w:t>。</w:t>
      </w:r>
    </w:p>
    <w:p w14:paraId="244D019F">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highlight w:val="none"/>
          <w:shd w:val="clear" w:color="auto" w:fill="auto"/>
        </w:rPr>
      </w:pPr>
      <w:bookmarkStart w:id="368" w:name="_Toc226965727"/>
      <w:bookmarkStart w:id="369" w:name="_Toc150509288"/>
      <w:bookmarkStart w:id="370" w:name="_Toc164608806"/>
      <w:bookmarkStart w:id="371" w:name="_Toc149720830"/>
      <w:bookmarkStart w:id="372" w:name="_Toc151190164"/>
      <w:bookmarkStart w:id="373" w:name="_Toc164608651"/>
      <w:bookmarkStart w:id="374" w:name="_Toc265228375"/>
      <w:bookmarkStart w:id="375" w:name="_Toc150480775"/>
      <w:bookmarkStart w:id="376" w:name="_Toc151193635"/>
      <w:bookmarkStart w:id="377" w:name="_Toc164351631"/>
      <w:bookmarkStart w:id="378" w:name="_Toc164229378"/>
      <w:bookmarkStart w:id="379" w:name="_Toc226965810"/>
      <w:bookmarkStart w:id="380" w:name="_Toc226337233"/>
      <w:bookmarkStart w:id="381" w:name="_Toc305158805"/>
      <w:bookmarkStart w:id="382" w:name="_Toc150774742"/>
      <w:bookmarkStart w:id="383" w:name="_Toc164229232"/>
      <w:bookmarkStart w:id="384" w:name="_Toc305158879"/>
      <w:bookmarkStart w:id="385" w:name="_Toc151193925"/>
      <w:bookmarkStart w:id="386" w:name="_Toc264969227"/>
      <w:bookmarkStart w:id="387" w:name="_Toc520356162"/>
      <w:bookmarkStart w:id="388" w:name="_Toc127151537"/>
      <w:bookmarkStart w:id="389" w:name="_Toc226309781"/>
      <w:bookmarkStart w:id="390" w:name="_Toc151193707"/>
      <w:bookmarkStart w:id="391" w:name="_Toc127151738"/>
      <w:bookmarkStart w:id="392" w:name="_Toc150774637"/>
      <w:bookmarkStart w:id="393" w:name="_Toc142311039"/>
      <w:bookmarkStart w:id="394" w:name="_Toc127161451"/>
      <w:bookmarkStart w:id="395" w:name="_Toc151193779"/>
      <w:bookmarkStart w:id="396" w:name="_Toc151193851"/>
      <w:bookmarkStart w:id="397" w:name="_Toc195842902"/>
      <w:r>
        <w:rPr>
          <w:rFonts w:hint="eastAsia" w:ascii="宋体" w:hAnsi="宋体" w:eastAsia="宋体" w:cs="宋体"/>
          <w:color w:val="auto"/>
          <w:sz w:val="24"/>
          <w:highlight w:val="none"/>
          <w:shd w:val="clear" w:color="auto" w:fill="auto"/>
        </w:rPr>
        <w:t>响应文件的修改与撤回</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p>
    <w:p w14:paraId="378E36BE">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outlineLvl w:val="9"/>
        <w:rPr>
          <w:color w:val="auto"/>
          <w:sz w:val="24"/>
          <w:highlight w:val="none"/>
        </w:rPr>
      </w:pPr>
      <w:r>
        <w:rPr>
          <w:rFonts w:hint="eastAsia" w:ascii="宋体" w:hAnsi="宋体" w:eastAsia="宋体" w:cs="宋体"/>
          <w:color w:val="auto"/>
          <w:sz w:val="24"/>
          <w:highlight w:val="none"/>
        </w:rPr>
        <w:t>提交响应文件截止时间前，供应商可以通过电子交易平台对所提交的响应文件进行补充、修改或者撤回。</w:t>
      </w:r>
    </w:p>
    <w:p w14:paraId="3EBEFE4D">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outlineLvl w:val="9"/>
        <w:rPr>
          <w:color w:val="auto"/>
          <w:sz w:val="24"/>
          <w:highlight w:val="none"/>
        </w:rPr>
      </w:pPr>
      <w:r>
        <w:rPr>
          <w:rFonts w:hint="eastAsia" w:ascii="宋体" w:hAnsi="宋体" w:eastAsia="宋体" w:cs="宋体"/>
          <w:color w:val="auto"/>
          <w:sz w:val="24"/>
          <w:highlight w:val="none"/>
        </w:rPr>
        <w:t>供应商对响应文件的补充、修改的内容应当按照竞争性磋商文件要求签署、盖章，作为响应文件的组成部分。补充、修改的内容与响应文件不一致的，以补</w:t>
      </w:r>
      <w:r>
        <w:rPr>
          <w:color w:val="auto"/>
          <w:kern w:val="0"/>
          <w:sz w:val="24"/>
          <w:highlight w:val="none"/>
        </w:rPr>
        <w:t>充、修改的内容为准。</w:t>
      </w:r>
    </w:p>
    <w:p w14:paraId="12BCD11D">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Times New Roman"/>
          <w:b/>
          <w:bCs/>
          <w:color w:val="auto"/>
          <w:sz w:val="28"/>
          <w:szCs w:val="28"/>
          <w:highlight w:val="none"/>
          <w:shd w:val="clear" w:color="auto" w:fill="auto"/>
          <w:lang w:val="en-US" w:eastAsia="zh-CN"/>
        </w:rPr>
      </w:pPr>
    </w:p>
    <w:p w14:paraId="1E690F7E">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Times New Roman"/>
          <w:b/>
          <w:bCs/>
          <w:color w:val="auto"/>
          <w:sz w:val="28"/>
          <w:szCs w:val="28"/>
          <w:highlight w:val="none"/>
          <w:shd w:val="clear" w:color="auto" w:fill="auto"/>
          <w:lang w:val="en-US" w:eastAsia="zh-CN"/>
        </w:rPr>
      </w:pPr>
      <w:bookmarkStart w:id="398" w:name="_Toc150774743"/>
      <w:bookmarkStart w:id="399" w:name="_Toc151193708"/>
      <w:bookmarkStart w:id="400" w:name="_Toc520356163"/>
      <w:bookmarkStart w:id="401" w:name="_Toc142311040"/>
      <w:bookmarkStart w:id="402" w:name="_Toc226965811"/>
      <w:bookmarkStart w:id="403" w:name="_Toc195842903"/>
      <w:bookmarkStart w:id="404" w:name="_Toc151193636"/>
      <w:bookmarkStart w:id="405" w:name="_Toc151190165"/>
      <w:bookmarkStart w:id="406" w:name="_Toc226309782"/>
      <w:bookmarkStart w:id="407" w:name="_Toc150480776"/>
      <w:bookmarkStart w:id="408" w:name="_Toc265228376"/>
      <w:bookmarkStart w:id="409" w:name="_Toc150774638"/>
      <w:bookmarkStart w:id="410" w:name="_Toc150509289"/>
      <w:bookmarkStart w:id="411" w:name="_Toc264969228"/>
      <w:bookmarkStart w:id="412" w:name="_Toc151193852"/>
      <w:bookmarkStart w:id="413" w:name="_Toc226337234"/>
      <w:bookmarkStart w:id="414" w:name="_Toc151193780"/>
      <w:bookmarkStart w:id="415" w:name="_Toc151193926"/>
      <w:bookmarkStart w:id="416" w:name="_Toc305158880"/>
      <w:bookmarkStart w:id="417" w:name="_Toc305158806"/>
      <w:bookmarkStart w:id="418" w:name="_Toc226965728"/>
      <w:bookmarkStart w:id="419" w:name="_Toc127151538"/>
      <w:r>
        <w:rPr>
          <w:rFonts w:hint="eastAsia" w:ascii="宋体" w:hAnsi="宋体" w:eastAsia="宋体" w:cs="Times New Roman"/>
          <w:b/>
          <w:bCs/>
          <w:color w:val="auto"/>
          <w:sz w:val="28"/>
          <w:szCs w:val="28"/>
          <w:highlight w:val="none"/>
          <w:shd w:val="clear" w:color="auto" w:fill="auto"/>
          <w:lang w:val="en-US" w:eastAsia="zh-CN"/>
        </w:rPr>
        <w:t xml:space="preserve">五   </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r>
        <w:rPr>
          <w:rFonts w:hint="eastAsia" w:ascii="宋体" w:hAnsi="宋体" w:eastAsia="宋体" w:cs="Times New Roman"/>
          <w:b/>
          <w:bCs/>
          <w:color w:val="auto"/>
          <w:sz w:val="28"/>
          <w:szCs w:val="28"/>
          <w:highlight w:val="none"/>
          <w:shd w:val="clear" w:color="auto" w:fill="auto"/>
          <w:lang w:val="en-US" w:eastAsia="zh-CN"/>
        </w:rPr>
        <w:t>评审</w:t>
      </w:r>
    </w:p>
    <w:p w14:paraId="3E10ADF2">
      <w:pPr>
        <w:numPr>
          <w:ilvl w:val="0"/>
          <w:numId w:val="1"/>
        </w:numPr>
        <w:tabs>
          <w:tab w:val="left" w:pos="360"/>
        </w:tabs>
        <w:snapToGrid w:val="0"/>
        <w:spacing w:line="360" w:lineRule="auto"/>
        <w:ind w:left="357" w:hanging="357"/>
        <w:outlineLvl w:val="1"/>
        <w:rPr>
          <w:rFonts w:hint="eastAsia" w:ascii="宋体" w:hAnsi="宋体" w:eastAsia="宋体" w:cs="宋体"/>
          <w:color w:val="auto"/>
          <w:sz w:val="24"/>
          <w:highlight w:val="none"/>
          <w:shd w:val="clear" w:color="auto" w:fill="auto"/>
        </w:rPr>
      </w:pPr>
      <w:r>
        <w:rPr>
          <w:color w:val="auto"/>
          <w:sz w:val="24"/>
          <w:highlight w:val="none"/>
        </w:rPr>
        <w:t>响应文件的</w:t>
      </w:r>
      <w:r>
        <w:rPr>
          <w:rFonts w:hint="eastAsia"/>
          <w:color w:val="auto"/>
          <w:sz w:val="24"/>
          <w:highlight w:val="none"/>
        </w:rPr>
        <w:t>解密与</w:t>
      </w:r>
      <w:r>
        <w:rPr>
          <w:color w:val="auto"/>
          <w:sz w:val="24"/>
          <w:highlight w:val="none"/>
        </w:rPr>
        <w:t>开启</w:t>
      </w:r>
    </w:p>
    <w:p w14:paraId="59B45DD0">
      <w:pPr>
        <w:numPr>
          <w:ilvl w:val="1"/>
          <w:numId w:val="1"/>
        </w:numPr>
        <w:tabs>
          <w:tab w:val="left" w:pos="1080"/>
          <w:tab w:val="left" w:pos="2014"/>
        </w:tabs>
        <w:snapToGrid w:val="0"/>
        <w:spacing w:line="360" w:lineRule="auto"/>
        <w:ind w:left="1077" w:hanging="720"/>
        <w:rPr>
          <w:color w:val="auto"/>
          <w:sz w:val="24"/>
          <w:highlight w:val="none"/>
        </w:rPr>
      </w:pPr>
      <w:r>
        <w:rPr>
          <w:color w:val="auto"/>
          <w:sz w:val="24"/>
          <w:highlight w:val="none"/>
        </w:rPr>
        <w:t>采购人或采购代理机构将按竞争性磋商文件的规定，在响应文件提交截止时间的同一时间和竞争性磋商文件预先确定的地点开启响应文件。</w:t>
      </w:r>
    </w:p>
    <w:p w14:paraId="7509FA47">
      <w:pPr>
        <w:numPr>
          <w:ilvl w:val="1"/>
          <w:numId w:val="1"/>
        </w:numPr>
        <w:tabs>
          <w:tab w:val="left" w:pos="1080"/>
          <w:tab w:val="left" w:pos="2014"/>
        </w:tabs>
        <w:snapToGrid w:val="0"/>
        <w:spacing w:line="360" w:lineRule="auto"/>
        <w:ind w:left="1077" w:hanging="720"/>
        <w:rPr>
          <w:color w:val="auto"/>
          <w:sz w:val="24"/>
          <w:highlight w:val="none"/>
        </w:rPr>
      </w:pPr>
      <w:r>
        <w:rPr>
          <w:color w:val="auto"/>
          <w:sz w:val="24"/>
          <w:highlight w:val="none"/>
        </w:rPr>
        <w:t>本项目</w:t>
      </w:r>
      <w:r>
        <w:rPr>
          <w:rFonts w:ascii="宋体" w:hAnsi="宋体"/>
          <w:color w:val="auto"/>
          <w:sz w:val="24"/>
          <w:highlight w:val="none"/>
        </w:rPr>
        <w:t>采用不见面招</w:t>
      </w:r>
      <w:r>
        <w:rPr>
          <w:rFonts w:hint="eastAsia" w:ascii="宋体" w:hAnsi="宋体"/>
          <w:color w:val="auto"/>
          <w:sz w:val="24"/>
          <w:highlight w:val="none"/>
        </w:rPr>
        <w:t>交易</w:t>
      </w:r>
      <w:r>
        <w:rPr>
          <w:rFonts w:ascii="宋体" w:hAnsi="宋体"/>
          <w:color w:val="auto"/>
          <w:sz w:val="24"/>
          <w:highlight w:val="none"/>
        </w:rPr>
        <w:t>模式</w:t>
      </w:r>
      <w:r>
        <w:rPr>
          <w:rFonts w:hint="eastAsia" w:ascii="宋体" w:hAnsi="宋体"/>
          <w:color w:val="auto"/>
          <w:sz w:val="24"/>
          <w:highlight w:val="none"/>
        </w:rPr>
        <w:t>，</w:t>
      </w:r>
      <w:r>
        <w:rPr>
          <w:color w:val="auto"/>
          <w:sz w:val="24"/>
          <w:highlight w:val="none"/>
        </w:rPr>
        <w:t>使用</w:t>
      </w:r>
      <w:r>
        <w:rPr>
          <w:rFonts w:hint="eastAsia"/>
          <w:color w:val="auto"/>
          <w:sz w:val="24"/>
          <w:highlight w:val="none"/>
          <w:lang w:eastAsia="zh-CN"/>
        </w:rPr>
        <w:t>“苏采云”政府采购一体化平台</w:t>
      </w:r>
      <w:r>
        <w:rPr>
          <w:rFonts w:hint="eastAsia"/>
          <w:color w:val="auto"/>
          <w:sz w:val="24"/>
          <w:highlight w:val="none"/>
        </w:rPr>
        <w:t>在线进行</w:t>
      </w:r>
      <w:r>
        <w:rPr>
          <w:color w:val="auto"/>
          <w:sz w:val="24"/>
          <w:highlight w:val="none"/>
        </w:rPr>
        <w:t>解密。供应商应在规定的时间内对</w:t>
      </w:r>
      <w:r>
        <w:rPr>
          <w:rFonts w:hint="eastAsia"/>
          <w:color w:val="auto"/>
          <w:sz w:val="24"/>
          <w:highlight w:val="none"/>
        </w:rPr>
        <w:t>响应</w:t>
      </w:r>
      <w:r>
        <w:rPr>
          <w:color w:val="auto"/>
          <w:sz w:val="24"/>
          <w:highlight w:val="none"/>
        </w:rPr>
        <w:t>文件进行解密，因非系统原因导致的解密失败，视为</w:t>
      </w:r>
      <w:r>
        <w:rPr>
          <w:b/>
          <w:color w:val="auto"/>
          <w:sz w:val="24"/>
          <w:highlight w:val="none"/>
        </w:rPr>
        <w:t>响应无效</w:t>
      </w:r>
      <w:r>
        <w:rPr>
          <w:color w:val="auto"/>
          <w:sz w:val="24"/>
          <w:highlight w:val="none"/>
        </w:rPr>
        <w:t>。</w:t>
      </w:r>
    </w:p>
    <w:p w14:paraId="10D92DE1">
      <w:pPr>
        <w:numPr>
          <w:ilvl w:val="1"/>
          <w:numId w:val="1"/>
        </w:numPr>
        <w:tabs>
          <w:tab w:val="left" w:pos="1080"/>
          <w:tab w:val="left" w:pos="2014"/>
        </w:tabs>
        <w:snapToGrid w:val="0"/>
        <w:spacing w:line="360" w:lineRule="auto"/>
        <w:ind w:left="1077" w:hanging="720"/>
        <w:rPr>
          <w:color w:val="auto"/>
          <w:sz w:val="24"/>
          <w:highlight w:val="none"/>
        </w:rPr>
      </w:pPr>
      <w:r>
        <w:rPr>
          <w:color w:val="auto"/>
          <w:sz w:val="24"/>
          <w:highlight w:val="none"/>
        </w:rPr>
        <w:t>供应商不足3家的，不予解密。</w:t>
      </w:r>
    </w:p>
    <w:p w14:paraId="46085C07">
      <w:pPr>
        <w:numPr>
          <w:ilvl w:val="1"/>
          <w:numId w:val="1"/>
        </w:numPr>
        <w:tabs>
          <w:tab w:val="left" w:pos="1080"/>
          <w:tab w:val="left" w:pos="2014"/>
        </w:tabs>
        <w:snapToGrid w:val="0"/>
        <w:spacing w:line="360" w:lineRule="auto"/>
        <w:ind w:left="1077" w:hanging="720"/>
        <w:rPr>
          <w:rFonts w:hint="eastAsia"/>
          <w:color w:val="auto"/>
          <w:sz w:val="24"/>
          <w:highlight w:val="none"/>
        </w:rPr>
      </w:pPr>
      <w:r>
        <w:rPr>
          <w:color w:val="auto"/>
          <w:sz w:val="24"/>
          <w:highlight w:val="none"/>
        </w:rPr>
        <w:t>本项目不公开报价。</w:t>
      </w:r>
    </w:p>
    <w:p w14:paraId="06E9CD9B">
      <w:pPr>
        <w:numPr>
          <w:ilvl w:val="1"/>
          <w:numId w:val="1"/>
        </w:numPr>
        <w:tabs>
          <w:tab w:val="left" w:pos="1080"/>
          <w:tab w:val="left" w:pos="2014"/>
        </w:tabs>
        <w:snapToGrid w:val="0"/>
        <w:spacing w:line="360" w:lineRule="auto"/>
        <w:ind w:left="1077" w:hanging="720"/>
        <w:rPr>
          <w:color w:val="auto"/>
          <w:sz w:val="24"/>
          <w:highlight w:val="none"/>
        </w:rPr>
      </w:pPr>
      <w:r>
        <w:rPr>
          <w:color w:val="auto"/>
          <w:sz w:val="24"/>
          <w:highlight w:val="none"/>
        </w:rPr>
        <w:t>供应商须在开标前使用“验证CA”功能验证本地计算机的控件环境是否正常，并且在</w:t>
      </w:r>
      <w:r>
        <w:rPr>
          <w:rFonts w:hint="eastAsia"/>
          <w:color w:val="auto"/>
          <w:sz w:val="24"/>
          <w:highlight w:val="none"/>
        </w:rPr>
        <w:t>解密、评审</w:t>
      </w:r>
      <w:r>
        <w:rPr>
          <w:color w:val="auto"/>
          <w:sz w:val="24"/>
          <w:highlight w:val="none"/>
        </w:rPr>
        <w:t>过程中不可随意更换</w:t>
      </w:r>
      <w:r>
        <w:rPr>
          <w:rFonts w:hint="eastAsia"/>
          <w:color w:val="auto"/>
          <w:sz w:val="24"/>
          <w:highlight w:val="none"/>
        </w:rPr>
        <w:t>计算机</w:t>
      </w:r>
      <w:r>
        <w:rPr>
          <w:color w:val="auto"/>
          <w:sz w:val="24"/>
          <w:highlight w:val="none"/>
        </w:rPr>
        <w:t>，必须使用验证成功的计算机进行操作，否则造成相应后果由供应商自行承担。本地计算机</w:t>
      </w:r>
      <w:r>
        <w:rPr>
          <w:rFonts w:hint="eastAsia"/>
          <w:color w:val="auto"/>
          <w:sz w:val="24"/>
          <w:highlight w:val="none"/>
        </w:rPr>
        <w:t>要求安装摄像头、麦克风和音箱，保持网络通畅。</w:t>
      </w:r>
    </w:p>
    <w:p w14:paraId="2CFDECB9">
      <w:pPr>
        <w:numPr>
          <w:ilvl w:val="1"/>
          <w:numId w:val="1"/>
        </w:numPr>
        <w:tabs>
          <w:tab w:val="left" w:pos="1080"/>
          <w:tab w:val="left" w:pos="2014"/>
        </w:tabs>
        <w:snapToGrid w:val="0"/>
        <w:spacing w:line="360" w:lineRule="auto"/>
        <w:ind w:left="1077" w:hanging="720"/>
        <w:rPr>
          <w:rFonts w:hint="eastAsia"/>
          <w:color w:val="auto"/>
          <w:sz w:val="24"/>
          <w:highlight w:val="none"/>
        </w:rPr>
      </w:pPr>
      <w:r>
        <w:rPr>
          <w:rFonts w:hint="eastAsia"/>
          <w:color w:val="auto"/>
          <w:sz w:val="24"/>
          <w:highlight w:val="none"/>
        </w:rPr>
        <w:t>因本项目</w:t>
      </w:r>
      <w:r>
        <w:rPr>
          <w:color w:val="auto"/>
          <w:sz w:val="24"/>
          <w:highlight w:val="none"/>
        </w:rPr>
        <w:t>采用不见面交易的</w:t>
      </w:r>
      <w:r>
        <w:rPr>
          <w:rFonts w:hint="eastAsia"/>
          <w:color w:val="auto"/>
          <w:sz w:val="24"/>
          <w:highlight w:val="none"/>
        </w:rPr>
        <w:t>方式</w:t>
      </w:r>
      <w:r>
        <w:rPr>
          <w:color w:val="auto"/>
          <w:sz w:val="24"/>
          <w:highlight w:val="none"/>
        </w:rPr>
        <w:t>，在</w:t>
      </w:r>
      <w:r>
        <w:rPr>
          <w:rFonts w:hint="eastAsia"/>
          <w:color w:val="auto"/>
          <w:sz w:val="24"/>
          <w:highlight w:val="none"/>
        </w:rPr>
        <w:t>解密、评审</w:t>
      </w:r>
      <w:r>
        <w:rPr>
          <w:color w:val="auto"/>
          <w:sz w:val="24"/>
          <w:highlight w:val="none"/>
        </w:rPr>
        <w:t>过程中，</w:t>
      </w:r>
      <w:r>
        <w:rPr>
          <w:rFonts w:hint="eastAsia"/>
          <w:color w:val="auto"/>
          <w:sz w:val="24"/>
          <w:highlight w:val="none"/>
        </w:rPr>
        <w:t>供应商</w:t>
      </w:r>
      <w:r>
        <w:rPr>
          <w:color w:val="auto"/>
          <w:sz w:val="24"/>
          <w:highlight w:val="none"/>
        </w:rPr>
        <w:t>需</w:t>
      </w:r>
      <w:r>
        <w:rPr>
          <w:rFonts w:hint="eastAsia"/>
          <w:color w:val="auto"/>
          <w:sz w:val="24"/>
          <w:highlight w:val="none"/>
        </w:rPr>
        <w:t>要</w:t>
      </w:r>
      <w:r>
        <w:rPr>
          <w:color w:val="auto"/>
          <w:sz w:val="24"/>
          <w:highlight w:val="none"/>
        </w:rPr>
        <w:t>保持操作计算机前有相关责任人</w:t>
      </w:r>
      <w:r>
        <w:rPr>
          <w:rFonts w:hint="eastAsia"/>
          <w:color w:val="auto"/>
          <w:sz w:val="24"/>
          <w:highlight w:val="none"/>
        </w:rPr>
        <w:t>值守，及时对于系统或者磋商小组发出的指令和要求进行响应操作。如果因为无人值守造成不能及时回应系统或者磋商小组指令和要求从而导致影响开标、评审结果的，责任由供应商承担</w:t>
      </w:r>
      <w:r>
        <w:rPr>
          <w:color w:val="auto"/>
          <w:sz w:val="24"/>
          <w:highlight w:val="none"/>
        </w:rPr>
        <w:t>。</w:t>
      </w:r>
    </w:p>
    <w:p w14:paraId="1E06AB6A">
      <w:pPr>
        <w:numPr>
          <w:ilvl w:val="1"/>
          <w:numId w:val="1"/>
        </w:numPr>
        <w:tabs>
          <w:tab w:val="left" w:pos="1080"/>
          <w:tab w:val="left" w:pos="2014"/>
        </w:tabs>
        <w:snapToGrid w:val="0"/>
        <w:spacing w:line="360" w:lineRule="auto"/>
        <w:ind w:left="1077" w:hanging="720"/>
        <w:rPr>
          <w:color w:val="auto"/>
          <w:sz w:val="24"/>
          <w:highlight w:val="none"/>
        </w:rPr>
      </w:pPr>
      <w:r>
        <w:rPr>
          <w:rFonts w:hint="eastAsia"/>
          <w:color w:val="auto"/>
          <w:sz w:val="24"/>
          <w:highlight w:val="none"/>
        </w:rPr>
        <w:t>如果在</w:t>
      </w:r>
      <w:r>
        <w:rPr>
          <w:color w:val="auto"/>
          <w:sz w:val="24"/>
          <w:highlight w:val="none"/>
        </w:rPr>
        <w:t>采购</w:t>
      </w:r>
      <w:r>
        <w:rPr>
          <w:rFonts w:hint="eastAsia"/>
          <w:color w:val="auto"/>
          <w:sz w:val="24"/>
          <w:highlight w:val="none"/>
        </w:rPr>
        <w:t>活动</w:t>
      </w:r>
      <w:r>
        <w:rPr>
          <w:color w:val="auto"/>
          <w:sz w:val="24"/>
          <w:highlight w:val="none"/>
        </w:rPr>
        <w:t>过程中出现以下情形，导致</w:t>
      </w:r>
      <w:r>
        <w:rPr>
          <w:rFonts w:hint="eastAsia"/>
          <w:color w:val="auto"/>
          <w:sz w:val="24"/>
          <w:highlight w:val="none"/>
        </w:rPr>
        <w:t>“</w:t>
      </w:r>
      <w:r>
        <w:rPr>
          <w:rFonts w:hint="eastAsia"/>
          <w:color w:val="auto"/>
          <w:sz w:val="24"/>
          <w:highlight w:val="none"/>
          <w:lang w:eastAsia="zh-CN" w:bidi="ar"/>
        </w:rPr>
        <w:t>“苏采云”政府采购一体化平台</w:t>
      </w:r>
      <w:r>
        <w:rPr>
          <w:rFonts w:hint="eastAsia"/>
          <w:color w:val="auto"/>
          <w:sz w:val="24"/>
          <w:highlight w:val="none"/>
        </w:rPr>
        <w:t>”系统</w:t>
      </w:r>
      <w:r>
        <w:rPr>
          <w:color w:val="auto"/>
          <w:sz w:val="24"/>
          <w:highlight w:val="none"/>
        </w:rPr>
        <w:t>无法正常运行，或者无法保证</w:t>
      </w:r>
      <w:r>
        <w:rPr>
          <w:rFonts w:hint="eastAsia"/>
          <w:color w:val="auto"/>
          <w:sz w:val="24"/>
          <w:highlight w:val="none"/>
        </w:rPr>
        <w:t>本项目采购活动</w:t>
      </w:r>
      <w:r>
        <w:rPr>
          <w:color w:val="auto"/>
          <w:sz w:val="24"/>
          <w:highlight w:val="none"/>
        </w:rPr>
        <w:t>的公平、公正和安全时，</w:t>
      </w:r>
      <w:r>
        <w:rPr>
          <w:rFonts w:hint="eastAsia"/>
          <w:color w:val="auto"/>
          <w:sz w:val="24"/>
          <w:highlight w:val="none"/>
        </w:rPr>
        <w:t>代理机构</w:t>
      </w:r>
      <w:r>
        <w:rPr>
          <w:color w:val="auto"/>
          <w:sz w:val="24"/>
          <w:highlight w:val="none"/>
        </w:rPr>
        <w:t>可</w:t>
      </w:r>
      <w:r>
        <w:rPr>
          <w:rFonts w:hint="eastAsia"/>
          <w:color w:val="auto"/>
          <w:sz w:val="24"/>
          <w:highlight w:val="none"/>
        </w:rPr>
        <w:t>以延缓或者暂停采购活动，情况严重的可以终止采购</w:t>
      </w:r>
      <w:r>
        <w:rPr>
          <w:color w:val="auto"/>
          <w:sz w:val="24"/>
          <w:highlight w:val="none"/>
        </w:rPr>
        <w:t>活动：</w:t>
      </w:r>
      <w:r>
        <w:rPr>
          <w:color w:val="auto"/>
          <w:sz w:val="24"/>
          <w:highlight w:val="none"/>
        </w:rPr>
        <w:br w:type="textWrapping"/>
      </w:r>
      <w:r>
        <w:rPr>
          <w:rFonts w:hint="eastAsia"/>
          <w:color w:val="auto"/>
          <w:sz w:val="24"/>
          <w:highlight w:val="none"/>
        </w:rPr>
        <w:t xml:space="preserve"> 1)</w:t>
      </w:r>
      <w:r>
        <w:rPr>
          <w:color w:val="auto"/>
          <w:sz w:val="24"/>
          <w:highlight w:val="none"/>
        </w:rPr>
        <w:t>平台</w:t>
      </w:r>
      <w:r>
        <w:rPr>
          <w:rFonts w:hint="eastAsia"/>
          <w:color w:val="auto"/>
          <w:sz w:val="24"/>
          <w:highlight w:val="none"/>
        </w:rPr>
        <w:t>系统</w:t>
      </w:r>
      <w:r>
        <w:rPr>
          <w:color w:val="auto"/>
          <w:sz w:val="24"/>
          <w:highlight w:val="none"/>
        </w:rPr>
        <w:t>发生故障而无法登录访问的；</w:t>
      </w:r>
    </w:p>
    <w:p w14:paraId="623C6EA3">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2)</w:t>
      </w:r>
      <w:r>
        <w:rPr>
          <w:color w:val="auto"/>
          <w:sz w:val="24"/>
          <w:highlight w:val="none"/>
        </w:rPr>
        <w:t>平台</w:t>
      </w:r>
      <w:r>
        <w:rPr>
          <w:rFonts w:hint="eastAsia"/>
          <w:color w:val="auto"/>
          <w:sz w:val="24"/>
          <w:highlight w:val="none"/>
        </w:rPr>
        <w:t>系统</w:t>
      </w:r>
      <w:r>
        <w:rPr>
          <w:color w:val="auto"/>
          <w:sz w:val="24"/>
          <w:highlight w:val="none"/>
        </w:rPr>
        <w:t>应用或数据库出现错误，不能进行正常操作的；</w:t>
      </w:r>
    </w:p>
    <w:p w14:paraId="19CE97F4">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3)</w:t>
      </w:r>
      <w:r>
        <w:rPr>
          <w:color w:val="auto"/>
          <w:sz w:val="24"/>
          <w:highlight w:val="none"/>
        </w:rPr>
        <w:t>平台</w:t>
      </w:r>
      <w:r>
        <w:rPr>
          <w:rFonts w:hint="eastAsia"/>
          <w:color w:val="auto"/>
          <w:sz w:val="24"/>
          <w:highlight w:val="none"/>
        </w:rPr>
        <w:t>系统</w:t>
      </w:r>
      <w:r>
        <w:rPr>
          <w:color w:val="auto"/>
          <w:sz w:val="24"/>
          <w:highlight w:val="none"/>
        </w:rPr>
        <w:t>发现严重安全漏洞，有潜在泄密危险的；</w:t>
      </w:r>
    </w:p>
    <w:p w14:paraId="30F05085">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4)</w:t>
      </w:r>
      <w:r>
        <w:rPr>
          <w:color w:val="auto"/>
          <w:sz w:val="24"/>
          <w:highlight w:val="none"/>
        </w:rPr>
        <w:t>病毒发作导致平台</w:t>
      </w:r>
      <w:r>
        <w:rPr>
          <w:rFonts w:hint="eastAsia"/>
          <w:color w:val="auto"/>
          <w:sz w:val="24"/>
          <w:highlight w:val="none"/>
        </w:rPr>
        <w:t>系统</w:t>
      </w:r>
      <w:r>
        <w:rPr>
          <w:color w:val="auto"/>
          <w:sz w:val="24"/>
          <w:highlight w:val="none"/>
        </w:rPr>
        <w:t>不能进行正常操作的；</w:t>
      </w:r>
    </w:p>
    <w:p w14:paraId="69B80E0E">
      <w:pPr>
        <w:tabs>
          <w:tab w:val="left" w:pos="1080"/>
          <w:tab w:val="left" w:pos="1589"/>
          <w:tab w:val="left" w:pos="2014"/>
        </w:tabs>
        <w:snapToGrid w:val="0"/>
        <w:spacing w:line="360" w:lineRule="auto"/>
        <w:ind w:left="357" w:leftChars="170" w:firstLine="840" w:firstLineChars="350"/>
        <w:rPr>
          <w:rFonts w:hint="eastAsia"/>
          <w:color w:val="auto"/>
          <w:sz w:val="24"/>
          <w:highlight w:val="none"/>
        </w:rPr>
      </w:pPr>
      <w:r>
        <w:rPr>
          <w:rFonts w:hint="eastAsia"/>
          <w:color w:val="auto"/>
          <w:sz w:val="24"/>
          <w:highlight w:val="none"/>
        </w:rPr>
        <w:t>5)</w:t>
      </w:r>
      <w:r>
        <w:rPr>
          <w:color w:val="auto"/>
          <w:sz w:val="24"/>
          <w:highlight w:val="none"/>
        </w:rPr>
        <w:t>其他无法保证</w:t>
      </w:r>
      <w:r>
        <w:rPr>
          <w:rFonts w:hint="eastAsia"/>
          <w:color w:val="auto"/>
          <w:sz w:val="24"/>
          <w:highlight w:val="none"/>
        </w:rPr>
        <w:t>本次采购活动</w:t>
      </w:r>
      <w:r>
        <w:rPr>
          <w:color w:val="auto"/>
          <w:sz w:val="24"/>
          <w:highlight w:val="none"/>
        </w:rPr>
        <w:t>的公平、公正和安全的情况。</w:t>
      </w:r>
    </w:p>
    <w:p w14:paraId="36541B6C">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left="357" w:leftChars="0" w:firstLine="480" w:firstLineChars="200"/>
        <w:textAlignment w:val="auto"/>
        <w:rPr>
          <w:rFonts w:hint="eastAsia" w:ascii="宋体" w:hAnsi="宋体" w:eastAsia="宋体" w:cs="宋体"/>
          <w:color w:val="auto"/>
          <w:sz w:val="24"/>
          <w:highlight w:val="none"/>
          <w:shd w:val="clear" w:color="auto" w:fill="auto"/>
        </w:rPr>
      </w:pPr>
      <w:r>
        <w:rPr>
          <w:color w:val="auto"/>
          <w:sz w:val="24"/>
          <w:highlight w:val="none"/>
        </w:rPr>
        <w:t>出现</w:t>
      </w:r>
      <w:r>
        <w:rPr>
          <w:rFonts w:hint="eastAsia"/>
          <w:color w:val="auto"/>
          <w:sz w:val="24"/>
          <w:highlight w:val="none"/>
        </w:rPr>
        <w:t>上述</w:t>
      </w:r>
      <w:r>
        <w:rPr>
          <w:color w:val="auto"/>
          <w:sz w:val="24"/>
          <w:highlight w:val="none"/>
        </w:rPr>
        <w:t>情形，不影响采购</w:t>
      </w:r>
      <w:r>
        <w:rPr>
          <w:rFonts w:hint="eastAsia"/>
          <w:color w:val="auto"/>
          <w:sz w:val="24"/>
          <w:highlight w:val="none"/>
        </w:rPr>
        <w:t>活动</w:t>
      </w:r>
      <w:r>
        <w:rPr>
          <w:color w:val="auto"/>
          <w:sz w:val="24"/>
          <w:highlight w:val="none"/>
        </w:rPr>
        <w:t>公平、公正性的，</w:t>
      </w:r>
      <w:r>
        <w:rPr>
          <w:rFonts w:hint="eastAsia"/>
          <w:color w:val="auto"/>
          <w:sz w:val="24"/>
          <w:highlight w:val="none"/>
        </w:rPr>
        <w:t>代理机构</w:t>
      </w:r>
      <w:r>
        <w:rPr>
          <w:color w:val="auto"/>
          <w:sz w:val="24"/>
          <w:highlight w:val="none"/>
        </w:rPr>
        <w:t>可以待上述情形消除后继续组织</w:t>
      </w:r>
      <w:r>
        <w:rPr>
          <w:rFonts w:hint="eastAsia"/>
          <w:color w:val="auto"/>
          <w:sz w:val="24"/>
          <w:highlight w:val="none"/>
        </w:rPr>
        <w:t>不见面</w:t>
      </w:r>
      <w:r>
        <w:rPr>
          <w:color w:val="auto"/>
          <w:sz w:val="24"/>
          <w:highlight w:val="none"/>
        </w:rPr>
        <w:t>交易</w:t>
      </w:r>
      <w:r>
        <w:rPr>
          <w:rFonts w:hint="eastAsia"/>
          <w:color w:val="auto"/>
          <w:sz w:val="24"/>
          <w:highlight w:val="none"/>
        </w:rPr>
        <w:t>采购</w:t>
      </w:r>
      <w:r>
        <w:rPr>
          <w:color w:val="auto"/>
          <w:sz w:val="24"/>
          <w:highlight w:val="none"/>
        </w:rPr>
        <w:t>活动，也可以决定某些环节以纸质形式进行；影响或可能影响采购</w:t>
      </w:r>
      <w:r>
        <w:rPr>
          <w:rFonts w:hint="eastAsia"/>
          <w:color w:val="auto"/>
          <w:sz w:val="24"/>
          <w:highlight w:val="none"/>
        </w:rPr>
        <w:t>活动</w:t>
      </w:r>
      <w:r>
        <w:rPr>
          <w:color w:val="auto"/>
          <w:sz w:val="24"/>
          <w:highlight w:val="none"/>
        </w:rPr>
        <w:t>公平、公正性的，应当</w:t>
      </w:r>
      <w:r>
        <w:rPr>
          <w:rFonts w:hint="eastAsia"/>
          <w:color w:val="auto"/>
          <w:sz w:val="24"/>
          <w:highlight w:val="none"/>
        </w:rPr>
        <w:t>终止本次项目，</w:t>
      </w:r>
      <w:r>
        <w:rPr>
          <w:color w:val="auto"/>
          <w:sz w:val="24"/>
          <w:highlight w:val="none"/>
        </w:rPr>
        <w:t>重新</w:t>
      </w:r>
      <w:r>
        <w:rPr>
          <w:rFonts w:hint="eastAsia"/>
          <w:color w:val="auto"/>
          <w:sz w:val="24"/>
          <w:highlight w:val="none"/>
        </w:rPr>
        <w:t>组织</w:t>
      </w:r>
      <w:r>
        <w:rPr>
          <w:color w:val="auto"/>
          <w:sz w:val="24"/>
          <w:highlight w:val="none"/>
        </w:rPr>
        <w:t>采购。</w:t>
      </w:r>
    </w:p>
    <w:p w14:paraId="6350C19E">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磋商小组</w:t>
      </w:r>
    </w:p>
    <w:p w14:paraId="391C62F6">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磋商小组根据政府采购有关规定和本次采购项目的特点进行组建，并负责具体评审事务，独立履行职责。</w:t>
      </w:r>
      <w:bookmarkStart w:id="420" w:name="_Toc520356166"/>
    </w:p>
    <w:p w14:paraId="49B78A39">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评审专家须符合相关规定。依法自行选定评审专家的，采购人和采购代理机构将查询有关信用记录，对具有行贿、受贿、欺诈等不良信用记录的人员，拒绝其参与政府采购活动。</w:t>
      </w:r>
      <w:bookmarkEnd w:id="420"/>
      <w:bookmarkStart w:id="421" w:name="_Toc520356169"/>
    </w:p>
    <w:p w14:paraId="492F32CE">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textAlignment w:val="auto"/>
        <w:outlineLvl w:val="1"/>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评审方法和评审标准</w:t>
      </w:r>
    </w:p>
    <w:p w14:paraId="27597E97">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见第三章《评审方法和评审标准》。</w:t>
      </w:r>
    </w:p>
    <w:p w14:paraId="6E0C2670">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Times New Roman"/>
          <w:b/>
          <w:bCs/>
          <w:color w:val="auto"/>
          <w:sz w:val="28"/>
          <w:szCs w:val="28"/>
          <w:highlight w:val="none"/>
          <w:shd w:val="clear" w:color="auto" w:fill="auto"/>
          <w:lang w:val="en-US" w:eastAsia="zh-CN"/>
        </w:rPr>
      </w:pPr>
    </w:p>
    <w:p w14:paraId="666FC8BD">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Times New Roman"/>
          <w:b/>
          <w:bCs/>
          <w:color w:val="auto"/>
          <w:sz w:val="28"/>
          <w:szCs w:val="28"/>
          <w:highlight w:val="none"/>
          <w:shd w:val="clear" w:color="auto" w:fill="auto"/>
          <w:lang w:val="en-US" w:eastAsia="zh-CN"/>
        </w:rPr>
      </w:pPr>
      <w:bookmarkStart w:id="422" w:name="_Toc265228383"/>
      <w:bookmarkStart w:id="423" w:name="_Toc151193787"/>
      <w:bookmarkStart w:id="424" w:name="_Toc226337241"/>
      <w:bookmarkStart w:id="425" w:name="_Toc127151545"/>
      <w:bookmarkStart w:id="426" w:name="_Toc151193859"/>
      <w:bookmarkStart w:id="427" w:name="_Toc226309789"/>
      <w:bookmarkStart w:id="428" w:name="_Toc142311047"/>
      <w:bookmarkStart w:id="429" w:name="_Toc151193715"/>
      <w:bookmarkStart w:id="430" w:name="_Toc151193933"/>
      <w:bookmarkStart w:id="431" w:name="_Toc150774645"/>
      <w:bookmarkStart w:id="432" w:name="_Toc150480783"/>
      <w:bookmarkStart w:id="433" w:name="_Toc195842910"/>
      <w:bookmarkStart w:id="434" w:name="_Toc305158887"/>
      <w:bookmarkStart w:id="435" w:name="_Toc151190172"/>
      <w:bookmarkStart w:id="436" w:name="_Toc151193643"/>
      <w:bookmarkStart w:id="437" w:name="_Toc150774750"/>
      <w:bookmarkStart w:id="438" w:name="_Toc264969235"/>
      <w:bookmarkStart w:id="439" w:name="_Toc150509296"/>
      <w:bookmarkStart w:id="440" w:name="_Toc226965818"/>
      <w:bookmarkStart w:id="441" w:name="_Toc305158813"/>
      <w:bookmarkStart w:id="442" w:name="_Toc226965735"/>
      <w:r>
        <w:rPr>
          <w:rFonts w:hint="eastAsia" w:ascii="宋体" w:hAnsi="宋体" w:eastAsia="宋体" w:cs="Times New Roman"/>
          <w:b/>
          <w:bCs/>
          <w:color w:val="auto"/>
          <w:sz w:val="28"/>
          <w:szCs w:val="28"/>
          <w:highlight w:val="none"/>
          <w:shd w:val="clear" w:color="auto" w:fill="auto"/>
          <w:lang w:val="en-US" w:eastAsia="zh-CN"/>
        </w:rPr>
        <w:t xml:space="preserve">六   </w:t>
      </w:r>
      <w:bookmarkEnd w:id="421"/>
      <w:r>
        <w:rPr>
          <w:rFonts w:hint="eastAsia" w:ascii="宋体" w:hAnsi="宋体" w:eastAsia="宋体" w:cs="Times New Roman"/>
          <w:b/>
          <w:bCs/>
          <w:color w:val="auto"/>
          <w:sz w:val="28"/>
          <w:szCs w:val="28"/>
          <w:highlight w:val="none"/>
          <w:shd w:val="clear" w:color="auto" w:fill="auto"/>
          <w:lang w:val="en-US" w:eastAsia="zh-CN"/>
        </w:rPr>
        <w:t>确定</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r>
        <w:rPr>
          <w:rFonts w:hint="eastAsia" w:ascii="宋体" w:hAnsi="宋体" w:eastAsia="宋体" w:cs="Times New Roman"/>
          <w:b/>
          <w:bCs/>
          <w:color w:val="auto"/>
          <w:sz w:val="28"/>
          <w:szCs w:val="28"/>
          <w:highlight w:val="none"/>
          <w:shd w:val="clear" w:color="auto" w:fill="auto"/>
          <w:lang w:val="en-US" w:eastAsia="zh-CN"/>
        </w:rPr>
        <w:t>成交</w:t>
      </w:r>
    </w:p>
    <w:p w14:paraId="5C474AC4">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szCs w:val="24"/>
          <w:highlight w:val="none"/>
          <w:shd w:val="clear" w:color="auto" w:fill="auto"/>
        </w:rPr>
      </w:pPr>
      <w:bookmarkStart w:id="443" w:name="_Toc127161461"/>
      <w:bookmarkStart w:id="444" w:name="_Toc226337243"/>
      <w:bookmarkStart w:id="445" w:name="_Toc151193789"/>
      <w:bookmarkStart w:id="446" w:name="_Toc264969237"/>
      <w:bookmarkStart w:id="447" w:name="_Toc164229388"/>
      <w:bookmarkStart w:id="448" w:name="_Toc127151547"/>
      <w:bookmarkStart w:id="449" w:name="_Toc142311049"/>
      <w:bookmarkStart w:id="450" w:name="_Toc151193717"/>
      <w:bookmarkStart w:id="451" w:name="_Toc127151748"/>
      <w:bookmarkStart w:id="452" w:name="_Toc151193861"/>
      <w:bookmarkStart w:id="453" w:name="_Toc164229242"/>
      <w:bookmarkStart w:id="454" w:name="_Toc305158889"/>
      <w:bookmarkStart w:id="455" w:name="_Toc164608816"/>
      <w:bookmarkStart w:id="456" w:name="_Toc149720840"/>
      <w:bookmarkStart w:id="457" w:name="_Toc265228385"/>
      <w:bookmarkStart w:id="458" w:name="_Toc151193935"/>
      <w:bookmarkStart w:id="459" w:name="_Toc164608661"/>
      <w:bookmarkStart w:id="460" w:name="_Toc305158815"/>
      <w:bookmarkStart w:id="461" w:name="_Toc150774752"/>
      <w:bookmarkStart w:id="462" w:name="_Toc150480785"/>
      <w:bookmarkStart w:id="463" w:name="_Toc150509298"/>
      <w:bookmarkStart w:id="464" w:name="_Toc226309791"/>
      <w:bookmarkStart w:id="465" w:name="_Toc226965820"/>
      <w:bookmarkStart w:id="466" w:name="_Toc151193645"/>
      <w:bookmarkStart w:id="467" w:name="_Toc164351641"/>
      <w:bookmarkStart w:id="468" w:name="_Toc195842912"/>
      <w:bookmarkStart w:id="469" w:name="_Toc150774647"/>
      <w:bookmarkStart w:id="470" w:name="_Toc226965737"/>
      <w:bookmarkStart w:id="471" w:name="_Toc151190174"/>
      <w:r>
        <w:rPr>
          <w:rFonts w:hint="eastAsia" w:ascii="宋体" w:hAnsi="宋体" w:eastAsia="宋体" w:cs="宋体"/>
          <w:color w:val="auto"/>
          <w:sz w:val="24"/>
          <w:szCs w:val="24"/>
          <w:highlight w:val="none"/>
          <w:shd w:val="clear" w:color="auto" w:fill="auto"/>
        </w:rPr>
        <w:t>确定成交供应商</w:t>
      </w:r>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p>
    <w:p w14:paraId="668E73E5">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采购人将在收到评审报告后，从评审报告提出的成交候选供应商中，按照排序由高到低的原则确定成交供应商。成交候选人并列的，由采购人依法确定。</w:t>
      </w:r>
    </w:p>
    <w:p w14:paraId="68A622DA">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szCs w:val="24"/>
          <w:highlight w:val="none"/>
          <w:shd w:val="clear" w:color="auto" w:fill="auto"/>
        </w:rPr>
      </w:pPr>
      <w:bookmarkStart w:id="472" w:name="_Toc305158817"/>
      <w:bookmarkStart w:id="473" w:name="_Toc305158891"/>
      <w:bookmarkStart w:id="474" w:name="_Toc151193937"/>
      <w:bookmarkStart w:id="475" w:name="_Toc151193863"/>
      <w:bookmarkStart w:id="476" w:name="_Toc150774649"/>
      <w:bookmarkStart w:id="477" w:name="_Toc151193647"/>
      <w:bookmarkStart w:id="478" w:name="_Toc150774754"/>
      <w:bookmarkStart w:id="479" w:name="_Toc164229390"/>
      <w:bookmarkStart w:id="480" w:name="_Toc164229244"/>
      <w:bookmarkStart w:id="481" w:name="_Toc265228387"/>
      <w:bookmarkStart w:id="482" w:name="_Toc151190176"/>
      <w:bookmarkStart w:id="483" w:name="_Toc164351643"/>
      <w:bookmarkStart w:id="484" w:name="_Toc150480787"/>
      <w:bookmarkStart w:id="485" w:name="_Toc127151750"/>
      <w:bookmarkStart w:id="486" w:name="_Toc127161463"/>
      <w:bookmarkStart w:id="487" w:name="_Toc264969239"/>
      <w:bookmarkStart w:id="488" w:name="_Toc226337245"/>
      <w:bookmarkStart w:id="489" w:name="_Toc195842914"/>
      <w:bookmarkStart w:id="490" w:name="_Toc226965739"/>
      <w:bookmarkStart w:id="491" w:name="_Toc142311051"/>
      <w:bookmarkStart w:id="492" w:name="_Toc127151549"/>
      <w:bookmarkStart w:id="493" w:name="_Toc149720842"/>
      <w:bookmarkStart w:id="494" w:name="_Toc164608818"/>
      <w:bookmarkStart w:id="495" w:name="_Toc151193791"/>
      <w:bookmarkStart w:id="496" w:name="_Toc226309793"/>
      <w:bookmarkStart w:id="497" w:name="_Toc150509300"/>
      <w:bookmarkStart w:id="498" w:name="_Toc151193719"/>
      <w:bookmarkStart w:id="499" w:name="_Toc164608663"/>
      <w:bookmarkStart w:id="500" w:name="_Toc226965822"/>
      <w:bookmarkStart w:id="501" w:name="_Ref467306425"/>
      <w:bookmarkStart w:id="502" w:name="_Toc520356176"/>
      <w:bookmarkStart w:id="503" w:name="_Ref467307090"/>
      <w:r>
        <w:rPr>
          <w:rFonts w:hint="eastAsia" w:ascii="宋体" w:hAnsi="宋体" w:eastAsia="宋体" w:cs="宋体"/>
          <w:color w:val="auto"/>
          <w:sz w:val="24"/>
          <w:szCs w:val="24"/>
          <w:highlight w:val="none"/>
          <w:shd w:val="clear" w:color="auto" w:fill="auto"/>
        </w:rPr>
        <w:t>成交公告与成交通知书</w:t>
      </w:r>
      <w:bookmarkEnd w:id="472"/>
      <w:bookmarkEnd w:id="473"/>
    </w:p>
    <w:p w14:paraId="0B83E768">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采购人或采购代理机构将</w:t>
      </w:r>
      <w:r>
        <w:rPr>
          <w:rFonts w:hint="eastAsia" w:ascii="宋体" w:hAnsi="宋体" w:eastAsia="宋体" w:cs="宋体"/>
          <w:color w:val="auto"/>
          <w:kern w:val="0"/>
          <w:sz w:val="24"/>
          <w:szCs w:val="24"/>
          <w:highlight w:val="none"/>
          <w:shd w:val="clear" w:color="auto" w:fill="auto"/>
        </w:rPr>
        <w:t>在成交供应商确定后2个工作日内，在</w:t>
      </w:r>
      <w:r>
        <w:rPr>
          <w:rFonts w:hint="eastAsia" w:ascii="宋体" w:hAnsi="宋体" w:eastAsia="宋体" w:cs="宋体"/>
          <w:color w:val="auto"/>
          <w:sz w:val="24"/>
          <w:szCs w:val="24"/>
          <w:highlight w:val="none"/>
          <w:lang w:val="en-US" w:eastAsia="zh-CN"/>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shd w:val="clear" w:color="auto" w:fill="auto"/>
        </w:rPr>
        <w:t>常州市政府采购网和江苏尚阳工程管理有限公司网</w:t>
      </w:r>
      <w:r>
        <w:rPr>
          <w:rFonts w:hint="eastAsia" w:ascii="宋体" w:hAnsi="宋体" w:eastAsia="宋体" w:cs="宋体"/>
          <w:color w:val="auto"/>
          <w:kern w:val="0"/>
          <w:sz w:val="24"/>
          <w:szCs w:val="24"/>
          <w:highlight w:val="none"/>
          <w:shd w:val="clear" w:color="auto" w:fill="auto"/>
        </w:rPr>
        <w:t>公告成交结果，同时向成交供应商发出成交通知书，</w:t>
      </w:r>
      <w:r>
        <w:rPr>
          <w:rFonts w:hint="eastAsia" w:ascii="宋体" w:hAnsi="宋体" w:eastAsia="宋体" w:cs="宋体"/>
          <w:color w:val="auto"/>
          <w:sz w:val="24"/>
          <w:szCs w:val="24"/>
          <w:highlight w:val="none"/>
          <w:shd w:val="clear" w:color="auto" w:fill="auto"/>
        </w:rPr>
        <w:t>成交公告期限为1个工作日。</w:t>
      </w:r>
    </w:p>
    <w:p w14:paraId="3CB5DF1B">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成交通知书是合同的组成部分，对采购人和成交供应商具有同等法律效力。成交通知书发出后，采购人改变成交结果的，或者成交供应商放弃成交项目的，将依法承担法律责任。</w:t>
      </w:r>
    </w:p>
    <w:p w14:paraId="791C0517">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终止</w:t>
      </w:r>
    </w:p>
    <w:p w14:paraId="37E26A06">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在采购中，出现下列情形之一的，采购人或采购代理机构将终止竞争性磋商采购活动，发布项目终止公告并说明原因，重新开展采购活动：</w:t>
      </w:r>
    </w:p>
    <w:p w14:paraId="100E9E62">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因情况变化，不再符合规定的竞争性磋商采购方式适用情形的；</w:t>
      </w:r>
    </w:p>
    <w:p w14:paraId="093B7270">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出现影响采购公正的违法、违规行为的；</w:t>
      </w:r>
    </w:p>
    <w:p w14:paraId="0F0B08B4">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snapToGrid w:val="0"/>
          <w:color w:val="auto"/>
          <w:kern w:val="0"/>
          <w:sz w:val="24"/>
          <w:szCs w:val="24"/>
          <w:highlight w:val="none"/>
          <w:shd w:val="clear" w:color="auto" w:fill="auto"/>
        </w:rPr>
        <w:t>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6FED827D">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color w:val="auto"/>
          <w:spacing w:val="2"/>
          <w:sz w:val="24"/>
          <w:highlight w:val="none"/>
        </w:rPr>
        <w:t>平台系统</w:t>
      </w:r>
      <w:r>
        <w:rPr>
          <w:rFonts w:ascii="宋体" w:hAnsi="宋体"/>
          <w:color w:val="auto"/>
          <w:sz w:val="24"/>
          <w:highlight w:val="none"/>
        </w:rPr>
        <w:t>出现</w:t>
      </w:r>
      <w:r>
        <w:rPr>
          <w:rFonts w:hint="eastAsia" w:ascii="宋体" w:hAnsi="宋体"/>
          <w:color w:val="auto"/>
          <w:sz w:val="24"/>
          <w:highlight w:val="none"/>
        </w:rPr>
        <w:t>序号17.7的所述</w:t>
      </w:r>
      <w:r>
        <w:rPr>
          <w:rFonts w:ascii="宋体" w:hAnsi="宋体"/>
          <w:color w:val="auto"/>
          <w:sz w:val="24"/>
          <w:highlight w:val="none"/>
        </w:rPr>
        <w:t>情形，</w:t>
      </w:r>
      <w:r>
        <w:rPr>
          <w:rFonts w:hint="eastAsia" w:ascii="宋体" w:hAnsi="宋体"/>
          <w:color w:val="auto"/>
          <w:sz w:val="24"/>
          <w:highlight w:val="none"/>
        </w:rPr>
        <w:t>情况严重且</w:t>
      </w:r>
      <w:r>
        <w:rPr>
          <w:rFonts w:ascii="宋体" w:hAnsi="宋体"/>
          <w:color w:val="auto"/>
          <w:sz w:val="24"/>
          <w:highlight w:val="none"/>
        </w:rPr>
        <w:t>影响采购</w:t>
      </w:r>
      <w:r>
        <w:rPr>
          <w:rFonts w:hint="eastAsia" w:ascii="宋体" w:hAnsi="宋体"/>
          <w:color w:val="auto"/>
          <w:sz w:val="24"/>
          <w:highlight w:val="none"/>
        </w:rPr>
        <w:t>活动</w:t>
      </w:r>
      <w:r>
        <w:rPr>
          <w:rFonts w:ascii="宋体" w:hAnsi="宋体"/>
          <w:color w:val="auto"/>
          <w:sz w:val="24"/>
          <w:highlight w:val="none"/>
        </w:rPr>
        <w:t>公平、公正性的</w:t>
      </w:r>
      <w:r>
        <w:rPr>
          <w:rFonts w:hint="eastAsia" w:ascii="宋体" w:hAnsi="宋体"/>
          <w:color w:val="auto"/>
          <w:sz w:val="24"/>
          <w:highlight w:val="none"/>
        </w:rPr>
        <w:t>。</w:t>
      </w:r>
    </w:p>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p w14:paraId="3F7D94A7">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szCs w:val="24"/>
          <w:highlight w:val="none"/>
          <w:shd w:val="clear" w:color="auto" w:fill="auto"/>
        </w:rPr>
      </w:pPr>
      <w:bookmarkStart w:id="504" w:name="_Toc150774650"/>
      <w:bookmarkStart w:id="505" w:name="_Toc151193792"/>
      <w:bookmarkStart w:id="506" w:name="_Toc305158892"/>
      <w:bookmarkStart w:id="507" w:name="_Toc226309794"/>
      <w:bookmarkStart w:id="508" w:name="_Toc149720843"/>
      <w:bookmarkStart w:id="509" w:name="_Toc164229391"/>
      <w:bookmarkStart w:id="510" w:name="_Ref467307204"/>
      <w:bookmarkStart w:id="511" w:name="_Toc520356175"/>
      <w:bookmarkStart w:id="512" w:name="_Ref467306377"/>
      <w:bookmarkStart w:id="513" w:name="_Ref467306978"/>
      <w:bookmarkStart w:id="514" w:name="_Toc226965740"/>
      <w:bookmarkStart w:id="515" w:name="_Toc150480788"/>
      <w:bookmarkStart w:id="516" w:name="_Toc151193648"/>
      <w:bookmarkStart w:id="517" w:name="_Toc151193938"/>
      <w:bookmarkStart w:id="518" w:name="_Toc142311052"/>
      <w:bookmarkStart w:id="519" w:name="_Toc150774755"/>
      <w:bookmarkStart w:id="520" w:name="_Toc195842915"/>
      <w:bookmarkStart w:id="521" w:name="_Toc226337246"/>
      <w:bookmarkStart w:id="522" w:name="_Toc164229245"/>
      <w:bookmarkStart w:id="523" w:name="_Toc226965823"/>
      <w:bookmarkStart w:id="524" w:name="_Toc164608664"/>
      <w:bookmarkStart w:id="525" w:name="_Toc305158818"/>
      <w:bookmarkStart w:id="526" w:name="_Toc265228388"/>
      <w:bookmarkStart w:id="527" w:name="_Toc164608819"/>
      <w:bookmarkStart w:id="528" w:name="_Toc127151550"/>
      <w:bookmarkStart w:id="529" w:name="_Toc164351644"/>
      <w:bookmarkStart w:id="530" w:name="_Toc127151751"/>
      <w:bookmarkStart w:id="531" w:name="_Toc127161464"/>
      <w:bookmarkStart w:id="532" w:name="_Toc151190177"/>
      <w:bookmarkStart w:id="533" w:name="_Ref467307062"/>
      <w:bookmarkStart w:id="534" w:name="_Toc151193864"/>
      <w:bookmarkStart w:id="535" w:name="_Toc150509301"/>
      <w:bookmarkStart w:id="536" w:name="_Toc151193720"/>
      <w:bookmarkStart w:id="537" w:name="_Toc264969240"/>
      <w:r>
        <w:rPr>
          <w:rFonts w:hint="eastAsia" w:ascii="宋体" w:hAnsi="宋体" w:eastAsia="宋体" w:cs="宋体"/>
          <w:color w:val="auto"/>
          <w:sz w:val="24"/>
          <w:szCs w:val="24"/>
          <w:highlight w:val="none"/>
          <w:shd w:val="clear" w:color="auto" w:fill="auto"/>
        </w:rPr>
        <w:t>签订合同</w:t>
      </w:r>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p>
    <w:p w14:paraId="45B3D516">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采购人与成交供应商将在成交通知书发出之日起30日内，按照磋商文件确定的合同文本以及采购标的、采购金额、采购数量、技术和服务要求等事项签订政府采购合同。</w:t>
      </w:r>
    </w:p>
    <w:p w14:paraId="63109C1C">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62804AE2">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联合体获得成交资格的，联合体各方应当共同与采购人签订合同，就成交项目向采购人承担连带责任。</w:t>
      </w:r>
    </w:p>
    <w:p w14:paraId="177E79AB">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政府采购合同不能转包。</w:t>
      </w:r>
    </w:p>
    <w:p w14:paraId="7EE751FB">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本项目是否允许分包，见《供应商须知资料表》</w:t>
      </w:r>
      <w:r>
        <w:rPr>
          <w:rFonts w:hint="eastAsia" w:ascii="宋体" w:hAnsi="宋体" w:eastAsia="宋体" w:cs="宋体"/>
          <w:color w:val="auto"/>
          <w:sz w:val="24"/>
          <w:szCs w:val="24"/>
          <w:highlight w:val="none"/>
          <w:shd w:val="clear" w:color="auto" w:fill="auto"/>
        </w:rPr>
        <w:t>。</w:t>
      </w:r>
    </w:p>
    <w:bookmarkEnd w:id="501"/>
    <w:bookmarkEnd w:id="502"/>
    <w:bookmarkEnd w:id="503"/>
    <w:p w14:paraId="079B11F0">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询问与质疑</w:t>
      </w:r>
    </w:p>
    <w:p w14:paraId="18BF3F58">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询问</w:t>
      </w:r>
    </w:p>
    <w:p w14:paraId="13B77AA9">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供应商对政府采购活动事项有疑问的，可依法提出询问，并按《供应商须知资料表》载明的形式送达采购人或采购代理机构。</w:t>
      </w:r>
    </w:p>
    <w:p w14:paraId="252E4A89">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采购人或采购代理机构对供应商依法提出的询问，在3个工作日内作出答复，但答复的内容不得涉及商业秘密。</w:t>
      </w:r>
    </w:p>
    <w:p w14:paraId="547BABC6">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质疑</w:t>
      </w:r>
    </w:p>
    <w:p w14:paraId="692D8186">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57BF97C1">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磋商文件中采购需求以及相关部分（第四章、第五章以及供应商资格要求）由采购人负责制定和管理，对该部分内容有询问或者质疑的，供应商应当向采购人书面提出，由采购人负责接收和回复。</w:t>
      </w:r>
    </w:p>
    <w:p w14:paraId="5476E93A">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质疑函须使用财政部制定的范本文件。（下载网址：</w:t>
      </w: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"http://gks.mof.gov.cn/ztztz/zhengfucaigouguanli/201802/t20180201_2804589.htm" </w:instrText>
      </w:r>
      <w:r>
        <w:rPr>
          <w:rFonts w:hint="eastAsia" w:ascii="宋体" w:hAnsi="宋体" w:eastAsia="宋体" w:cs="宋体"/>
          <w:color w:val="auto"/>
          <w:sz w:val="24"/>
          <w:szCs w:val="24"/>
          <w:highlight w:val="none"/>
          <w:shd w:val="clear" w:color="auto" w:fill="auto"/>
        </w:rPr>
        <w:fldChar w:fldCharType="separate"/>
      </w:r>
      <w:r>
        <w:rPr>
          <w:rStyle w:val="15"/>
          <w:rFonts w:hint="eastAsia" w:ascii="宋体" w:hAnsi="宋体" w:eastAsia="宋体" w:cs="宋体"/>
          <w:color w:val="auto"/>
          <w:sz w:val="24"/>
          <w:szCs w:val="24"/>
          <w:highlight w:val="none"/>
          <w:shd w:val="clear" w:color="auto" w:fill="auto"/>
        </w:rPr>
        <w:t>http://gk</w:t>
      </w:r>
      <w:bookmarkStart w:id="538" w:name="_Hlt100654014"/>
      <w:r>
        <w:rPr>
          <w:rStyle w:val="15"/>
          <w:rFonts w:hint="eastAsia" w:ascii="宋体" w:hAnsi="宋体" w:eastAsia="宋体" w:cs="宋体"/>
          <w:color w:val="auto"/>
          <w:sz w:val="24"/>
          <w:szCs w:val="24"/>
          <w:highlight w:val="none"/>
          <w:shd w:val="clear" w:color="auto" w:fill="auto"/>
        </w:rPr>
        <w:t>s</w:t>
      </w:r>
      <w:bookmarkEnd w:id="538"/>
      <w:r>
        <w:rPr>
          <w:rStyle w:val="15"/>
          <w:rFonts w:hint="eastAsia" w:ascii="宋体" w:hAnsi="宋体" w:eastAsia="宋体" w:cs="宋体"/>
          <w:color w:val="auto"/>
          <w:sz w:val="24"/>
          <w:szCs w:val="24"/>
          <w:highlight w:val="none"/>
          <w:shd w:val="clear" w:color="auto" w:fill="auto"/>
        </w:rPr>
        <w:t>.m</w:t>
      </w:r>
      <w:bookmarkStart w:id="539" w:name="_Hlt100653993"/>
      <w:bookmarkStart w:id="540" w:name="_Hlt100653994"/>
      <w:r>
        <w:rPr>
          <w:rStyle w:val="15"/>
          <w:rFonts w:hint="eastAsia" w:ascii="宋体" w:hAnsi="宋体" w:eastAsia="宋体" w:cs="宋体"/>
          <w:color w:val="auto"/>
          <w:sz w:val="24"/>
          <w:szCs w:val="24"/>
          <w:highlight w:val="none"/>
          <w:shd w:val="clear" w:color="auto" w:fill="auto"/>
        </w:rPr>
        <w:t>o</w:t>
      </w:r>
      <w:bookmarkEnd w:id="539"/>
      <w:bookmarkEnd w:id="540"/>
      <w:bookmarkStart w:id="541" w:name="_Hlt101169156"/>
      <w:r>
        <w:rPr>
          <w:rStyle w:val="15"/>
          <w:rFonts w:hint="eastAsia" w:ascii="宋体" w:hAnsi="宋体" w:eastAsia="宋体" w:cs="宋体"/>
          <w:color w:val="auto"/>
          <w:sz w:val="24"/>
          <w:szCs w:val="24"/>
          <w:highlight w:val="none"/>
          <w:shd w:val="clear" w:color="auto" w:fill="auto"/>
        </w:rPr>
        <w:t>f</w:t>
      </w:r>
      <w:bookmarkEnd w:id="541"/>
      <w:r>
        <w:rPr>
          <w:rStyle w:val="15"/>
          <w:rFonts w:hint="eastAsia" w:ascii="宋体" w:hAnsi="宋体" w:eastAsia="宋体" w:cs="宋体"/>
          <w:color w:val="auto"/>
          <w:sz w:val="24"/>
          <w:szCs w:val="24"/>
          <w:highlight w:val="none"/>
          <w:shd w:val="clear" w:color="auto" w:fill="auto"/>
        </w:rPr>
        <w:t>.gov.cn/ztztz/zhengfucaigouguanli/201802/t20180201_2804589.htm</w:t>
      </w:r>
      <w:r>
        <w:rPr>
          <w:rFonts w:hint="eastAsia" w:ascii="宋体" w:hAnsi="宋体" w:eastAsia="宋体" w:cs="宋体"/>
          <w:color w:val="auto"/>
          <w:sz w:val="24"/>
          <w:szCs w:val="24"/>
          <w:highlight w:val="none"/>
          <w:shd w:val="clear" w:color="auto" w:fill="auto"/>
        </w:rPr>
        <w:fldChar w:fldCharType="end"/>
      </w:r>
      <w:r>
        <w:rPr>
          <w:rFonts w:hint="eastAsia" w:ascii="宋体" w:hAnsi="宋体" w:eastAsia="宋体" w:cs="宋体"/>
          <w:color w:val="auto"/>
          <w:sz w:val="24"/>
          <w:szCs w:val="24"/>
          <w:highlight w:val="none"/>
          <w:shd w:val="clear" w:color="auto" w:fill="auto"/>
        </w:rPr>
        <w:t>）</w:t>
      </w:r>
    </w:p>
    <w:p w14:paraId="0892C843">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供应商为自然人的，应当由本人签字；供应商为法人或者其他组织的，应当由法定代表人、主要负责人，或者其授权代表签字或者盖章，并加盖公章。</w:t>
      </w:r>
    </w:p>
    <w:p w14:paraId="6584E9D9">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供应商应在法定质疑期内一次性提出针对同一采购程序环节的质疑，法定质疑期内针对同一采购程序环节再次提出的质疑，采购人、采购代理机构有权不予答复。</w:t>
      </w:r>
    </w:p>
    <w:p w14:paraId="6F3285D0">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接收询问和质疑的联系部门、联系电话和通讯地址见《供应商须知资料表》。</w:t>
      </w:r>
    </w:p>
    <w:p w14:paraId="30F0D195">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代理费</w:t>
      </w:r>
    </w:p>
    <w:p w14:paraId="10022FA2">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收费对象、收费标准及缴纳时间见《供应商须知资料表》。由成交供应商支付的，成交供应商须一次性向采购代理机构缴纳代理费，报价应包含代理费用。</w:t>
      </w:r>
    </w:p>
    <w:p w14:paraId="319CA454">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left="357" w:leftChars="0"/>
        <w:textAlignment w:val="auto"/>
        <w:rPr>
          <w:rFonts w:hint="eastAsia" w:ascii="宋体" w:hAnsi="宋体" w:eastAsia="宋体" w:cs="宋体"/>
          <w:color w:val="auto"/>
          <w:sz w:val="24"/>
          <w:szCs w:val="24"/>
          <w:highlight w:val="none"/>
          <w:shd w:val="clear" w:color="auto" w:fill="auto"/>
        </w:rPr>
      </w:pPr>
      <w:bookmarkStart w:id="542" w:name="_Toc226337250"/>
      <w:bookmarkStart w:id="543" w:name="_Toc353825544"/>
      <w:bookmarkStart w:id="544" w:name="_Toc150774759"/>
      <w:bookmarkStart w:id="545" w:name="_Toc305158822"/>
      <w:bookmarkStart w:id="546" w:name="_Toc353873934"/>
      <w:bookmarkStart w:id="547" w:name="_Toc305158896"/>
      <w:bookmarkStart w:id="548" w:name="_Toc226965827"/>
      <w:bookmarkStart w:id="549" w:name="_Toc353873664"/>
      <w:bookmarkStart w:id="550" w:name="_Toc142311056"/>
      <w:bookmarkStart w:id="551" w:name="_Toc264969244"/>
      <w:bookmarkStart w:id="552" w:name="_Toc127151554"/>
      <w:bookmarkStart w:id="553" w:name="_Toc150480792"/>
      <w:bookmarkStart w:id="554" w:name="_Toc265228392"/>
    </w:p>
    <w:p w14:paraId="788F953B">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szCs w:val="24"/>
          <w:highlight w:val="none"/>
          <w:shd w:val="clear" w:color="auto" w:fill="auto"/>
        </w:rPr>
        <w:sectPr>
          <w:pgSz w:w="11907" w:h="16840"/>
          <w:pgMar w:top="1440" w:right="1304" w:bottom="1440" w:left="1304" w:header="851" w:footer="851" w:gutter="0"/>
          <w:pgNumType w:fmt="decimal"/>
          <w:cols w:space="720" w:num="1"/>
          <w:docGrid w:linePitch="462" w:charSpace="0"/>
        </w:sectPr>
      </w:pPr>
    </w:p>
    <w:p w14:paraId="02BC347F">
      <w:pPr>
        <w:keepNext w:val="0"/>
        <w:keepLines w:val="0"/>
        <w:pageBreakBefore w:val="0"/>
        <w:widowControl w:val="0"/>
        <w:kinsoku/>
        <w:wordWrap/>
        <w:overflowPunct/>
        <w:topLinePunct w:val="0"/>
        <w:autoSpaceDE/>
        <w:autoSpaceDN/>
        <w:bidi w:val="0"/>
        <w:adjustRightInd/>
        <w:spacing w:line="360" w:lineRule="auto"/>
        <w:jc w:val="center"/>
        <w:textAlignment w:val="auto"/>
        <w:outlineLvl w:val="0"/>
        <w:rPr>
          <w:b/>
          <w:color w:val="auto"/>
          <w:sz w:val="36"/>
          <w:szCs w:val="36"/>
          <w:highlight w:val="none"/>
          <w:shd w:val="clear" w:color="auto" w:fill="auto"/>
        </w:rPr>
      </w:pPr>
      <w:bookmarkStart w:id="555" w:name="_Toc8164"/>
      <w:r>
        <w:rPr>
          <w:b/>
          <w:color w:val="auto"/>
          <w:sz w:val="36"/>
          <w:szCs w:val="36"/>
          <w:highlight w:val="none"/>
          <w:shd w:val="clear" w:color="auto" w:fill="auto"/>
        </w:rPr>
        <w:t xml:space="preserve">第三章   </w:t>
      </w:r>
      <w:bookmarkEnd w:id="542"/>
      <w:bookmarkEnd w:id="543"/>
      <w:bookmarkEnd w:id="544"/>
      <w:bookmarkEnd w:id="545"/>
      <w:bookmarkEnd w:id="546"/>
      <w:bookmarkEnd w:id="547"/>
      <w:bookmarkEnd w:id="548"/>
      <w:bookmarkEnd w:id="549"/>
      <w:bookmarkEnd w:id="550"/>
      <w:bookmarkEnd w:id="551"/>
      <w:bookmarkEnd w:id="552"/>
      <w:bookmarkEnd w:id="553"/>
      <w:bookmarkEnd w:id="554"/>
      <w:r>
        <w:rPr>
          <w:b/>
          <w:color w:val="auto"/>
          <w:sz w:val="36"/>
          <w:szCs w:val="36"/>
          <w:highlight w:val="none"/>
          <w:shd w:val="clear" w:color="auto" w:fill="auto"/>
        </w:rPr>
        <w:t>评审</w:t>
      </w:r>
      <w:r>
        <w:rPr>
          <w:rFonts w:hint="eastAsia"/>
          <w:b/>
          <w:color w:val="auto"/>
          <w:sz w:val="36"/>
          <w:szCs w:val="36"/>
          <w:highlight w:val="none"/>
          <w:shd w:val="clear" w:color="auto" w:fill="auto"/>
        </w:rPr>
        <w:t>程序、评审</w:t>
      </w:r>
      <w:r>
        <w:rPr>
          <w:b/>
          <w:color w:val="auto"/>
          <w:sz w:val="36"/>
          <w:szCs w:val="36"/>
          <w:highlight w:val="none"/>
          <w:shd w:val="clear" w:color="auto" w:fill="auto"/>
        </w:rPr>
        <w:t>方法和评审标准</w:t>
      </w:r>
      <w:bookmarkEnd w:id="555"/>
      <w:bookmarkStart w:id="556" w:name="_Toc487900382"/>
    </w:p>
    <w:p w14:paraId="3B0CBEBB">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Times New Roman"/>
          <w:b/>
          <w:bCs/>
          <w:color w:val="auto"/>
          <w:sz w:val="28"/>
          <w:szCs w:val="28"/>
          <w:highlight w:val="none"/>
          <w:shd w:val="clear" w:color="auto" w:fill="auto"/>
          <w:lang w:val="en-US" w:eastAsia="zh-CN"/>
        </w:rPr>
      </w:pPr>
      <w:r>
        <w:rPr>
          <w:rFonts w:hint="eastAsia" w:ascii="宋体" w:hAnsi="宋体" w:eastAsia="宋体" w:cs="Times New Roman"/>
          <w:b/>
          <w:bCs/>
          <w:color w:val="auto"/>
          <w:sz w:val="28"/>
          <w:szCs w:val="28"/>
          <w:highlight w:val="none"/>
          <w:shd w:val="clear" w:color="auto" w:fill="auto"/>
          <w:lang w:val="en-US" w:eastAsia="zh-CN"/>
        </w:rPr>
        <w:t>一、评审程序</w:t>
      </w:r>
    </w:p>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556"/>
    <w:p w14:paraId="234E1407">
      <w:pPr>
        <w:keepNext w:val="0"/>
        <w:keepLines w:val="0"/>
        <w:pageBreakBefore w:val="0"/>
        <w:widowControl w:val="0"/>
        <w:numPr>
          <w:ilvl w:val="0"/>
          <w:numId w:val="4"/>
        </w:numPr>
        <w:tabs>
          <w:tab w:val="left" w:pos="360"/>
        </w:tabs>
        <w:kinsoku/>
        <w:wordWrap/>
        <w:overflowPunct/>
        <w:topLinePunct w:val="0"/>
        <w:autoSpaceDE/>
        <w:autoSpaceDN/>
        <w:bidi w:val="0"/>
        <w:adjustRightInd/>
        <w:snapToGrid w:val="0"/>
        <w:spacing w:line="360" w:lineRule="auto"/>
        <w:textAlignment w:val="auto"/>
        <w:outlineLvl w:val="1"/>
        <w:rPr>
          <w:rFonts w:hint="eastAsia" w:ascii="宋体" w:hAnsi="宋体" w:eastAsia="宋体" w:cs="宋体"/>
          <w:color w:val="auto"/>
          <w:sz w:val="24"/>
          <w:highlight w:val="none"/>
          <w:shd w:val="clear" w:color="auto" w:fill="auto"/>
        </w:rPr>
      </w:pPr>
      <w:bookmarkStart w:id="557" w:name="_Toc151193929"/>
      <w:bookmarkStart w:id="558" w:name="_Toc127151541"/>
      <w:bookmarkStart w:id="559" w:name="_Toc127161455"/>
      <w:bookmarkStart w:id="560" w:name="_Toc164229236"/>
      <w:bookmarkStart w:id="561" w:name="_Toc150774641"/>
      <w:bookmarkStart w:id="562" w:name="_Toc150774746"/>
      <w:bookmarkStart w:id="563" w:name="_Toc265228379"/>
      <w:bookmarkStart w:id="564" w:name="_Toc164351635"/>
      <w:bookmarkStart w:id="565" w:name="_Toc151190168"/>
      <w:bookmarkStart w:id="566" w:name="_Toc142311043"/>
      <w:bookmarkStart w:id="567" w:name="_Toc195842906"/>
      <w:bookmarkStart w:id="568" w:name="_Toc151193855"/>
      <w:bookmarkStart w:id="569" w:name="_Toc151193711"/>
      <w:bookmarkStart w:id="570" w:name="_Toc226337237"/>
      <w:bookmarkStart w:id="571" w:name="_Toc164608655"/>
      <w:bookmarkStart w:id="572" w:name="_Toc150480779"/>
      <w:bookmarkStart w:id="573" w:name="_Toc149720834"/>
      <w:bookmarkStart w:id="574" w:name="_Toc164229382"/>
      <w:bookmarkStart w:id="575" w:name="_Toc151193639"/>
      <w:bookmarkStart w:id="576" w:name="_Toc226965731"/>
      <w:bookmarkStart w:id="577" w:name="_Toc151193783"/>
      <w:bookmarkStart w:id="578" w:name="_Toc226309785"/>
      <w:bookmarkStart w:id="579" w:name="_Toc164608810"/>
      <w:bookmarkStart w:id="580" w:name="_Toc127151742"/>
      <w:bookmarkStart w:id="581" w:name="_Toc150509292"/>
      <w:bookmarkStart w:id="582" w:name="_Toc305158809"/>
      <w:bookmarkStart w:id="583" w:name="_Toc305158883"/>
      <w:bookmarkStart w:id="584" w:name="_Toc226965814"/>
      <w:bookmarkStart w:id="585" w:name="_Toc264969231"/>
      <w:bookmarkStart w:id="586" w:name="_Toc353873941"/>
      <w:bookmarkStart w:id="587" w:name="_Toc353825551"/>
      <w:bookmarkStart w:id="588" w:name="_Toc353825545"/>
      <w:bookmarkStart w:id="589" w:name="_Toc226965828"/>
      <w:bookmarkStart w:id="590" w:name="_Toc265228393"/>
      <w:bookmarkStart w:id="591" w:name="_Toc353873935"/>
      <w:bookmarkStart w:id="592" w:name="_Toc150774760"/>
      <w:bookmarkStart w:id="593" w:name="_Toc195842920"/>
      <w:bookmarkStart w:id="594" w:name="_Toc353873665"/>
      <w:bookmarkStart w:id="595" w:name="_Toc305158823"/>
      <w:bookmarkStart w:id="596" w:name="_Toc142311057"/>
      <w:bookmarkStart w:id="597" w:name="_Toc150480793"/>
      <w:bookmarkStart w:id="598" w:name="_Toc127151555"/>
      <w:bookmarkStart w:id="599" w:name="_Toc226337251"/>
      <w:bookmarkStart w:id="600" w:name="_Toc305158897"/>
      <w:bookmarkStart w:id="601" w:name="_Toc264969245"/>
      <w:r>
        <w:rPr>
          <w:rFonts w:hint="eastAsia" w:ascii="宋体" w:hAnsi="宋体" w:eastAsia="宋体" w:cs="宋体"/>
          <w:color w:val="auto"/>
          <w:sz w:val="24"/>
          <w:highlight w:val="none"/>
          <w:shd w:val="clear" w:color="auto" w:fill="auto"/>
        </w:rPr>
        <w:t>响应文件的</w:t>
      </w:r>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r>
        <w:rPr>
          <w:rFonts w:hint="eastAsia" w:ascii="宋体" w:hAnsi="宋体" w:eastAsia="宋体" w:cs="宋体"/>
          <w:color w:val="auto"/>
          <w:sz w:val="24"/>
          <w:highlight w:val="none"/>
          <w:shd w:val="clear" w:color="auto" w:fill="auto"/>
        </w:rPr>
        <w:t>资格性检查和符合性审查</w:t>
      </w:r>
    </w:p>
    <w:p w14:paraId="4C9DD135">
      <w:pPr>
        <w:keepNext w:val="0"/>
        <w:keepLines w:val="0"/>
        <w:pageBreakBefore w:val="0"/>
        <w:widowControl w:val="0"/>
        <w:numPr>
          <w:ilvl w:val="1"/>
          <w:numId w:val="4"/>
        </w:numPr>
        <w:tabs>
          <w:tab w:val="left" w:pos="1080"/>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eastAsia="宋体" w:cs="宋体"/>
          <w:b/>
          <w:color w:val="auto"/>
          <w:sz w:val="24"/>
          <w:highlight w:val="none"/>
          <w:shd w:val="clear" w:color="auto" w:fill="auto"/>
        </w:rPr>
        <w:t>无效响应</w:t>
      </w:r>
      <w:r>
        <w:rPr>
          <w:rFonts w:hint="eastAsia" w:ascii="宋体" w:hAnsi="宋体" w:eastAsia="宋体" w:cs="宋体"/>
          <w:color w:val="auto"/>
          <w:sz w:val="24"/>
          <w:highlight w:val="none"/>
          <w:shd w:val="clear" w:color="auto" w:fill="auto"/>
        </w:rPr>
        <w:t>处理，磋商小组应当告知提交响应文件的供应商。</w:t>
      </w:r>
    </w:p>
    <w:p w14:paraId="627D86EB">
      <w:pPr>
        <w:keepNext w:val="0"/>
        <w:keepLines w:val="0"/>
        <w:pageBreakBefore w:val="0"/>
        <w:widowControl w:val="0"/>
        <w:numPr>
          <w:ilvl w:val="1"/>
          <w:numId w:val="4"/>
        </w:numPr>
        <w:tabs>
          <w:tab w:val="left" w:pos="1080"/>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《资格性检查要求》中对格式有要求的，除竞争性磋商文件另有规定外，均为“实质性格式”文件。</w:t>
      </w:r>
    </w:p>
    <w:p w14:paraId="23157182">
      <w:pPr>
        <w:keepNext w:val="0"/>
        <w:keepLines w:val="0"/>
        <w:pageBreakBefore w:val="0"/>
        <w:widowControl w:val="0"/>
        <w:numPr>
          <w:ilvl w:val="1"/>
          <w:numId w:val="4"/>
        </w:numPr>
        <w:tabs>
          <w:tab w:val="left" w:pos="1080"/>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《资格性检查要求》见下表：</w:t>
      </w:r>
    </w:p>
    <w:p w14:paraId="0326980C">
      <w:pPr>
        <w:tabs>
          <w:tab w:val="left" w:pos="900"/>
          <w:tab w:val="left" w:pos="1080"/>
          <w:tab w:val="left" w:pos="1447"/>
        </w:tabs>
        <w:snapToGrid w:val="0"/>
        <w:spacing w:line="360" w:lineRule="auto"/>
        <w:jc w:val="center"/>
        <w:rPr>
          <w:b/>
          <w:color w:val="auto"/>
          <w:sz w:val="24"/>
          <w:highlight w:val="none"/>
          <w:shd w:val="clear" w:color="auto" w:fill="auto"/>
        </w:rPr>
      </w:pPr>
      <w:r>
        <w:rPr>
          <w:b/>
          <w:color w:val="auto"/>
          <w:sz w:val="24"/>
          <w:highlight w:val="none"/>
          <w:shd w:val="clear" w:color="auto" w:fill="auto"/>
        </w:rPr>
        <w:t>资格性检查要求</w:t>
      </w:r>
    </w:p>
    <w:tbl>
      <w:tblPr>
        <w:tblStyle w:val="1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0"/>
        <w:gridCol w:w="1728"/>
        <w:gridCol w:w="4494"/>
        <w:gridCol w:w="1660"/>
      </w:tblGrid>
      <w:tr w14:paraId="6A8C54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blHeader/>
        </w:trPr>
        <w:tc>
          <w:tcPr>
            <w:tcW w:w="640" w:type="dxa"/>
            <w:noWrap w:val="0"/>
            <w:vAlign w:val="center"/>
          </w:tcPr>
          <w:p w14:paraId="2A22E370">
            <w:pPr>
              <w:keepNext w:val="0"/>
              <w:keepLines w:val="0"/>
              <w:pageBreakBefore w:val="0"/>
              <w:widowControl w:val="0"/>
              <w:tabs>
                <w:tab w:val="left" w:pos="1080"/>
              </w:tabs>
              <w:kinsoku/>
              <w:wordWrap/>
              <w:overflowPunct/>
              <w:topLinePunct w:val="0"/>
              <w:autoSpaceDE/>
              <w:autoSpaceDN/>
              <w:bidi w:val="0"/>
              <w:adjustRightInd/>
              <w:snapToGrid w:val="0"/>
              <w:jc w:val="center"/>
              <w:textAlignment w:val="auto"/>
              <w:rPr>
                <w:rFonts w:hint="eastAsia" w:ascii="宋体" w:hAnsi="宋体" w:eastAsia="宋体" w:cs="宋体"/>
                <w:b/>
                <w:color w:val="auto"/>
                <w:sz w:val="24"/>
                <w:highlight w:val="none"/>
                <w:shd w:val="clear" w:color="auto" w:fill="auto"/>
              </w:rPr>
            </w:pPr>
            <w:bookmarkStart w:id="602" w:name="_Hlt487972895"/>
            <w:bookmarkEnd w:id="602"/>
            <w:r>
              <w:rPr>
                <w:rFonts w:hint="eastAsia" w:ascii="宋体" w:hAnsi="宋体" w:eastAsia="宋体" w:cs="宋体"/>
                <w:b/>
                <w:color w:val="auto"/>
                <w:sz w:val="24"/>
                <w:highlight w:val="none"/>
                <w:shd w:val="clear" w:color="auto" w:fill="auto"/>
              </w:rPr>
              <w:t>序号</w:t>
            </w:r>
          </w:p>
        </w:tc>
        <w:tc>
          <w:tcPr>
            <w:tcW w:w="1728" w:type="dxa"/>
            <w:noWrap w:val="0"/>
            <w:vAlign w:val="center"/>
          </w:tcPr>
          <w:p w14:paraId="6C4AB1E4">
            <w:pPr>
              <w:keepNext w:val="0"/>
              <w:keepLines w:val="0"/>
              <w:pageBreakBefore w:val="0"/>
              <w:widowControl w:val="0"/>
              <w:tabs>
                <w:tab w:val="left" w:pos="1080"/>
              </w:tabs>
              <w:kinsoku/>
              <w:wordWrap/>
              <w:overflowPunct/>
              <w:topLinePunct w:val="0"/>
              <w:autoSpaceDE/>
              <w:autoSpaceDN/>
              <w:bidi w:val="0"/>
              <w:adjustRightInd/>
              <w:snapToGrid w:val="0"/>
              <w:jc w:val="center"/>
              <w:textAlignment w:val="auto"/>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审查因素</w:t>
            </w:r>
          </w:p>
        </w:tc>
        <w:tc>
          <w:tcPr>
            <w:tcW w:w="4494" w:type="dxa"/>
            <w:noWrap w:val="0"/>
            <w:vAlign w:val="center"/>
          </w:tcPr>
          <w:p w14:paraId="44AE4AA8">
            <w:pPr>
              <w:keepNext w:val="0"/>
              <w:keepLines w:val="0"/>
              <w:pageBreakBefore w:val="0"/>
              <w:widowControl w:val="0"/>
              <w:tabs>
                <w:tab w:val="left" w:pos="1080"/>
              </w:tabs>
              <w:kinsoku/>
              <w:wordWrap/>
              <w:overflowPunct/>
              <w:topLinePunct w:val="0"/>
              <w:autoSpaceDE/>
              <w:autoSpaceDN/>
              <w:bidi w:val="0"/>
              <w:adjustRightInd/>
              <w:snapToGrid w:val="0"/>
              <w:jc w:val="center"/>
              <w:textAlignment w:val="auto"/>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审查内容</w:t>
            </w:r>
          </w:p>
        </w:tc>
        <w:tc>
          <w:tcPr>
            <w:tcW w:w="1660" w:type="dxa"/>
            <w:noWrap w:val="0"/>
            <w:vAlign w:val="center"/>
          </w:tcPr>
          <w:p w14:paraId="03E820B3">
            <w:pPr>
              <w:keepNext w:val="0"/>
              <w:keepLines w:val="0"/>
              <w:pageBreakBefore w:val="0"/>
              <w:widowControl w:val="0"/>
              <w:tabs>
                <w:tab w:val="left" w:pos="1080"/>
              </w:tabs>
              <w:kinsoku/>
              <w:wordWrap/>
              <w:overflowPunct/>
              <w:topLinePunct w:val="0"/>
              <w:autoSpaceDE/>
              <w:autoSpaceDN/>
              <w:bidi w:val="0"/>
              <w:adjustRightInd/>
              <w:snapToGrid w:val="0"/>
              <w:jc w:val="center"/>
              <w:textAlignment w:val="auto"/>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格式要求</w:t>
            </w:r>
          </w:p>
        </w:tc>
      </w:tr>
      <w:tr w14:paraId="7F5163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40" w:type="dxa"/>
            <w:noWrap w:val="0"/>
            <w:vAlign w:val="center"/>
          </w:tcPr>
          <w:p w14:paraId="5E6DDEA2">
            <w:pPr>
              <w:keepNext w:val="0"/>
              <w:keepLines w:val="0"/>
              <w:pageBreakBefore w:val="0"/>
              <w:widowControl w:val="0"/>
              <w:tabs>
                <w:tab w:val="left" w:pos="1080"/>
              </w:tabs>
              <w:kinsoku/>
              <w:wordWrap/>
              <w:overflowPunct/>
              <w:topLinePunct w:val="0"/>
              <w:autoSpaceDE/>
              <w:autoSpaceDN/>
              <w:bidi w:val="0"/>
              <w:adjustRightInd/>
              <w:snapToGrid w:val="0"/>
              <w:jc w:val="center"/>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w:t>
            </w:r>
          </w:p>
        </w:tc>
        <w:tc>
          <w:tcPr>
            <w:tcW w:w="1728" w:type="dxa"/>
            <w:noWrap w:val="0"/>
            <w:vAlign w:val="center"/>
          </w:tcPr>
          <w:p w14:paraId="7393CD3F">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满足《中华人民共和国政府采购法》第二十二条规定及法律法规的其他规定</w:t>
            </w:r>
          </w:p>
        </w:tc>
        <w:tc>
          <w:tcPr>
            <w:tcW w:w="4494" w:type="dxa"/>
            <w:noWrap w:val="0"/>
            <w:vAlign w:val="center"/>
          </w:tcPr>
          <w:p w14:paraId="401B9531">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具体规定见第一章《采购邀请》</w:t>
            </w:r>
          </w:p>
        </w:tc>
        <w:tc>
          <w:tcPr>
            <w:tcW w:w="1660" w:type="dxa"/>
            <w:noWrap w:val="0"/>
            <w:vAlign w:val="center"/>
          </w:tcPr>
          <w:p w14:paraId="210D4888">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color w:val="auto"/>
                <w:sz w:val="24"/>
                <w:highlight w:val="none"/>
                <w:shd w:val="clear" w:color="auto" w:fill="auto"/>
              </w:rPr>
            </w:pPr>
          </w:p>
        </w:tc>
      </w:tr>
      <w:tr w14:paraId="5E9C88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640" w:type="dxa"/>
            <w:noWrap w:val="0"/>
            <w:vAlign w:val="center"/>
          </w:tcPr>
          <w:p w14:paraId="2525D642">
            <w:pPr>
              <w:keepNext w:val="0"/>
              <w:keepLines w:val="0"/>
              <w:pageBreakBefore w:val="0"/>
              <w:widowControl w:val="0"/>
              <w:tabs>
                <w:tab w:val="left" w:pos="1080"/>
              </w:tabs>
              <w:kinsoku/>
              <w:wordWrap/>
              <w:overflowPunct/>
              <w:topLinePunct w:val="0"/>
              <w:autoSpaceDE/>
              <w:autoSpaceDN/>
              <w:bidi w:val="0"/>
              <w:adjustRightInd/>
              <w:snapToGrid w:val="0"/>
              <w:jc w:val="center"/>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1-1</w:t>
            </w:r>
          </w:p>
        </w:tc>
        <w:tc>
          <w:tcPr>
            <w:tcW w:w="1728" w:type="dxa"/>
            <w:noWrap w:val="0"/>
            <w:vAlign w:val="center"/>
          </w:tcPr>
          <w:p w14:paraId="49F05BA3">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供应商资格声明函</w:t>
            </w:r>
          </w:p>
        </w:tc>
        <w:tc>
          <w:tcPr>
            <w:tcW w:w="4494" w:type="dxa"/>
            <w:noWrap w:val="0"/>
            <w:vAlign w:val="center"/>
          </w:tcPr>
          <w:p w14:paraId="48779422">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提供了符合采购文件要求的《供应商资格声明函》。</w:t>
            </w:r>
          </w:p>
        </w:tc>
        <w:tc>
          <w:tcPr>
            <w:tcW w:w="1660" w:type="dxa"/>
            <w:noWrap w:val="0"/>
            <w:vAlign w:val="center"/>
          </w:tcPr>
          <w:p w14:paraId="35EE6853">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格式见《响应文件格式》</w:t>
            </w:r>
          </w:p>
        </w:tc>
      </w:tr>
      <w:tr w14:paraId="585BAA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40" w:type="dxa"/>
            <w:noWrap w:val="0"/>
            <w:vAlign w:val="center"/>
          </w:tcPr>
          <w:p w14:paraId="2D047966">
            <w:pPr>
              <w:keepNext w:val="0"/>
              <w:keepLines w:val="0"/>
              <w:pageBreakBefore w:val="0"/>
              <w:widowControl w:val="0"/>
              <w:tabs>
                <w:tab w:val="left" w:pos="1080"/>
              </w:tabs>
              <w:kinsoku/>
              <w:wordWrap/>
              <w:overflowPunct/>
              <w:topLinePunct w:val="0"/>
              <w:autoSpaceDE/>
              <w:autoSpaceDN/>
              <w:bidi w:val="0"/>
              <w:adjustRightInd/>
              <w:snapToGrid w:val="0"/>
              <w:jc w:val="center"/>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1-2</w:t>
            </w:r>
          </w:p>
        </w:tc>
        <w:tc>
          <w:tcPr>
            <w:tcW w:w="1728" w:type="dxa"/>
            <w:noWrap w:val="0"/>
            <w:vAlign w:val="center"/>
          </w:tcPr>
          <w:p w14:paraId="0DD6FE2A">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供应商信用记录</w:t>
            </w:r>
          </w:p>
        </w:tc>
        <w:tc>
          <w:tcPr>
            <w:tcW w:w="4494" w:type="dxa"/>
            <w:noWrap w:val="0"/>
            <w:vAlign w:val="center"/>
          </w:tcPr>
          <w:p w14:paraId="1DF92381">
            <w:pPr>
              <w:keepNext w:val="0"/>
              <w:keepLines w:val="0"/>
              <w:pageBreakBefore w:val="0"/>
              <w:widowControl w:val="0"/>
              <w:tabs>
                <w:tab w:val="left" w:pos="900"/>
                <w:tab w:val="left" w:pos="1980"/>
              </w:tabs>
              <w:kinsoku/>
              <w:wordWrap/>
              <w:overflowPunct/>
              <w:topLinePunct w:val="0"/>
              <w:autoSpaceDE/>
              <w:autoSpaceDN/>
              <w:bidi w:val="0"/>
              <w:adjustRightInd/>
              <w:snapToGrid w:val="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查询渠道：信用中国网站和中国政府采购网（www.creditchina.gov.cn、www.ccgp.gov.cn）；</w:t>
            </w:r>
          </w:p>
          <w:p w14:paraId="4824BEA5">
            <w:pPr>
              <w:keepNext w:val="0"/>
              <w:keepLines w:val="0"/>
              <w:pageBreakBefore w:val="0"/>
              <w:widowControl w:val="0"/>
              <w:tabs>
                <w:tab w:val="left" w:pos="900"/>
                <w:tab w:val="left" w:pos="1980"/>
              </w:tabs>
              <w:kinsoku/>
              <w:wordWrap/>
              <w:overflowPunct/>
              <w:topLinePunct w:val="0"/>
              <w:autoSpaceDE/>
              <w:autoSpaceDN/>
              <w:bidi w:val="0"/>
              <w:adjustRightInd/>
              <w:snapToGrid w:val="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截止时点：提交响应文件截止时间以后、资格审查阶段采购人或采购代理机构的实际查询时间；</w:t>
            </w:r>
          </w:p>
          <w:p w14:paraId="703D11BA">
            <w:pPr>
              <w:keepNext w:val="0"/>
              <w:keepLines w:val="0"/>
              <w:pageBreakBefore w:val="0"/>
              <w:widowControl w:val="0"/>
              <w:tabs>
                <w:tab w:val="left" w:pos="900"/>
                <w:tab w:val="left" w:pos="1980"/>
              </w:tabs>
              <w:kinsoku/>
              <w:wordWrap/>
              <w:overflowPunct/>
              <w:topLinePunct w:val="0"/>
              <w:autoSpaceDE/>
              <w:autoSpaceDN/>
              <w:bidi w:val="0"/>
              <w:adjustRightInd/>
              <w:snapToGrid w:val="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信用信息查询记录和证据留存具体方式：查询结果网页打印页作为查询记录和证据，与其他采购文件一并保存；</w:t>
            </w:r>
          </w:p>
          <w:p w14:paraId="690F38B6">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信用信息的使用原则：经认定的被列入失信被执行人、重大税收违法案件当事人名单、政府采购严重违法失信行为记录名单的供应商，其</w:t>
            </w:r>
            <w:r>
              <w:rPr>
                <w:rFonts w:hint="eastAsia" w:ascii="宋体" w:hAnsi="宋体" w:eastAsia="宋体" w:cs="宋体"/>
                <w:b/>
                <w:color w:val="auto"/>
                <w:sz w:val="24"/>
                <w:highlight w:val="none"/>
                <w:shd w:val="clear" w:color="auto" w:fill="auto"/>
              </w:rPr>
              <w:t>响应无效</w:t>
            </w:r>
            <w:r>
              <w:rPr>
                <w:rFonts w:hint="eastAsia" w:ascii="宋体" w:hAnsi="宋体" w:eastAsia="宋体" w:cs="宋体"/>
                <w:color w:val="auto"/>
                <w:sz w:val="24"/>
                <w:highlight w:val="none"/>
                <w:shd w:val="clear" w:color="auto" w:fill="auto"/>
              </w:rPr>
              <w:t>。</w:t>
            </w:r>
          </w:p>
        </w:tc>
        <w:tc>
          <w:tcPr>
            <w:tcW w:w="1660" w:type="dxa"/>
            <w:noWrap w:val="0"/>
            <w:vAlign w:val="center"/>
          </w:tcPr>
          <w:p w14:paraId="7AD118EB">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无须供应商提供，由采购人查询。</w:t>
            </w:r>
          </w:p>
        </w:tc>
      </w:tr>
      <w:tr w14:paraId="03FF8F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40" w:type="dxa"/>
            <w:shd w:val="clear" w:color="auto" w:fill="auto"/>
            <w:noWrap w:val="0"/>
            <w:vAlign w:val="center"/>
          </w:tcPr>
          <w:p w14:paraId="179BA733">
            <w:pPr>
              <w:keepNext w:val="0"/>
              <w:keepLines w:val="0"/>
              <w:pageBreakBefore w:val="0"/>
              <w:widowControl w:val="0"/>
              <w:tabs>
                <w:tab w:val="left" w:pos="1080"/>
              </w:tabs>
              <w:kinsoku/>
              <w:wordWrap/>
              <w:overflowPunct/>
              <w:topLinePunct w:val="0"/>
              <w:autoSpaceDE/>
              <w:autoSpaceDN/>
              <w:bidi w:val="0"/>
              <w:adjustRightInd/>
              <w:snapToGrid w:val="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shd w:val="clear" w:color="auto" w:fill="auto"/>
              </w:rPr>
              <w:t>2</w:t>
            </w:r>
          </w:p>
        </w:tc>
        <w:tc>
          <w:tcPr>
            <w:tcW w:w="1728" w:type="dxa"/>
            <w:shd w:val="clear" w:color="auto" w:fill="auto"/>
            <w:noWrap w:val="0"/>
            <w:vAlign w:val="center"/>
          </w:tcPr>
          <w:p w14:paraId="7014D320">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shd w:val="clear" w:color="auto" w:fill="auto"/>
              </w:rPr>
              <w:t>落实政府采购政策需满足的资格要求</w:t>
            </w:r>
          </w:p>
        </w:tc>
        <w:tc>
          <w:tcPr>
            <w:tcW w:w="4494" w:type="dxa"/>
            <w:shd w:val="clear" w:color="auto" w:fill="auto"/>
            <w:noWrap w:val="0"/>
            <w:vAlign w:val="center"/>
          </w:tcPr>
          <w:p w14:paraId="219690A4">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shd w:val="clear" w:color="auto" w:fill="auto"/>
              </w:rPr>
              <w:t>具体要求见第一章《采购邀请》</w:t>
            </w:r>
          </w:p>
        </w:tc>
        <w:tc>
          <w:tcPr>
            <w:tcW w:w="1660" w:type="dxa"/>
            <w:shd w:val="clear" w:color="auto" w:fill="auto"/>
            <w:noWrap w:val="0"/>
            <w:vAlign w:val="center"/>
          </w:tcPr>
          <w:p w14:paraId="14B45612">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color w:val="auto"/>
                <w:kern w:val="2"/>
                <w:sz w:val="24"/>
                <w:szCs w:val="24"/>
                <w:highlight w:val="none"/>
                <w:lang w:val="en-US" w:eastAsia="zh-CN" w:bidi="ar-SA"/>
              </w:rPr>
            </w:pPr>
          </w:p>
        </w:tc>
      </w:tr>
      <w:tr w14:paraId="61E838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40" w:type="dxa"/>
            <w:shd w:val="clear" w:color="auto" w:fill="auto"/>
            <w:noWrap w:val="0"/>
            <w:vAlign w:val="center"/>
          </w:tcPr>
          <w:p w14:paraId="46B1D095">
            <w:pPr>
              <w:keepNext w:val="0"/>
              <w:keepLines w:val="0"/>
              <w:pageBreakBefore w:val="0"/>
              <w:widowControl w:val="0"/>
              <w:tabs>
                <w:tab w:val="left" w:pos="1080"/>
              </w:tabs>
              <w:kinsoku/>
              <w:wordWrap/>
              <w:overflowPunct/>
              <w:topLinePunct w:val="0"/>
              <w:autoSpaceDE/>
              <w:autoSpaceDN/>
              <w:bidi w:val="0"/>
              <w:adjustRightInd/>
              <w:snapToGrid w:val="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shd w:val="clear" w:color="auto" w:fill="auto"/>
              </w:rPr>
              <w:t>2-1</w:t>
            </w:r>
          </w:p>
        </w:tc>
        <w:tc>
          <w:tcPr>
            <w:tcW w:w="1728" w:type="dxa"/>
            <w:shd w:val="clear" w:color="auto" w:fill="auto"/>
            <w:noWrap w:val="0"/>
            <w:vAlign w:val="center"/>
          </w:tcPr>
          <w:p w14:paraId="75D97C0D">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shd w:val="clear" w:color="auto" w:fill="auto"/>
              </w:rPr>
              <w:t>中小企业声明函</w:t>
            </w:r>
          </w:p>
        </w:tc>
        <w:tc>
          <w:tcPr>
            <w:tcW w:w="4494" w:type="dxa"/>
            <w:shd w:val="clear" w:color="auto" w:fill="auto"/>
            <w:noWrap w:val="0"/>
            <w:vAlign w:val="center"/>
          </w:tcPr>
          <w:p w14:paraId="222BE8AF">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供应商单独参与磋商的，应提供中小企业声明函；如为监狱企业或残疾人福利性单位，不必提供中小企业声明函，但须按注1或注2要求提供证明材料。</w:t>
            </w:r>
          </w:p>
          <w:p w14:paraId="25980139">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注1：监狱企业须提供由省级以上监狱管理局（常州市含教育矫治局）、戒毒管理局（含新疆生产建设兵团）出具的属于监狱企业的证明文件。</w:t>
            </w:r>
          </w:p>
          <w:p w14:paraId="1378326A">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Cs/>
                <w:color w:val="auto"/>
                <w:sz w:val="24"/>
                <w:highlight w:val="none"/>
                <w:shd w:val="clear" w:color="auto" w:fill="auto"/>
              </w:rPr>
              <w:t>注2：残疾人福利性单位须按磋商文件要求提供《残疾人福利性单位声明函》。</w:t>
            </w:r>
          </w:p>
        </w:tc>
        <w:tc>
          <w:tcPr>
            <w:tcW w:w="1660" w:type="dxa"/>
            <w:shd w:val="clear" w:color="auto" w:fill="auto"/>
            <w:noWrap w:val="0"/>
            <w:vAlign w:val="center"/>
          </w:tcPr>
          <w:p w14:paraId="764F2FE3">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shd w:val="clear" w:color="auto" w:fill="auto"/>
              </w:rPr>
              <w:t>格式见《响应文件格式》</w:t>
            </w:r>
          </w:p>
        </w:tc>
      </w:tr>
      <w:tr w14:paraId="05CF6B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40" w:type="dxa"/>
            <w:shd w:val="clear" w:color="auto" w:fill="auto"/>
            <w:noWrap w:val="0"/>
            <w:vAlign w:val="center"/>
          </w:tcPr>
          <w:p w14:paraId="526F22DB">
            <w:pPr>
              <w:tabs>
                <w:tab w:val="left" w:pos="1080"/>
              </w:tabs>
              <w:snapToGrid w:val="0"/>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lang w:val="en-US" w:eastAsia="zh-CN"/>
              </w:rPr>
              <w:t>3</w:t>
            </w:r>
          </w:p>
        </w:tc>
        <w:tc>
          <w:tcPr>
            <w:tcW w:w="1728" w:type="dxa"/>
            <w:shd w:val="clear" w:color="auto" w:fill="auto"/>
            <w:noWrap w:val="0"/>
            <w:vAlign w:val="center"/>
          </w:tcPr>
          <w:p w14:paraId="43DFBF44">
            <w:pPr>
              <w:tabs>
                <w:tab w:val="left" w:pos="1080"/>
              </w:tabs>
              <w:snapToGrid w:val="0"/>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rPr>
              <w:t>本项目的特定资格要求</w:t>
            </w:r>
          </w:p>
        </w:tc>
        <w:tc>
          <w:tcPr>
            <w:tcW w:w="4494" w:type="dxa"/>
            <w:shd w:val="clear" w:color="auto" w:fill="auto"/>
            <w:noWrap w:val="0"/>
            <w:vAlign w:val="center"/>
          </w:tcPr>
          <w:p w14:paraId="3DF02F21">
            <w:pPr>
              <w:tabs>
                <w:tab w:val="left" w:pos="1080"/>
              </w:tabs>
              <w:snapToGrid w:val="0"/>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rPr>
              <w:t>见第一章《采购邀请》</w:t>
            </w:r>
          </w:p>
        </w:tc>
        <w:tc>
          <w:tcPr>
            <w:tcW w:w="1660" w:type="dxa"/>
            <w:shd w:val="clear" w:color="auto" w:fill="auto"/>
            <w:noWrap w:val="0"/>
            <w:vAlign w:val="center"/>
          </w:tcPr>
          <w:p w14:paraId="28FD52E6">
            <w:pPr>
              <w:tabs>
                <w:tab w:val="left" w:pos="1080"/>
              </w:tabs>
              <w:snapToGrid w:val="0"/>
              <w:jc w:val="center"/>
              <w:rPr>
                <w:rFonts w:hint="eastAsia" w:ascii="宋体" w:hAnsi="宋体" w:eastAsia="宋体" w:cs="宋体"/>
                <w:color w:val="auto"/>
                <w:kern w:val="2"/>
                <w:sz w:val="24"/>
                <w:szCs w:val="24"/>
                <w:highlight w:val="none"/>
                <w:lang w:val="en-US" w:eastAsia="zh-CN" w:bidi="ar-SA"/>
              </w:rPr>
            </w:pPr>
          </w:p>
        </w:tc>
      </w:tr>
      <w:tr w14:paraId="0DE276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40" w:type="dxa"/>
            <w:shd w:val="clear" w:color="auto" w:fill="auto"/>
            <w:noWrap w:val="0"/>
            <w:vAlign w:val="center"/>
          </w:tcPr>
          <w:p w14:paraId="3864654A">
            <w:pPr>
              <w:tabs>
                <w:tab w:val="left" w:pos="1080"/>
              </w:tabs>
              <w:snapToGrid w:val="0"/>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-1</w:t>
            </w:r>
          </w:p>
        </w:tc>
        <w:tc>
          <w:tcPr>
            <w:tcW w:w="1728" w:type="dxa"/>
            <w:shd w:val="clear" w:color="auto" w:fill="auto"/>
            <w:noWrap w:val="0"/>
            <w:vAlign w:val="center"/>
          </w:tcPr>
          <w:p w14:paraId="5C998659">
            <w:pPr>
              <w:tabs>
                <w:tab w:val="left" w:pos="1080"/>
              </w:tabs>
              <w:snapToGrid w:val="0"/>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rPr>
              <w:t>其他特定资格要求</w:t>
            </w:r>
          </w:p>
        </w:tc>
        <w:tc>
          <w:tcPr>
            <w:tcW w:w="4494" w:type="dxa"/>
            <w:shd w:val="clear" w:color="auto" w:fill="auto"/>
            <w:noWrap w:val="0"/>
            <w:vAlign w:val="center"/>
          </w:tcPr>
          <w:p w14:paraId="6F1A8788">
            <w:pPr>
              <w:tabs>
                <w:tab w:val="left" w:pos="1080"/>
              </w:tabs>
              <w:snapToGrid w:val="0"/>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rPr>
              <w:t>见第一章《采购邀请》</w:t>
            </w:r>
          </w:p>
        </w:tc>
        <w:tc>
          <w:tcPr>
            <w:tcW w:w="1660" w:type="dxa"/>
            <w:shd w:val="clear" w:color="auto" w:fill="auto"/>
            <w:noWrap w:val="0"/>
            <w:vAlign w:val="center"/>
          </w:tcPr>
          <w:p w14:paraId="3925372A">
            <w:pPr>
              <w:tabs>
                <w:tab w:val="left" w:pos="1080"/>
              </w:tabs>
              <w:snapToGrid w:val="0"/>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rPr>
              <w:t>提供</w:t>
            </w:r>
            <w:r>
              <w:rPr>
                <w:color w:val="auto"/>
                <w:sz w:val="24"/>
                <w:highlight w:val="none"/>
              </w:rPr>
              <w:t>电子件</w:t>
            </w:r>
            <w:r>
              <w:rPr>
                <w:rFonts w:hint="eastAsia" w:ascii="宋体" w:hAnsi="宋体" w:cs="宋体"/>
                <w:color w:val="auto"/>
                <w:sz w:val="24"/>
                <w:highlight w:val="none"/>
              </w:rPr>
              <w:t>加盖供应商公章</w:t>
            </w:r>
          </w:p>
        </w:tc>
      </w:tr>
    </w:tbl>
    <w:p w14:paraId="61CCBCA8">
      <w:pPr>
        <w:keepNext w:val="0"/>
        <w:keepLines w:val="0"/>
        <w:pageBreakBefore w:val="0"/>
        <w:widowControl w:val="0"/>
        <w:numPr>
          <w:ilvl w:val="1"/>
          <w:numId w:val="4"/>
        </w:numPr>
        <w:tabs>
          <w:tab w:val="left" w:pos="1080"/>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《符合性审查要求》见下表：</w:t>
      </w:r>
    </w:p>
    <w:p w14:paraId="5DD1B472">
      <w:pPr>
        <w:tabs>
          <w:tab w:val="left" w:pos="900"/>
          <w:tab w:val="left" w:pos="1080"/>
          <w:tab w:val="left" w:pos="1447"/>
        </w:tabs>
        <w:snapToGrid w:val="0"/>
        <w:spacing w:line="360" w:lineRule="auto"/>
        <w:jc w:val="center"/>
        <w:rPr>
          <w:b/>
          <w:color w:val="auto"/>
          <w:sz w:val="24"/>
          <w:highlight w:val="none"/>
          <w:shd w:val="clear" w:color="auto" w:fill="auto"/>
        </w:rPr>
      </w:pPr>
      <w:r>
        <w:rPr>
          <w:b/>
          <w:color w:val="auto"/>
          <w:sz w:val="24"/>
          <w:highlight w:val="none"/>
          <w:shd w:val="clear" w:color="auto" w:fill="auto"/>
        </w:rPr>
        <w:t>符合性审查要求</w:t>
      </w:r>
    </w:p>
    <w:tbl>
      <w:tblPr>
        <w:tblStyle w:val="1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72"/>
        <w:gridCol w:w="1459"/>
        <w:gridCol w:w="6288"/>
      </w:tblGrid>
      <w:tr w14:paraId="32F07D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noWrap w:val="0"/>
            <w:vAlign w:val="center"/>
          </w:tcPr>
          <w:p w14:paraId="7837DECF">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b/>
                <w:color w:val="auto"/>
                <w:sz w:val="24"/>
                <w:highlight w:val="none"/>
              </w:rPr>
            </w:pPr>
            <w:r>
              <w:rPr>
                <w:rFonts w:hint="eastAsia" w:ascii="宋体" w:hAnsi="宋体" w:cs="宋体"/>
                <w:b/>
                <w:color w:val="auto"/>
                <w:sz w:val="24"/>
                <w:highlight w:val="none"/>
              </w:rPr>
              <w:t>序号</w:t>
            </w:r>
          </w:p>
        </w:tc>
        <w:tc>
          <w:tcPr>
            <w:tcW w:w="856" w:type="pct"/>
            <w:noWrap w:val="0"/>
            <w:vAlign w:val="center"/>
          </w:tcPr>
          <w:p w14:paraId="0E5F5D1B">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b/>
                <w:color w:val="auto"/>
                <w:sz w:val="24"/>
                <w:highlight w:val="none"/>
              </w:rPr>
            </w:pPr>
            <w:r>
              <w:rPr>
                <w:rFonts w:hint="eastAsia" w:ascii="宋体" w:hAnsi="宋体" w:cs="宋体"/>
                <w:b/>
                <w:color w:val="auto"/>
                <w:sz w:val="24"/>
                <w:highlight w:val="none"/>
              </w:rPr>
              <w:t>审查因素</w:t>
            </w:r>
          </w:p>
        </w:tc>
        <w:tc>
          <w:tcPr>
            <w:tcW w:w="3690" w:type="pct"/>
            <w:noWrap w:val="0"/>
            <w:vAlign w:val="center"/>
          </w:tcPr>
          <w:p w14:paraId="50FC21C4">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b/>
                <w:color w:val="auto"/>
                <w:sz w:val="24"/>
                <w:highlight w:val="none"/>
              </w:rPr>
            </w:pPr>
            <w:r>
              <w:rPr>
                <w:rFonts w:hint="eastAsia" w:ascii="宋体" w:hAnsi="宋体" w:cs="宋体"/>
                <w:b/>
                <w:color w:val="auto"/>
                <w:sz w:val="24"/>
                <w:highlight w:val="none"/>
              </w:rPr>
              <w:t>审查内容</w:t>
            </w:r>
          </w:p>
        </w:tc>
      </w:tr>
      <w:tr w14:paraId="7850AF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noWrap w:val="0"/>
            <w:vAlign w:val="center"/>
          </w:tcPr>
          <w:p w14:paraId="34671AC7">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856" w:type="pct"/>
            <w:noWrap w:val="0"/>
            <w:vAlign w:val="center"/>
          </w:tcPr>
          <w:p w14:paraId="72AF9963">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响应函、法定代表人资格证明书</w:t>
            </w:r>
            <w:bookmarkStart w:id="710" w:name="_GoBack"/>
            <w:bookmarkEnd w:id="710"/>
            <w:r>
              <w:rPr>
                <w:rFonts w:hint="eastAsia" w:ascii="宋体" w:hAnsi="宋体" w:cs="宋体"/>
                <w:color w:val="auto"/>
                <w:sz w:val="24"/>
                <w:highlight w:val="none"/>
              </w:rPr>
              <w:t>和政府采购供应商信用承诺书</w:t>
            </w:r>
          </w:p>
        </w:tc>
        <w:tc>
          <w:tcPr>
            <w:tcW w:w="3690" w:type="pct"/>
            <w:noWrap w:val="0"/>
            <w:vAlign w:val="center"/>
          </w:tcPr>
          <w:p w14:paraId="10999503">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按磋商文件要求提供响应函、法定代表人资格证明书、政府采购供应商信用承诺书；</w:t>
            </w:r>
          </w:p>
        </w:tc>
      </w:tr>
      <w:tr w14:paraId="040922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noWrap w:val="0"/>
            <w:vAlign w:val="center"/>
          </w:tcPr>
          <w:p w14:paraId="44BCC87D">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2</w:t>
            </w:r>
          </w:p>
        </w:tc>
        <w:tc>
          <w:tcPr>
            <w:tcW w:w="856" w:type="pct"/>
            <w:noWrap w:val="0"/>
            <w:vAlign w:val="center"/>
          </w:tcPr>
          <w:p w14:paraId="77279C36">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响应完整性</w:t>
            </w:r>
          </w:p>
        </w:tc>
        <w:tc>
          <w:tcPr>
            <w:tcW w:w="3690" w:type="pct"/>
            <w:noWrap w:val="0"/>
            <w:vAlign w:val="center"/>
          </w:tcPr>
          <w:p w14:paraId="7C57A8BA">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未将一个采购</w:t>
            </w:r>
            <w:r>
              <w:rPr>
                <w:rFonts w:hint="eastAsia" w:ascii="宋体" w:hAnsi="宋体" w:cs="宋体"/>
                <w:color w:val="auto"/>
                <w:sz w:val="24"/>
                <w:highlight w:val="none"/>
                <w:lang w:val="en-US" w:eastAsia="zh-CN"/>
              </w:rPr>
              <w:t>项目</w:t>
            </w:r>
            <w:r>
              <w:rPr>
                <w:rFonts w:hint="eastAsia" w:ascii="宋体" w:hAnsi="宋体" w:cs="宋体"/>
                <w:color w:val="auto"/>
                <w:sz w:val="24"/>
                <w:highlight w:val="none"/>
              </w:rPr>
              <w:t>中的内容拆开响应；</w:t>
            </w:r>
          </w:p>
        </w:tc>
      </w:tr>
      <w:tr w14:paraId="64BD67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noWrap w:val="0"/>
            <w:vAlign w:val="center"/>
          </w:tcPr>
          <w:p w14:paraId="1238A2B4">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3</w:t>
            </w:r>
          </w:p>
        </w:tc>
        <w:tc>
          <w:tcPr>
            <w:tcW w:w="856" w:type="pct"/>
            <w:noWrap w:val="0"/>
            <w:vAlign w:val="center"/>
          </w:tcPr>
          <w:p w14:paraId="73C8C807">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响应报价</w:t>
            </w:r>
          </w:p>
        </w:tc>
        <w:tc>
          <w:tcPr>
            <w:tcW w:w="3690" w:type="pct"/>
            <w:noWrap w:val="0"/>
            <w:vAlign w:val="center"/>
          </w:tcPr>
          <w:p w14:paraId="086B19E6">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响应报价未超过磋商文件中规定的项目预算金额或者项目最高限价</w:t>
            </w:r>
            <w:r>
              <w:rPr>
                <w:rFonts w:hint="eastAsia" w:ascii="宋体" w:hAnsi="宋体" w:cs="宋体"/>
                <w:color w:val="auto"/>
                <w:sz w:val="24"/>
                <w:highlight w:val="none"/>
                <w:lang w:val="en-US" w:eastAsia="zh-CN"/>
              </w:rPr>
              <w:t>或控制价或控制价单价限价</w:t>
            </w:r>
            <w:r>
              <w:rPr>
                <w:rFonts w:hint="eastAsia" w:ascii="宋体" w:hAnsi="宋体" w:cs="宋体"/>
                <w:color w:val="auto"/>
                <w:sz w:val="24"/>
                <w:highlight w:val="none"/>
              </w:rPr>
              <w:t>；</w:t>
            </w:r>
          </w:p>
        </w:tc>
      </w:tr>
      <w:tr w14:paraId="6F6D93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noWrap w:val="0"/>
            <w:vAlign w:val="center"/>
          </w:tcPr>
          <w:p w14:paraId="6C40EB37">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4</w:t>
            </w:r>
          </w:p>
        </w:tc>
        <w:tc>
          <w:tcPr>
            <w:tcW w:w="856" w:type="pct"/>
            <w:noWrap w:val="0"/>
            <w:vAlign w:val="center"/>
          </w:tcPr>
          <w:p w14:paraId="3165CB15">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报价唯一性</w:t>
            </w:r>
          </w:p>
        </w:tc>
        <w:tc>
          <w:tcPr>
            <w:tcW w:w="3690" w:type="pct"/>
            <w:noWrap w:val="0"/>
            <w:vAlign w:val="center"/>
          </w:tcPr>
          <w:p w14:paraId="2664CAC5">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响应文件未出现可选择性或可调整的报价（磋商文件另有规定的除外）；</w:t>
            </w:r>
          </w:p>
        </w:tc>
      </w:tr>
      <w:tr w14:paraId="225AEA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noWrap w:val="0"/>
            <w:vAlign w:val="center"/>
          </w:tcPr>
          <w:p w14:paraId="4A5E4CEE">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5</w:t>
            </w:r>
          </w:p>
        </w:tc>
        <w:tc>
          <w:tcPr>
            <w:tcW w:w="856" w:type="pct"/>
            <w:noWrap w:val="0"/>
            <w:vAlign w:val="center"/>
          </w:tcPr>
          <w:p w14:paraId="509E29DB">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响应有效期</w:t>
            </w:r>
          </w:p>
        </w:tc>
        <w:tc>
          <w:tcPr>
            <w:tcW w:w="3690" w:type="pct"/>
            <w:noWrap w:val="0"/>
            <w:vAlign w:val="center"/>
          </w:tcPr>
          <w:p w14:paraId="14EF77AB">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响应文件中承诺的响应有效期满足磋商文件中载明的响应有效期的；</w:t>
            </w:r>
          </w:p>
        </w:tc>
      </w:tr>
      <w:tr w14:paraId="00F3D5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noWrap w:val="0"/>
            <w:vAlign w:val="center"/>
          </w:tcPr>
          <w:p w14:paraId="599DA2DA">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6</w:t>
            </w:r>
          </w:p>
        </w:tc>
        <w:tc>
          <w:tcPr>
            <w:tcW w:w="856" w:type="pct"/>
            <w:noWrap w:val="0"/>
            <w:vAlign w:val="center"/>
          </w:tcPr>
          <w:p w14:paraId="5A5AF364">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签署、加盖公章</w:t>
            </w:r>
          </w:p>
        </w:tc>
        <w:tc>
          <w:tcPr>
            <w:tcW w:w="3690" w:type="pct"/>
            <w:noWrap w:val="0"/>
            <w:vAlign w:val="center"/>
          </w:tcPr>
          <w:p w14:paraId="11A97E86">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按照磋商文件要求签署、加盖公章的；</w:t>
            </w:r>
          </w:p>
        </w:tc>
      </w:tr>
      <w:tr w14:paraId="03104B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noWrap w:val="0"/>
            <w:vAlign w:val="center"/>
          </w:tcPr>
          <w:p w14:paraId="52FAC2C5">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7</w:t>
            </w:r>
          </w:p>
        </w:tc>
        <w:tc>
          <w:tcPr>
            <w:tcW w:w="856" w:type="pct"/>
            <w:noWrap w:val="0"/>
            <w:vAlign w:val="center"/>
          </w:tcPr>
          <w:p w14:paraId="47C82CF9">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实质性格式</w:t>
            </w:r>
          </w:p>
        </w:tc>
        <w:tc>
          <w:tcPr>
            <w:tcW w:w="3690" w:type="pct"/>
            <w:noWrap w:val="0"/>
            <w:vAlign w:val="center"/>
          </w:tcPr>
          <w:p w14:paraId="2751094A">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标记为“实质性格式”的文件均按磋商文件要求提供；</w:t>
            </w:r>
          </w:p>
        </w:tc>
      </w:tr>
      <w:tr w14:paraId="1E4D80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72" w:type="dxa"/>
            <w:noWrap w:val="0"/>
            <w:vAlign w:val="center"/>
          </w:tcPr>
          <w:p w14:paraId="7FB395AD">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8</w:t>
            </w:r>
          </w:p>
        </w:tc>
        <w:tc>
          <w:tcPr>
            <w:tcW w:w="1459" w:type="dxa"/>
            <w:noWrap w:val="0"/>
            <w:vAlign w:val="center"/>
          </w:tcPr>
          <w:p w14:paraId="717984E0">
            <w:pPr>
              <w:widowControl/>
              <w:jc w:val="left"/>
              <w:rPr>
                <w:rFonts w:hint="eastAsia" w:ascii="宋体" w:hAnsi="宋体" w:cs="宋体"/>
                <w:color w:val="auto"/>
                <w:sz w:val="24"/>
                <w:highlight w:val="none"/>
              </w:rPr>
            </w:pPr>
            <w:r>
              <w:rPr>
                <w:rFonts w:ascii="Segoe UI Symbol" w:hAnsi="Segoe UI Symbol" w:cs="Segoe UI Symbol"/>
                <w:color w:val="000000"/>
                <w:kern w:val="0"/>
                <w:sz w:val="24"/>
              </w:rPr>
              <w:t>★</w:t>
            </w:r>
            <w:r>
              <w:rPr>
                <w:color w:val="000000"/>
                <w:kern w:val="0"/>
                <w:sz w:val="24"/>
              </w:rPr>
              <w:t>号条款响应</w:t>
            </w:r>
          </w:p>
        </w:tc>
        <w:tc>
          <w:tcPr>
            <w:tcW w:w="6288" w:type="dxa"/>
            <w:noWrap w:val="0"/>
            <w:vAlign w:val="center"/>
          </w:tcPr>
          <w:p w14:paraId="715D281A">
            <w:pPr>
              <w:widowControl/>
              <w:jc w:val="left"/>
              <w:rPr>
                <w:rFonts w:hint="eastAsia" w:ascii="宋体" w:hAnsi="宋体" w:cs="宋体"/>
                <w:color w:val="auto"/>
                <w:sz w:val="24"/>
                <w:highlight w:val="none"/>
              </w:rPr>
            </w:pPr>
            <w:r>
              <w:rPr>
                <w:color w:val="000000"/>
                <w:kern w:val="0"/>
                <w:sz w:val="24"/>
              </w:rPr>
              <w:t>响应文件满足磋商文件</w:t>
            </w:r>
            <w:r>
              <w:rPr>
                <w:sz w:val="24"/>
              </w:rPr>
              <w:t>第</w:t>
            </w:r>
            <w:r>
              <w:rPr>
                <w:rFonts w:hint="eastAsia"/>
                <w:sz w:val="24"/>
                <w:lang w:val="en-US" w:eastAsia="zh-CN"/>
              </w:rPr>
              <w:t>四</w:t>
            </w:r>
            <w:r>
              <w:rPr>
                <w:sz w:val="24"/>
              </w:rPr>
              <w:t>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14:paraId="255580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noWrap w:val="0"/>
            <w:vAlign w:val="center"/>
          </w:tcPr>
          <w:p w14:paraId="0BDB20B6">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9</w:t>
            </w:r>
          </w:p>
        </w:tc>
        <w:tc>
          <w:tcPr>
            <w:tcW w:w="856" w:type="pct"/>
            <w:noWrap w:val="0"/>
            <w:vAlign w:val="center"/>
          </w:tcPr>
          <w:p w14:paraId="6B09E60B">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报价的修正</w:t>
            </w:r>
          </w:p>
        </w:tc>
        <w:tc>
          <w:tcPr>
            <w:tcW w:w="3690" w:type="pct"/>
            <w:noWrap w:val="0"/>
            <w:vAlign w:val="center"/>
          </w:tcPr>
          <w:p w14:paraId="15D6957A">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响应文件报价出现前后不一致时，供应商对修正后的报价予以确认</w:t>
            </w:r>
            <w:r>
              <w:rPr>
                <w:rFonts w:hint="eastAsia" w:ascii="宋体" w:hAnsi="宋体" w:cs="宋体"/>
                <w:color w:val="auto"/>
                <w:sz w:val="24"/>
                <w:highlight w:val="none"/>
                <w:lang w:eastAsia="zh-CN"/>
              </w:rPr>
              <w:t>。</w:t>
            </w:r>
          </w:p>
        </w:tc>
      </w:tr>
      <w:tr w14:paraId="0E007D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noWrap w:val="0"/>
            <w:vAlign w:val="center"/>
          </w:tcPr>
          <w:p w14:paraId="3A2207B0">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10</w:t>
            </w:r>
          </w:p>
        </w:tc>
        <w:tc>
          <w:tcPr>
            <w:tcW w:w="856" w:type="pct"/>
            <w:noWrap w:val="0"/>
            <w:vAlign w:val="center"/>
          </w:tcPr>
          <w:p w14:paraId="2A5DFEB8">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报价合理性</w:t>
            </w:r>
          </w:p>
        </w:tc>
        <w:tc>
          <w:tcPr>
            <w:tcW w:w="3690" w:type="pct"/>
            <w:noWrap w:val="0"/>
            <w:vAlign w:val="center"/>
          </w:tcPr>
          <w:p w14:paraId="2DEEE92E">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报价合理，或供应商的报价明显低于其他通过符合性审查供应商的报价，有可能影响服务质量或者不能诚信履约的，能够应磋商小组要求在规定时间内证明其报价合理性的</w:t>
            </w:r>
            <w:r>
              <w:rPr>
                <w:rFonts w:hint="eastAsia" w:ascii="宋体" w:hAnsi="宋体" w:eastAsia="宋体" w:cs="宋体"/>
                <w:color w:val="auto"/>
                <w:sz w:val="24"/>
                <w:highlight w:val="none"/>
                <w:lang w:eastAsia="zh-CN"/>
              </w:rPr>
              <w:t>。</w:t>
            </w:r>
          </w:p>
          <w:p w14:paraId="0D9FF121">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按照财库〔2026〕2号《关于推动解决政府采购异常低价问题的通知》要求：</w:t>
            </w:r>
          </w:p>
          <w:p w14:paraId="7289C009">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（一）政府采购评审中出现下列情形之一的，评审委员会应当启动异常低价投标（响应）审查程序：</w:t>
            </w:r>
          </w:p>
          <w:p w14:paraId="03F7D4D9">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1.投标（响应）报价低于全部通过符合性审查供应商投标（响应）报价平均值50%的，即投标（响应）报价&lt;全部通过符合性审查供应商投标（响应）报价平均值×50%；</w:t>
            </w:r>
          </w:p>
          <w:p w14:paraId="1B055103">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2.投标（响应）报价低于通过符合性审查的次低报价供应商投标（响应）报价50%的，即投标（响应）报价&lt;通过符合性审查的次低报价供应商投标（响应）报价×50%；</w:t>
            </w:r>
          </w:p>
          <w:p w14:paraId="76DD1F70">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3.投标（响应）报价低于采购项目最高限价45%的，即投标（响应）报价&lt;采购项目最高限价×45%；</w:t>
            </w:r>
          </w:p>
          <w:p w14:paraId="3FD593E5">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4.评审委员会基于专业判断，认为供应商报价过低，有可能影响产品质量或者不能诚信履约的其他情形。</w:t>
            </w:r>
          </w:p>
          <w:p w14:paraId="5C1E5B3C">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采购人可以结合具体项目实际情况，提高上述第1项至第3项中启动异常低价投标（响应）审查的数值标准，但是最高不得超过65%。</w:t>
            </w:r>
          </w:p>
          <w:p w14:paraId="6FD1091B">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相关法律法规对供应商报价有规定的，从其规定。</w:t>
            </w:r>
          </w:p>
          <w:p w14:paraId="46249B99">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1228116">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13671A7">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A849FDE">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eastAsia="宋体" w:cs="宋体"/>
                <w:color w:val="auto"/>
                <w:sz w:val="24"/>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tc>
      </w:tr>
      <w:tr w14:paraId="0B4264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shd w:val="clear" w:color="auto" w:fill="auto"/>
            <w:noWrap w:val="0"/>
            <w:vAlign w:val="center"/>
          </w:tcPr>
          <w:p w14:paraId="29E9FBA0">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lang w:val="en-US" w:eastAsia="zh-CN"/>
              </w:rPr>
              <w:t>11</w:t>
            </w:r>
          </w:p>
        </w:tc>
        <w:tc>
          <w:tcPr>
            <w:tcW w:w="856" w:type="pct"/>
            <w:shd w:val="clear" w:color="auto" w:fill="auto"/>
            <w:noWrap w:val="0"/>
            <w:vAlign w:val="center"/>
          </w:tcPr>
          <w:p w14:paraId="6347AE90">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rPr>
              <w:t>公平竞争</w:t>
            </w:r>
          </w:p>
        </w:tc>
        <w:tc>
          <w:tcPr>
            <w:tcW w:w="3690" w:type="pct"/>
            <w:shd w:val="clear" w:color="auto" w:fill="auto"/>
            <w:noWrap w:val="0"/>
            <w:vAlign w:val="center"/>
          </w:tcPr>
          <w:p w14:paraId="608D1A2B">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rPr>
              <w:t>供应商遵循公平竞争的原则，不存在恶意串通，妨碍其他供应商的竞争行为，不存在损害采购人或者其他供应商的合法权益情形的；</w:t>
            </w:r>
          </w:p>
        </w:tc>
      </w:tr>
      <w:tr w14:paraId="3BBA1C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shd w:val="clear" w:color="auto" w:fill="auto"/>
            <w:noWrap w:val="0"/>
            <w:vAlign w:val="center"/>
          </w:tcPr>
          <w:p w14:paraId="7FFA2EFB">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lang w:val="en-US" w:eastAsia="zh-CN"/>
              </w:rPr>
              <w:t>12</w:t>
            </w:r>
          </w:p>
        </w:tc>
        <w:tc>
          <w:tcPr>
            <w:tcW w:w="856" w:type="pct"/>
            <w:noWrap w:val="0"/>
            <w:vAlign w:val="center"/>
          </w:tcPr>
          <w:p w14:paraId="589B1662">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串通响应</w:t>
            </w:r>
          </w:p>
        </w:tc>
        <w:tc>
          <w:tcPr>
            <w:tcW w:w="3690" w:type="pct"/>
            <w:noWrap w:val="0"/>
            <w:vAlign w:val="center"/>
          </w:tcPr>
          <w:p w14:paraId="1B2A3F15">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不存在《政府采购货物和服务招标响应管理办法》视为供应商串通响应的情形：</w:t>
            </w:r>
          </w:p>
          <w:p w14:paraId="0C4F9B1F">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（一）不同供应商的响应文件由同一单位或者个人编制（包含使用同一MAC地址的计算机制作电子响应文件的情形）；</w:t>
            </w:r>
          </w:p>
          <w:p w14:paraId="442F5B5F">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（二）不同供应商委托同一单位或者个人办理响应事宜（包含使用同一MAC地址的计算机提交或者解密电子响应文件的情形）；</w:t>
            </w:r>
          </w:p>
          <w:p w14:paraId="068056B4">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（三）不同供应商的响应文件载明的项目管理成员或者联系人员为同一人；</w:t>
            </w:r>
          </w:p>
          <w:p w14:paraId="0BDDACC7">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（四）不同供应商的响应文件异常一致或者响应报价呈规律性差异；</w:t>
            </w:r>
          </w:p>
        </w:tc>
      </w:tr>
      <w:tr w14:paraId="66DA25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shd w:val="clear" w:color="auto" w:fill="auto"/>
            <w:noWrap w:val="0"/>
            <w:vAlign w:val="center"/>
          </w:tcPr>
          <w:p w14:paraId="7239475D">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lang w:val="en-US" w:eastAsia="zh-CN"/>
              </w:rPr>
              <w:t>13</w:t>
            </w:r>
          </w:p>
        </w:tc>
        <w:tc>
          <w:tcPr>
            <w:tcW w:w="856" w:type="pct"/>
            <w:noWrap w:val="0"/>
            <w:vAlign w:val="center"/>
          </w:tcPr>
          <w:p w14:paraId="00AC0283">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附加条件</w:t>
            </w:r>
          </w:p>
        </w:tc>
        <w:tc>
          <w:tcPr>
            <w:tcW w:w="3690" w:type="pct"/>
            <w:noWrap w:val="0"/>
            <w:vAlign w:val="center"/>
          </w:tcPr>
          <w:p w14:paraId="57E06133">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响应文件未含有采购人不能接受的附加条件的；</w:t>
            </w:r>
          </w:p>
        </w:tc>
      </w:tr>
      <w:tr w14:paraId="2D1759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noWrap w:val="0"/>
            <w:vAlign w:val="center"/>
          </w:tcPr>
          <w:p w14:paraId="73B58D2F">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14</w:t>
            </w:r>
          </w:p>
        </w:tc>
        <w:tc>
          <w:tcPr>
            <w:tcW w:w="856" w:type="pct"/>
            <w:noWrap w:val="0"/>
            <w:vAlign w:val="center"/>
          </w:tcPr>
          <w:p w14:paraId="4B1AC3A0">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其他无效情形</w:t>
            </w:r>
          </w:p>
        </w:tc>
        <w:tc>
          <w:tcPr>
            <w:tcW w:w="3690" w:type="pct"/>
            <w:noWrap w:val="0"/>
            <w:vAlign w:val="center"/>
          </w:tcPr>
          <w:p w14:paraId="5E3E6F0D">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供应商、响应文件不存在不符合法律、法规和磋商文件规定的其他无效情形。</w:t>
            </w:r>
          </w:p>
        </w:tc>
      </w:tr>
    </w:tbl>
    <w:p w14:paraId="2CE65B3A">
      <w:pPr>
        <w:keepNext w:val="0"/>
        <w:keepLines w:val="0"/>
        <w:pageBreakBefore w:val="0"/>
        <w:numPr>
          <w:ilvl w:val="0"/>
          <w:numId w:val="4"/>
        </w:numPr>
        <w:tabs>
          <w:tab w:val="left" w:pos="360"/>
        </w:tabs>
        <w:kinsoku/>
        <w:wordWrap/>
        <w:overflowPunct/>
        <w:topLinePunct w:val="0"/>
        <w:autoSpaceDE/>
        <w:autoSpaceDN/>
        <w:bidi w:val="0"/>
        <w:adjustRightInd/>
        <w:snapToGrid w:val="0"/>
        <w:spacing w:line="360" w:lineRule="auto"/>
        <w:textAlignment w:val="auto"/>
        <w:outlineLvl w:val="1"/>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磋商、响应文件有关事项的澄清、说明或者更正和最终报价</w:t>
      </w:r>
    </w:p>
    <w:p w14:paraId="456397D7">
      <w:pPr>
        <w:keepNext w:val="0"/>
        <w:keepLines w:val="0"/>
        <w:pageBreakBefore w:val="0"/>
        <w:numPr>
          <w:ilvl w:val="1"/>
          <w:numId w:val="4"/>
        </w:numPr>
        <w:tabs>
          <w:tab w:val="left" w:pos="1080"/>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磋商小组所有成员应当集中与单一供应商分别进行磋商，并给予所有参加磋商的供应商平等的磋商机会。</w:t>
      </w:r>
    </w:p>
    <w:p w14:paraId="7336FBBA">
      <w:pPr>
        <w:keepNext w:val="0"/>
        <w:keepLines w:val="0"/>
        <w:pageBreakBefore w:val="0"/>
        <w:numPr>
          <w:ilvl w:val="1"/>
          <w:numId w:val="4"/>
        </w:numPr>
        <w:tabs>
          <w:tab w:val="left" w:pos="1080"/>
          <w:tab w:val="left" w:pos="1872"/>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kern w:val="0"/>
          <w:sz w:val="24"/>
          <w:highlight w:val="none"/>
          <w:shd w:val="clear" w:color="auto" w:fill="auto"/>
        </w:rPr>
        <w:t>在磋商过程中，磋商小组可以根据磋商文件和磋商情况实质性变动采购需求中的技术、服务要求以及合同草案条款，但不得变动磋商文件中的其他内容。实质性变动的内容，须经采购人代表确认。</w:t>
      </w:r>
    </w:p>
    <w:p w14:paraId="3C982BB0">
      <w:pPr>
        <w:keepNext w:val="0"/>
        <w:keepLines w:val="0"/>
        <w:pageBreakBefore w:val="0"/>
        <w:numPr>
          <w:ilvl w:val="1"/>
          <w:numId w:val="4"/>
        </w:numPr>
        <w:tabs>
          <w:tab w:val="left" w:pos="1080"/>
          <w:tab w:val="left" w:pos="1872"/>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kern w:val="0"/>
          <w:sz w:val="24"/>
          <w:highlight w:val="none"/>
          <w:shd w:val="clear" w:color="auto" w:fill="auto"/>
        </w:rPr>
      </w:pPr>
      <w:r>
        <w:rPr>
          <w:color w:val="auto"/>
          <w:kern w:val="0"/>
          <w:sz w:val="24"/>
          <w:highlight w:val="none"/>
        </w:rPr>
        <w:t>对磋商文件作出的实质性变动是磋商文件的有效组成部分，磋商小组应当及时</w:t>
      </w:r>
      <w:r>
        <w:rPr>
          <w:rFonts w:hint="eastAsia"/>
          <w:color w:val="auto"/>
          <w:sz w:val="24"/>
          <w:highlight w:val="none"/>
        </w:rPr>
        <w:t>通过</w:t>
      </w:r>
      <w:r>
        <w:rPr>
          <w:rFonts w:hint="eastAsia"/>
          <w:color w:val="auto"/>
          <w:sz w:val="24"/>
          <w:highlight w:val="none"/>
          <w:lang w:eastAsia="zh-CN"/>
        </w:rPr>
        <w:t>“苏采云”政府采购一体化平台</w:t>
      </w:r>
      <w:r>
        <w:rPr>
          <w:rFonts w:hint="eastAsia"/>
          <w:color w:val="auto"/>
          <w:sz w:val="24"/>
          <w:highlight w:val="none"/>
        </w:rPr>
        <w:t>系统</w:t>
      </w:r>
      <w:r>
        <w:rPr>
          <w:color w:val="auto"/>
          <w:kern w:val="0"/>
          <w:sz w:val="24"/>
          <w:highlight w:val="none"/>
        </w:rPr>
        <w:t>以书面形式同时通知所有参加磋商的供应商。</w:t>
      </w:r>
    </w:p>
    <w:p w14:paraId="12C467F4">
      <w:pPr>
        <w:keepNext w:val="0"/>
        <w:keepLines w:val="0"/>
        <w:pageBreakBefore w:val="0"/>
        <w:numPr>
          <w:ilvl w:val="1"/>
          <w:numId w:val="4"/>
        </w:numPr>
        <w:tabs>
          <w:tab w:val="left" w:pos="1080"/>
          <w:tab w:val="left" w:pos="1872"/>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06069FC6">
      <w:pPr>
        <w:keepNext w:val="0"/>
        <w:keepLines w:val="0"/>
        <w:pageBreakBefore w:val="0"/>
        <w:numPr>
          <w:ilvl w:val="1"/>
          <w:numId w:val="4"/>
        </w:numPr>
        <w:tabs>
          <w:tab w:val="left" w:pos="1080"/>
          <w:tab w:val="left" w:pos="1872"/>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响应文件的澄清、说明或者更正：</w:t>
      </w:r>
    </w:p>
    <w:p w14:paraId="6AF76A81">
      <w:pPr>
        <w:keepNext w:val="0"/>
        <w:keepLines w:val="0"/>
        <w:pageBreakBefore w:val="0"/>
        <w:tabs>
          <w:tab w:val="left" w:pos="1980"/>
        </w:tabs>
        <w:kinsoku/>
        <w:wordWrap/>
        <w:overflowPunct/>
        <w:topLinePunct w:val="0"/>
        <w:autoSpaceDE/>
        <w:autoSpaceDN/>
        <w:bidi w:val="0"/>
        <w:adjustRightInd/>
        <w:snapToGrid w:val="0"/>
        <w:spacing w:line="360" w:lineRule="auto"/>
        <w:ind w:left="1080"/>
        <w:textAlignment w:val="auto"/>
        <w:rPr>
          <w:rFonts w:hint="eastAsia" w:ascii="宋体" w:hAnsi="宋体" w:eastAsia="宋体" w:cs="宋体"/>
          <w:color w:val="auto"/>
          <w:sz w:val="24"/>
          <w:highlight w:val="none"/>
          <w:shd w:val="clear" w:color="auto" w:fill="auto"/>
        </w:rPr>
      </w:pPr>
      <w:r>
        <w:rPr>
          <w:rFonts w:hint="eastAsia"/>
          <w:color w:val="auto"/>
          <w:sz w:val="24"/>
          <w:highlight w:val="none"/>
        </w:rPr>
        <w:t>评审</w:t>
      </w:r>
      <w:r>
        <w:rPr>
          <w:color w:val="auto"/>
          <w:sz w:val="24"/>
          <w:highlight w:val="none"/>
        </w:rPr>
        <w:t>过程中，</w:t>
      </w:r>
      <w:r>
        <w:rPr>
          <w:rFonts w:hint="eastAsia"/>
          <w:color w:val="auto"/>
          <w:sz w:val="24"/>
          <w:highlight w:val="none"/>
        </w:rPr>
        <w:t>磋商小组</w:t>
      </w:r>
      <w:r>
        <w:rPr>
          <w:color w:val="auto"/>
          <w:sz w:val="24"/>
          <w:highlight w:val="none"/>
        </w:rPr>
        <w:t>会将</w:t>
      </w:r>
      <w:r>
        <w:rPr>
          <w:rFonts w:hint="eastAsia"/>
          <w:color w:val="auto"/>
          <w:sz w:val="24"/>
          <w:highlight w:val="none"/>
        </w:rPr>
        <w:t>通过</w:t>
      </w:r>
      <w:r>
        <w:rPr>
          <w:rFonts w:hint="eastAsia"/>
          <w:color w:val="auto"/>
          <w:sz w:val="24"/>
          <w:highlight w:val="none"/>
          <w:lang w:eastAsia="zh-CN"/>
        </w:rPr>
        <w:t>“苏采云”政府采购一体化平台</w:t>
      </w:r>
      <w:r>
        <w:rPr>
          <w:rFonts w:hint="eastAsia"/>
          <w:color w:val="auto"/>
          <w:sz w:val="24"/>
          <w:highlight w:val="none"/>
        </w:rPr>
        <w:t>系统</w:t>
      </w:r>
      <w:r>
        <w:rPr>
          <w:color w:val="auto"/>
          <w:sz w:val="24"/>
          <w:highlight w:val="none"/>
        </w:rPr>
        <w:t>以书面形式要求</w:t>
      </w:r>
      <w:r>
        <w:rPr>
          <w:rFonts w:hint="eastAsia"/>
          <w:color w:val="auto"/>
          <w:sz w:val="24"/>
          <w:highlight w:val="none"/>
        </w:rPr>
        <w:t>供应商</w:t>
      </w:r>
      <w:r>
        <w:rPr>
          <w:color w:val="auto"/>
          <w:sz w:val="24"/>
          <w:highlight w:val="none"/>
        </w:rPr>
        <w:t>对其</w:t>
      </w:r>
      <w:r>
        <w:rPr>
          <w:rFonts w:hint="eastAsia"/>
          <w:color w:val="auto"/>
          <w:sz w:val="24"/>
          <w:highlight w:val="none"/>
        </w:rPr>
        <w:t>响应</w:t>
      </w:r>
      <w:r>
        <w:rPr>
          <w:color w:val="auto"/>
          <w:sz w:val="24"/>
          <w:highlight w:val="none"/>
        </w:rPr>
        <w:t>文件中含义不明确、同类问题表述不一致或者有明显文字和计算错误的内容，作出必要的澄清、说明或者补正。</w:t>
      </w:r>
      <w:r>
        <w:rPr>
          <w:rFonts w:hint="eastAsia"/>
          <w:color w:val="auto"/>
          <w:sz w:val="24"/>
          <w:highlight w:val="none"/>
        </w:rPr>
        <w:t>供应商</w:t>
      </w:r>
      <w:r>
        <w:rPr>
          <w:color w:val="auto"/>
          <w:sz w:val="24"/>
          <w:highlight w:val="none"/>
        </w:rPr>
        <w:t>的澄清、说明或者补正应当采用书面形式，并加盖</w:t>
      </w:r>
      <w:r>
        <w:rPr>
          <w:rFonts w:hint="eastAsia"/>
          <w:color w:val="auto"/>
          <w:sz w:val="24"/>
          <w:highlight w:val="none"/>
        </w:rPr>
        <w:t>电子</w:t>
      </w:r>
      <w:r>
        <w:rPr>
          <w:color w:val="auto"/>
          <w:sz w:val="24"/>
          <w:highlight w:val="none"/>
        </w:rPr>
        <w:t>公章。</w:t>
      </w:r>
      <w:r>
        <w:rPr>
          <w:rFonts w:hint="eastAsia"/>
          <w:color w:val="auto"/>
          <w:sz w:val="24"/>
          <w:highlight w:val="none"/>
        </w:rPr>
        <w:t>供应商</w:t>
      </w:r>
      <w:r>
        <w:rPr>
          <w:color w:val="auto"/>
          <w:sz w:val="24"/>
          <w:highlight w:val="none"/>
        </w:rPr>
        <w:t>的澄清、说明或者补正不得超出</w:t>
      </w:r>
      <w:r>
        <w:rPr>
          <w:rFonts w:hint="eastAsia"/>
          <w:color w:val="auto"/>
          <w:sz w:val="24"/>
          <w:highlight w:val="none"/>
        </w:rPr>
        <w:t>响应</w:t>
      </w:r>
      <w:r>
        <w:rPr>
          <w:color w:val="auto"/>
          <w:sz w:val="24"/>
          <w:highlight w:val="none"/>
        </w:rPr>
        <w:t>文件的范围或者改变</w:t>
      </w:r>
      <w:r>
        <w:rPr>
          <w:rFonts w:hint="eastAsia"/>
          <w:color w:val="auto"/>
          <w:sz w:val="24"/>
          <w:highlight w:val="none"/>
        </w:rPr>
        <w:t>响应</w:t>
      </w:r>
      <w:r>
        <w:rPr>
          <w:color w:val="auto"/>
          <w:sz w:val="24"/>
          <w:highlight w:val="none"/>
        </w:rPr>
        <w:t>文件的实质性内容。澄清文件将作为</w:t>
      </w:r>
      <w:r>
        <w:rPr>
          <w:rFonts w:hint="eastAsia"/>
          <w:color w:val="auto"/>
          <w:sz w:val="24"/>
          <w:highlight w:val="none"/>
        </w:rPr>
        <w:t>响应</w:t>
      </w:r>
      <w:r>
        <w:rPr>
          <w:color w:val="auto"/>
          <w:sz w:val="24"/>
          <w:highlight w:val="none"/>
        </w:rPr>
        <w:t>文件内容的一部分。</w:t>
      </w:r>
    </w:p>
    <w:p w14:paraId="102E350D">
      <w:pPr>
        <w:keepNext w:val="0"/>
        <w:keepLines w:val="0"/>
        <w:pageBreakBefore w:val="0"/>
        <w:numPr>
          <w:ilvl w:val="1"/>
          <w:numId w:val="4"/>
        </w:numPr>
        <w:tabs>
          <w:tab w:val="left" w:pos="1080"/>
          <w:tab w:val="left" w:pos="1872"/>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b/>
          <w:color w:val="auto"/>
          <w:sz w:val="24"/>
          <w:highlight w:val="none"/>
          <w:shd w:val="clear" w:color="auto" w:fill="auto"/>
        </w:rPr>
      </w:pPr>
      <w:r>
        <w:rPr>
          <w:b/>
          <w:color w:val="auto"/>
          <w:sz w:val="24"/>
          <w:highlight w:val="none"/>
        </w:rPr>
        <w:t>磋商结束后，磋商小组将要求所有实质性响应的供应商在规定时间内</w:t>
      </w:r>
      <w:r>
        <w:rPr>
          <w:rFonts w:hint="eastAsia"/>
          <w:b/>
          <w:color w:val="auto"/>
          <w:sz w:val="24"/>
          <w:highlight w:val="none"/>
        </w:rPr>
        <w:t>通过</w:t>
      </w:r>
      <w:r>
        <w:rPr>
          <w:rFonts w:hint="eastAsia"/>
          <w:b/>
          <w:color w:val="auto"/>
          <w:sz w:val="24"/>
          <w:highlight w:val="none"/>
          <w:lang w:eastAsia="zh-CN"/>
        </w:rPr>
        <w:t>“苏采云”政府采购一体化平台</w:t>
      </w:r>
      <w:r>
        <w:rPr>
          <w:rFonts w:hint="eastAsia"/>
          <w:b/>
          <w:color w:val="auto"/>
          <w:sz w:val="24"/>
          <w:highlight w:val="none"/>
        </w:rPr>
        <w:t>系统</w:t>
      </w:r>
      <w:r>
        <w:rPr>
          <w:b/>
          <w:color w:val="auto"/>
          <w:sz w:val="24"/>
          <w:highlight w:val="none"/>
        </w:rPr>
        <w:t>提交最</w:t>
      </w:r>
      <w:r>
        <w:rPr>
          <w:rFonts w:hint="eastAsia"/>
          <w:b/>
          <w:color w:val="auto"/>
          <w:sz w:val="24"/>
          <w:highlight w:val="none"/>
        </w:rPr>
        <w:t>终</w:t>
      </w:r>
      <w:r>
        <w:rPr>
          <w:b/>
          <w:color w:val="auto"/>
          <w:sz w:val="24"/>
          <w:highlight w:val="none"/>
        </w:rPr>
        <w:t>报价</w:t>
      </w:r>
      <w:r>
        <w:rPr>
          <w:rFonts w:hint="eastAsia" w:ascii="宋体" w:hAnsi="宋体" w:eastAsia="宋体" w:cs="宋体"/>
          <w:b/>
          <w:color w:val="auto"/>
          <w:sz w:val="24"/>
          <w:highlight w:val="none"/>
          <w:shd w:val="clear" w:color="auto" w:fill="auto"/>
          <w:lang w:eastAsia="zh-CN"/>
        </w:rPr>
        <w:t>。</w:t>
      </w:r>
    </w:p>
    <w:p w14:paraId="51EF114F">
      <w:pPr>
        <w:keepNext w:val="0"/>
        <w:keepLines w:val="0"/>
        <w:pageBreakBefore w:val="0"/>
        <w:numPr>
          <w:ilvl w:val="1"/>
          <w:numId w:val="4"/>
        </w:numPr>
        <w:tabs>
          <w:tab w:val="left" w:pos="1080"/>
          <w:tab w:val="left" w:pos="1872"/>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snapToGrid w:val="0"/>
          <w:color w:val="auto"/>
          <w:sz w:val="24"/>
          <w:highlight w:val="none"/>
          <w:shd w:val="clear" w:color="auto" w:fill="auto"/>
        </w:rPr>
        <w:t>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eastAsia="宋体" w:cs="宋体"/>
          <w:color w:val="auto"/>
          <w:sz w:val="24"/>
          <w:highlight w:val="none"/>
          <w:shd w:val="clear" w:color="auto" w:fill="auto"/>
        </w:rPr>
        <w:t>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p>
    <w:p w14:paraId="3DBACC4A">
      <w:pPr>
        <w:keepNext w:val="0"/>
        <w:keepLines w:val="0"/>
        <w:pageBreakBefore w:val="0"/>
        <w:numPr>
          <w:ilvl w:val="1"/>
          <w:numId w:val="4"/>
        </w:numPr>
        <w:tabs>
          <w:tab w:val="left" w:pos="1080"/>
          <w:tab w:val="left" w:pos="1872"/>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最终报价是供应商响应文件的有效组成部分。</w:t>
      </w:r>
    </w:p>
    <w:p w14:paraId="271D9CAB">
      <w:pPr>
        <w:keepNext w:val="0"/>
        <w:keepLines w:val="0"/>
        <w:pageBreakBefore w:val="0"/>
        <w:numPr>
          <w:ilvl w:val="1"/>
          <w:numId w:val="4"/>
        </w:numPr>
        <w:tabs>
          <w:tab w:val="left" w:pos="1080"/>
          <w:tab w:val="left" w:pos="1872"/>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已提交响应文件的供应商，在提交最终报价之前，可以根据磋商情况退出磋商。</w:t>
      </w:r>
    </w:p>
    <w:p w14:paraId="2F01D133">
      <w:pPr>
        <w:keepNext w:val="0"/>
        <w:keepLines w:val="0"/>
        <w:pageBreakBefore w:val="0"/>
        <w:numPr>
          <w:ilvl w:val="0"/>
          <w:numId w:val="4"/>
        </w:numPr>
        <w:tabs>
          <w:tab w:val="left" w:pos="360"/>
        </w:tabs>
        <w:kinsoku/>
        <w:wordWrap/>
        <w:overflowPunct/>
        <w:topLinePunct w:val="0"/>
        <w:autoSpaceDE/>
        <w:autoSpaceDN/>
        <w:bidi w:val="0"/>
        <w:adjustRightInd/>
        <w:snapToGrid w:val="0"/>
        <w:spacing w:line="360" w:lineRule="auto"/>
        <w:textAlignment w:val="auto"/>
        <w:outlineLvl w:val="1"/>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最终报价的算术修正及政策调整</w:t>
      </w:r>
    </w:p>
    <w:p w14:paraId="457A1A23">
      <w:pPr>
        <w:keepNext w:val="0"/>
        <w:keepLines w:val="0"/>
        <w:pageBreakBefore w:val="0"/>
        <w:numPr>
          <w:ilvl w:val="1"/>
          <w:numId w:val="4"/>
        </w:numPr>
        <w:tabs>
          <w:tab w:val="left" w:pos="1080"/>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w:t>
      </w:r>
      <w:r>
        <w:rPr>
          <w:rFonts w:hint="eastAsia" w:ascii="宋体" w:hAnsi="宋体" w:eastAsia="宋体" w:cs="宋体"/>
          <w:color w:val="auto"/>
          <w:sz w:val="24"/>
          <w:highlight w:val="none"/>
          <w:shd w:val="clear" w:color="auto" w:fill="auto"/>
          <w:lang w:val="en-US" w:eastAsia="zh-CN"/>
        </w:rPr>
        <w:t>项目</w:t>
      </w:r>
      <w:r>
        <w:rPr>
          <w:rFonts w:hint="eastAsia" w:ascii="宋体" w:hAnsi="宋体" w:eastAsia="宋体" w:cs="宋体"/>
          <w:color w:val="auto"/>
          <w:sz w:val="24"/>
          <w:highlight w:val="none"/>
          <w:shd w:val="clear" w:color="auto" w:fill="auto"/>
        </w:rPr>
        <w:t>中的内容拆开响应，其</w:t>
      </w:r>
      <w:r>
        <w:rPr>
          <w:rFonts w:hint="eastAsia" w:ascii="宋体" w:hAnsi="宋体" w:eastAsia="宋体" w:cs="宋体"/>
          <w:b/>
          <w:color w:val="auto"/>
          <w:sz w:val="24"/>
          <w:highlight w:val="none"/>
          <w:shd w:val="clear" w:color="auto" w:fill="auto"/>
        </w:rPr>
        <w:t>响应无效</w:t>
      </w:r>
      <w:r>
        <w:rPr>
          <w:rFonts w:hint="eastAsia" w:ascii="宋体" w:hAnsi="宋体" w:eastAsia="宋体" w:cs="宋体"/>
          <w:color w:val="auto"/>
          <w:sz w:val="24"/>
          <w:highlight w:val="none"/>
          <w:shd w:val="clear" w:color="auto" w:fill="auto"/>
        </w:rPr>
        <w:t>。</w:t>
      </w:r>
    </w:p>
    <w:p w14:paraId="28E0AF2A">
      <w:pPr>
        <w:keepNext w:val="0"/>
        <w:keepLines w:val="0"/>
        <w:pageBreakBefore w:val="0"/>
        <w:numPr>
          <w:ilvl w:val="1"/>
          <w:numId w:val="4"/>
        </w:numPr>
        <w:tabs>
          <w:tab w:val="left" w:pos="1080"/>
          <w:tab w:val="left" w:pos="1872"/>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最终报价出现前后不一致的，按照下列规定修正：</w:t>
      </w:r>
    </w:p>
    <w:p w14:paraId="09CCFF7E">
      <w:pPr>
        <w:keepNext w:val="0"/>
        <w:keepLines w:val="0"/>
        <w:pageBreakBefore w:val="0"/>
        <w:numPr>
          <w:ilvl w:val="2"/>
          <w:numId w:val="4"/>
        </w:numPr>
        <w:tabs>
          <w:tab w:val="left" w:pos="1080"/>
          <w:tab w:val="left" w:pos="1589"/>
          <w:tab w:val="left" w:pos="2035"/>
          <w:tab w:val="left" w:pos="2114"/>
        </w:tabs>
        <w:kinsoku/>
        <w:wordWrap/>
        <w:overflowPunct/>
        <w:topLinePunct w:val="0"/>
        <w:autoSpaceDE/>
        <w:autoSpaceDN/>
        <w:bidi w:val="0"/>
        <w:adjustRightInd/>
        <w:snapToGrid w:val="0"/>
        <w:spacing w:line="360" w:lineRule="auto"/>
        <w:ind w:left="2035"/>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竞争性磋商文件对于报价修正是否另有规定：</w:t>
      </w:r>
    </w:p>
    <w:p w14:paraId="17B675A3">
      <w:pPr>
        <w:keepNext w:val="0"/>
        <w:keepLines w:val="0"/>
        <w:pageBreakBefore w:val="0"/>
        <w:tabs>
          <w:tab w:val="left" w:pos="1080"/>
          <w:tab w:val="left" w:pos="1589"/>
          <w:tab w:val="left" w:pos="2035"/>
          <w:tab w:val="left" w:pos="2114"/>
        </w:tabs>
        <w:kinsoku/>
        <w:wordWrap/>
        <w:overflowPunct/>
        <w:topLinePunct w:val="0"/>
        <w:autoSpaceDE/>
        <w:autoSpaceDN/>
        <w:bidi w:val="0"/>
        <w:snapToGrid w:val="0"/>
        <w:spacing w:line="360" w:lineRule="auto"/>
        <w:ind w:left="2035"/>
        <w:textAlignment w:val="auto"/>
        <w:rPr>
          <w:rFonts w:hint="eastAsia" w:ascii="宋体" w:hAnsi="宋体" w:eastAsia="宋体" w:cs="宋体"/>
          <w:color w:val="auto"/>
          <w:sz w:val="24"/>
          <w:highlight w:val="none"/>
          <w:u w:val="single"/>
          <w:shd w:val="clear" w:color="auto" w:fill="auto"/>
        </w:rPr>
      </w:pPr>
      <w:r>
        <w:rPr>
          <w:rFonts w:hint="eastAsia" w:ascii="宋体" w:hAnsi="宋体" w:eastAsia="宋体" w:cs="宋体"/>
          <w:color w:val="auto"/>
          <w:sz w:val="24"/>
          <w:highlight w:val="none"/>
          <w:shd w:val="clear" w:color="auto" w:fill="auto"/>
        </w:rPr>
        <w:t>□有，具体规定为：</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highlight w:val="none"/>
          <w:shd w:val="clear" w:color="auto" w:fill="auto"/>
        </w:rPr>
        <w:t>；</w:t>
      </w:r>
    </w:p>
    <w:p w14:paraId="777D960A">
      <w:pPr>
        <w:keepNext w:val="0"/>
        <w:keepLines w:val="0"/>
        <w:pageBreakBefore w:val="0"/>
        <w:tabs>
          <w:tab w:val="left" w:pos="1080"/>
          <w:tab w:val="left" w:pos="1589"/>
          <w:tab w:val="left" w:pos="2035"/>
          <w:tab w:val="left" w:pos="2114"/>
        </w:tabs>
        <w:kinsoku/>
        <w:wordWrap/>
        <w:overflowPunct/>
        <w:topLinePunct w:val="0"/>
        <w:autoSpaceDE/>
        <w:autoSpaceDN/>
        <w:bidi w:val="0"/>
        <w:adjustRightInd/>
        <w:snapToGrid w:val="0"/>
        <w:spacing w:line="360" w:lineRule="auto"/>
        <w:ind w:left="2035"/>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highlight w:val="none"/>
          <w:shd w:val="clear" w:color="auto" w:fill="auto"/>
        </w:rPr>
        <w:t>无，按下述3.2.2-3.2.5项规定修正。</w:t>
      </w:r>
    </w:p>
    <w:p w14:paraId="613C5033">
      <w:pPr>
        <w:keepNext w:val="0"/>
        <w:keepLines w:val="0"/>
        <w:pageBreakBefore w:val="0"/>
        <w:numPr>
          <w:ilvl w:val="2"/>
          <w:numId w:val="4"/>
        </w:numPr>
        <w:tabs>
          <w:tab w:val="left" w:pos="2035"/>
          <w:tab w:val="left" w:pos="2114"/>
          <w:tab w:val="left" w:pos="2977"/>
        </w:tabs>
        <w:kinsoku/>
        <w:wordWrap/>
        <w:overflowPunct/>
        <w:topLinePunct w:val="0"/>
        <w:autoSpaceDE/>
        <w:autoSpaceDN/>
        <w:bidi w:val="0"/>
        <w:adjustRightInd/>
        <w:snapToGrid w:val="0"/>
        <w:spacing w:line="360" w:lineRule="auto"/>
        <w:ind w:left="2035"/>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大写金额和小写金额不一致的，以大写金额为准；</w:t>
      </w:r>
    </w:p>
    <w:p w14:paraId="153C863D">
      <w:pPr>
        <w:keepNext w:val="0"/>
        <w:keepLines w:val="0"/>
        <w:pageBreakBefore w:val="0"/>
        <w:numPr>
          <w:ilvl w:val="2"/>
          <w:numId w:val="4"/>
        </w:numPr>
        <w:tabs>
          <w:tab w:val="left" w:pos="2035"/>
          <w:tab w:val="left" w:pos="2114"/>
          <w:tab w:val="left" w:pos="2977"/>
        </w:tabs>
        <w:kinsoku/>
        <w:wordWrap/>
        <w:overflowPunct/>
        <w:topLinePunct w:val="0"/>
        <w:autoSpaceDE/>
        <w:autoSpaceDN/>
        <w:bidi w:val="0"/>
        <w:adjustRightInd/>
        <w:snapToGrid w:val="0"/>
        <w:spacing w:line="360" w:lineRule="auto"/>
        <w:ind w:left="2035"/>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单价金额小数点或者百分比有明显错位的，以最终报价一览表的总价为准，并修改单价；</w:t>
      </w:r>
    </w:p>
    <w:p w14:paraId="1CAB8778">
      <w:pPr>
        <w:keepNext w:val="0"/>
        <w:keepLines w:val="0"/>
        <w:pageBreakBefore w:val="0"/>
        <w:numPr>
          <w:ilvl w:val="2"/>
          <w:numId w:val="4"/>
        </w:numPr>
        <w:tabs>
          <w:tab w:val="left" w:pos="2035"/>
          <w:tab w:val="left" w:pos="2114"/>
          <w:tab w:val="left" w:pos="2977"/>
        </w:tabs>
        <w:kinsoku/>
        <w:wordWrap/>
        <w:overflowPunct/>
        <w:topLinePunct w:val="0"/>
        <w:autoSpaceDE/>
        <w:autoSpaceDN/>
        <w:bidi w:val="0"/>
        <w:adjustRightInd/>
        <w:snapToGrid w:val="0"/>
        <w:spacing w:line="360" w:lineRule="auto"/>
        <w:ind w:left="2035"/>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总价金额与按单价汇总金额不一致的，以单价金额计算结果为准。</w:t>
      </w:r>
    </w:p>
    <w:p w14:paraId="544D3937">
      <w:pPr>
        <w:keepNext w:val="0"/>
        <w:keepLines w:val="0"/>
        <w:pageBreakBefore w:val="0"/>
        <w:numPr>
          <w:ilvl w:val="2"/>
          <w:numId w:val="4"/>
        </w:numPr>
        <w:tabs>
          <w:tab w:val="left" w:pos="1080"/>
          <w:tab w:val="left" w:pos="1589"/>
          <w:tab w:val="left" w:pos="2035"/>
          <w:tab w:val="left" w:pos="2114"/>
        </w:tabs>
        <w:kinsoku/>
        <w:wordWrap/>
        <w:overflowPunct/>
        <w:topLinePunct w:val="0"/>
        <w:autoSpaceDE/>
        <w:autoSpaceDN/>
        <w:bidi w:val="0"/>
        <w:adjustRightInd/>
        <w:snapToGrid w:val="0"/>
        <w:spacing w:line="360" w:lineRule="auto"/>
        <w:ind w:left="2035"/>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同时出现两种以上不一致的，按照前款规定的顺序修正。修正后的报价经供应商书面确认后产生约束力，供应商不确认的，</w:t>
      </w:r>
      <w:r>
        <w:rPr>
          <w:rFonts w:hint="eastAsia" w:ascii="宋体" w:hAnsi="宋体" w:eastAsia="宋体" w:cs="宋体"/>
          <w:b/>
          <w:color w:val="auto"/>
          <w:sz w:val="24"/>
          <w:highlight w:val="none"/>
          <w:shd w:val="clear" w:color="auto" w:fill="auto"/>
        </w:rPr>
        <w:t>其响应无效</w:t>
      </w:r>
      <w:r>
        <w:rPr>
          <w:rFonts w:hint="eastAsia" w:ascii="宋体" w:hAnsi="宋体" w:eastAsia="宋体" w:cs="宋体"/>
          <w:color w:val="auto"/>
          <w:sz w:val="24"/>
          <w:highlight w:val="none"/>
          <w:shd w:val="clear" w:color="auto" w:fill="auto"/>
        </w:rPr>
        <w:t>。</w:t>
      </w:r>
    </w:p>
    <w:p w14:paraId="465959DE">
      <w:pPr>
        <w:numPr>
          <w:ilvl w:val="1"/>
          <w:numId w:val="4"/>
        </w:numPr>
        <w:tabs>
          <w:tab w:val="left" w:pos="1080"/>
          <w:tab w:val="left" w:pos="1872"/>
        </w:tabs>
        <w:snapToGrid w:val="0"/>
        <w:spacing w:line="360" w:lineRule="auto"/>
        <w:ind w:left="1077" w:hanging="720"/>
        <w:rPr>
          <w:rFonts w:hint="eastAsia" w:ascii="宋体" w:hAnsi="宋体" w:cs="宋体"/>
          <w:color w:val="auto"/>
          <w:sz w:val="24"/>
          <w:highlight w:val="none"/>
        </w:rPr>
      </w:pPr>
      <w:r>
        <w:rPr>
          <w:rFonts w:hint="eastAsia" w:ascii="宋体" w:hAnsi="宋体" w:eastAsia="宋体" w:cs="宋体"/>
          <w:color w:val="auto"/>
          <w:sz w:val="24"/>
          <w:highlight w:val="none"/>
          <w:shd w:val="clear" w:color="auto" w:fill="auto"/>
        </w:rPr>
        <w:t>落实政府采购政策的价格调整：</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cs="宋体"/>
          <w:color w:val="auto"/>
          <w:sz w:val="24"/>
          <w:highlight w:val="none"/>
          <w:u w:val="single"/>
          <w:lang w:val="en-US" w:eastAsia="zh-CN"/>
        </w:rPr>
        <w:t xml:space="preserve"> /  </w:t>
      </w:r>
      <w:r>
        <w:rPr>
          <w:rFonts w:hint="eastAsia" w:ascii="宋体" w:hAnsi="宋体" w:cs="宋体"/>
          <w:color w:val="auto"/>
          <w:sz w:val="24"/>
          <w:highlight w:val="none"/>
        </w:rPr>
        <w:t>。</w:t>
      </w:r>
    </w:p>
    <w:p w14:paraId="224D0DCD">
      <w:pPr>
        <w:keepNext w:val="0"/>
        <w:keepLines w:val="0"/>
        <w:pageBreakBefore w:val="0"/>
        <w:numPr>
          <w:ilvl w:val="0"/>
          <w:numId w:val="4"/>
        </w:numPr>
        <w:tabs>
          <w:tab w:val="left" w:pos="360"/>
        </w:tabs>
        <w:kinsoku/>
        <w:wordWrap/>
        <w:overflowPunct/>
        <w:topLinePunct w:val="0"/>
        <w:autoSpaceDE/>
        <w:autoSpaceDN/>
        <w:bidi w:val="0"/>
        <w:adjustRightInd/>
        <w:snapToGrid w:val="0"/>
        <w:spacing w:line="360" w:lineRule="auto"/>
        <w:textAlignment w:val="auto"/>
        <w:outlineLvl w:val="1"/>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磋商环节及提交最终报价后如出现以下情况的，供应商的</w:t>
      </w:r>
      <w:r>
        <w:rPr>
          <w:rFonts w:hint="eastAsia" w:ascii="宋体" w:hAnsi="宋体" w:eastAsia="宋体" w:cs="宋体"/>
          <w:b/>
          <w:color w:val="auto"/>
          <w:sz w:val="24"/>
          <w:highlight w:val="none"/>
          <w:shd w:val="clear" w:color="auto" w:fill="auto"/>
        </w:rPr>
        <w:t>响应文件无效</w:t>
      </w:r>
      <w:r>
        <w:rPr>
          <w:rFonts w:hint="eastAsia" w:ascii="宋体" w:hAnsi="宋体" w:eastAsia="宋体" w:cs="宋体"/>
          <w:color w:val="auto"/>
          <w:sz w:val="24"/>
          <w:highlight w:val="none"/>
          <w:shd w:val="clear" w:color="auto" w:fill="auto"/>
        </w:rPr>
        <w:t>：</w:t>
      </w:r>
    </w:p>
    <w:p w14:paraId="527457AA">
      <w:pPr>
        <w:keepNext w:val="0"/>
        <w:keepLines w:val="0"/>
        <w:pageBreakBefore w:val="0"/>
        <w:numPr>
          <w:ilvl w:val="1"/>
          <w:numId w:val="4"/>
        </w:numPr>
        <w:tabs>
          <w:tab w:val="left" w:pos="1080"/>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供应商对实质性变动不予确认的；</w:t>
      </w:r>
    </w:p>
    <w:p w14:paraId="73662CDC">
      <w:pPr>
        <w:keepNext w:val="0"/>
        <w:keepLines w:val="0"/>
        <w:pageBreakBefore w:val="0"/>
        <w:numPr>
          <w:ilvl w:val="1"/>
          <w:numId w:val="4"/>
        </w:numPr>
        <w:tabs>
          <w:tab w:val="left" w:pos="1080"/>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未按照磋商小组规定的时间、逾期提交最终报价的；</w:t>
      </w:r>
    </w:p>
    <w:p w14:paraId="51463595">
      <w:pPr>
        <w:keepNext w:val="0"/>
        <w:keepLines w:val="0"/>
        <w:pageBreakBefore w:val="0"/>
        <w:numPr>
          <w:ilvl w:val="1"/>
          <w:numId w:val="4"/>
        </w:numPr>
        <w:tabs>
          <w:tab w:val="left" w:pos="1080"/>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如供应商的最终报价超过竞争性磋商文件中规定的项目预算金额或者项目最高限价的；</w:t>
      </w:r>
    </w:p>
    <w:p w14:paraId="2298816E">
      <w:pPr>
        <w:keepNext w:val="0"/>
        <w:keepLines w:val="0"/>
        <w:pageBreakBefore w:val="0"/>
        <w:numPr>
          <w:ilvl w:val="1"/>
          <w:numId w:val="4"/>
        </w:numPr>
        <w:tabs>
          <w:tab w:val="left" w:pos="1080"/>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响应文件中出现可选择性或可调整的报价的（竞争性磋商文件另有规定的除外）；</w:t>
      </w:r>
    </w:p>
    <w:p w14:paraId="59474326">
      <w:pPr>
        <w:keepNext w:val="0"/>
        <w:keepLines w:val="0"/>
        <w:pageBreakBefore w:val="0"/>
        <w:numPr>
          <w:ilvl w:val="1"/>
          <w:numId w:val="4"/>
        </w:numPr>
        <w:tabs>
          <w:tab w:val="left" w:pos="1080"/>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最终报价出现前后不一致，供应商对修正后的报价不予确认的；</w:t>
      </w:r>
    </w:p>
    <w:p w14:paraId="3B937E4A">
      <w:pPr>
        <w:keepNext w:val="0"/>
        <w:keepLines w:val="0"/>
        <w:pageBreakBefore w:val="0"/>
        <w:numPr>
          <w:ilvl w:val="1"/>
          <w:numId w:val="4"/>
        </w:numPr>
        <w:tabs>
          <w:tab w:val="left" w:pos="1080"/>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其他：</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w:t>
      </w:r>
    </w:p>
    <w:bookmarkEnd w:id="586"/>
    <w:bookmarkEnd w:id="587"/>
    <w:p w14:paraId="19D42595">
      <w:pPr>
        <w:keepNext w:val="0"/>
        <w:keepLines w:val="0"/>
        <w:pageBreakBefore w:val="0"/>
        <w:numPr>
          <w:ilvl w:val="0"/>
          <w:numId w:val="4"/>
        </w:numPr>
        <w:tabs>
          <w:tab w:val="left" w:pos="360"/>
        </w:tabs>
        <w:kinsoku/>
        <w:wordWrap/>
        <w:overflowPunct/>
        <w:topLinePunct w:val="0"/>
        <w:autoSpaceDE/>
        <w:autoSpaceDN/>
        <w:bidi w:val="0"/>
        <w:adjustRightInd/>
        <w:snapToGrid w:val="0"/>
        <w:spacing w:line="360" w:lineRule="auto"/>
        <w:textAlignment w:val="auto"/>
        <w:outlineLvl w:val="1"/>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评审方法和评审标准</w:t>
      </w:r>
    </w:p>
    <w:p w14:paraId="0BED3EA8">
      <w:pPr>
        <w:keepNext w:val="0"/>
        <w:keepLines w:val="0"/>
        <w:pageBreakBefore w:val="0"/>
        <w:numPr>
          <w:ilvl w:val="1"/>
          <w:numId w:val="4"/>
        </w:numPr>
        <w:tabs>
          <w:tab w:val="left" w:pos="1080"/>
          <w:tab w:val="left" w:pos="1872"/>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194B3C0D">
      <w:pPr>
        <w:keepNext w:val="0"/>
        <w:keepLines w:val="0"/>
        <w:pageBreakBefore w:val="0"/>
        <w:numPr>
          <w:ilvl w:val="1"/>
          <w:numId w:val="4"/>
        </w:numPr>
        <w:tabs>
          <w:tab w:val="left" w:pos="1080"/>
          <w:tab w:val="left" w:pos="1872"/>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竞争性磋商文件中没有规定的评审标准不得作为评审依据。</w:t>
      </w:r>
    </w:p>
    <w:p w14:paraId="3CD052C6">
      <w:pPr>
        <w:keepNext w:val="0"/>
        <w:keepLines w:val="0"/>
        <w:pageBreakBefore w:val="0"/>
        <w:numPr>
          <w:ilvl w:val="1"/>
          <w:numId w:val="4"/>
        </w:numPr>
        <w:tabs>
          <w:tab w:val="left" w:pos="1080"/>
          <w:tab w:val="left" w:pos="1872"/>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非政府强制采购的节能产品或环境标志产品，依据品目清单和认证证书实施政府优先采购。优先采购的具体规定</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w:t>
      </w:r>
    </w:p>
    <w:p w14:paraId="279E83FB">
      <w:pPr>
        <w:keepNext w:val="0"/>
        <w:keepLines w:val="0"/>
        <w:pageBreakBefore w:val="0"/>
        <w:numPr>
          <w:ilvl w:val="1"/>
          <w:numId w:val="4"/>
        </w:numPr>
        <w:tabs>
          <w:tab w:val="left" w:pos="1080"/>
          <w:tab w:val="left" w:pos="1872"/>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关于无线局域网认证产品政府采购清单中的产品，优先采购的具体规定</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w:t>
      </w:r>
    </w:p>
    <w:p w14:paraId="6AF5E8C4">
      <w:pPr>
        <w:keepNext w:val="0"/>
        <w:keepLines w:val="0"/>
        <w:pageBreakBefore w:val="0"/>
        <w:numPr>
          <w:ilvl w:val="0"/>
          <w:numId w:val="4"/>
        </w:numPr>
        <w:tabs>
          <w:tab w:val="left" w:pos="360"/>
        </w:tabs>
        <w:kinsoku/>
        <w:wordWrap/>
        <w:overflowPunct/>
        <w:topLinePunct w:val="0"/>
        <w:autoSpaceDE/>
        <w:autoSpaceDN/>
        <w:bidi w:val="0"/>
        <w:adjustRightInd/>
        <w:snapToGrid w:val="0"/>
        <w:spacing w:line="360" w:lineRule="auto"/>
        <w:textAlignment w:val="auto"/>
        <w:outlineLvl w:val="1"/>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确定</w:t>
      </w:r>
      <w:bookmarkStart w:id="603" w:name="_Toc305158814"/>
      <w:bookmarkStart w:id="604" w:name="_Toc226965819"/>
      <w:bookmarkStart w:id="605" w:name="_Toc164608815"/>
      <w:bookmarkStart w:id="606" w:name="_Toc226309790"/>
      <w:bookmarkStart w:id="607" w:name="_Toc150774646"/>
      <w:bookmarkStart w:id="608" w:name="_Toc264969236"/>
      <w:bookmarkStart w:id="609" w:name="_Toc164608660"/>
      <w:bookmarkStart w:id="610" w:name="_Toc151193788"/>
      <w:bookmarkStart w:id="611" w:name="_Ref467307010"/>
      <w:bookmarkStart w:id="612" w:name="_Toc151193934"/>
      <w:bookmarkStart w:id="613" w:name="_Toc265228384"/>
      <w:bookmarkStart w:id="614" w:name="_Toc151190173"/>
      <w:bookmarkStart w:id="615" w:name="_Toc226337242"/>
      <w:bookmarkStart w:id="616" w:name="_Toc127151546"/>
      <w:bookmarkStart w:id="617" w:name="_Toc164351640"/>
      <w:bookmarkStart w:id="618" w:name="_Toc520356170"/>
      <w:bookmarkStart w:id="619" w:name="_Toc195842911"/>
      <w:bookmarkStart w:id="620" w:name="_Toc150509297"/>
      <w:bookmarkStart w:id="621" w:name="_Toc151193716"/>
      <w:bookmarkStart w:id="622" w:name="_Toc226965736"/>
      <w:bookmarkStart w:id="623" w:name="_Toc127161460"/>
      <w:bookmarkStart w:id="624" w:name="_Toc142311048"/>
      <w:bookmarkStart w:id="625" w:name="_Toc127151747"/>
      <w:bookmarkStart w:id="626" w:name="_Toc164229387"/>
      <w:bookmarkStart w:id="627" w:name="_Toc151193644"/>
      <w:bookmarkStart w:id="628" w:name="_Toc149720839"/>
      <w:bookmarkStart w:id="629" w:name="_Toc151193860"/>
      <w:bookmarkStart w:id="630" w:name="_Toc305158888"/>
      <w:bookmarkStart w:id="631" w:name="_Toc164229241"/>
      <w:bookmarkStart w:id="632" w:name="_Toc150774751"/>
      <w:bookmarkStart w:id="633" w:name="_Toc150480784"/>
      <w:r>
        <w:rPr>
          <w:rFonts w:hint="eastAsia" w:ascii="宋体" w:hAnsi="宋体" w:eastAsia="宋体" w:cs="宋体"/>
          <w:color w:val="auto"/>
          <w:sz w:val="24"/>
          <w:highlight w:val="none"/>
          <w:shd w:val="clear" w:color="auto" w:fill="auto"/>
        </w:rPr>
        <w:t>成交候选人名单</w:t>
      </w:r>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p>
    <w:p w14:paraId="77E77DB0">
      <w:pPr>
        <w:keepNext w:val="0"/>
        <w:keepLines w:val="0"/>
        <w:pageBreakBefore w:val="0"/>
        <w:numPr>
          <w:ilvl w:val="1"/>
          <w:numId w:val="4"/>
        </w:numPr>
        <w:tabs>
          <w:tab w:val="left" w:pos="1080"/>
          <w:tab w:val="left" w:pos="1872"/>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113AB716">
      <w:pPr>
        <w:keepNext w:val="0"/>
        <w:keepLines w:val="0"/>
        <w:pageBreakBefore w:val="0"/>
        <w:numPr>
          <w:ilvl w:val="1"/>
          <w:numId w:val="4"/>
        </w:numPr>
        <w:tabs>
          <w:tab w:val="left" w:pos="1080"/>
          <w:tab w:val="left" w:pos="1872"/>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kern w:val="0"/>
          <w:sz w:val="24"/>
          <w:szCs w:val="20"/>
          <w:highlight w:val="none"/>
          <w:shd w:val="clear" w:color="auto" w:fill="auto"/>
        </w:rPr>
        <w:t>磋商小组根据上述供应商排序，依次推荐排序前</w:t>
      </w:r>
      <w:r>
        <w:rPr>
          <w:rFonts w:hint="eastAsia" w:ascii="宋体" w:hAnsi="宋体" w:eastAsia="宋体" w:cs="宋体"/>
          <w:color w:val="auto"/>
          <w:sz w:val="24"/>
          <w:highlight w:val="none"/>
          <w:shd w:val="clear" w:color="auto" w:fill="auto"/>
        </w:rPr>
        <w:t>3名</w:t>
      </w:r>
      <w:r>
        <w:rPr>
          <w:rFonts w:hint="eastAsia" w:ascii="宋体" w:hAnsi="宋体" w:eastAsia="宋体" w:cs="宋体"/>
          <w:color w:val="auto"/>
          <w:kern w:val="0"/>
          <w:sz w:val="24"/>
          <w:szCs w:val="20"/>
          <w:highlight w:val="none"/>
          <w:shd w:val="clear" w:color="auto" w:fill="auto"/>
        </w:rPr>
        <w:t>的供应商为</w:t>
      </w:r>
      <w:r>
        <w:rPr>
          <w:rFonts w:hint="eastAsia" w:ascii="宋体" w:hAnsi="宋体" w:eastAsia="宋体" w:cs="宋体"/>
          <w:snapToGrid w:val="0"/>
          <w:color w:val="auto"/>
          <w:kern w:val="0"/>
          <w:sz w:val="24"/>
          <w:szCs w:val="21"/>
          <w:highlight w:val="none"/>
          <w:shd w:val="clear" w:color="auto" w:fill="auto"/>
        </w:rPr>
        <w:t>成交候选供应商</w:t>
      </w:r>
      <w:r>
        <w:rPr>
          <w:rFonts w:hint="eastAsia" w:ascii="宋体" w:hAnsi="宋体" w:eastAsia="宋体" w:cs="宋体"/>
          <w:color w:val="auto"/>
          <w:kern w:val="0"/>
          <w:sz w:val="24"/>
          <w:szCs w:val="20"/>
          <w:highlight w:val="none"/>
          <w:shd w:val="clear" w:color="auto" w:fill="auto"/>
        </w:rPr>
        <w:t>（若在磋商文件允许的情形下提交最终报价的供应商为二家，则依次推荐二名供应商为成交候选供应商），并编写评审报告。</w:t>
      </w:r>
    </w:p>
    <w:p w14:paraId="47191342">
      <w:pPr>
        <w:keepNext w:val="0"/>
        <w:keepLines w:val="0"/>
        <w:pageBreakBefore w:val="0"/>
        <w:numPr>
          <w:ilvl w:val="1"/>
          <w:numId w:val="4"/>
        </w:numPr>
        <w:tabs>
          <w:tab w:val="left" w:pos="1080"/>
          <w:tab w:val="left" w:pos="1872"/>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磋商小组要对评分汇总情况进行复核，特别是对排名第一的、报价最低的、响应文件被认定为无效的情形进行重点复核。</w:t>
      </w:r>
    </w:p>
    <w:p w14:paraId="2ED0E5F0">
      <w:pPr>
        <w:keepNext w:val="0"/>
        <w:keepLines w:val="0"/>
        <w:pageBreakBefore w:val="0"/>
        <w:numPr>
          <w:ilvl w:val="0"/>
          <w:numId w:val="4"/>
        </w:numPr>
        <w:tabs>
          <w:tab w:val="left" w:pos="360"/>
        </w:tabs>
        <w:kinsoku/>
        <w:wordWrap/>
        <w:overflowPunct/>
        <w:topLinePunct w:val="0"/>
        <w:autoSpaceDE/>
        <w:autoSpaceDN/>
        <w:bidi w:val="0"/>
        <w:adjustRightInd/>
        <w:snapToGrid w:val="0"/>
        <w:spacing w:line="360" w:lineRule="auto"/>
        <w:textAlignment w:val="auto"/>
        <w:outlineLvl w:val="1"/>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报告违法行为</w:t>
      </w:r>
    </w:p>
    <w:p w14:paraId="1A13084E">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Times New Roman"/>
          <w:b/>
          <w:bCs/>
          <w:color w:val="auto"/>
          <w:sz w:val="28"/>
          <w:szCs w:val="28"/>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shd w:val="clear" w:color="auto" w:fill="auto"/>
        </w:rPr>
        <w:t>磋商小组在评审过程中发现供应商有行贿、提供虚假材料或者串通等违法行为时，有向采购人、采购代理机构或者有关部门报告的职责。</w:t>
      </w:r>
      <w:r>
        <w:rPr>
          <w:rFonts w:hint="eastAsia" w:ascii="宋体" w:hAnsi="宋体" w:eastAsia="宋体" w:cs="宋体"/>
          <w:color w:val="auto"/>
          <w:sz w:val="24"/>
          <w:highlight w:val="none"/>
          <w:shd w:val="clear" w:color="auto" w:fill="auto"/>
        </w:rPr>
        <w:br w:type="page"/>
      </w:r>
      <w:r>
        <w:rPr>
          <w:rFonts w:hint="eastAsia" w:ascii="宋体" w:hAnsi="宋体" w:eastAsia="宋体" w:cs="Times New Roman"/>
          <w:b/>
          <w:bCs/>
          <w:color w:val="auto"/>
          <w:sz w:val="28"/>
          <w:szCs w:val="28"/>
          <w:highlight w:val="none"/>
          <w:shd w:val="clear" w:color="auto" w:fill="auto"/>
          <w:lang w:val="en-US" w:eastAsia="zh-CN"/>
        </w:rPr>
        <w:t>二、评审标准</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81"/>
        <w:gridCol w:w="1355"/>
        <w:gridCol w:w="6098"/>
        <w:gridCol w:w="488"/>
      </w:tblGrid>
      <w:tr w14:paraId="1E5A9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5" w:hRule="atLeast"/>
        </w:trPr>
        <w:tc>
          <w:tcPr>
            <w:tcW w:w="581" w:type="dxa"/>
            <w:noWrap w:val="0"/>
            <w:tcMar>
              <w:top w:w="0" w:type="dxa"/>
              <w:left w:w="108" w:type="dxa"/>
              <w:bottom w:w="0" w:type="dxa"/>
              <w:right w:w="108" w:type="dxa"/>
            </w:tcMar>
            <w:vAlign w:val="center"/>
          </w:tcPr>
          <w:p w14:paraId="0908E35B">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序号</w:t>
            </w:r>
          </w:p>
        </w:tc>
        <w:tc>
          <w:tcPr>
            <w:tcW w:w="1355" w:type="dxa"/>
            <w:noWrap w:val="0"/>
            <w:tcMar>
              <w:top w:w="0" w:type="dxa"/>
              <w:left w:w="108" w:type="dxa"/>
              <w:bottom w:w="0" w:type="dxa"/>
              <w:right w:w="108" w:type="dxa"/>
            </w:tcMar>
            <w:vAlign w:val="center"/>
          </w:tcPr>
          <w:p w14:paraId="78E80C60">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评分因素</w:t>
            </w:r>
          </w:p>
        </w:tc>
        <w:tc>
          <w:tcPr>
            <w:tcW w:w="6098" w:type="dxa"/>
            <w:noWrap w:val="0"/>
            <w:tcMar>
              <w:top w:w="0" w:type="dxa"/>
              <w:left w:w="108" w:type="dxa"/>
              <w:bottom w:w="0" w:type="dxa"/>
              <w:right w:w="108" w:type="dxa"/>
            </w:tcMar>
            <w:vAlign w:val="center"/>
          </w:tcPr>
          <w:p w14:paraId="3FC3F69D">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评分标准</w:t>
            </w:r>
          </w:p>
        </w:tc>
        <w:tc>
          <w:tcPr>
            <w:tcW w:w="488" w:type="dxa"/>
            <w:noWrap w:val="0"/>
            <w:tcMar>
              <w:top w:w="0" w:type="dxa"/>
              <w:left w:w="108" w:type="dxa"/>
              <w:bottom w:w="0" w:type="dxa"/>
              <w:right w:w="108" w:type="dxa"/>
            </w:tcMar>
            <w:vAlign w:val="center"/>
          </w:tcPr>
          <w:p w14:paraId="5A31B8E3">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分值</w:t>
            </w:r>
          </w:p>
        </w:tc>
      </w:tr>
      <w:tr w14:paraId="30828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8522" w:type="dxa"/>
            <w:gridSpan w:val="4"/>
            <w:noWrap w:val="0"/>
            <w:tcMar>
              <w:top w:w="0" w:type="dxa"/>
              <w:left w:w="108" w:type="dxa"/>
              <w:bottom w:w="0" w:type="dxa"/>
              <w:right w:w="108" w:type="dxa"/>
            </w:tcMar>
            <w:vAlign w:val="center"/>
          </w:tcPr>
          <w:p w14:paraId="5A0BB6BD">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both"/>
              <w:textAlignment w:val="auto"/>
              <w:outlineLvl w:val="9"/>
              <w:rPr>
                <w:rFonts w:hint="eastAsia" w:ascii="宋体" w:hAnsi="宋体" w:eastAsia="宋体" w:cs="宋体"/>
                <w:b/>
                <w:color w:val="auto"/>
                <w:kern w:val="0"/>
                <w:sz w:val="24"/>
                <w:szCs w:val="24"/>
                <w:highlight w:val="none"/>
                <w:shd w:val="clear" w:color="auto" w:fill="auto"/>
              </w:rPr>
            </w:pPr>
            <w:r>
              <w:rPr>
                <w:rFonts w:hint="eastAsia" w:ascii="宋体" w:hAnsi="宋体" w:eastAsia="宋体" w:cs="宋体"/>
                <w:b/>
                <w:color w:val="auto"/>
                <w:kern w:val="0"/>
                <w:sz w:val="24"/>
                <w:szCs w:val="24"/>
                <w:highlight w:val="none"/>
                <w:shd w:val="clear" w:color="auto" w:fill="auto"/>
              </w:rPr>
              <w:t>一、报价（</w:t>
            </w:r>
            <w:r>
              <w:rPr>
                <w:rFonts w:hint="eastAsia" w:ascii="宋体" w:hAnsi="宋体" w:cs="宋体"/>
                <w:b/>
                <w:color w:val="auto"/>
                <w:kern w:val="0"/>
                <w:sz w:val="24"/>
                <w:szCs w:val="24"/>
                <w:highlight w:val="none"/>
                <w:shd w:val="clear" w:color="auto" w:fill="auto"/>
                <w:lang w:val="en-US" w:eastAsia="zh-CN"/>
              </w:rPr>
              <w:t>60</w:t>
            </w:r>
            <w:r>
              <w:rPr>
                <w:rFonts w:hint="eastAsia" w:ascii="宋体" w:hAnsi="宋体" w:eastAsia="宋体" w:cs="宋体"/>
                <w:b/>
                <w:color w:val="auto"/>
                <w:kern w:val="0"/>
                <w:sz w:val="24"/>
                <w:szCs w:val="24"/>
                <w:highlight w:val="none"/>
                <w:shd w:val="clear" w:color="auto" w:fill="auto"/>
              </w:rPr>
              <w:t>分）</w:t>
            </w:r>
          </w:p>
        </w:tc>
      </w:tr>
      <w:tr w14:paraId="60605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581" w:type="dxa"/>
            <w:noWrap w:val="0"/>
            <w:tcMar>
              <w:top w:w="0" w:type="dxa"/>
              <w:left w:w="108" w:type="dxa"/>
              <w:bottom w:w="0" w:type="dxa"/>
              <w:right w:w="108" w:type="dxa"/>
            </w:tcMar>
            <w:vAlign w:val="center"/>
          </w:tcPr>
          <w:p w14:paraId="7D552D24">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w:t>
            </w:r>
          </w:p>
        </w:tc>
        <w:tc>
          <w:tcPr>
            <w:tcW w:w="1355" w:type="dxa"/>
            <w:noWrap w:val="0"/>
            <w:tcMar>
              <w:top w:w="0" w:type="dxa"/>
              <w:left w:w="108" w:type="dxa"/>
              <w:bottom w:w="0" w:type="dxa"/>
              <w:right w:w="108" w:type="dxa"/>
            </w:tcMar>
            <w:vAlign w:val="center"/>
          </w:tcPr>
          <w:p w14:paraId="2D9670FE">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价格</w:t>
            </w:r>
          </w:p>
        </w:tc>
        <w:tc>
          <w:tcPr>
            <w:tcW w:w="6098" w:type="dxa"/>
            <w:noWrap w:val="0"/>
            <w:tcMar>
              <w:top w:w="0" w:type="dxa"/>
              <w:left w:w="108" w:type="dxa"/>
              <w:bottom w:w="0" w:type="dxa"/>
              <w:right w:w="108" w:type="dxa"/>
            </w:tcMar>
            <w:vAlign w:val="center"/>
          </w:tcPr>
          <w:p w14:paraId="5949B457">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满足磋商文件要求且最终报价最低的报价为评标基准价，其价格分为满分。其他供应商的价格分统一按照下列公式计算：价格分得分＝（评标基准价/最终报价）×分值。</w:t>
            </w:r>
          </w:p>
          <w:p w14:paraId="1EAE7C9C">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sz w:val="24"/>
                <w:szCs w:val="24"/>
                <w:highlight w:val="none"/>
                <w:shd w:val="clear" w:color="auto" w:fill="auto"/>
              </w:rPr>
            </w:pPr>
            <w:r>
              <w:rPr>
                <w:rFonts w:hint="eastAsia" w:ascii="宋体" w:hAnsi="宋体" w:eastAsia="宋体" w:cs="宋体"/>
                <w:b/>
                <w:bCs/>
                <w:color w:val="auto"/>
                <w:sz w:val="24"/>
                <w:szCs w:val="24"/>
                <w:highlight w:val="none"/>
                <w:lang w:val="en-US" w:eastAsia="zh-CN"/>
              </w:rPr>
              <w:t>注：此处最终报价指经过报价修正后的最终报价。</w:t>
            </w:r>
          </w:p>
        </w:tc>
        <w:tc>
          <w:tcPr>
            <w:tcW w:w="488" w:type="dxa"/>
            <w:noWrap w:val="0"/>
            <w:tcMar>
              <w:top w:w="0" w:type="dxa"/>
              <w:left w:w="108" w:type="dxa"/>
              <w:bottom w:w="0" w:type="dxa"/>
              <w:right w:w="108" w:type="dxa"/>
            </w:tcMar>
            <w:vAlign w:val="center"/>
          </w:tcPr>
          <w:p w14:paraId="4E23A448">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60</w:t>
            </w:r>
          </w:p>
        </w:tc>
      </w:tr>
      <w:tr w14:paraId="60460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8522" w:type="dxa"/>
            <w:gridSpan w:val="4"/>
            <w:noWrap w:val="0"/>
            <w:tcMar>
              <w:top w:w="0" w:type="dxa"/>
              <w:left w:w="108" w:type="dxa"/>
              <w:bottom w:w="0" w:type="dxa"/>
              <w:right w:w="108" w:type="dxa"/>
            </w:tcMar>
            <w:vAlign w:val="center"/>
          </w:tcPr>
          <w:p w14:paraId="604F8F63">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both"/>
              <w:textAlignment w:val="auto"/>
              <w:outlineLvl w:val="9"/>
              <w:rPr>
                <w:rFonts w:hint="eastAsia" w:ascii="宋体" w:hAnsi="宋体" w:eastAsia="宋体" w:cs="宋体"/>
                <w:b/>
                <w:color w:val="auto"/>
                <w:kern w:val="0"/>
                <w:sz w:val="24"/>
                <w:szCs w:val="24"/>
                <w:highlight w:val="none"/>
                <w:shd w:val="clear" w:color="auto" w:fill="auto"/>
                <w:lang w:eastAsia="zh-CN"/>
              </w:rPr>
            </w:pPr>
            <w:r>
              <w:rPr>
                <w:rFonts w:hint="eastAsia" w:ascii="宋体" w:hAnsi="宋体" w:eastAsia="宋体" w:cs="宋体"/>
                <w:b/>
                <w:color w:val="auto"/>
                <w:kern w:val="0"/>
                <w:sz w:val="24"/>
                <w:szCs w:val="24"/>
                <w:highlight w:val="none"/>
                <w:shd w:val="clear" w:color="auto" w:fill="auto"/>
              </w:rPr>
              <w:t>二</w:t>
            </w:r>
            <w:r>
              <w:rPr>
                <w:rFonts w:hint="eastAsia" w:ascii="宋体" w:hAnsi="宋体" w:eastAsia="宋体" w:cs="宋体"/>
                <w:b/>
                <w:color w:val="auto"/>
                <w:kern w:val="0"/>
                <w:sz w:val="24"/>
                <w:szCs w:val="24"/>
                <w:highlight w:val="none"/>
                <w:shd w:val="clear" w:color="auto" w:fill="auto"/>
                <w:lang w:eastAsia="zh-CN"/>
              </w:rPr>
              <w:t>、</w:t>
            </w:r>
            <w:r>
              <w:rPr>
                <w:rFonts w:hint="eastAsia" w:ascii="宋体" w:hAnsi="宋体" w:eastAsia="宋体" w:cs="宋体"/>
                <w:b/>
                <w:color w:val="auto"/>
                <w:kern w:val="0"/>
                <w:sz w:val="24"/>
                <w:szCs w:val="24"/>
                <w:highlight w:val="none"/>
                <w:shd w:val="clear" w:color="auto" w:fill="auto"/>
                <w:lang w:val="en-US" w:eastAsia="zh-CN"/>
              </w:rPr>
              <w:t>主观分</w:t>
            </w:r>
            <w:r>
              <w:rPr>
                <w:rFonts w:hint="eastAsia" w:ascii="宋体" w:hAnsi="宋体" w:eastAsia="宋体" w:cs="宋体"/>
                <w:b/>
                <w:color w:val="auto"/>
                <w:kern w:val="0"/>
                <w:sz w:val="24"/>
                <w:szCs w:val="24"/>
                <w:highlight w:val="none"/>
                <w:shd w:val="clear" w:color="auto" w:fill="auto"/>
                <w:lang w:eastAsia="zh-CN"/>
              </w:rPr>
              <w:t>（</w:t>
            </w:r>
            <w:r>
              <w:rPr>
                <w:rFonts w:hint="eastAsia" w:ascii="宋体" w:hAnsi="宋体" w:cs="宋体"/>
                <w:b/>
                <w:color w:val="auto"/>
                <w:kern w:val="0"/>
                <w:sz w:val="24"/>
                <w:szCs w:val="24"/>
                <w:highlight w:val="none"/>
                <w:shd w:val="clear" w:color="auto" w:fill="auto"/>
                <w:lang w:val="en-US" w:eastAsia="zh-CN"/>
              </w:rPr>
              <w:t>20</w:t>
            </w:r>
            <w:r>
              <w:rPr>
                <w:rFonts w:hint="eastAsia" w:ascii="宋体" w:hAnsi="宋体" w:eastAsia="宋体" w:cs="宋体"/>
                <w:b/>
                <w:color w:val="auto"/>
                <w:kern w:val="0"/>
                <w:sz w:val="24"/>
                <w:szCs w:val="24"/>
                <w:highlight w:val="none"/>
                <w:shd w:val="clear" w:color="auto" w:fill="auto"/>
                <w:lang w:val="en-US" w:eastAsia="zh-CN"/>
              </w:rPr>
              <w:t>分</w:t>
            </w:r>
            <w:r>
              <w:rPr>
                <w:rFonts w:hint="eastAsia" w:ascii="宋体" w:hAnsi="宋体" w:eastAsia="宋体" w:cs="宋体"/>
                <w:b/>
                <w:color w:val="auto"/>
                <w:kern w:val="0"/>
                <w:sz w:val="24"/>
                <w:szCs w:val="24"/>
                <w:highlight w:val="none"/>
                <w:shd w:val="clear" w:color="auto" w:fill="auto"/>
                <w:lang w:eastAsia="zh-CN"/>
              </w:rPr>
              <w:t>）</w:t>
            </w:r>
          </w:p>
        </w:tc>
      </w:tr>
      <w:tr w14:paraId="290F0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581" w:type="dxa"/>
            <w:noWrap w:val="0"/>
            <w:tcMar>
              <w:top w:w="0" w:type="dxa"/>
              <w:left w:w="108" w:type="dxa"/>
              <w:bottom w:w="0" w:type="dxa"/>
              <w:right w:w="108" w:type="dxa"/>
            </w:tcMar>
            <w:vAlign w:val="center"/>
          </w:tcPr>
          <w:p w14:paraId="4452B7A6">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w:t>
            </w:r>
          </w:p>
        </w:tc>
        <w:tc>
          <w:tcPr>
            <w:tcW w:w="1355" w:type="dxa"/>
            <w:shd w:val="clear" w:color="auto" w:fill="auto"/>
            <w:noWrap w:val="0"/>
            <w:tcMar>
              <w:top w:w="0" w:type="dxa"/>
              <w:left w:w="108" w:type="dxa"/>
              <w:bottom w:w="0" w:type="dxa"/>
              <w:right w:w="108" w:type="dxa"/>
            </w:tcMar>
            <w:vAlign w:val="center"/>
          </w:tcPr>
          <w:p w14:paraId="3AF9A38E">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rPr>
              <w:t>总体概述</w:t>
            </w:r>
          </w:p>
        </w:tc>
        <w:tc>
          <w:tcPr>
            <w:tcW w:w="6098" w:type="dxa"/>
            <w:shd w:val="clear" w:color="auto" w:fill="auto"/>
            <w:noWrap w:val="0"/>
            <w:tcMar>
              <w:top w:w="0" w:type="dxa"/>
              <w:left w:w="108" w:type="dxa"/>
              <w:bottom w:w="0" w:type="dxa"/>
              <w:right w:w="108" w:type="dxa"/>
            </w:tcMar>
            <w:vAlign w:val="top"/>
          </w:tcPr>
          <w:p w14:paraId="2AFA03F5">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总体概述：包括但不限于工程概况、施工组织总体设想、方案的针对性及施工段的划分；方案先进、完整，主导工程内容、施工方法明确、详尽、合理，能完全满足项目实施要求，得</w:t>
            </w:r>
            <w:r>
              <w:rPr>
                <w:rFonts w:hint="eastAsia" w:ascii="宋体" w:hAnsi="宋体" w:cs="宋体"/>
                <w:color w:val="auto"/>
                <w:kern w:val="0"/>
                <w:sz w:val="24"/>
                <w:szCs w:val="24"/>
                <w:highlight w:val="none"/>
                <w:shd w:val="clear" w:color="auto" w:fill="auto"/>
                <w:lang w:val="en-US" w:eastAsia="zh-CN" w:bidi="ar-SA"/>
              </w:rPr>
              <w:t>4</w:t>
            </w:r>
            <w:r>
              <w:rPr>
                <w:rFonts w:hint="eastAsia" w:ascii="宋体" w:hAnsi="宋体" w:eastAsia="宋体" w:cs="宋体"/>
                <w:color w:val="auto"/>
                <w:kern w:val="0"/>
                <w:sz w:val="24"/>
                <w:szCs w:val="24"/>
                <w:highlight w:val="none"/>
                <w:shd w:val="clear" w:color="auto" w:fill="auto"/>
                <w:lang w:val="en-US" w:eastAsia="zh-CN" w:bidi="ar-SA"/>
              </w:rPr>
              <w:t>分；方案较先进、完整，主导工程内容、施工方法较明确、详尽、合理，能基本满足项目实施要求，得</w:t>
            </w:r>
            <w:r>
              <w:rPr>
                <w:rFonts w:hint="eastAsia" w:ascii="宋体" w:hAnsi="宋体" w:cs="宋体"/>
                <w:color w:val="auto"/>
                <w:kern w:val="0"/>
                <w:sz w:val="24"/>
                <w:szCs w:val="24"/>
                <w:highlight w:val="none"/>
                <w:shd w:val="clear" w:color="auto" w:fill="auto"/>
                <w:lang w:val="en-US" w:eastAsia="zh-CN" w:bidi="ar-SA"/>
              </w:rPr>
              <w:t>3</w:t>
            </w:r>
            <w:r>
              <w:rPr>
                <w:rFonts w:hint="eastAsia" w:ascii="宋体" w:hAnsi="宋体" w:eastAsia="宋体" w:cs="宋体"/>
                <w:color w:val="auto"/>
                <w:kern w:val="0"/>
                <w:sz w:val="24"/>
                <w:szCs w:val="24"/>
                <w:highlight w:val="none"/>
                <w:shd w:val="clear" w:color="auto" w:fill="auto"/>
                <w:lang w:val="en-US" w:eastAsia="zh-CN" w:bidi="ar-SA"/>
              </w:rPr>
              <w:t>分；方案内容较简单，对项目实施要求响应一般，得</w:t>
            </w:r>
            <w:r>
              <w:rPr>
                <w:rFonts w:hint="eastAsia" w:ascii="宋体" w:hAnsi="宋体" w:cs="宋体"/>
                <w:color w:val="auto"/>
                <w:kern w:val="0"/>
                <w:sz w:val="24"/>
                <w:szCs w:val="24"/>
                <w:highlight w:val="none"/>
                <w:shd w:val="clear" w:color="auto" w:fill="auto"/>
                <w:lang w:val="en-US" w:eastAsia="zh-CN" w:bidi="ar-SA"/>
              </w:rPr>
              <w:t>2</w:t>
            </w:r>
            <w:r>
              <w:rPr>
                <w:rFonts w:hint="eastAsia" w:ascii="宋体" w:hAnsi="宋体" w:eastAsia="宋体" w:cs="宋体"/>
                <w:color w:val="auto"/>
                <w:kern w:val="0"/>
                <w:sz w:val="24"/>
                <w:szCs w:val="24"/>
                <w:highlight w:val="none"/>
                <w:shd w:val="clear" w:color="auto" w:fill="auto"/>
                <w:lang w:val="en-US" w:eastAsia="zh-CN" w:bidi="ar-SA"/>
              </w:rPr>
              <w:t>分；方案内容的针对</w:t>
            </w:r>
            <w:r>
              <w:rPr>
                <w:rFonts w:hint="eastAsia" w:ascii="宋体" w:hAnsi="宋体" w:cs="宋体"/>
                <w:color w:val="auto"/>
                <w:kern w:val="0"/>
                <w:sz w:val="24"/>
                <w:szCs w:val="24"/>
                <w:highlight w:val="none"/>
                <w:shd w:val="clear" w:color="auto" w:fill="auto"/>
                <w:lang w:val="en-US" w:eastAsia="zh-CN" w:bidi="ar-SA"/>
              </w:rPr>
              <w:t>性</w:t>
            </w:r>
            <w:r>
              <w:rPr>
                <w:rFonts w:hint="eastAsia" w:ascii="宋体" w:hAnsi="宋体" w:eastAsia="宋体" w:cs="宋体"/>
                <w:color w:val="auto"/>
                <w:kern w:val="0"/>
                <w:sz w:val="24"/>
                <w:szCs w:val="24"/>
                <w:highlight w:val="none"/>
                <w:shd w:val="clear" w:color="auto" w:fill="auto"/>
                <w:lang w:val="en-US" w:eastAsia="zh-CN" w:bidi="ar-SA"/>
              </w:rPr>
              <w:t>欠缺，得1分；未提供本项不得分。</w:t>
            </w:r>
          </w:p>
        </w:tc>
        <w:tc>
          <w:tcPr>
            <w:tcW w:w="488" w:type="dxa"/>
            <w:shd w:val="clear" w:color="auto" w:fill="auto"/>
            <w:noWrap w:val="0"/>
            <w:tcMar>
              <w:top w:w="0" w:type="dxa"/>
              <w:left w:w="108" w:type="dxa"/>
              <w:bottom w:w="0" w:type="dxa"/>
              <w:right w:w="108" w:type="dxa"/>
            </w:tcMar>
            <w:vAlign w:val="center"/>
          </w:tcPr>
          <w:p w14:paraId="75FCD733">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eastAsia="宋体" w:cs="宋体"/>
                <w:color w:val="auto"/>
                <w:kern w:val="2"/>
                <w:sz w:val="24"/>
                <w:szCs w:val="24"/>
                <w:highlight w:val="none"/>
                <w:shd w:val="clear" w:color="auto" w:fill="auto"/>
                <w:lang w:val="en-US" w:eastAsia="zh-CN" w:bidi="ar-SA"/>
              </w:rPr>
            </w:pPr>
            <w:r>
              <w:rPr>
                <w:rFonts w:hint="eastAsia" w:ascii="宋体" w:hAnsi="宋体" w:cs="宋体"/>
                <w:color w:val="auto"/>
                <w:sz w:val="24"/>
                <w:szCs w:val="24"/>
                <w:highlight w:val="none"/>
                <w:shd w:val="clear" w:color="auto" w:fill="auto"/>
                <w:lang w:val="en-US" w:eastAsia="zh-CN"/>
              </w:rPr>
              <w:t>4</w:t>
            </w:r>
          </w:p>
        </w:tc>
      </w:tr>
      <w:tr w14:paraId="79358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581" w:type="dxa"/>
            <w:shd w:val="clear" w:color="auto" w:fill="auto"/>
            <w:noWrap w:val="0"/>
            <w:tcMar>
              <w:top w:w="0" w:type="dxa"/>
              <w:left w:w="108" w:type="dxa"/>
              <w:bottom w:w="0" w:type="dxa"/>
              <w:right w:w="108" w:type="dxa"/>
            </w:tcMar>
            <w:vAlign w:val="center"/>
          </w:tcPr>
          <w:p w14:paraId="4CC68B3B">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rPr>
              <w:t>2</w:t>
            </w:r>
          </w:p>
        </w:tc>
        <w:tc>
          <w:tcPr>
            <w:tcW w:w="1355" w:type="dxa"/>
            <w:shd w:val="clear" w:color="auto" w:fill="auto"/>
            <w:noWrap w:val="0"/>
            <w:tcMar>
              <w:top w:w="0" w:type="dxa"/>
              <w:left w:w="108" w:type="dxa"/>
              <w:bottom w:w="0" w:type="dxa"/>
              <w:right w:w="108" w:type="dxa"/>
            </w:tcMar>
            <w:vAlign w:val="center"/>
          </w:tcPr>
          <w:p w14:paraId="62E659A1">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rPr>
              <w:t>施工质量保证措施</w:t>
            </w:r>
          </w:p>
        </w:tc>
        <w:tc>
          <w:tcPr>
            <w:tcW w:w="6098" w:type="dxa"/>
            <w:shd w:val="clear" w:color="auto" w:fill="auto"/>
            <w:noWrap w:val="0"/>
            <w:tcMar>
              <w:top w:w="0" w:type="dxa"/>
              <w:left w:w="108" w:type="dxa"/>
              <w:bottom w:w="0" w:type="dxa"/>
              <w:right w:w="108" w:type="dxa"/>
            </w:tcMar>
            <w:vAlign w:val="top"/>
          </w:tcPr>
          <w:p w14:paraId="31739398">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施工质量保证措施，包括但不限于质量管理制度、质量通病的针对性措施、施工前中后全过程质量控制措施等；方案完整，能完全满足项目实施要求，得</w:t>
            </w:r>
            <w:r>
              <w:rPr>
                <w:rFonts w:hint="eastAsia" w:ascii="宋体" w:hAnsi="宋体" w:cs="宋体"/>
                <w:color w:val="auto"/>
                <w:kern w:val="0"/>
                <w:sz w:val="24"/>
                <w:szCs w:val="24"/>
                <w:highlight w:val="none"/>
                <w:shd w:val="clear" w:color="auto" w:fill="auto"/>
                <w:lang w:val="en-US" w:eastAsia="zh-CN" w:bidi="ar-SA"/>
              </w:rPr>
              <w:t>4</w:t>
            </w:r>
            <w:r>
              <w:rPr>
                <w:rFonts w:hint="eastAsia" w:ascii="宋体" w:hAnsi="宋体" w:eastAsia="宋体" w:cs="宋体"/>
                <w:color w:val="auto"/>
                <w:kern w:val="0"/>
                <w:sz w:val="24"/>
                <w:szCs w:val="24"/>
                <w:highlight w:val="none"/>
                <w:shd w:val="clear" w:color="auto" w:fill="auto"/>
                <w:lang w:val="en-US" w:eastAsia="zh-CN" w:bidi="ar-SA"/>
              </w:rPr>
              <w:t>分；方案较具体，能基本满足项目实施要求，得</w:t>
            </w:r>
            <w:r>
              <w:rPr>
                <w:rFonts w:hint="eastAsia" w:ascii="宋体" w:hAnsi="宋体" w:cs="宋体"/>
                <w:color w:val="auto"/>
                <w:kern w:val="0"/>
                <w:sz w:val="24"/>
                <w:szCs w:val="24"/>
                <w:highlight w:val="none"/>
                <w:shd w:val="clear" w:color="auto" w:fill="auto"/>
                <w:lang w:val="en-US" w:eastAsia="zh-CN" w:bidi="ar-SA"/>
              </w:rPr>
              <w:t>3</w:t>
            </w:r>
            <w:r>
              <w:rPr>
                <w:rFonts w:hint="eastAsia" w:ascii="宋体" w:hAnsi="宋体" w:eastAsia="宋体" w:cs="宋体"/>
                <w:color w:val="auto"/>
                <w:kern w:val="0"/>
                <w:sz w:val="24"/>
                <w:szCs w:val="24"/>
                <w:highlight w:val="none"/>
                <w:shd w:val="clear" w:color="auto" w:fill="auto"/>
                <w:lang w:val="en-US" w:eastAsia="zh-CN" w:bidi="ar-SA"/>
              </w:rPr>
              <w:t>分；方案内容较简单，对项目实施要求响应一般，得</w:t>
            </w:r>
            <w:r>
              <w:rPr>
                <w:rFonts w:hint="eastAsia" w:ascii="宋体" w:hAnsi="宋体" w:cs="宋体"/>
                <w:color w:val="auto"/>
                <w:kern w:val="0"/>
                <w:sz w:val="24"/>
                <w:szCs w:val="24"/>
                <w:highlight w:val="none"/>
                <w:shd w:val="clear" w:color="auto" w:fill="auto"/>
                <w:lang w:val="en-US" w:eastAsia="zh-CN" w:bidi="ar-SA"/>
              </w:rPr>
              <w:t>2</w:t>
            </w:r>
            <w:r>
              <w:rPr>
                <w:rFonts w:hint="eastAsia" w:ascii="宋体" w:hAnsi="宋体" w:eastAsia="宋体" w:cs="宋体"/>
                <w:color w:val="auto"/>
                <w:kern w:val="0"/>
                <w:sz w:val="24"/>
                <w:szCs w:val="24"/>
                <w:highlight w:val="none"/>
                <w:shd w:val="clear" w:color="auto" w:fill="auto"/>
                <w:lang w:val="en-US" w:eastAsia="zh-CN" w:bidi="ar-SA"/>
              </w:rPr>
              <w:t>分；方案内容的针对</w:t>
            </w:r>
            <w:r>
              <w:rPr>
                <w:rFonts w:hint="eastAsia" w:ascii="宋体" w:hAnsi="宋体" w:cs="宋体"/>
                <w:color w:val="auto"/>
                <w:kern w:val="0"/>
                <w:sz w:val="24"/>
                <w:szCs w:val="24"/>
                <w:highlight w:val="none"/>
                <w:shd w:val="clear" w:color="auto" w:fill="auto"/>
                <w:lang w:val="en-US" w:eastAsia="zh-CN" w:bidi="ar-SA"/>
              </w:rPr>
              <w:t>性</w:t>
            </w:r>
            <w:r>
              <w:rPr>
                <w:rFonts w:hint="eastAsia" w:ascii="宋体" w:hAnsi="宋体" w:eastAsia="宋体" w:cs="宋体"/>
                <w:color w:val="auto"/>
                <w:kern w:val="0"/>
                <w:sz w:val="24"/>
                <w:szCs w:val="24"/>
                <w:highlight w:val="none"/>
                <w:shd w:val="clear" w:color="auto" w:fill="auto"/>
                <w:lang w:val="en-US" w:eastAsia="zh-CN" w:bidi="ar-SA"/>
              </w:rPr>
              <w:t>欠缺，得</w:t>
            </w:r>
            <w:r>
              <w:rPr>
                <w:rFonts w:hint="eastAsia" w:ascii="宋体" w:hAnsi="宋体" w:cs="宋体"/>
                <w:color w:val="auto"/>
                <w:kern w:val="0"/>
                <w:sz w:val="24"/>
                <w:szCs w:val="24"/>
                <w:highlight w:val="none"/>
                <w:shd w:val="clear" w:color="auto" w:fill="auto"/>
                <w:lang w:val="en-US" w:eastAsia="zh-CN" w:bidi="ar-SA"/>
              </w:rPr>
              <w:t>1</w:t>
            </w:r>
            <w:r>
              <w:rPr>
                <w:rFonts w:hint="eastAsia" w:ascii="宋体" w:hAnsi="宋体" w:eastAsia="宋体" w:cs="宋体"/>
                <w:color w:val="auto"/>
                <w:kern w:val="0"/>
                <w:sz w:val="24"/>
                <w:szCs w:val="24"/>
                <w:highlight w:val="none"/>
                <w:shd w:val="clear" w:color="auto" w:fill="auto"/>
                <w:lang w:val="en-US" w:eastAsia="zh-CN" w:bidi="ar-SA"/>
              </w:rPr>
              <w:t>分；未提供本项不得分。</w:t>
            </w:r>
          </w:p>
        </w:tc>
        <w:tc>
          <w:tcPr>
            <w:tcW w:w="488" w:type="dxa"/>
            <w:shd w:val="clear" w:color="auto" w:fill="auto"/>
            <w:noWrap w:val="0"/>
            <w:tcMar>
              <w:top w:w="0" w:type="dxa"/>
              <w:left w:w="108" w:type="dxa"/>
              <w:bottom w:w="0" w:type="dxa"/>
              <w:right w:w="108" w:type="dxa"/>
            </w:tcMar>
            <w:vAlign w:val="center"/>
          </w:tcPr>
          <w:p w14:paraId="4639950D">
            <w:pPr>
              <w:keepNext w:val="0"/>
              <w:keepLines w:val="0"/>
              <w:pageBreakBefore w:val="0"/>
              <w:widowControl w:val="0"/>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cs="宋体"/>
                <w:color w:val="auto"/>
                <w:sz w:val="24"/>
                <w:szCs w:val="24"/>
                <w:highlight w:val="none"/>
                <w:shd w:val="clear" w:color="auto" w:fill="auto"/>
                <w:lang w:val="en-US" w:eastAsia="zh-CN"/>
              </w:rPr>
              <w:t>4</w:t>
            </w:r>
          </w:p>
        </w:tc>
      </w:tr>
      <w:tr w14:paraId="0E250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581" w:type="dxa"/>
            <w:shd w:val="clear" w:color="auto" w:fill="auto"/>
            <w:noWrap w:val="0"/>
            <w:tcMar>
              <w:top w:w="0" w:type="dxa"/>
              <w:left w:w="108" w:type="dxa"/>
              <w:bottom w:w="0" w:type="dxa"/>
              <w:right w:w="108" w:type="dxa"/>
            </w:tcMar>
            <w:vAlign w:val="center"/>
          </w:tcPr>
          <w:p w14:paraId="1AAF88D1">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rPr>
              <w:t>3</w:t>
            </w:r>
          </w:p>
        </w:tc>
        <w:tc>
          <w:tcPr>
            <w:tcW w:w="1355" w:type="dxa"/>
            <w:shd w:val="clear" w:color="auto" w:fill="auto"/>
            <w:noWrap w:val="0"/>
            <w:tcMar>
              <w:top w:w="0" w:type="dxa"/>
              <w:left w:w="108" w:type="dxa"/>
              <w:bottom w:w="0" w:type="dxa"/>
              <w:right w:w="108" w:type="dxa"/>
            </w:tcMar>
            <w:vAlign w:val="center"/>
          </w:tcPr>
          <w:p w14:paraId="57ADEB3A">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rPr>
              <w:t>施工进度计划和各阶段进度的保证措施</w:t>
            </w:r>
          </w:p>
        </w:tc>
        <w:tc>
          <w:tcPr>
            <w:tcW w:w="6098" w:type="dxa"/>
            <w:shd w:val="clear" w:color="auto" w:fill="auto"/>
            <w:noWrap w:val="0"/>
            <w:tcMar>
              <w:top w:w="0" w:type="dxa"/>
              <w:left w:w="108" w:type="dxa"/>
              <w:bottom w:w="0" w:type="dxa"/>
              <w:right w:w="108" w:type="dxa"/>
            </w:tcMar>
            <w:vAlign w:val="top"/>
          </w:tcPr>
          <w:p w14:paraId="4CD58BAC">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施工进度计划和各阶段进度的保证措施,包括但不限于组织措施、技术措施、物资安排措施；方案完整，工期满足要求，工期提前有保证措施，进度计划与工期安排衔接对应，能完全满足项目实施要求，得</w:t>
            </w:r>
            <w:r>
              <w:rPr>
                <w:rFonts w:hint="eastAsia" w:ascii="宋体" w:hAnsi="宋体" w:cs="宋体"/>
                <w:color w:val="auto"/>
                <w:kern w:val="0"/>
                <w:sz w:val="24"/>
                <w:szCs w:val="24"/>
                <w:highlight w:val="none"/>
                <w:shd w:val="clear" w:color="auto" w:fill="auto"/>
                <w:lang w:val="en-US" w:eastAsia="zh-CN" w:bidi="ar-SA"/>
              </w:rPr>
              <w:t>4</w:t>
            </w:r>
            <w:r>
              <w:rPr>
                <w:rFonts w:hint="eastAsia" w:ascii="宋体" w:hAnsi="宋体" w:eastAsia="宋体" w:cs="宋体"/>
                <w:color w:val="auto"/>
                <w:kern w:val="0"/>
                <w:sz w:val="24"/>
                <w:szCs w:val="24"/>
                <w:highlight w:val="none"/>
                <w:shd w:val="clear" w:color="auto" w:fill="auto"/>
                <w:lang w:val="en-US" w:eastAsia="zh-CN" w:bidi="ar-SA"/>
              </w:rPr>
              <w:t>分；方案较具体，工期基本满足要求，进度计划与工期安排衔接基本对应，能基本满足项目实施要求，得</w:t>
            </w:r>
            <w:r>
              <w:rPr>
                <w:rFonts w:hint="eastAsia" w:ascii="宋体" w:hAnsi="宋体" w:cs="宋体"/>
                <w:color w:val="auto"/>
                <w:kern w:val="0"/>
                <w:sz w:val="24"/>
                <w:szCs w:val="24"/>
                <w:highlight w:val="none"/>
                <w:shd w:val="clear" w:color="auto" w:fill="auto"/>
                <w:lang w:val="en-US" w:eastAsia="zh-CN" w:bidi="ar-SA"/>
              </w:rPr>
              <w:t>3</w:t>
            </w:r>
            <w:r>
              <w:rPr>
                <w:rFonts w:hint="eastAsia" w:ascii="宋体" w:hAnsi="宋体" w:eastAsia="宋体" w:cs="宋体"/>
                <w:color w:val="auto"/>
                <w:kern w:val="0"/>
                <w:sz w:val="24"/>
                <w:szCs w:val="24"/>
                <w:highlight w:val="none"/>
                <w:shd w:val="clear" w:color="auto" w:fill="auto"/>
                <w:lang w:val="en-US" w:eastAsia="zh-CN" w:bidi="ar-SA"/>
              </w:rPr>
              <w:t>分；方案内容较简单，对项目实施要求响应一般，得</w:t>
            </w:r>
            <w:r>
              <w:rPr>
                <w:rFonts w:hint="eastAsia" w:ascii="宋体" w:hAnsi="宋体" w:cs="宋体"/>
                <w:color w:val="auto"/>
                <w:kern w:val="0"/>
                <w:sz w:val="24"/>
                <w:szCs w:val="24"/>
                <w:highlight w:val="none"/>
                <w:shd w:val="clear" w:color="auto" w:fill="auto"/>
                <w:lang w:val="en-US" w:eastAsia="zh-CN" w:bidi="ar-SA"/>
              </w:rPr>
              <w:t>2</w:t>
            </w:r>
            <w:r>
              <w:rPr>
                <w:rFonts w:hint="eastAsia" w:ascii="宋体" w:hAnsi="宋体" w:eastAsia="宋体" w:cs="宋体"/>
                <w:color w:val="auto"/>
                <w:kern w:val="0"/>
                <w:sz w:val="24"/>
                <w:szCs w:val="24"/>
                <w:highlight w:val="none"/>
                <w:shd w:val="clear" w:color="auto" w:fill="auto"/>
                <w:lang w:val="en-US" w:eastAsia="zh-CN" w:bidi="ar-SA"/>
              </w:rPr>
              <w:t>分；方案内容的针对</w:t>
            </w:r>
            <w:r>
              <w:rPr>
                <w:rFonts w:hint="eastAsia" w:ascii="宋体" w:hAnsi="宋体" w:cs="宋体"/>
                <w:color w:val="auto"/>
                <w:kern w:val="0"/>
                <w:sz w:val="24"/>
                <w:szCs w:val="24"/>
                <w:highlight w:val="none"/>
                <w:shd w:val="clear" w:color="auto" w:fill="auto"/>
                <w:lang w:val="en-US" w:eastAsia="zh-CN" w:bidi="ar-SA"/>
              </w:rPr>
              <w:t>性</w:t>
            </w:r>
            <w:r>
              <w:rPr>
                <w:rFonts w:hint="eastAsia" w:ascii="宋体" w:hAnsi="宋体" w:eastAsia="宋体" w:cs="宋体"/>
                <w:color w:val="auto"/>
                <w:kern w:val="0"/>
                <w:sz w:val="24"/>
                <w:szCs w:val="24"/>
                <w:highlight w:val="none"/>
                <w:shd w:val="clear" w:color="auto" w:fill="auto"/>
                <w:lang w:val="en-US" w:eastAsia="zh-CN" w:bidi="ar-SA"/>
              </w:rPr>
              <w:t>欠缺，得1分；未提供本项不得分。</w:t>
            </w:r>
          </w:p>
        </w:tc>
        <w:tc>
          <w:tcPr>
            <w:tcW w:w="488" w:type="dxa"/>
            <w:shd w:val="clear" w:color="auto" w:fill="auto"/>
            <w:noWrap w:val="0"/>
            <w:tcMar>
              <w:top w:w="0" w:type="dxa"/>
              <w:left w:w="108" w:type="dxa"/>
              <w:bottom w:w="0" w:type="dxa"/>
              <w:right w:w="108" w:type="dxa"/>
            </w:tcMar>
            <w:vAlign w:val="center"/>
          </w:tcPr>
          <w:p w14:paraId="1EA20085">
            <w:pPr>
              <w:keepNext w:val="0"/>
              <w:keepLines w:val="0"/>
              <w:pageBreakBefore w:val="0"/>
              <w:widowControl w:val="0"/>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cs="宋体"/>
                <w:color w:val="auto"/>
                <w:sz w:val="24"/>
                <w:szCs w:val="24"/>
                <w:highlight w:val="none"/>
                <w:shd w:val="clear" w:color="auto" w:fill="auto"/>
                <w:lang w:val="en-US" w:eastAsia="zh-CN"/>
              </w:rPr>
              <w:t>4</w:t>
            </w:r>
          </w:p>
        </w:tc>
      </w:tr>
      <w:tr w14:paraId="5FC44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581" w:type="dxa"/>
            <w:shd w:val="clear" w:color="auto" w:fill="auto"/>
            <w:noWrap w:val="0"/>
            <w:tcMar>
              <w:top w:w="0" w:type="dxa"/>
              <w:left w:w="108" w:type="dxa"/>
              <w:bottom w:w="0" w:type="dxa"/>
              <w:right w:w="108" w:type="dxa"/>
            </w:tcMar>
            <w:vAlign w:val="center"/>
          </w:tcPr>
          <w:p w14:paraId="73FB3D19">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rPr>
              <w:t>4</w:t>
            </w:r>
          </w:p>
        </w:tc>
        <w:tc>
          <w:tcPr>
            <w:tcW w:w="1355" w:type="dxa"/>
            <w:shd w:val="clear" w:color="auto" w:fill="auto"/>
            <w:noWrap w:val="0"/>
            <w:tcMar>
              <w:top w:w="0" w:type="dxa"/>
              <w:left w:w="108" w:type="dxa"/>
              <w:bottom w:w="0" w:type="dxa"/>
              <w:right w:w="108" w:type="dxa"/>
            </w:tcMar>
            <w:vAlign w:val="center"/>
          </w:tcPr>
          <w:p w14:paraId="292AA33F">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cs="宋体"/>
                <w:color w:val="auto"/>
                <w:sz w:val="24"/>
                <w:szCs w:val="24"/>
                <w:highlight w:val="none"/>
                <w:shd w:val="clear" w:color="auto" w:fill="auto"/>
                <w:lang w:val="en-US" w:eastAsia="zh-CN"/>
              </w:rPr>
              <w:t>安全文明施工的保证措施</w:t>
            </w:r>
          </w:p>
        </w:tc>
        <w:tc>
          <w:tcPr>
            <w:tcW w:w="6098" w:type="dxa"/>
            <w:shd w:val="clear" w:color="auto" w:fill="auto"/>
            <w:noWrap w:val="0"/>
            <w:tcMar>
              <w:top w:w="0" w:type="dxa"/>
              <w:left w:w="108" w:type="dxa"/>
              <w:bottom w:w="0" w:type="dxa"/>
              <w:right w:w="108" w:type="dxa"/>
            </w:tcMar>
            <w:vAlign w:val="top"/>
          </w:tcPr>
          <w:p w14:paraId="3FECB187">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cs="宋体"/>
                <w:color w:val="auto"/>
                <w:kern w:val="0"/>
                <w:sz w:val="24"/>
                <w:szCs w:val="24"/>
                <w:highlight w:val="none"/>
                <w:shd w:val="clear" w:color="auto" w:fill="auto"/>
                <w:lang w:val="en-US" w:eastAsia="zh-CN" w:bidi="ar-SA"/>
              </w:rPr>
              <w:t>安全文明施工的保证措施</w:t>
            </w:r>
            <w:r>
              <w:rPr>
                <w:rFonts w:hint="eastAsia" w:ascii="宋体" w:hAnsi="宋体" w:eastAsia="宋体" w:cs="宋体"/>
                <w:color w:val="auto"/>
                <w:kern w:val="0"/>
                <w:sz w:val="24"/>
                <w:szCs w:val="24"/>
                <w:highlight w:val="none"/>
                <w:shd w:val="clear" w:color="auto" w:fill="auto"/>
                <w:lang w:val="en-US" w:eastAsia="zh-CN" w:bidi="ar-SA"/>
              </w:rPr>
              <w:t>，包括但不限于组织保障措施、安全保障体系、安全管理制度、安全技术交底、培训等；方案完整，能完全满足项目实施要求，得</w:t>
            </w:r>
            <w:r>
              <w:rPr>
                <w:rFonts w:hint="eastAsia" w:ascii="宋体" w:hAnsi="宋体" w:cs="宋体"/>
                <w:color w:val="auto"/>
                <w:kern w:val="0"/>
                <w:sz w:val="24"/>
                <w:szCs w:val="24"/>
                <w:highlight w:val="none"/>
                <w:shd w:val="clear" w:color="auto" w:fill="auto"/>
                <w:lang w:val="en-US" w:eastAsia="zh-CN" w:bidi="ar-SA"/>
              </w:rPr>
              <w:t>4</w:t>
            </w:r>
            <w:r>
              <w:rPr>
                <w:rFonts w:hint="eastAsia" w:ascii="宋体" w:hAnsi="宋体" w:eastAsia="宋体" w:cs="宋体"/>
                <w:color w:val="auto"/>
                <w:kern w:val="0"/>
                <w:sz w:val="24"/>
                <w:szCs w:val="24"/>
                <w:highlight w:val="none"/>
                <w:shd w:val="clear" w:color="auto" w:fill="auto"/>
                <w:lang w:val="en-US" w:eastAsia="zh-CN" w:bidi="ar-SA"/>
              </w:rPr>
              <w:t>分；方案较具体，能基本满足项目实施要求，得</w:t>
            </w:r>
            <w:r>
              <w:rPr>
                <w:rFonts w:hint="eastAsia" w:ascii="宋体" w:hAnsi="宋体" w:cs="宋体"/>
                <w:color w:val="auto"/>
                <w:kern w:val="0"/>
                <w:sz w:val="24"/>
                <w:szCs w:val="24"/>
                <w:highlight w:val="none"/>
                <w:shd w:val="clear" w:color="auto" w:fill="auto"/>
                <w:lang w:val="en-US" w:eastAsia="zh-CN" w:bidi="ar-SA"/>
              </w:rPr>
              <w:t>3</w:t>
            </w:r>
            <w:r>
              <w:rPr>
                <w:rFonts w:hint="eastAsia" w:ascii="宋体" w:hAnsi="宋体" w:eastAsia="宋体" w:cs="宋体"/>
                <w:color w:val="auto"/>
                <w:kern w:val="0"/>
                <w:sz w:val="24"/>
                <w:szCs w:val="24"/>
                <w:highlight w:val="none"/>
                <w:shd w:val="clear" w:color="auto" w:fill="auto"/>
                <w:lang w:val="en-US" w:eastAsia="zh-CN" w:bidi="ar-SA"/>
              </w:rPr>
              <w:t>分；方案内容较简单，对项目实施要求响应一般，得</w:t>
            </w:r>
            <w:r>
              <w:rPr>
                <w:rFonts w:hint="eastAsia" w:ascii="宋体" w:hAnsi="宋体" w:cs="宋体"/>
                <w:color w:val="auto"/>
                <w:kern w:val="0"/>
                <w:sz w:val="24"/>
                <w:szCs w:val="24"/>
                <w:highlight w:val="none"/>
                <w:shd w:val="clear" w:color="auto" w:fill="auto"/>
                <w:lang w:val="en-US" w:eastAsia="zh-CN" w:bidi="ar-SA"/>
              </w:rPr>
              <w:t>2</w:t>
            </w:r>
            <w:r>
              <w:rPr>
                <w:rFonts w:hint="eastAsia" w:ascii="宋体" w:hAnsi="宋体" w:eastAsia="宋体" w:cs="宋体"/>
                <w:color w:val="auto"/>
                <w:kern w:val="0"/>
                <w:sz w:val="24"/>
                <w:szCs w:val="24"/>
                <w:highlight w:val="none"/>
                <w:shd w:val="clear" w:color="auto" w:fill="auto"/>
                <w:lang w:val="en-US" w:eastAsia="zh-CN" w:bidi="ar-SA"/>
              </w:rPr>
              <w:t>分；方案内容的针对</w:t>
            </w:r>
            <w:r>
              <w:rPr>
                <w:rFonts w:hint="eastAsia" w:ascii="宋体" w:hAnsi="宋体" w:cs="宋体"/>
                <w:color w:val="auto"/>
                <w:kern w:val="0"/>
                <w:sz w:val="24"/>
                <w:szCs w:val="24"/>
                <w:highlight w:val="none"/>
                <w:shd w:val="clear" w:color="auto" w:fill="auto"/>
                <w:lang w:val="en-US" w:eastAsia="zh-CN" w:bidi="ar-SA"/>
              </w:rPr>
              <w:t>性</w:t>
            </w:r>
            <w:r>
              <w:rPr>
                <w:rFonts w:hint="eastAsia" w:ascii="宋体" w:hAnsi="宋体" w:eastAsia="宋体" w:cs="宋体"/>
                <w:color w:val="auto"/>
                <w:kern w:val="0"/>
                <w:sz w:val="24"/>
                <w:szCs w:val="24"/>
                <w:highlight w:val="none"/>
                <w:shd w:val="clear" w:color="auto" w:fill="auto"/>
                <w:lang w:val="en-US" w:eastAsia="zh-CN" w:bidi="ar-SA"/>
              </w:rPr>
              <w:t>欠缺，得</w:t>
            </w:r>
            <w:r>
              <w:rPr>
                <w:rFonts w:hint="eastAsia" w:ascii="宋体" w:hAnsi="宋体" w:cs="宋体"/>
                <w:color w:val="auto"/>
                <w:kern w:val="0"/>
                <w:sz w:val="24"/>
                <w:szCs w:val="24"/>
                <w:highlight w:val="none"/>
                <w:shd w:val="clear" w:color="auto" w:fill="auto"/>
                <w:lang w:val="en-US" w:eastAsia="zh-CN" w:bidi="ar-SA"/>
              </w:rPr>
              <w:t>1</w:t>
            </w:r>
            <w:r>
              <w:rPr>
                <w:rFonts w:hint="eastAsia" w:ascii="宋体" w:hAnsi="宋体" w:eastAsia="宋体" w:cs="宋体"/>
                <w:color w:val="auto"/>
                <w:kern w:val="0"/>
                <w:sz w:val="24"/>
                <w:szCs w:val="24"/>
                <w:highlight w:val="none"/>
                <w:shd w:val="clear" w:color="auto" w:fill="auto"/>
                <w:lang w:val="en-US" w:eastAsia="zh-CN" w:bidi="ar-SA"/>
              </w:rPr>
              <w:t>分；未提供本项不得分。</w:t>
            </w:r>
          </w:p>
        </w:tc>
        <w:tc>
          <w:tcPr>
            <w:tcW w:w="488" w:type="dxa"/>
            <w:shd w:val="clear" w:color="auto" w:fill="auto"/>
            <w:noWrap w:val="0"/>
            <w:tcMar>
              <w:top w:w="0" w:type="dxa"/>
              <w:left w:w="108" w:type="dxa"/>
              <w:bottom w:w="0" w:type="dxa"/>
              <w:right w:w="108" w:type="dxa"/>
            </w:tcMar>
            <w:vAlign w:val="center"/>
          </w:tcPr>
          <w:p w14:paraId="4AF7D763">
            <w:pPr>
              <w:keepNext w:val="0"/>
              <w:keepLines w:val="0"/>
              <w:pageBreakBefore w:val="0"/>
              <w:widowControl w:val="0"/>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cs="宋体"/>
                <w:color w:val="auto"/>
                <w:sz w:val="24"/>
                <w:szCs w:val="24"/>
                <w:highlight w:val="none"/>
                <w:shd w:val="clear" w:color="auto" w:fill="auto"/>
                <w:lang w:val="en-US" w:eastAsia="zh-CN"/>
              </w:rPr>
              <w:t>4</w:t>
            </w:r>
          </w:p>
        </w:tc>
      </w:tr>
      <w:tr w14:paraId="41330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581" w:type="dxa"/>
            <w:shd w:val="clear" w:color="auto" w:fill="auto"/>
            <w:noWrap w:val="0"/>
            <w:tcMar>
              <w:top w:w="0" w:type="dxa"/>
              <w:left w:w="108" w:type="dxa"/>
              <w:bottom w:w="0" w:type="dxa"/>
              <w:right w:w="108" w:type="dxa"/>
            </w:tcMar>
            <w:vAlign w:val="center"/>
          </w:tcPr>
          <w:p w14:paraId="55B54C70">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eastAsia="宋体" w:cs="宋体"/>
                <w:color w:val="auto"/>
                <w:kern w:val="2"/>
                <w:sz w:val="24"/>
                <w:szCs w:val="24"/>
                <w:highlight w:val="none"/>
                <w:shd w:val="clear" w:color="auto" w:fill="auto"/>
                <w:lang w:val="en-US" w:eastAsia="zh-CN" w:bidi="ar-SA"/>
              </w:rPr>
            </w:pPr>
            <w:r>
              <w:rPr>
                <w:rFonts w:hint="eastAsia" w:ascii="宋体" w:hAnsi="宋体" w:cs="宋体"/>
                <w:color w:val="auto"/>
                <w:sz w:val="24"/>
                <w:szCs w:val="24"/>
                <w:highlight w:val="none"/>
                <w:shd w:val="clear" w:color="auto" w:fill="auto"/>
                <w:lang w:val="en-US" w:eastAsia="zh-CN"/>
              </w:rPr>
              <w:t>5</w:t>
            </w:r>
          </w:p>
        </w:tc>
        <w:tc>
          <w:tcPr>
            <w:tcW w:w="1355" w:type="dxa"/>
            <w:shd w:val="clear" w:color="auto" w:fill="auto"/>
            <w:noWrap w:val="0"/>
            <w:tcMar>
              <w:top w:w="0" w:type="dxa"/>
              <w:left w:w="108" w:type="dxa"/>
              <w:bottom w:w="0" w:type="dxa"/>
              <w:right w:w="108" w:type="dxa"/>
            </w:tcMar>
            <w:vAlign w:val="center"/>
          </w:tcPr>
          <w:p w14:paraId="09D25C00">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rPr>
              <w:t>关键施工技术、工艺及工程项目实施的重点、难点和解决方案</w:t>
            </w:r>
          </w:p>
        </w:tc>
        <w:tc>
          <w:tcPr>
            <w:tcW w:w="6098" w:type="dxa"/>
            <w:shd w:val="clear" w:color="auto" w:fill="auto"/>
            <w:noWrap w:val="0"/>
            <w:tcMar>
              <w:top w:w="0" w:type="dxa"/>
              <w:left w:w="108" w:type="dxa"/>
              <w:bottom w:w="0" w:type="dxa"/>
              <w:right w:w="108" w:type="dxa"/>
            </w:tcMar>
            <w:vAlign w:val="top"/>
          </w:tcPr>
          <w:p w14:paraId="278A35A0">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关键施工技术、工艺及工程项目实施的重点、难点和解决方案，包括但不限于关键部位工程质量保证措施和施工技术措施、关键施工技术、工艺及工程项目实施的重点、难点分析和解决方案等；方案完整，能完全满足项目实施要求，得</w:t>
            </w:r>
            <w:r>
              <w:rPr>
                <w:rFonts w:hint="eastAsia" w:ascii="宋体" w:hAnsi="宋体" w:cs="宋体"/>
                <w:color w:val="auto"/>
                <w:kern w:val="0"/>
                <w:sz w:val="24"/>
                <w:szCs w:val="24"/>
                <w:highlight w:val="none"/>
                <w:shd w:val="clear" w:color="auto" w:fill="auto"/>
                <w:lang w:val="en-US" w:eastAsia="zh-CN" w:bidi="ar-SA"/>
              </w:rPr>
              <w:t>4</w:t>
            </w:r>
            <w:r>
              <w:rPr>
                <w:rFonts w:hint="eastAsia" w:ascii="宋体" w:hAnsi="宋体" w:eastAsia="宋体" w:cs="宋体"/>
                <w:color w:val="auto"/>
                <w:kern w:val="0"/>
                <w:sz w:val="24"/>
                <w:szCs w:val="24"/>
                <w:highlight w:val="none"/>
                <w:shd w:val="clear" w:color="auto" w:fill="auto"/>
                <w:lang w:val="en-US" w:eastAsia="zh-CN" w:bidi="ar-SA"/>
              </w:rPr>
              <w:t>分；方案较具体，能基本满足项目实施要求，得</w:t>
            </w:r>
            <w:r>
              <w:rPr>
                <w:rFonts w:hint="eastAsia" w:ascii="宋体" w:hAnsi="宋体" w:cs="宋体"/>
                <w:color w:val="auto"/>
                <w:kern w:val="0"/>
                <w:sz w:val="24"/>
                <w:szCs w:val="24"/>
                <w:highlight w:val="none"/>
                <w:shd w:val="clear" w:color="auto" w:fill="auto"/>
                <w:lang w:val="en-US" w:eastAsia="zh-CN" w:bidi="ar-SA"/>
              </w:rPr>
              <w:t>3</w:t>
            </w:r>
            <w:r>
              <w:rPr>
                <w:rFonts w:hint="eastAsia" w:ascii="宋体" w:hAnsi="宋体" w:eastAsia="宋体" w:cs="宋体"/>
                <w:color w:val="auto"/>
                <w:kern w:val="0"/>
                <w:sz w:val="24"/>
                <w:szCs w:val="24"/>
                <w:highlight w:val="none"/>
                <w:shd w:val="clear" w:color="auto" w:fill="auto"/>
                <w:lang w:val="en-US" w:eastAsia="zh-CN" w:bidi="ar-SA"/>
              </w:rPr>
              <w:t>分；方案内容较简单，对项目实施要求响应一般，得</w:t>
            </w:r>
            <w:r>
              <w:rPr>
                <w:rFonts w:hint="eastAsia" w:ascii="宋体" w:hAnsi="宋体" w:cs="宋体"/>
                <w:color w:val="auto"/>
                <w:kern w:val="0"/>
                <w:sz w:val="24"/>
                <w:szCs w:val="24"/>
                <w:highlight w:val="none"/>
                <w:shd w:val="clear" w:color="auto" w:fill="auto"/>
                <w:lang w:val="en-US" w:eastAsia="zh-CN" w:bidi="ar-SA"/>
              </w:rPr>
              <w:t>2</w:t>
            </w:r>
            <w:r>
              <w:rPr>
                <w:rFonts w:hint="eastAsia" w:ascii="宋体" w:hAnsi="宋体" w:eastAsia="宋体" w:cs="宋体"/>
                <w:color w:val="auto"/>
                <w:kern w:val="0"/>
                <w:sz w:val="24"/>
                <w:szCs w:val="24"/>
                <w:highlight w:val="none"/>
                <w:shd w:val="clear" w:color="auto" w:fill="auto"/>
                <w:lang w:val="en-US" w:eastAsia="zh-CN" w:bidi="ar-SA"/>
              </w:rPr>
              <w:t>分；方案内容的针对</w:t>
            </w:r>
            <w:r>
              <w:rPr>
                <w:rFonts w:hint="eastAsia" w:ascii="宋体" w:hAnsi="宋体" w:cs="宋体"/>
                <w:color w:val="auto"/>
                <w:kern w:val="0"/>
                <w:sz w:val="24"/>
                <w:szCs w:val="24"/>
                <w:highlight w:val="none"/>
                <w:shd w:val="clear" w:color="auto" w:fill="auto"/>
                <w:lang w:val="en-US" w:eastAsia="zh-CN" w:bidi="ar-SA"/>
              </w:rPr>
              <w:t>性</w:t>
            </w:r>
            <w:r>
              <w:rPr>
                <w:rFonts w:hint="eastAsia" w:ascii="宋体" w:hAnsi="宋体" w:eastAsia="宋体" w:cs="宋体"/>
                <w:color w:val="auto"/>
                <w:kern w:val="0"/>
                <w:sz w:val="24"/>
                <w:szCs w:val="24"/>
                <w:highlight w:val="none"/>
                <w:shd w:val="clear" w:color="auto" w:fill="auto"/>
                <w:lang w:val="en-US" w:eastAsia="zh-CN" w:bidi="ar-SA"/>
              </w:rPr>
              <w:t>欠缺，得</w:t>
            </w:r>
            <w:r>
              <w:rPr>
                <w:rFonts w:hint="eastAsia" w:ascii="宋体" w:hAnsi="宋体" w:cs="宋体"/>
                <w:color w:val="auto"/>
                <w:kern w:val="0"/>
                <w:sz w:val="24"/>
                <w:szCs w:val="24"/>
                <w:highlight w:val="none"/>
                <w:shd w:val="clear" w:color="auto" w:fill="auto"/>
                <w:lang w:val="en-US" w:eastAsia="zh-CN" w:bidi="ar-SA"/>
              </w:rPr>
              <w:t>1</w:t>
            </w:r>
            <w:r>
              <w:rPr>
                <w:rFonts w:hint="eastAsia" w:ascii="宋体" w:hAnsi="宋体" w:eastAsia="宋体" w:cs="宋体"/>
                <w:color w:val="auto"/>
                <w:kern w:val="0"/>
                <w:sz w:val="24"/>
                <w:szCs w:val="24"/>
                <w:highlight w:val="none"/>
                <w:shd w:val="clear" w:color="auto" w:fill="auto"/>
                <w:lang w:val="en-US" w:eastAsia="zh-CN" w:bidi="ar-SA"/>
              </w:rPr>
              <w:t>分；未提供本项不得分。</w:t>
            </w:r>
          </w:p>
        </w:tc>
        <w:tc>
          <w:tcPr>
            <w:tcW w:w="488" w:type="dxa"/>
            <w:shd w:val="clear" w:color="auto" w:fill="auto"/>
            <w:noWrap w:val="0"/>
            <w:tcMar>
              <w:top w:w="0" w:type="dxa"/>
              <w:left w:w="108" w:type="dxa"/>
              <w:bottom w:w="0" w:type="dxa"/>
              <w:right w:w="108" w:type="dxa"/>
            </w:tcMar>
            <w:vAlign w:val="center"/>
          </w:tcPr>
          <w:p w14:paraId="20B4E29D">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cs="宋体"/>
                <w:color w:val="auto"/>
                <w:sz w:val="24"/>
                <w:szCs w:val="24"/>
                <w:highlight w:val="none"/>
                <w:shd w:val="clear" w:color="auto" w:fill="auto"/>
                <w:lang w:val="en-US" w:eastAsia="zh-CN"/>
              </w:rPr>
              <w:t>4</w:t>
            </w:r>
          </w:p>
        </w:tc>
      </w:tr>
      <w:tr w14:paraId="2C165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8522" w:type="dxa"/>
            <w:gridSpan w:val="4"/>
            <w:noWrap w:val="0"/>
            <w:tcMar>
              <w:top w:w="0" w:type="dxa"/>
              <w:left w:w="108" w:type="dxa"/>
              <w:bottom w:w="0" w:type="dxa"/>
              <w:right w:w="108" w:type="dxa"/>
            </w:tcMar>
            <w:vAlign w:val="center"/>
          </w:tcPr>
          <w:p w14:paraId="1CAF5E0B">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both"/>
              <w:textAlignment w:val="auto"/>
              <w:outlineLvl w:val="9"/>
              <w:rPr>
                <w:rFonts w:hint="eastAsia" w:ascii="宋体" w:hAnsi="宋体" w:eastAsia="宋体" w:cs="宋体"/>
                <w:b/>
                <w:color w:val="auto"/>
                <w:kern w:val="0"/>
                <w:sz w:val="24"/>
                <w:szCs w:val="24"/>
                <w:highlight w:val="none"/>
                <w:shd w:val="clear" w:color="auto" w:fill="auto"/>
                <w:lang w:eastAsia="zh-CN"/>
              </w:rPr>
            </w:pPr>
            <w:r>
              <w:rPr>
                <w:rFonts w:hint="eastAsia" w:ascii="宋体" w:hAnsi="宋体" w:eastAsia="宋体" w:cs="宋体"/>
                <w:b/>
                <w:color w:val="auto"/>
                <w:kern w:val="0"/>
                <w:sz w:val="24"/>
                <w:szCs w:val="24"/>
                <w:highlight w:val="none"/>
                <w:shd w:val="clear" w:color="auto" w:fill="auto"/>
                <w:lang w:val="en-US" w:eastAsia="zh-CN"/>
              </w:rPr>
              <w:t>三、客观分</w:t>
            </w:r>
            <w:r>
              <w:rPr>
                <w:rFonts w:hint="eastAsia" w:ascii="宋体" w:hAnsi="宋体" w:eastAsia="宋体" w:cs="宋体"/>
                <w:b/>
                <w:color w:val="auto"/>
                <w:kern w:val="0"/>
                <w:sz w:val="24"/>
                <w:szCs w:val="24"/>
                <w:highlight w:val="none"/>
                <w:shd w:val="clear" w:color="auto" w:fill="auto"/>
                <w:lang w:eastAsia="zh-CN"/>
              </w:rPr>
              <w:t>（</w:t>
            </w:r>
            <w:r>
              <w:rPr>
                <w:rFonts w:hint="eastAsia" w:ascii="宋体" w:hAnsi="宋体" w:cs="宋体"/>
                <w:b/>
                <w:color w:val="auto"/>
                <w:kern w:val="0"/>
                <w:sz w:val="24"/>
                <w:szCs w:val="24"/>
                <w:highlight w:val="none"/>
                <w:shd w:val="clear" w:color="auto" w:fill="auto"/>
                <w:lang w:val="en-US" w:eastAsia="zh-CN"/>
              </w:rPr>
              <w:t>20</w:t>
            </w:r>
            <w:r>
              <w:rPr>
                <w:rFonts w:hint="eastAsia" w:ascii="宋体" w:hAnsi="宋体" w:eastAsia="宋体" w:cs="宋体"/>
                <w:b/>
                <w:color w:val="auto"/>
                <w:kern w:val="0"/>
                <w:sz w:val="24"/>
                <w:szCs w:val="24"/>
                <w:highlight w:val="none"/>
                <w:shd w:val="clear" w:color="auto" w:fill="auto"/>
                <w:lang w:val="en-US" w:eastAsia="zh-CN"/>
              </w:rPr>
              <w:t>分</w:t>
            </w:r>
            <w:r>
              <w:rPr>
                <w:rFonts w:hint="eastAsia" w:ascii="宋体" w:hAnsi="宋体" w:eastAsia="宋体" w:cs="宋体"/>
                <w:b/>
                <w:color w:val="auto"/>
                <w:kern w:val="0"/>
                <w:sz w:val="24"/>
                <w:szCs w:val="24"/>
                <w:highlight w:val="none"/>
                <w:shd w:val="clear" w:color="auto" w:fill="auto"/>
                <w:lang w:eastAsia="zh-CN"/>
              </w:rPr>
              <w:t>）</w:t>
            </w:r>
          </w:p>
        </w:tc>
      </w:tr>
      <w:tr w14:paraId="72B56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3" w:hRule="atLeast"/>
        </w:trPr>
        <w:tc>
          <w:tcPr>
            <w:tcW w:w="581" w:type="dxa"/>
            <w:noWrap w:val="0"/>
            <w:tcMar>
              <w:top w:w="0" w:type="dxa"/>
              <w:left w:w="108" w:type="dxa"/>
              <w:bottom w:w="0" w:type="dxa"/>
              <w:right w:w="108" w:type="dxa"/>
            </w:tcMar>
            <w:vAlign w:val="center"/>
          </w:tcPr>
          <w:p w14:paraId="52D44F75">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w:t>
            </w:r>
          </w:p>
        </w:tc>
        <w:tc>
          <w:tcPr>
            <w:tcW w:w="1355" w:type="dxa"/>
            <w:shd w:val="clear" w:color="auto" w:fill="auto"/>
            <w:noWrap w:val="0"/>
            <w:tcMar>
              <w:top w:w="0" w:type="dxa"/>
              <w:left w:w="108" w:type="dxa"/>
              <w:bottom w:w="0" w:type="dxa"/>
              <w:right w:w="108" w:type="dxa"/>
            </w:tcMar>
            <w:vAlign w:val="center"/>
          </w:tcPr>
          <w:p w14:paraId="06185778">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业绩</w:t>
            </w:r>
          </w:p>
        </w:tc>
        <w:tc>
          <w:tcPr>
            <w:tcW w:w="6098" w:type="dxa"/>
            <w:shd w:val="clear" w:color="auto" w:fill="auto"/>
            <w:noWrap w:val="0"/>
            <w:tcMar>
              <w:top w:w="0" w:type="dxa"/>
              <w:left w:w="108" w:type="dxa"/>
              <w:bottom w:w="0" w:type="dxa"/>
              <w:right w:w="108" w:type="dxa"/>
            </w:tcMar>
            <w:vAlign w:val="center"/>
          </w:tcPr>
          <w:p w14:paraId="283C0981">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both"/>
              <w:textAlignment w:val="auto"/>
              <w:outlineLvl w:val="9"/>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供应商自202</w:t>
            </w:r>
            <w:r>
              <w:rPr>
                <w:rFonts w:hint="eastAsia" w:ascii="宋体" w:hAnsi="宋体" w:cs="宋体"/>
                <w:b w:val="0"/>
                <w:bCs w:val="0"/>
                <w:color w:val="auto"/>
                <w:kern w:val="0"/>
                <w:sz w:val="24"/>
                <w:szCs w:val="24"/>
                <w:highlight w:val="none"/>
                <w:lang w:val="en-US" w:eastAsia="zh-CN"/>
              </w:rPr>
              <w:t>3</w:t>
            </w:r>
            <w:r>
              <w:rPr>
                <w:rFonts w:hint="eastAsia" w:ascii="宋体" w:hAnsi="宋体" w:eastAsia="宋体" w:cs="宋体"/>
                <w:b w:val="0"/>
                <w:bCs w:val="0"/>
                <w:color w:val="auto"/>
                <w:kern w:val="0"/>
                <w:sz w:val="24"/>
                <w:szCs w:val="24"/>
                <w:highlight w:val="none"/>
                <w:lang w:val="en-US" w:eastAsia="zh-CN"/>
              </w:rPr>
              <w:t>年1月1日以来（以合同签订日期为准）承担的类似工程业绩，有一个得</w:t>
            </w:r>
            <w:r>
              <w:rPr>
                <w:rFonts w:hint="eastAsia" w:ascii="宋体" w:hAnsi="宋体" w:cs="宋体"/>
                <w:b w:val="0"/>
                <w:bCs w:val="0"/>
                <w:color w:val="auto"/>
                <w:kern w:val="0"/>
                <w:sz w:val="24"/>
                <w:szCs w:val="24"/>
                <w:highlight w:val="none"/>
                <w:lang w:val="en-US" w:eastAsia="zh-CN"/>
              </w:rPr>
              <w:t>4</w:t>
            </w:r>
            <w:r>
              <w:rPr>
                <w:rFonts w:hint="eastAsia" w:ascii="宋体" w:hAnsi="宋体" w:eastAsia="宋体" w:cs="宋体"/>
                <w:b w:val="0"/>
                <w:bCs w:val="0"/>
                <w:color w:val="auto"/>
                <w:kern w:val="0"/>
                <w:sz w:val="24"/>
                <w:szCs w:val="24"/>
                <w:highlight w:val="none"/>
                <w:lang w:val="en-US" w:eastAsia="zh-CN"/>
              </w:rPr>
              <w:t>分，最高得</w:t>
            </w:r>
            <w:r>
              <w:rPr>
                <w:rFonts w:hint="eastAsia" w:ascii="宋体" w:hAnsi="宋体" w:cs="宋体"/>
                <w:b w:val="0"/>
                <w:bCs w:val="0"/>
                <w:color w:val="auto"/>
                <w:kern w:val="0"/>
                <w:sz w:val="24"/>
                <w:szCs w:val="24"/>
                <w:highlight w:val="none"/>
                <w:lang w:val="en-US" w:eastAsia="zh-CN"/>
              </w:rPr>
              <w:t>12</w:t>
            </w:r>
            <w:r>
              <w:rPr>
                <w:rFonts w:hint="eastAsia" w:ascii="宋体" w:hAnsi="宋体" w:eastAsia="宋体" w:cs="宋体"/>
                <w:b w:val="0"/>
                <w:bCs w:val="0"/>
                <w:color w:val="auto"/>
                <w:kern w:val="0"/>
                <w:sz w:val="24"/>
                <w:szCs w:val="24"/>
                <w:highlight w:val="none"/>
                <w:lang w:val="en-US" w:eastAsia="zh-CN"/>
              </w:rPr>
              <w:t>分。</w:t>
            </w:r>
          </w:p>
          <w:p w14:paraId="1649788E">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both"/>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rPr>
              <w:t>注：</w:t>
            </w:r>
            <w:r>
              <w:rPr>
                <w:rFonts w:hint="eastAsia" w:ascii="宋体" w:hAnsi="宋体" w:eastAsia="宋体" w:cs="宋体"/>
                <w:b/>
                <w:bCs/>
                <w:color w:val="auto"/>
                <w:kern w:val="0"/>
                <w:sz w:val="24"/>
                <w:szCs w:val="24"/>
                <w:highlight w:val="none"/>
                <w:lang w:val="en-US" w:eastAsia="zh-CN" w:bidi="ar-SA"/>
              </w:rPr>
              <w:t>磋商响应文件</w:t>
            </w:r>
            <w:r>
              <w:rPr>
                <w:rFonts w:hint="eastAsia" w:ascii="宋体" w:hAnsi="宋体" w:eastAsia="宋体" w:cs="宋体"/>
                <w:b/>
                <w:bCs/>
                <w:color w:val="auto"/>
                <w:kern w:val="0"/>
                <w:sz w:val="24"/>
                <w:szCs w:val="24"/>
                <w:highlight w:val="none"/>
                <w:lang w:val="en-US" w:eastAsia="zh-CN"/>
              </w:rPr>
              <w:t>中提供中标通知书</w:t>
            </w:r>
            <w:r>
              <w:rPr>
                <w:rFonts w:hint="eastAsia" w:ascii="宋体" w:hAnsi="宋体" w:cs="宋体"/>
                <w:b/>
                <w:bCs/>
                <w:color w:val="auto"/>
                <w:kern w:val="0"/>
                <w:sz w:val="24"/>
                <w:szCs w:val="24"/>
                <w:highlight w:val="none"/>
                <w:lang w:val="en-US" w:eastAsia="zh-CN"/>
              </w:rPr>
              <w:t>和</w:t>
            </w:r>
            <w:r>
              <w:rPr>
                <w:rFonts w:hint="eastAsia" w:ascii="宋体" w:hAnsi="宋体" w:eastAsia="宋体" w:cs="宋体"/>
                <w:b/>
                <w:bCs/>
                <w:color w:val="auto"/>
                <w:kern w:val="0"/>
                <w:sz w:val="24"/>
                <w:szCs w:val="24"/>
                <w:highlight w:val="none"/>
                <w:lang w:val="en-US" w:eastAsia="zh-CN"/>
              </w:rPr>
              <w:t>合同并加盖供应商公章，否则不得分。</w:t>
            </w:r>
          </w:p>
        </w:tc>
        <w:tc>
          <w:tcPr>
            <w:tcW w:w="488" w:type="dxa"/>
            <w:shd w:val="clear" w:color="auto" w:fill="auto"/>
            <w:noWrap w:val="0"/>
            <w:tcMar>
              <w:top w:w="0" w:type="dxa"/>
              <w:left w:w="108" w:type="dxa"/>
              <w:bottom w:w="0" w:type="dxa"/>
              <w:right w:w="108" w:type="dxa"/>
            </w:tcMar>
            <w:vAlign w:val="center"/>
          </w:tcPr>
          <w:p w14:paraId="11FEE577">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eastAsia="宋体" w:cs="宋体"/>
                <w:color w:val="auto"/>
                <w:kern w:val="2"/>
                <w:sz w:val="24"/>
                <w:szCs w:val="24"/>
                <w:highlight w:val="none"/>
                <w:shd w:val="clear" w:color="auto" w:fill="auto"/>
                <w:lang w:val="en-US" w:eastAsia="zh-CN" w:bidi="ar-SA"/>
              </w:rPr>
            </w:pPr>
            <w:r>
              <w:rPr>
                <w:rFonts w:hint="eastAsia" w:ascii="宋体" w:hAnsi="宋体" w:cs="宋体"/>
                <w:color w:val="auto"/>
                <w:sz w:val="24"/>
                <w:szCs w:val="24"/>
                <w:highlight w:val="none"/>
                <w:shd w:val="clear" w:color="auto" w:fill="auto"/>
                <w:lang w:val="en-US" w:eastAsia="zh-CN"/>
              </w:rPr>
              <w:t>12</w:t>
            </w:r>
          </w:p>
        </w:tc>
      </w:tr>
      <w:tr w14:paraId="688C3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3" w:hRule="atLeast"/>
        </w:trPr>
        <w:tc>
          <w:tcPr>
            <w:tcW w:w="581" w:type="dxa"/>
            <w:noWrap w:val="0"/>
            <w:tcMar>
              <w:top w:w="0" w:type="dxa"/>
              <w:left w:w="108" w:type="dxa"/>
              <w:bottom w:w="0" w:type="dxa"/>
              <w:right w:w="108" w:type="dxa"/>
            </w:tcMar>
            <w:vAlign w:val="center"/>
          </w:tcPr>
          <w:p w14:paraId="7ADBF029">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2</w:t>
            </w:r>
          </w:p>
        </w:tc>
        <w:tc>
          <w:tcPr>
            <w:tcW w:w="1355" w:type="dxa"/>
            <w:shd w:val="clear" w:color="auto" w:fill="auto"/>
            <w:noWrap w:val="0"/>
            <w:tcMar>
              <w:top w:w="0" w:type="dxa"/>
              <w:left w:w="108" w:type="dxa"/>
              <w:bottom w:w="0" w:type="dxa"/>
              <w:right w:w="108" w:type="dxa"/>
            </w:tcMar>
            <w:vAlign w:val="center"/>
          </w:tcPr>
          <w:p w14:paraId="3A5AE755">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cs="宋体"/>
                <w:color w:val="auto"/>
                <w:sz w:val="24"/>
                <w:szCs w:val="24"/>
                <w:highlight w:val="none"/>
                <w:shd w:val="clear" w:color="auto" w:fill="auto"/>
                <w:lang w:val="en-US" w:eastAsia="zh-CN"/>
              </w:rPr>
              <w:t>项目人员</w:t>
            </w:r>
          </w:p>
        </w:tc>
        <w:tc>
          <w:tcPr>
            <w:tcW w:w="6098" w:type="dxa"/>
            <w:shd w:val="clear" w:color="auto" w:fill="auto"/>
            <w:noWrap w:val="0"/>
            <w:tcMar>
              <w:top w:w="0" w:type="dxa"/>
              <w:left w:w="108" w:type="dxa"/>
              <w:bottom w:w="0" w:type="dxa"/>
              <w:right w:w="108" w:type="dxa"/>
            </w:tcMar>
            <w:vAlign w:val="center"/>
          </w:tcPr>
          <w:p w14:paraId="5D9E46A5">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cs="宋体"/>
                <w:color w:val="auto"/>
                <w:kern w:val="0"/>
                <w:sz w:val="24"/>
                <w:szCs w:val="24"/>
                <w:highlight w:val="none"/>
                <w:shd w:val="clear" w:color="auto" w:fill="auto"/>
                <w:lang w:val="en-US" w:eastAsia="zh-CN" w:bidi="ar-SA"/>
              </w:rPr>
              <w:t>1.</w:t>
            </w:r>
            <w:r>
              <w:rPr>
                <w:rFonts w:hint="eastAsia" w:ascii="宋体" w:hAnsi="宋体" w:eastAsia="宋体" w:cs="宋体"/>
                <w:color w:val="auto"/>
                <w:kern w:val="0"/>
                <w:sz w:val="24"/>
                <w:szCs w:val="24"/>
                <w:highlight w:val="none"/>
                <w:shd w:val="clear" w:color="auto" w:fill="auto"/>
                <w:lang w:val="en-US" w:eastAsia="zh-CN" w:bidi="ar-SA"/>
              </w:rPr>
              <w:t>拟投入本项目的</w:t>
            </w:r>
            <w:r>
              <w:rPr>
                <w:rFonts w:hint="eastAsia" w:ascii="宋体" w:hAnsi="宋体" w:eastAsia="宋体" w:cs="宋体"/>
                <w:b/>
                <w:bCs/>
                <w:color w:val="auto"/>
                <w:kern w:val="0"/>
                <w:sz w:val="24"/>
                <w:szCs w:val="24"/>
                <w:highlight w:val="none"/>
                <w:shd w:val="clear" w:color="auto" w:fill="auto"/>
                <w:lang w:val="en-US" w:eastAsia="zh-CN" w:bidi="ar-SA"/>
              </w:rPr>
              <w:t>项目负责人</w:t>
            </w:r>
            <w:r>
              <w:rPr>
                <w:rFonts w:hint="eastAsia" w:ascii="宋体" w:hAnsi="宋体" w:eastAsia="宋体" w:cs="宋体"/>
                <w:color w:val="auto"/>
                <w:kern w:val="0"/>
                <w:sz w:val="24"/>
                <w:szCs w:val="24"/>
                <w:highlight w:val="none"/>
                <w:shd w:val="clear" w:color="auto" w:fill="auto"/>
                <w:lang w:val="en-US" w:eastAsia="zh-CN" w:bidi="ar-SA"/>
              </w:rPr>
              <w:t>具有中级职称</w:t>
            </w:r>
            <w:r>
              <w:rPr>
                <w:rFonts w:hint="eastAsia" w:ascii="宋体" w:hAnsi="宋体" w:cs="宋体"/>
                <w:color w:val="auto"/>
                <w:kern w:val="0"/>
                <w:sz w:val="24"/>
                <w:szCs w:val="24"/>
                <w:highlight w:val="none"/>
                <w:shd w:val="clear" w:color="auto" w:fill="auto"/>
                <w:lang w:val="en-US" w:eastAsia="zh-CN" w:bidi="ar-SA"/>
              </w:rPr>
              <w:t>证书</w:t>
            </w:r>
            <w:r>
              <w:rPr>
                <w:rFonts w:hint="eastAsia" w:ascii="宋体" w:hAnsi="宋体" w:eastAsia="宋体" w:cs="宋体"/>
                <w:color w:val="auto"/>
                <w:kern w:val="0"/>
                <w:sz w:val="24"/>
                <w:szCs w:val="24"/>
                <w:highlight w:val="none"/>
                <w:shd w:val="clear" w:color="auto" w:fill="auto"/>
                <w:lang w:val="en-US" w:eastAsia="zh-CN" w:bidi="ar-SA"/>
              </w:rPr>
              <w:t>的</w:t>
            </w:r>
            <w:r>
              <w:rPr>
                <w:rFonts w:hint="eastAsia" w:ascii="宋体" w:hAnsi="宋体" w:cs="宋体"/>
                <w:color w:val="auto"/>
                <w:kern w:val="0"/>
                <w:sz w:val="24"/>
                <w:szCs w:val="24"/>
                <w:highlight w:val="none"/>
                <w:shd w:val="clear" w:color="auto" w:fill="auto"/>
                <w:lang w:val="en-US" w:eastAsia="zh-CN" w:bidi="ar-SA"/>
              </w:rPr>
              <w:t>，</w:t>
            </w:r>
            <w:r>
              <w:rPr>
                <w:rFonts w:hint="eastAsia" w:ascii="宋体" w:hAnsi="宋体" w:eastAsia="宋体" w:cs="宋体"/>
                <w:color w:val="auto"/>
                <w:kern w:val="0"/>
                <w:sz w:val="24"/>
                <w:szCs w:val="24"/>
                <w:highlight w:val="none"/>
                <w:shd w:val="clear" w:color="auto" w:fill="auto"/>
                <w:lang w:val="en-US" w:eastAsia="zh-CN" w:bidi="ar-SA"/>
              </w:rPr>
              <w:t>得2分</w:t>
            </w:r>
            <w:r>
              <w:rPr>
                <w:rFonts w:hint="eastAsia" w:ascii="宋体" w:hAnsi="宋体" w:cs="宋体"/>
                <w:color w:val="auto"/>
                <w:kern w:val="0"/>
                <w:sz w:val="24"/>
                <w:szCs w:val="24"/>
                <w:highlight w:val="none"/>
                <w:shd w:val="clear" w:color="auto" w:fill="auto"/>
                <w:lang w:val="en-US" w:eastAsia="zh-CN" w:bidi="ar-SA"/>
              </w:rPr>
              <w:t>；</w:t>
            </w:r>
            <w:r>
              <w:rPr>
                <w:rFonts w:hint="eastAsia" w:ascii="宋体" w:hAnsi="宋体" w:eastAsia="宋体" w:cs="宋体"/>
                <w:color w:val="auto"/>
                <w:kern w:val="0"/>
                <w:sz w:val="24"/>
                <w:szCs w:val="24"/>
                <w:highlight w:val="none"/>
                <w:shd w:val="clear" w:color="auto" w:fill="auto"/>
                <w:lang w:val="en-US" w:eastAsia="zh-CN" w:bidi="ar-SA"/>
              </w:rPr>
              <w:t>具有</w:t>
            </w:r>
            <w:r>
              <w:rPr>
                <w:rFonts w:hint="eastAsia" w:ascii="宋体" w:hAnsi="宋体" w:cs="宋体"/>
                <w:color w:val="auto"/>
                <w:kern w:val="0"/>
                <w:sz w:val="24"/>
                <w:szCs w:val="24"/>
                <w:highlight w:val="none"/>
                <w:shd w:val="clear" w:color="auto" w:fill="auto"/>
                <w:lang w:val="en-US" w:eastAsia="zh-CN" w:bidi="ar-SA"/>
              </w:rPr>
              <w:t>高</w:t>
            </w:r>
            <w:r>
              <w:rPr>
                <w:rFonts w:hint="eastAsia" w:ascii="宋体" w:hAnsi="宋体" w:eastAsia="宋体" w:cs="宋体"/>
                <w:color w:val="auto"/>
                <w:kern w:val="0"/>
                <w:sz w:val="24"/>
                <w:szCs w:val="24"/>
                <w:highlight w:val="none"/>
                <w:shd w:val="clear" w:color="auto" w:fill="auto"/>
                <w:lang w:val="en-US" w:eastAsia="zh-CN" w:bidi="ar-SA"/>
              </w:rPr>
              <w:t>级</w:t>
            </w:r>
            <w:r>
              <w:rPr>
                <w:rFonts w:hint="eastAsia" w:ascii="宋体" w:hAnsi="宋体" w:cs="宋体"/>
                <w:color w:val="auto"/>
                <w:kern w:val="0"/>
                <w:sz w:val="24"/>
                <w:szCs w:val="24"/>
                <w:highlight w:val="none"/>
                <w:shd w:val="clear" w:color="auto" w:fill="auto"/>
                <w:lang w:val="en-US" w:eastAsia="zh-CN" w:bidi="ar-SA"/>
              </w:rPr>
              <w:t>及以上</w:t>
            </w:r>
            <w:r>
              <w:rPr>
                <w:rFonts w:hint="eastAsia" w:ascii="宋体" w:hAnsi="宋体" w:eastAsia="宋体" w:cs="宋体"/>
                <w:color w:val="auto"/>
                <w:kern w:val="0"/>
                <w:sz w:val="24"/>
                <w:szCs w:val="24"/>
                <w:highlight w:val="none"/>
                <w:shd w:val="clear" w:color="auto" w:fill="auto"/>
                <w:lang w:val="en-US" w:eastAsia="zh-CN" w:bidi="ar-SA"/>
              </w:rPr>
              <w:t>职称</w:t>
            </w:r>
            <w:r>
              <w:rPr>
                <w:rFonts w:hint="eastAsia" w:ascii="宋体" w:hAnsi="宋体" w:cs="宋体"/>
                <w:color w:val="auto"/>
                <w:kern w:val="0"/>
                <w:sz w:val="24"/>
                <w:szCs w:val="24"/>
                <w:highlight w:val="none"/>
                <w:shd w:val="clear" w:color="auto" w:fill="auto"/>
                <w:lang w:val="en-US" w:eastAsia="zh-CN" w:bidi="ar-SA"/>
              </w:rPr>
              <w:t>证书</w:t>
            </w:r>
            <w:r>
              <w:rPr>
                <w:rFonts w:hint="eastAsia" w:ascii="宋体" w:hAnsi="宋体" w:eastAsia="宋体" w:cs="宋体"/>
                <w:color w:val="auto"/>
                <w:kern w:val="0"/>
                <w:sz w:val="24"/>
                <w:szCs w:val="24"/>
                <w:highlight w:val="none"/>
                <w:shd w:val="clear" w:color="auto" w:fill="auto"/>
                <w:lang w:val="en-US" w:eastAsia="zh-CN" w:bidi="ar-SA"/>
              </w:rPr>
              <w:t>的</w:t>
            </w:r>
            <w:r>
              <w:rPr>
                <w:rFonts w:hint="eastAsia" w:ascii="宋体" w:hAnsi="宋体" w:cs="宋体"/>
                <w:color w:val="auto"/>
                <w:kern w:val="0"/>
                <w:sz w:val="24"/>
                <w:szCs w:val="24"/>
                <w:highlight w:val="none"/>
                <w:shd w:val="clear" w:color="auto" w:fill="auto"/>
                <w:lang w:val="en-US" w:eastAsia="zh-CN" w:bidi="ar-SA"/>
              </w:rPr>
              <w:t>，</w:t>
            </w:r>
            <w:r>
              <w:rPr>
                <w:rFonts w:hint="eastAsia" w:ascii="宋体" w:hAnsi="宋体" w:eastAsia="宋体" w:cs="宋体"/>
                <w:color w:val="auto"/>
                <w:kern w:val="0"/>
                <w:sz w:val="24"/>
                <w:szCs w:val="24"/>
                <w:highlight w:val="none"/>
                <w:shd w:val="clear" w:color="auto" w:fill="auto"/>
                <w:lang w:val="en-US" w:eastAsia="zh-CN" w:bidi="ar-SA"/>
              </w:rPr>
              <w:t>得</w:t>
            </w:r>
            <w:r>
              <w:rPr>
                <w:rFonts w:hint="eastAsia" w:ascii="宋体" w:hAnsi="宋体" w:cs="宋体"/>
                <w:color w:val="auto"/>
                <w:kern w:val="0"/>
                <w:sz w:val="24"/>
                <w:szCs w:val="24"/>
                <w:highlight w:val="none"/>
                <w:shd w:val="clear" w:color="auto" w:fill="auto"/>
                <w:lang w:val="en-US" w:eastAsia="zh-CN" w:bidi="ar-SA"/>
              </w:rPr>
              <w:t>3</w:t>
            </w:r>
            <w:r>
              <w:rPr>
                <w:rFonts w:hint="eastAsia" w:ascii="宋体" w:hAnsi="宋体" w:eastAsia="宋体" w:cs="宋体"/>
                <w:color w:val="auto"/>
                <w:kern w:val="0"/>
                <w:sz w:val="24"/>
                <w:szCs w:val="24"/>
                <w:highlight w:val="none"/>
                <w:shd w:val="clear" w:color="auto" w:fill="auto"/>
                <w:lang w:val="en-US" w:eastAsia="zh-CN" w:bidi="ar-SA"/>
              </w:rPr>
              <w:t>分</w:t>
            </w:r>
            <w:r>
              <w:rPr>
                <w:rFonts w:hint="eastAsia" w:ascii="宋体" w:hAnsi="宋体" w:cs="宋体"/>
                <w:color w:val="auto"/>
                <w:kern w:val="0"/>
                <w:sz w:val="24"/>
                <w:szCs w:val="24"/>
                <w:highlight w:val="none"/>
                <w:shd w:val="clear" w:color="auto" w:fill="auto"/>
                <w:lang w:val="en-US" w:eastAsia="zh-CN" w:bidi="ar-SA"/>
              </w:rPr>
              <w:t>，最高得3分</w:t>
            </w:r>
            <w:r>
              <w:rPr>
                <w:rFonts w:hint="eastAsia" w:ascii="宋体" w:hAnsi="宋体" w:eastAsia="宋体" w:cs="宋体"/>
                <w:color w:val="auto"/>
                <w:kern w:val="0"/>
                <w:sz w:val="24"/>
                <w:szCs w:val="24"/>
                <w:highlight w:val="none"/>
                <w:shd w:val="clear" w:color="auto" w:fill="auto"/>
                <w:lang w:val="en-US" w:eastAsia="zh-CN" w:bidi="ar-SA"/>
              </w:rPr>
              <w:t>。</w:t>
            </w:r>
          </w:p>
          <w:p w14:paraId="43C8F1A3">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cs="宋体"/>
                <w:color w:val="auto"/>
                <w:kern w:val="0"/>
                <w:sz w:val="24"/>
                <w:szCs w:val="24"/>
                <w:highlight w:val="none"/>
                <w:shd w:val="clear" w:color="auto" w:fill="auto"/>
                <w:lang w:val="en-US" w:eastAsia="zh-CN" w:bidi="ar-SA"/>
              </w:rPr>
              <w:t>2</w:t>
            </w:r>
            <w:r>
              <w:rPr>
                <w:rFonts w:hint="eastAsia" w:ascii="宋体" w:hAnsi="宋体" w:eastAsia="宋体" w:cs="宋体"/>
                <w:color w:val="auto"/>
                <w:kern w:val="0"/>
                <w:sz w:val="24"/>
                <w:szCs w:val="24"/>
                <w:highlight w:val="none"/>
                <w:shd w:val="clear" w:color="auto" w:fill="auto"/>
                <w:lang w:val="en-US" w:eastAsia="zh-CN" w:bidi="ar-SA"/>
              </w:rPr>
              <w:t>.拟投入本项目的</w:t>
            </w:r>
            <w:r>
              <w:rPr>
                <w:rFonts w:hint="eastAsia" w:ascii="宋体" w:hAnsi="宋体" w:eastAsia="宋体" w:cs="宋体"/>
                <w:b/>
                <w:bCs/>
                <w:color w:val="auto"/>
                <w:kern w:val="0"/>
                <w:sz w:val="24"/>
                <w:szCs w:val="24"/>
                <w:highlight w:val="none"/>
                <w:shd w:val="clear" w:color="auto" w:fill="auto"/>
                <w:lang w:val="en-US" w:eastAsia="zh-CN" w:bidi="ar-SA"/>
              </w:rPr>
              <w:t>项目人员中（除项目负责人</w:t>
            </w:r>
            <w:r>
              <w:rPr>
                <w:rFonts w:hint="eastAsia" w:ascii="宋体" w:hAnsi="宋体" w:cs="宋体"/>
                <w:b/>
                <w:bCs/>
                <w:color w:val="auto"/>
                <w:kern w:val="0"/>
                <w:sz w:val="24"/>
                <w:szCs w:val="24"/>
                <w:highlight w:val="none"/>
                <w:shd w:val="clear" w:color="auto" w:fill="auto"/>
                <w:lang w:val="en-US" w:eastAsia="zh-CN" w:bidi="ar-SA"/>
              </w:rPr>
              <w:t>外</w:t>
            </w:r>
            <w:r>
              <w:rPr>
                <w:rFonts w:hint="eastAsia" w:ascii="宋体" w:hAnsi="宋体" w:eastAsia="宋体" w:cs="宋体"/>
                <w:b/>
                <w:bCs/>
                <w:color w:val="auto"/>
                <w:kern w:val="0"/>
                <w:sz w:val="24"/>
                <w:szCs w:val="24"/>
                <w:highlight w:val="none"/>
                <w:shd w:val="clear" w:color="auto" w:fill="auto"/>
                <w:lang w:val="en-US" w:eastAsia="zh-CN" w:bidi="ar-SA"/>
              </w:rPr>
              <w:t>）</w:t>
            </w:r>
            <w:r>
              <w:rPr>
                <w:rFonts w:hint="eastAsia" w:ascii="宋体" w:hAnsi="宋体" w:eastAsia="宋体" w:cs="宋体"/>
                <w:color w:val="auto"/>
                <w:kern w:val="0"/>
                <w:sz w:val="24"/>
                <w:szCs w:val="24"/>
                <w:highlight w:val="none"/>
                <w:shd w:val="clear" w:color="auto" w:fill="auto"/>
                <w:lang w:val="en-US" w:eastAsia="zh-CN" w:bidi="ar-SA"/>
              </w:rPr>
              <w:t>具有中级职称</w:t>
            </w:r>
            <w:r>
              <w:rPr>
                <w:rFonts w:hint="eastAsia" w:ascii="宋体" w:hAnsi="宋体" w:cs="宋体"/>
                <w:color w:val="auto"/>
                <w:kern w:val="0"/>
                <w:sz w:val="24"/>
                <w:szCs w:val="24"/>
                <w:highlight w:val="none"/>
                <w:shd w:val="clear" w:color="auto" w:fill="auto"/>
                <w:lang w:val="en-US" w:eastAsia="zh-CN" w:bidi="ar-SA"/>
              </w:rPr>
              <w:t>证书</w:t>
            </w:r>
            <w:r>
              <w:rPr>
                <w:rFonts w:hint="eastAsia" w:ascii="宋体" w:hAnsi="宋体" w:eastAsia="宋体" w:cs="宋体"/>
                <w:color w:val="auto"/>
                <w:kern w:val="0"/>
                <w:sz w:val="24"/>
                <w:szCs w:val="24"/>
                <w:highlight w:val="none"/>
                <w:shd w:val="clear" w:color="auto" w:fill="auto"/>
                <w:lang w:val="en-US" w:eastAsia="zh-CN" w:bidi="ar-SA"/>
              </w:rPr>
              <w:t>的</w:t>
            </w:r>
            <w:r>
              <w:rPr>
                <w:rFonts w:hint="eastAsia" w:ascii="宋体" w:hAnsi="宋体" w:cs="宋体"/>
                <w:color w:val="auto"/>
                <w:kern w:val="0"/>
                <w:sz w:val="24"/>
                <w:szCs w:val="24"/>
                <w:highlight w:val="none"/>
                <w:shd w:val="clear" w:color="auto" w:fill="auto"/>
                <w:lang w:val="en-US" w:eastAsia="zh-CN" w:bidi="ar-SA"/>
              </w:rPr>
              <w:t>，有一个</w:t>
            </w:r>
            <w:r>
              <w:rPr>
                <w:rFonts w:hint="eastAsia" w:ascii="宋体" w:hAnsi="宋体" w:eastAsia="宋体" w:cs="宋体"/>
                <w:color w:val="auto"/>
                <w:kern w:val="0"/>
                <w:sz w:val="24"/>
                <w:szCs w:val="24"/>
                <w:highlight w:val="none"/>
                <w:shd w:val="clear" w:color="auto" w:fill="auto"/>
                <w:lang w:val="en-US" w:eastAsia="zh-CN" w:bidi="ar-SA"/>
              </w:rPr>
              <w:t>得2分</w:t>
            </w:r>
            <w:r>
              <w:rPr>
                <w:rFonts w:hint="eastAsia" w:ascii="宋体" w:hAnsi="宋体" w:cs="宋体"/>
                <w:color w:val="auto"/>
                <w:kern w:val="0"/>
                <w:sz w:val="24"/>
                <w:szCs w:val="24"/>
                <w:highlight w:val="none"/>
                <w:shd w:val="clear" w:color="auto" w:fill="auto"/>
                <w:lang w:val="en-US" w:eastAsia="zh-CN" w:bidi="ar-SA"/>
              </w:rPr>
              <w:t>；</w:t>
            </w:r>
            <w:r>
              <w:rPr>
                <w:rFonts w:hint="eastAsia" w:ascii="宋体" w:hAnsi="宋体" w:eastAsia="宋体" w:cs="宋体"/>
                <w:color w:val="auto"/>
                <w:kern w:val="0"/>
                <w:sz w:val="24"/>
                <w:szCs w:val="24"/>
                <w:highlight w:val="none"/>
                <w:shd w:val="clear" w:color="auto" w:fill="auto"/>
                <w:lang w:val="en-US" w:eastAsia="zh-CN" w:bidi="ar-SA"/>
              </w:rPr>
              <w:t>具有</w:t>
            </w:r>
            <w:r>
              <w:rPr>
                <w:rFonts w:hint="eastAsia" w:ascii="宋体" w:hAnsi="宋体" w:cs="宋体"/>
                <w:color w:val="auto"/>
                <w:kern w:val="0"/>
                <w:sz w:val="24"/>
                <w:szCs w:val="24"/>
                <w:highlight w:val="none"/>
                <w:shd w:val="clear" w:color="auto" w:fill="auto"/>
                <w:lang w:val="en-US" w:eastAsia="zh-CN" w:bidi="ar-SA"/>
              </w:rPr>
              <w:t>高</w:t>
            </w:r>
            <w:r>
              <w:rPr>
                <w:rFonts w:hint="eastAsia" w:ascii="宋体" w:hAnsi="宋体" w:eastAsia="宋体" w:cs="宋体"/>
                <w:color w:val="auto"/>
                <w:kern w:val="0"/>
                <w:sz w:val="24"/>
                <w:szCs w:val="24"/>
                <w:highlight w:val="none"/>
                <w:shd w:val="clear" w:color="auto" w:fill="auto"/>
                <w:lang w:val="en-US" w:eastAsia="zh-CN" w:bidi="ar-SA"/>
              </w:rPr>
              <w:t>级</w:t>
            </w:r>
            <w:r>
              <w:rPr>
                <w:rFonts w:hint="eastAsia" w:ascii="宋体" w:hAnsi="宋体" w:cs="宋体"/>
                <w:color w:val="auto"/>
                <w:kern w:val="0"/>
                <w:sz w:val="24"/>
                <w:szCs w:val="24"/>
                <w:highlight w:val="none"/>
                <w:shd w:val="clear" w:color="auto" w:fill="auto"/>
                <w:lang w:val="en-US" w:eastAsia="zh-CN" w:bidi="ar-SA"/>
              </w:rPr>
              <w:t>及以上</w:t>
            </w:r>
            <w:r>
              <w:rPr>
                <w:rFonts w:hint="eastAsia" w:ascii="宋体" w:hAnsi="宋体" w:eastAsia="宋体" w:cs="宋体"/>
                <w:color w:val="auto"/>
                <w:kern w:val="0"/>
                <w:sz w:val="24"/>
                <w:szCs w:val="24"/>
                <w:highlight w:val="none"/>
                <w:shd w:val="clear" w:color="auto" w:fill="auto"/>
                <w:lang w:val="en-US" w:eastAsia="zh-CN" w:bidi="ar-SA"/>
              </w:rPr>
              <w:t>职称</w:t>
            </w:r>
            <w:r>
              <w:rPr>
                <w:rFonts w:hint="eastAsia" w:ascii="宋体" w:hAnsi="宋体" w:cs="宋体"/>
                <w:color w:val="auto"/>
                <w:kern w:val="0"/>
                <w:sz w:val="24"/>
                <w:szCs w:val="24"/>
                <w:highlight w:val="none"/>
                <w:shd w:val="clear" w:color="auto" w:fill="auto"/>
                <w:lang w:val="en-US" w:eastAsia="zh-CN" w:bidi="ar-SA"/>
              </w:rPr>
              <w:t>证书</w:t>
            </w:r>
            <w:r>
              <w:rPr>
                <w:rFonts w:hint="eastAsia" w:ascii="宋体" w:hAnsi="宋体" w:eastAsia="宋体" w:cs="宋体"/>
                <w:color w:val="auto"/>
                <w:kern w:val="0"/>
                <w:sz w:val="24"/>
                <w:szCs w:val="24"/>
                <w:highlight w:val="none"/>
                <w:shd w:val="clear" w:color="auto" w:fill="auto"/>
                <w:lang w:val="en-US" w:eastAsia="zh-CN" w:bidi="ar-SA"/>
              </w:rPr>
              <w:t>的</w:t>
            </w:r>
            <w:r>
              <w:rPr>
                <w:rFonts w:hint="eastAsia" w:ascii="宋体" w:hAnsi="宋体" w:cs="宋体"/>
                <w:color w:val="auto"/>
                <w:kern w:val="0"/>
                <w:sz w:val="24"/>
                <w:szCs w:val="24"/>
                <w:highlight w:val="none"/>
                <w:shd w:val="clear" w:color="auto" w:fill="auto"/>
                <w:lang w:val="en-US" w:eastAsia="zh-CN" w:bidi="ar-SA"/>
              </w:rPr>
              <w:t>，有一个</w:t>
            </w:r>
            <w:r>
              <w:rPr>
                <w:rFonts w:hint="eastAsia" w:ascii="宋体" w:hAnsi="宋体" w:eastAsia="宋体" w:cs="宋体"/>
                <w:color w:val="auto"/>
                <w:kern w:val="0"/>
                <w:sz w:val="24"/>
                <w:szCs w:val="24"/>
                <w:highlight w:val="none"/>
                <w:shd w:val="clear" w:color="auto" w:fill="auto"/>
                <w:lang w:val="en-US" w:eastAsia="zh-CN" w:bidi="ar-SA"/>
              </w:rPr>
              <w:t>得</w:t>
            </w:r>
            <w:r>
              <w:rPr>
                <w:rFonts w:hint="eastAsia" w:ascii="宋体" w:hAnsi="宋体" w:cs="宋体"/>
                <w:color w:val="auto"/>
                <w:kern w:val="0"/>
                <w:sz w:val="24"/>
                <w:szCs w:val="24"/>
                <w:highlight w:val="none"/>
                <w:shd w:val="clear" w:color="auto" w:fill="auto"/>
                <w:lang w:val="en-US" w:eastAsia="zh-CN" w:bidi="ar-SA"/>
              </w:rPr>
              <w:t>3</w:t>
            </w:r>
            <w:r>
              <w:rPr>
                <w:rFonts w:hint="eastAsia" w:ascii="宋体" w:hAnsi="宋体" w:eastAsia="宋体" w:cs="宋体"/>
                <w:color w:val="auto"/>
                <w:kern w:val="0"/>
                <w:sz w:val="24"/>
                <w:szCs w:val="24"/>
                <w:highlight w:val="none"/>
                <w:shd w:val="clear" w:color="auto" w:fill="auto"/>
                <w:lang w:val="en-US" w:eastAsia="zh-CN" w:bidi="ar-SA"/>
              </w:rPr>
              <w:t>分</w:t>
            </w:r>
            <w:r>
              <w:rPr>
                <w:rFonts w:hint="eastAsia" w:ascii="宋体" w:hAnsi="宋体" w:cs="宋体"/>
                <w:color w:val="auto"/>
                <w:kern w:val="0"/>
                <w:sz w:val="24"/>
                <w:szCs w:val="24"/>
                <w:highlight w:val="none"/>
                <w:shd w:val="clear" w:color="auto" w:fill="auto"/>
                <w:lang w:val="en-US" w:eastAsia="zh-CN" w:bidi="ar-SA"/>
              </w:rPr>
              <w:t>，最高得5分</w:t>
            </w:r>
            <w:r>
              <w:rPr>
                <w:rFonts w:hint="eastAsia" w:ascii="宋体" w:hAnsi="宋体" w:eastAsia="宋体" w:cs="宋体"/>
                <w:color w:val="auto"/>
                <w:kern w:val="0"/>
                <w:sz w:val="24"/>
                <w:szCs w:val="24"/>
                <w:highlight w:val="none"/>
                <w:shd w:val="clear" w:color="auto" w:fill="auto"/>
                <w:lang w:val="en-US" w:eastAsia="zh-CN" w:bidi="ar-SA"/>
              </w:rPr>
              <w:t>。</w:t>
            </w:r>
          </w:p>
          <w:p w14:paraId="5B5CC505">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b/>
                <w:bCs/>
                <w:color w:val="auto"/>
                <w:kern w:val="0"/>
                <w:sz w:val="24"/>
                <w:szCs w:val="24"/>
                <w:highlight w:val="none"/>
                <w:lang w:val="en-US" w:eastAsia="zh-CN"/>
              </w:rPr>
              <w:t>注：</w:t>
            </w:r>
            <w:r>
              <w:rPr>
                <w:rFonts w:hint="eastAsia" w:ascii="宋体" w:hAnsi="宋体" w:eastAsia="宋体" w:cs="宋体"/>
                <w:b/>
                <w:bCs/>
                <w:color w:val="auto"/>
                <w:kern w:val="0"/>
                <w:sz w:val="24"/>
                <w:szCs w:val="24"/>
                <w:highlight w:val="none"/>
                <w:lang w:val="en-US" w:eastAsia="zh-CN" w:bidi="ar-SA"/>
              </w:rPr>
              <w:t>磋商响应文件</w:t>
            </w:r>
            <w:r>
              <w:rPr>
                <w:rFonts w:hint="eastAsia" w:ascii="宋体" w:hAnsi="宋体" w:eastAsia="宋体" w:cs="宋体"/>
                <w:b/>
                <w:bCs/>
                <w:color w:val="auto"/>
                <w:kern w:val="0"/>
                <w:sz w:val="24"/>
                <w:szCs w:val="24"/>
                <w:highlight w:val="none"/>
                <w:lang w:val="en-US" w:eastAsia="zh-CN"/>
              </w:rPr>
              <w:t>中提供</w:t>
            </w:r>
            <w:r>
              <w:rPr>
                <w:rFonts w:hint="eastAsia" w:ascii="宋体" w:hAnsi="宋体" w:cs="宋体"/>
                <w:b/>
                <w:bCs/>
                <w:color w:val="auto"/>
                <w:kern w:val="0"/>
                <w:sz w:val="24"/>
                <w:szCs w:val="24"/>
                <w:highlight w:val="none"/>
                <w:shd w:val="clear" w:color="auto" w:fill="auto"/>
                <w:lang w:val="en-US" w:eastAsia="zh-CN" w:bidi="ar-SA"/>
              </w:rPr>
              <w:t>相关证书及2026年2月-2026年4月中任意一个月供应商为上述人员缴纳的社保证明材料，</w:t>
            </w:r>
            <w:r>
              <w:rPr>
                <w:rFonts w:hint="eastAsia" w:ascii="宋体" w:hAnsi="宋体" w:eastAsia="宋体" w:cs="宋体"/>
                <w:b/>
                <w:bCs/>
                <w:color w:val="auto"/>
                <w:kern w:val="0"/>
                <w:sz w:val="24"/>
                <w:szCs w:val="24"/>
                <w:highlight w:val="none"/>
                <w:lang w:val="en-US" w:eastAsia="zh-CN"/>
              </w:rPr>
              <w:t>并加盖</w:t>
            </w:r>
            <w:r>
              <w:rPr>
                <w:rFonts w:hint="eastAsia" w:ascii="宋体" w:hAnsi="宋体" w:eastAsia="宋体" w:cs="宋体"/>
                <w:b/>
                <w:bCs/>
                <w:color w:val="auto"/>
                <w:kern w:val="0"/>
                <w:sz w:val="24"/>
                <w:szCs w:val="24"/>
                <w:highlight w:val="none"/>
                <w:lang w:val="en-US" w:eastAsia="zh-CN" w:bidi="ar-SA"/>
              </w:rPr>
              <w:t>供应商</w:t>
            </w:r>
            <w:r>
              <w:rPr>
                <w:rFonts w:hint="eastAsia" w:ascii="宋体" w:hAnsi="宋体" w:eastAsia="宋体" w:cs="宋体"/>
                <w:b/>
                <w:bCs/>
                <w:color w:val="auto"/>
                <w:kern w:val="0"/>
                <w:sz w:val="24"/>
                <w:szCs w:val="24"/>
                <w:highlight w:val="none"/>
                <w:lang w:val="en-US" w:eastAsia="zh-CN"/>
              </w:rPr>
              <w:t>公章，否则不得分。</w:t>
            </w:r>
          </w:p>
        </w:tc>
        <w:tc>
          <w:tcPr>
            <w:tcW w:w="488" w:type="dxa"/>
            <w:shd w:val="clear" w:color="auto" w:fill="auto"/>
            <w:noWrap w:val="0"/>
            <w:tcMar>
              <w:top w:w="0" w:type="dxa"/>
              <w:left w:w="108" w:type="dxa"/>
              <w:bottom w:w="0" w:type="dxa"/>
              <w:right w:w="108" w:type="dxa"/>
            </w:tcMar>
            <w:vAlign w:val="center"/>
          </w:tcPr>
          <w:p w14:paraId="2E797778">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eastAsia="宋体" w:cs="宋体"/>
                <w:color w:val="auto"/>
                <w:kern w:val="2"/>
                <w:sz w:val="24"/>
                <w:szCs w:val="24"/>
                <w:highlight w:val="none"/>
                <w:shd w:val="clear" w:color="auto" w:fill="auto"/>
                <w:lang w:val="en-US" w:eastAsia="zh-CN" w:bidi="ar-SA"/>
              </w:rPr>
            </w:pPr>
            <w:r>
              <w:rPr>
                <w:rFonts w:hint="eastAsia" w:ascii="宋体" w:hAnsi="宋体" w:cs="宋体"/>
                <w:color w:val="auto"/>
                <w:sz w:val="24"/>
                <w:szCs w:val="24"/>
                <w:highlight w:val="none"/>
                <w:shd w:val="clear" w:color="auto" w:fill="auto"/>
                <w:lang w:val="en-US" w:eastAsia="zh-CN"/>
              </w:rPr>
              <w:t>8</w:t>
            </w:r>
          </w:p>
        </w:tc>
      </w:tr>
    </w:tbl>
    <w:p w14:paraId="138428F6">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注：1.评分细则中要求提供的证明文件及资料等在</w:t>
      </w:r>
      <w:r>
        <w:rPr>
          <w:rFonts w:hint="eastAsia" w:ascii="宋体" w:hAnsi="宋体" w:cs="宋体"/>
          <w:bCs/>
          <w:color w:val="auto"/>
          <w:sz w:val="24"/>
          <w:highlight w:val="none"/>
          <w:lang w:val="en-US" w:eastAsia="zh-CN"/>
        </w:rPr>
        <w:t>响应</w:t>
      </w:r>
      <w:r>
        <w:rPr>
          <w:rFonts w:hint="eastAsia" w:ascii="宋体" w:hAnsi="宋体" w:cs="宋体"/>
          <w:bCs/>
          <w:color w:val="auto"/>
          <w:sz w:val="24"/>
          <w:highlight w:val="none"/>
        </w:rPr>
        <w:t>文件中提供并加盖公章，否则不得分。</w:t>
      </w:r>
    </w:p>
    <w:p w14:paraId="615AE313">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2.评审时，未能按以上要求提供相应证明的，不作为评审依据，不得分。</w:t>
      </w:r>
    </w:p>
    <w:p w14:paraId="651747BC">
      <w:pPr>
        <w:widowControl/>
        <w:jc w:val="left"/>
        <w:rPr>
          <w:b/>
          <w:color w:val="auto"/>
          <w:sz w:val="36"/>
          <w:szCs w:val="36"/>
          <w:highlight w:val="none"/>
          <w:shd w:val="clear" w:color="auto" w:fill="auto"/>
        </w:rPr>
      </w:pPr>
    </w:p>
    <w:p w14:paraId="2DA811B2">
      <w:pPr>
        <w:spacing w:line="360" w:lineRule="auto"/>
        <w:jc w:val="center"/>
        <w:outlineLvl w:val="0"/>
        <w:rPr>
          <w:b/>
          <w:color w:val="auto"/>
          <w:sz w:val="36"/>
          <w:szCs w:val="36"/>
          <w:highlight w:val="none"/>
          <w:shd w:val="clear" w:color="auto" w:fill="auto"/>
        </w:rPr>
      </w:pPr>
      <w:r>
        <w:rPr>
          <w:b/>
          <w:color w:val="auto"/>
          <w:sz w:val="36"/>
          <w:szCs w:val="36"/>
          <w:highlight w:val="none"/>
          <w:shd w:val="clear" w:color="auto" w:fill="auto"/>
        </w:rPr>
        <w:br w:type="page"/>
      </w:r>
      <w:bookmarkStart w:id="634" w:name="_Toc10818"/>
      <w:r>
        <w:rPr>
          <w:b/>
          <w:color w:val="auto"/>
          <w:sz w:val="36"/>
          <w:szCs w:val="36"/>
          <w:highlight w:val="none"/>
          <w:shd w:val="clear" w:color="auto" w:fill="auto"/>
        </w:rPr>
        <w:t>第四章   采购需求</w:t>
      </w:r>
      <w:bookmarkEnd w:id="634"/>
    </w:p>
    <w:p w14:paraId="355F4918">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Times New Roman"/>
          <w:b/>
          <w:bCs/>
          <w:color w:val="auto"/>
          <w:sz w:val="24"/>
          <w:szCs w:val="24"/>
          <w:highlight w:val="none"/>
          <w:shd w:val="clear" w:color="auto" w:fill="auto"/>
          <w:lang w:val="en-US" w:eastAsia="zh-CN"/>
        </w:rPr>
      </w:pPr>
      <w:r>
        <w:rPr>
          <w:rFonts w:hint="eastAsia" w:ascii="宋体" w:hAnsi="宋体" w:eastAsia="宋体" w:cs="Times New Roman"/>
          <w:b/>
          <w:bCs/>
          <w:color w:val="auto"/>
          <w:sz w:val="24"/>
          <w:szCs w:val="24"/>
          <w:highlight w:val="none"/>
          <w:shd w:val="clear" w:color="auto" w:fill="auto"/>
          <w:lang w:val="en-US" w:eastAsia="zh-CN"/>
        </w:rPr>
        <w:t>一、采购标的</w:t>
      </w:r>
    </w:p>
    <w:p w14:paraId="21ADD399">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本项目是</w:t>
      </w:r>
      <w:r>
        <w:rPr>
          <w:rFonts w:hint="eastAsia" w:ascii="宋体" w:hAnsi="宋体" w:cs="宋体"/>
          <w:bCs/>
          <w:color w:val="auto"/>
          <w:sz w:val="24"/>
          <w:szCs w:val="24"/>
          <w:highlight w:val="none"/>
          <w:shd w:val="clear" w:color="auto" w:fill="auto"/>
          <w:lang w:eastAsia="zh-CN"/>
        </w:rPr>
        <w:t>寺墩遗址保护回填和环境整治项目（一期）</w:t>
      </w:r>
      <w:r>
        <w:rPr>
          <w:rFonts w:hint="eastAsia" w:ascii="宋体" w:hAnsi="宋体" w:eastAsia="宋体" w:cs="宋体"/>
          <w:bCs/>
          <w:color w:val="auto"/>
          <w:sz w:val="24"/>
          <w:szCs w:val="24"/>
          <w:highlight w:val="none"/>
          <w:shd w:val="clear" w:color="auto" w:fill="auto"/>
        </w:rPr>
        <w:t>，项目包括但不限于竞争性磋商文件及其基本技术要求范围内工程开工前的准备（包括现场踏勘、技术核对等）、技术资料、施工、技术服务、主管单位验收、质保期及维保服务和竞争性磋商文件所要求的相关服务等全部内容。</w:t>
      </w:r>
    </w:p>
    <w:p w14:paraId="1CD4FEB1">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cs="宋体"/>
          <w:bCs/>
          <w:color w:val="auto"/>
          <w:sz w:val="24"/>
          <w:szCs w:val="24"/>
          <w:highlight w:val="none"/>
          <w:shd w:val="clear" w:color="auto" w:fill="auto"/>
          <w:lang w:eastAsia="zh-CN"/>
        </w:rPr>
      </w:pPr>
      <w:r>
        <w:rPr>
          <w:rFonts w:hint="eastAsia" w:ascii="宋体" w:hAnsi="宋体" w:cs="宋体"/>
          <w:bCs/>
          <w:color w:val="auto"/>
          <w:sz w:val="24"/>
          <w:szCs w:val="24"/>
          <w:highlight w:val="none"/>
          <w:shd w:val="clear" w:color="auto" w:fill="auto"/>
          <w:lang w:val="en-US" w:eastAsia="zh-CN"/>
        </w:rPr>
        <w:t>1</w:t>
      </w:r>
      <w:r>
        <w:rPr>
          <w:rFonts w:hint="eastAsia" w:ascii="宋体" w:hAnsi="宋体" w:cs="宋体"/>
          <w:bCs/>
          <w:color w:val="auto"/>
          <w:sz w:val="24"/>
          <w:szCs w:val="24"/>
          <w:highlight w:val="none"/>
          <w:shd w:val="clear" w:color="auto" w:fill="auto"/>
          <w:lang w:eastAsia="zh-CN"/>
        </w:rPr>
        <w:t>.项目预算金额：</w:t>
      </w:r>
      <w:r>
        <w:rPr>
          <w:rFonts w:hint="eastAsia" w:ascii="宋体" w:hAnsi="宋体" w:cs="宋体"/>
          <w:bCs/>
          <w:color w:val="auto"/>
          <w:sz w:val="24"/>
          <w:szCs w:val="24"/>
          <w:highlight w:val="none"/>
          <w:shd w:val="clear" w:color="auto" w:fill="auto"/>
          <w:lang w:val="en-US" w:eastAsia="zh-CN"/>
        </w:rPr>
        <w:t>287</w:t>
      </w:r>
      <w:r>
        <w:rPr>
          <w:rFonts w:hint="eastAsia" w:ascii="宋体" w:hAnsi="宋体" w:cs="宋体"/>
          <w:bCs/>
          <w:color w:val="auto"/>
          <w:sz w:val="24"/>
          <w:szCs w:val="24"/>
          <w:highlight w:val="none"/>
          <w:shd w:val="clear" w:color="auto" w:fill="auto"/>
          <w:lang w:eastAsia="zh-CN"/>
        </w:rPr>
        <w:t>万元</w:t>
      </w:r>
    </w:p>
    <w:p w14:paraId="7A6B57DD">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cs="宋体"/>
          <w:bCs/>
          <w:color w:val="auto"/>
          <w:sz w:val="24"/>
          <w:szCs w:val="24"/>
          <w:highlight w:val="none"/>
          <w:shd w:val="clear" w:color="auto" w:fill="auto"/>
          <w:lang w:eastAsia="zh-CN"/>
        </w:rPr>
      </w:pPr>
      <w:r>
        <w:rPr>
          <w:rFonts w:hint="eastAsia" w:ascii="宋体" w:hAnsi="宋体" w:cs="宋体"/>
          <w:bCs/>
          <w:color w:val="auto"/>
          <w:sz w:val="24"/>
          <w:szCs w:val="24"/>
          <w:highlight w:val="none"/>
          <w:shd w:val="clear" w:color="auto" w:fill="auto"/>
          <w:lang w:val="en-US" w:eastAsia="zh-CN"/>
        </w:rPr>
        <w:t>2.</w:t>
      </w:r>
      <w:r>
        <w:rPr>
          <w:rFonts w:hint="eastAsia" w:ascii="宋体" w:hAnsi="宋体" w:cs="宋体"/>
          <w:bCs/>
          <w:color w:val="auto"/>
          <w:sz w:val="24"/>
          <w:szCs w:val="24"/>
          <w:highlight w:val="none"/>
          <w:shd w:val="clear" w:color="auto" w:fill="auto"/>
          <w:lang w:eastAsia="zh-CN"/>
        </w:rPr>
        <w:t>项目最高限价：2869207.88元</w:t>
      </w:r>
    </w:p>
    <w:p w14:paraId="04E502D1">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cs="宋体"/>
          <w:bCs/>
          <w:color w:val="auto"/>
          <w:sz w:val="24"/>
          <w:szCs w:val="24"/>
          <w:highlight w:val="none"/>
          <w:shd w:val="clear" w:color="auto" w:fill="auto"/>
          <w:lang w:val="en-US" w:eastAsia="zh-CN"/>
        </w:rPr>
      </w:pPr>
      <w:r>
        <w:rPr>
          <w:rFonts w:hint="eastAsia" w:ascii="宋体" w:hAnsi="宋体" w:cs="宋体"/>
          <w:bCs/>
          <w:color w:val="auto"/>
          <w:sz w:val="24"/>
          <w:szCs w:val="24"/>
          <w:highlight w:val="none"/>
          <w:shd w:val="clear" w:color="auto" w:fill="auto"/>
          <w:lang w:val="en-US" w:eastAsia="zh-CN"/>
        </w:rPr>
        <w:t>3.工程地点：郑陆镇三皇庙村南城寺东北，庄桥头西。</w:t>
      </w:r>
    </w:p>
    <w:p w14:paraId="0E4D305C">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lang w:val="en-US" w:eastAsia="zh-CN"/>
        </w:rPr>
        <w:t>4</w:t>
      </w:r>
      <w:r>
        <w:rPr>
          <w:rFonts w:hint="eastAsia" w:ascii="宋体" w:hAnsi="宋体" w:eastAsia="宋体" w:cs="宋体"/>
          <w:bCs/>
          <w:color w:val="auto"/>
          <w:sz w:val="24"/>
          <w:szCs w:val="24"/>
          <w:highlight w:val="none"/>
          <w:shd w:val="clear" w:color="auto" w:fill="auto"/>
        </w:rPr>
        <w:t>.质量等级要求：</w:t>
      </w:r>
      <w:r>
        <w:rPr>
          <w:rFonts w:hint="eastAsia" w:ascii="宋体" w:hAnsi="宋体" w:cs="宋体"/>
          <w:bCs/>
          <w:color w:val="auto"/>
          <w:sz w:val="24"/>
          <w:szCs w:val="24"/>
          <w:highlight w:val="none"/>
          <w:shd w:val="clear" w:color="auto" w:fill="auto"/>
          <w:lang w:val="en-US" w:eastAsia="zh-CN"/>
        </w:rPr>
        <w:t>按国家相关验收标准，</w:t>
      </w:r>
      <w:r>
        <w:rPr>
          <w:rFonts w:hint="eastAsia" w:ascii="宋体" w:hAnsi="宋体" w:eastAsia="宋体" w:cs="宋体"/>
          <w:bCs/>
          <w:color w:val="auto"/>
          <w:sz w:val="24"/>
          <w:szCs w:val="24"/>
          <w:highlight w:val="none"/>
          <w:shd w:val="clear" w:color="auto" w:fill="auto"/>
          <w:lang w:val="en-US" w:eastAsia="zh-CN"/>
        </w:rPr>
        <w:t>一次性验收合格</w:t>
      </w:r>
      <w:r>
        <w:rPr>
          <w:rFonts w:hint="eastAsia" w:ascii="宋体" w:hAnsi="宋体" w:eastAsia="宋体" w:cs="宋体"/>
          <w:bCs/>
          <w:color w:val="auto"/>
          <w:sz w:val="24"/>
          <w:szCs w:val="24"/>
          <w:highlight w:val="none"/>
          <w:shd w:val="clear" w:color="auto" w:fill="auto"/>
        </w:rPr>
        <w:t>。</w:t>
      </w:r>
    </w:p>
    <w:p w14:paraId="19F5B4E8">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lang w:val="en-US" w:eastAsia="zh-CN"/>
        </w:rPr>
        <w:t>5</w:t>
      </w:r>
      <w:r>
        <w:rPr>
          <w:rFonts w:hint="eastAsia" w:ascii="宋体" w:hAnsi="宋体" w:eastAsia="宋体" w:cs="宋体"/>
          <w:bCs/>
          <w:color w:val="auto"/>
          <w:sz w:val="24"/>
          <w:szCs w:val="24"/>
          <w:highlight w:val="none"/>
          <w:shd w:val="clear" w:color="auto" w:fill="auto"/>
        </w:rPr>
        <w:t>.本次</w:t>
      </w:r>
      <w:r>
        <w:rPr>
          <w:rFonts w:hint="eastAsia" w:ascii="宋体" w:hAnsi="宋体" w:eastAsia="宋体" w:cs="宋体"/>
          <w:bCs/>
          <w:color w:val="auto"/>
          <w:sz w:val="24"/>
          <w:szCs w:val="24"/>
          <w:highlight w:val="none"/>
          <w:shd w:val="clear" w:color="auto" w:fill="auto"/>
          <w:lang w:val="en-US" w:eastAsia="zh-CN"/>
        </w:rPr>
        <w:t>采购</w:t>
      </w:r>
      <w:r>
        <w:rPr>
          <w:rFonts w:hint="eastAsia" w:ascii="宋体" w:hAnsi="宋体" w:eastAsia="宋体" w:cs="宋体"/>
          <w:bCs/>
          <w:color w:val="auto"/>
          <w:sz w:val="24"/>
          <w:szCs w:val="24"/>
          <w:highlight w:val="none"/>
          <w:shd w:val="clear" w:color="auto" w:fill="auto"/>
        </w:rPr>
        <w:t>范围：工程量清单及图纸范围内的全部工作内容。</w:t>
      </w:r>
    </w:p>
    <w:p w14:paraId="42AD3D0E">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Times New Roman"/>
          <w:b/>
          <w:bCs/>
          <w:color w:val="auto"/>
          <w:sz w:val="24"/>
          <w:szCs w:val="24"/>
          <w:highlight w:val="none"/>
          <w:shd w:val="clear" w:color="auto" w:fill="auto"/>
          <w:lang w:val="en-US" w:eastAsia="zh-CN"/>
        </w:rPr>
      </w:pPr>
      <w:r>
        <w:rPr>
          <w:rFonts w:hint="eastAsia" w:ascii="宋体" w:hAnsi="宋体" w:eastAsia="宋体" w:cs="Times New Roman"/>
          <w:b/>
          <w:bCs/>
          <w:color w:val="auto"/>
          <w:sz w:val="24"/>
          <w:szCs w:val="24"/>
          <w:highlight w:val="none"/>
          <w:shd w:val="clear" w:color="auto" w:fill="auto"/>
          <w:lang w:val="en-US" w:eastAsia="zh-CN"/>
        </w:rPr>
        <w:t>二、商务要求</w:t>
      </w:r>
    </w:p>
    <w:p w14:paraId="7673590C">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rPr>
          <w:rFonts w:hint="eastAsia" w:ascii="宋体" w:hAnsi="宋体" w:eastAsia="宋体" w:cs="宋体"/>
          <w:b/>
          <w:bCs w:val="0"/>
          <w:color w:val="auto"/>
          <w:sz w:val="24"/>
          <w:szCs w:val="24"/>
          <w:highlight w:val="none"/>
          <w:shd w:val="clear" w:color="auto" w:fill="auto"/>
          <w:lang w:val="en-US" w:eastAsia="zh-CN"/>
        </w:rPr>
      </w:pPr>
      <w:r>
        <w:rPr>
          <w:rFonts w:hint="eastAsia" w:ascii="宋体" w:hAnsi="宋体" w:eastAsia="宋体" w:cs="宋体"/>
          <w:b/>
          <w:bCs w:val="0"/>
          <w:color w:val="auto"/>
          <w:sz w:val="24"/>
          <w:szCs w:val="24"/>
          <w:highlight w:val="none"/>
          <w:shd w:val="clear" w:color="auto" w:fill="auto"/>
          <w:lang w:val="en-US" w:eastAsia="zh-CN"/>
        </w:rPr>
        <w:t>1.工期</w:t>
      </w:r>
    </w:p>
    <w:p w14:paraId="209B3F08">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default" w:ascii="宋体" w:hAnsi="宋体" w:eastAsia="宋体" w:cs="宋体"/>
          <w:bCs/>
          <w:color w:val="auto"/>
          <w:sz w:val="24"/>
          <w:szCs w:val="24"/>
          <w:highlight w:val="none"/>
          <w:shd w:val="clear" w:color="auto" w:fill="auto"/>
          <w:lang w:val="en-US" w:eastAsia="zh-CN"/>
        </w:rPr>
      </w:pPr>
      <w:r>
        <w:rPr>
          <w:rFonts w:hint="eastAsia" w:ascii="宋体" w:hAnsi="宋体" w:cs="宋体"/>
          <w:bCs/>
          <w:color w:val="auto"/>
          <w:sz w:val="24"/>
          <w:szCs w:val="24"/>
          <w:highlight w:val="none"/>
          <w:shd w:val="clear" w:color="auto" w:fill="auto"/>
          <w:lang w:val="en-US" w:eastAsia="zh-CN"/>
        </w:rPr>
        <w:t>100日历天</w:t>
      </w:r>
      <w:r>
        <w:rPr>
          <w:rFonts w:hint="eastAsia" w:ascii="宋体" w:hAnsi="宋体" w:eastAsia="宋体" w:cs="宋体"/>
          <w:bCs/>
          <w:color w:val="auto"/>
          <w:sz w:val="24"/>
          <w:szCs w:val="24"/>
          <w:highlight w:val="none"/>
          <w:shd w:val="clear" w:color="auto" w:fill="auto"/>
          <w:lang w:val="en-US" w:eastAsia="zh-CN"/>
        </w:rPr>
        <w:t>。</w:t>
      </w:r>
    </w:p>
    <w:p w14:paraId="28DE4817">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rPr>
          <w:rFonts w:hint="eastAsia" w:ascii="宋体" w:hAnsi="宋体" w:eastAsia="宋体" w:cs="宋体"/>
          <w:b/>
          <w:bCs w:val="0"/>
          <w:color w:val="auto"/>
          <w:sz w:val="24"/>
          <w:szCs w:val="24"/>
          <w:highlight w:val="none"/>
          <w:shd w:val="clear" w:color="auto" w:fill="auto"/>
          <w:lang w:val="en-US" w:eastAsia="zh-CN"/>
        </w:rPr>
      </w:pPr>
      <w:r>
        <w:rPr>
          <w:rFonts w:hint="eastAsia" w:ascii="宋体" w:hAnsi="宋体" w:eastAsia="宋体" w:cs="宋体"/>
          <w:b/>
          <w:bCs w:val="0"/>
          <w:color w:val="auto"/>
          <w:sz w:val="24"/>
          <w:szCs w:val="24"/>
          <w:highlight w:val="none"/>
          <w:shd w:val="clear" w:color="auto" w:fill="auto"/>
          <w:lang w:val="en-US" w:eastAsia="zh-CN"/>
        </w:rPr>
        <w:t>2.付款条件</w:t>
      </w:r>
    </w:p>
    <w:p w14:paraId="44543325">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cs="宋体"/>
          <w:bCs/>
          <w:color w:val="auto"/>
          <w:sz w:val="24"/>
          <w:szCs w:val="24"/>
          <w:highlight w:val="none"/>
          <w:shd w:val="clear" w:color="auto" w:fill="auto"/>
          <w:lang w:eastAsia="zh-CN"/>
        </w:rPr>
      </w:pPr>
      <w:r>
        <w:rPr>
          <w:rFonts w:hint="eastAsia" w:ascii="宋体" w:hAnsi="宋体" w:cs="宋体"/>
          <w:bCs/>
          <w:color w:val="auto"/>
          <w:sz w:val="24"/>
          <w:szCs w:val="24"/>
          <w:highlight w:val="none"/>
          <w:shd w:val="clear" w:color="auto" w:fill="auto"/>
          <w:lang w:eastAsia="zh-CN"/>
        </w:rPr>
        <w:t>（</w:t>
      </w:r>
      <w:r>
        <w:rPr>
          <w:rFonts w:hint="eastAsia" w:ascii="宋体" w:hAnsi="宋体" w:cs="宋体"/>
          <w:bCs/>
          <w:color w:val="auto"/>
          <w:sz w:val="24"/>
          <w:szCs w:val="24"/>
          <w:highlight w:val="none"/>
          <w:shd w:val="clear" w:color="auto" w:fill="auto"/>
          <w:lang w:val="en-US" w:eastAsia="zh-CN"/>
        </w:rPr>
        <w:t>1</w:t>
      </w:r>
      <w:r>
        <w:rPr>
          <w:rFonts w:hint="eastAsia" w:ascii="宋体" w:hAnsi="宋体" w:cs="宋体"/>
          <w:bCs/>
          <w:color w:val="auto"/>
          <w:sz w:val="24"/>
          <w:szCs w:val="24"/>
          <w:highlight w:val="none"/>
          <w:shd w:val="clear" w:color="auto" w:fill="auto"/>
          <w:lang w:eastAsia="zh-CN"/>
        </w:rPr>
        <w:t>）</w:t>
      </w:r>
      <w:r>
        <w:rPr>
          <w:rFonts w:hint="eastAsia" w:ascii="宋体" w:hAnsi="宋体" w:cs="宋体"/>
          <w:bCs/>
          <w:color w:val="auto"/>
          <w:sz w:val="24"/>
          <w:szCs w:val="24"/>
          <w:highlight w:val="none"/>
          <w:shd w:val="clear" w:color="auto" w:fill="auto"/>
          <w:lang w:val="en-US" w:eastAsia="zh-CN"/>
        </w:rPr>
        <w:t>签订合同后，支付合同总价10%的预付款（成交供应商明确表示无需预付款或者主动要求降低预付款比例的，采购人可不适用前述规定）；</w:t>
      </w:r>
    </w:p>
    <w:p w14:paraId="1FD49A28">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cs="宋体"/>
          <w:bCs/>
          <w:color w:val="auto"/>
          <w:sz w:val="24"/>
          <w:szCs w:val="24"/>
          <w:highlight w:val="none"/>
          <w:shd w:val="clear" w:color="auto" w:fill="auto"/>
          <w:lang w:eastAsia="zh-CN"/>
        </w:rPr>
      </w:pPr>
      <w:r>
        <w:rPr>
          <w:rFonts w:hint="eastAsia" w:ascii="宋体" w:hAnsi="宋体" w:cs="宋体"/>
          <w:bCs/>
          <w:color w:val="auto"/>
          <w:sz w:val="24"/>
          <w:szCs w:val="24"/>
          <w:highlight w:val="none"/>
          <w:shd w:val="clear" w:color="auto" w:fill="auto"/>
          <w:lang w:eastAsia="zh-CN"/>
        </w:rPr>
        <w:t>（</w:t>
      </w:r>
      <w:r>
        <w:rPr>
          <w:rFonts w:hint="eastAsia" w:ascii="宋体" w:hAnsi="宋体" w:cs="宋体"/>
          <w:bCs/>
          <w:color w:val="auto"/>
          <w:sz w:val="24"/>
          <w:szCs w:val="24"/>
          <w:highlight w:val="none"/>
          <w:shd w:val="clear" w:color="auto" w:fill="auto"/>
          <w:lang w:val="en-US" w:eastAsia="zh-CN"/>
        </w:rPr>
        <w:t>2</w:t>
      </w:r>
      <w:r>
        <w:rPr>
          <w:rFonts w:hint="eastAsia" w:ascii="宋体" w:hAnsi="宋体" w:cs="宋体"/>
          <w:bCs/>
          <w:color w:val="auto"/>
          <w:sz w:val="24"/>
          <w:szCs w:val="24"/>
          <w:highlight w:val="none"/>
          <w:shd w:val="clear" w:color="auto" w:fill="auto"/>
          <w:lang w:eastAsia="zh-CN"/>
        </w:rPr>
        <w:t>）工程竣工验收合格、资料归档完成后，支付至合同价的80%；</w:t>
      </w:r>
    </w:p>
    <w:p w14:paraId="51232F32">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cs="宋体"/>
          <w:bCs/>
          <w:color w:val="auto"/>
          <w:sz w:val="24"/>
          <w:szCs w:val="24"/>
          <w:highlight w:val="none"/>
          <w:shd w:val="clear" w:color="auto" w:fill="auto"/>
          <w:lang w:eastAsia="zh-CN"/>
        </w:rPr>
      </w:pPr>
      <w:r>
        <w:rPr>
          <w:rFonts w:hint="eastAsia" w:ascii="宋体" w:hAnsi="宋体" w:cs="宋体"/>
          <w:bCs/>
          <w:color w:val="auto"/>
          <w:sz w:val="24"/>
          <w:szCs w:val="24"/>
          <w:highlight w:val="none"/>
          <w:shd w:val="clear" w:color="auto" w:fill="auto"/>
          <w:lang w:eastAsia="zh-CN"/>
        </w:rPr>
        <w:t>（</w:t>
      </w:r>
      <w:r>
        <w:rPr>
          <w:rFonts w:hint="eastAsia" w:ascii="宋体" w:hAnsi="宋体" w:cs="宋体"/>
          <w:bCs/>
          <w:color w:val="auto"/>
          <w:sz w:val="24"/>
          <w:szCs w:val="24"/>
          <w:highlight w:val="none"/>
          <w:shd w:val="clear" w:color="auto" w:fill="auto"/>
          <w:lang w:val="en-US" w:eastAsia="zh-CN"/>
        </w:rPr>
        <w:t>3</w:t>
      </w:r>
      <w:r>
        <w:rPr>
          <w:rFonts w:hint="eastAsia" w:ascii="宋体" w:hAnsi="宋体" w:cs="宋体"/>
          <w:bCs/>
          <w:color w:val="auto"/>
          <w:sz w:val="24"/>
          <w:szCs w:val="24"/>
          <w:highlight w:val="none"/>
          <w:shd w:val="clear" w:color="auto" w:fill="auto"/>
          <w:lang w:eastAsia="zh-CN"/>
        </w:rPr>
        <w:t>）工程结算审计结束，支付至审定价的97%；</w:t>
      </w:r>
    </w:p>
    <w:p w14:paraId="5908D3BD">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lang w:eastAsia="zh-CN"/>
        </w:rPr>
      </w:pPr>
      <w:r>
        <w:rPr>
          <w:rFonts w:hint="eastAsia" w:ascii="宋体" w:hAnsi="宋体" w:cs="宋体"/>
          <w:bCs/>
          <w:color w:val="auto"/>
          <w:sz w:val="24"/>
          <w:szCs w:val="24"/>
          <w:highlight w:val="none"/>
          <w:shd w:val="clear" w:color="auto" w:fill="auto"/>
          <w:lang w:eastAsia="zh-CN"/>
        </w:rPr>
        <w:t>（</w:t>
      </w:r>
      <w:r>
        <w:rPr>
          <w:rFonts w:hint="eastAsia" w:ascii="宋体" w:hAnsi="宋体" w:cs="宋体"/>
          <w:bCs/>
          <w:color w:val="auto"/>
          <w:sz w:val="24"/>
          <w:szCs w:val="24"/>
          <w:highlight w:val="none"/>
          <w:shd w:val="clear" w:color="auto" w:fill="auto"/>
          <w:lang w:val="en-US" w:eastAsia="zh-CN"/>
        </w:rPr>
        <w:t>4</w:t>
      </w:r>
      <w:r>
        <w:rPr>
          <w:rFonts w:hint="eastAsia" w:ascii="宋体" w:hAnsi="宋体" w:cs="宋体"/>
          <w:bCs/>
          <w:color w:val="auto"/>
          <w:sz w:val="24"/>
          <w:szCs w:val="24"/>
          <w:highlight w:val="none"/>
          <w:shd w:val="clear" w:color="auto" w:fill="auto"/>
          <w:lang w:eastAsia="zh-CN"/>
        </w:rPr>
        <w:t>）3%质量保证金在保修期满后付清(不计利息)。</w:t>
      </w:r>
    </w:p>
    <w:p w14:paraId="601893C3">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rPr>
          <w:rFonts w:hint="default" w:ascii="宋体" w:hAnsi="宋体" w:eastAsia="宋体" w:cs="宋体"/>
          <w:b/>
          <w:bCs w:val="0"/>
          <w:color w:val="auto"/>
          <w:sz w:val="24"/>
          <w:szCs w:val="24"/>
          <w:highlight w:val="none"/>
          <w:shd w:val="clear" w:color="auto" w:fill="auto"/>
          <w:lang w:val="en-US" w:eastAsia="zh-CN"/>
        </w:rPr>
      </w:pPr>
      <w:r>
        <w:rPr>
          <w:rFonts w:hint="eastAsia" w:ascii="宋体" w:hAnsi="宋体" w:eastAsia="宋体" w:cs="宋体"/>
          <w:b/>
          <w:bCs w:val="0"/>
          <w:color w:val="auto"/>
          <w:sz w:val="24"/>
          <w:szCs w:val="24"/>
          <w:highlight w:val="none"/>
          <w:shd w:val="clear" w:color="auto" w:fill="auto"/>
          <w:lang w:val="en-US" w:eastAsia="zh-CN"/>
        </w:rPr>
        <w:t>3.质保期</w:t>
      </w:r>
    </w:p>
    <w:p w14:paraId="748375DE">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lang w:val="en-US" w:eastAsia="zh-CN"/>
        </w:rPr>
        <w:t>本项目免费质保期为二年（自验收合格之日起，开始进入质保期）。成交供应商对质保期内所发生的一切费用负责。</w:t>
      </w:r>
    </w:p>
    <w:p w14:paraId="5B74B852">
      <w:pPr>
        <w:keepNext w:val="0"/>
        <w:keepLines w:val="0"/>
        <w:pageBreakBefore w:val="0"/>
        <w:widowControl w:val="0"/>
        <w:kinsoku/>
        <w:wordWrap/>
        <w:overflowPunct/>
        <w:topLinePunct w:val="0"/>
        <w:autoSpaceDE/>
        <w:autoSpaceDN/>
        <w:bidi w:val="0"/>
        <w:adjustRightInd/>
        <w:spacing w:line="360" w:lineRule="auto"/>
        <w:contextualSpacing/>
        <w:textAlignment w:val="auto"/>
        <w:rPr>
          <w:rFonts w:hint="eastAsia" w:ascii="宋体" w:hAnsi="宋体" w:eastAsia="宋体" w:cs="宋体"/>
          <w:b/>
          <w:bCs w:val="0"/>
          <w:color w:val="auto"/>
          <w:sz w:val="24"/>
          <w:szCs w:val="24"/>
          <w:highlight w:val="none"/>
          <w:shd w:val="clear" w:color="auto" w:fill="auto"/>
          <w:lang w:val="en-US" w:eastAsia="zh-CN"/>
        </w:rPr>
      </w:pPr>
      <w:r>
        <w:rPr>
          <w:rFonts w:hint="eastAsia" w:ascii="宋体" w:hAnsi="宋体" w:eastAsia="宋体" w:cs="宋体"/>
          <w:b/>
          <w:bCs w:val="0"/>
          <w:color w:val="auto"/>
          <w:sz w:val="24"/>
          <w:szCs w:val="24"/>
          <w:highlight w:val="none"/>
          <w:shd w:val="clear" w:color="auto" w:fill="auto"/>
          <w:lang w:val="en-US" w:eastAsia="zh-CN"/>
        </w:rPr>
        <w:t>三、技术要求</w:t>
      </w:r>
    </w:p>
    <w:p w14:paraId="5706CA92">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rPr>
          <w:rFonts w:hint="eastAsia" w:ascii="宋体" w:hAnsi="宋体" w:eastAsia="宋体" w:cs="宋体"/>
          <w:b/>
          <w:bCs w:val="0"/>
          <w:color w:val="auto"/>
          <w:sz w:val="24"/>
          <w:szCs w:val="24"/>
          <w:highlight w:val="none"/>
          <w:shd w:val="clear" w:color="auto" w:fill="auto"/>
        </w:rPr>
      </w:pPr>
      <w:r>
        <w:rPr>
          <w:rFonts w:hint="eastAsia" w:ascii="宋体" w:hAnsi="宋体" w:eastAsia="宋体" w:cs="宋体"/>
          <w:b/>
          <w:bCs w:val="0"/>
          <w:color w:val="auto"/>
          <w:sz w:val="24"/>
          <w:szCs w:val="24"/>
          <w:highlight w:val="none"/>
          <w:shd w:val="clear" w:color="auto" w:fill="auto"/>
        </w:rPr>
        <w:t>1.工程量清单</w:t>
      </w:r>
      <w:r>
        <w:rPr>
          <w:rFonts w:hint="eastAsia" w:ascii="宋体" w:hAnsi="宋体" w:eastAsia="宋体" w:cs="宋体"/>
          <w:b/>
          <w:bCs w:val="0"/>
          <w:color w:val="auto"/>
          <w:sz w:val="24"/>
          <w:szCs w:val="24"/>
          <w:highlight w:val="none"/>
          <w:shd w:val="clear" w:color="auto" w:fill="auto"/>
          <w:lang w:eastAsia="zh-CN"/>
        </w:rPr>
        <w:t>、</w:t>
      </w:r>
      <w:r>
        <w:rPr>
          <w:rFonts w:hint="eastAsia" w:ascii="宋体" w:hAnsi="宋体" w:eastAsia="宋体" w:cs="宋体"/>
          <w:b/>
          <w:bCs w:val="0"/>
          <w:color w:val="auto"/>
          <w:sz w:val="24"/>
          <w:szCs w:val="24"/>
          <w:highlight w:val="none"/>
          <w:shd w:val="clear" w:color="auto" w:fill="auto"/>
          <w:lang w:val="en-US" w:eastAsia="zh-CN"/>
        </w:rPr>
        <w:t>控制价</w:t>
      </w:r>
      <w:r>
        <w:rPr>
          <w:rFonts w:hint="eastAsia" w:ascii="宋体" w:hAnsi="宋体" w:cs="宋体"/>
          <w:b/>
          <w:bCs w:val="0"/>
          <w:color w:val="auto"/>
          <w:sz w:val="24"/>
          <w:szCs w:val="24"/>
          <w:highlight w:val="none"/>
          <w:shd w:val="clear" w:color="auto" w:fill="auto"/>
          <w:lang w:val="en-US" w:eastAsia="zh-CN"/>
        </w:rPr>
        <w:t>、图纸、编制说明</w:t>
      </w:r>
      <w:r>
        <w:rPr>
          <w:rFonts w:hint="eastAsia" w:ascii="宋体" w:hAnsi="宋体" w:eastAsia="宋体" w:cs="宋体"/>
          <w:b/>
          <w:bCs w:val="0"/>
          <w:color w:val="auto"/>
          <w:sz w:val="24"/>
          <w:szCs w:val="24"/>
          <w:highlight w:val="none"/>
          <w:shd w:val="clear" w:color="auto" w:fill="auto"/>
        </w:rPr>
        <w:t>下载地址：</w:t>
      </w:r>
    </w:p>
    <w:p w14:paraId="6F10A80B">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rPr>
          <w:rFonts w:hint="eastAsia" w:ascii="宋体" w:hAnsi="宋体" w:eastAsia="宋体" w:cs="宋体"/>
          <w:b/>
          <w:bCs w:val="0"/>
          <w:color w:val="auto"/>
          <w:sz w:val="24"/>
          <w:szCs w:val="24"/>
          <w:highlight w:val="none"/>
          <w:shd w:val="clear" w:color="auto" w:fill="auto"/>
          <w:lang w:val="en-US" w:eastAsia="zh-CN"/>
        </w:rPr>
      </w:pPr>
      <w:r>
        <w:rPr>
          <w:rFonts w:hint="eastAsia" w:ascii="宋体" w:hAnsi="宋体" w:eastAsia="宋体" w:cs="宋体"/>
          <w:b/>
          <w:bCs w:val="0"/>
          <w:color w:val="auto"/>
          <w:sz w:val="24"/>
          <w:szCs w:val="24"/>
          <w:highlight w:val="none"/>
          <w:shd w:val="clear" w:color="auto" w:fill="auto"/>
          <w:lang w:val="en-US" w:eastAsia="zh-CN"/>
        </w:rPr>
        <w:t>链接:https://pan.baidu.com/s/1DecGDiOB6EfN1rEBqUAvSQ?pwd=ywh7</w:t>
      </w:r>
    </w:p>
    <w:p w14:paraId="0E522ED0">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rPr>
          <w:rFonts w:hint="eastAsia" w:ascii="宋体" w:hAnsi="宋体" w:eastAsia="宋体" w:cs="宋体"/>
          <w:b/>
          <w:bCs w:val="0"/>
          <w:color w:val="auto"/>
          <w:sz w:val="24"/>
          <w:szCs w:val="24"/>
          <w:highlight w:val="none"/>
          <w:shd w:val="clear" w:color="auto" w:fill="auto"/>
          <w:lang w:val="en-US" w:eastAsia="zh-CN"/>
        </w:rPr>
      </w:pPr>
      <w:r>
        <w:rPr>
          <w:rFonts w:hint="eastAsia" w:ascii="宋体" w:hAnsi="宋体" w:eastAsia="宋体" w:cs="宋体"/>
          <w:b/>
          <w:bCs w:val="0"/>
          <w:color w:val="auto"/>
          <w:sz w:val="24"/>
          <w:szCs w:val="24"/>
          <w:highlight w:val="none"/>
          <w:shd w:val="clear" w:color="auto" w:fill="auto"/>
          <w:lang w:val="en-US" w:eastAsia="zh-CN"/>
        </w:rPr>
        <w:t>提取码:ywh7</w:t>
      </w:r>
    </w:p>
    <w:p w14:paraId="10A66EE5">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rPr>
          <w:rFonts w:hint="eastAsia" w:ascii="宋体" w:hAnsi="宋体" w:eastAsia="宋体" w:cs="宋体"/>
          <w:b/>
          <w:bCs w:val="0"/>
          <w:color w:val="auto"/>
          <w:sz w:val="24"/>
          <w:szCs w:val="24"/>
          <w:highlight w:val="none"/>
          <w:shd w:val="clear" w:color="auto" w:fill="auto"/>
        </w:rPr>
      </w:pPr>
      <w:r>
        <w:rPr>
          <w:rFonts w:hint="eastAsia" w:ascii="宋体" w:hAnsi="宋体" w:eastAsia="宋体" w:cs="宋体"/>
          <w:b/>
          <w:bCs w:val="0"/>
          <w:color w:val="auto"/>
          <w:sz w:val="24"/>
          <w:szCs w:val="24"/>
          <w:highlight w:val="none"/>
          <w:shd w:val="clear" w:color="auto" w:fill="auto"/>
          <w:lang w:val="en-US" w:eastAsia="zh-CN"/>
        </w:rPr>
        <w:t>2.</w:t>
      </w:r>
      <w:r>
        <w:rPr>
          <w:rFonts w:hint="eastAsia" w:ascii="宋体" w:hAnsi="宋体" w:eastAsia="宋体" w:cs="宋体"/>
          <w:b/>
          <w:bCs w:val="0"/>
          <w:color w:val="auto"/>
          <w:sz w:val="24"/>
          <w:szCs w:val="24"/>
          <w:highlight w:val="none"/>
          <w:shd w:val="clear" w:color="auto" w:fill="auto"/>
        </w:rPr>
        <w:t>其他要求</w:t>
      </w:r>
    </w:p>
    <w:p w14:paraId="762D1D58">
      <w:pPr>
        <w:pStyle w:val="16"/>
        <w:keepNext w:val="0"/>
        <w:keepLines w:val="0"/>
        <w:pageBreakBefore w:val="0"/>
        <w:widowControl w:val="0"/>
        <w:kinsoku/>
        <w:wordWrap/>
        <w:overflowPunct/>
        <w:topLinePunct w:val="0"/>
        <w:autoSpaceDE/>
        <w:autoSpaceDN/>
        <w:bidi w:val="0"/>
        <w:adjustRightInd w:val="0"/>
        <w:snapToGrid/>
        <w:spacing w:line="360" w:lineRule="auto"/>
        <w:ind w:firstLine="480"/>
        <w:contextualSpacing/>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shd w:val="clear" w:color="auto" w:fill="auto"/>
        </w:rPr>
        <w:t>按照《政府采购促进中小企业发展管理办法》（财库〔2020〕46号）的相关要求，采购人应当面向中小企业预留采购份额，本项目面向中小企业预留份额</w:t>
      </w:r>
      <w:r>
        <w:rPr>
          <w:rFonts w:hint="eastAsia" w:ascii="宋体" w:hAnsi="宋体" w:eastAsia="宋体" w:cs="宋体"/>
          <w:bCs/>
          <w:color w:val="auto"/>
          <w:sz w:val="24"/>
          <w:szCs w:val="24"/>
          <w:highlight w:val="none"/>
          <w:u w:val="single"/>
          <w:shd w:val="clear" w:color="auto" w:fill="auto"/>
          <w:lang w:val="en-US" w:eastAsia="zh-CN"/>
        </w:rPr>
        <w:t xml:space="preserve"> </w:t>
      </w:r>
      <w:r>
        <w:rPr>
          <w:rFonts w:hint="eastAsia" w:ascii="宋体" w:hAnsi="宋体" w:cs="宋体"/>
          <w:color w:val="auto"/>
          <w:sz w:val="24"/>
          <w:szCs w:val="24"/>
          <w:highlight w:val="none"/>
          <w:u w:val="single"/>
          <w:lang w:val="en-US" w:eastAsia="zh-CN"/>
        </w:rPr>
        <w:t>10</w:t>
      </w:r>
      <w:r>
        <w:rPr>
          <w:rFonts w:hint="eastAsia" w:ascii="宋体" w:hAnsi="宋体" w:eastAsia="宋体" w:cs="宋体"/>
          <w:color w:val="auto"/>
          <w:sz w:val="24"/>
          <w:szCs w:val="24"/>
          <w:highlight w:val="none"/>
          <w:u w:val="single"/>
          <w:lang w:val="en-US" w:eastAsia="zh-CN"/>
        </w:rPr>
        <w:t>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7CE7397">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四、磋商报价</w:t>
      </w:r>
    </w:p>
    <w:p w14:paraId="1396C78C">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val="en-US" w:eastAsia="zh-CN"/>
        </w:rPr>
        <w:t>1.</w:t>
      </w:r>
      <w:r>
        <w:rPr>
          <w:rFonts w:hint="eastAsia" w:ascii="宋体" w:hAnsi="宋体" w:eastAsia="宋体" w:cs="宋体"/>
          <w:bCs/>
          <w:color w:val="auto"/>
          <w:sz w:val="24"/>
          <w:szCs w:val="24"/>
          <w:highlight w:val="none"/>
          <w:shd w:val="clear" w:color="auto" w:fill="auto"/>
        </w:rPr>
        <w:t>本工程磋商报价采用工程量清单报价。供应商应按要求提供已标价工程量清单。</w:t>
      </w:r>
    </w:p>
    <w:p w14:paraId="3BBF58CA">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
          <w:bCs w:val="0"/>
          <w:color w:val="auto"/>
          <w:sz w:val="24"/>
          <w:szCs w:val="24"/>
          <w:highlight w:val="none"/>
          <w:shd w:val="clear" w:color="auto" w:fill="auto"/>
        </w:rPr>
        <w:t>*已标价工程量清单包括（根据最新工程量清单计价规范提供）</w:t>
      </w:r>
      <w:r>
        <w:rPr>
          <w:rFonts w:hint="eastAsia" w:ascii="宋体" w:hAnsi="宋体" w:eastAsia="宋体" w:cs="宋体"/>
          <w:bCs/>
          <w:color w:val="auto"/>
          <w:sz w:val="24"/>
          <w:szCs w:val="24"/>
          <w:highlight w:val="none"/>
          <w:shd w:val="clear" w:color="auto" w:fill="auto"/>
        </w:rPr>
        <w:t>:单位工程费汇总表、分部分项工程和单价措施项目清单计价表、总价措施项目清单与计价表、其他项目清单与计价汇总表、暂列金额明细表、材料暂估价格表、专业工程暂估价表、规费、税金项目清单计价表、乙供主要材料及设备价格表。</w:t>
      </w:r>
    </w:p>
    <w:p w14:paraId="7D8BDD76">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val="en-US" w:eastAsia="zh-CN"/>
        </w:rPr>
        <w:t>2.</w:t>
      </w:r>
      <w:r>
        <w:rPr>
          <w:rFonts w:hint="eastAsia" w:ascii="宋体" w:hAnsi="宋体" w:eastAsia="宋体" w:cs="宋体"/>
          <w:bCs/>
          <w:color w:val="auto"/>
          <w:sz w:val="24"/>
          <w:szCs w:val="24"/>
          <w:highlight w:val="none"/>
          <w:shd w:val="clear" w:color="auto" w:fill="auto"/>
        </w:rPr>
        <w:t>本项目磋商报价为</w:t>
      </w:r>
      <w:r>
        <w:rPr>
          <w:rFonts w:hint="eastAsia" w:ascii="宋体" w:hAnsi="宋体" w:eastAsia="宋体" w:cs="宋体"/>
          <w:b/>
          <w:bCs w:val="0"/>
          <w:color w:val="auto"/>
          <w:sz w:val="24"/>
          <w:szCs w:val="24"/>
          <w:highlight w:val="none"/>
          <w:shd w:val="clear" w:color="auto" w:fill="auto"/>
        </w:rPr>
        <w:t>固定综合单价</w:t>
      </w:r>
      <w:r>
        <w:rPr>
          <w:rFonts w:hint="eastAsia" w:ascii="宋体" w:hAnsi="宋体" w:eastAsia="宋体" w:cs="宋体"/>
          <w:bCs/>
          <w:color w:val="auto"/>
          <w:sz w:val="24"/>
          <w:szCs w:val="24"/>
          <w:highlight w:val="none"/>
          <w:shd w:val="clear" w:color="auto" w:fill="auto"/>
        </w:rPr>
        <w:t>，磋商报价为供应商在磋商响应文件中提出的各项支付金额的总和。</w:t>
      </w:r>
    </w:p>
    <w:p w14:paraId="1C2C5F0E">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val="en-US" w:eastAsia="zh-CN"/>
        </w:rPr>
        <w:t>3.</w:t>
      </w:r>
      <w:r>
        <w:rPr>
          <w:rFonts w:hint="eastAsia" w:ascii="宋体" w:hAnsi="宋体" w:eastAsia="宋体" w:cs="宋体"/>
          <w:bCs/>
          <w:color w:val="auto"/>
          <w:sz w:val="24"/>
          <w:szCs w:val="24"/>
          <w:highlight w:val="none"/>
          <w:shd w:val="clear" w:color="auto" w:fill="auto"/>
        </w:rPr>
        <w:t>供应商所填报的各项基价中的各种材料单价在合同实施期间不因市场价格变化因素而变动，供应商在报综合单价时应考虑各种风险因素和自己的承受能力。</w:t>
      </w:r>
    </w:p>
    <w:p w14:paraId="246D44F2">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val="en-US" w:eastAsia="zh-CN"/>
        </w:rPr>
        <w:t>4.</w:t>
      </w:r>
      <w:r>
        <w:rPr>
          <w:rFonts w:hint="eastAsia" w:ascii="宋体" w:hAnsi="宋体" w:eastAsia="宋体" w:cs="宋体"/>
          <w:bCs/>
          <w:color w:val="auto"/>
          <w:sz w:val="24"/>
          <w:szCs w:val="24"/>
          <w:highlight w:val="none"/>
          <w:shd w:val="clear" w:color="auto" w:fill="auto"/>
        </w:rPr>
        <w:t>因设计变更引起工程项目、工程量变化的，变更合同价款详见合同条款。</w:t>
      </w:r>
    </w:p>
    <w:p w14:paraId="7B64CA68">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val="en-US" w:eastAsia="zh-CN"/>
        </w:rPr>
        <w:t>5.</w:t>
      </w:r>
      <w:r>
        <w:rPr>
          <w:rFonts w:hint="eastAsia" w:ascii="宋体" w:hAnsi="宋体" w:eastAsia="宋体" w:cs="宋体"/>
          <w:bCs/>
          <w:color w:val="auto"/>
          <w:sz w:val="24"/>
          <w:szCs w:val="24"/>
          <w:highlight w:val="none"/>
          <w:shd w:val="clear" w:color="auto" w:fill="auto"/>
        </w:rPr>
        <w:t>代理机构反对盲目压低报价。</w:t>
      </w:r>
    </w:p>
    <w:p w14:paraId="4F99B467">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val="en-US" w:eastAsia="zh-CN"/>
        </w:rPr>
        <w:t>6.</w:t>
      </w:r>
      <w:r>
        <w:rPr>
          <w:rFonts w:hint="eastAsia" w:ascii="宋体" w:hAnsi="宋体" w:eastAsia="宋体" w:cs="宋体"/>
          <w:bCs/>
          <w:color w:val="auto"/>
          <w:sz w:val="24"/>
          <w:szCs w:val="24"/>
          <w:highlight w:val="none"/>
          <w:shd w:val="clear" w:color="auto" w:fill="auto"/>
        </w:rPr>
        <w:t>磋商报价的编制要求：</w:t>
      </w:r>
    </w:p>
    <w:p w14:paraId="768BE1B4">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lang w:val="en-US" w:eastAsia="zh-CN"/>
        </w:rPr>
        <w:t>1</w:t>
      </w: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rPr>
        <w:t>磋商报价应该是按磋商文件规定的招标范围内工程量清单所列项目的全部费用总和，是磋商文件、工程量清单及其附属资料所要求范围内的全部工作内容的价格的体现，其应包括按设计要求实施和完成本工程所需人工费、材料费、机械费、企业管理费、利润、措施项目费、规费及税金等，同时应考虑承担合同所示责任、义务和一般风险，以及可能因工程量的调整及实施项目的变更而引起的价格调整风险。综合单价为完成一个规定计量单位的分部分项工程量清单项目或措施清单项目所需的人工费、材料费、施工机械使用费和企业管理费与利润，以及一定范围内的风险费用。</w:t>
      </w:r>
    </w:p>
    <w:p w14:paraId="2066C888">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lang w:val="en-US" w:eastAsia="zh-CN"/>
        </w:rPr>
        <w:t>2</w:t>
      </w: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rPr>
        <w:t>供应商应根据磋商文件（含工程量清单）的有关要求，施工现场实际情况及拟定的施工方案或施工组织设计，依据企业定额和市场价格信息或参照建设行政主管部门发布的计价定额编制磋商报价，供应商的磋商总价应当与分部分项工程费、措施项目费、其他项目费和规费、税金的合计金额一致。供应商在进行工程量清单招标的磋商报价时，不能进行磋商总价的优惠让利，供应商对磋商报价的任何优惠让利均应反映在相应清单项目的综合单价中，不可竞争费不得优惠让利。</w:t>
      </w:r>
    </w:p>
    <w:p w14:paraId="61F51A1B">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lang w:val="en-US" w:eastAsia="zh-CN"/>
        </w:rPr>
        <w:t>3</w:t>
      </w: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rPr>
        <w:t>其他项目清单中的材料暂估价、暂列金额、专业工程暂估价、预留金均不能优惠，虽在开标时计入供应商的报价中，但不应视为供应商所有。</w:t>
      </w:r>
    </w:p>
    <w:p w14:paraId="51D9235A">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lang w:val="en-US" w:eastAsia="zh-CN"/>
        </w:rPr>
        <w:t>4</w:t>
      </w: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rPr>
        <w:t>工程量清单是按采购人提供的设计图纸、答疑等相关说明；《建设工程工程量清单计价规范》(GB50500-2013)、《园林绿化工程工程量计算规范》(GB50858-2013)、《通用安装工程工程量计算规范》(GB50856-2013)、《市政工程工程量计算规范》(GB50857-2013)、《房屋建筑与装饰工程工程量计算规范》(GB50854-2013)</w:t>
      </w:r>
      <w:r>
        <w:rPr>
          <w:rFonts w:hint="eastAsia" w:ascii="宋体" w:hAnsi="宋体" w:cs="宋体"/>
          <w:bCs/>
          <w:color w:val="auto"/>
          <w:sz w:val="24"/>
          <w:szCs w:val="24"/>
          <w:highlight w:val="none"/>
          <w:shd w:val="clear" w:color="auto" w:fill="auto"/>
          <w:lang w:eastAsia="zh-CN"/>
        </w:rPr>
        <w:t>、2014年《江苏省建设工程费用定额》、2007版《江苏省仿古建筑与园林工程计价表》、2014版《江苏省市政工程计价定额》、2014版《江苏省建筑与装饰工程计价定额》、2014版《江苏省安装工程计价定额》、常建[2014]279号文 “关于贯彻《建设工程工程量清单计价规范》（GB50500-2013）等国家标准和省2014年建筑与装饰、安装、市政等专业工程计价定额及费用定额的通知”、苏建价(2014)448号文 “省住房城乡建设厅关于《建设工程工程量清单计价规范》（GB50500-2013）及其9本工程量计算规范的贯彻意见”、苏建价[2016]154号文 “省住房城乡建设厅关于建筑业实施营改增后江苏省建设工程计价依据调整的通知”、常建[2016]94号文 “省住房城乡建设厅关于建筑业实施营改增后江苏省建设工程计价依据调整的通知”等规范、文件和要求进行编制、常建[2017]103号文 “关于进一步规范全市建设工程招投标相关工作的通知”、常建[2019]1号文 “关于贯彻《省住房城乡建设厅关于调整建设工程按质论价等费用计取方法的公告》的通知”、苏建函价[2019]178号文 “省住房城乡建设厅关于调整建设工程计价增值税税率的通知”、[2019]第19号文“省住房城乡建设厅关于建筑工人实名制费用计取方法的公告”、常住建[2020]99号“关于转发《省住房和城乡建设厅关于实施安全文明施工措施费动态计价管理的公告》的通知”、其他有关工程造价方面的法律法规、办法、规定等</w:t>
      </w:r>
      <w:r>
        <w:rPr>
          <w:rFonts w:hint="eastAsia" w:ascii="宋体" w:hAnsi="宋体" w:eastAsia="宋体" w:cs="宋体"/>
          <w:bCs/>
          <w:color w:val="auto"/>
          <w:sz w:val="24"/>
          <w:szCs w:val="24"/>
          <w:highlight w:val="none"/>
          <w:shd w:val="clear" w:color="auto" w:fill="auto"/>
        </w:rPr>
        <w:t>编制。施工中所用的材料、成品、半成品在制作、运输、安装中等发生的一切损耗应包括在报价内。工程量清单标明的工程量是供应商报价的共同基础，竣工结算的工程量按发包方和承办方双方在合同约定的应予计量、且实际完成的工程量确定。</w:t>
      </w:r>
    </w:p>
    <w:p w14:paraId="26BF03AE">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lang w:val="en-US" w:eastAsia="zh-CN"/>
        </w:rPr>
        <w:t>5</w:t>
      </w: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rPr>
        <w:t>不可竞争费的计取按现行文件规定和清单、纪要的规定执行，具体为现场安全文明施工措施费、规费、税金、暂列金额、暂估价（费率见后工程量清单），不得更改。“总价措施项目清单与计价表”中除安全文明施工费以外的其他费率均为可竞争费率，由供应商根据各自情况自报并计入磋商总价。特别强调：为进一步提升施工现场管理，要求施工过程中的围墙（围挡）、工地施工过程管理、渣土装载运输等，应认真落实执行相关配套文件精神，有关费用承包人须在项目措施费中落实。</w:t>
      </w:r>
    </w:p>
    <w:p w14:paraId="2A7F37E6">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lang w:val="en-US" w:eastAsia="zh-CN"/>
        </w:rPr>
        <w:t>6</w:t>
      </w: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rPr>
        <w:t>供应商应按采购人提供的工程量清单填报价格，填写的项目编码、项目名称、项目特征、计量单位、工程量必须与采购人提供的一致。</w:t>
      </w:r>
    </w:p>
    <w:p w14:paraId="391AF67A">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lang w:val="en-US" w:eastAsia="zh-CN"/>
        </w:rPr>
        <w:t>7</w:t>
      </w: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rPr>
        <w:t>分部分项工程费应依据最新计价规范综合单价组成内容，按分部分项工程量清单项目的特征描述确定综合单价（本工程量清单项目特征描述的做法与设计图纸或答疑不一致的，均以本清单所描述的做法为准，本清单项目特征描述的做法如有不详细处，均以设计图纸的详细做法为准）。综合单价中应考虑磋商响应文件中要求供应商承担的风险费用。暂估单价的材料，按暂估的单价计入综合单价。</w:t>
      </w:r>
    </w:p>
    <w:p w14:paraId="550688B0">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lang w:eastAsia="zh-CN"/>
        </w:rPr>
        <w:t>（</w:t>
      </w:r>
      <w:r>
        <w:rPr>
          <w:rFonts w:hint="eastAsia" w:ascii="宋体" w:hAnsi="宋体" w:cs="宋体"/>
          <w:bCs/>
          <w:color w:val="auto"/>
          <w:sz w:val="24"/>
          <w:szCs w:val="24"/>
          <w:highlight w:val="none"/>
          <w:shd w:val="clear" w:color="auto" w:fill="auto"/>
          <w:lang w:val="en-US" w:eastAsia="zh-CN"/>
        </w:rPr>
        <w:t>8</w:t>
      </w:r>
      <w:r>
        <w:rPr>
          <w:rFonts w:hint="eastAsia" w:ascii="宋体" w:hAnsi="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rPr>
        <w:t>磋商报价需考虑正常深化设计所引起的基层或节点变化，今后因深化设计引起的费用增加由成交供应商承担；</w:t>
      </w:r>
    </w:p>
    <w:p w14:paraId="5214FFA6">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lang w:eastAsia="zh-CN"/>
        </w:rPr>
        <w:t>（</w:t>
      </w:r>
      <w:r>
        <w:rPr>
          <w:rFonts w:hint="eastAsia" w:ascii="宋体" w:hAnsi="宋体" w:cs="宋体"/>
          <w:bCs/>
          <w:color w:val="auto"/>
          <w:sz w:val="24"/>
          <w:szCs w:val="24"/>
          <w:highlight w:val="none"/>
          <w:shd w:val="clear" w:color="auto" w:fill="auto"/>
          <w:lang w:val="en-US" w:eastAsia="zh-CN"/>
        </w:rPr>
        <w:t>9</w:t>
      </w:r>
      <w:r>
        <w:rPr>
          <w:rFonts w:hint="eastAsia" w:ascii="宋体" w:hAnsi="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rPr>
        <w:t>分部分项工程量清单中项目特征描述及工作内容的描述未尽之处请详见设计图纸及技术规范要求；</w:t>
      </w:r>
    </w:p>
    <w:p w14:paraId="05BF4690">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lang w:eastAsia="zh-CN"/>
        </w:rPr>
        <w:t>（</w:t>
      </w:r>
      <w:r>
        <w:rPr>
          <w:rFonts w:hint="eastAsia" w:ascii="宋体" w:hAnsi="宋体" w:cs="宋体"/>
          <w:bCs/>
          <w:color w:val="auto"/>
          <w:sz w:val="24"/>
          <w:szCs w:val="24"/>
          <w:highlight w:val="none"/>
          <w:shd w:val="clear" w:color="auto" w:fill="auto"/>
          <w:lang w:val="en-US" w:eastAsia="zh-CN"/>
        </w:rPr>
        <w:t>10</w:t>
      </w:r>
      <w:r>
        <w:rPr>
          <w:rFonts w:hint="eastAsia" w:ascii="宋体" w:hAnsi="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rPr>
        <w:t>二级子目工程量，工程量清单项目特征描述中已提供的，供应商应按照提供工程量报价，结算时按规定进行调整；</w:t>
      </w:r>
    </w:p>
    <w:p w14:paraId="6E8E2C34">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lang w:eastAsia="zh-CN"/>
        </w:rPr>
        <w:t>（</w:t>
      </w:r>
      <w:r>
        <w:rPr>
          <w:rFonts w:hint="eastAsia" w:ascii="宋体" w:hAnsi="宋体" w:cs="宋体"/>
          <w:bCs/>
          <w:color w:val="auto"/>
          <w:sz w:val="24"/>
          <w:szCs w:val="24"/>
          <w:highlight w:val="none"/>
          <w:shd w:val="clear" w:color="auto" w:fill="auto"/>
          <w:lang w:val="en-US" w:eastAsia="zh-CN"/>
        </w:rPr>
        <w:t>11</w:t>
      </w:r>
      <w:r>
        <w:rPr>
          <w:rFonts w:hint="eastAsia" w:ascii="宋体" w:hAnsi="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rPr>
        <w:t>本工程所用材料均需符合绿色环保的要求且辐射值在国家规定范围之内。所有材料卸力费、上料费、保管费、配合费、二次搬运费均应考虑在综合单价中，结算时不应另外增加以上费用；</w:t>
      </w:r>
    </w:p>
    <w:p w14:paraId="3850280C">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w:t>
      </w:r>
      <w:r>
        <w:rPr>
          <w:rFonts w:hint="eastAsia" w:ascii="宋体" w:hAnsi="宋体" w:cs="宋体"/>
          <w:bCs/>
          <w:color w:val="auto"/>
          <w:sz w:val="24"/>
          <w:szCs w:val="24"/>
          <w:highlight w:val="none"/>
          <w:shd w:val="clear" w:color="auto" w:fill="auto"/>
          <w:lang w:val="en-US" w:eastAsia="zh-CN"/>
        </w:rPr>
        <w:t>12</w:t>
      </w: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rPr>
        <w:t>因工程变更造成施工方案变更,引起措施项目发生变化时。措施项目费进行相应的调整，详见合同条款。</w:t>
      </w:r>
    </w:p>
    <w:p w14:paraId="0F5B8AE0">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w:t>
      </w:r>
      <w:r>
        <w:rPr>
          <w:rFonts w:hint="eastAsia" w:ascii="宋体" w:hAnsi="宋体" w:cs="宋体"/>
          <w:bCs/>
          <w:color w:val="auto"/>
          <w:sz w:val="24"/>
          <w:szCs w:val="24"/>
          <w:highlight w:val="none"/>
          <w:shd w:val="clear" w:color="auto" w:fill="auto"/>
          <w:lang w:val="en-US" w:eastAsia="zh-CN"/>
        </w:rPr>
        <w:t>13</w:t>
      </w: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rPr>
        <w:t>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w:t>
      </w:r>
    </w:p>
    <w:p w14:paraId="6440A29E">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w:t>
      </w:r>
      <w:r>
        <w:rPr>
          <w:rFonts w:hint="eastAsia" w:ascii="宋体" w:hAnsi="宋体" w:cs="宋体"/>
          <w:bCs/>
          <w:color w:val="auto"/>
          <w:sz w:val="24"/>
          <w:szCs w:val="24"/>
          <w:highlight w:val="none"/>
          <w:shd w:val="clear" w:color="auto" w:fill="auto"/>
          <w:lang w:val="en-US" w:eastAsia="zh-CN"/>
        </w:rPr>
        <w:t>14</w:t>
      </w: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rPr>
        <w:t>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p>
    <w:p w14:paraId="04F5CBBB">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w:t>
      </w:r>
      <w:r>
        <w:rPr>
          <w:rFonts w:hint="eastAsia" w:ascii="宋体" w:hAnsi="宋体" w:cs="宋体"/>
          <w:bCs/>
          <w:color w:val="auto"/>
          <w:sz w:val="24"/>
          <w:szCs w:val="24"/>
          <w:highlight w:val="none"/>
          <w:shd w:val="clear" w:color="auto" w:fill="auto"/>
          <w:lang w:val="en-US" w:eastAsia="zh-CN"/>
        </w:rPr>
        <w:t>15</w:t>
      </w: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rPr>
        <w:t>本工程工程量清单及编制说明中提供材料（设备）备选品牌（或规格、型号、产地）的，应在备选品牌（或规格、型号、产地）范围内自行选择一款并根据市场行情及自身实际情况进行组价、报价。凡清单中提供可选品牌的材料（设备），磋商报价的“承包人供应主要材料一览表”中应注明供应商所选择的材料（设备）的品牌（或规格、型号、产地），未注明上述信息的，视为供应商同意由采购人选择相应材料（设备）的品牌（或规格、型号、产地），但材料（设备）价格不予调整。因可选品牌材料（设备）之间客观存在的差异所引起的价格差异由供应商在磋商报价时综合考虑。成交后，供应商不得因此提出价格调整的要求。代理机构所提供的工程量清单，应认为已包括完成本工程的所有项目。凡设计图纸已指明的工程或完成图纸所示的附属工程、相关工程、衔接与后续工程所需的费用，供应商应计入相关项目的单价中。供应商未填单价或合价的工程项目在实施后，采购人将不予以支付，并视为该项费用已包括在其他有价款的单价或合价内，供应商必须按监理工程师的指令完成工程量清单中未填入单价或总额价的工程细目，但不能得到支付与结算。</w:t>
      </w:r>
    </w:p>
    <w:p w14:paraId="1C5C83E0">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lang w:val="en-US" w:eastAsia="zh-CN"/>
        </w:rPr>
        <w:t>1</w:t>
      </w:r>
      <w:r>
        <w:rPr>
          <w:rFonts w:hint="eastAsia" w:ascii="宋体" w:hAnsi="宋体" w:cs="宋体"/>
          <w:bCs/>
          <w:color w:val="auto"/>
          <w:sz w:val="24"/>
          <w:szCs w:val="24"/>
          <w:highlight w:val="none"/>
          <w:shd w:val="clear" w:color="auto" w:fill="auto"/>
          <w:lang w:val="en-US" w:eastAsia="zh-CN"/>
        </w:rPr>
        <w:t>6</w:t>
      </w: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rPr>
        <w:t>供应商在磋商前应对现场进行认真踏勘，熟悉工程现场和周围环境，了解一切可能影响磋商方案、报价等编制磋商响应文件的资料，并承担考查现场的责任和风险以及踏勘现场所发生的自身费用。成交后，供应商不得以不完全了解施工现场及周围环境为由，提出额外款项增加、补偿或延长工期等要求。同时作为一个有经验的承包商，应充分考虑与施工现场周边居民的关系及外围矛盾的协调，磋商报价时应包含解决与当地居民、地方矛盾所产生的费用，并承担相应的责任。</w:t>
      </w:r>
    </w:p>
    <w:p w14:paraId="604B6554">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lang w:val="en-US" w:eastAsia="zh-CN"/>
        </w:rPr>
        <w:t>1</w:t>
      </w:r>
      <w:r>
        <w:rPr>
          <w:rFonts w:hint="eastAsia" w:ascii="宋体" w:hAnsi="宋体" w:cs="宋体"/>
          <w:bCs/>
          <w:color w:val="auto"/>
          <w:sz w:val="24"/>
          <w:szCs w:val="24"/>
          <w:highlight w:val="none"/>
          <w:shd w:val="clear" w:color="auto" w:fill="auto"/>
          <w:lang w:val="en-US" w:eastAsia="zh-CN"/>
        </w:rPr>
        <w:t>7</w:t>
      </w: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rPr>
        <w:t>用于本工程的所有材料、设备必须符合有关规范、设计图纸规定的质量要求。且所有材料及设备的品牌、规格型号、色号、产地、生产产家、参数、性能、价格等均须提前一周书面征求监理单位、审计部门单位、建设单位等同意后方能进行采购。所有材料及设备进场前也必须经监理单位、审计部门单位、建设单位等事先认可后才能用于本工程。即成交供应商对用于本工程的所有材料及设备的品牌、规格型号、色号、产地、生产产家、参数、性能、价格等负责。</w:t>
      </w:r>
    </w:p>
    <w:p w14:paraId="0F318808">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rPr>
          <w:rFonts w:hint="eastAsia" w:ascii="宋体" w:hAnsi="宋体" w:eastAsia="宋体" w:cs="宋体"/>
          <w:b/>
          <w:bCs w:val="0"/>
          <w:color w:val="auto"/>
          <w:sz w:val="24"/>
          <w:szCs w:val="24"/>
          <w:highlight w:val="none"/>
          <w:shd w:val="clear" w:color="auto" w:fill="auto"/>
        </w:rPr>
      </w:pPr>
      <w:r>
        <w:rPr>
          <w:rFonts w:hint="eastAsia" w:ascii="宋体" w:hAnsi="宋体" w:eastAsia="宋体" w:cs="宋体"/>
          <w:b/>
          <w:bCs w:val="0"/>
          <w:color w:val="auto"/>
          <w:sz w:val="24"/>
          <w:szCs w:val="24"/>
          <w:highlight w:val="none"/>
          <w:shd w:val="clear" w:color="auto" w:fill="auto"/>
          <w:lang w:val="en-US" w:eastAsia="zh-CN"/>
        </w:rPr>
        <w:t>7.供应商的最后报价作为评分依据，如最后报价与第一次报价不一致，则</w:t>
      </w:r>
      <w:r>
        <w:rPr>
          <w:rFonts w:hint="eastAsia" w:ascii="宋体" w:hAnsi="宋体" w:eastAsia="宋体" w:cs="宋体"/>
          <w:b/>
          <w:bCs w:val="0"/>
          <w:color w:val="auto"/>
          <w:sz w:val="24"/>
          <w:szCs w:val="24"/>
          <w:highlight w:val="none"/>
          <w:shd w:val="clear" w:color="auto" w:fill="auto"/>
        </w:rPr>
        <w:t>签订合同时单价根据最终报价与首次报价之比同比例下浮。</w:t>
      </w:r>
    </w:p>
    <w:p w14:paraId="77307307">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rPr>
          <w:rFonts w:hint="eastAsia" w:ascii="宋体" w:hAnsi="宋体" w:cs="宋体"/>
          <w:b/>
          <w:bCs w:val="0"/>
          <w:color w:val="auto"/>
          <w:sz w:val="24"/>
          <w:szCs w:val="24"/>
          <w:highlight w:val="none"/>
          <w:shd w:val="clear" w:color="auto" w:fill="auto"/>
          <w:lang w:eastAsia="zh-CN"/>
        </w:rPr>
      </w:pPr>
      <w:r>
        <w:rPr>
          <w:rFonts w:hint="eastAsia" w:ascii="宋体" w:hAnsi="宋体" w:cs="宋体"/>
          <w:b/>
          <w:bCs w:val="0"/>
          <w:color w:val="auto"/>
          <w:sz w:val="24"/>
          <w:szCs w:val="24"/>
          <w:highlight w:val="none"/>
          <w:shd w:val="clear" w:color="auto" w:fill="auto"/>
          <w:lang w:eastAsia="zh-CN"/>
        </w:rPr>
        <w:t>★</w:t>
      </w:r>
      <w:r>
        <w:rPr>
          <w:rFonts w:hint="eastAsia" w:ascii="宋体" w:hAnsi="宋体" w:cs="宋体"/>
          <w:b/>
          <w:bCs w:val="0"/>
          <w:color w:val="auto"/>
          <w:sz w:val="24"/>
          <w:szCs w:val="24"/>
          <w:highlight w:val="none"/>
          <w:shd w:val="clear" w:color="auto" w:fill="auto"/>
          <w:lang w:val="en-US" w:eastAsia="zh-CN"/>
        </w:rPr>
        <w:t>8.</w:t>
      </w:r>
      <w:r>
        <w:rPr>
          <w:rFonts w:hint="eastAsia" w:ascii="宋体" w:hAnsi="宋体" w:cs="宋体"/>
          <w:b/>
          <w:bCs w:val="0"/>
          <w:color w:val="auto"/>
          <w:sz w:val="24"/>
          <w:szCs w:val="24"/>
          <w:highlight w:val="none"/>
          <w:shd w:val="clear" w:color="auto" w:fill="auto"/>
          <w:lang w:eastAsia="zh-CN"/>
        </w:rPr>
        <w:t>供应商的磋商报价高于最高限价，综合单价高于</w:t>
      </w:r>
      <w:r>
        <w:rPr>
          <w:rFonts w:hint="eastAsia" w:ascii="宋体" w:hAnsi="宋体" w:cs="宋体"/>
          <w:b/>
          <w:bCs w:val="0"/>
          <w:color w:val="auto"/>
          <w:sz w:val="24"/>
          <w:szCs w:val="24"/>
          <w:highlight w:val="none"/>
          <w:shd w:val="clear" w:color="auto" w:fill="auto"/>
          <w:lang w:val="en-US" w:eastAsia="zh-CN"/>
        </w:rPr>
        <w:t>控制价单价限价</w:t>
      </w:r>
      <w:r>
        <w:rPr>
          <w:rFonts w:hint="eastAsia" w:ascii="宋体" w:hAnsi="宋体" w:cs="宋体"/>
          <w:b/>
          <w:bCs w:val="0"/>
          <w:color w:val="auto"/>
          <w:sz w:val="24"/>
          <w:szCs w:val="24"/>
          <w:highlight w:val="none"/>
          <w:shd w:val="clear" w:color="auto" w:fill="auto"/>
          <w:lang w:eastAsia="zh-CN"/>
        </w:rPr>
        <w:t>的按无效响应处理。</w:t>
      </w:r>
    </w:p>
    <w:p w14:paraId="71B94A89">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rPr>
          <w:rFonts w:hint="eastAsia" w:ascii="宋体" w:hAnsi="宋体" w:cs="宋体"/>
          <w:b/>
          <w:bCs w:val="0"/>
          <w:color w:val="auto"/>
          <w:sz w:val="24"/>
          <w:szCs w:val="24"/>
          <w:highlight w:val="none"/>
          <w:shd w:val="clear" w:color="auto" w:fill="auto"/>
          <w:lang w:eastAsia="zh-CN"/>
        </w:rPr>
      </w:pPr>
      <w:r>
        <w:rPr>
          <w:rFonts w:hint="eastAsia" w:ascii="宋体" w:hAnsi="宋体" w:cs="宋体"/>
          <w:b/>
          <w:bCs w:val="0"/>
          <w:color w:val="auto"/>
          <w:sz w:val="24"/>
          <w:szCs w:val="24"/>
          <w:highlight w:val="none"/>
          <w:shd w:val="clear" w:color="auto" w:fill="auto"/>
          <w:lang w:eastAsia="zh-CN"/>
        </w:rPr>
        <w:t>★</w:t>
      </w:r>
      <w:r>
        <w:rPr>
          <w:rFonts w:hint="eastAsia" w:ascii="宋体" w:hAnsi="宋体" w:cs="宋体"/>
          <w:b/>
          <w:bCs w:val="0"/>
          <w:color w:val="auto"/>
          <w:sz w:val="24"/>
          <w:szCs w:val="24"/>
          <w:highlight w:val="none"/>
          <w:shd w:val="clear" w:color="auto" w:fill="auto"/>
          <w:lang w:val="en-US" w:eastAsia="zh-CN"/>
        </w:rPr>
        <w:t>9.</w:t>
      </w:r>
      <w:r>
        <w:rPr>
          <w:rFonts w:hint="eastAsia" w:ascii="宋体" w:hAnsi="宋体" w:cs="宋体"/>
          <w:b/>
          <w:bCs w:val="0"/>
          <w:color w:val="auto"/>
          <w:sz w:val="24"/>
          <w:szCs w:val="24"/>
          <w:highlight w:val="none"/>
          <w:shd w:val="clear" w:color="auto" w:fill="auto"/>
          <w:lang w:eastAsia="zh-CN"/>
        </w:rPr>
        <w:t>供应商必须按照工程量清单填报价格。项目编码、项目名称、项目特征、计量单位、工程量必须与工程量清单一致（供应商自行补充的措施项目除外），否则按无效响应处理。</w:t>
      </w:r>
    </w:p>
    <w:p w14:paraId="74F1A187">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rPr>
          <w:rFonts w:hint="eastAsia" w:ascii="宋体" w:hAnsi="宋体" w:cs="宋体"/>
          <w:b/>
          <w:bCs w:val="0"/>
          <w:color w:val="auto"/>
          <w:sz w:val="24"/>
          <w:szCs w:val="24"/>
          <w:highlight w:val="none"/>
          <w:shd w:val="clear" w:color="auto" w:fill="auto"/>
          <w:lang w:eastAsia="zh-CN"/>
        </w:rPr>
      </w:pPr>
      <w:r>
        <w:rPr>
          <w:rFonts w:hint="eastAsia" w:ascii="宋体" w:hAnsi="宋体" w:cs="宋体"/>
          <w:b/>
          <w:bCs w:val="0"/>
          <w:color w:val="auto"/>
          <w:sz w:val="24"/>
          <w:szCs w:val="24"/>
          <w:highlight w:val="none"/>
          <w:shd w:val="clear" w:color="auto" w:fill="auto"/>
          <w:lang w:eastAsia="zh-CN"/>
        </w:rPr>
        <w:t>★</w:t>
      </w:r>
      <w:r>
        <w:rPr>
          <w:rFonts w:hint="eastAsia" w:ascii="宋体" w:hAnsi="宋体" w:cs="宋体"/>
          <w:b/>
          <w:bCs w:val="0"/>
          <w:color w:val="auto"/>
          <w:sz w:val="24"/>
          <w:szCs w:val="24"/>
          <w:highlight w:val="none"/>
          <w:shd w:val="clear" w:color="auto" w:fill="auto"/>
          <w:lang w:val="en-US" w:eastAsia="zh-CN"/>
        </w:rPr>
        <w:t>10.</w:t>
      </w:r>
      <w:r>
        <w:rPr>
          <w:rFonts w:hint="eastAsia" w:ascii="宋体" w:hAnsi="宋体" w:cs="宋体"/>
          <w:b/>
          <w:bCs w:val="0"/>
          <w:color w:val="auto"/>
          <w:sz w:val="24"/>
          <w:szCs w:val="24"/>
          <w:highlight w:val="none"/>
          <w:shd w:val="clear" w:color="auto" w:fill="auto"/>
          <w:lang w:eastAsia="zh-CN"/>
        </w:rPr>
        <w:t>其中安全文明施工费费率与工程量清单费率一致，否则按无效响应处理。</w:t>
      </w:r>
    </w:p>
    <w:p w14:paraId="40E5B71E">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rPr>
          <w:rFonts w:hint="eastAsia" w:ascii="宋体" w:hAnsi="宋体" w:cs="宋体"/>
          <w:b/>
          <w:bCs w:val="0"/>
          <w:color w:val="auto"/>
          <w:sz w:val="24"/>
          <w:szCs w:val="24"/>
          <w:highlight w:val="none"/>
          <w:shd w:val="clear" w:color="auto" w:fill="auto"/>
          <w:lang w:eastAsia="zh-CN"/>
        </w:rPr>
      </w:pPr>
      <w:r>
        <w:rPr>
          <w:rFonts w:hint="eastAsia" w:ascii="宋体" w:hAnsi="宋体" w:cs="宋体"/>
          <w:b/>
          <w:bCs w:val="0"/>
          <w:color w:val="auto"/>
          <w:sz w:val="24"/>
          <w:szCs w:val="24"/>
          <w:highlight w:val="none"/>
          <w:shd w:val="clear" w:color="auto" w:fill="auto"/>
          <w:lang w:eastAsia="zh-CN"/>
        </w:rPr>
        <w:t>★</w:t>
      </w:r>
      <w:r>
        <w:rPr>
          <w:rFonts w:hint="eastAsia" w:ascii="宋体" w:hAnsi="宋体" w:cs="宋体"/>
          <w:b/>
          <w:bCs w:val="0"/>
          <w:color w:val="auto"/>
          <w:sz w:val="24"/>
          <w:szCs w:val="24"/>
          <w:highlight w:val="none"/>
          <w:shd w:val="clear" w:color="auto" w:fill="auto"/>
          <w:lang w:val="en-US" w:eastAsia="zh-CN"/>
        </w:rPr>
        <w:t>11.</w:t>
      </w:r>
      <w:r>
        <w:rPr>
          <w:rFonts w:hint="eastAsia" w:ascii="宋体" w:hAnsi="宋体" w:cs="宋体"/>
          <w:b/>
          <w:bCs w:val="0"/>
          <w:color w:val="auto"/>
          <w:sz w:val="24"/>
          <w:szCs w:val="24"/>
          <w:highlight w:val="none"/>
          <w:shd w:val="clear" w:color="auto" w:fill="auto"/>
          <w:lang w:eastAsia="zh-CN"/>
        </w:rPr>
        <w:t>暂列金额应按工程量清单中列出的金额填写，否则按无效响应处理；</w:t>
      </w:r>
    </w:p>
    <w:p w14:paraId="5A5ACDEE">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rPr>
          <w:rFonts w:hint="eastAsia" w:ascii="宋体" w:hAnsi="宋体" w:cs="宋体"/>
          <w:b/>
          <w:bCs w:val="0"/>
          <w:color w:val="auto"/>
          <w:sz w:val="24"/>
          <w:szCs w:val="24"/>
          <w:highlight w:val="none"/>
          <w:shd w:val="clear" w:color="auto" w:fill="auto"/>
          <w:lang w:eastAsia="zh-CN"/>
        </w:rPr>
      </w:pPr>
      <w:r>
        <w:rPr>
          <w:rFonts w:hint="eastAsia" w:ascii="宋体" w:hAnsi="宋体" w:cs="宋体"/>
          <w:b/>
          <w:bCs w:val="0"/>
          <w:color w:val="auto"/>
          <w:sz w:val="24"/>
          <w:szCs w:val="24"/>
          <w:highlight w:val="none"/>
          <w:shd w:val="clear" w:color="auto" w:fill="auto"/>
          <w:lang w:eastAsia="zh-CN"/>
        </w:rPr>
        <w:t>★</w:t>
      </w:r>
      <w:r>
        <w:rPr>
          <w:rFonts w:hint="eastAsia" w:ascii="宋体" w:hAnsi="宋体" w:cs="宋体"/>
          <w:b/>
          <w:bCs w:val="0"/>
          <w:color w:val="auto"/>
          <w:sz w:val="24"/>
          <w:szCs w:val="24"/>
          <w:highlight w:val="none"/>
          <w:shd w:val="clear" w:color="auto" w:fill="auto"/>
          <w:lang w:val="en-US" w:eastAsia="zh-CN"/>
        </w:rPr>
        <w:t>12.</w:t>
      </w:r>
      <w:r>
        <w:rPr>
          <w:rFonts w:hint="eastAsia" w:ascii="宋体" w:hAnsi="宋体" w:cs="宋体"/>
          <w:b/>
          <w:bCs w:val="0"/>
          <w:color w:val="auto"/>
          <w:sz w:val="24"/>
          <w:szCs w:val="24"/>
          <w:highlight w:val="none"/>
          <w:shd w:val="clear" w:color="auto" w:fill="auto"/>
          <w:lang w:eastAsia="zh-CN"/>
        </w:rPr>
        <w:t>规费和税金费率必须与工程量清单一致，否则按无效响应处理。</w:t>
      </w:r>
    </w:p>
    <w:p w14:paraId="52D63A2D">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rPr>
          <w:rFonts w:hint="eastAsia" w:ascii="宋体" w:hAnsi="宋体" w:cs="宋体"/>
          <w:b/>
          <w:bCs w:val="0"/>
          <w:color w:val="auto"/>
          <w:sz w:val="24"/>
          <w:szCs w:val="24"/>
          <w:highlight w:val="none"/>
          <w:shd w:val="clear" w:color="auto" w:fill="auto"/>
          <w:lang w:eastAsia="zh-CN"/>
        </w:rPr>
      </w:pPr>
      <w:r>
        <w:rPr>
          <w:rFonts w:hint="eastAsia" w:ascii="宋体" w:hAnsi="宋体" w:cs="宋体"/>
          <w:b/>
          <w:bCs w:val="0"/>
          <w:color w:val="auto"/>
          <w:sz w:val="24"/>
          <w:szCs w:val="24"/>
          <w:highlight w:val="none"/>
          <w:shd w:val="clear" w:color="auto" w:fill="auto"/>
          <w:lang w:eastAsia="zh-CN"/>
        </w:rPr>
        <w:t>★</w:t>
      </w:r>
      <w:r>
        <w:rPr>
          <w:rFonts w:hint="eastAsia" w:ascii="宋体" w:hAnsi="宋体" w:cs="宋体"/>
          <w:b/>
          <w:bCs w:val="0"/>
          <w:color w:val="auto"/>
          <w:sz w:val="24"/>
          <w:szCs w:val="24"/>
          <w:highlight w:val="none"/>
          <w:shd w:val="clear" w:color="auto" w:fill="auto"/>
          <w:lang w:val="en-US" w:eastAsia="zh-CN"/>
        </w:rPr>
        <w:t>13.</w:t>
      </w:r>
      <w:r>
        <w:rPr>
          <w:rFonts w:hint="eastAsia" w:ascii="宋体" w:hAnsi="宋体" w:cs="宋体"/>
          <w:b/>
          <w:bCs w:val="0"/>
          <w:color w:val="auto"/>
          <w:sz w:val="24"/>
          <w:szCs w:val="24"/>
          <w:highlight w:val="none"/>
          <w:shd w:val="clear" w:color="auto" w:fill="auto"/>
          <w:lang w:eastAsia="zh-CN"/>
        </w:rPr>
        <w:t>配备一名安全员，具有有效的安全员证书（C证），</w:t>
      </w:r>
      <w:r>
        <w:rPr>
          <w:rFonts w:hint="eastAsia" w:ascii="宋体" w:hAnsi="宋体" w:cs="宋体"/>
          <w:b/>
          <w:bCs w:val="0"/>
          <w:color w:val="auto"/>
          <w:sz w:val="24"/>
          <w:szCs w:val="24"/>
          <w:highlight w:val="none"/>
          <w:shd w:val="clear" w:color="auto" w:fill="auto"/>
          <w:lang w:val="en-US" w:eastAsia="zh-CN"/>
        </w:rPr>
        <w:t>磋商响应文件中</w:t>
      </w:r>
      <w:r>
        <w:rPr>
          <w:rFonts w:hint="eastAsia" w:ascii="宋体" w:hAnsi="宋体" w:cs="宋体"/>
          <w:b/>
          <w:bCs w:val="0"/>
          <w:color w:val="auto"/>
          <w:sz w:val="24"/>
          <w:szCs w:val="24"/>
          <w:highlight w:val="none"/>
          <w:shd w:val="clear" w:color="auto" w:fill="auto"/>
          <w:lang w:eastAsia="zh-CN"/>
        </w:rPr>
        <w:t>提供供应商为安全员缴纳的202</w:t>
      </w:r>
      <w:r>
        <w:rPr>
          <w:rFonts w:hint="eastAsia" w:ascii="宋体" w:hAnsi="宋体" w:cs="宋体"/>
          <w:b/>
          <w:bCs w:val="0"/>
          <w:color w:val="auto"/>
          <w:sz w:val="24"/>
          <w:szCs w:val="24"/>
          <w:highlight w:val="none"/>
          <w:shd w:val="clear" w:color="auto" w:fill="auto"/>
          <w:lang w:val="en-US" w:eastAsia="zh-CN"/>
        </w:rPr>
        <w:t>6</w:t>
      </w:r>
      <w:r>
        <w:rPr>
          <w:rFonts w:hint="eastAsia" w:ascii="宋体" w:hAnsi="宋体" w:cs="宋体"/>
          <w:b/>
          <w:bCs w:val="0"/>
          <w:color w:val="auto"/>
          <w:sz w:val="24"/>
          <w:szCs w:val="24"/>
          <w:highlight w:val="none"/>
          <w:shd w:val="clear" w:color="auto" w:fill="auto"/>
          <w:lang w:eastAsia="zh-CN"/>
        </w:rPr>
        <w:t>年</w:t>
      </w:r>
      <w:r>
        <w:rPr>
          <w:rFonts w:hint="eastAsia" w:ascii="宋体" w:hAnsi="宋体" w:cs="宋体"/>
          <w:b/>
          <w:bCs w:val="0"/>
          <w:color w:val="auto"/>
          <w:sz w:val="24"/>
          <w:szCs w:val="24"/>
          <w:highlight w:val="none"/>
          <w:shd w:val="clear" w:color="auto" w:fill="auto"/>
          <w:lang w:val="en-US" w:eastAsia="zh-CN"/>
        </w:rPr>
        <w:t>2</w:t>
      </w:r>
      <w:r>
        <w:rPr>
          <w:rFonts w:hint="eastAsia" w:ascii="宋体" w:hAnsi="宋体" w:cs="宋体"/>
          <w:b/>
          <w:bCs w:val="0"/>
          <w:color w:val="auto"/>
          <w:sz w:val="24"/>
          <w:szCs w:val="24"/>
          <w:highlight w:val="none"/>
          <w:shd w:val="clear" w:color="auto" w:fill="auto"/>
          <w:lang w:eastAsia="zh-CN"/>
        </w:rPr>
        <w:t>月-202</w:t>
      </w:r>
      <w:r>
        <w:rPr>
          <w:rFonts w:hint="eastAsia" w:ascii="宋体" w:hAnsi="宋体" w:cs="宋体"/>
          <w:b/>
          <w:bCs w:val="0"/>
          <w:color w:val="auto"/>
          <w:sz w:val="24"/>
          <w:szCs w:val="24"/>
          <w:highlight w:val="none"/>
          <w:shd w:val="clear" w:color="auto" w:fill="auto"/>
          <w:lang w:val="en-US" w:eastAsia="zh-CN"/>
        </w:rPr>
        <w:t>6</w:t>
      </w:r>
      <w:r>
        <w:rPr>
          <w:rFonts w:hint="eastAsia" w:ascii="宋体" w:hAnsi="宋体" w:cs="宋体"/>
          <w:b/>
          <w:bCs w:val="0"/>
          <w:color w:val="auto"/>
          <w:sz w:val="24"/>
          <w:szCs w:val="24"/>
          <w:highlight w:val="none"/>
          <w:shd w:val="clear" w:color="auto" w:fill="auto"/>
          <w:lang w:eastAsia="zh-CN"/>
        </w:rPr>
        <w:t>年</w:t>
      </w:r>
      <w:r>
        <w:rPr>
          <w:rFonts w:hint="eastAsia" w:ascii="宋体" w:hAnsi="宋体" w:cs="宋体"/>
          <w:b/>
          <w:bCs w:val="0"/>
          <w:color w:val="auto"/>
          <w:sz w:val="24"/>
          <w:szCs w:val="24"/>
          <w:highlight w:val="none"/>
          <w:shd w:val="clear" w:color="auto" w:fill="auto"/>
          <w:lang w:val="en-US" w:eastAsia="zh-CN"/>
        </w:rPr>
        <w:t>4</w:t>
      </w:r>
      <w:r>
        <w:rPr>
          <w:rFonts w:hint="eastAsia" w:ascii="宋体" w:hAnsi="宋体" w:cs="宋体"/>
          <w:b/>
          <w:bCs w:val="0"/>
          <w:color w:val="auto"/>
          <w:sz w:val="24"/>
          <w:szCs w:val="24"/>
          <w:highlight w:val="none"/>
          <w:shd w:val="clear" w:color="auto" w:fill="auto"/>
          <w:lang w:eastAsia="zh-CN"/>
        </w:rPr>
        <w:t>月</w:t>
      </w:r>
      <w:r>
        <w:rPr>
          <w:rFonts w:hint="eastAsia" w:ascii="宋体" w:hAnsi="宋体" w:cs="宋体"/>
          <w:b/>
          <w:bCs w:val="0"/>
          <w:color w:val="auto"/>
          <w:sz w:val="24"/>
          <w:szCs w:val="24"/>
          <w:highlight w:val="none"/>
          <w:shd w:val="clear" w:color="auto" w:fill="auto"/>
          <w:lang w:val="en-US" w:eastAsia="zh-CN"/>
        </w:rPr>
        <w:t>中</w:t>
      </w:r>
      <w:r>
        <w:rPr>
          <w:rFonts w:hint="eastAsia" w:ascii="宋体" w:hAnsi="宋体" w:cs="宋体"/>
          <w:b/>
          <w:bCs w:val="0"/>
          <w:color w:val="auto"/>
          <w:sz w:val="24"/>
          <w:szCs w:val="24"/>
          <w:highlight w:val="none"/>
          <w:shd w:val="clear" w:color="auto" w:fill="auto"/>
          <w:lang w:eastAsia="zh-CN"/>
        </w:rPr>
        <w:t>任意一</w:t>
      </w:r>
      <w:r>
        <w:rPr>
          <w:rFonts w:hint="eastAsia" w:ascii="宋体" w:hAnsi="宋体" w:cs="宋体"/>
          <w:b/>
          <w:bCs w:val="0"/>
          <w:color w:val="auto"/>
          <w:sz w:val="24"/>
          <w:szCs w:val="24"/>
          <w:highlight w:val="none"/>
          <w:shd w:val="clear" w:color="auto" w:fill="auto"/>
          <w:lang w:val="en-US" w:eastAsia="zh-CN"/>
        </w:rPr>
        <w:t>个</w:t>
      </w:r>
      <w:r>
        <w:rPr>
          <w:rFonts w:hint="eastAsia" w:ascii="宋体" w:hAnsi="宋体" w:cs="宋体"/>
          <w:b/>
          <w:bCs w:val="0"/>
          <w:color w:val="auto"/>
          <w:sz w:val="24"/>
          <w:szCs w:val="24"/>
          <w:highlight w:val="none"/>
          <w:shd w:val="clear" w:color="auto" w:fill="auto"/>
          <w:lang w:eastAsia="zh-CN"/>
        </w:rPr>
        <w:t>月</w:t>
      </w:r>
      <w:r>
        <w:rPr>
          <w:rFonts w:hint="eastAsia" w:ascii="宋体" w:hAnsi="宋体" w:cs="宋体"/>
          <w:b/>
          <w:bCs w:val="0"/>
          <w:color w:val="auto"/>
          <w:sz w:val="24"/>
          <w:szCs w:val="24"/>
          <w:highlight w:val="none"/>
          <w:shd w:val="clear" w:color="auto" w:fill="auto"/>
          <w:lang w:val="en-US" w:eastAsia="zh-CN"/>
        </w:rPr>
        <w:t>的</w:t>
      </w:r>
      <w:r>
        <w:rPr>
          <w:rFonts w:hint="eastAsia" w:ascii="宋体" w:hAnsi="宋体" w:cs="宋体"/>
          <w:b/>
          <w:bCs w:val="0"/>
          <w:color w:val="auto"/>
          <w:sz w:val="24"/>
          <w:szCs w:val="24"/>
          <w:highlight w:val="none"/>
          <w:shd w:val="clear" w:color="auto" w:fill="auto"/>
          <w:lang w:eastAsia="zh-CN"/>
        </w:rPr>
        <w:t>社保证明材料，社保证明材料</w:t>
      </w:r>
      <w:r>
        <w:rPr>
          <w:rFonts w:hint="eastAsia" w:ascii="宋体" w:hAnsi="宋体" w:cs="宋体"/>
          <w:b/>
          <w:bCs w:val="0"/>
          <w:color w:val="auto"/>
          <w:sz w:val="24"/>
          <w:szCs w:val="24"/>
          <w:highlight w:val="none"/>
          <w:shd w:val="clear" w:color="auto" w:fill="auto"/>
          <w:lang w:val="en-US" w:eastAsia="zh-CN"/>
        </w:rPr>
        <w:t>应</w:t>
      </w:r>
      <w:r>
        <w:rPr>
          <w:rFonts w:hint="eastAsia" w:ascii="宋体" w:hAnsi="宋体" w:cs="宋体"/>
          <w:b/>
          <w:bCs w:val="0"/>
          <w:color w:val="auto"/>
          <w:sz w:val="24"/>
          <w:szCs w:val="24"/>
          <w:highlight w:val="none"/>
          <w:shd w:val="clear" w:color="auto" w:fill="auto"/>
          <w:lang w:eastAsia="zh-CN"/>
        </w:rPr>
        <w:t>有社保印章。未实质性响应磋商文件</w:t>
      </w:r>
      <w:r>
        <w:rPr>
          <w:rFonts w:hint="eastAsia" w:ascii="宋体" w:hAnsi="宋体" w:cs="宋体"/>
          <w:b/>
          <w:bCs w:val="0"/>
          <w:color w:val="auto"/>
          <w:sz w:val="24"/>
          <w:szCs w:val="24"/>
          <w:highlight w:val="none"/>
          <w:shd w:val="clear" w:color="auto" w:fill="auto"/>
          <w:lang w:val="en-US" w:eastAsia="zh-CN"/>
        </w:rPr>
        <w:t>的</w:t>
      </w:r>
      <w:r>
        <w:rPr>
          <w:rFonts w:hint="eastAsia" w:ascii="宋体" w:hAnsi="宋体" w:cs="宋体"/>
          <w:b/>
          <w:bCs w:val="0"/>
          <w:color w:val="auto"/>
          <w:sz w:val="24"/>
          <w:szCs w:val="24"/>
          <w:highlight w:val="none"/>
          <w:shd w:val="clear" w:color="auto" w:fill="auto"/>
          <w:lang w:eastAsia="zh-CN"/>
        </w:rPr>
        <w:t>按无效响应处理。</w:t>
      </w:r>
    </w:p>
    <w:p w14:paraId="46F499B2">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rPr>
          <w:rFonts w:hint="eastAsia" w:ascii="宋体" w:hAnsi="宋体" w:cs="宋体"/>
          <w:b/>
          <w:bCs w:val="0"/>
          <w:color w:val="auto"/>
          <w:sz w:val="24"/>
          <w:szCs w:val="24"/>
          <w:highlight w:val="none"/>
          <w:shd w:val="clear" w:color="auto" w:fill="auto"/>
          <w:lang w:eastAsia="zh-CN"/>
        </w:rPr>
      </w:pPr>
    </w:p>
    <w:p w14:paraId="394A004C">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cs="宋体"/>
          <w:bCs/>
          <w:color w:val="auto"/>
          <w:sz w:val="24"/>
          <w:szCs w:val="24"/>
          <w:highlight w:val="none"/>
          <w:shd w:val="clear" w:color="auto" w:fill="auto"/>
          <w:lang w:eastAsia="zh-CN"/>
        </w:rPr>
      </w:pPr>
    </w:p>
    <w:p w14:paraId="227DF8B4">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cs="宋体"/>
          <w:bCs/>
          <w:color w:val="auto"/>
          <w:sz w:val="24"/>
          <w:szCs w:val="24"/>
          <w:highlight w:val="none"/>
          <w:shd w:val="clear" w:color="auto" w:fill="auto"/>
          <w:lang w:eastAsia="zh-CN"/>
        </w:rPr>
        <w:sectPr>
          <w:pgSz w:w="11906" w:h="16838"/>
          <w:pgMar w:top="1440" w:right="1800" w:bottom="1440" w:left="1800" w:header="851" w:footer="992" w:gutter="0"/>
          <w:cols w:space="720" w:num="1"/>
          <w:docGrid w:type="lines" w:linePitch="312" w:charSpace="0"/>
        </w:sectPr>
      </w:pPr>
    </w:p>
    <w:p w14:paraId="10BEFC9A">
      <w:pPr>
        <w:keepNext w:val="0"/>
        <w:keepLines w:val="0"/>
        <w:pageBreakBefore w:val="0"/>
        <w:widowControl w:val="0"/>
        <w:kinsoku/>
        <w:wordWrap/>
        <w:overflowPunct/>
        <w:topLinePunct w:val="0"/>
        <w:autoSpaceDE/>
        <w:autoSpaceDN/>
        <w:bidi w:val="0"/>
        <w:adjustRightInd/>
        <w:spacing w:line="360" w:lineRule="auto"/>
        <w:contextualSpacing/>
        <w:jc w:val="center"/>
        <w:textAlignment w:val="auto"/>
        <w:rPr>
          <w:b/>
          <w:color w:val="auto"/>
          <w:sz w:val="36"/>
          <w:szCs w:val="36"/>
          <w:highlight w:val="none"/>
          <w:shd w:val="clear" w:color="auto" w:fill="auto"/>
        </w:rPr>
      </w:pPr>
      <w:bookmarkStart w:id="635" w:name="_Toc17556"/>
      <w:r>
        <w:rPr>
          <w:b/>
          <w:color w:val="auto"/>
          <w:sz w:val="36"/>
          <w:szCs w:val="36"/>
          <w:highlight w:val="none"/>
          <w:shd w:val="clear" w:color="auto" w:fill="auto"/>
        </w:rPr>
        <w:t>第五章   合同草案条款</w:t>
      </w:r>
      <w:bookmarkEnd w:id="635"/>
    </w:p>
    <w:p w14:paraId="556FDEAC">
      <w:pPr>
        <w:keepNext w:val="0"/>
        <w:keepLines w:val="0"/>
        <w:pageBreakBefore w:val="0"/>
        <w:widowControl w:val="0"/>
        <w:kinsoku/>
        <w:wordWrap/>
        <w:overflowPunct/>
        <w:topLinePunct w:val="0"/>
        <w:autoSpaceDE/>
        <w:autoSpaceDN/>
        <w:bidi w:val="0"/>
        <w:spacing w:line="360" w:lineRule="auto"/>
        <w:ind w:firstLine="482" w:firstLineChars="200"/>
        <w:jc w:val="center"/>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bidi="ar"/>
        </w:rPr>
        <w:t>工程施工合同</w:t>
      </w:r>
    </w:p>
    <w:p w14:paraId="6AF01BAA">
      <w:pPr>
        <w:pStyle w:val="8"/>
        <w:keepNext w:val="0"/>
        <w:keepLines w:val="0"/>
        <w:pageBreakBefore w:val="0"/>
        <w:widowControl w:val="0"/>
        <w:kinsoku/>
        <w:wordWrap/>
        <w:overflowPunct/>
        <w:topLinePunct w:val="0"/>
        <w:autoSpaceDE/>
        <w:autoSpaceDN/>
        <w:bidi w:val="0"/>
        <w:spacing w:line="360" w:lineRule="auto"/>
        <w:ind w:firstLine="482" w:firstLineChars="200"/>
        <w:textAlignment w:val="auto"/>
        <w:rPr>
          <w:rFonts w:hint="eastAsia" w:asciiTheme="minorEastAsia" w:hAnsiTheme="minorEastAsia" w:eastAsiaTheme="minorEastAsia" w:cstheme="minorEastAsia"/>
          <w:b/>
          <w:color w:val="auto"/>
          <w:sz w:val="24"/>
          <w:szCs w:val="24"/>
          <w:highlight w:val="none"/>
          <w:lang w:val="zh-CN"/>
        </w:rPr>
      </w:pPr>
    </w:p>
    <w:p w14:paraId="07FA0968">
      <w:pPr>
        <w:pStyle w:val="8"/>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b/>
          <w:color w:val="auto"/>
          <w:sz w:val="24"/>
          <w:szCs w:val="24"/>
          <w:highlight w:val="none"/>
          <w:lang w:val="zh-CN"/>
        </w:rPr>
      </w:pPr>
      <w:r>
        <w:rPr>
          <w:rFonts w:hint="eastAsia" w:asciiTheme="minorEastAsia" w:hAnsiTheme="minorEastAsia" w:eastAsiaTheme="minorEastAsia" w:cstheme="minorEastAsia"/>
          <w:b/>
          <w:color w:val="auto"/>
          <w:sz w:val="24"/>
          <w:szCs w:val="24"/>
          <w:highlight w:val="none"/>
          <w:lang w:val="zh-CN"/>
        </w:rPr>
        <w:t>发包人（以下称甲方）:</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
          <w:color w:val="auto"/>
          <w:sz w:val="24"/>
          <w:szCs w:val="24"/>
          <w:highlight w:val="none"/>
          <w:u w:val="single"/>
        </w:rPr>
        <w:t xml:space="preserve">                              </w:t>
      </w:r>
    </w:p>
    <w:p w14:paraId="295A3BD8">
      <w:pPr>
        <w:pStyle w:val="8"/>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zh-CN"/>
        </w:rPr>
        <w:t xml:space="preserve">承包人（以下称乙方）: </w:t>
      </w:r>
      <w:r>
        <w:rPr>
          <w:rFonts w:hint="eastAsia" w:asciiTheme="minorEastAsia" w:hAnsiTheme="minorEastAsia" w:eastAsiaTheme="minorEastAsia" w:cstheme="minorEastAsia"/>
          <w:b/>
          <w:color w:val="auto"/>
          <w:sz w:val="24"/>
          <w:szCs w:val="24"/>
          <w:highlight w:val="none"/>
          <w:u w:val="single"/>
          <w:lang w:val="zh-CN"/>
        </w:rPr>
        <w:t xml:space="preserve">                              </w:t>
      </w:r>
    </w:p>
    <w:p w14:paraId="0F46B704">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按照《中华人民共和国民法典》及有关规定，结合本工程具体情况，双方达成如下协议。</w:t>
      </w:r>
    </w:p>
    <w:p w14:paraId="185597E9">
      <w:pPr>
        <w:pStyle w:val="6"/>
        <w:keepNext w:val="0"/>
        <w:keepLines w:val="0"/>
        <w:pageBreakBefore w:val="0"/>
        <w:widowControl w:val="0"/>
        <w:kinsoku/>
        <w:wordWrap/>
        <w:overflowPunct/>
        <w:topLinePunct w:val="0"/>
        <w:autoSpaceDE/>
        <w:autoSpaceDN/>
        <w:bidi w:val="0"/>
        <w:spacing w:before="0"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第1条  工程概况</w:t>
      </w:r>
    </w:p>
    <w:p w14:paraId="5CF8B27B">
      <w:pPr>
        <w:keepNext w:val="0"/>
        <w:keepLines w:val="0"/>
        <w:pageBreakBefore w:val="0"/>
        <w:widowControl w:val="0"/>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z w:val="24"/>
          <w:szCs w:val="24"/>
          <w:highlight w:val="none"/>
        </w:rPr>
        <w:t>1.1  工程名称：</w:t>
      </w:r>
      <w:r>
        <w:rPr>
          <w:rFonts w:hint="eastAsia" w:asciiTheme="minorEastAsia" w:hAnsiTheme="minorEastAsia" w:eastAsiaTheme="minorEastAsia" w:cstheme="minorEastAsia"/>
          <w:bCs/>
          <w:color w:val="auto"/>
          <w:spacing w:val="-6"/>
          <w:sz w:val="24"/>
          <w:szCs w:val="24"/>
          <w:highlight w:val="none"/>
          <w:u w:val="single"/>
        </w:rPr>
        <w:t xml:space="preserve">                                                    </w:t>
      </w:r>
    </w:p>
    <w:p w14:paraId="022B00F2">
      <w:pPr>
        <w:keepNext w:val="0"/>
        <w:keepLines w:val="0"/>
        <w:pageBreakBefore w:val="0"/>
        <w:widowControl w:val="0"/>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  工程地点：</w:t>
      </w:r>
      <w:r>
        <w:rPr>
          <w:rFonts w:hint="eastAsia" w:asciiTheme="minorEastAsia" w:hAnsiTheme="minorEastAsia" w:eastAsiaTheme="minorEastAsia" w:cstheme="minorEastAsia"/>
          <w:color w:val="auto"/>
          <w:sz w:val="24"/>
          <w:szCs w:val="24"/>
          <w:highlight w:val="none"/>
          <w:u w:val="single"/>
        </w:rPr>
        <w:t xml:space="preserve">                                               </w:t>
      </w:r>
    </w:p>
    <w:p w14:paraId="3E9CF0D3">
      <w:pPr>
        <w:keepNext w:val="0"/>
        <w:keepLines w:val="0"/>
        <w:pageBreakBefore w:val="0"/>
        <w:widowControl w:val="0"/>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  承包范围: </w:t>
      </w:r>
      <w:r>
        <w:rPr>
          <w:rFonts w:hint="eastAsia" w:asciiTheme="minorEastAsia" w:hAnsiTheme="minorEastAsia" w:eastAsiaTheme="minorEastAsia" w:cstheme="minorEastAsia"/>
          <w:color w:val="auto"/>
          <w:sz w:val="24"/>
          <w:szCs w:val="24"/>
          <w:highlight w:val="none"/>
          <w:u w:val="single"/>
        </w:rPr>
        <w:t xml:space="preserve">                                               </w:t>
      </w:r>
    </w:p>
    <w:p w14:paraId="38F24023">
      <w:pPr>
        <w:keepNext w:val="0"/>
        <w:keepLines w:val="0"/>
        <w:pageBreakBefore w:val="0"/>
        <w:widowControl w:val="0"/>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  承包方式: </w:t>
      </w:r>
      <w:r>
        <w:rPr>
          <w:rFonts w:hint="eastAsia" w:asciiTheme="minorEastAsia" w:hAnsiTheme="minorEastAsia" w:eastAsiaTheme="minorEastAsia" w:cstheme="minorEastAsia"/>
          <w:color w:val="auto"/>
          <w:sz w:val="24"/>
          <w:szCs w:val="24"/>
          <w:highlight w:val="none"/>
          <w:u w:val="single"/>
        </w:rPr>
        <w:t xml:space="preserve">                                               </w:t>
      </w:r>
    </w:p>
    <w:p w14:paraId="47FB801D">
      <w:pPr>
        <w:keepNext w:val="0"/>
        <w:keepLines w:val="0"/>
        <w:pageBreakBefore w:val="0"/>
        <w:widowControl w:val="0"/>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1.5  工期: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日历天。</w:t>
      </w:r>
    </w:p>
    <w:p w14:paraId="3CA4BEF1">
      <w:pPr>
        <w:keepNext w:val="0"/>
        <w:keepLines w:val="0"/>
        <w:pageBreakBefore w:val="0"/>
        <w:widowControl w:val="0"/>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本工程初步拟自</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日开工,于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日竣工，若约定开工日期与甲方开工令项下日期不一致的，以甲方开工令项下日期为准。</w:t>
      </w:r>
    </w:p>
    <w:p w14:paraId="5C30F093">
      <w:pPr>
        <w:keepNext w:val="0"/>
        <w:keepLines w:val="0"/>
        <w:pageBreakBefore w:val="0"/>
        <w:widowControl w:val="0"/>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1.6  工程质量：按国家相关验收标准，一次性验收合格。</w:t>
      </w:r>
    </w:p>
    <w:p w14:paraId="65492738">
      <w:pPr>
        <w:keepNext w:val="0"/>
        <w:keepLines w:val="0"/>
        <w:pageBreakBefore w:val="0"/>
        <w:widowControl w:val="0"/>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1.7  合同价款（含税价）暂定:(人民币大写)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元，(人民币小写)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元，最终以甲方审定价为准。</w:t>
      </w:r>
    </w:p>
    <w:p w14:paraId="1D257BDA">
      <w:pPr>
        <w:pStyle w:val="6"/>
        <w:keepNext w:val="0"/>
        <w:keepLines w:val="0"/>
        <w:pageBreakBefore w:val="0"/>
        <w:widowControl w:val="0"/>
        <w:kinsoku/>
        <w:wordWrap/>
        <w:overflowPunct/>
        <w:topLinePunct w:val="0"/>
        <w:autoSpaceDE/>
        <w:autoSpaceDN/>
        <w:bidi w:val="0"/>
        <w:spacing w:before="0"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第2条  甲方工作</w:t>
      </w:r>
    </w:p>
    <w:p w14:paraId="3978A991">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  开工前</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天,向乙方提供经确认的施工图纸或作法说明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份,并向乙方进行现场交底。向乙方提供施工所需的水、电、气及电讯等可接入设备，并说明使用注意事项。办理施工所涉及的各种申请、批件等手续。</w:t>
      </w:r>
    </w:p>
    <w:p w14:paraId="10324E19">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  指派</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为甲方驻工地代表，负责合同履行。对工程质量、进度进行监督检查，办理验收、变更、登记手续和其他事宜。</w:t>
      </w:r>
    </w:p>
    <w:p w14:paraId="45BDE9FA">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2.3 如确实需要拆改原建筑物结构或设备管线，负责到有关部门办理相应审批手续。</w:t>
      </w:r>
    </w:p>
    <w:p w14:paraId="535B7D41">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2.4  协调有关部门配合乙方做好现场保卫、消防、垃圾处理等工作，该类费用已包括在相关工程量清单费用内，结算时不另计费用。</w:t>
      </w:r>
    </w:p>
    <w:p w14:paraId="335993E1">
      <w:pPr>
        <w:pStyle w:val="6"/>
        <w:keepNext w:val="0"/>
        <w:keepLines w:val="0"/>
        <w:pageBreakBefore w:val="0"/>
        <w:widowControl w:val="0"/>
        <w:kinsoku/>
        <w:wordWrap/>
        <w:overflowPunct/>
        <w:topLinePunct w:val="0"/>
        <w:autoSpaceDE/>
        <w:autoSpaceDN/>
        <w:bidi w:val="0"/>
        <w:spacing w:before="0"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第3条  乙方工作</w:t>
      </w:r>
    </w:p>
    <w:p w14:paraId="72E06DA9">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  参加甲方组织的施工图纸或作法说明的现场交底，拟定施工方案和进度计划，交甲方审定。</w:t>
      </w:r>
    </w:p>
    <w:p w14:paraId="0CA46D32">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  指派</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shd w:val="clear" w:color="auto" w:fill="FFFFFF"/>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为乙方驻工地代表，负责合同履行。按要求组织施工，保质、保量、按期完成施工任务，解决由乙方负责的各项事宜。</w:t>
      </w:r>
    </w:p>
    <w:p w14:paraId="7DA8D4F3">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3.3  严格执行施工规范、安全操作规程、防火安全规定。严格按照图纸或作法说明进行施工，做好各项质量检查记录。参加竣工验收，编制工程结算。</w:t>
      </w:r>
    </w:p>
    <w:p w14:paraId="0BB166FA">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  服从甲方合理合法管理，按甲方要求，配合甲方做好施工进度、施工质量监管及材料进场验收（不限于以上内容）等一切与施工有关的监管工作。</w:t>
      </w:r>
    </w:p>
    <w:p w14:paraId="4EFC138D">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3.5  遵守国家或地方政府及有关部门对施工现场管理的规定，妥善保护好施工现场周围建筑物、设备管线、古树名木不受损坏。做好施工现场保卫和垃圾消纳等工作，处理好由于施工带来的扰民问题及与周围单位（居民）的关系。</w:t>
      </w:r>
    </w:p>
    <w:p w14:paraId="65DEE23E">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3.6 乙方应当按工程管理规定派驻管理人员，特别是安全管理员。乙方对其施工人员应进行安全教育并做好安全防范措施，监督安全施工，避免发生或可能发生安全事故。若乙方人员发生安全事故或其他施工，乙方应当积极处理并承担责任，同时乙方有义务避免造成或可能造成甲方的不利影响或损失。</w:t>
      </w:r>
    </w:p>
    <w:p w14:paraId="53157C58">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3.7 施工中未经甲方同意或有关部门批准，不得随便拆改原建筑物结构及各种设备管线。</w:t>
      </w:r>
    </w:p>
    <w:p w14:paraId="2A971DA2">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3.8工程竣工未移交甲方之前，负责对现场的一切设施和工程成品进行保护。</w:t>
      </w:r>
    </w:p>
    <w:p w14:paraId="57BAA3A7">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3.9 工程完工向甲方移交工程资料。  </w:t>
      </w:r>
    </w:p>
    <w:p w14:paraId="150BE7C1">
      <w:pPr>
        <w:pStyle w:val="6"/>
        <w:keepNext w:val="0"/>
        <w:keepLines w:val="0"/>
        <w:pageBreakBefore w:val="0"/>
        <w:widowControl w:val="0"/>
        <w:kinsoku/>
        <w:wordWrap/>
        <w:overflowPunct/>
        <w:topLinePunct w:val="0"/>
        <w:autoSpaceDE/>
        <w:autoSpaceDN/>
        <w:bidi w:val="0"/>
        <w:spacing w:before="0"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第4条  关于工期的约定</w:t>
      </w:r>
    </w:p>
    <w:p w14:paraId="24967711">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4.1  甲方要求比合同约定的工期提前竣工时，应征得乙方同意，并支付乙方因赶工采取的措施费用。</w:t>
      </w:r>
    </w:p>
    <w:p w14:paraId="0C8E5313">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  因甲方未按约定完成工作影响工期的，工期顺延。</w:t>
      </w:r>
    </w:p>
    <w:p w14:paraId="084D1541">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4.3  因乙方原因不能按期开工或中途无故停工，或乙方其他因素影响工期的，工期不得顺延。</w:t>
      </w:r>
    </w:p>
    <w:p w14:paraId="3E2A0427">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4.4  因设计变更或非乙方原因造成的停电、停水、停气及不可抗力因素，导致停工8小时以上（一周内累计计算），工期相应顺延。</w:t>
      </w:r>
    </w:p>
    <w:p w14:paraId="1FF4EB05">
      <w:pPr>
        <w:pStyle w:val="6"/>
        <w:keepNext w:val="0"/>
        <w:keepLines w:val="0"/>
        <w:pageBreakBefore w:val="0"/>
        <w:widowControl w:val="0"/>
        <w:kinsoku/>
        <w:wordWrap/>
        <w:overflowPunct/>
        <w:topLinePunct w:val="0"/>
        <w:autoSpaceDE/>
        <w:autoSpaceDN/>
        <w:bidi w:val="0"/>
        <w:spacing w:before="0"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第5条  关于工程质量及验收的约定</w:t>
      </w:r>
    </w:p>
    <w:p w14:paraId="5EBFE2ED">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5.1  本工程以施工图纸、作法说明、设计变更和相关质量验收标准等国家制订的施工及验收规范为质量评定验收标准。</w:t>
      </w:r>
    </w:p>
    <w:p w14:paraId="0CCE2810">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5.2  甲方要求乙方的竣工工程质量必须达到一次性验收合格。</w:t>
      </w:r>
    </w:p>
    <w:p w14:paraId="0B8E78EE">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5.3  甲、乙双方应及时办理隐蔽工程和中间工程的检查与验收手续。甲方应按时参加隐蔽工程和中间工程验收，双方签署隐蔽工程和中间工程验收文件。若甲方要求复验时，乙方应按要求办理复验。若复验合格，甲方应承担复验费用，由此造成停工，工期顺延；若复验不合格，其复验及返工费用由乙方承担，但工期也予顺延。</w:t>
      </w:r>
    </w:p>
    <w:p w14:paraId="4526C8CE">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5.4  乙方负责采购的材料，应严格按采购文件要求采购，并提供产品合格证明，对材料质量负责。乙方采购的材料在使用前，应按照甲方的要求进行检验或试验，不合格的不得使用，检验或试验费用由乙方承担。</w:t>
      </w:r>
    </w:p>
    <w:p w14:paraId="7BC5E267">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5.5  由于甲方提供的材料、设备质量不合格而影响工程质量，其返工费用由甲方承担，工期顺延。</w:t>
      </w:r>
    </w:p>
    <w:p w14:paraId="359C76CD">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5.6  由于乙方原因造成质量事故，其损失及费用由乙方承担，工期不顺延。</w:t>
      </w:r>
    </w:p>
    <w:p w14:paraId="25DE8530">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5.7  工程竣工后，乙方应书面通知甲方验收，甲方自接到书面验收通知【  】    日内组织验收，经验收合格的办理验收、移交手续。如甲方在规定时间内未能组织验收，需及时通知乙方，另定验收日期，经验收合格的甲方应承认竣工日期。</w:t>
      </w:r>
    </w:p>
    <w:p w14:paraId="078977D5">
      <w:pPr>
        <w:pStyle w:val="6"/>
        <w:keepNext w:val="0"/>
        <w:keepLines w:val="0"/>
        <w:pageBreakBefore w:val="0"/>
        <w:widowControl w:val="0"/>
        <w:kinsoku/>
        <w:wordWrap/>
        <w:overflowPunct/>
        <w:topLinePunct w:val="0"/>
        <w:autoSpaceDE/>
        <w:autoSpaceDN/>
        <w:bidi w:val="0"/>
        <w:spacing w:before="0"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第6条  关于工程价款及结算的约定</w:t>
      </w:r>
      <w:r>
        <w:rPr>
          <w:rFonts w:hint="eastAsia" w:asciiTheme="minorEastAsia" w:hAnsiTheme="minorEastAsia" w:eastAsiaTheme="minorEastAsia" w:cstheme="minorEastAsia"/>
          <w:b/>
          <w:bCs/>
          <w:color w:val="auto"/>
          <w:sz w:val="24"/>
          <w:szCs w:val="24"/>
          <w:highlight w:val="none"/>
        </w:rPr>
        <w:tab/>
      </w:r>
    </w:p>
    <w:p w14:paraId="23389336">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6.1  双方商定本合同价款采用：固定综合单价合同。乙方在报价时已充分考虑人工、材料、机械等在施工期间的涨落风险，在施工过程中，合同约定不作调整。</w:t>
      </w:r>
    </w:p>
    <w:p w14:paraId="2ED460AB">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6.2因设计变更引起工程项目、工程量变化的，变更工程价款按下列方法进行：</w:t>
      </w:r>
    </w:p>
    <w:p w14:paraId="74202EB2">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6.2.1合同中已有适用于变更工程的价格，按合同已有的价格确定变更工程价款；</w:t>
      </w:r>
    </w:p>
    <w:p w14:paraId="444E3D64">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6.2.2合同中只有类似于变更工程的价格，可以参照类似价格确定变更工程价款；若报价（</w:t>
      </w:r>
      <w:r>
        <w:rPr>
          <w:rFonts w:hint="eastAsia" w:asciiTheme="minorEastAsia" w:hAnsiTheme="minorEastAsia" w:eastAsiaTheme="minorEastAsia" w:cstheme="minorEastAsia"/>
          <w:color w:val="auto"/>
          <w:sz w:val="24"/>
          <w:szCs w:val="24"/>
          <w:highlight w:val="none"/>
          <w:lang w:val="en-US" w:eastAsia="zh-CN"/>
        </w:rPr>
        <w:t>部分</w:t>
      </w:r>
      <w:r>
        <w:rPr>
          <w:rFonts w:hint="eastAsia" w:asciiTheme="minorEastAsia" w:hAnsiTheme="minorEastAsia" w:eastAsiaTheme="minorEastAsia" w:cstheme="minorEastAsia"/>
          <w:color w:val="auto"/>
          <w:sz w:val="24"/>
          <w:szCs w:val="24"/>
          <w:highlight w:val="none"/>
        </w:rPr>
        <w:t>单位工程）中存在若干适用的综合单价的执行最低的综合单价；</w:t>
      </w:r>
    </w:p>
    <w:p w14:paraId="4875CFF2">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6.2.3合同中没有适用或类似于变更工程的价格，结算原则为：由乙方按本工程预算价编制条件（缺项材料采用预算价编制时的信息价）编制报价后乘以下浮率（其中无信息价的由甲方批准定价，不再下浮），下浮率=1-（（合同总价-不可竞争费）/（预算价-不可竞争费）），经监理人、甲方、审计单位审核后进行结算。  </w:t>
      </w:r>
    </w:p>
    <w:p w14:paraId="0E013C8A">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6.3“总价措施项目清单”中措施费按投标时费率进行调整，其中文明施工费、按质论价费等按[2018]第24号《省住房城乡建设厅关于调整建设工程按质论价等费用计取方法的公告》、[2020]第11号《省住房城乡建设厅关于实施安全文明施工措施费动态计价管理的公告》等文件规定执行。</w:t>
      </w:r>
    </w:p>
    <w:p w14:paraId="3BBABB0D">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6.4无工程变更时，“单价措施项目清单”按投标内容，不另新增项目。结算项目需根据实际发生情况，由乙方提出，经监理人、甲方、审计单位签证确认。</w:t>
      </w:r>
    </w:p>
    <w:p w14:paraId="7FE249E8">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6.5因非乙方原因的工程变更，造成施工方案或施工工法变更，引起措施项目发生变化的按实际发生变化的措施项目由乙方提出经监理人、甲方签证，甲方、审计单位确认后调整。调整办法参照6.2调整方法 。</w:t>
      </w:r>
    </w:p>
    <w:p w14:paraId="611E407E">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6.6 本合同生效后，甲方按以下</w:t>
      </w:r>
      <w:r>
        <w:rPr>
          <w:rFonts w:hint="eastAsia" w:asciiTheme="minorEastAsia" w:hAnsiTheme="minorEastAsia" w:eastAsiaTheme="minorEastAsia" w:cstheme="minorEastAsia"/>
          <w:bCs/>
          <w:color w:val="auto"/>
          <w:sz w:val="24"/>
          <w:szCs w:val="24"/>
          <w:highlight w:val="none"/>
        </w:rPr>
        <w:t>约定支付工程款：</w:t>
      </w:r>
    </w:p>
    <w:p w14:paraId="75BD51CF">
      <w:pPr>
        <w:pStyle w:val="6"/>
        <w:keepNext w:val="0"/>
        <w:keepLines w:val="0"/>
        <w:pageBreakBefore w:val="0"/>
        <w:widowControl w:val="0"/>
        <w:kinsoku/>
        <w:wordWrap/>
        <w:overflowPunct/>
        <w:topLinePunct w:val="0"/>
        <w:autoSpaceDE/>
        <w:autoSpaceDN/>
        <w:bidi w:val="0"/>
        <w:spacing w:after="0" w:line="360" w:lineRule="auto"/>
        <w:ind w:left="0" w:leftChars="0" w:firstLine="482" w:firstLineChars="200"/>
        <w:textAlignment w:val="auto"/>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6.6.1签订合同后，支付合同总价10%的预付款（</w:t>
      </w:r>
      <w:r>
        <w:rPr>
          <w:rFonts w:hint="eastAsia" w:cs="宋体"/>
          <w:b/>
          <w:bCs/>
          <w:color w:val="auto"/>
          <w:sz w:val="24"/>
          <w:szCs w:val="24"/>
          <w:highlight w:val="none"/>
          <w:u w:val="single"/>
          <w:lang w:val="en-US" w:eastAsia="zh-CN"/>
        </w:rPr>
        <w:t>乙方</w:t>
      </w:r>
      <w:r>
        <w:rPr>
          <w:rFonts w:hint="eastAsia" w:ascii="宋体" w:hAnsi="宋体" w:eastAsia="宋体" w:cs="宋体"/>
          <w:b/>
          <w:bCs/>
          <w:color w:val="auto"/>
          <w:sz w:val="24"/>
          <w:szCs w:val="24"/>
          <w:highlight w:val="none"/>
          <w:u w:val="single"/>
          <w:lang w:val="en-US" w:eastAsia="zh-CN"/>
        </w:rPr>
        <w:t>明确表示无需预付款或者主动要求降低预付款比例的，</w:t>
      </w:r>
      <w:r>
        <w:rPr>
          <w:rFonts w:hint="eastAsia" w:cs="宋体"/>
          <w:b/>
          <w:bCs/>
          <w:color w:val="auto"/>
          <w:sz w:val="24"/>
          <w:szCs w:val="24"/>
          <w:highlight w:val="none"/>
          <w:u w:val="single"/>
          <w:lang w:val="en-US" w:eastAsia="zh-CN"/>
        </w:rPr>
        <w:t>甲方</w:t>
      </w:r>
      <w:r>
        <w:rPr>
          <w:rFonts w:hint="eastAsia" w:ascii="宋体" w:hAnsi="宋体" w:eastAsia="宋体" w:cs="宋体"/>
          <w:b/>
          <w:bCs/>
          <w:color w:val="auto"/>
          <w:sz w:val="24"/>
          <w:szCs w:val="24"/>
          <w:highlight w:val="none"/>
          <w:u w:val="single"/>
          <w:lang w:val="en-US" w:eastAsia="zh-CN"/>
        </w:rPr>
        <w:t>可不适用前述规定）；</w:t>
      </w:r>
    </w:p>
    <w:p w14:paraId="7629DDBD">
      <w:pPr>
        <w:pStyle w:val="6"/>
        <w:keepNext w:val="0"/>
        <w:keepLines w:val="0"/>
        <w:pageBreakBefore w:val="0"/>
        <w:widowControl w:val="0"/>
        <w:kinsoku/>
        <w:wordWrap/>
        <w:overflowPunct/>
        <w:topLinePunct w:val="0"/>
        <w:autoSpaceDE/>
        <w:autoSpaceDN/>
        <w:bidi w:val="0"/>
        <w:spacing w:after="0" w:line="360" w:lineRule="auto"/>
        <w:ind w:left="0" w:leftChars="0" w:firstLine="482" w:firstLineChars="200"/>
        <w:textAlignment w:val="auto"/>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6.6.2工程竣工验收合格、资料归档完成后，支付至合同价的80%；</w:t>
      </w:r>
    </w:p>
    <w:p w14:paraId="3E99B476">
      <w:pPr>
        <w:pStyle w:val="6"/>
        <w:keepNext w:val="0"/>
        <w:keepLines w:val="0"/>
        <w:pageBreakBefore w:val="0"/>
        <w:widowControl w:val="0"/>
        <w:kinsoku/>
        <w:wordWrap/>
        <w:overflowPunct/>
        <w:topLinePunct w:val="0"/>
        <w:autoSpaceDE/>
        <w:autoSpaceDN/>
        <w:bidi w:val="0"/>
        <w:spacing w:after="0" w:line="360" w:lineRule="auto"/>
        <w:ind w:left="0" w:leftChars="0" w:firstLine="482" w:firstLineChars="200"/>
        <w:textAlignment w:val="auto"/>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6.6.3工程结算审计结束，支付至审定价的97%；</w:t>
      </w:r>
    </w:p>
    <w:p w14:paraId="05D8AF18">
      <w:pPr>
        <w:pStyle w:val="6"/>
        <w:keepNext w:val="0"/>
        <w:keepLines w:val="0"/>
        <w:pageBreakBefore w:val="0"/>
        <w:widowControl w:val="0"/>
        <w:kinsoku/>
        <w:wordWrap/>
        <w:overflowPunct/>
        <w:topLinePunct w:val="0"/>
        <w:autoSpaceDE/>
        <w:autoSpaceDN/>
        <w:bidi w:val="0"/>
        <w:spacing w:after="0" w:line="360" w:lineRule="auto"/>
        <w:ind w:left="0" w:leftChars="0" w:firstLine="482" w:firstLineChars="200"/>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u w:val="single"/>
          <w:lang w:val="en-US" w:eastAsia="zh-CN"/>
        </w:rPr>
        <w:t>6.6.4 3%</w:t>
      </w:r>
      <w:r>
        <w:rPr>
          <w:rFonts w:hint="eastAsia" w:cs="宋体"/>
          <w:b/>
          <w:bCs/>
          <w:color w:val="auto"/>
          <w:sz w:val="24"/>
          <w:szCs w:val="24"/>
          <w:highlight w:val="none"/>
          <w:u w:val="single"/>
          <w:lang w:val="en-US" w:eastAsia="zh-CN"/>
        </w:rPr>
        <w:t>质量保证金</w:t>
      </w:r>
      <w:r>
        <w:rPr>
          <w:rFonts w:hint="eastAsia" w:ascii="宋体" w:hAnsi="宋体" w:eastAsia="宋体" w:cs="宋体"/>
          <w:b/>
          <w:bCs/>
          <w:color w:val="auto"/>
          <w:sz w:val="24"/>
          <w:szCs w:val="24"/>
          <w:highlight w:val="none"/>
          <w:u w:val="single"/>
          <w:lang w:val="en-US" w:eastAsia="zh-CN"/>
        </w:rPr>
        <w:t>在保修期满后付清(不计利息)。</w:t>
      </w:r>
    </w:p>
    <w:p w14:paraId="01752059">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6.6.5余款3%（审定价）作为质保金。甲方在工程竣工验收满</w:t>
      </w:r>
      <w:r>
        <w:rPr>
          <w:rFonts w:hint="eastAsia" w:asciiTheme="minorEastAsia" w:hAnsiTheme="minorEastAsia" w:eastAsiaTheme="minorEastAsia" w:cstheme="minorEastAsia"/>
          <w:color w:val="auto"/>
          <w:sz w:val="24"/>
          <w:szCs w:val="24"/>
          <w:highlight w:val="none"/>
          <w:u w:val="single"/>
        </w:rPr>
        <w:t xml:space="preserve">    年</w:t>
      </w:r>
      <w:r>
        <w:rPr>
          <w:rFonts w:hint="eastAsia" w:asciiTheme="minorEastAsia" w:hAnsiTheme="minorEastAsia" w:eastAsiaTheme="minorEastAsia" w:cstheme="minorEastAsia"/>
          <w:color w:val="auto"/>
          <w:sz w:val="24"/>
          <w:szCs w:val="24"/>
          <w:highlight w:val="none"/>
        </w:rPr>
        <w:t>后，无息退还审定价3%的质保金（其中应扣除</w:t>
      </w:r>
      <w:r>
        <w:rPr>
          <w:rFonts w:hint="eastAsia" w:asciiTheme="minorEastAsia" w:hAnsiTheme="minorEastAsia" w:eastAsiaTheme="minorEastAsia" w:cstheme="minorEastAsia"/>
          <w:color w:val="auto"/>
          <w:sz w:val="24"/>
          <w:szCs w:val="24"/>
          <w:highlight w:val="none"/>
          <w:u w:val="single"/>
        </w:rPr>
        <w:t xml:space="preserve">    年质保期</w:t>
      </w:r>
      <w:r>
        <w:rPr>
          <w:rFonts w:hint="eastAsia" w:asciiTheme="minorEastAsia" w:hAnsiTheme="minorEastAsia" w:eastAsiaTheme="minorEastAsia" w:cstheme="minorEastAsia"/>
          <w:color w:val="auto"/>
          <w:sz w:val="24"/>
          <w:szCs w:val="24"/>
          <w:highlight w:val="none"/>
        </w:rPr>
        <w:t>内发生的应由乙方承担的费用）。</w:t>
      </w:r>
    </w:p>
    <w:p w14:paraId="4EB9DE4F">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6.6.6 结算审计核减率6%以内，全部审计费用由</w:t>
      </w:r>
      <w:r>
        <w:rPr>
          <w:rFonts w:hint="eastAsia" w:asciiTheme="minorEastAsia" w:hAnsiTheme="minorEastAsia" w:eastAsiaTheme="minorEastAsia" w:cstheme="minorEastAsia"/>
          <w:color w:val="auto"/>
          <w:sz w:val="24"/>
          <w:szCs w:val="24"/>
          <w:highlight w:val="none"/>
          <w:lang w:val="en-US" w:eastAsia="zh-CN"/>
        </w:rPr>
        <w:t>甲方</w:t>
      </w:r>
      <w:r>
        <w:rPr>
          <w:rFonts w:hint="eastAsia" w:asciiTheme="minorEastAsia" w:hAnsiTheme="minorEastAsia" w:eastAsiaTheme="minorEastAsia" w:cstheme="minorEastAsia"/>
          <w:color w:val="auto"/>
          <w:sz w:val="24"/>
          <w:szCs w:val="24"/>
          <w:highlight w:val="none"/>
        </w:rPr>
        <w:t>承担；结算审计核减率超出6%但不超过10%(含10%)，超出6%部分的审计费用由</w:t>
      </w:r>
      <w:r>
        <w:rPr>
          <w:rFonts w:hint="eastAsia" w:asciiTheme="minorEastAsia" w:hAnsiTheme="minorEastAsia" w:eastAsiaTheme="minorEastAsia" w:cstheme="minorEastAsia"/>
          <w:color w:val="auto"/>
          <w:sz w:val="24"/>
          <w:szCs w:val="24"/>
          <w:highlight w:val="none"/>
          <w:lang w:val="en-US" w:eastAsia="zh-CN"/>
        </w:rPr>
        <w:t>乙方</w:t>
      </w:r>
      <w:r>
        <w:rPr>
          <w:rFonts w:hint="eastAsia" w:asciiTheme="minorEastAsia" w:hAnsiTheme="minorEastAsia" w:eastAsiaTheme="minorEastAsia" w:cstheme="minorEastAsia"/>
          <w:color w:val="auto"/>
          <w:sz w:val="24"/>
          <w:szCs w:val="24"/>
          <w:highlight w:val="none"/>
        </w:rPr>
        <w:t>承担；结算审计核减率超出10%(不含10%)但不超过16%(含16%)，全部审计费用由</w:t>
      </w:r>
      <w:r>
        <w:rPr>
          <w:rFonts w:hint="eastAsia" w:asciiTheme="minorEastAsia" w:hAnsiTheme="minorEastAsia" w:eastAsiaTheme="minorEastAsia" w:cstheme="minorEastAsia"/>
          <w:color w:val="auto"/>
          <w:sz w:val="24"/>
          <w:szCs w:val="24"/>
          <w:highlight w:val="none"/>
          <w:lang w:val="en-US" w:eastAsia="zh-CN"/>
        </w:rPr>
        <w:t>乙方</w:t>
      </w:r>
      <w:r>
        <w:rPr>
          <w:rFonts w:hint="eastAsia" w:asciiTheme="minorEastAsia" w:hAnsiTheme="minorEastAsia" w:eastAsiaTheme="minorEastAsia" w:cstheme="minorEastAsia"/>
          <w:color w:val="auto"/>
          <w:sz w:val="24"/>
          <w:szCs w:val="24"/>
          <w:highlight w:val="none"/>
        </w:rPr>
        <w:t>承担；审计结算核减率超出16%及以上，全部审计费用由</w:t>
      </w:r>
      <w:r>
        <w:rPr>
          <w:rFonts w:hint="eastAsia" w:asciiTheme="minorEastAsia" w:hAnsiTheme="minorEastAsia" w:eastAsiaTheme="minorEastAsia" w:cstheme="minorEastAsia"/>
          <w:color w:val="auto"/>
          <w:sz w:val="24"/>
          <w:szCs w:val="24"/>
          <w:highlight w:val="none"/>
          <w:lang w:val="en-US" w:eastAsia="zh-CN"/>
        </w:rPr>
        <w:t>乙方</w:t>
      </w:r>
      <w:r>
        <w:rPr>
          <w:rFonts w:hint="eastAsia" w:asciiTheme="minorEastAsia" w:hAnsiTheme="minorEastAsia" w:eastAsiaTheme="minorEastAsia" w:cstheme="minorEastAsia"/>
          <w:color w:val="auto"/>
          <w:sz w:val="24"/>
          <w:szCs w:val="24"/>
          <w:highlight w:val="none"/>
        </w:rPr>
        <w:t>承担，同时</w:t>
      </w:r>
      <w:r>
        <w:rPr>
          <w:rFonts w:hint="eastAsia" w:asciiTheme="minorEastAsia" w:hAnsiTheme="minorEastAsia" w:eastAsiaTheme="minorEastAsia" w:cstheme="minorEastAsia"/>
          <w:color w:val="auto"/>
          <w:sz w:val="24"/>
          <w:szCs w:val="24"/>
          <w:highlight w:val="none"/>
          <w:lang w:val="en-US" w:eastAsia="zh-CN"/>
        </w:rPr>
        <w:t>乙方</w:t>
      </w:r>
      <w:r>
        <w:rPr>
          <w:rFonts w:hint="eastAsia" w:asciiTheme="minorEastAsia" w:hAnsiTheme="minorEastAsia" w:eastAsiaTheme="minorEastAsia" w:cstheme="minorEastAsia"/>
          <w:color w:val="auto"/>
          <w:sz w:val="24"/>
          <w:szCs w:val="24"/>
          <w:highlight w:val="none"/>
        </w:rPr>
        <w:t>应按照核减额的5%向</w:t>
      </w:r>
      <w:r>
        <w:rPr>
          <w:rFonts w:hint="eastAsia" w:asciiTheme="minorEastAsia" w:hAnsiTheme="minorEastAsia" w:eastAsiaTheme="minorEastAsia" w:cstheme="minorEastAsia"/>
          <w:color w:val="auto"/>
          <w:sz w:val="24"/>
          <w:szCs w:val="24"/>
          <w:highlight w:val="none"/>
          <w:lang w:val="en-US" w:eastAsia="zh-CN"/>
        </w:rPr>
        <w:t>甲方</w:t>
      </w:r>
      <w:r>
        <w:rPr>
          <w:rFonts w:hint="eastAsia" w:asciiTheme="minorEastAsia" w:hAnsiTheme="minorEastAsia" w:eastAsiaTheme="minorEastAsia" w:cstheme="minorEastAsia"/>
          <w:color w:val="auto"/>
          <w:sz w:val="24"/>
          <w:szCs w:val="24"/>
          <w:highlight w:val="none"/>
        </w:rPr>
        <w:t>承担违约责任。</w:t>
      </w:r>
    </w:p>
    <w:p w14:paraId="7D3566CB">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6.6.7工程施工过程中所有需要在合同清单外另行增加项目的均须事先征得甲方的书面同意（且前提条件承诺总价不超过合同价的10%），事先办理书面确认手续或执行甲方的书面指令。否则一概不予结算，即使存有事实，也是作为乙方对甲方的让利。</w:t>
      </w:r>
    </w:p>
    <w:p w14:paraId="36B56C02">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6.6.8付款前，乙方向甲方提供增值税发票，甲方按单位签票流程付款，具体到款时间以单位签票流程为准。</w:t>
      </w:r>
    </w:p>
    <w:p w14:paraId="33900407">
      <w:pPr>
        <w:pStyle w:val="6"/>
        <w:keepNext w:val="0"/>
        <w:keepLines w:val="0"/>
        <w:pageBreakBefore w:val="0"/>
        <w:widowControl w:val="0"/>
        <w:kinsoku/>
        <w:wordWrap/>
        <w:overflowPunct/>
        <w:topLinePunct w:val="0"/>
        <w:autoSpaceDE/>
        <w:autoSpaceDN/>
        <w:bidi w:val="0"/>
        <w:spacing w:before="0"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第7条  关于材料供应的约定</w:t>
      </w:r>
    </w:p>
    <w:p w14:paraId="77A69A65">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7.1  本工程甲方负责采购供应的材料、设备，应为符合设计要求的合格产品，并应按时供应到现场。凡约定由乙方提货的，甲方应将提货手续移交给乙方，由乙方承担运输费用。由甲方供应的材料、设备发生了质量问题或规格差异，对工程造成损失，责任由甲方承担。甲方供应的材料，经乙方验收后，由乙方负责保管。由于乙方保管不当造成损失，由乙方负责赔偿。</w:t>
      </w:r>
    </w:p>
    <w:p w14:paraId="4ABEB024">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7.2  凡由乙方采购的材料、设备，如不符合质量要求或规格差异，应禁止使用。若已使用，对工程造成的损失由乙方负责。</w:t>
      </w:r>
    </w:p>
    <w:p w14:paraId="6AEBF0F8">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7.3施工所需的水、电、电讯线路乙方自行解决，所产生的费用已包含在工程总价中，乙方应将施工所产生的水、电及其他费用按实支付甲方。</w:t>
      </w:r>
    </w:p>
    <w:p w14:paraId="268B304F">
      <w:pPr>
        <w:pStyle w:val="6"/>
        <w:keepNext w:val="0"/>
        <w:keepLines w:val="0"/>
        <w:pageBreakBefore w:val="0"/>
        <w:widowControl w:val="0"/>
        <w:kinsoku/>
        <w:wordWrap/>
        <w:overflowPunct/>
        <w:topLinePunct w:val="0"/>
        <w:autoSpaceDE/>
        <w:autoSpaceDN/>
        <w:bidi w:val="0"/>
        <w:spacing w:before="0"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第8条  有关安全生产和防火的约定</w:t>
      </w:r>
    </w:p>
    <w:p w14:paraId="2872246D">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8.1  甲方提供的施工图纸或作法说明，应符合《中华人民共和国消防法》和有关防火设计规范。</w:t>
      </w:r>
    </w:p>
    <w:p w14:paraId="17CA2014">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8.2  乙方在施工期间应严格遵守《中华人民共和国建筑法》、《建设工程质量管理条例》、《建设工程安全生产管理条例》、《建筑安装工人安全技术操作规程》、《中华人民共和国消防法》和其他相关的法规、规范。</w:t>
      </w:r>
    </w:p>
    <w:p w14:paraId="12E03871">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8.3  由于甲方确认的图纸或作法说明，违反有关安全操作规程、消防条例和防火设计规范，乙方应在施工前及时书面提出。</w:t>
      </w:r>
    </w:p>
    <w:p w14:paraId="282B7506">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8.4  由于乙方在施工生产过程中违反有关安全操作规程、消防条例，导致发生安全或火灾事故，乙方应承担由此引发的一切经济损失及相关法律责任。</w:t>
      </w:r>
    </w:p>
    <w:p w14:paraId="24118089">
      <w:pPr>
        <w:pStyle w:val="6"/>
        <w:keepNext w:val="0"/>
        <w:keepLines w:val="0"/>
        <w:pageBreakBefore w:val="0"/>
        <w:widowControl w:val="0"/>
        <w:kinsoku/>
        <w:wordWrap/>
        <w:overflowPunct/>
        <w:topLinePunct w:val="0"/>
        <w:autoSpaceDE/>
        <w:autoSpaceDN/>
        <w:bidi w:val="0"/>
        <w:spacing w:before="0"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第9条  违约责任</w:t>
      </w:r>
    </w:p>
    <w:p w14:paraId="6CBBB740">
      <w:pPr>
        <w:keepNext w:val="0"/>
        <w:keepLines w:val="0"/>
        <w:pageBreakBefore w:val="0"/>
        <w:widowControl w:val="0"/>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9.1  施工过程中甲方将对乙方招标使用的材料进行抽检，如检验结果材料不合格，严禁使用，检验或试验费用由乙方承担。未经甲方批准，乙方擅自使用品牌、规格、技术参数等与采购文件规定不相符的材料，该材料所涉及的分项目将不予验收结算；并做返工处理，工期不顺延；乙方承担因此对甲方造成的损失。</w:t>
      </w:r>
    </w:p>
    <w:p w14:paraId="257C4BA0">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9.2  由于甲方原因导致延期开工或中途停工，工期顺延。甲方不按合同的约定支付款项，每拖期一天，按应付款额的 0.2‰支付违约金，以合同金额的5%为限。</w:t>
      </w:r>
    </w:p>
    <w:p w14:paraId="5B69C366">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9.3 工期延误处罚：乙方因自身原因未能在承诺工期内完成招标范围内的全部工程内容，则按延误合同工期的天数承担（分部分项工程费+单价措施项目费-工程设备费）的0.2‰/天的逾期竣工违约金，以合同金额的5%为限。</w:t>
      </w:r>
    </w:p>
    <w:p w14:paraId="53C8E9C0">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9.4 如果乙方因自身原因未能达到承诺质量目标，乙方除返工合格外，还需承担（分部分项工程费+单价措施项目费-工程设备费）的2%违约金，由于乙方原因引起的验收不合格而引起的工期延误及其他返工等相应经济损失由乙方承担。</w:t>
      </w:r>
    </w:p>
    <w:p w14:paraId="44B3D1C2">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9.5甲方未办理任何手续，擅自同意拆改原有建筑物结构或设备管线，由此发生的损失或事故（包括罚款），由甲方负责并承担损失。</w:t>
      </w:r>
    </w:p>
    <w:p w14:paraId="136B49B2">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9.6 未经甲方同意，乙方擅自拆改原建筑物结构或设备管线，由此发生的损失或事故（包括罚款），由乙方负责并承担损失。</w:t>
      </w:r>
    </w:p>
    <w:p w14:paraId="0724713F">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9.7 未办理验收手续，甲方提前使用或擅自动用，造成损失由甲方负责。</w:t>
      </w:r>
    </w:p>
    <w:p w14:paraId="01287B25">
      <w:pPr>
        <w:pStyle w:val="6"/>
        <w:keepNext w:val="0"/>
        <w:keepLines w:val="0"/>
        <w:pageBreakBefore w:val="0"/>
        <w:widowControl w:val="0"/>
        <w:kinsoku/>
        <w:wordWrap/>
        <w:overflowPunct/>
        <w:topLinePunct w:val="0"/>
        <w:autoSpaceDE/>
        <w:autoSpaceDN/>
        <w:bidi w:val="0"/>
        <w:spacing w:before="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9.8 因一方原因致使本合同无法继续履行时，其应通知对方，办理合同终止协议，并由责任方赔偿对方由此造成的经济损失。</w:t>
      </w:r>
    </w:p>
    <w:p w14:paraId="64453685">
      <w:pPr>
        <w:pStyle w:val="6"/>
        <w:keepNext w:val="0"/>
        <w:keepLines w:val="0"/>
        <w:pageBreakBefore w:val="0"/>
        <w:widowControl w:val="0"/>
        <w:kinsoku/>
        <w:wordWrap/>
        <w:overflowPunct/>
        <w:topLinePunct w:val="0"/>
        <w:autoSpaceDE/>
        <w:autoSpaceDN/>
        <w:bidi w:val="0"/>
        <w:spacing w:before="0"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第10条  争议的解决方式</w:t>
      </w:r>
    </w:p>
    <w:p w14:paraId="439BC1AB">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因履行本合同发生争议协商解决不成的，向甲方所在地人民法院提起诉讼。</w:t>
      </w:r>
    </w:p>
    <w:p w14:paraId="5221DE66">
      <w:pPr>
        <w:keepNext w:val="0"/>
        <w:keepLines w:val="0"/>
        <w:pageBreakBefore w:val="0"/>
        <w:widowControl w:val="0"/>
        <w:tabs>
          <w:tab w:val="left" w:pos="993"/>
        </w:tabs>
        <w:kinsoku/>
        <w:wordWrap/>
        <w:overflowPunct/>
        <w:topLinePunct w:val="0"/>
        <w:autoSpaceDE/>
        <w:autoSpaceDN/>
        <w:bidi w:val="0"/>
        <w:spacing w:line="360" w:lineRule="auto"/>
        <w:ind w:firstLine="482" w:firstLineChars="200"/>
        <w:jc w:val="lef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第11条  其它约定:</w:t>
      </w:r>
    </w:p>
    <w:p w14:paraId="05B37412">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11.1工程施工过程中所有需要在合同价外另行增加费用的内容均须事先征得甲方的书面同意，事先办理书面确认手续或执行甲方的书面指令。否则一概不予结算，即使存有事实，也是作为乙方对甲方的让利。</w:t>
      </w:r>
    </w:p>
    <w:p w14:paraId="760064A0">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11.2工程施工监督、竣工验收工作由甲方负责组织实施，甲方对工程施工的监督不减轻或免除乙方应承担的工程质量、工期、安全等责任。</w:t>
      </w:r>
    </w:p>
    <w:p w14:paraId="41A544B9">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11.3乙方必须注意确保安全生产、文明施工；如发生违法乱纪及人身伤亡等事故，一切责任均由乙方负责。</w:t>
      </w:r>
    </w:p>
    <w:p w14:paraId="053DAF14">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11.4补充图纸和指示：甲方有权向乙方发出任何图纸变更或指令，乙方应无条件遵照执行。</w:t>
      </w:r>
    </w:p>
    <w:p w14:paraId="1D2E4772">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11.5乙方应实事求是地递交工程结算资料，如工程结算经审计审核后累计核减率大于6%时，6%以外的核减由乙方承担审计服务酬金，在工程结算款中扣除。 </w:t>
      </w:r>
    </w:p>
    <w:p w14:paraId="6AC8726E">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11.6乙方在施工全过程中，必须有针对性措施做好成品保护、垃圾清运。该类费用已包括在相关工程量清单费用内，结算时不另计费用。</w:t>
      </w:r>
    </w:p>
    <w:p w14:paraId="7FFA00FA">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11.7工程施工不得影响项目所在地的正常秩序，包括施工作业带来的噪音、烟雾、振动、扬尘等，该类费用已包括在相关工程量清单费用内，结算时不另计费用。</w:t>
      </w:r>
    </w:p>
    <w:p w14:paraId="205B7F72">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11.8方案预先申报，同时有应急预案。</w:t>
      </w:r>
    </w:p>
    <w:p w14:paraId="03FF8079">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11.9乙方必须安全、文明施工，乙方承担安全事故的一切责任。</w:t>
      </w:r>
    </w:p>
    <w:p w14:paraId="49611FFB">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11.10施工过程中必须满足“政府令〔2021〕14号常州市扬尘污染防治管理办法”相关规定，相关费用在投标报价中考虑，结算时按投标费率不调整。</w:t>
      </w:r>
    </w:p>
    <w:p w14:paraId="2D1F7915">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11.11因疫情防控等影响造成的相关措施费用的投入，相关费用在投标报价中考虑，结算时按投标费率不调整。</w:t>
      </w:r>
    </w:p>
    <w:p w14:paraId="292F3715">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11.12如因施工过程中对本工程范围外设施造成损坏，必须原样恢复并承担相应的恢复费用。乙方必须将相应费用包含在投标报价中，结算时不另计算也不作任何调整。</w:t>
      </w:r>
    </w:p>
    <w:p w14:paraId="595D2FE2">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11.13乙方充分考虑本项目的实施地点，施工过程中的作业时间，对周边居民作息影响，土方材料外运难度，地下管网复杂等问题，规避就医人员的车辆通行高峰，医疗秩序高峰。该部分所涉及发生的费用在合同报价中综合考虑，结算时不另行计算。</w:t>
      </w:r>
    </w:p>
    <w:p w14:paraId="2363F7F3">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11.14其他未尽事宜详见采购文件。</w:t>
      </w:r>
    </w:p>
    <w:p w14:paraId="7D31ED02">
      <w:pPr>
        <w:keepNext w:val="0"/>
        <w:keepLines w:val="0"/>
        <w:pageBreakBefore w:val="0"/>
        <w:widowControl w:val="0"/>
        <w:tabs>
          <w:tab w:val="left" w:pos="993"/>
        </w:tabs>
        <w:kinsoku/>
        <w:wordWrap/>
        <w:overflowPunct/>
        <w:topLinePunct w:val="0"/>
        <w:autoSpaceDE/>
        <w:autoSpaceDN/>
        <w:bidi w:val="0"/>
        <w:spacing w:line="360" w:lineRule="auto"/>
        <w:ind w:firstLine="482" w:firstLineChars="200"/>
        <w:jc w:val="lef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第12条  附则</w:t>
      </w:r>
    </w:p>
    <w:p w14:paraId="7B8D1AE5">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12.1  质保期：防水防渗质保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年，其他质保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年，自经甲方验收合格之日起算。保修方法参照国家及地方相关规定执行。质保期内，因工程质量问题造成的人身、财产损失的费用和责任由乙方承担。</w:t>
      </w:r>
    </w:p>
    <w:p w14:paraId="4DE56852">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12.2  本合同一式柒份，甲方执肆份，乙方执贰份，见证方壹份。</w:t>
      </w:r>
    </w:p>
    <w:p w14:paraId="5AEE15F3">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12.3  本合同履行完成后自动终止。</w:t>
      </w:r>
    </w:p>
    <w:p w14:paraId="50590F2B">
      <w:pPr>
        <w:pStyle w:val="6"/>
        <w:keepNext w:val="0"/>
        <w:keepLines w:val="0"/>
        <w:pageBreakBefore w:val="0"/>
        <w:widowControl w:val="0"/>
        <w:kinsoku/>
        <w:wordWrap/>
        <w:overflowPunct/>
        <w:topLinePunct w:val="0"/>
        <w:autoSpaceDE/>
        <w:autoSpaceDN/>
        <w:bidi w:val="0"/>
        <w:spacing w:before="0"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第13条 诚实信用 </w:t>
      </w:r>
    </w:p>
    <w:p w14:paraId="085B99A8">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乙方应诚实信用，严格按照文件要求和投标承诺履行合同，不向甲方进行商业贿赂或者提供不正当利益。</w:t>
      </w:r>
    </w:p>
    <w:p w14:paraId="0F6F8F3D">
      <w:pPr>
        <w:pStyle w:val="6"/>
        <w:keepNext w:val="0"/>
        <w:keepLines w:val="0"/>
        <w:pageBreakBefore w:val="0"/>
        <w:widowControl w:val="0"/>
        <w:kinsoku/>
        <w:wordWrap/>
        <w:overflowPunct/>
        <w:topLinePunct w:val="0"/>
        <w:autoSpaceDE/>
        <w:autoSpaceDN/>
        <w:bidi w:val="0"/>
        <w:spacing w:before="0"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第14条 合同生效及其他</w:t>
      </w:r>
    </w:p>
    <w:p w14:paraId="2C16245E">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本合同自经甲乙双方法定代表人或授权代表签字并加盖公章后，自签订之日起生效。</w:t>
      </w:r>
    </w:p>
    <w:p w14:paraId="66E0B47A">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p>
    <w:p w14:paraId="413DE4F5">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甲方：                               乙方：</w:t>
      </w:r>
    </w:p>
    <w:p w14:paraId="1F95634C">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单位名称（章）：                      单位名称（章）：                                           </w:t>
      </w:r>
    </w:p>
    <w:p w14:paraId="285D35AA">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单位地址：                           单位地址：                                        </w:t>
      </w:r>
    </w:p>
    <w:p w14:paraId="40DFCC02">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                         法定代表人：</w:t>
      </w:r>
    </w:p>
    <w:p w14:paraId="43D718D9">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授权代表人：                         授权代表人：</w:t>
      </w:r>
    </w:p>
    <w:p w14:paraId="4E8611C6">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电话：                               电话：                                        </w:t>
      </w:r>
    </w:p>
    <w:p w14:paraId="0DCC32EA">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开户银行：                           开户银行：                                        </w:t>
      </w:r>
    </w:p>
    <w:p w14:paraId="443DEDF2">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帐号：                               帐号：</w:t>
      </w:r>
    </w:p>
    <w:p w14:paraId="3701862E">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    年    月    日             日期：    年    月    日  </w:t>
      </w:r>
    </w:p>
    <w:p w14:paraId="6FF066AF">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p>
    <w:p w14:paraId="36E8EBDD">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p>
    <w:p w14:paraId="7AB5A443">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见证方： </w:t>
      </w:r>
    </w:p>
    <w:p w14:paraId="19FD9920">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代理机构（章）： </w:t>
      </w:r>
    </w:p>
    <w:p w14:paraId="5F212454">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经办人：                     电话：</w:t>
      </w:r>
    </w:p>
    <w:p w14:paraId="1ED73484">
      <w:pPr>
        <w:keepNext w:val="0"/>
        <w:keepLines w:val="0"/>
        <w:pageBreakBefore w:val="0"/>
        <w:widowControl w:val="0"/>
        <w:tabs>
          <w:tab w:val="left" w:pos="993"/>
        </w:tabs>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    年    月    日                        </w:t>
      </w:r>
    </w:p>
    <w:p w14:paraId="4BA56D29">
      <w:pPr>
        <w:keepNext w:val="0"/>
        <w:keepLines w:val="0"/>
        <w:pageBreakBefore w:val="0"/>
        <w:widowControl w:val="0"/>
        <w:kinsoku/>
        <w:wordWrap/>
        <w:overflowPunct/>
        <w:topLinePunct w:val="0"/>
        <w:autoSpaceDE w:val="0"/>
        <w:autoSpaceDN w:val="0"/>
        <w:bidi w:val="0"/>
        <w:adjustRightInd w:val="0"/>
        <w:spacing w:line="360" w:lineRule="auto"/>
        <w:jc w:val="left"/>
        <w:textAlignment w:val="auto"/>
        <w:rPr>
          <w:rFonts w:hint="eastAsia" w:ascii="宋体" w:hAnsi="宋体" w:eastAsia="宋体" w:cs="宋体"/>
          <w:color w:val="auto"/>
          <w:kern w:val="0"/>
          <w:sz w:val="24"/>
          <w:szCs w:val="24"/>
          <w:highlight w:val="none"/>
        </w:rPr>
      </w:pPr>
    </w:p>
    <w:p w14:paraId="3CEE3B53">
      <w:pPr>
        <w:pageBreakBefore w:val="0"/>
        <w:widowControl w:val="0"/>
        <w:kinsoku/>
        <w:wordWrap/>
        <w:overflowPunct/>
        <w:topLinePunct w:val="0"/>
        <w:bidi w:val="0"/>
        <w:spacing w:line="360" w:lineRule="auto"/>
        <w:textAlignment w:val="auto"/>
        <w:rPr>
          <w:rFonts w:hint="eastAsia" w:ascii="宋体" w:hAnsi="宋体" w:eastAsia="宋体" w:cs="宋体"/>
          <w:color w:val="auto"/>
          <w:sz w:val="24"/>
          <w:szCs w:val="24"/>
          <w:highlight w:val="none"/>
          <w:shd w:val="clear" w:color="auto" w:fill="auto"/>
          <w:lang w:eastAsia="zh-CN"/>
        </w:rPr>
      </w:pPr>
    </w:p>
    <w:p w14:paraId="4A114747">
      <w:pPr>
        <w:pStyle w:val="4"/>
        <w:rPr>
          <w:rFonts w:hint="eastAsia"/>
          <w:color w:val="auto"/>
          <w:highlight w:val="none"/>
          <w:lang w:eastAsia="zh-CN"/>
        </w:rPr>
        <w:sectPr>
          <w:pgSz w:w="11906" w:h="16838"/>
          <w:pgMar w:top="1440" w:right="1800" w:bottom="1440" w:left="1800" w:header="851" w:footer="992" w:gutter="0"/>
          <w:cols w:space="720" w:num="1"/>
          <w:docGrid w:type="lines" w:linePitch="312" w:charSpace="0"/>
        </w:sectPr>
      </w:pPr>
    </w:p>
    <w:p w14:paraId="13CA4F69">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rFonts w:hint="eastAsia" w:ascii="宋体" w:hAnsi="宋体" w:eastAsia="宋体" w:cs="宋体"/>
          <w:color w:val="auto"/>
          <w:sz w:val="24"/>
          <w:szCs w:val="24"/>
          <w:highlight w:val="none"/>
        </w:rPr>
      </w:pPr>
      <w:bookmarkStart w:id="636" w:name="_Toc732104650"/>
      <w:bookmarkStart w:id="637" w:name="_Toc1831685531"/>
      <w:bookmarkStart w:id="638" w:name="_Toc298211660"/>
      <w:r>
        <w:rPr>
          <w:rFonts w:hint="eastAsia" w:ascii="宋体" w:hAnsi="宋体" w:eastAsia="宋体" w:cs="宋体"/>
          <w:color w:val="auto"/>
          <w:sz w:val="24"/>
          <w:szCs w:val="24"/>
          <w:highlight w:val="none"/>
        </w:rPr>
        <w:t>附件</w:t>
      </w:r>
      <w:bookmarkEnd w:id="636"/>
      <w:bookmarkEnd w:id="637"/>
      <w:bookmarkEnd w:id="638"/>
      <w:r>
        <w:rPr>
          <w:rFonts w:hint="eastAsia" w:ascii="宋体" w:hAnsi="宋体" w:eastAsia="宋体" w:cs="宋体"/>
          <w:color w:val="auto"/>
          <w:sz w:val="24"/>
          <w:szCs w:val="24"/>
          <w:highlight w:val="none"/>
          <w:lang w:val="en-US" w:eastAsia="zh-CN"/>
        </w:rPr>
        <w:t>1</w:t>
      </w:r>
    </w:p>
    <w:p w14:paraId="09E07135">
      <w:pPr>
        <w:autoSpaceDE w:val="0"/>
        <w:autoSpaceDN w:val="0"/>
        <w:adjustRightInd w:val="0"/>
        <w:spacing w:line="240" w:lineRule="atLeast"/>
        <w:jc w:val="center"/>
        <w:rPr>
          <w:rFonts w:hint="eastAsia" w:ascii="宋体" w:hAnsi="宋体" w:cs="宋体"/>
          <w:b/>
          <w:color w:val="auto"/>
          <w:kern w:val="0"/>
          <w:sz w:val="28"/>
          <w:szCs w:val="28"/>
          <w:highlight w:val="none"/>
          <w:shd w:val="clear" w:color="auto" w:fill="auto"/>
        </w:rPr>
      </w:pPr>
      <w:r>
        <w:rPr>
          <w:rFonts w:hint="eastAsia" w:ascii="宋体" w:hAnsi="宋体" w:cs="宋体"/>
          <w:b/>
          <w:color w:val="auto"/>
          <w:kern w:val="0"/>
          <w:sz w:val="28"/>
          <w:szCs w:val="28"/>
          <w:highlight w:val="none"/>
          <w:shd w:val="clear" w:color="auto" w:fill="auto"/>
        </w:rPr>
        <w:t>工程质量保修书</w:t>
      </w:r>
    </w:p>
    <w:p w14:paraId="0ADE18D4">
      <w:pPr>
        <w:pageBreakBefore w:val="0"/>
        <w:widowControl w:val="0"/>
        <w:kinsoku/>
        <w:wordWrap/>
        <w:overflowPunct/>
        <w:topLinePunct w:val="0"/>
        <w:bidi w:val="0"/>
        <w:spacing w:line="360" w:lineRule="auto"/>
        <w:ind w:firstLine="420"/>
        <w:textAlignment w:val="auto"/>
        <w:rPr>
          <w:rFonts w:hint="eastAsia" w:ascii="宋体" w:hAnsi="宋体" w:eastAsia="宋体" w:cs="宋体"/>
          <w:color w:val="auto"/>
          <w:kern w:val="0"/>
          <w:sz w:val="24"/>
          <w:szCs w:val="24"/>
          <w:highlight w:val="none"/>
          <w:u w:val="single"/>
          <w:shd w:val="clear" w:color="auto" w:fill="auto"/>
          <w:lang w:val="en-US" w:eastAsia="zh-CN"/>
        </w:rPr>
      </w:pPr>
      <w:r>
        <w:rPr>
          <w:rFonts w:hint="eastAsia" w:ascii="宋体" w:hAnsi="宋体" w:eastAsia="宋体" w:cs="宋体"/>
          <w:color w:val="auto"/>
          <w:kern w:val="0"/>
          <w:sz w:val="24"/>
          <w:szCs w:val="24"/>
          <w:highlight w:val="none"/>
          <w:shd w:val="clear" w:color="auto" w:fill="auto"/>
        </w:rPr>
        <w:t>发包人(全称)：</w:t>
      </w: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cs="宋体"/>
          <w:color w:val="auto"/>
          <w:kern w:val="0"/>
          <w:sz w:val="24"/>
          <w:szCs w:val="24"/>
          <w:highlight w:val="none"/>
          <w:u w:val="single"/>
          <w:shd w:val="clear" w:color="auto" w:fill="auto"/>
          <w:lang w:val="en-US" w:eastAsia="zh-CN"/>
        </w:rPr>
        <w:t>常州市天宁区郑陆镇人民政府</w:t>
      </w:r>
      <w:r>
        <w:rPr>
          <w:rFonts w:hint="eastAsia" w:ascii="宋体" w:hAnsi="宋体" w:eastAsia="宋体" w:cs="宋体"/>
          <w:color w:val="auto"/>
          <w:kern w:val="0"/>
          <w:sz w:val="24"/>
          <w:szCs w:val="24"/>
          <w:highlight w:val="none"/>
          <w:u w:val="single"/>
          <w:shd w:val="clear" w:color="auto" w:fill="auto"/>
          <w:lang w:val="en-US" w:eastAsia="zh-CN"/>
        </w:rPr>
        <w:t xml:space="preserve"> </w:t>
      </w:r>
    </w:p>
    <w:p w14:paraId="3A269F41">
      <w:pPr>
        <w:pageBreakBefore w:val="0"/>
        <w:widowControl w:val="0"/>
        <w:kinsoku/>
        <w:wordWrap/>
        <w:overflowPunct/>
        <w:topLinePunct w:val="0"/>
        <w:autoSpaceDE w:val="0"/>
        <w:autoSpaceDN w:val="0"/>
        <w:bidi w:val="0"/>
        <w:adjustRightInd w:val="0"/>
        <w:spacing w:line="360" w:lineRule="auto"/>
        <w:ind w:firstLine="480" w:firstLineChars="200"/>
        <w:jc w:val="left"/>
        <w:textAlignment w:val="auto"/>
        <w:rPr>
          <w:rFonts w:hint="eastAsia" w:ascii="宋体" w:hAnsi="宋体" w:eastAsia="宋体" w:cs="宋体"/>
          <w:color w:val="auto"/>
          <w:kern w:val="0"/>
          <w:sz w:val="24"/>
          <w:szCs w:val="24"/>
          <w:highlight w:val="none"/>
          <w:u w:val="single"/>
          <w:shd w:val="clear" w:color="auto" w:fill="auto"/>
        </w:rPr>
      </w:pPr>
      <w:r>
        <w:rPr>
          <w:rFonts w:hint="eastAsia" w:ascii="宋体" w:hAnsi="宋体" w:eastAsia="宋体" w:cs="宋体"/>
          <w:color w:val="auto"/>
          <w:kern w:val="0"/>
          <w:sz w:val="24"/>
          <w:szCs w:val="24"/>
          <w:highlight w:val="none"/>
          <w:shd w:val="clear" w:color="auto" w:fill="auto"/>
        </w:rPr>
        <w:t>承包人(全称)：</w:t>
      </w:r>
      <w:r>
        <w:rPr>
          <w:rFonts w:hint="eastAsia" w:ascii="宋体" w:hAnsi="宋体" w:eastAsia="宋体" w:cs="宋体"/>
          <w:b/>
          <w:bCs/>
          <w:color w:val="auto"/>
          <w:spacing w:val="5"/>
          <w:kern w:val="0"/>
          <w:sz w:val="24"/>
          <w:szCs w:val="24"/>
          <w:highlight w:val="none"/>
          <w:u w:val="single"/>
          <w:shd w:val="clear" w:color="auto" w:fill="auto"/>
        </w:rPr>
        <w:t xml:space="preserve">             </w:t>
      </w:r>
      <w:r>
        <w:rPr>
          <w:rFonts w:hint="eastAsia" w:ascii="宋体" w:hAnsi="宋体" w:eastAsia="宋体" w:cs="宋体"/>
          <w:b/>
          <w:bCs/>
          <w:color w:val="auto"/>
          <w:spacing w:val="5"/>
          <w:kern w:val="0"/>
          <w:sz w:val="24"/>
          <w:szCs w:val="24"/>
          <w:highlight w:val="none"/>
          <w:u w:val="single"/>
          <w:shd w:val="clear" w:color="auto" w:fill="auto"/>
          <w:lang w:val="en-US" w:eastAsia="zh-CN"/>
        </w:rPr>
        <w:t xml:space="preserve">    </w:t>
      </w:r>
      <w:r>
        <w:rPr>
          <w:rFonts w:hint="eastAsia" w:ascii="宋体" w:hAnsi="宋体" w:eastAsia="宋体" w:cs="宋体"/>
          <w:b/>
          <w:bCs/>
          <w:color w:val="auto"/>
          <w:spacing w:val="5"/>
          <w:kern w:val="0"/>
          <w:sz w:val="24"/>
          <w:szCs w:val="24"/>
          <w:highlight w:val="none"/>
          <w:u w:val="single"/>
          <w:shd w:val="clear" w:color="auto" w:fill="auto"/>
        </w:rPr>
        <w:t xml:space="preserve">        </w:t>
      </w:r>
    </w:p>
    <w:p w14:paraId="552B8279">
      <w:pPr>
        <w:pageBreakBefore w:val="0"/>
        <w:widowControl w:val="0"/>
        <w:kinsoku/>
        <w:wordWrap/>
        <w:overflowPunct/>
        <w:topLinePunct w:val="0"/>
        <w:autoSpaceDE w:val="0"/>
        <w:autoSpaceDN w:val="0"/>
        <w:bidi w:val="0"/>
        <w:adjustRightInd w:val="0"/>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发包人和承包人根据《中华人民共和国建筑法》和《建设工程质量管理条例》，经协商一致就</w:t>
      </w: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cs="宋体"/>
          <w:color w:val="auto"/>
          <w:kern w:val="0"/>
          <w:sz w:val="24"/>
          <w:szCs w:val="24"/>
          <w:highlight w:val="none"/>
          <w:u w:val="single"/>
          <w:shd w:val="clear" w:color="auto" w:fill="auto"/>
          <w:lang w:val="en-US" w:eastAsia="zh-CN"/>
        </w:rPr>
        <w:t>寺墩遗址保护回填和环境整治项目（一期）</w:t>
      </w: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rPr>
        <w:t>签订工程质量保修书。</w:t>
      </w:r>
    </w:p>
    <w:p w14:paraId="76F60D16">
      <w:pPr>
        <w:pageBreakBefore w:val="0"/>
        <w:widowControl w:val="0"/>
        <w:kinsoku/>
        <w:wordWrap/>
        <w:overflowPunct/>
        <w:topLinePunct w:val="0"/>
        <w:autoSpaceDE w:val="0"/>
        <w:autoSpaceDN w:val="0"/>
        <w:bidi w:val="0"/>
        <w:adjustRightInd w:val="0"/>
        <w:spacing w:line="360" w:lineRule="auto"/>
        <w:jc w:val="left"/>
        <w:textAlignment w:val="auto"/>
        <w:rPr>
          <w:rFonts w:hint="eastAsia" w:ascii="宋体" w:hAnsi="宋体" w:eastAsia="宋体" w:cs="宋体"/>
          <w:b/>
          <w:bCs/>
          <w:color w:val="auto"/>
          <w:kern w:val="0"/>
          <w:sz w:val="24"/>
          <w:szCs w:val="24"/>
          <w:highlight w:val="none"/>
          <w:shd w:val="clear" w:color="auto" w:fill="auto"/>
        </w:rPr>
      </w:pPr>
      <w:r>
        <w:rPr>
          <w:rFonts w:hint="eastAsia" w:ascii="宋体" w:hAnsi="宋体" w:eastAsia="宋体" w:cs="宋体"/>
          <w:b/>
          <w:bCs/>
          <w:color w:val="auto"/>
          <w:kern w:val="0"/>
          <w:sz w:val="24"/>
          <w:szCs w:val="24"/>
          <w:highlight w:val="none"/>
          <w:shd w:val="clear" w:color="auto" w:fill="auto"/>
        </w:rPr>
        <w:t>一、工程质量保修范围和内容</w:t>
      </w:r>
    </w:p>
    <w:p w14:paraId="4FDB221B">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承包人在质量保修期内，按照有关法律规定和合同约定，承担工程质量保修责任。</w:t>
      </w:r>
    </w:p>
    <w:p w14:paraId="65D9B59F">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u w:val="single"/>
          <w:shd w:val="clear" w:color="auto" w:fill="auto"/>
        </w:rPr>
      </w:pPr>
      <w:r>
        <w:rPr>
          <w:rFonts w:hint="eastAsia" w:ascii="宋体" w:hAnsi="宋体" w:eastAsia="宋体" w:cs="宋体"/>
          <w:color w:val="auto"/>
          <w:kern w:val="0"/>
          <w:sz w:val="24"/>
          <w:szCs w:val="24"/>
          <w:highlight w:val="none"/>
          <w:shd w:val="clear" w:color="auto" w:fill="auto"/>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kern w:val="0"/>
          <w:sz w:val="24"/>
          <w:szCs w:val="24"/>
          <w:highlight w:val="none"/>
          <w:u w:val="single"/>
          <w:shd w:val="clear" w:color="auto" w:fill="auto"/>
        </w:rPr>
        <w:t>按合同承包范围内容。</w:t>
      </w:r>
    </w:p>
    <w:p w14:paraId="44AFFC88">
      <w:pPr>
        <w:pageBreakBefore w:val="0"/>
        <w:widowControl w:val="0"/>
        <w:kinsoku/>
        <w:wordWrap/>
        <w:overflowPunct/>
        <w:topLinePunct w:val="0"/>
        <w:autoSpaceDE w:val="0"/>
        <w:autoSpaceDN w:val="0"/>
        <w:bidi w:val="0"/>
        <w:adjustRightInd w:val="0"/>
        <w:spacing w:line="360" w:lineRule="auto"/>
        <w:jc w:val="left"/>
        <w:textAlignment w:val="auto"/>
        <w:rPr>
          <w:rFonts w:hint="eastAsia" w:ascii="宋体" w:hAnsi="宋体" w:eastAsia="宋体" w:cs="宋体"/>
          <w:b/>
          <w:bCs/>
          <w:color w:val="auto"/>
          <w:kern w:val="0"/>
          <w:sz w:val="24"/>
          <w:szCs w:val="24"/>
          <w:highlight w:val="none"/>
          <w:shd w:val="clear" w:color="auto" w:fill="auto"/>
        </w:rPr>
      </w:pPr>
      <w:r>
        <w:rPr>
          <w:rFonts w:hint="eastAsia" w:ascii="宋体" w:hAnsi="宋体" w:eastAsia="宋体" w:cs="宋体"/>
          <w:b/>
          <w:bCs/>
          <w:color w:val="auto"/>
          <w:kern w:val="0"/>
          <w:sz w:val="24"/>
          <w:szCs w:val="24"/>
          <w:highlight w:val="none"/>
          <w:shd w:val="clear" w:color="auto" w:fill="auto"/>
        </w:rPr>
        <w:t>二、质量保修期</w:t>
      </w:r>
    </w:p>
    <w:p w14:paraId="43C5ED80">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根据《建设工程质量管理条例》及有关规定，工程的质量保修期如下：</w:t>
      </w:r>
    </w:p>
    <w:p w14:paraId="430C7160">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1.地基基础工程和主体结构工程为设计文件规定的该工程合理使用年限；</w:t>
      </w:r>
    </w:p>
    <w:p w14:paraId="763409D0">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2.屋面防水工程、有防水要求的卫生间、房间和外墙面的防渗漏为</w:t>
      </w:r>
      <w:r>
        <w:rPr>
          <w:rFonts w:hint="eastAsia" w:ascii="宋体" w:hAnsi="宋体" w:eastAsia="宋体" w:cs="宋体"/>
          <w:color w:val="auto"/>
          <w:kern w:val="0"/>
          <w:sz w:val="24"/>
          <w:szCs w:val="24"/>
          <w:highlight w:val="none"/>
          <w:u w:val="single"/>
          <w:shd w:val="clear" w:color="auto" w:fill="auto"/>
        </w:rPr>
        <w:t xml:space="preserve">  伍  </w:t>
      </w:r>
      <w:r>
        <w:rPr>
          <w:rFonts w:hint="eastAsia" w:ascii="宋体" w:hAnsi="宋体" w:eastAsia="宋体" w:cs="宋体"/>
          <w:color w:val="auto"/>
          <w:kern w:val="0"/>
          <w:sz w:val="24"/>
          <w:szCs w:val="24"/>
          <w:highlight w:val="none"/>
          <w:shd w:val="clear" w:color="auto" w:fill="auto"/>
        </w:rPr>
        <w:t>年；</w:t>
      </w:r>
    </w:p>
    <w:p w14:paraId="0ACB78EB">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3.装修工程为</w:t>
      </w:r>
      <w:r>
        <w:rPr>
          <w:rFonts w:hint="eastAsia" w:ascii="宋体" w:hAnsi="宋体" w:eastAsia="宋体" w:cs="宋体"/>
          <w:color w:val="auto"/>
          <w:kern w:val="0"/>
          <w:sz w:val="24"/>
          <w:szCs w:val="24"/>
          <w:highlight w:val="none"/>
          <w:u w:val="single"/>
          <w:shd w:val="clear" w:color="auto" w:fill="auto"/>
        </w:rPr>
        <w:t xml:space="preserve">   /   </w:t>
      </w:r>
      <w:r>
        <w:rPr>
          <w:rFonts w:hint="eastAsia" w:ascii="宋体" w:hAnsi="宋体" w:eastAsia="宋体" w:cs="宋体"/>
          <w:color w:val="auto"/>
          <w:kern w:val="0"/>
          <w:sz w:val="24"/>
          <w:szCs w:val="24"/>
          <w:highlight w:val="none"/>
          <w:shd w:val="clear" w:color="auto" w:fill="auto"/>
        </w:rPr>
        <w:t>年；</w:t>
      </w:r>
    </w:p>
    <w:p w14:paraId="71AA3EBD">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4.电气管线、给排水管道、设备安装工程为</w:t>
      </w:r>
      <w:r>
        <w:rPr>
          <w:rFonts w:hint="eastAsia" w:ascii="宋体" w:hAnsi="宋体" w:eastAsia="宋体" w:cs="宋体"/>
          <w:color w:val="auto"/>
          <w:kern w:val="0"/>
          <w:sz w:val="24"/>
          <w:szCs w:val="24"/>
          <w:highlight w:val="none"/>
          <w:u w:val="single"/>
          <w:shd w:val="clear" w:color="auto" w:fill="auto"/>
        </w:rPr>
        <w:t xml:space="preserve">   贰   </w:t>
      </w:r>
      <w:r>
        <w:rPr>
          <w:rFonts w:hint="eastAsia" w:ascii="宋体" w:hAnsi="宋体" w:eastAsia="宋体" w:cs="宋体"/>
          <w:color w:val="auto"/>
          <w:kern w:val="0"/>
          <w:sz w:val="24"/>
          <w:szCs w:val="24"/>
          <w:highlight w:val="none"/>
          <w:shd w:val="clear" w:color="auto" w:fill="auto"/>
        </w:rPr>
        <w:t>年；</w:t>
      </w:r>
    </w:p>
    <w:p w14:paraId="52C0AB44">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5.供热与供冷系统为</w:t>
      </w:r>
      <w:r>
        <w:rPr>
          <w:rFonts w:hint="eastAsia" w:ascii="宋体" w:hAnsi="宋体" w:eastAsia="宋体" w:cs="宋体"/>
          <w:color w:val="auto"/>
          <w:kern w:val="0"/>
          <w:sz w:val="24"/>
          <w:szCs w:val="24"/>
          <w:highlight w:val="none"/>
          <w:u w:val="single"/>
          <w:shd w:val="clear" w:color="auto" w:fill="auto"/>
        </w:rPr>
        <w:t xml:space="preserve">   贰  </w:t>
      </w:r>
      <w:r>
        <w:rPr>
          <w:rFonts w:hint="eastAsia" w:ascii="宋体" w:hAnsi="宋体" w:eastAsia="宋体" w:cs="宋体"/>
          <w:color w:val="auto"/>
          <w:kern w:val="0"/>
          <w:sz w:val="24"/>
          <w:szCs w:val="24"/>
          <w:highlight w:val="none"/>
          <w:shd w:val="clear" w:color="auto" w:fill="auto"/>
        </w:rPr>
        <w:t>个采暖期、供冷期；</w:t>
      </w:r>
    </w:p>
    <w:p w14:paraId="3AFE34EC">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6.住宅小区内的给排水设施、道路等配套工程为</w:t>
      </w:r>
      <w:r>
        <w:rPr>
          <w:rFonts w:hint="eastAsia" w:ascii="宋体" w:hAnsi="宋体" w:eastAsia="宋体" w:cs="宋体"/>
          <w:color w:val="auto"/>
          <w:kern w:val="0"/>
          <w:sz w:val="24"/>
          <w:szCs w:val="24"/>
          <w:highlight w:val="none"/>
          <w:u w:val="single"/>
          <w:shd w:val="clear" w:color="auto" w:fill="auto"/>
        </w:rPr>
        <w:t xml:space="preserve">   /   </w:t>
      </w:r>
      <w:r>
        <w:rPr>
          <w:rFonts w:hint="eastAsia" w:ascii="宋体" w:hAnsi="宋体" w:eastAsia="宋体" w:cs="宋体"/>
          <w:color w:val="auto"/>
          <w:kern w:val="0"/>
          <w:sz w:val="24"/>
          <w:szCs w:val="24"/>
          <w:highlight w:val="none"/>
          <w:shd w:val="clear" w:color="auto" w:fill="auto"/>
        </w:rPr>
        <w:t>年；</w:t>
      </w:r>
    </w:p>
    <w:p w14:paraId="62B283C4">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eastAsia="宋体" w:cs="宋体"/>
          <w:color w:val="auto"/>
          <w:kern w:val="0"/>
          <w:sz w:val="24"/>
          <w:szCs w:val="24"/>
          <w:highlight w:val="none"/>
          <w:u w:val="single"/>
          <w:shd w:val="clear" w:color="auto" w:fill="auto"/>
          <w:lang w:val="en-US" w:eastAsia="zh-CN"/>
        </w:rPr>
      </w:pPr>
      <w:r>
        <w:rPr>
          <w:rFonts w:hint="eastAsia" w:ascii="宋体" w:hAnsi="宋体" w:eastAsia="宋体" w:cs="宋体"/>
          <w:color w:val="auto"/>
          <w:kern w:val="0"/>
          <w:sz w:val="24"/>
          <w:szCs w:val="24"/>
          <w:highlight w:val="none"/>
          <w:shd w:val="clear" w:color="auto" w:fill="auto"/>
        </w:rPr>
        <w:t>7.其他项目保修期限约定如下：</w:t>
      </w:r>
      <w:r>
        <w:rPr>
          <w:rFonts w:hint="eastAsia" w:ascii="宋体" w:hAnsi="宋体" w:eastAsia="宋体" w:cs="宋体"/>
          <w:color w:val="auto"/>
          <w:kern w:val="0"/>
          <w:sz w:val="24"/>
          <w:szCs w:val="24"/>
          <w:highlight w:val="none"/>
          <w:u w:val="single"/>
          <w:shd w:val="clear" w:color="auto" w:fill="auto"/>
        </w:rPr>
        <w:t xml:space="preserve"> </w:t>
      </w: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u w:val="single"/>
          <w:shd w:val="clear" w:color="auto" w:fill="auto"/>
        </w:rPr>
        <w:t>/</w:t>
      </w:r>
      <w:r>
        <w:rPr>
          <w:rFonts w:hint="eastAsia" w:ascii="宋体" w:hAnsi="宋体" w:eastAsia="宋体" w:cs="宋体"/>
          <w:color w:val="auto"/>
          <w:kern w:val="0"/>
          <w:sz w:val="24"/>
          <w:szCs w:val="24"/>
          <w:highlight w:val="none"/>
          <w:u w:val="single"/>
          <w:shd w:val="clear" w:color="auto" w:fill="auto"/>
          <w:lang w:val="en-US" w:eastAsia="zh-CN"/>
        </w:rPr>
        <w:t xml:space="preserve">  </w:t>
      </w:r>
    </w:p>
    <w:p w14:paraId="23EBADDC">
      <w:pPr>
        <w:pageBreakBefore w:val="0"/>
        <w:widowControl w:val="0"/>
        <w:kinsoku/>
        <w:wordWrap/>
        <w:overflowPunct/>
        <w:topLinePunct w:val="0"/>
        <w:autoSpaceDE w:val="0"/>
        <w:autoSpaceDN w:val="0"/>
        <w:bidi w:val="0"/>
        <w:adjustRightInd w:val="0"/>
        <w:spacing w:line="360" w:lineRule="auto"/>
        <w:jc w:val="left"/>
        <w:textAlignment w:val="auto"/>
        <w:rPr>
          <w:rFonts w:hint="eastAsia" w:ascii="宋体" w:hAnsi="宋体" w:eastAsia="宋体" w:cs="宋体"/>
          <w:b/>
          <w:bCs/>
          <w:color w:val="auto"/>
          <w:kern w:val="0"/>
          <w:sz w:val="24"/>
          <w:szCs w:val="24"/>
          <w:highlight w:val="none"/>
          <w:shd w:val="clear" w:color="auto" w:fill="auto"/>
        </w:rPr>
      </w:pPr>
      <w:r>
        <w:rPr>
          <w:rFonts w:hint="eastAsia" w:ascii="宋体" w:hAnsi="宋体" w:eastAsia="宋体" w:cs="宋体"/>
          <w:b/>
          <w:bCs/>
          <w:color w:val="auto"/>
          <w:kern w:val="0"/>
          <w:sz w:val="24"/>
          <w:szCs w:val="24"/>
          <w:highlight w:val="none"/>
          <w:shd w:val="clear" w:color="auto" w:fill="auto"/>
        </w:rPr>
        <w:t>三、缺陷责任期</w:t>
      </w:r>
    </w:p>
    <w:p w14:paraId="5AE4C0E1">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工程缺陷责任期为</w:t>
      </w:r>
      <w:r>
        <w:rPr>
          <w:rFonts w:hint="eastAsia" w:ascii="宋体" w:hAnsi="宋体" w:eastAsia="宋体" w:cs="宋体"/>
          <w:color w:val="auto"/>
          <w:kern w:val="0"/>
          <w:sz w:val="24"/>
          <w:szCs w:val="24"/>
          <w:highlight w:val="none"/>
          <w:u w:val="single"/>
          <w:shd w:val="clear" w:color="auto" w:fill="auto"/>
          <w:lang w:val="en-US" w:eastAsia="zh-CN"/>
        </w:rPr>
        <w:t xml:space="preserve"> 24</w:t>
      </w:r>
      <w:r>
        <w:rPr>
          <w:rFonts w:hint="eastAsia" w:ascii="宋体" w:hAnsi="宋体" w:eastAsia="宋体" w:cs="宋体"/>
          <w:color w:val="auto"/>
          <w:kern w:val="0"/>
          <w:sz w:val="24"/>
          <w:szCs w:val="24"/>
          <w:highlight w:val="none"/>
          <w:u w:val="single"/>
          <w:shd w:val="clear" w:color="auto" w:fill="auto"/>
        </w:rPr>
        <w:t xml:space="preserve"> </w:t>
      </w:r>
      <w:r>
        <w:rPr>
          <w:rFonts w:hint="eastAsia" w:ascii="宋体" w:hAnsi="宋体" w:eastAsia="宋体" w:cs="宋体"/>
          <w:color w:val="auto"/>
          <w:kern w:val="0"/>
          <w:sz w:val="24"/>
          <w:szCs w:val="24"/>
          <w:highlight w:val="none"/>
          <w:shd w:val="clear" w:color="auto" w:fill="auto"/>
        </w:rPr>
        <w:t>个月，缺陷责任期自工程竣工验收合格之日起计算。单位工程先于全部工程进行验收，单位工程缺陷责任期自单位工程验收合格之日起算。</w:t>
      </w:r>
    </w:p>
    <w:p w14:paraId="2A80AEB8">
      <w:pPr>
        <w:pageBreakBefore w:val="0"/>
        <w:widowControl w:val="0"/>
        <w:kinsoku/>
        <w:wordWrap/>
        <w:overflowPunct/>
        <w:topLinePunct w:val="0"/>
        <w:autoSpaceDE w:val="0"/>
        <w:autoSpaceDN w:val="0"/>
        <w:bidi w:val="0"/>
        <w:adjustRightInd w:val="0"/>
        <w:spacing w:line="360" w:lineRule="auto"/>
        <w:jc w:val="left"/>
        <w:textAlignment w:val="auto"/>
        <w:rPr>
          <w:rFonts w:hint="eastAsia" w:ascii="宋体" w:hAnsi="宋体" w:eastAsia="宋体" w:cs="宋体"/>
          <w:b/>
          <w:bCs/>
          <w:color w:val="auto"/>
          <w:kern w:val="0"/>
          <w:sz w:val="24"/>
          <w:szCs w:val="24"/>
          <w:highlight w:val="none"/>
          <w:shd w:val="clear" w:color="auto" w:fill="auto"/>
        </w:rPr>
      </w:pPr>
      <w:r>
        <w:rPr>
          <w:rFonts w:hint="eastAsia" w:ascii="宋体" w:hAnsi="宋体" w:eastAsia="宋体" w:cs="宋体"/>
          <w:b/>
          <w:bCs/>
          <w:color w:val="auto"/>
          <w:kern w:val="0"/>
          <w:sz w:val="24"/>
          <w:szCs w:val="24"/>
          <w:highlight w:val="none"/>
          <w:shd w:val="clear" w:color="auto" w:fill="auto"/>
        </w:rPr>
        <w:t>四、质量保修责任</w:t>
      </w:r>
    </w:p>
    <w:p w14:paraId="10688F6E">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1</w:t>
      </w:r>
      <w:r>
        <w:rPr>
          <w:rFonts w:hint="eastAsia" w:ascii="宋体" w:hAnsi="宋体" w:eastAsia="宋体" w:cs="宋体"/>
          <w:color w:val="auto"/>
          <w:kern w:val="0"/>
          <w:sz w:val="24"/>
          <w:szCs w:val="24"/>
          <w:highlight w:val="none"/>
          <w:shd w:val="clear" w:color="auto" w:fill="auto"/>
          <w:lang w:val="en-US" w:eastAsia="zh-CN"/>
        </w:rPr>
        <w:t>.</w:t>
      </w:r>
      <w:r>
        <w:rPr>
          <w:rFonts w:hint="eastAsia" w:ascii="宋体" w:hAnsi="宋体" w:eastAsia="宋体" w:cs="宋体"/>
          <w:color w:val="auto"/>
          <w:kern w:val="0"/>
          <w:sz w:val="24"/>
          <w:szCs w:val="24"/>
          <w:highlight w:val="none"/>
          <w:shd w:val="clear" w:color="auto" w:fill="auto"/>
        </w:rPr>
        <w:t>属于保修范围、内容的项目，承包人应当在接到保修通知之日起7天内派人保修。</w:t>
      </w:r>
    </w:p>
    <w:p w14:paraId="10F4E899">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承包人不在约定期限内派人保修的，发包人可以委托他人修理。</w:t>
      </w:r>
    </w:p>
    <w:p w14:paraId="7A09D221">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2</w:t>
      </w:r>
      <w:r>
        <w:rPr>
          <w:rFonts w:hint="eastAsia" w:ascii="宋体" w:hAnsi="宋体" w:eastAsia="宋体" w:cs="宋体"/>
          <w:color w:val="auto"/>
          <w:kern w:val="0"/>
          <w:sz w:val="24"/>
          <w:szCs w:val="24"/>
          <w:highlight w:val="none"/>
          <w:shd w:val="clear" w:color="auto" w:fill="auto"/>
          <w:lang w:val="en-US" w:eastAsia="zh-CN"/>
        </w:rPr>
        <w:t>.</w:t>
      </w:r>
      <w:r>
        <w:rPr>
          <w:rFonts w:hint="eastAsia" w:ascii="宋体" w:hAnsi="宋体" w:eastAsia="宋体" w:cs="宋体"/>
          <w:color w:val="auto"/>
          <w:kern w:val="0"/>
          <w:sz w:val="24"/>
          <w:szCs w:val="24"/>
          <w:highlight w:val="none"/>
          <w:shd w:val="clear" w:color="auto" w:fill="auto"/>
        </w:rPr>
        <w:t>发生紧急事故需抢修的，承包人在接到事故通知后，应当立即到达事故现场抢修。</w:t>
      </w:r>
    </w:p>
    <w:p w14:paraId="10D4E196">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3</w:t>
      </w:r>
      <w:r>
        <w:rPr>
          <w:rFonts w:hint="eastAsia" w:ascii="宋体" w:hAnsi="宋体" w:eastAsia="宋体" w:cs="宋体"/>
          <w:color w:val="auto"/>
          <w:kern w:val="0"/>
          <w:sz w:val="24"/>
          <w:szCs w:val="24"/>
          <w:highlight w:val="none"/>
          <w:shd w:val="clear" w:color="auto" w:fill="auto"/>
          <w:lang w:val="en-US" w:eastAsia="zh-CN"/>
        </w:rPr>
        <w:t>.</w:t>
      </w:r>
      <w:r>
        <w:rPr>
          <w:rFonts w:hint="eastAsia" w:ascii="宋体" w:hAnsi="宋体" w:eastAsia="宋体" w:cs="宋体"/>
          <w:color w:val="auto"/>
          <w:kern w:val="0"/>
          <w:sz w:val="24"/>
          <w:szCs w:val="24"/>
          <w:highlight w:val="none"/>
          <w:shd w:val="clear" w:color="auto" w:fill="auto"/>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6EF42399">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4</w:t>
      </w:r>
      <w:r>
        <w:rPr>
          <w:rFonts w:hint="eastAsia" w:ascii="宋体" w:hAnsi="宋体" w:eastAsia="宋体" w:cs="宋体"/>
          <w:color w:val="auto"/>
          <w:kern w:val="0"/>
          <w:sz w:val="24"/>
          <w:szCs w:val="24"/>
          <w:highlight w:val="none"/>
          <w:shd w:val="clear" w:color="auto" w:fill="auto"/>
          <w:lang w:val="en-US" w:eastAsia="zh-CN"/>
        </w:rPr>
        <w:t>.</w:t>
      </w:r>
      <w:r>
        <w:rPr>
          <w:rFonts w:hint="eastAsia" w:ascii="宋体" w:hAnsi="宋体" w:eastAsia="宋体" w:cs="宋体"/>
          <w:color w:val="auto"/>
          <w:kern w:val="0"/>
          <w:sz w:val="24"/>
          <w:szCs w:val="24"/>
          <w:highlight w:val="none"/>
          <w:shd w:val="clear" w:color="auto" w:fill="auto"/>
        </w:rPr>
        <w:t>质量保修完成后，由发包人组织验收。</w:t>
      </w:r>
    </w:p>
    <w:p w14:paraId="3A8E4FDD">
      <w:pPr>
        <w:pageBreakBefore w:val="0"/>
        <w:widowControl w:val="0"/>
        <w:kinsoku/>
        <w:wordWrap/>
        <w:overflowPunct/>
        <w:topLinePunct w:val="0"/>
        <w:autoSpaceDE w:val="0"/>
        <w:autoSpaceDN w:val="0"/>
        <w:bidi w:val="0"/>
        <w:adjustRightInd w:val="0"/>
        <w:spacing w:line="360" w:lineRule="auto"/>
        <w:jc w:val="left"/>
        <w:textAlignment w:val="auto"/>
        <w:rPr>
          <w:rFonts w:hint="eastAsia" w:ascii="宋体" w:hAnsi="宋体" w:eastAsia="宋体" w:cs="宋体"/>
          <w:b/>
          <w:bCs/>
          <w:color w:val="auto"/>
          <w:kern w:val="0"/>
          <w:sz w:val="24"/>
          <w:szCs w:val="24"/>
          <w:highlight w:val="none"/>
          <w:shd w:val="clear" w:color="auto" w:fill="auto"/>
        </w:rPr>
      </w:pPr>
      <w:r>
        <w:rPr>
          <w:rFonts w:hint="eastAsia" w:ascii="宋体" w:hAnsi="宋体" w:eastAsia="宋体" w:cs="宋体"/>
          <w:b/>
          <w:bCs/>
          <w:color w:val="auto"/>
          <w:kern w:val="0"/>
          <w:sz w:val="24"/>
          <w:szCs w:val="24"/>
          <w:highlight w:val="none"/>
          <w:shd w:val="clear" w:color="auto" w:fill="auto"/>
        </w:rPr>
        <w:t>五、保修费用</w:t>
      </w:r>
    </w:p>
    <w:p w14:paraId="43C24895">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保修费用由造成质量缺陷的责任方承担。</w:t>
      </w:r>
    </w:p>
    <w:p w14:paraId="13B8663E">
      <w:pPr>
        <w:pageBreakBefore w:val="0"/>
        <w:widowControl w:val="0"/>
        <w:kinsoku/>
        <w:wordWrap/>
        <w:overflowPunct/>
        <w:topLinePunct w:val="0"/>
        <w:autoSpaceDE w:val="0"/>
        <w:autoSpaceDN w:val="0"/>
        <w:bidi w:val="0"/>
        <w:adjustRightInd w:val="0"/>
        <w:spacing w:line="360" w:lineRule="auto"/>
        <w:jc w:val="left"/>
        <w:textAlignment w:val="auto"/>
        <w:rPr>
          <w:rFonts w:hint="eastAsia" w:ascii="宋体" w:hAnsi="宋体" w:eastAsia="宋体" w:cs="宋体"/>
          <w:b/>
          <w:bCs/>
          <w:color w:val="auto"/>
          <w:kern w:val="0"/>
          <w:sz w:val="24"/>
          <w:szCs w:val="24"/>
          <w:highlight w:val="none"/>
          <w:shd w:val="clear" w:color="auto" w:fill="auto"/>
        </w:rPr>
      </w:pPr>
      <w:r>
        <w:rPr>
          <w:rFonts w:hint="eastAsia" w:ascii="宋体" w:hAnsi="宋体" w:eastAsia="宋体" w:cs="宋体"/>
          <w:b/>
          <w:bCs/>
          <w:color w:val="auto"/>
          <w:kern w:val="0"/>
          <w:sz w:val="24"/>
          <w:szCs w:val="24"/>
          <w:highlight w:val="none"/>
          <w:shd w:val="clear" w:color="auto" w:fill="auto"/>
        </w:rPr>
        <w:t>六、双方约定的其他工程质量保修事项：</w:t>
      </w:r>
    </w:p>
    <w:p w14:paraId="42CC42B1">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u w:val="single"/>
          <w:shd w:val="clear" w:color="auto" w:fill="auto"/>
        </w:rPr>
      </w:pPr>
      <w:r>
        <w:rPr>
          <w:rFonts w:hint="eastAsia" w:ascii="宋体" w:hAnsi="宋体" w:eastAsia="宋体" w:cs="宋体"/>
          <w:color w:val="auto"/>
          <w:kern w:val="0"/>
          <w:sz w:val="24"/>
          <w:szCs w:val="24"/>
          <w:highlight w:val="none"/>
          <w:u w:val="single"/>
          <w:shd w:val="clear" w:color="auto" w:fill="auto"/>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38F08F98">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工程质量保修书由发包人、承包人在工程竣工验收前共同签署，作为施工合同附件，其有效期限至保修期满。</w:t>
      </w:r>
    </w:p>
    <w:p w14:paraId="5410136F">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p>
    <w:p w14:paraId="43FFC095">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发包人(公章)： 　                            承包人(公章)： 　</w:t>
      </w:r>
    </w:p>
    <w:p w14:paraId="50521A13">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地　　址：                                 　地　　址：</w:t>
      </w:r>
    </w:p>
    <w:p w14:paraId="7FC6F2C9">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法定代表人(签字)：                           法定代表人(签字)：</w:t>
      </w:r>
    </w:p>
    <w:p w14:paraId="78D31E3A">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委托代理人(签字)：                           委托代理人(签字)：</w:t>
      </w:r>
    </w:p>
    <w:p w14:paraId="551F640C">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电　　话：                                 　电　　话：　</w:t>
      </w:r>
    </w:p>
    <w:p w14:paraId="62A6ECAD">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传　　真： 　                                传　　真：　</w:t>
      </w:r>
    </w:p>
    <w:p w14:paraId="149181F9">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开户银行： 　                                开户银行：</w:t>
      </w:r>
    </w:p>
    <w:p w14:paraId="66FD3F54">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 xml:space="preserve">账　　号： 　                                账　　号： </w:t>
      </w:r>
    </w:p>
    <w:p w14:paraId="35BD6CE5">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邮政编码： 　                                邮政编码：　</w:t>
      </w:r>
    </w:p>
    <w:p w14:paraId="27179D77">
      <w:pPr>
        <w:keepNext w:val="0"/>
        <w:keepLines w:val="0"/>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shd w:val="clear" w:color="auto" w:fill="auto"/>
        </w:rPr>
      </w:pPr>
    </w:p>
    <w:p w14:paraId="07B63721">
      <w:pPr>
        <w:pStyle w:val="4"/>
        <w:rPr>
          <w:rFonts w:hint="eastAsia"/>
          <w:color w:val="auto"/>
          <w:highlight w:val="none"/>
        </w:rPr>
        <w:sectPr>
          <w:pgSz w:w="11906" w:h="16838"/>
          <w:pgMar w:top="1440" w:right="1800" w:bottom="1440" w:left="1800" w:header="851" w:footer="992" w:gutter="0"/>
          <w:cols w:space="720" w:num="1"/>
          <w:docGrid w:type="lines" w:linePitch="312" w:charSpace="0"/>
        </w:sectPr>
      </w:pPr>
    </w:p>
    <w:p w14:paraId="6DB16085">
      <w:pPr>
        <w:widowControl/>
        <w:jc w:val="center"/>
        <w:outlineLvl w:val="0"/>
        <w:rPr>
          <w:b/>
          <w:color w:val="auto"/>
          <w:sz w:val="36"/>
          <w:szCs w:val="36"/>
          <w:highlight w:val="none"/>
          <w:shd w:val="clear" w:color="auto" w:fill="auto"/>
        </w:rPr>
      </w:pPr>
      <w:bookmarkStart w:id="639" w:name="_Toc11016"/>
      <w:r>
        <w:rPr>
          <w:b/>
          <w:color w:val="auto"/>
          <w:sz w:val="36"/>
          <w:szCs w:val="36"/>
          <w:highlight w:val="none"/>
          <w:shd w:val="clear" w:color="auto" w:fill="auto"/>
        </w:rPr>
        <w:t>第六章   响应文件格式</w:t>
      </w:r>
      <w:bookmarkEnd w:id="639"/>
    </w:p>
    <w:p w14:paraId="2AB7B84A">
      <w:pPr>
        <w:widowControl/>
        <w:spacing w:line="360" w:lineRule="auto"/>
        <w:jc w:val="left"/>
        <w:rPr>
          <w:b/>
          <w:color w:val="auto"/>
          <w:sz w:val="24"/>
          <w:highlight w:val="none"/>
          <w:shd w:val="clear" w:color="auto" w:fill="auto"/>
        </w:rPr>
      </w:pPr>
    </w:p>
    <w:p w14:paraId="594EF3D7">
      <w:pPr>
        <w:widowControl/>
        <w:spacing w:line="360" w:lineRule="auto"/>
        <w:jc w:val="left"/>
        <w:rPr>
          <w:b/>
          <w:color w:val="auto"/>
          <w:sz w:val="24"/>
          <w:highlight w:val="none"/>
          <w:shd w:val="clear" w:color="auto" w:fill="auto"/>
        </w:rPr>
      </w:pPr>
    </w:p>
    <w:p w14:paraId="70C6A9F5">
      <w:pPr>
        <w:tabs>
          <w:tab w:val="left" w:pos="900"/>
          <w:tab w:val="left" w:pos="1980"/>
        </w:tabs>
        <w:snapToGrid w:val="0"/>
        <w:spacing w:line="360" w:lineRule="auto"/>
        <w:ind w:left="142"/>
        <w:rPr>
          <w:b/>
          <w:color w:val="auto"/>
          <w:kern w:val="0"/>
          <w:sz w:val="24"/>
          <w:highlight w:val="none"/>
          <w:shd w:val="clear" w:color="auto" w:fill="auto"/>
        </w:rPr>
      </w:pPr>
      <w:r>
        <w:rPr>
          <w:rFonts w:hint="eastAsia"/>
          <w:b/>
          <w:color w:val="auto"/>
          <w:kern w:val="0"/>
          <w:sz w:val="24"/>
          <w:highlight w:val="none"/>
          <w:shd w:val="clear" w:color="auto" w:fill="auto"/>
        </w:rPr>
        <w:t>供应商编制文件须知</w:t>
      </w:r>
    </w:p>
    <w:p w14:paraId="30E4C1B7">
      <w:pPr>
        <w:tabs>
          <w:tab w:val="left" w:pos="900"/>
          <w:tab w:val="left" w:pos="1980"/>
        </w:tabs>
        <w:snapToGrid w:val="0"/>
        <w:spacing w:line="360" w:lineRule="auto"/>
        <w:ind w:left="142"/>
        <w:rPr>
          <w:color w:val="auto"/>
          <w:sz w:val="24"/>
          <w:highlight w:val="none"/>
          <w:shd w:val="clear" w:color="auto" w:fill="auto"/>
        </w:rPr>
      </w:pPr>
      <w:r>
        <w:rPr>
          <w:color w:val="auto"/>
          <w:sz w:val="24"/>
          <w:highlight w:val="none"/>
          <w:shd w:val="clear" w:color="auto" w:fill="auto"/>
        </w:rPr>
        <w:t>1、供应商按照本部分的顺序编制响应文件，编制中涉及格式资料的，应按照本部分提供的内容和格式（所有表格的格式可扩展）填写提交。</w:t>
      </w:r>
    </w:p>
    <w:p w14:paraId="1058C002">
      <w:pPr>
        <w:tabs>
          <w:tab w:val="left" w:pos="900"/>
          <w:tab w:val="left" w:pos="1980"/>
        </w:tabs>
        <w:snapToGrid w:val="0"/>
        <w:spacing w:line="360" w:lineRule="auto"/>
        <w:ind w:left="142"/>
        <w:rPr>
          <w:color w:val="auto"/>
          <w:kern w:val="0"/>
          <w:sz w:val="24"/>
          <w:highlight w:val="none"/>
          <w:shd w:val="clear" w:color="auto" w:fill="auto"/>
        </w:rPr>
      </w:pPr>
      <w:r>
        <w:rPr>
          <w:color w:val="auto"/>
          <w:sz w:val="24"/>
          <w:highlight w:val="none"/>
          <w:shd w:val="clear" w:color="auto" w:fill="auto"/>
        </w:rPr>
        <w:t>2、</w:t>
      </w:r>
      <w:r>
        <w:rPr>
          <w:color w:val="auto"/>
          <w:kern w:val="0"/>
          <w:sz w:val="24"/>
          <w:highlight w:val="none"/>
          <w:shd w:val="clear" w:color="auto" w:fill="auto"/>
        </w:rPr>
        <w:t>对于竞争性磋商文件中标记了“实质性格式”文件的，供应商</w:t>
      </w:r>
      <w:r>
        <w:rPr>
          <w:color w:val="auto"/>
          <w:sz w:val="24"/>
          <w:highlight w:val="none"/>
          <w:shd w:val="clear" w:color="auto" w:fill="auto"/>
        </w:rPr>
        <w:t>不得改变格式中给定的文字所表达的含义，不得删减格式中的实质性内容，不得自行添加与格式中给定的文字内容相矛盾的内容，不得对应当填写的空格不填写或不实质性响应，</w:t>
      </w:r>
      <w:r>
        <w:rPr>
          <w:b/>
          <w:color w:val="auto"/>
          <w:kern w:val="0"/>
          <w:sz w:val="24"/>
          <w:highlight w:val="none"/>
          <w:shd w:val="clear" w:color="auto" w:fill="auto"/>
        </w:rPr>
        <w:t>否则响应无效</w:t>
      </w:r>
      <w:r>
        <w:rPr>
          <w:color w:val="auto"/>
          <w:kern w:val="0"/>
          <w:sz w:val="24"/>
          <w:highlight w:val="none"/>
          <w:shd w:val="clear" w:color="auto" w:fill="auto"/>
        </w:rPr>
        <w:t>。未标记“实质性格式”的文件和竞争性磋商文件未提供格式的内容，可由供应商自行编写。</w:t>
      </w:r>
    </w:p>
    <w:p w14:paraId="4043CF09">
      <w:pPr>
        <w:tabs>
          <w:tab w:val="left" w:pos="900"/>
          <w:tab w:val="left" w:pos="1980"/>
        </w:tabs>
        <w:snapToGrid w:val="0"/>
        <w:spacing w:line="360" w:lineRule="auto"/>
        <w:ind w:left="142"/>
        <w:rPr>
          <w:color w:val="auto"/>
          <w:sz w:val="24"/>
          <w:highlight w:val="none"/>
          <w:shd w:val="clear" w:color="auto" w:fill="auto"/>
        </w:rPr>
      </w:pPr>
      <w:r>
        <w:rPr>
          <w:color w:val="auto"/>
          <w:sz w:val="24"/>
          <w:highlight w:val="none"/>
          <w:shd w:val="clear" w:color="auto" w:fill="auto"/>
        </w:rPr>
        <w:t>3、全部声明和问题的回答及所附材料必须是真实的、准确的和完整的。</w:t>
      </w:r>
    </w:p>
    <w:p w14:paraId="204D76D3">
      <w:pPr>
        <w:tabs>
          <w:tab w:val="left" w:pos="900"/>
          <w:tab w:val="left" w:pos="1980"/>
        </w:tabs>
        <w:snapToGrid w:val="0"/>
        <w:spacing w:line="360" w:lineRule="auto"/>
        <w:ind w:left="142"/>
        <w:outlineLvl w:val="9"/>
        <w:rPr>
          <w:color w:val="auto"/>
          <w:sz w:val="24"/>
          <w:highlight w:val="none"/>
        </w:rPr>
      </w:pPr>
      <w:r>
        <w:rPr>
          <w:rFonts w:hint="eastAsia"/>
          <w:color w:val="auto"/>
          <w:sz w:val="24"/>
          <w:highlight w:val="none"/>
        </w:rPr>
        <w:t>4、实行电子化不见面交易方式的，加盖公章、签名等均通过响应文件编制工具加盖电子公章、签字、签章或印鉴。</w:t>
      </w:r>
    </w:p>
    <w:p w14:paraId="314FFDDC">
      <w:pPr>
        <w:tabs>
          <w:tab w:val="left" w:pos="900"/>
          <w:tab w:val="left" w:pos="1980"/>
        </w:tabs>
        <w:snapToGrid w:val="0"/>
        <w:spacing w:line="360" w:lineRule="auto"/>
        <w:ind w:left="142"/>
        <w:rPr>
          <w:color w:val="auto"/>
          <w:sz w:val="24"/>
          <w:highlight w:val="none"/>
          <w:shd w:val="clear" w:color="auto" w:fill="auto"/>
        </w:rPr>
      </w:pPr>
    </w:p>
    <w:p w14:paraId="2A89F5DA">
      <w:pPr>
        <w:widowControl/>
        <w:jc w:val="left"/>
        <w:rPr>
          <w:color w:val="auto"/>
          <w:sz w:val="24"/>
          <w:highlight w:val="none"/>
          <w:shd w:val="clear" w:color="auto" w:fill="auto"/>
        </w:rPr>
      </w:pPr>
      <w:r>
        <w:rPr>
          <w:color w:val="auto"/>
          <w:sz w:val="24"/>
          <w:highlight w:val="none"/>
          <w:shd w:val="clear" w:color="auto" w:fill="auto"/>
        </w:rPr>
        <w:br w:type="page"/>
      </w:r>
    </w:p>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p w14:paraId="379B2475">
      <w:pPr>
        <w:rPr>
          <w:b/>
          <w:color w:val="auto"/>
          <w:spacing w:val="20"/>
          <w:szCs w:val="21"/>
          <w:highlight w:val="none"/>
          <w:shd w:val="clear" w:color="auto" w:fill="auto"/>
        </w:rPr>
      </w:pPr>
    </w:p>
    <w:p w14:paraId="31F4ADF1">
      <w:pPr>
        <w:rPr>
          <w:b/>
          <w:color w:val="auto"/>
          <w:sz w:val="24"/>
          <w:highlight w:val="none"/>
          <w:shd w:val="clear" w:color="auto" w:fill="auto"/>
        </w:rPr>
      </w:pPr>
      <w:r>
        <w:rPr>
          <w:b/>
          <w:color w:val="auto"/>
          <w:spacing w:val="20"/>
          <w:sz w:val="24"/>
          <w:highlight w:val="none"/>
          <w:shd w:val="clear" w:color="auto" w:fill="auto"/>
        </w:rPr>
        <w:t>响应文件</w:t>
      </w:r>
      <w:r>
        <w:rPr>
          <w:b/>
          <w:color w:val="auto"/>
          <w:sz w:val="24"/>
          <w:highlight w:val="none"/>
          <w:shd w:val="clear" w:color="auto" w:fill="auto"/>
        </w:rPr>
        <w:t>封面（非实质性格式）</w:t>
      </w:r>
    </w:p>
    <w:p w14:paraId="27E31EFD">
      <w:pPr>
        <w:jc w:val="center"/>
        <w:rPr>
          <w:color w:val="auto"/>
          <w:szCs w:val="21"/>
          <w:highlight w:val="none"/>
          <w:shd w:val="clear" w:color="auto" w:fill="auto"/>
        </w:rPr>
      </w:pPr>
    </w:p>
    <w:p w14:paraId="04DC34EB">
      <w:pPr>
        <w:jc w:val="center"/>
        <w:rPr>
          <w:b/>
          <w:color w:val="auto"/>
          <w:spacing w:val="60"/>
          <w:sz w:val="84"/>
          <w:szCs w:val="84"/>
          <w:highlight w:val="none"/>
          <w:shd w:val="clear" w:color="auto" w:fill="auto"/>
        </w:rPr>
      </w:pPr>
      <w:r>
        <w:rPr>
          <w:b/>
          <w:color w:val="auto"/>
          <w:spacing w:val="60"/>
          <w:sz w:val="84"/>
          <w:szCs w:val="84"/>
          <w:highlight w:val="none"/>
          <w:shd w:val="clear" w:color="auto" w:fill="auto"/>
        </w:rPr>
        <w:t>响 应 文 件</w:t>
      </w:r>
    </w:p>
    <w:p w14:paraId="146E38DF">
      <w:pPr>
        <w:jc w:val="center"/>
        <w:rPr>
          <w:b/>
          <w:color w:val="auto"/>
          <w:spacing w:val="60"/>
          <w:sz w:val="52"/>
          <w:szCs w:val="52"/>
          <w:highlight w:val="none"/>
          <w:shd w:val="clear" w:color="auto" w:fill="auto"/>
        </w:rPr>
      </w:pPr>
    </w:p>
    <w:p w14:paraId="152F88FE">
      <w:pPr>
        <w:ind w:firstLine="542" w:firstLineChars="150"/>
        <w:rPr>
          <w:b/>
          <w:color w:val="auto"/>
          <w:spacing w:val="20"/>
          <w:sz w:val="32"/>
          <w:szCs w:val="32"/>
          <w:highlight w:val="none"/>
          <w:shd w:val="clear" w:color="auto" w:fill="auto"/>
        </w:rPr>
      </w:pPr>
    </w:p>
    <w:p w14:paraId="282DC502">
      <w:pPr>
        <w:ind w:firstLine="542" w:firstLineChars="150"/>
        <w:rPr>
          <w:b/>
          <w:color w:val="auto"/>
          <w:spacing w:val="20"/>
          <w:sz w:val="32"/>
          <w:szCs w:val="32"/>
          <w:highlight w:val="none"/>
          <w:shd w:val="clear" w:color="auto" w:fill="auto"/>
        </w:rPr>
      </w:pPr>
    </w:p>
    <w:p w14:paraId="18893FED">
      <w:pPr>
        <w:ind w:firstLine="1084" w:firstLineChars="300"/>
        <w:rPr>
          <w:rFonts w:ascii="宋体" w:hAnsi="宋体"/>
          <w:b/>
          <w:color w:val="auto"/>
          <w:sz w:val="36"/>
          <w:highlight w:val="none"/>
          <w:shd w:val="clear" w:color="auto" w:fill="auto"/>
        </w:rPr>
      </w:pPr>
      <w:r>
        <w:rPr>
          <w:rFonts w:hint="eastAsia" w:ascii="宋体" w:hAnsi="宋体"/>
          <w:b/>
          <w:color w:val="auto"/>
          <w:sz w:val="36"/>
          <w:highlight w:val="none"/>
          <w:shd w:val="clear" w:color="auto" w:fill="auto"/>
        </w:rPr>
        <w:t>项 目 名 称：</w:t>
      </w:r>
      <w:r>
        <w:rPr>
          <w:rFonts w:hint="eastAsia" w:ascii="宋体" w:hAnsi="宋体"/>
          <w:b/>
          <w:color w:val="auto"/>
          <w:sz w:val="36"/>
          <w:highlight w:val="none"/>
          <w:u w:val="single"/>
          <w:shd w:val="clear" w:color="auto" w:fill="auto"/>
        </w:rPr>
        <w:t xml:space="preserve">               </w:t>
      </w:r>
    </w:p>
    <w:p w14:paraId="33102667">
      <w:pPr>
        <w:ind w:firstLine="1084" w:firstLineChars="300"/>
        <w:rPr>
          <w:rFonts w:ascii="宋体" w:hAnsi="宋体"/>
          <w:b/>
          <w:color w:val="auto"/>
          <w:sz w:val="36"/>
          <w:highlight w:val="none"/>
          <w:u w:val="single"/>
          <w:shd w:val="clear" w:color="auto" w:fill="auto"/>
        </w:rPr>
      </w:pPr>
      <w:r>
        <w:rPr>
          <w:rFonts w:hint="eastAsia" w:ascii="宋体" w:hAnsi="宋体"/>
          <w:b/>
          <w:color w:val="auto"/>
          <w:sz w:val="36"/>
          <w:highlight w:val="none"/>
          <w:shd w:val="clear" w:color="auto" w:fill="auto"/>
        </w:rPr>
        <w:t>项 目 编 号：</w:t>
      </w:r>
      <w:r>
        <w:rPr>
          <w:rFonts w:hint="eastAsia" w:ascii="宋体" w:hAnsi="宋体"/>
          <w:b/>
          <w:color w:val="auto"/>
          <w:sz w:val="36"/>
          <w:highlight w:val="none"/>
          <w:u w:val="single"/>
          <w:shd w:val="clear" w:color="auto" w:fill="auto"/>
        </w:rPr>
        <w:t xml:space="preserve">               </w:t>
      </w:r>
    </w:p>
    <w:p w14:paraId="7F74D3F1">
      <w:pPr>
        <w:rPr>
          <w:rFonts w:ascii="宋体" w:hAnsi="宋体"/>
          <w:b/>
          <w:color w:val="auto"/>
          <w:sz w:val="36"/>
          <w:highlight w:val="none"/>
          <w:u w:val="single"/>
          <w:shd w:val="clear" w:color="auto" w:fill="auto"/>
        </w:rPr>
      </w:pPr>
      <w:r>
        <w:rPr>
          <w:rFonts w:hint="eastAsia" w:ascii="宋体" w:hAnsi="宋体"/>
          <w:b/>
          <w:color w:val="auto"/>
          <w:sz w:val="36"/>
          <w:highlight w:val="none"/>
          <w:shd w:val="clear" w:color="auto" w:fill="auto"/>
        </w:rPr>
        <w:t xml:space="preserve">      供应商名称 ：</w:t>
      </w:r>
      <w:r>
        <w:rPr>
          <w:rFonts w:hint="eastAsia" w:ascii="宋体" w:hAnsi="宋体"/>
          <w:b/>
          <w:color w:val="auto"/>
          <w:sz w:val="36"/>
          <w:highlight w:val="none"/>
          <w:u w:val="single"/>
          <w:shd w:val="clear" w:color="auto" w:fill="auto"/>
        </w:rPr>
        <w:t xml:space="preserve">               </w:t>
      </w:r>
    </w:p>
    <w:p w14:paraId="01EBDAD3">
      <w:pPr>
        <w:rPr>
          <w:rFonts w:ascii="宋体" w:hAnsi="宋体"/>
          <w:b/>
          <w:color w:val="auto"/>
          <w:sz w:val="36"/>
          <w:highlight w:val="none"/>
          <w:shd w:val="clear" w:color="auto" w:fill="auto"/>
        </w:rPr>
      </w:pPr>
      <w:r>
        <w:rPr>
          <w:rFonts w:hint="eastAsia" w:ascii="宋体" w:hAnsi="宋体"/>
          <w:b/>
          <w:color w:val="auto"/>
          <w:sz w:val="36"/>
          <w:highlight w:val="none"/>
          <w:shd w:val="clear" w:color="auto" w:fill="auto"/>
        </w:rPr>
        <w:t xml:space="preserve">      日      期 ：</w:t>
      </w:r>
      <w:r>
        <w:rPr>
          <w:rFonts w:hint="eastAsia" w:ascii="宋体" w:hAnsi="宋体"/>
          <w:b/>
          <w:color w:val="auto"/>
          <w:sz w:val="36"/>
          <w:highlight w:val="none"/>
          <w:u w:val="single"/>
          <w:shd w:val="clear" w:color="auto" w:fill="auto"/>
        </w:rPr>
        <w:t xml:space="preserve">               </w:t>
      </w:r>
    </w:p>
    <w:p w14:paraId="6C7B9FEA">
      <w:pPr>
        <w:jc w:val="center"/>
        <w:rPr>
          <w:b/>
          <w:color w:val="auto"/>
          <w:sz w:val="32"/>
          <w:szCs w:val="32"/>
          <w:highlight w:val="none"/>
          <w:shd w:val="clear" w:color="auto" w:fill="auto"/>
        </w:rPr>
      </w:pPr>
    </w:p>
    <w:p w14:paraId="6EDF74E8">
      <w:pPr>
        <w:rPr>
          <w:b/>
          <w:color w:val="auto"/>
          <w:highlight w:val="none"/>
          <w:shd w:val="clear" w:color="auto" w:fill="auto"/>
        </w:rPr>
      </w:pPr>
      <w:r>
        <w:rPr>
          <w:b/>
          <w:color w:val="auto"/>
          <w:spacing w:val="20"/>
          <w:sz w:val="32"/>
          <w:szCs w:val="32"/>
          <w:highlight w:val="none"/>
          <w:shd w:val="clear" w:color="auto" w:fill="auto"/>
        </w:rPr>
        <w:br w:type="page"/>
      </w:r>
    </w:p>
    <w:p w14:paraId="14EC1051">
      <w:pPr>
        <w:spacing w:line="360" w:lineRule="auto"/>
        <w:outlineLvl w:val="2"/>
        <w:rPr>
          <w:color w:val="auto"/>
          <w:sz w:val="24"/>
          <w:szCs w:val="20"/>
          <w:highlight w:val="none"/>
          <w:shd w:val="clear" w:color="auto" w:fill="auto"/>
        </w:rPr>
      </w:pPr>
      <w:r>
        <w:rPr>
          <w:color w:val="auto"/>
          <w:sz w:val="24"/>
          <w:szCs w:val="20"/>
          <w:highlight w:val="none"/>
          <w:shd w:val="clear" w:color="auto" w:fill="auto"/>
        </w:rPr>
        <w:t xml:space="preserve">1 </w:t>
      </w:r>
      <w:r>
        <w:rPr>
          <w:color w:val="auto"/>
          <w:sz w:val="24"/>
          <w:highlight w:val="none"/>
          <w:shd w:val="clear" w:color="auto" w:fill="auto"/>
        </w:rPr>
        <w:t>满足《中华人民共和国政府采购法》第二十二条规定及法律法规的其他规定</w:t>
      </w:r>
    </w:p>
    <w:p w14:paraId="19006DEF">
      <w:pPr>
        <w:pStyle w:val="2"/>
        <w:rPr>
          <w:rFonts w:ascii="Times New Roman"/>
          <w:b w:val="0"/>
          <w:bCs/>
          <w:color w:val="auto"/>
          <w:highlight w:val="none"/>
          <w:u w:val="none"/>
          <w:shd w:val="clear" w:color="auto" w:fill="auto"/>
        </w:rPr>
      </w:pPr>
      <w:r>
        <w:rPr>
          <w:rFonts w:ascii="Times New Roman"/>
          <w:b w:val="0"/>
          <w:color w:val="auto"/>
          <w:highlight w:val="none"/>
          <w:u w:val="none"/>
          <w:shd w:val="clear" w:color="auto" w:fill="auto"/>
        </w:rPr>
        <w:t>1-</w:t>
      </w:r>
      <w:r>
        <w:rPr>
          <w:rFonts w:hint="eastAsia" w:ascii="Times New Roman"/>
          <w:b w:val="0"/>
          <w:color w:val="auto"/>
          <w:highlight w:val="none"/>
          <w:u w:val="none"/>
          <w:shd w:val="clear" w:color="auto" w:fill="auto"/>
        </w:rPr>
        <w:t>1</w:t>
      </w:r>
      <w:r>
        <w:rPr>
          <w:rFonts w:ascii="Times New Roman"/>
          <w:b w:val="0"/>
          <w:color w:val="auto"/>
          <w:highlight w:val="none"/>
          <w:u w:val="none"/>
          <w:shd w:val="clear" w:color="auto" w:fill="auto"/>
        </w:rPr>
        <w:t xml:space="preserve"> 供应商资格声明</w:t>
      </w:r>
      <w:r>
        <w:rPr>
          <w:rFonts w:hint="eastAsia" w:ascii="Times New Roman"/>
          <w:b w:val="0"/>
          <w:color w:val="auto"/>
          <w:highlight w:val="none"/>
          <w:u w:val="none"/>
          <w:shd w:val="clear" w:color="auto" w:fill="auto"/>
        </w:rPr>
        <w:t>函</w:t>
      </w:r>
      <w:r>
        <w:rPr>
          <w:rFonts w:ascii="Times New Roman"/>
          <w:b w:val="0"/>
          <w:color w:val="auto"/>
          <w:highlight w:val="none"/>
          <w:u w:val="none"/>
          <w:shd w:val="clear" w:color="auto" w:fill="auto"/>
        </w:rPr>
        <w:t>（实质性格式）</w:t>
      </w:r>
    </w:p>
    <w:p w14:paraId="27F74F41">
      <w:pPr>
        <w:widowControl/>
        <w:adjustRightInd w:val="0"/>
        <w:snapToGrid w:val="0"/>
        <w:spacing w:before="120" w:beforeLines="50" w:line="360" w:lineRule="auto"/>
        <w:jc w:val="center"/>
        <w:rPr>
          <w:rFonts w:hint="eastAsia" w:ascii="宋体" w:hAnsi="宋体" w:cs="宋体"/>
          <w:b/>
          <w:color w:val="auto"/>
          <w:sz w:val="28"/>
          <w:szCs w:val="28"/>
          <w:highlight w:val="none"/>
          <w:shd w:val="clear" w:color="auto" w:fill="auto"/>
        </w:rPr>
      </w:pPr>
    </w:p>
    <w:p w14:paraId="64BA46A2">
      <w:pPr>
        <w:widowControl/>
        <w:adjustRightInd w:val="0"/>
        <w:snapToGrid w:val="0"/>
        <w:spacing w:before="120" w:beforeLines="50" w:line="360" w:lineRule="auto"/>
        <w:jc w:val="center"/>
        <w:rPr>
          <w:rFonts w:ascii="宋体" w:hAnsi="宋体" w:cs="宋体"/>
          <w:color w:val="auto"/>
          <w:szCs w:val="21"/>
          <w:highlight w:val="none"/>
          <w:shd w:val="clear" w:color="auto" w:fill="auto"/>
        </w:rPr>
      </w:pPr>
      <w:r>
        <w:rPr>
          <w:rFonts w:hint="eastAsia" w:ascii="宋体" w:hAnsi="宋体" w:cs="宋体"/>
          <w:b/>
          <w:color w:val="auto"/>
          <w:sz w:val="28"/>
          <w:szCs w:val="28"/>
          <w:highlight w:val="none"/>
          <w:shd w:val="clear" w:color="auto" w:fill="auto"/>
        </w:rPr>
        <w:t>供应商资格声明函</w:t>
      </w:r>
    </w:p>
    <w:p w14:paraId="029A87F9">
      <w:pPr>
        <w:pStyle w:val="3"/>
        <w:spacing w:line="460" w:lineRule="exact"/>
        <w:ind w:firstLine="480"/>
        <w:rPr>
          <w:color w:val="auto"/>
          <w:highlight w:val="none"/>
          <w:shd w:val="clear" w:color="auto" w:fill="auto"/>
        </w:rPr>
      </w:pPr>
    </w:p>
    <w:p w14:paraId="1DA12F20">
      <w:pPr>
        <w:pStyle w:val="3"/>
        <w:spacing w:line="460" w:lineRule="exact"/>
        <w:ind w:firstLine="480"/>
        <w:rPr>
          <w:rFonts w:hint="eastAsia" w:eastAsia="宋体"/>
          <w:color w:val="auto"/>
          <w:highlight w:val="none"/>
          <w:shd w:val="clear" w:color="auto" w:fill="auto"/>
          <w:lang w:eastAsia="zh-CN"/>
        </w:rPr>
      </w:pPr>
      <w:r>
        <w:rPr>
          <w:rFonts w:hint="eastAsia"/>
          <w:color w:val="auto"/>
          <w:highlight w:val="none"/>
          <w:shd w:val="clear" w:color="auto" w:fill="auto"/>
        </w:rPr>
        <w:t>致：</w:t>
      </w:r>
      <w:r>
        <w:rPr>
          <w:rFonts w:hint="eastAsia"/>
          <w:color w:val="auto"/>
          <w:highlight w:val="none"/>
          <w:shd w:val="clear" w:color="auto" w:fill="auto"/>
          <w:lang w:eastAsia="zh-CN"/>
        </w:rPr>
        <w:t>江苏尚阳工程管理有限公司</w:t>
      </w:r>
    </w:p>
    <w:p w14:paraId="290F6654">
      <w:pPr>
        <w:pStyle w:val="3"/>
        <w:spacing w:line="460" w:lineRule="exact"/>
        <w:ind w:firstLine="960" w:firstLineChars="400"/>
        <w:rPr>
          <w:color w:val="auto"/>
          <w:highlight w:val="none"/>
          <w:u w:val="single"/>
          <w:shd w:val="clear" w:color="auto" w:fill="auto"/>
        </w:rPr>
      </w:pPr>
      <w:r>
        <w:rPr>
          <w:rFonts w:hint="eastAsia"/>
          <w:color w:val="auto"/>
          <w:highlight w:val="none"/>
          <w:u w:val="single"/>
          <w:shd w:val="clear" w:color="auto" w:fill="auto"/>
        </w:rPr>
        <w:t>（采购人名称）</w:t>
      </w:r>
    </w:p>
    <w:p w14:paraId="3D37CBE7">
      <w:pPr>
        <w:pStyle w:val="3"/>
        <w:spacing w:line="460" w:lineRule="exact"/>
        <w:ind w:firstLine="480"/>
        <w:rPr>
          <w:color w:val="auto"/>
          <w:highlight w:val="none"/>
          <w:shd w:val="clear" w:color="auto" w:fill="auto"/>
        </w:rPr>
      </w:pPr>
    </w:p>
    <w:p w14:paraId="6B177BD4">
      <w:pPr>
        <w:pStyle w:val="3"/>
        <w:spacing w:line="460" w:lineRule="exact"/>
        <w:ind w:firstLine="480"/>
        <w:rPr>
          <w:color w:val="auto"/>
          <w:highlight w:val="none"/>
          <w:shd w:val="clear" w:color="auto" w:fill="auto"/>
        </w:rPr>
      </w:pPr>
      <w:r>
        <w:rPr>
          <w:rFonts w:hint="eastAsia"/>
          <w:color w:val="auto"/>
          <w:highlight w:val="none"/>
          <w:shd w:val="clear" w:color="auto" w:fill="auto"/>
        </w:rPr>
        <w:t>按照《中华人民共和国政府采购法》第二十二条和磋商文件的规定，我单位郑重声明如下：</w:t>
      </w:r>
    </w:p>
    <w:p w14:paraId="4A746E4C">
      <w:pPr>
        <w:pStyle w:val="3"/>
        <w:spacing w:line="460" w:lineRule="exact"/>
        <w:ind w:firstLine="480"/>
        <w:rPr>
          <w:color w:val="auto"/>
          <w:highlight w:val="none"/>
          <w:shd w:val="clear" w:color="auto" w:fill="auto"/>
        </w:rPr>
      </w:pPr>
      <w:r>
        <w:rPr>
          <w:rFonts w:hint="eastAsia"/>
          <w:color w:val="auto"/>
          <w:highlight w:val="none"/>
          <w:shd w:val="clear" w:color="auto" w:fill="auto"/>
        </w:rPr>
        <w:t>一、我单位是按照中华人民共和国法律规定登记注册的，注册地点为</w:t>
      </w:r>
      <w:r>
        <w:rPr>
          <w:rFonts w:hint="eastAsia"/>
          <w:color w:val="auto"/>
          <w:highlight w:val="none"/>
          <w:u w:val="single"/>
          <w:shd w:val="clear" w:color="auto" w:fill="auto"/>
        </w:rPr>
        <w:t xml:space="preserve">         </w:t>
      </w:r>
      <w:r>
        <w:rPr>
          <w:rFonts w:hint="eastAsia"/>
          <w:color w:val="auto"/>
          <w:highlight w:val="none"/>
          <w:shd w:val="clear" w:color="auto" w:fill="auto"/>
        </w:rPr>
        <w:t>，全称为</w:t>
      </w:r>
      <w:r>
        <w:rPr>
          <w:rFonts w:hint="eastAsia"/>
          <w:color w:val="auto"/>
          <w:highlight w:val="none"/>
          <w:u w:val="single"/>
          <w:shd w:val="clear" w:color="auto" w:fill="auto"/>
        </w:rPr>
        <w:t xml:space="preserve">        </w:t>
      </w:r>
      <w:r>
        <w:rPr>
          <w:rFonts w:hint="eastAsia"/>
          <w:color w:val="auto"/>
          <w:highlight w:val="none"/>
          <w:shd w:val="clear" w:color="auto" w:fill="auto"/>
        </w:rPr>
        <w:t>，统一社会信用代码为</w:t>
      </w:r>
      <w:r>
        <w:rPr>
          <w:rFonts w:hint="eastAsia"/>
          <w:color w:val="auto"/>
          <w:highlight w:val="none"/>
          <w:u w:val="single"/>
          <w:shd w:val="clear" w:color="auto" w:fill="auto"/>
        </w:rPr>
        <w:t xml:space="preserve">           </w:t>
      </w:r>
      <w:r>
        <w:rPr>
          <w:rFonts w:hint="eastAsia"/>
          <w:color w:val="auto"/>
          <w:highlight w:val="none"/>
          <w:shd w:val="clear" w:color="auto" w:fill="auto"/>
        </w:rPr>
        <w:t xml:space="preserve"> ，法定代表人（单位负责人）为</w:t>
      </w:r>
      <w:r>
        <w:rPr>
          <w:rFonts w:hint="eastAsia"/>
          <w:color w:val="auto"/>
          <w:highlight w:val="none"/>
          <w:u w:val="single"/>
          <w:shd w:val="clear" w:color="auto" w:fill="auto"/>
        </w:rPr>
        <w:t xml:space="preserve">         </w:t>
      </w:r>
      <w:r>
        <w:rPr>
          <w:rFonts w:hint="eastAsia"/>
          <w:color w:val="auto"/>
          <w:highlight w:val="none"/>
          <w:shd w:val="clear" w:color="auto" w:fill="auto"/>
        </w:rPr>
        <w:t>，具有独立承担民事责任的能力</w:t>
      </w:r>
      <w:r>
        <w:rPr>
          <w:rFonts w:hint="eastAsia"/>
          <w:b/>
          <w:color w:val="auto"/>
          <w:highlight w:val="none"/>
          <w:shd w:val="clear" w:color="auto" w:fill="auto"/>
        </w:rPr>
        <w:t>（如属于分公司经总公司授权参与项目，由总公司承担民事责任的，需提供总公司项目授权书）</w:t>
      </w:r>
      <w:r>
        <w:rPr>
          <w:rFonts w:hint="eastAsia"/>
          <w:color w:val="auto"/>
          <w:highlight w:val="none"/>
          <w:shd w:val="clear" w:color="auto" w:fill="auto"/>
        </w:rPr>
        <w:t>。</w:t>
      </w:r>
    </w:p>
    <w:p w14:paraId="67F82561">
      <w:pPr>
        <w:pStyle w:val="3"/>
        <w:spacing w:line="460" w:lineRule="exact"/>
        <w:ind w:firstLine="480"/>
        <w:rPr>
          <w:color w:val="auto"/>
          <w:highlight w:val="none"/>
          <w:shd w:val="clear" w:color="auto" w:fill="auto"/>
        </w:rPr>
      </w:pPr>
      <w:r>
        <w:rPr>
          <w:rFonts w:hint="eastAsia"/>
          <w:color w:val="auto"/>
          <w:highlight w:val="none"/>
          <w:shd w:val="clear" w:color="auto" w:fill="auto"/>
        </w:rPr>
        <w:t>二、我单位未被“国家企业信用信息系统”列入经营异常名录或者严重违法企业名单。</w:t>
      </w:r>
    </w:p>
    <w:p w14:paraId="0F00E22D">
      <w:pPr>
        <w:pStyle w:val="3"/>
        <w:spacing w:line="460" w:lineRule="exact"/>
        <w:ind w:firstLine="480"/>
        <w:rPr>
          <w:color w:val="auto"/>
          <w:highlight w:val="none"/>
          <w:shd w:val="clear" w:color="auto" w:fill="auto"/>
        </w:rPr>
      </w:pPr>
      <w:r>
        <w:rPr>
          <w:rFonts w:hint="eastAsia"/>
          <w:color w:val="auto"/>
          <w:highlight w:val="none"/>
          <w:shd w:val="clear" w:color="auto" w:fill="auto"/>
        </w:rPr>
        <w:t>三、我单位具有良好的商业信誉（指供应商经营状况良好，无本资格声明第十条情形）和健全的财务会计制度。</w:t>
      </w:r>
    </w:p>
    <w:p w14:paraId="5578388D">
      <w:pPr>
        <w:pStyle w:val="3"/>
        <w:spacing w:line="460" w:lineRule="exact"/>
        <w:ind w:firstLine="480"/>
        <w:rPr>
          <w:color w:val="auto"/>
          <w:highlight w:val="none"/>
          <w:shd w:val="clear" w:color="auto" w:fill="auto"/>
        </w:rPr>
      </w:pPr>
      <w:r>
        <w:rPr>
          <w:rFonts w:hint="eastAsia"/>
          <w:color w:val="auto"/>
          <w:highlight w:val="none"/>
          <w:shd w:val="clear" w:color="auto" w:fill="auto"/>
        </w:rPr>
        <w:t>四、我单位依法进行纳税和社会保险申报并实际履行了义务。</w:t>
      </w:r>
    </w:p>
    <w:p w14:paraId="5AF8F4F9">
      <w:pPr>
        <w:pStyle w:val="3"/>
        <w:spacing w:line="460" w:lineRule="exact"/>
        <w:ind w:firstLine="480"/>
        <w:rPr>
          <w:color w:val="auto"/>
          <w:highlight w:val="none"/>
          <w:shd w:val="clear" w:color="auto" w:fill="auto"/>
        </w:rPr>
      </w:pPr>
      <w:r>
        <w:rPr>
          <w:rFonts w:hint="eastAsia"/>
          <w:color w:val="auto"/>
          <w:highlight w:val="none"/>
          <w:shd w:val="clear" w:color="auto" w:fill="auto"/>
        </w:rPr>
        <w:t>五、我单位具有履行本项目采购合同所必需的设备和专业技术能力，并具有履行合同的良好</w:t>
      </w:r>
      <w:r>
        <w:rPr>
          <w:color w:val="auto"/>
          <w:highlight w:val="none"/>
          <w:shd w:val="clear" w:color="auto" w:fill="auto"/>
        </w:rPr>
        <w:t>记录</w:t>
      </w:r>
      <w:r>
        <w:rPr>
          <w:rFonts w:hint="eastAsia"/>
          <w:color w:val="auto"/>
          <w:highlight w:val="none"/>
          <w:shd w:val="clear" w:color="auto" w:fill="auto"/>
        </w:rPr>
        <w:t>。为履行本项采购合同我单位具备如下主要设备和主要专业技术能力:</w:t>
      </w:r>
    </w:p>
    <w:p w14:paraId="515BD5A5">
      <w:pPr>
        <w:pStyle w:val="3"/>
        <w:spacing w:line="460" w:lineRule="exact"/>
        <w:ind w:firstLine="480"/>
        <w:rPr>
          <w:color w:val="auto"/>
          <w:highlight w:val="none"/>
          <w:shd w:val="clear" w:color="auto" w:fill="auto"/>
        </w:rPr>
      </w:pPr>
      <w:r>
        <w:rPr>
          <w:rFonts w:hint="eastAsia"/>
          <w:color w:val="auto"/>
          <w:highlight w:val="none"/>
          <w:shd w:val="clear" w:color="auto" w:fill="auto"/>
        </w:rPr>
        <w:t>主要设备有：</w:t>
      </w:r>
      <w:r>
        <w:rPr>
          <w:color w:val="auto"/>
          <w:highlight w:val="none"/>
          <w:u w:val="single"/>
          <w:shd w:val="clear" w:color="auto" w:fill="auto"/>
        </w:rPr>
        <w:t xml:space="preserve">            </w:t>
      </w:r>
    </w:p>
    <w:p w14:paraId="0275A553">
      <w:pPr>
        <w:pStyle w:val="3"/>
        <w:spacing w:line="460" w:lineRule="exact"/>
        <w:ind w:firstLine="480"/>
        <w:rPr>
          <w:color w:val="auto"/>
          <w:highlight w:val="none"/>
          <w:shd w:val="clear" w:color="auto" w:fill="auto"/>
        </w:rPr>
      </w:pPr>
      <w:r>
        <w:rPr>
          <w:rFonts w:hint="eastAsia"/>
          <w:color w:val="auto"/>
          <w:highlight w:val="none"/>
          <w:shd w:val="clear" w:color="auto" w:fill="auto"/>
        </w:rPr>
        <w:t>主要专业技术能力有</w:t>
      </w:r>
      <w:r>
        <w:rPr>
          <w:rFonts w:hint="eastAsia"/>
          <w:color w:val="auto"/>
          <w:highlight w:val="none"/>
          <w:u w:val="single"/>
          <w:shd w:val="clear" w:color="auto" w:fill="auto"/>
        </w:rPr>
        <w:t xml:space="preserve">                 </w:t>
      </w:r>
    </w:p>
    <w:p w14:paraId="11EDDC2D">
      <w:pPr>
        <w:pStyle w:val="3"/>
        <w:spacing w:line="460" w:lineRule="exact"/>
        <w:ind w:firstLine="480"/>
        <w:rPr>
          <w:color w:val="auto"/>
          <w:highlight w:val="none"/>
          <w:shd w:val="clear" w:color="auto" w:fill="auto"/>
        </w:rPr>
      </w:pPr>
      <w:r>
        <w:rPr>
          <w:rFonts w:hint="eastAsia"/>
          <w:color w:val="auto"/>
          <w:highlight w:val="none"/>
          <w:shd w:val="clear" w:color="auto" w:fill="auto"/>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359906FB">
      <w:pPr>
        <w:pStyle w:val="3"/>
        <w:spacing w:line="460" w:lineRule="exact"/>
        <w:ind w:firstLine="480"/>
        <w:rPr>
          <w:color w:val="auto"/>
          <w:highlight w:val="none"/>
          <w:shd w:val="clear" w:color="auto" w:fill="auto"/>
        </w:rPr>
      </w:pPr>
      <w:r>
        <w:rPr>
          <w:rFonts w:hint="eastAsia"/>
          <w:color w:val="auto"/>
          <w:highlight w:val="none"/>
          <w:shd w:val="clear" w:color="auto" w:fill="auto"/>
        </w:rPr>
        <w:t>七、我单位具备法律、行政法规规定的其他条件。</w:t>
      </w:r>
    </w:p>
    <w:p w14:paraId="254BF3C6">
      <w:pPr>
        <w:pStyle w:val="3"/>
        <w:spacing w:line="460" w:lineRule="exact"/>
        <w:ind w:firstLine="480"/>
        <w:rPr>
          <w:color w:val="auto"/>
          <w:highlight w:val="none"/>
          <w:shd w:val="clear" w:color="auto" w:fill="auto"/>
        </w:rPr>
      </w:pPr>
      <w:r>
        <w:rPr>
          <w:rFonts w:hint="eastAsia"/>
          <w:color w:val="auto"/>
          <w:highlight w:val="none"/>
          <w:shd w:val="clear" w:color="auto" w:fill="auto"/>
        </w:rPr>
        <w:t>八、与我单位存在“单位负责人为同一人或者存在直接控股、管理关系”的其他单位信息如下（如无此情形的，填写“无”）：</w:t>
      </w:r>
    </w:p>
    <w:p w14:paraId="46E04C12">
      <w:pPr>
        <w:pStyle w:val="3"/>
        <w:spacing w:line="460" w:lineRule="exact"/>
        <w:ind w:firstLine="480"/>
        <w:rPr>
          <w:color w:val="auto"/>
          <w:highlight w:val="none"/>
          <w:shd w:val="clear" w:color="auto" w:fill="auto"/>
        </w:rPr>
      </w:pPr>
      <w:r>
        <w:rPr>
          <w:rFonts w:hint="eastAsia"/>
          <w:color w:val="auto"/>
          <w:highlight w:val="none"/>
          <w:shd w:val="clear" w:color="auto" w:fill="auto"/>
        </w:rPr>
        <w:t>1、与我单位的法定代表人（单位负责人）为同一人的其他单位如下：</w:t>
      </w:r>
      <w:r>
        <w:rPr>
          <w:rFonts w:hint="eastAsia"/>
          <w:color w:val="auto"/>
          <w:highlight w:val="none"/>
          <w:u w:val="single"/>
          <w:shd w:val="clear" w:color="auto" w:fill="auto"/>
        </w:rPr>
        <w:t xml:space="preserve">     </w:t>
      </w:r>
      <w:r>
        <w:rPr>
          <w:rFonts w:hint="eastAsia"/>
          <w:color w:val="auto"/>
          <w:highlight w:val="none"/>
          <w:shd w:val="clear" w:color="auto" w:fill="auto"/>
        </w:rPr>
        <w:t xml:space="preserve">          </w:t>
      </w:r>
    </w:p>
    <w:p w14:paraId="7E7571EA">
      <w:pPr>
        <w:pStyle w:val="3"/>
        <w:spacing w:line="460" w:lineRule="exact"/>
        <w:ind w:firstLine="480"/>
        <w:rPr>
          <w:color w:val="auto"/>
          <w:highlight w:val="none"/>
          <w:shd w:val="clear" w:color="auto" w:fill="auto"/>
        </w:rPr>
      </w:pPr>
      <w:r>
        <w:rPr>
          <w:rFonts w:hint="eastAsia"/>
          <w:color w:val="auto"/>
          <w:highlight w:val="none"/>
          <w:shd w:val="clear" w:color="auto" w:fill="auto"/>
        </w:rPr>
        <w:t>2、我单位直接控股的其他单位如下：</w:t>
      </w:r>
      <w:r>
        <w:rPr>
          <w:rFonts w:hint="eastAsia"/>
          <w:color w:val="auto"/>
          <w:highlight w:val="none"/>
          <w:u w:val="single"/>
          <w:shd w:val="clear" w:color="auto" w:fill="auto"/>
        </w:rPr>
        <w:t xml:space="preserve">                    </w:t>
      </w:r>
      <w:r>
        <w:rPr>
          <w:rFonts w:hint="eastAsia"/>
          <w:color w:val="auto"/>
          <w:highlight w:val="none"/>
          <w:shd w:val="clear" w:color="auto" w:fill="auto"/>
        </w:rPr>
        <w:t xml:space="preserve"> </w:t>
      </w:r>
    </w:p>
    <w:p w14:paraId="68AF05BE">
      <w:pPr>
        <w:pStyle w:val="3"/>
        <w:spacing w:line="460" w:lineRule="exact"/>
        <w:ind w:firstLine="480"/>
        <w:rPr>
          <w:color w:val="auto"/>
          <w:highlight w:val="none"/>
          <w:shd w:val="clear" w:color="auto" w:fill="auto"/>
        </w:rPr>
      </w:pPr>
      <w:r>
        <w:rPr>
          <w:rFonts w:hint="eastAsia"/>
          <w:color w:val="auto"/>
          <w:highlight w:val="none"/>
          <w:shd w:val="clear" w:color="auto" w:fill="auto"/>
        </w:rPr>
        <w:t>3、与我单位存在管理关系的其他单位如下：</w:t>
      </w:r>
      <w:r>
        <w:rPr>
          <w:rFonts w:hint="eastAsia"/>
          <w:color w:val="auto"/>
          <w:highlight w:val="none"/>
          <w:u w:val="single"/>
          <w:shd w:val="clear" w:color="auto" w:fill="auto"/>
        </w:rPr>
        <w:t xml:space="preserve">              </w:t>
      </w:r>
      <w:r>
        <w:rPr>
          <w:rFonts w:hint="eastAsia"/>
          <w:color w:val="auto"/>
          <w:highlight w:val="none"/>
          <w:shd w:val="clear" w:color="auto" w:fill="auto"/>
        </w:rPr>
        <w:t xml:space="preserve"> </w:t>
      </w:r>
    </w:p>
    <w:p w14:paraId="4AEAA536">
      <w:pPr>
        <w:pStyle w:val="3"/>
        <w:spacing w:line="460" w:lineRule="exact"/>
        <w:ind w:firstLine="480"/>
        <w:rPr>
          <w:color w:val="auto"/>
          <w:highlight w:val="none"/>
          <w:shd w:val="clear" w:color="auto" w:fill="auto"/>
        </w:rPr>
      </w:pPr>
      <w:r>
        <w:rPr>
          <w:rFonts w:hint="eastAsia"/>
          <w:color w:val="auto"/>
          <w:highlight w:val="none"/>
          <w:shd w:val="clear" w:color="auto" w:fill="auto"/>
        </w:rPr>
        <w:t>九、</w:t>
      </w:r>
      <w:r>
        <w:rPr>
          <w:color w:val="auto"/>
          <w:highlight w:val="none"/>
          <w:shd w:val="clear" w:color="auto" w:fill="auto"/>
        </w:rPr>
        <w:t>我</w:t>
      </w:r>
      <w:r>
        <w:rPr>
          <w:rFonts w:hint="eastAsia"/>
          <w:color w:val="auto"/>
          <w:highlight w:val="none"/>
          <w:shd w:val="clear" w:color="auto" w:fill="auto"/>
        </w:rPr>
        <w:t>单位</w:t>
      </w:r>
      <w:r>
        <w:rPr>
          <w:color w:val="auto"/>
          <w:highlight w:val="none"/>
          <w:shd w:val="clear" w:color="auto" w:fill="auto"/>
        </w:rPr>
        <w:t>不属于为本项目提供整体设计、规范编制或者项目管理、监理、检测等服务的供应商。</w:t>
      </w:r>
    </w:p>
    <w:p w14:paraId="002DC856">
      <w:pPr>
        <w:pStyle w:val="3"/>
        <w:spacing w:line="460" w:lineRule="exact"/>
        <w:ind w:firstLine="480"/>
        <w:rPr>
          <w:color w:val="auto"/>
          <w:highlight w:val="none"/>
          <w:shd w:val="clear" w:color="auto" w:fill="auto"/>
        </w:rPr>
      </w:pPr>
      <w:r>
        <w:rPr>
          <w:rFonts w:hint="eastAsia"/>
          <w:color w:val="auto"/>
          <w:highlight w:val="none"/>
          <w:shd w:val="clear" w:color="auto" w:fill="auto"/>
        </w:rPr>
        <w:t>十、</w:t>
      </w:r>
      <w:r>
        <w:rPr>
          <w:color w:val="auto"/>
          <w:highlight w:val="none"/>
          <w:shd w:val="clear" w:color="auto" w:fill="auto"/>
        </w:rPr>
        <w:t>我单位无以下不良信用记录情形：</w:t>
      </w:r>
    </w:p>
    <w:p w14:paraId="5E3D92DC">
      <w:pPr>
        <w:pStyle w:val="3"/>
        <w:spacing w:line="460" w:lineRule="exact"/>
        <w:ind w:firstLine="480"/>
        <w:rPr>
          <w:color w:val="auto"/>
          <w:highlight w:val="none"/>
          <w:shd w:val="clear" w:color="auto" w:fill="auto"/>
        </w:rPr>
      </w:pPr>
      <w:r>
        <w:rPr>
          <w:color w:val="auto"/>
          <w:highlight w:val="none"/>
          <w:shd w:val="clear" w:color="auto" w:fill="auto"/>
        </w:rPr>
        <w:t>1</w:t>
      </w:r>
      <w:r>
        <w:rPr>
          <w:rFonts w:hint="eastAsia"/>
          <w:color w:val="auto"/>
          <w:highlight w:val="none"/>
          <w:shd w:val="clear" w:color="auto" w:fill="auto"/>
        </w:rPr>
        <w:t>、在“信用中国”网站被列入失信被执行人和重大税收违法案件当事人名单；</w:t>
      </w:r>
    </w:p>
    <w:p w14:paraId="34EF4E74">
      <w:pPr>
        <w:pStyle w:val="3"/>
        <w:spacing w:line="460" w:lineRule="exact"/>
        <w:ind w:firstLine="480"/>
        <w:rPr>
          <w:color w:val="auto"/>
          <w:highlight w:val="none"/>
          <w:shd w:val="clear" w:color="auto" w:fill="auto"/>
        </w:rPr>
      </w:pPr>
      <w:r>
        <w:rPr>
          <w:color w:val="auto"/>
          <w:highlight w:val="none"/>
          <w:shd w:val="clear" w:color="auto" w:fill="auto"/>
        </w:rPr>
        <w:t>2</w:t>
      </w:r>
      <w:r>
        <w:rPr>
          <w:rFonts w:hint="eastAsia"/>
          <w:color w:val="auto"/>
          <w:highlight w:val="none"/>
          <w:shd w:val="clear" w:color="auto" w:fill="auto"/>
        </w:rPr>
        <w:t>、在“中国政府采购网”网站被列入政府采购严重违法失信行为记录名单；</w:t>
      </w:r>
    </w:p>
    <w:p w14:paraId="66129E97">
      <w:pPr>
        <w:pStyle w:val="3"/>
        <w:spacing w:line="460" w:lineRule="exact"/>
        <w:ind w:firstLine="480"/>
        <w:rPr>
          <w:color w:val="auto"/>
          <w:highlight w:val="none"/>
          <w:shd w:val="clear" w:color="auto" w:fill="auto"/>
        </w:rPr>
      </w:pPr>
      <w:r>
        <w:rPr>
          <w:color w:val="auto"/>
          <w:highlight w:val="none"/>
          <w:shd w:val="clear" w:color="auto" w:fill="auto"/>
        </w:rPr>
        <w:t>3</w:t>
      </w:r>
      <w:r>
        <w:rPr>
          <w:rFonts w:hint="eastAsia"/>
          <w:color w:val="auto"/>
          <w:highlight w:val="none"/>
          <w:shd w:val="clear" w:color="auto" w:fill="auto"/>
        </w:rPr>
        <w:t>、</w:t>
      </w:r>
      <w:r>
        <w:rPr>
          <w:color w:val="auto"/>
          <w:highlight w:val="none"/>
          <w:shd w:val="clear" w:color="auto" w:fill="auto"/>
        </w:rPr>
        <w:t>不符合《政府采购法》第二十二条规定的条件。</w:t>
      </w:r>
    </w:p>
    <w:p w14:paraId="1FC9D8C4">
      <w:pPr>
        <w:pStyle w:val="3"/>
        <w:spacing w:line="460" w:lineRule="exact"/>
        <w:ind w:firstLine="480"/>
        <w:rPr>
          <w:color w:val="auto"/>
          <w:highlight w:val="none"/>
          <w:shd w:val="clear" w:color="auto" w:fill="auto"/>
        </w:rPr>
      </w:pPr>
    </w:p>
    <w:p w14:paraId="0968115E">
      <w:pPr>
        <w:pStyle w:val="3"/>
        <w:spacing w:line="460" w:lineRule="exact"/>
        <w:ind w:firstLine="480"/>
        <w:rPr>
          <w:color w:val="auto"/>
          <w:highlight w:val="none"/>
          <w:shd w:val="clear" w:color="auto" w:fill="auto"/>
        </w:rPr>
      </w:pPr>
      <w:r>
        <w:rPr>
          <w:rFonts w:hint="eastAsia"/>
          <w:color w:val="auto"/>
          <w:highlight w:val="none"/>
          <w:shd w:val="clear" w:color="auto" w:fill="auto"/>
        </w:rPr>
        <w:t>我单位保证上述声明的事项都是真实的，如有虚假，我单位愿意承担相应的法律责任，并承担因此所造成的一切损失。</w:t>
      </w:r>
    </w:p>
    <w:p w14:paraId="0EB29812">
      <w:pPr>
        <w:pStyle w:val="3"/>
        <w:spacing w:line="460" w:lineRule="exact"/>
        <w:ind w:firstLine="480"/>
        <w:rPr>
          <w:color w:val="auto"/>
          <w:highlight w:val="none"/>
          <w:shd w:val="clear" w:color="auto" w:fill="auto"/>
        </w:rPr>
      </w:pPr>
    </w:p>
    <w:p w14:paraId="0A81592C">
      <w:pPr>
        <w:pStyle w:val="3"/>
        <w:spacing w:line="460" w:lineRule="exact"/>
        <w:ind w:firstLine="480"/>
        <w:rPr>
          <w:color w:val="auto"/>
          <w:highlight w:val="none"/>
          <w:shd w:val="clear" w:color="auto" w:fill="auto"/>
        </w:rPr>
      </w:pPr>
    </w:p>
    <w:p w14:paraId="78D3C032">
      <w:pPr>
        <w:pStyle w:val="3"/>
        <w:spacing w:line="460" w:lineRule="exact"/>
        <w:ind w:firstLine="480"/>
        <w:rPr>
          <w:color w:val="auto"/>
          <w:highlight w:val="none"/>
          <w:shd w:val="clear" w:color="auto" w:fill="auto"/>
        </w:rPr>
      </w:pPr>
      <w:r>
        <w:rPr>
          <w:rFonts w:hint="eastAsia"/>
          <w:color w:val="auto"/>
          <w:highlight w:val="none"/>
          <w:shd w:val="clear" w:color="auto" w:fill="auto"/>
        </w:rPr>
        <w:t>                                            供应商：（加盖公章）</w:t>
      </w:r>
    </w:p>
    <w:p w14:paraId="4F7CD1DB">
      <w:pPr>
        <w:pStyle w:val="3"/>
        <w:spacing w:line="460" w:lineRule="exact"/>
        <w:ind w:firstLine="480"/>
        <w:rPr>
          <w:color w:val="auto"/>
          <w:highlight w:val="none"/>
          <w:shd w:val="clear" w:color="auto" w:fill="auto"/>
        </w:rPr>
      </w:pPr>
      <w:r>
        <w:rPr>
          <w:rFonts w:hint="eastAsia"/>
          <w:color w:val="auto"/>
          <w:highlight w:val="none"/>
          <w:shd w:val="clear" w:color="auto" w:fill="auto"/>
        </w:rPr>
        <w:t>                                           法定代表人（或单位负责人）签字或盖章：</w:t>
      </w:r>
    </w:p>
    <w:p w14:paraId="1BAFC933">
      <w:pPr>
        <w:pStyle w:val="3"/>
        <w:spacing w:line="460" w:lineRule="exact"/>
        <w:ind w:firstLine="4920" w:firstLineChars="2050"/>
        <w:rPr>
          <w:rFonts w:hint="eastAsia"/>
          <w:color w:val="auto"/>
          <w:highlight w:val="none"/>
          <w:shd w:val="clear" w:color="auto" w:fill="auto"/>
        </w:rPr>
      </w:pPr>
      <w:r>
        <w:rPr>
          <w:rFonts w:hint="eastAsia"/>
          <w:color w:val="auto"/>
          <w:highlight w:val="none"/>
          <w:shd w:val="clear" w:color="auto" w:fill="auto"/>
        </w:rPr>
        <w:t>日期：    年    月    日</w:t>
      </w:r>
    </w:p>
    <w:p w14:paraId="63D2D1EF">
      <w:pPr>
        <w:spacing w:line="360" w:lineRule="auto"/>
        <w:rPr>
          <w:rFonts w:hint="eastAsia"/>
          <w:color w:val="auto"/>
          <w:sz w:val="24"/>
          <w:highlight w:val="none"/>
          <w:shd w:val="clear" w:color="auto" w:fill="auto"/>
        </w:rPr>
      </w:pPr>
    </w:p>
    <w:p w14:paraId="1F4ABA02">
      <w:pPr>
        <w:spacing w:line="360" w:lineRule="auto"/>
        <w:rPr>
          <w:rFonts w:hint="eastAsia"/>
          <w:color w:val="auto"/>
          <w:sz w:val="24"/>
          <w:highlight w:val="none"/>
          <w:shd w:val="clear" w:color="auto" w:fill="auto"/>
        </w:rPr>
      </w:pPr>
    </w:p>
    <w:p w14:paraId="0B6D12DF">
      <w:pPr>
        <w:spacing w:line="360" w:lineRule="auto"/>
        <w:rPr>
          <w:rFonts w:hint="eastAsia"/>
          <w:color w:val="auto"/>
          <w:sz w:val="24"/>
          <w:highlight w:val="none"/>
          <w:shd w:val="clear" w:color="auto" w:fill="auto"/>
        </w:rPr>
      </w:pPr>
    </w:p>
    <w:p w14:paraId="1BF0496A">
      <w:pPr>
        <w:spacing w:line="360" w:lineRule="auto"/>
        <w:rPr>
          <w:color w:val="auto"/>
          <w:sz w:val="24"/>
          <w:highlight w:val="none"/>
          <w:shd w:val="clear" w:color="auto" w:fill="auto"/>
        </w:rPr>
      </w:pPr>
      <w:r>
        <w:rPr>
          <w:color w:val="auto"/>
          <w:sz w:val="24"/>
          <w:highlight w:val="none"/>
          <w:shd w:val="clear" w:color="auto" w:fill="auto"/>
        </w:rPr>
        <w:t>说明：</w:t>
      </w:r>
      <w:r>
        <w:rPr>
          <w:rFonts w:hint="eastAsia"/>
          <w:color w:val="auto"/>
          <w:sz w:val="24"/>
          <w:highlight w:val="none"/>
          <w:shd w:val="clear" w:color="auto" w:fill="auto"/>
        </w:rPr>
        <w:t>供应商承诺不实的，依据《政府采购法》第七十七条“提供虚假材料谋取中标、成交的”有关规定予以处理</w:t>
      </w:r>
      <w:r>
        <w:rPr>
          <w:color w:val="auto"/>
          <w:sz w:val="24"/>
          <w:highlight w:val="none"/>
          <w:shd w:val="clear" w:color="auto" w:fill="auto"/>
        </w:rPr>
        <w:t>。</w:t>
      </w:r>
    </w:p>
    <w:p w14:paraId="12937E7B">
      <w:pPr>
        <w:tabs>
          <w:tab w:val="left" w:pos="5580"/>
        </w:tabs>
        <w:spacing w:line="360" w:lineRule="auto"/>
        <w:rPr>
          <w:color w:val="auto"/>
          <w:sz w:val="24"/>
          <w:highlight w:val="none"/>
          <w:shd w:val="clear" w:color="auto" w:fill="auto"/>
        </w:rPr>
        <w:sectPr>
          <w:pgSz w:w="11907" w:h="16840"/>
          <w:pgMar w:top="1418" w:right="1134" w:bottom="1418" w:left="1701" w:header="851" w:footer="851" w:gutter="0"/>
          <w:pgNumType w:fmt="decimal"/>
          <w:cols w:space="720" w:num="1"/>
          <w:docGrid w:linePitch="462" w:charSpace="0"/>
        </w:sectPr>
      </w:pPr>
    </w:p>
    <w:p w14:paraId="3B02B58A">
      <w:pPr>
        <w:spacing w:line="360" w:lineRule="auto"/>
        <w:outlineLvl w:val="2"/>
        <w:rPr>
          <w:color w:val="auto"/>
          <w:sz w:val="24"/>
          <w:szCs w:val="20"/>
          <w:highlight w:val="none"/>
          <w:shd w:val="clear" w:color="auto" w:fill="auto"/>
        </w:rPr>
      </w:pPr>
      <w:r>
        <w:rPr>
          <w:color w:val="auto"/>
          <w:sz w:val="24"/>
          <w:szCs w:val="20"/>
          <w:highlight w:val="none"/>
          <w:shd w:val="clear" w:color="auto" w:fill="auto"/>
        </w:rPr>
        <w:t>2 落实政府采购政策需满足的资格要求</w:t>
      </w:r>
    </w:p>
    <w:p w14:paraId="58FB36FB">
      <w:pPr>
        <w:spacing w:line="360" w:lineRule="auto"/>
        <w:outlineLvl w:val="2"/>
        <w:rPr>
          <w:color w:val="auto"/>
          <w:sz w:val="24"/>
          <w:szCs w:val="20"/>
          <w:highlight w:val="none"/>
          <w:shd w:val="clear" w:color="auto" w:fill="auto"/>
        </w:rPr>
      </w:pPr>
      <w:r>
        <w:rPr>
          <w:color w:val="auto"/>
          <w:sz w:val="24"/>
          <w:szCs w:val="20"/>
          <w:highlight w:val="none"/>
          <w:shd w:val="clear" w:color="auto" w:fill="auto"/>
        </w:rPr>
        <w:t>2-1 中小企业声明函</w:t>
      </w:r>
    </w:p>
    <w:p w14:paraId="643C84C0">
      <w:pPr>
        <w:tabs>
          <w:tab w:val="left" w:pos="5580"/>
        </w:tabs>
        <w:spacing w:line="360" w:lineRule="auto"/>
        <w:outlineLvl w:val="9"/>
        <w:rPr>
          <w:color w:val="auto"/>
          <w:sz w:val="24"/>
          <w:highlight w:val="none"/>
        </w:rPr>
      </w:pPr>
      <w:r>
        <w:rPr>
          <w:rFonts w:hint="eastAsia"/>
          <w:color w:val="auto"/>
          <w:sz w:val="24"/>
          <w:highlight w:val="none"/>
        </w:rPr>
        <w:t>说明：</w:t>
      </w:r>
    </w:p>
    <w:p w14:paraId="455A27FB">
      <w:pPr>
        <w:tabs>
          <w:tab w:val="left" w:pos="5580"/>
        </w:tabs>
        <w:spacing w:line="360" w:lineRule="auto"/>
        <w:rPr>
          <w:color w:val="auto"/>
          <w:sz w:val="24"/>
          <w:highlight w:val="none"/>
          <w:shd w:val="clear" w:color="auto" w:fill="auto"/>
        </w:rPr>
      </w:pPr>
      <w:r>
        <w:rPr>
          <w:color w:val="auto"/>
          <w:sz w:val="24"/>
          <w:highlight w:val="none"/>
          <w:shd w:val="clear" w:color="auto" w:fill="auto"/>
        </w:rPr>
        <w:t>（1）本项目专门面向中小企业采购，须提供《中小企业声明函》</w:t>
      </w:r>
      <w:r>
        <w:rPr>
          <w:color w:val="auto"/>
          <w:sz w:val="24"/>
          <w:szCs w:val="20"/>
          <w:highlight w:val="none"/>
          <w:shd w:val="clear" w:color="auto" w:fill="auto"/>
        </w:rPr>
        <w:t>（实质性格式）</w:t>
      </w:r>
      <w:r>
        <w:rPr>
          <w:color w:val="auto"/>
          <w:sz w:val="24"/>
          <w:highlight w:val="none"/>
          <w:shd w:val="clear" w:color="auto" w:fill="auto"/>
        </w:rPr>
        <w:t>。</w:t>
      </w:r>
    </w:p>
    <w:p w14:paraId="45105AF4">
      <w:pPr>
        <w:tabs>
          <w:tab w:val="left" w:pos="5580"/>
        </w:tabs>
        <w:spacing w:line="360" w:lineRule="auto"/>
        <w:rPr>
          <w:color w:val="auto"/>
          <w:sz w:val="24"/>
          <w:highlight w:val="none"/>
          <w:shd w:val="clear" w:color="auto" w:fill="auto"/>
        </w:rPr>
      </w:pPr>
      <w:r>
        <w:rPr>
          <w:color w:val="auto"/>
          <w:sz w:val="24"/>
          <w:highlight w:val="none"/>
          <w:shd w:val="clear" w:color="auto" w:fill="auto"/>
        </w:rPr>
        <w:t>（2）其它</w:t>
      </w:r>
      <w:r>
        <w:rPr>
          <w:rFonts w:hint="eastAsia"/>
          <w:color w:val="auto"/>
          <w:sz w:val="24"/>
          <w:highlight w:val="none"/>
          <w:shd w:val="clear" w:color="auto" w:fill="auto"/>
          <w:lang w:eastAsia="zh-CN"/>
        </w:rPr>
        <w:t>：</w:t>
      </w:r>
      <w:r>
        <w:rPr>
          <w:color w:val="auto"/>
          <w:sz w:val="24"/>
          <w:highlight w:val="none"/>
          <w:shd w:val="clear" w:color="auto" w:fill="auto"/>
        </w:rPr>
        <w:t>中小企业参加政府采购活动，应当出具此格式文件。《中小企业声明函》由参加政府采购活动的供应商出具。</w:t>
      </w:r>
    </w:p>
    <w:p w14:paraId="55E5A6AA">
      <w:pPr>
        <w:tabs>
          <w:tab w:val="left" w:pos="5580"/>
        </w:tabs>
        <w:spacing w:line="360" w:lineRule="auto"/>
        <w:rPr>
          <w:rFonts w:hint="eastAsia"/>
          <w:color w:val="auto"/>
          <w:sz w:val="24"/>
          <w:highlight w:val="none"/>
          <w:shd w:val="clear" w:color="auto" w:fill="auto"/>
        </w:rPr>
      </w:pPr>
      <w:r>
        <w:rPr>
          <w:color w:val="auto"/>
          <w:sz w:val="24"/>
          <w:highlight w:val="none"/>
          <w:shd w:val="clear" w:color="auto" w:fill="auto"/>
        </w:rPr>
        <w:t>（3）</w:t>
      </w:r>
      <w:r>
        <w:rPr>
          <w:rFonts w:hint="eastAsia"/>
          <w:color w:val="auto"/>
          <w:sz w:val="24"/>
          <w:highlight w:val="none"/>
          <w:shd w:val="clear" w:color="auto" w:fill="auto"/>
        </w:rPr>
        <w:t>中小企业认定标准以《关于印发中小企业划型标准规定的通知》</w:t>
      </w:r>
      <w:r>
        <w:rPr>
          <w:rFonts w:hint="eastAsia"/>
          <w:color w:val="auto"/>
          <w:sz w:val="24"/>
          <w:highlight w:val="none"/>
          <w:shd w:val="clear" w:color="auto" w:fill="auto"/>
          <w:lang w:eastAsia="zh-CN"/>
        </w:rPr>
        <w:t>（</w:t>
      </w:r>
      <w:r>
        <w:rPr>
          <w:rFonts w:hint="eastAsia"/>
          <w:color w:val="auto"/>
          <w:sz w:val="24"/>
          <w:highlight w:val="none"/>
          <w:shd w:val="clear" w:color="auto" w:fill="auto"/>
        </w:rPr>
        <w:t>工信部联企业{2011}300号</w:t>
      </w:r>
      <w:r>
        <w:rPr>
          <w:rFonts w:hint="eastAsia"/>
          <w:color w:val="auto"/>
          <w:sz w:val="24"/>
          <w:highlight w:val="none"/>
          <w:shd w:val="clear" w:color="auto" w:fill="auto"/>
          <w:lang w:eastAsia="zh-CN"/>
        </w:rPr>
        <w:t>）</w:t>
      </w:r>
      <w:r>
        <w:rPr>
          <w:rFonts w:hint="eastAsia"/>
          <w:color w:val="auto"/>
          <w:sz w:val="24"/>
          <w:highlight w:val="none"/>
          <w:shd w:val="clear" w:color="auto" w:fill="auto"/>
        </w:rPr>
        <w:t>文件规定为准。</w:t>
      </w:r>
    </w:p>
    <w:p w14:paraId="761187C7">
      <w:pPr>
        <w:tabs>
          <w:tab w:val="left" w:pos="5580"/>
        </w:tabs>
        <w:spacing w:line="360" w:lineRule="auto"/>
        <w:rPr>
          <w:rFonts w:hint="eastAsia"/>
          <w:color w:val="auto"/>
          <w:sz w:val="24"/>
          <w:highlight w:val="none"/>
          <w:shd w:val="clear" w:color="auto" w:fill="auto"/>
        </w:rPr>
      </w:pPr>
      <w:r>
        <w:rPr>
          <w:color w:val="auto"/>
          <w:sz w:val="24"/>
          <w:highlight w:val="none"/>
          <w:shd w:val="clear" w:color="auto" w:fill="auto"/>
        </w:rPr>
        <w:t>（</w:t>
      </w:r>
      <w:r>
        <w:rPr>
          <w:rFonts w:hint="eastAsia"/>
          <w:color w:val="auto"/>
          <w:sz w:val="24"/>
          <w:highlight w:val="none"/>
          <w:shd w:val="clear" w:color="auto" w:fill="auto"/>
          <w:lang w:val="en-US" w:eastAsia="zh-CN"/>
        </w:rPr>
        <w:t>4</w:t>
      </w:r>
      <w:r>
        <w:rPr>
          <w:color w:val="auto"/>
          <w:sz w:val="24"/>
          <w:highlight w:val="none"/>
          <w:shd w:val="clear" w:color="auto" w:fill="auto"/>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hint="eastAsia"/>
          <w:color w:val="auto"/>
          <w:sz w:val="24"/>
          <w:highlight w:val="none"/>
          <w:shd w:val="clear" w:color="auto" w:fill="auto"/>
        </w:rPr>
        <w:t>（工信部网址：https://baosong.miit.gov.cn/ScaleTest）</w:t>
      </w:r>
    </w:p>
    <w:p w14:paraId="24EE8711">
      <w:pPr>
        <w:tabs>
          <w:tab w:val="left" w:pos="5580"/>
        </w:tabs>
        <w:spacing w:line="360" w:lineRule="auto"/>
        <w:rPr>
          <w:color w:val="auto"/>
          <w:sz w:val="24"/>
          <w:highlight w:val="none"/>
          <w:shd w:val="clear" w:color="auto" w:fill="auto"/>
        </w:rPr>
      </w:pPr>
    </w:p>
    <w:p w14:paraId="7CFA6210">
      <w:pPr>
        <w:tabs>
          <w:tab w:val="left" w:pos="5580"/>
        </w:tabs>
        <w:spacing w:line="360" w:lineRule="auto"/>
        <w:rPr>
          <w:color w:val="auto"/>
          <w:sz w:val="24"/>
          <w:highlight w:val="none"/>
          <w:shd w:val="clear" w:color="auto" w:fill="auto"/>
        </w:rPr>
      </w:pPr>
    </w:p>
    <w:p w14:paraId="3FE2D854">
      <w:pPr>
        <w:spacing w:before="240" w:beforeLines="100" w:after="240" w:afterLines="100" w:line="360" w:lineRule="auto"/>
        <w:jc w:val="center"/>
        <w:rPr>
          <w:b/>
          <w:bCs/>
          <w:color w:val="auto"/>
          <w:sz w:val="36"/>
          <w:szCs w:val="36"/>
          <w:highlight w:val="none"/>
          <w:shd w:val="clear" w:color="auto" w:fill="auto"/>
        </w:rPr>
      </w:pPr>
      <w:r>
        <w:rPr>
          <w:color w:val="auto"/>
          <w:sz w:val="24"/>
          <w:highlight w:val="none"/>
          <w:shd w:val="clear" w:color="auto" w:fill="auto"/>
        </w:rPr>
        <w:br w:type="page"/>
      </w:r>
      <w:r>
        <w:rPr>
          <w:rFonts w:hint="eastAsia"/>
          <w:b/>
          <w:bCs/>
          <w:color w:val="auto"/>
          <w:sz w:val="36"/>
          <w:szCs w:val="36"/>
          <w:highlight w:val="none"/>
          <w:shd w:val="clear" w:color="auto" w:fill="auto"/>
        </w:rPr>
        <w:t>中小企业声明函格式</w:t>
      </w:r>
    </w:p>
    <w:p w14:paraId="65E0E2CB">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本公司郑重声明，根据《政府采购促进中小企业发展管理办法》(财库[2020]46号)的规定，本公司</w:t>
      </w:r>
      <w:r>
        <w:rPr>
          <w:rFonts w:hint="eastAsia" w:ascii="宋体" w:hAnsi="宋体" w:eastAsia="宋体" w:cs="宋体"/>
          <w:color w:val="auto"/>
          <w:sz w:val="24"/>
          <w:szCs w:val="24"/>
          <w:highlight w:val="none"/>
          <w:u w:val="single"/>
        </w:rPr>
        <w:t xml:space="preserve">（此处填供应商单位名称） </w:t>
      </w:r>
      <w:r>
        <w:rPr>
          <w:rFonts w:hint="eastAsia" w:ascii="宋体" w:hAnsi="宋体" w:eastAsia="宋体" w:cs="宋体"/>
          <w:color w:val="auto"/>
          <w:sz w:val="24"/>
          <w:szCs w:val="24"/>
          <w:highlight w:val="none"/>
        </w:rPr>
        <w:t>参加江苏尚阳工程管理有限公司组织的</w:t>
      </w:r>
      <w:r>
        <w:rPr>
          <w:rFonts w:hint="eastAsia" w:ascii="宋体" w:hAnsi="宋体" w:eastAsia="宋体" w:cs="宋体"/>
          <w:color w:val="auto"/>
          <w:sz w:val="24"/>
          <w:szCs w:val="24"/>
          <w:highlight w:val="none"/>
          <w:u w:val="single"/>
        </w:rPr>
        <w:t>（采购单位名称①）</w:t>
      </w:r>
      <w:r>
        <w:rPr>
          <w:rFonts w:hint="eastAsia" w:ascii="宋体" w:hAnsi="宋体" w:eastAsia="宋体" w:cs="宋体"/>
          <w:color w:val="auto"/>
          <w:sz w:val="24"/>
          <w:szCs w:val="24"/>
          <w:highlight w:val="none"/>
        </w:rPr>
        <w:t>采购编号为</w:t>
      </w:r>
      <w:r>
        <w:rPr>
          <w:rFonts w:hint="eastAsia" w:ascii="宋体" w:hAnsi="宋体" w:eastAsia="宋体" w:cs="宋体"/>
          <w:color w:val="auto"/>
          <w:sz w:val="24"/>
          <w:szCs w:val="24"/>
          <w:highlight w:val="none"/>
          <w:u w:val="single"/>
        </w:rPr>
        <w:t>②</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（项目名称③）（分包号：④）</w:t>
      </w:r>
      <w:r>
        <w:rPr>
          <w:rFonts w:hint="eastAsia" w:ascii="宋体" w:hAnsi="宋体" w:eastAsia="宋体" w:cs="宋体"/>
          <w:color w:val="auto"/>
          <w:sz w:val="24"/>
          <w:szCs w:val="24"/>
          <w:highlight w:val="none"/>
        </w:rPr>
        <w:t>的采购活动，工程的施工单位全部为符合政策要求的中小企业。根据《工业和信息化部、国家统计局、国家发展和改革委员会、财政部关于印发中小企业划型标准规定的通知》(工信部联企业[2011]300号)的规定，相关企业的具体情况如下：</w:t>
      </w:r>
    </w:p>
    <w:p w14:paraId="51AB510B">
      <w:pPr>
        <w:adjustRightInd w:val="0"/>
        <w:spacing w:line="570" w:lineRule="exact"/>
        <w:ind w:firstLine="360" w:firstLineChars="15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u w:val="single"/>
        </w:rPr>
        <w:t>（标的名称⑤）</w:t>
      </w:r>
      <w:r>
        <w:rPr>
          <w:rFonts w:hint="eastAsia" w:ascii="宋体" w:hAnsi="宋体" w:eastAsia="宋体" w:cs="宋体"/>
          <w:i/>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（采购文件中明确的所属行业⑥）</w:t>
      </w:r>
      <w:r>
        <w:rPr>
          <w:rFonts w:hint="eastAsia" w:ascii="宋体" w:hAnsi="宋体" w:eastAsia="宋体" w:cs="宋体"/>
          <w:color w:val="auto"/>
          <w:sz w:val="24"/>
          <w:szCs w:val="24"/>
          <w:highlight w:val="none"/>
        </w:rPr>
        <w:t>行业；承建企业为</w:t>
      </w:r>
      <w:r>
        <w:rPr>
          <w:rFonts w:hint="eastAsia" w:ascii="宋体" w:hAnsi="宋体" w:eastAsia="宋体" w:cs="宋体"/>
          <w:color w:val="auto"/>
          <w:sz w:val="24"/>
          <w:szCs w:val="24"/>
          <w:highlight w:val="none"/>
          <w:u w:val="single"/>
        </w:rPr>
        <w:t>（企业名称⑦）</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⑧</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⑨</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⑩</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（中型企业、小型企业、微型企业⑪）；</w:t>
      </w:r>
    </w:p>
    <w:p w14:paraId="7860B0BE">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79D94236">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0F84E9F8">
      <w:pPr>
        <w:adjustRightInd w:val="0"/>
        <w:spacing w:line="570" w:lineRule="exact"/>
        <w:ind w:right="180" w:firstLine="360" w:firstLineChars="15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企业名称（加盖CA电子公章）⑫：</w:t>
      </w:r>
    </w:p>
    <w:p w14:paraId="1C02AB3E">
      <w:pPr>
        <w:adjustRightInd w:val="0"/>
        <w:spacing w:line="570" w:lineRule="exact"/>
        <w:ind w:right="480" w:firstLine="5400" w:firstLineChars="2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6235AE49">
      <w:pPr>
        <w:adjustRightInd w:val="0"/>
        <w:snapToGrid w:val="0"/>
        <w:spacing w:line="570" w:lineRule="exact"/>
        <w:rPr>
          <w:rFonts w:hint="eastAsia" w:ascii="宋体" w:hAnsi="宋体" w:eastAsia="宋体" w:cs="宋体"/>
          <w:color w:val="auto"/>
          <w:sz w:val="24"/>
          <w:szCs w:val="24"/>
          <w:highlight w:val="none"/>
        </w:rPr>
      </w:pPr>
    </w:p>
    <w:p w14:paraId="59FBA511">
      <w:pPr>
        <w:adjustRightInd w:val="0"/>
        <w:snapToGrid w:val="0"/>
        <w:spacing w:line="570" w:lineRule="exact"/>
        <w:rPr>
          <w:rFonts w:hint="eastAsia" w:ascii="宋体" w:hAnsi="宋体" w:eastAsia="宋体" w:cs="宋体"/>
          <w:b/>
          <w:color w:val="auto"/>
          <w:sz w:val="24"/>
          <w:szCs w:val="24"/>
          <w:highlight w:val="none"/>
        </w:rPr>
      </w:pPr>
    </w:p>
    <w:p w14:paraId="297E2210">
      <w:pPr>
        <w:adjustRightInd w:val="0"/>
        <w:snapToGrid w:val="0"/>
        <w:spacing w:line="570" w:lineRule="exact"/>
        <w:rPr>
          <w:rFonts w:hint="eastAsia" w:ascii="宋体" w:hAnsi="宋体" w:eastAsia="宋体" w:cs="宋体"/>
          <w:b/>
          <w:color w:val="auto"/>
          <w:sz w:val="24"/>
          <w:szCs w:val="24"/>
          <w:highlight w:val="none"/>
        </w:rPr>
      </w:pPr>
    </w:p>
    <w:p w14:paraId="11375227">
      <w:pPr>
        <w:adjustRightInd w:val="0"/>
        <w:snapToGrid w:val="0"/>
        <w:spacing w:line="570" w:lineRule="exact"/>
        <w:rPr>
          <w:rFonts w:hint="eastAsia" w:ascii="宋体" w:hAnsi="宋体" w:eastAsia="宋体" w:cs="宋体"/>
          <w:b/>
          <w:color w:val="auto"/>
          <w:sz w:val="24"/>
          <w:szCs w:val="24"/>
          <w:highlight w:val="none"/>
        </w:rPr>
      </w:pPr>
    </w:p>
    <w:p w14:paraId="5737361E">
      <w:pPr>
        <w:adjustRightInd w:val="0"/>
        <w:snapToGrid w:val="0"/>
        <w:spacing w:line="570" w:lineRule="exact"/>
        <w:rPr>
          <w:rFonts w:hint="eastAsia" w:ascii="宋体" w:hAnsi="宋体" w:eastAsia="宋体" w:cs="宋体"/>
          <w:b/>
          <w:color w:val="auto"/>
          <w:sz w:val="24"/>
          <w:szCs w:val="24"/>
          <w:highlight w:val="none"/>
        </w:rPr>
      </w:pPr>
    </w:p>
    <w:p w14:paraId="4ACAA0C5">
      <w:pPr>
        <w:adjustRightInd w:val="0"/>
        <w:snapToGrid w:val="0"/>
        <w:spacing w:line="570" w:lineRule="exact"/>
        <w:rPr>
          <w:rFonts w:hint="eastAsia" w:ascii="宋体" w:hAnsi="宋体" w:eastAsia="宋体" w:cs="宋体"/>
          <w:b/>
          <w:color w:val="auto"/>
          <w:sz w:val="24"/>
          <w:szCs w:val="24"/>
          <w:highlight w:val="none"/>
        </w:rPr>
      </w:pPr>
    </w:p>
    <w:p w14:paraId="75D7871A">
      <w:pPr>
        <w:adjustRightInd w:val="0"/>
        <w:snapToGrid w:val="0"/>
        <w:spacing w:line="570" w:lineRule="exact"/>
        <w:rPr>
          <w:rFonts w:hint="eastAsia" w:ascii="宋体" w:hAnsi="宋体" w:eastAsia="宋体" w:cs="宋体"/>
          <w:b/>
          <w:color w:val="auto"/>
          <w:sz w:val="24"/>
          <w:szCs w:val="24"/>
          <w:highlight w:val="none"/>
        </w:rPr>
      </w:pPr>
    </w:p>
    <w:p w14:paraId="4727379C">
      <w:pPr>
        <w:adjustRightInd w:val="0"/>
        <w:snapToGrid w:val="0"/>
        <w:spacing w:line="570" w:lineRule="exact"/>
        <w:rPr>
          <w:rFonts w:hint="eastAsia" w:ascii="宋体" w:hAnsi="宋体" w:eastAsia="宋体" w:cs="宋体"/>
          <w:b/>
          <w:color w:val="auto"/>
          <w:sz w:val="24"/>
          <w:szCs w:val="24"/>
          <w:highlight w:val="none"/>
        </w:rPr>
      </w:pPr>
    </w:p>
    <w:p w14:paraId="1E7C8159">
      <w:pPr>
        <w:adjustRightInd w:val="0"/>
        <w:snapToGrid w:val="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填写说明：</w:t>
      </w:r>
    </w:p>
    <w:p w14:paraId="25C559D9">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1.（采购单位名称①）：填写本项目采购人单位名称，如常州市XXX局。</w:t>
      </w:r>
    </w:p>
    <w:p w14:paraId="64C94DD6">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2.采购编号为②：填写本项目编号，如JSZC-3204XX-SYZB-C20XX-XX。 </w:t>
      </w:r>
    </w:p>
    <w:p w14:paraId="32641B2A">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3.（项目名称③）：填写本项目名称，如常州市XXX项目。</w:t>
      </w:r>
    </w:p>
    <w:p w14:paraId="15E6FDBF">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4.（分包号：④）：填写分包编号，如有分包的，分别填写分包号，没有的填“无”。</w:t>
      </w:r>
    </w:p>
    <w:p w14:paraId="3D7CD2D0">
      <w:pPr>
        <w:adjustRightInd w:val="0"/>
        <w:snapToGrid w:val="0"/>
        <w:spacing w:line="57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5.（标的名称⑤）：填写本项目标的名称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详见</w:t>
      </w:r>
      <w:r>
        <w:rPr>
          <w:rFonts w:hint="eastAsia" w:ascii="宋体" w:hAnsi="宋体" w:eastAsia="宋体" w:cs="宋体"/>
          <w:color w:val="auto"/>
          <w:sz w:val="24"/>
          <w:szCs w:val="24"/>
          <w:highlight w:val="none"/>
        </w:rPr>
        <w:t>采购文件“第一章 采购邀请</w:t>
      </w:r>
      <w:r>
        <w:rPr>
          <w:rFonts w:hint="eastAsia" w:ascii="宋体" w:hAnsi="宋体" w:eastAsia="宋体" w:cs="宋体"/>
          <w:color w:val="auto"/>
          <w:sz w:val="24"/>
          <w:szCs w:val="24"/>
          <w:highlight w:val="none"/>
          <w:lang w:eastAsia="zh-CN"/>
        </w:rPr>
        <w:t>”。</w:t>
      </w:r>
    </w:p>
    <w:p w14:paraId="348BA956">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6.（采购文件中明确的所属行业⑥）：填写本项目采购标的所属行业。须根据采购文件“第二章  供应商须知”表格中列明的所属行业进行填写。如：</w:t>
      </w:r>
      <w:r>
        <w:rPr>
          <w:rFonts w:hint="eastAsia" w:ascii="宋体" w:hAnsi="宋体" w:eastAsia="宋体" w:cs="宋体"/>
          <w:color w:val="auto"/>
          <w:sz w:val="24"/>
          <w:szCs w:val="24"/>
          <w:highlight w:val="none"/>
          <w:lang w:val="en-US" w:eastAsia="zh-CN"/>
        </w:rPr>
        <w:t>建筑业</w:t>
      </w:r>
      <w:r>
        <w:rPr>
          <w:rFonts w:hint="eastAsia" w:ascii="宋体" w:hAnsi="宋体" w:eastAsia="宋体" w:cs="宋体"/>
          <w:color w:val="auto"/>
          <w:sz w:val="24"/>
          <w:szCs w:val="24"/>
          <w:highlight w:val="none"/>
        </w:rPr>
        <w:t>。</w:t>
      </w:r>
    </w:p>
    <w:p w14:paraId="096C72D8">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7.（企业名称⑦）：填写</w:t>
      </w:r>
      <w:r>
        <w:rPr>
          <w:rFonts w:hint="eastAsia" w:ascii="宋体" w:hAnsi="宋体" w:eastAsia="宋体" w:cs="宋体"/>
          <w:b/>
          <w:bCs/>
          <w:color w:val="auto"/>
          <w:sz w:val="24"/>
          <w:szCs w:val="24"/>
          <w:highlight w:val="none"/>
        </w:rPr>
        <w:t>投标人或供应商的名称</w:t>
      </w:r>
      <w:r>
        <w:rPr>
          <w:rFonts w:hint="eastAsia" w:ascii="宋体" w:hAnsi="宋体" w:eastAsia="宋体" w:cs="宋体"/>
          <w:color w:val="auto"/>
          <w:sz w:val="24"/>
          <w:szCs w:val="24"/>
          <w:highlight w:val="none"/>
        </w:rPr>
        <w:t>，如XXX公司。</w:t>
      </w:r>
    </w:p>
    <w:p w14:paraId="26929128">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8.从业人员⑧人，营业收入为⑨万元，资产总额为⑩万元：填报</w:t>
      </w:r>
      <w:r>
        <w:rPr>
          <w:rFonts w:hint="eastAsia" w:ascii="宋体" w:hAnsi="宋体" w:eastAsia="宋体" w:cs="宋体"/>
          <w:b/>
          <w:bCs/>
          <w:color w:val="auto"/>
          <w:sz w:val="24"/>
          <w:szCs w:val="24"/>
          <w:highlight w:val="none"/>
        </w:rPr>
        <w:t>投标人或供应商</w:t>
      </w:r>
      <w:r>
        <w:rPr>
          <w:rFonts w:hint="eastAsia" w:ascii="宋体" w:hAnsi="宋体" w:eastAsia="宋体" w:cs="宋体"/>
          <w:color w:val="auto"/>
          <w:sz w:val="24"/>
          <w:szCs w:val="24"/>
          <w:highlight w:val="none"/>
        </w:rPr>
        <w:t>的从业人员、营业收入、资产总额上一年度数据，无上一年度数据的新成立企业可不填报。</w:t>
      </w:r>
    </w:p>
    <w:p w14:paraId="1C442775">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9.（中型企业、小型企业、微型企业</w:t>
      </w:r>
      <w:r>
        <w:rPr>
          <w:rFonts w:hint="eastAsia" w:ascii="宋体" w:hAnsi="宋体" w:eastAsia="宋体" w:cs="宋体"/>
          <w:color w:val="auto"/>
          <w:sz w:val="24"/>
          <w:szCs w:val="24"/>
          <w:highlight w:val="none"/>
          <w:u w:val="single"/>
        </w:rPr>
        <w:t>⑪</w:t>
      </w:r>
      <w:r>
        <w:rPr>
          <w:rFonts w:hint="eastAsia" w:ascii="宋体" w:hAnsi="宋体" w:eastAsia="宋体" w:cs="宋体"/>
          <w:color w:val="auto"/>
          <w:sz w:val="24"/>
          <w:szCs w:val="24"/>
          <w:highlight w:val="none"/>
        </w:rPr>
        <w:t>）：根据</w:t>
      </w:r>
      <w:r>
        <w:rPr>
          <w:rFonts w:hint="eastAsia" w:ascii="宋体" w:hAnsi="宋体" w:eastAsia="宋体" w:cs="宋体"/>
          <w:b/>
          <w:bCs/>
          <w:color w:val="auto"/>
          <w:sz w:val="24"/>
          <w:szCs w:val="24"/>
          <w:highlight w:val="none"/>
        </w:rPr>
        <w:t>投标人或供应商</w:t>
      </w:r>
      <w:r>
        <w:rPr>
          <w:rFonts w:hint="eastAsia" w:ascii="宋体" w:hAnsi="宋体" w:eastAsia="宋体" w:cs="宋体"/>
          <w:color w:val="auto"/>
          <w:sz w:val="24"/>
          <w:szCs w:val="24"/>
          <w:highlight w:val="none"/>
        </w:rPr>
        <w:t>的企业规模情况填写中型企业、小型企业或微型企业</w:t>
      </w:r>
      <w:r>
        <w:rPr>
          <w:rFonts w:hint="eastAsia" w:ascii="宋体" w:hAnsi="宋体" w:eastAsia="宋体" w:cs="宋体"/>
          <w:b/>
          <w:bCs/>
          <w:color w:val="auto"/>
          <w:sz w:val="24"/>
          <w:szCs w:val="24"/>
          <w:highlight w:val="none"/>
        </w:rPr>
        <w:t>（只能填写三种其中的一种）</w:t>
      </w:r>
      <w:r>
        <w:rPr>
          <w:rFonts w:hint="eastAsia" w:ascii="宋体" w:hAnsi="宋体" w:eastAsia="宋体" w:cs="宋体"/>
          <w:color w:val="auto"/>
          <w:sz w:val="24"/>
          <w:szCs w:val="24"/>
          <w:highlight w:val="none"/>
        </w:rPr>
        <w:t>。中小企业划分见《关于印发中小企业划型标准规定的通知》（工信部联企业〔2011〕300号) 。</w:t>
      </w:r>
    </w:p>
    <w:p w14:paraId="16A59140">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10.企业名称（盖章）⑫：加盖</w:t>
      </w:r>
      <w:r>
        <w:rPr>
          <w:rFonts w:hint="eastAsia" w:ascii="宋体" w:hAnsi="宋体" w:eastAsia="宋体" w:cs="宋体"/>
          <w:b/>
          <w:bCs/>
          <w:color w:val="auto"/>
          <w:sz w:val="24"/>
          <w:szCs w:val="24"/>
          <w:highlight w:val="none"/>
        </w:rPr>
        <w:t>投标人或供应商</w:t>
      </w:r>
      <w:r>
        <w:rPr>
          <w:rFonts w:hint="eastAsia" w:ascii="宋体" w:hAnsi="宋体" w:eastAsia="宋体" w:cs="宋体"/>
          <w:color w:val="auto"/>
          <w:sz w:val="24"/>
          <w:szCs w:val="24"/>
          <w:highlight w:val="none"/>
        </w:rPr>
        <w:t>CA电子公章。</w:t>
      </w:r>
    </w:p>
    <w:p w14:paraId="782FD8FF">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11.如是</w:t>
      </w:r>
      <w:r>
        <w:rPr>
          <w:rFonts w:hint="eastAsia" w:ascii="宋体" w:hAnsi="宋体" w:eastAsia="宋体" w:cs="宋体"/>
          <w:b/>
          <w:color w:val="auto"/>
          <w:sz w:val="24"/>
          <w:szCs w:val="24"/>
          <w:highlight w:val="none"/>
        </w:rPr>
        <w:t>专门面向中小企业预留份额</w:t>
      </w:r>
      <w:r>
        <w:rPr>
          <w:rFonts w:hint="eastAsia" w:ascii="宋体" w:hAnsi="宋体" w:eastAsia="宋体" w:cs="宋体"/>
          <w:color w:val="auto"/>
          <w:sz w:val="24"/>
          <w:szCs w:val="24"/>
          <w:highlight w:val="none"/>
        </w:rPr>
        <w:t>的采购项目，供应商未提供此声明函的，资格审查不予通过，作为</w:t>
      </w:r>
      <w:r>
        <w:rPr>
          <w:rFonts w:hint="eastAsia" w:ascii="宋体" w:hAnsi="宋体" w:eastAsia="宋体" w:cs="宋体"/>
          <w:b/>
          <w:color w:val="auto"/>
          <w:sz w:val="24"/>
          <w:szCs w:val="24"/>
          <w:highlight w:val="none"/>
        </w:rPr>
        <w:t>无效投标（响应）</w:t>
      </w:r>
      <w:r>
        <w:rPr>
          <w:rFonts w:hint="eastAsia" w:ascii="宋体" w:hAnsi="宋体" w:eastAsia="宋体" w:cs="宋体"/>
          <w:color w:val="auto"/>
          <w:sz w:val="24"/>
          <w:szCs w:val="24"/>
          <w:highlight w:val="none"/>
        </w:rPr>
        <w:t>。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p>
    <w:p w14:paraId="2A9213A6">
      <w:pPr>
        <w:pStyle w:val="18"/>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12.温馨提示</w:t>
      </w:r>
    </w:p>
    <w:p w14:paraId="161FA5AF">
      <w:pPr>
        <w:pStyle w:val="18"/>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（1）对于已纳入统计部门统计范围的企业，所属行业、从业人员、营业收入、资产总额、规模类型应与统计部门报表保持一致。</w:t>
      </w:r>
    </w:p>
    <w:p w14:paraId="4CE1D7B0">
      <w:pPr>
        <w:pStyle w:val="18"/>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p>
    <w:p w14:paraId="66898DD9">
      <w:pPr>
        <w:pStyle w:val="18"/>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p>
    <w:p w14:paraId="412B6B55">
      <w:pPr>
        <w:pStyle w:val="18"/>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（4）对于采购文件确实允许非独立法人参与采购活动的，应按其所属集团公司合并财务报表数据情况予以填报。</w:t>
      </w:r>
    </w:p>
    <w:p w14:paraId="4505361D">
      <w:pPr>
        <w:pStyle w:val="18"/>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中小企业声明函》真实性由其出具的供应商负责。《中小企业声明函》中相关企业[制造商、承建（承接）企业]所属行业应当与采购标的的所属行业相一致。《中小企业声明函》应当充分、准确反映供应商的信息。</w:t>
      </w:r>
    </w:p>
    <w:p w14:paraId="360F0B7E">
      <w:pPr>
        <w:pStyle w:val="18"/>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（6）经调查发现供应商提供《中小企业声明函》内容与实际不符的，政府采购监管部门有权根据《中小企业声明函》与实际情况的差异视情形认定其是否属于虚假材料谋取中标。</w:t>
      </w:r>
    </w:p>
    <w:p w14:paraId="6B30228C">
      <w:pPr>
        <w:pStyle w:val="18"/>
        <w:adjustRightInd w:val="0"/>
        <w:snapToGrid w:val="0"/>
        <w:spacing w:line="570" w:lineRule="exact"/>
        <w:ind w:firstLine="480"/>
        <w:rPr>
          <w:color w:val="auto"/>
          <w:sz w:val="24"/>
          <w:highlight w:val="none"/>
          <w:shd w:val="clear" w:color="auto" w:fill="auto"/>
        </w:rPr>
      </w:pPr>
      <w:r>
        <w:rPr>
          <w:rFonts w:hint="eastAsia" w:ascii="宋体" w:hAnsi="宋体" w:eastAsia="宋体" w:cs="宋体"/>
          <w:color w:val="auto"/>
          <w:kern w:val="2"/>
          <w:sz w:val="24"/>
          <w:szCs w:val="24"/>
          <w:highlight w:val="none"/>
        </w:rPr>
        <w:t>（7）根据《财政部关于规范政府采购行政处罚有关问题的通知》（财库〔2015〕150 号）规定，各级人民政府财政部门依法对供应商作出的禁止参加政府采购活动的行政处罚决定在全国范围内生效。</w:t>
      </w:r>
    </w:p>
    <w:p w14:paraId="431BEA83">
      <w:pPr>
        <w:spacing w:before="240" w:beforeLines="100" w:after="240" w:afterLines="100" w:line="360" w:lineRule="auto"/>
        <w:jc w:val="center"/>
        <w:rPr>
          <w:rFonts w:hint="eastAsia"/>
          <w:color w:val="auto"/>
          <w:sz w:val="24"/>
          <w:szCs w:val="20"/>
          <w:highlight w:val="none"/>
          <w:shd w:val="clear" w:color="auto" w:fill="auto"/>
        </w:rPr>
      </w:pPr>
    </w:p>
    <w:p w14:paraId="73420BEC">
      <w:pPr>
        <w:spacing w:before="240" w:beforeLines="100" w:after="240" w:afterLines="100" w:line="360" w:lineRule="auto"/>
        <w:jc w:val="center"/>
        <w:rPr>
          <w:rFonts w:hint="eastAsia"/>
          <w:color w:val="auto"/>
          <w:sz w:val="24"/>
          <w:szCs w:val="20"/>
          <w:highlight w:val="none"/>
          <w:shd w:val="clear" w:color="auto" w:fill="auto"/>
        </w:rPr>
      </w:pPr>
    </w:p>
    <w:p w14:paraId="2CE9EA57">
      <w:pPr>
        <w:spacing w:before="240" w:beforeLines="100" w:after="240" w:afterLines="100" w:line="360" w:lineRule="auto"/>
        <w:jc w:val="center"/>
        <w:rPr>
          <w:rFonts w:hint="eastAsia"/>
          <w:color w:val="auto"/>
          <w:sz w:val="24"/>
          <w:szCs w:val="20"/>
          <w:highlight w:val="none"/>
          <w:shd w:val="clear" w:color="auto" w:fill="auto"/>
        </w:rPr>
      </w:pPr>
    </w:p>
    <w:p w14:paraId="54CB4C8B">
      <w:pPr>
        <w:spacing w:before="240" w:beforeLines="100" w:after="240" w:afterLines="100" w:line="360" w:lineRule="auto"/>
        <w:jc w:val="center"/>
        <w:rPr>
          <w:rFonts w:hint="eastAsia"/>
          <w:color w:val="auto"/>
          <w:sz w:val="24"/>
          <w:szCs w:val="20"/>
          <w:highlight w:val="none"/>
          <w:shd w:val="clear" w:color="auto" w:fill="auto"/>
        </w:rPr>
      </w:pPr>
    </w:p>
    <w:p w14:paraId="3549A964">
      <w:pPr>
        <w:spacing w:before="240" w:beforeLines="100" w:after="240" w:afterLines="100" w:line="360" w:lineRule="auto"/>
        <w:jc w:val="center"/>
        <w:rPr>
          <w:color w:val="auto"/>
          <w:sz w:val="24"/>
          <w:szCs w:val="20"/>
          <w:highlight w:val="none"/>
          <w:shd w:val="clear" w:color="auto" w:fill="auto"/>
        </w:rPr>
      </w:pPr>
    </w:p>
    <w:p w14:paraId="741F6D34">
      <w:pPr>
        <w:jc w:val="center"/>
        <w:rPr>
          <w:rFonts w:hint="eastAsia"/>
          <w:b/>
          <w:color w:val="auto"/>
          <w:sz w:val="36"/>
          <w:szCs w:val="36"/>
          <w:highlight w:val="none"/>
          <w:shd w:val="clear" w:color="auto" w:fill="auto"/>
        </w:rPr>
        <w:sectPr>
          <w:headerReference r:id="rId12" w:type="first"/>
          <w:footerReference r:id="rId14" w:type="first"/>
          <w:headerReference r:id="rId11" w:type="even"/>
          <w:footerReference r:id="rId13" w:type="even"/>
          <w:pgSz w:w="11907" w:h="16840"/>
          <w:pgMar w:top="1440" w:right="1304" w:bottom="1440" w:left="1304" w:header="851" w:footer="851" w:gutter="0"/>
          <w:pgNumType w:fmt="decimal"/>
          <w:cols w:space="720" w:num="1"/>
          <w:docGrid w:linePitch="462" w:charSpace="0"/>
        </w:sectPr>
      </w:pPr>
    </w:p>
    <w:p w14:paraId="0AAC5D42">
      <w:pPr>
        <w:jc w:val="center"/>
        <w:rPr>
          <w:b/>
          <w:color w:val="auto"/>
          <w:sz w:val="36"/>
          <w:szCs w:val="36"/>
          <w:highlight w:val="none"/>
          <w:shd w:val="clear" w:color="auto" w:fill="auto"/>
        </w:rPr>
      </w:pPr>
      <w:r>
        <w:rPr>
          <w:rFonts w:hint="eastAsia"/>
          <w:b/>
          <w:color w:val="auto"/>
          <w:sz w:val="36"/>
          <w:szCs w:val="36"/>
          <w:highlight w:val="none"/>
          <w:shd w:val="clear" w:color="auto" w:fill="auto"/>
        </w:rPr>
        <w:t>残疾人福利性单位声明函格式</w:t>
      </w:r>
      <w:r>
        <w:rPr>
          <w:b/>
          <w:color w:val="auto"/>
          <w:sz w:val="36"/>
          <w:szCs w:val="36"/>
          <w:highlight w:val="none"/>
          <w:shd w:val="clear" w:color="auto" w:fill="auto"/>
        </w:rPr>
        <w:t xml:space="preserve">       </w:t>
      </w:r>
    </w:p>
    <w:p w14:paraId="621E8FE2">
      <w:pPr>
        <w:jc w:val="center"/>
        <w:rPr>
          <w:color w:val="auto"/>
          <w:sz w:val="36"/>
          <w:szCs w:val="36"/>
          <w:highlight w:val="none"/>
          <w:shd w:val="clear" w:color="auto" w:fill="auto"/>
        </w:rPr>
      </w:pPr>
    </w:p>
    <w:p w14:paraId="7A86282D">
      <w:pPr>
        <w:spacing w:line="588" w:lineRule="exact"/>
        <w:ind w:firstLine="504"/>
        <w:rPr>
          <w:color w:val="auto"/>
          <w:spacing w:val="6"/>
          <w:sz w:val="24"/>
          <w:highlight w:val="none"/>
          <w:shd w:val="clear" w:color="auto" w:fill="auto"/>
        </w:rPr>
      </w:pPr>
      <w:r>
        <w:rPr>
          <w:color w:val="auto"/>
          <w:spacing w:val="6"/>
          <w:sz w:val="24"/>
          <w:highlight w:val="none"/>
          <w:shd w:val="clear" w:color="auto" w:fill="auto"/>
        </w:rPr>
        <w:t>本单位郑重声明，根据《财政部 民政部 中国残疾人联合会关于促进残疾人就业政府采购政策的通知》（财库</w:t>
      </w:r>
      <w:r>
        <w:rPr>
          <w:color w:val="auto"/>
          <w:sz w:val="24"/>
          <w:highlight w:val="none"/>
          <w:shd w:val="clear" w:color="auto" w:fill="auto"/>
        </w:rPr>
        <w:t>〔2017〕 141</w:t>
      </w:r>
      <w:r>
        <w:rPr>
          <w:color w:val="auto"/>
          <w:spacing w:val="6"/>
          <w:sz w:val="24"/>
          <w:highlight w:val="none"/>
          <w:shd w:val="clear" w:color="auto" w:fill="auto"/>
        </w:rPr>
        <w:t>号）的规定，本单位</w:t>
      </w:r>
      <w:r>
        <w:rPr>
          <w:b/>
          <w:color w:val="auto"/>
          <w:sz w:val="24"/>
          <w:highlight w:val="none"/>
          <w:shd w:val="clear" w:color="auto" w:fill="auto"/>
        </w:rPr>
        <w:t>（请进行勾选）</w:t>
      </w:r>
      <w:r>
        <w:rPr>
          <w:color w:val="auto"/>
          <w:spacing w:val="6"/>
          <w:sz w:val="24"/>
          <w:highlight w:val="none"/>
          <w:shd w:val="clear" w:color="auto" w:fill="auto"/>
        </w:rPr>
        <w:t>：</w:t>
      </w:r>
    </w:p>
    <w:p w14:paraId="294CE8A3">
      <w:pPr>
        <w:spacing w:line="588" w:lineRule="exact"/>
        <w:ind w:firstLine="482"/>
        <w:rPr>
          <w:b/>
          <w:color w:val="auto"/>
          <w:spacing w:val="6"/>
          <w:sz w:val="24"/>
          <w:highlight w:val="none"/>
          <w:shd w:val="clear" w:color="auto" w:fill="auto"/>
        </w:rPr>
      </w:pPr>
      <w:r>
        <w:rPr>
          <w:b/>
          <w:color w:val="auto"/>
          <w:sz w:val="24"/>
          <w:highlight w:val="none"/>
          <w:shd w:val="clear" w:color="auto" w:fill="auto"/>
        </w:rPr>
        <w:t>□</w:t>
      </w:r>
      <w:r>
        <w:rPr>
          <w:b/>
          <w:color w:val="auto"/>
          <w:spacing w:val="6"/>
          <w:sz w:val="24"/>
          <w:highlight w:val="none"/>
          <w:shd w:val="clear" w:color="auto" w:fill="auto"/>
        </w:rPr>
        <w:t>不属于符合条件的残疾人福利性单位。</w:t>
      </w:r>
    </w:p>
    <w:p w14:paraId="0490FDBA">
      <w:pPr>
        <w:spacing w:line="588" w:lineRule="exact"/>
        <w:ind w:firstLine="482"/>
        <w:rPr>
          <w:color w:val="auto"/>
          <w:spacing w:val="6"/>
          <w:sz w:val="24"/>
          <w:highlight w:val="none"/>
          <w:shd w:val="clear" w:color="auto" w:fill="auto"/>
        </w:rPr>
      </w:pPr>
      <w:r>
        <w:rPr>
          <w:b/>
          <w:color w:val="auto"/>
          <w:sz w:val="24"/>
          <w:highlight w:val="none"/>
          <w:shd w:val="clear" w:color="auto" w:fill="auto"/>
        </w:rPr>
        <w:t>□</w:t>
      </w:r>
      <w:r>
        <w:rPr>
          <w:b/>
          <w:color w:val="auto"/>
          <w:spacing w:val="6"/>
          <w:sz w:val="24"/>
          <w:highlight w:val="none"/>
          <w:shd w:val="clear" w:color="auto" w:fill="auto"/>
        </w:rPr>
        <w:t>属于符合条件的残疾人福利性单位，</w:t>
      </w:r>
      <w:r>
        <w:rPr>
          <w:color w:val="auto"/>
          <w:spacing w:val="6"/>
          <w:sz w:val="24"/>
          <w:highlight w:val="none"/>
          <w:shd w:val="clear" w:color="auto" w:fill="auto"/>
        </w:rPr>
        <w:t>且本单位参加______单位的______项目采购活动</w:t>
      </w:r>
      <w:r>
        <w:rPr>
          <w:rFonts w:hint="eastAsia"/>
          <w:color w:val="auto"/>
          <w:spacing w:val="6"/>
          <w:sz w:val="24"/>
          <w:highlight w:val="none"/>
          <w:shd w:val="clear" w:color="auto" w:fill="auto"/>
          <w:lang w:eastAsia="zh-CN"/>
        </w:rPr>
        <w:t>，</w:t>
      </w:r>
      <w:r>
        <w:rPr>
          <w:color w:val="auto"/>
          <w:spacing w:val="6"/>
          <w:sz w:val="24"/>
          <w:highlight w:val="none"/>
          <w:shd w:val="clear" w:color="auto" w:fill="auto"/>
        </w:rPr>
        <w:t>由本单位承担工程。</w:t>
      </w:r>
    </w:p>
    <w:p w14:paraId="3845B576">
      <w:pPr>
        <w:spacing w:line="588" w:lineRule="exact"/>
        <w:ind w:firstLine="506" w:firstLineChars="200"/>
        <w:rPr>
          <w:color w:val="auto"/>
          <w:spacing w:val="6"/>
          <w:sz w:val="24"/>
          <w:highlight w:val="none"/>
          <w:shd w:val="clear" w:color="auto" w:fill="auto"/>
        </w:rPr>
      </w:pPr>
      <w:r>
        <w:rPr>
          <w:b/>
          <w:color w:val="auto"/>
          <w:spacing w:val="6"/>
          <w:sz w:val="24"/>
          <w:highlight w:val="none"/>
          <w:shd w:val="clear" w:color="auto" w:fill="auto"/>
        </w:rPr>
        <w:t>本单位对上述声明的真实性负责。如有虚假，将依法承担相应责任。</w:t>
      </w:r>
    </w:p>
    <w:p w14:paraId="433FE9FE">
      <w:pPr>
        <w:spacing w:line="588" w:lineRule="exact"/>
        <w:ind w:firstLine="504" w:firstLineChars="200"/>
        <w:rPr>
          <w:color w:val="auto"/>
          <w:spacing w:val="6"/>
          <w:sz w:val="24"/>
          <w:highlight w:val="none"/>
          <w:shd w:val="clear" w:color="auto" w:fill="auto"/>
        </w:rPr>
      </w:pPr>
    </w:p>
    <w:p w14:paraId="65ACCADA">
      <w:pPr>
        <w:spacing w:line="588" w:lineRule="exact"/>
        <w:ind w:firstLine="504" w:firstLineChars="200"/>
        <w:rPr>
          <w:color w:val="auto"/>
          <w:spacing w:val="6"/>
          <w:sz w:val="24"/>
          <w:highlight w:val="none"/>
          <w:shd w:val="clear" w:color="auto" w:fill="auto"/>
        </w:rPr>
      </w:pPr>
    </w:p>
    <w:p w14:paraId="37C1E99E">
      <w:pPr>
        <w:tabs>
          <w:tab w:val="left" w:pos="4860"/>
        </w:tabs>
        <w:spacing w:line="588" w:lineRule="exact"/>
        <w:ind w:right="1560" w:firstLine="504" w:firstLineChars="200"/>
        <w:jc w:val="center"/>
        <w:rPr>
          <w:color w:val="auto"/>
          <w:spacing w:val="6"/>
          <w:sz w:val="24"/>
          <w:highlight w:val="none"/>
          <w:shd w:val="clear" w:color="auto" w:fill="auto"/>
        </w:rPr>
      </w:pPr>
      <w:r>
        <w:rPr>
          <w:color w:val="auto"/>
          <w:spacing w:val="6"/>
          <w:sz w:val="24"/>
          <w:highlight w:val="none"/>
          <w:shd w:val="clear" w:color="auto" w:fill="auto"/>
        </w:rPr>
        <w:t xml:space="preserve">               单位名称（盖章）：</w:t>
      </w:r>
    </w:p>
    <w:p w14:paraId="5D88D675">
      <w:pPr>
        <w:tabs>
          <w:tab w:val="left" w:pos="4860"/>
        </w:tabs>
        <w:spacing w:line="588" w:lineRule="exact"/>
        <w:ind w:right="1560" w:firstLine="504" w:firstLineChars="200"/>
        <w:jc w:val="center"/>
        <w:rPr>
          <w:color w:val="auto"/>
          <w:spacing w:val="6"/>
          <w:sz w:val="24"/>
          <w:highlight w:val="none"/>
          <w:shd w:val="clear" w:color="auto" w:fill="auto"/>
        </w:rPr>
      </w:pPr>
      <w:r>
        <w:rPr>
          <w:color w:val="auto"/>
          <w:spacing w:val="6"/>
          <w:sz w:val="24"/>
          <w:highlight w:val="none"/>
          <w:shd w:val="clear" w:color="auto" w:fill="auto"/>
        </w:rPr>
        <w:t xml:space="preserve">       日  期：</w:t>
      </w:r>
    </w:p>
    <w:p w14:paraId="24949532">
      <w:pPr>
        <w:widowControl/>
        <w:jc w:val="left"/>
        <w:rPr>
          <w:color w:val="auto"/>
          <w:sz w:val="24"/>
          <w:szCs w:val="20"/>
          <w:highlight w:val="none"/>
          <w:shd w:val="clear" w:color="auto" w:fill="auto"/>
        </w:rPr>
      </w:pPr>
      <w:r>
        <w:rPr>
          <w:color w:val="auto"/>
          <w:sz w:val="24"/>
          <w:szCs w:val="20"/>
          <w:highlight w:val="none"/>
          <w:shd w:val="clear" w:color="auto" w:fill="auto"/>
        </w:rPr>
        <w:br w:type="page"/>
      </w:r>
      <w:r>
        <w:rPr>
          <w:color w:val="auto"/>
          <w:sz w:val="24"/>
          <w:szCs w:val="20"/>
          <w:highlight w:val="none"/>
          <w:shd w:val="clear" w:color="auto" w:fill="auto"/>
        </w:rPr>
        <w:t xml:space="preserve">3 </w:t>
      </w:r>
      <w:r>
        <w:rPr>
          <w:color w:val="auto"/>
          <w:sz w:val="24"/>
          <w:highlight w:val="none"/>
          <w:shd w:val="clear" w:color="auto" w:fill="auto"/>
        </w:rPr>
        <w:t>本项目的特定资格要求</w:t>
      </w:r>
    </w:p>
    <w:p w14:paraId="1264BCDA">
      <w:pPr>
        <w:keepNext w:val="0"/>
        <w:keepLines w:val="0"/>
        <w:pageBreakBefore w:val="0"/>
        <w:widowControl w:val="0"/>
        <w:tabs>
          <w:tab w:val="left" w:pos="720"/>
          <w:tab w:val="left" w:pos="900"/>
        </w:tabs>
        <w:kinsoku/>
        <w:wordWrap/>
        <w:overflowPunct/>
        <w:topLinePunct w:val="0"/>
        <w:autoSpaceDE/>
        <w:autoSpaceDN/>
        <w:bidi w:val="0"/>
        <w:adjustRightInd/>
        <w:snapToGrid/>
        <w:spacing w:line="500" w:lineRule="exact"/>
        <w:ind w:left="363" w:firstLine="72" w:firstLineChars="30"/>
        <w:textAlignment w:val="auto"/>
        <w:rPr>
          <w:rFonts w:hint="eastAsia" w:ascii="Times New Roman" w:hAnsi="Times New Roman" w:eastAsia="宋体" w:cs="Times New Roman"/>
          <w:color w:val="auto"/>
          <w:sz w:val="24"/>
          <w:szCs w:val="20"/>
          <w:highlight w:val="none"/>
          <w:shd w:val="clear" w:color="auto" w:fill="auto"/>
        </w:rPr>
      </w:pPr>
      <w:r>
        <w:rPr>
          <w:rFonts w:hint="eastAsia" w:ascii="Times New Roman" w:hAnsi="Times New Roman" w:eastAsia="宋体" w:cs="Times New Roman"/>
          <w:color w:val="auto"/>
          <w:sz w:val="24"/>
          <w:szCs w:val="20"/>
          <w:highlight w:val="none"/>
          <w:shd w:val="clear" w:color="auto" w:fill="auto"/>
        </w:rPr>
        <w:t xml:space="preserve"> 3.3.1供应商：</w:t>
      </w:r>
    </w:p>
    <w:p w14:paraId="76563825">
      <w:pPr>
        <w:keepNext w:val="0"/>
        <w:keepLines w:val="0"/>
        <w:pageBreakBefore w:val="0"/>
        <w:widowControl w:val="0"/>
        <w:tabs>
          <w:tab w:val="left" w:pos="720"/>
          <w:tab w:val="left" w:pos="900"/>
        </w:tabs>
        <w:kinsoku/>
        <w:wordWrap/>
        <w:overflowPunct/>
        <w:topLinePunct w:val="0"/>
        <w:autoSpaceDE/>
        <w:autoSpaceDN/>
        <w:bidi w:val="0"/>
        <w:adjustRightInd/>
        <w:snapToGrid/>
        <w:spacing w:line="500" w:lineRule="exact"/>
        <w:ind w:left="363" w:firstLine="72" w:firstLineChars="30"/>
        <w:textAlignment w:val="auto"/>
        <w:rPr>
          <w:rFonts w:hint="eastAsia" w:ascii="Times New Roman" w:hAnsi="Times New Roman" w:eastAsia="宋体" w:cs="Times New Roman"/>
          <w:color w:val="auto"/>
          <w:sz w:val="24"/>
          <w:szCs w:val="20"/>
          <w:highlight w:val="none"/>
          <w:shd w:val="clear" w:color="auto" w:fill="auto"/>
        </w:rPr>
      </w:pPr>
      <w:r>
        <w:rPr>
          <w:rFonts w:hint="eastAsia" w:ascii="Times New Roman" w:hAnsi="Times New Roman" w:eastAsia="宋体" w:cs="Times New Roman"/>
          <w:color w:val="auto"/>
          <w:sz w:val="24"/>
          <w:szCs w:val="20"/>
          <w:highlight w:val="none"/>
          <w:shd w:val="clear" w:color="auto" w:fill="auto"/>
        </w:rPr>
        <w:t>（1）具备有效的</w:t>
      </w:r>
      <w:r>
        <w:rPr>
          <w:rFonts w:hint="eastAsia" w:cs="Times New Roman"/>
          <w:color w:val="auto"/>
          <w:sz w:val="24"/>
          <w:szCs w:val="20"/>
          <w:highlight w:val="none"/>
          <w:shd w:val="clear" w:color="auto" w:fill="auto"/>
          <w:lang w:eastAsia="zh-CN"/>
        </w:rPr>
        <w:t>市政公用工程施工总承包三级及以上资质</w:t>
      </w:r>
      <w:r>
        <w:rPr>
          <w:rFonts w:hint="eastAsia" w:ascii="Times New Roman" w:hAnsi="Times New Roman" w:eastAsia="宋体" w:cs="Times New Roman"/>
          <w:color w:val="auto"/>
          <w:sz w:val="24"/>
          <w:szCs w:val="20"/>
          <w:highlight w:val="none"/>
          <w:shd w:val="clear" w:color="auto" w:fill="auto"/>
        </w:rPr>
        <w:t>；具备安全生产条件，并取得有效的安全生产许可证；</w:t>
      </w:r>
    </w:p>
    <w:p w14:paraId="7CAF04FE">
      <w:pPr>
        <w:keepNext w:val="0"/>
        <w:keepLines w:val="0"/>
        <w:pageBreakBefore w:val="0"/>
        <w:widowControl w:val="0"/>
        <w:tabs>
          <w:tab w:val="left" w:pos="720"/>
          <w:tab w:val="left" w:pos="900"/>
        </w:tabs>
        <w:kinsoku/>
        <w:wordWrap/>
        <w:overflowPunct/>
        <w:topLinePunct w:val="0"/>
        <w:autoSpaceDE/>
        <w:autoSpaceDN/>
        <w:bidi w:val="0"/>
        <w:adjustRightInd/>
        <w:snapToGrid/>
        <w:spacing w:line="500" w:lineRule="exact"/>
        <w:ind w:left="363" w:firstLine="72" w:firstLineChars="30"/>
        <w:textAlignment w:val="auto"/>
        <w:rPr>
          <w:rFonts w:hint="eastAsia" w:ascii="Times New Roman" w:hAnsi="Times New Roman" w:eastAsia="宋体" w:cs="Times New Roman"/>
          <w:color w:val="auto"/>
          <w:sz w:val="24"/>
          <w:szCs w:val="20"/>
          <w:highlight w:val="none"/>
          <w:shd w:val="clear" w:color="auto" w:fill="auto"/>
        </w:rPr>
      </w:pPr>
      <w:r>
        <w:rPr>
          <w:rFonts w:hint="eastAsia" w:ascii="Times New Roman" w:hAnsi="Times New Roman" w:eastAsia="宋体" w:cs="Times New Roman"/>
          <w:color w:val="auto"/>
          <w:sz w:val="24"/>
          <w:szCs w:val="20"/>
          <w:highlight w:val="none"/>
          <w:shd w:val="clear" w:color="auto" w:fill="auto"/>
        </w:rPr>
        <w:t>（2）</w:t>
      </w:r>
      <w:r>
        <w:rPr>
          <w:rFonts w:hint="eastAsia" w:ascii="Times New Roman" w:hAnsi="Times New Roman" w:eastAsia="宋体" w:cs="Times New Roman"/>
          <w:color w:val="auto"/>
          <w:sz w:val="24"/>
          <w:szCs w:val="20"/>
          <w:highlight w:val="none"/>
          <w:shd w:val="clear" w:color="auto" w:fill="auto"/>
          <w:lang w:val="en-US" w:eastAsia="zh-CN"/>
        </w:rPr>
        <w:t>供应商</w:t>
      </w:r>
      <w:r>
        <w:rPr>
          <w:rFonts w:hint="eastAsia" w:ascii="Times New Roman" w:hAnsi="Times New Roman" w:eastAsia="宋体" w:cs="Times New Roman"/>
          <w:color w:val="auto"/>
          <w:sz w:val="24"/>
          <w:szCs w:val="20"/>
          <w:highlight w:val="none"/>
          <w:shd w:val="clear" w:color="auto" w:fill="auto"/>
        </w:rPr>
        <w:t>不得存在下列情形之一：①为本项目的监理人、代建人、项目管理人，以及为本项目提供招标代理、设计服务的；②与本项目的监理人、代建人、招标代理机构同为一个法定代表人的，或者相互控股、参股的；③与</w:t>
      </w:r>
      <w:r>
        <w:rPr>
          <w:rFonts w:hint="eastAsia" w:ascii="Times New Roman" w:hAnsi="Times New Roman" w:eastAsia="宋体" w:cs="Times New Roman"/>
          <w:color w:val="auto"/>
          <w:sz w:val="24"/>
          <w:szCs w:val="20"/>
          <w:highlight w:val="none"/>
          <w:shd w:val="clear" w:color="auto" w:fill="auto"/>
          <w:lang w:val="en-US" w:eastAsia="zh-CN"/>
        </w:rPr>
        <w:t>采购人</w:t>
      </w:r>
      <w:r>
        <w:rPr>
          <w:rFonts w:hint="eastAsia" w:ascii="Times New Roman" w:hAnsi="Times New Roman" w:eastAsia="宋体" w:cs="Times New Roman"/>
          <w:color w:val="auto"/>
          <w:sz w:val="24"/>
          <w:szCs w:val="20"/>
          <w:highlight w:val="none"/>
          <w:shd w:val="clear" w:color="auto" w:fill="auto"/>
        </w:rPr>
        <w:t>存在利害关系可能影响公正性的；④处于被责令停业、财产被接管、冻结和破产状态，以及投标资格被取消或者被暂停且在暂停期内；⑤因拖欠工人工资或者因发生质量安全事故被有关部门限制在</w:t>
      </w:r>
      <w:r>
        <w:rPr>
          <w:rFonts w:hint="eastAsia" w:ascii="Times New Roman" w:hAnsi="Times New Roman" w:eastAsia="宋体" w:cs="Times New Roman"/>
          <w:color w:val="auto"/>
          <w:sz w:val="24"/>
          <w:szCs w:val="20"/>
          <w:highlight w:val="none"/>
          <w:shd w:val="clear" w:color="auto" w:fill="auto"/>
          <w:lang w:val="en-US" w:eastAsia="zh-CN"/>
        </w:rPr>
        <w:t>本</w:t>
      </w:r>
      <w:r>
        <w:rPr>
          <w:rFonts w:hint="eastAsia" w:ascii="Times New Roman" w:hAnsi="Times New Roman" w:eastAsia="宋体" w:cs="Times New Roman"/>
          <w:color w:val="auto"/>
          <w:sz w:val="24"/>
          <w:szCs w:val="20"/>
          <w:highlight w:val="none"/>
          <w:shd w:val="clear" w:color="auto" w:fill="auto"/>
        </w:rPr>
        <w:t>项目所在地承接工程的；⑥不符合法律、法规规定的其他条件。</w:t>
      </w:r>
    </w:p>
    <w:p w14:paraId="7ED85554">
      <w:pPr>
        <w:keepNext w:val="0"/>
        <w:keepLines w:val="0"/>
        <w:pageBreakBefore w:val="0"/>
        <w:widowControl w:val="0"/>
        <w:tabs>
          <w:tab w:val="left" w:pos="720"/>
          <w:tab w:val="left" w:pos="900"/>
        </w:tabs>
        <w:kinsoku/>
        <w:wordWrap/>
        <w:overflowPunct/>
        <w:topLinePunct w:val="0"/>
        <w:autoSpaceDE/>
        <w:autoSpaceDN/>
        <w:bidi w:val="0"/>
        <w:adjustRightInd/>
        <w:snapToGrid/>
        <w:spacing w:line="500" w:lineRule="exact"/>
        <w:ind w:left="363" w:firstLine="72" w:firstLineChars="30"/>
        <w:textAlignment w:val="auto"/>
        <w:rPr>
          <w:rFonts w:hint="eastAsia" w:ascii="Times New Roman" w:hAnsi="Times New Roman" w:eastAsia="宋体" w:cs="Times New Roman"/>
          <w:color w:val="auto"/>
          <w:sz w:val="24"/>
          <w:szCs w:val="20"/>
          <w:highlight w:val="none"/>
          <w:shd w:val="clear" w:color="auto" w:fill="auto"/>
        </w:rPr>
      </w:pPr>
      <w:r>
        <w:rPr>
          <w:rFonts w:hint="eastAsia" w:ascii="Times New Roman" w:hAnsi="Times New Roman" w:eastAsia="宋体" w:cs="Times New Roman"/>
          <w:color w:val="auto"/>
          <w:sz w:val="24"/>
          <w:szCs w:val="20"/>
          <w:highlight w:val="none"/>
          <w:shd w:val="clear" w:color="auto" w:fill="auto"/>
          <w:lang w:val="en-US" w:eastAsia="zh-CN"/>
        </w:rPr>
        <w:t>3.3.2</w:t>
      </w:r>
      <w:r>
        <w:rPr>
          <w:rFonts w:hint="eastAsia" w:cs="Times New Roman"/>
          <w:color w:val="auto"/>
          <w:sz w:val="24"/>
          <w:szCs w:val="20"/>
          <w:highlight w:val="none"/>
          <w:shd w:val="clear" w:color="auto" w:fill="auto"/>
          <w:lang w:val="en-US" w:eastAsia="zh-CN"/>
        </w:rPr>
        <w:t>项目负责人</w:t>
      </w:r>
      <w:r>
        <w:rPr>
          <w:rFonts w:hint="eastAsia" w:ascii="Times New Roman" w:hAnsi="Times New Roman" w:eastAsia="宋体" w:cs="Times New Roman"/>
          <w:color w:val="auto"/>
          <w:sz w:val="24"/>
          <w:szCs w:val="20"/>
          <w:highlight w:val="none"/>
          <w:shd w:val="clear" w:color="auto" w:fill="auto"/>
        </w:rPr>
        <w:t>：</w:t>
      </w:r>
    </w:p>
    <w:p w14:paraId="294A7F56">
      <w:pPr>
        <w:keepNext w:val="0"/>
        <w:keepLines w:val="0"/>
        <w:pageBreakBefore w:val="0"/>
        <w:widowControl w:val="0"/>
        <w:tabs>
          <w:tab w:val="left" w:pos="720"/>
          <w:tab w:val="left" w:pos="900"/>
        </w:tabs>
        <w:kinsoku/>
        <w:wordWrap/>
        <w:overflowPunct/>
        <w:topLinePunct w:val="0"/>
        <w:autoSpaceDE/>
        <w:autoSpaceDN/>
        <w:bidi w:val="0"/>
        <w:adjustRightInd/>
        <w:snapToGrid/>
        <w:spacing w:line="500" w:lineRule="exact"/>
        <w:ind w:left="363" w:firstLine="72" w:firstLineChars="30"/>
        <w:textAlignment w:val="auto"/>
        <w:rPr>
          <w:rFonts w:hint="eastAsia" w:ascii="Times New Roman" w:hAnsi="Times New Roman" w:eastAsia="宋体" w:cs="Times New Roman"/>
          <w:color w:val="auto"/>
          <w:sz w:val="24"/>
          <w:szCs w:val="20"/>
          <w:highlight w:val="none"/>
          <w:shd w:val="clear" w:color="auto" w:fill="auto"/>
        </w:rPr>
      </w:pPr>
      <w:r>
        <w:rPr>
          <w:rFonts w:hint="eastAsia" w:ascii="Times New Roman" w:hAnsi="Times New Roman" w:eastAsia="宋体" w:cs="Times New Roman"/>
          <w:color w:val="auto"/>
          <w:sz w:val="24"/>
          <w:szCs w:val="20"/>
          <w:highlight w:val="none"/>
          <w:shd w:val="clear" w:color="auto" w:fill="auto"/>
        </w:rPr>
        <w:t>（1）</w:t>
      </w:r>
      <w:r>
        <w:rPr>
          <w:rFonts w:hint="eastAsia" w:cs="Times New Roman"/>
          <w:color w:val="auto"/>
          <w:sz w:val="24"/>
          <w:szCs w:val="20"/>
          <w:highlight w:val="none"/>
          <w:shd w:val="clear" w:color="auto" w:fill="auto"/>
          <w:lang w:eastAsia="zh-CN"/>
        </w:rPr>
        <w:t>具备市政公用工程二级及以上注册建造师</w:t>
      </w:r>
      <w:r>
        <w:rPr>
          <w:rFonts w:hint="eastAsia" w:ascii="Times New Roman" w:hAnsi="Times New Roman" w:eastAsia="宋体" w:cs="Times New Roman"/>
          <w:color w:val="auto"/>
          <w:sz w:val="24"/>
          <w:szCs w:val="20"/>
          <w:highlight w:val="none"/>
          <w:shd w:val="clear" w:color="auto" w:fill="auto"/>
        </w:rPr>
        <w:t>；</w:t>
      </w:r>
    </w:p>
    <w:p w14:paraId="251AD7D3">
      <w:pPr>
        <w:keepNext w:val="0"/>
        <w:keepLines w:val="0"/>
        <w:pageBreakBefore w:val="0"/>
        <w:widowControl w:val="0"/>
        <w:tabs>
          <w:tab w:val="left" w:pos="720"/>
          <w:tab w:val="left" w:pos="900"/>
        </w:tabs>
        <w:kinsoku/>
        <w:wordWrap/>
        <w:overflowPunct/>
        <w:topLinePunct w:val="0"/>
        <w:autoSpaceDE/>
        <w:autoSpaceDN/>
        <w:bidi w:val="0"/>
        <w:adjustRightInd/>
        <w:snapToGrid/>
        <w:spacing w:line="500" w:lineRule="exact"/>
        <w:ind w:left="363" w:firstLine="72" w:firstLineChars="30"/>
        <w:textAlignment w:val="auto"/>
        <w:rPr>
          <w:rFonts w:hint="eastAsia" w:ascii="Times New Roman" w:hAnsi="Times New Roman" w:eastAsia="宋体" w:cs="Times New Roman"/>
          <w:color w:val="auto"/>
          <w:sz w:val="24"/>
          <w:szCs w:val="20"/>
          <w:highlight w:val="none"/>
          <w:shd w:val="clear" w:color="auto" w:fill="auto"/>
        </w:rPr>
      </w:pPr>
      <w:r>
        <w:rPr>
          <w:rFonts w:hint="eastAsia" w:ascii="Times New Roman" w:hAnsi="Times New Roman" w:eastAsia="宋体" w:cs="Times New Roman"/>
          <w:color w:val="auto"/>
          <w:sz w:val="24"/>
          <w:szCs w:val="20"/>
          <w:highlight w:val="none"/>
          <w:shd w:val="clear" w:color="auto" w:fill="auto"/>
        </w:rPr>
        <w:t>（2）注册建造师不得同时在两个或者两个以上单位受聘或者执业；</w:t>
      </w:r>
    </w:p>
    <w:p w14:paraId="481D1246">
      <w:pPr>
        <w:keepNext w:val="0"/>
        <w:keepLines w:val="0"/>
        <w:pageBreakBefore w:val="0"/>
        <w:widowControl w:val="0"/>
        <w:tabs>
          <w:tab w:val="left" w:pos="720"/>
          <w:tab w:val="left" w:pos="900"/>
        </w:tabs>
        <w:kinsoku/>
        <w:wordWrap/>
        <w:overflowPunct/>
        <w:topLinePunct w:val="0"/>
        <w:autoSpaceDE/>
        <w:autoSpaceDN/>
        <w:bidi w:val="0"/>
        <w:adjustRightInd/>
        <w:snapToGrid/>
        <w:spacing w:line="500" w:lineRule="exact"/>
        <w:ind w:left="363" w:firstLine="72" w:firstLineChars="30"/>
        <w:textAlignment w:val="auto"/>
        <w:rPr>
          <w:rFonts w:hint="eastAsia" w:ascii="Times New Roman" w:hAnsi="Times New Roman" w:eastAsia="宋体" w:cs="Times New Roman"/>
          <w:color w:val="auto"/>
          <w:sz w:val="24"/>
          <w:szCs w:val="20"/>
          <w:highlight w:val="none"/>
          <w:shd w:val="clear" w:color="auto" w:fill="auto"/>
        </w:rPr>
      </w:pPr>
      <w:r>
        <w:rPr>
          <w:rFonts w:hint="eastAsia" w:ascii="Times New Roman" w:hAnsi="Times New Roman" w:eastAsia="宋体" w:cs="Times New Roman"/>
          <w:color w:val="auto"/>
          <w:sz w:val="24"/>
          <w:szCs w:val="20"/>
          <w:highlight w:val="none"/>
          <w:shd w:val="clear" w:color="auto" w:fill="auto"/>
        </w:rPr>
        <w:t>（</w:t>
      </w:r>
      <w:r>
        <w:rPr>
          <w:rFonts w:hint="eastAsia" w:cs="Times New Roman"/>
          <w:color w:val="auto"/>
          <w:sz w:val="24"/>
          <w:szCs w:val="20"/>
          <w:highlight w:val="none"/>
          <w:shd w:val="clear" w:color="auto" w:fill="auto"/>
          <w:lang w:val="en-US" w:eastAsia="zh-CN"/>
        </w:rPr>
        <w:t>3</w:t>
      </w:r>
      <w:r>
        <w:rPr>
          <w:rFonts w:hint="eastAsia" w:ascii="Times New Roman" w:hAnsi="Times New Roman" w:eastAsia="宋体" w:cs="Times New Roman"/>
          <w:color w:val="auto"/>
          <w:sz w:val="24"/>
          <w:szCs w:val="20"/>
          <w:highlight w:val="none"/>
          <w:shd w:val="clear" w:color="auto" w:fill="auto"/>
        </w:rPr>
        <w:t>）注册建造师具有有效的建设行政主管部门核发的安全生产考核合格证（B证）；</w:t>
      </w:r>
    </w:p>
    <w:p w14:paraId="29B4455E">
      <w:pPr>
        <w:keepNext w:val="0"/>
        <w:keepLines w:val="0"/>
        <w:pageBreakBefore w:val="0"/>
        <w:widowControl w:val="0"/>
        <w:tabs>
          <w:tab w:val="left" w:pos="720"/>
          <w:tab w:val="left" w:pos="900"/>
        </w:tabs>
        <w:kinsoku/>
        <w:wordWrap/>
        <w:overflowPunct/>
        <w:topLinePunct w:val="0"/>
        <w:autoSpaceDE/>
        <w:autoSpaceDN/>
        <w:bidi w:val="0"/>
        <w:adjustRightInd/>
        <w:snapToGrid/>
        <w:spacing w:line="500" w:lineRule="exact"/>
        <w:ind w:left="363" w:firstLine="72" w:firstLineChars="30"/>
        <w:textAlignment w:val="auto"/>
        <w:rPr>
          <w:rFonts w:hint="eastAsia" w:ascii="Times New Roman" w:hAnsi="Times New Roman" w:eastAsia="宋体" w:cs="Times New Roman"/>
          <w:color w:val="auto"/>
          <w:sz w:val="24"/>
          <w:szCs w:val="20"/>
          <w:highlight w:val="none"/>
          <w:shd w:val="clear" w:color="auto" w:fill="auto"/>
        </w:rPr>
      </w:pPr>
      <w:r>
        <w:rPr>
          <w:rFonts w:hint="eastAsia" w:ascii="Times New Roman" w:hAnsi="Times New Roman" w:eastAsia="宋体" w:cs="Times New Roman"/>
          <w:color w:val="auto"/>
          <w:sz w:val="24"/>
          <w:szCs w:val="20"/>
          <w:highlight w:val="none"/>
          <w:shd w:val="clear" w:color="auto" w:fill="auto"/>
        </w:rPr>
        <w:t>（</w:t>
      </w:r>
      <w:r>
        <w:rPr>
          <w:rFonts w:hint="eastAsia" w:cs="Times New Roman"/>
          <w:color w:val="auto"/>
          <w:sz w:val="24"/>
          <w:szCs w:val="20"/>
          <w:highlight w:val="none"/>
          <w:shd w:val="clear" w:color="auto" w:fill="auto"/>
          <w:lang w:val="en-US" w:eastAsia="zh-CN"/>
        </w:rPr>
        <w:t>4</w:t>
      </w:r>
      <w:r>
        <w:rPr>
          <w:rFonts w:hint="eastAsia" w:ascii="Times New Roman" w:hAnsi="Times New Roman" w:eastAsia="宋体" w:cs="Times New Roman"/>
          <w:color w:val="auto"/>
          <w:sz w:val="24"/>
          <w:szCs w:val="20"/>
          <w:highlight w:val="none"/>
          <w:shd w:val="clear" w:color="auto" w:fill="auto"/>
        </w:rPr>
        <w:t>）具有社保机构出具的</w:t>
      </w:r>
      <w:r>
        <w:rPr>
          <w:rFonts w:hint="eastAsia" w:ascii="Times New Roman" w:hAnsi="Times New Roman" w:eastAsia="宋体" w:cs="Times New Roman"/>
          <w:color w:val="auto"/>
          <w:sz w:val="24"/>
          <w:szCs w:val="20"/>
          <w:highlight w:val="none"/>
          <w:shd w:val="clear" w:color="auto" w:fill="auto"/>
          <w:lang w:val="en-US" w:eastAsia="zh-CN"/>
        </w:rPr>
        <w:t>供应商</w:t>
      </w:r>
      <w:r>
        <w:rPr>
          <w:rFonts w:hint="eastAsia" w:ascii="Times New Roman" w:hAnsi="Times New Roman" w:eastAsia="宋体" w:cs="Times New Roman"/>
          <w:color w:val="auto"/>
          <w:sz w:val="24"/>
          <w:szCs w:val="20"/>
          <w:highlight w:val="none"/>
          <w:shd w:val="clear" w:color="auto" w:fill="auto"/>
        </w:rPr>
        <w:t>为</w:t>
      </w:r>
      <w:r>
        <w:rPr>
          <w:rFonts w:hint="eastAsia" w:cs="Times New Roman"/>
          <w:color w:val="auto"/>
          <w:sz w:val="24"/>
          <w:szCs w:val="20"/>
          <w:highlight w:val="none"/>
          <w:shd w:val="clear" w:color="auto" w:fill="auto"/>
          <w:lang w:val="en-US" w:eastAsia="zh-CN"/>
        </w:rPr>
        <w:t>项目负责人</w:t>
      </w:r>
      <w:r>
        <w:rPr>
          <w:rFonts w:hint="eastAsia" w:ascii="Times New Roman" w:hAnsi="Times New Roman" w:eastAsia="宋体" w:cs="Times New Roman"/>
          <w:color w:val="auto"/>
          <w:sz w:val="24"/>
          <w:szCs w:val="20"/>
          <w:highlight w:val="none"/>
          <w:shd w:val="clear" w:color="auto" w:fill="auto"/>
        </w:rPr>
        <w:t>缴纳社会基本养老保险的</w:t>
      </w:r>
      <w:r>
        <w:rPr>
          <w:rFonts w:hint="eastAsia" w:cs="Times New Roman"/>
          <w:color w:val="auto"/>
          <w:sz w:val="24"/>
          <w:szCs w:val="20"/>
          <w:highlight w:val="none"/>
          <w:shd w:val="clear" w:color="auto" w:fill="auto"/>
          <w:lang w:val="en-US" w:eastAsia="zh-CN"/>
        </w:rPr>
        <w:t>2026年2月至2026年4月</w:t>
      </w:r>
      <w:r>
        <w:rPr>
          <w:rFonts w:hint="eastAsia" w:ascii="宋体" w:hAnsi="宋体" w:cs="宋体"/>
          <w:color w:val="auto"/>
          <w:sz w:val="24"/>
          <w:szCs w:val="24"/>
          <w:highlight w:val="none"/>
          <w:u w:val="none"/>
          <w:shd w:val="clear" w:color="auto" w:fill="auto"/>
          <w:lang w:val="en-US" w:eastAsia="zh-CN"/>
        </w:rPr>
        <w:t>中任意一个月的</w:t>
      </w:r>
      <w:r>
        <w:rPr>
          <w:rFonts w:hint="eastAsia" w:ascii="Times New Roman" w:hAnsi="Times New Roman" w:eastAsia="宋体" w:cs="Times New Roman"/>
          <w:color w:val="auto"/>
          <w:sz w:val="24"/>
          <w:szCs w:val="20"/>
          <w:highlight w:val="none"/>
          <w:shd w:val="clear" w:color="auto" w:fill="auto"/>
        </w:rPr>
        <w:t>缴纳凭证。</w:t>
      </w:r>
    </w:p>
    <w:p w14:paraId="31A03D20">
      <w:pPr>
        <w:spacing w:line="360" w:lineRule="auto"/>
        <w:outlineLvl w:val="2"/>
        <w:rPr>
          <w:color w:val="auto"/>
          <w:sz w:val="24"/>
          <w:szCs w:val="20"/>
          <w:highlight w:val="none"/>
          <w:shd w:val="clear" w:color="auto" w:fill="auto"/>
        </w:rPr>
      </w:pPr>
      <w:r>
        <w:rPr>
          <w:color w:val="auto"/>
          <w:sz w:val="24"/>
          <w:szCs w:val="20"/>
          <w:highlight w:val="none"/>
          <w:shd w:val="clear" w:color="auto" w:fill="auto"/>
        </w:rPr>
        <w:br w:type="page"/>
      </w:r>
      <w:bookmarkStart w:id="640" w:name="_Toc150774762"/>
      <w:bookmarkStart w:id="641" w:name="_Toc305158825"/>
      <w:bookmarkStart w:id="642" w:name="_Toc226965747"/>
      <w:bookmarkStart w:id="643" w:name="_Toc226965830"/>
      <w:bookmarkStart w:id="644" w:name="_Toc226309801"/>
      <w:bookmarkStart w:id="645" w:name="_Toc265228395"/>
      <w:bookmarkStart w:id="646" w:name="_Toc480942350"/>
      <w:bookmarkStart w:id="647" w:name="_Toc127151557"/>
      <w:bookmarkStart w:id="648" w:name="_Toc305158899"/>
      <w:bookmarkStart w:id="649" w:name="_Toc264969247"/>
      <w:bookmarkStart w:id="650" w:name="_Ref467988705"/>
      <w:bookmarkStart w:id="651" w:name="_Toc142311059"/>
      <w:bookmarkStart w:id="652" w:name="_Toc520356218"/>
      <w:bookmarkStart w:id="653" w:name="_Toc226337253"/>
      <w:bookmarkStart w:id="654" w:name="_Toc150480795"/>
      <w:bookmarkStart w:id="655" w:name="_Toc195842922"/>
      <w:r>
        <w:rPr>
          <w:rFonts w:hint="eastAsia"/>
          <w:color w:val="auto"/>
          <w:sz w:val="24"/>
          <w:highlight w:val="none"/>
          <w:shd w:val="clear" w:color="auto" w:fill="auto"/>
          <w:lang w:val="en-US" w:eastAsia="zh-CN"/>
        </w:rPr>
        <w:t>4</w:t>
      </w:r>
      <w:r>
        <w:rPr>
          <w:color w:val="auto"/>
          <w:sz w:val="24"/>
          <w:szCs w:val="20"/>
          <w:highlight w:val="none"/>
          <w:shd w:val="clear" w:color="auto" w:fill="auto"/>
        </w:rPr>
        <w:t xml:space="preserve">  </w:t>
      </w:r>
      <w:r>
        <w:rPr>
          <w:color w:val="auto"/>
          <w:sz w:val="24"/>
          <w:highlight w:val="none"/>
          <w:shd w:val="clear" w:color="auto" w:fill="auto"/>
        </w:rPr>
        <w:t>响应</w:t>
      </w:r>
      <w:r>
        <w:rPr>
          <w:rFonts w:hint="eastAsia"/>
          <w:color w:val="auto"/>
          <w:sz w:val="24"/>
          <w:highlight w:val="none"/>
          <w:shd w:val="clear" w:color="auto" w:fill="auto"/>
        </w:rPr>
        <w:t>函</w:t>
      </w:r>
      <w:r>
        <w:rPr>
          <w:color w:val="auto"/>
          <w:sz w:val="24"/>
          <w:szCs w:val="20"/>
          <w:highlight w:val="none"/>
          <w:shd w:val="clear" w:color="auto" w:fill="auto"/>
        </w:rPr>
        <w:t>（实质性格式）</w:t>
      </w:r>
    </w:p>
    <w:p w14:paraId="65F1B48A">
      <w:pPr>
        <w:tabs>
          <w:tab w:val="left" w:pos="5580"/>
        </w:tabs>
        <w:spacing w:line="360" w:lineRule="auto"/>
        <w:rPr>
          <w:color w:val="auto"/>
          <w:sz w:val="24"/>
          <w:highlight w:val="none"/>
          <w:shd w:val="clear" w:color="auto" w:fill="auto"/>
        </w:rPr>
      </w:pPr>
    </w:p>
    <w:p w14:paraId="4069FC21">
      <w:pPr>
        <w:spacing w:line="360" w:lineRule="auto"/>
        <w:jc w:val="center"/>
        <w:rPr>
          <w:b/>
          <w:color w:val="auto"/>
          <w:sz w:val="36"/>
          <w:szCs w:val="36"/>
          <w:highlight w:val="none"/>
          <w:shd w:val="clear" w:color="auto" w:fill="auto"/>
        </w:rPr>
      </w:pPr>
      <w:r>
        <w:rPr>
          <w:rFonts w:hint="eastAsia"/>
          <w:b/>
          <w:color w:val="auto"/>
          <w:sz w:val="36"/>
          <w:szCs w:val="36"/>
          <w:highlight w:val="none"/>
          <w:shd w:val="clear" w:color="auto" w:fill="auto"/>
        </w:rPr>
        <w:t>响应函</w:t>
      </w:r>
    </w:p>
    <w:p w14:paraId="00E4BAEF">
      <w:pPr>
        <w:tabs>
          <w:tab w:val="left" w:pos="5580"/>
        </w:tabs>
        <w:spacing w:line="360" w:lineRule="auto"/>
        <w:rPr>
          <w:color w:val="auto"/>
          <w:sz w:val="24"/>
          <w:highlight w:val="none"/>
          <w:shd w:val="clear" w:color="auto" w:fill="auto"/>
        </w:rPr>
      </w:pPr>
      <w:r>
        <w:rPr>
          <w:color w:val="auto"/>
          <w:sz w:val="24"/>
          <w:highlight w:val="none"/>
          <w:shd w:val="clear" w:color="auto" w:fill="auto"/>
        </w:rPr>
        <w:t>致：</w:t>
      </w:r>
      <w:r>
        <w:rPr>
          <w:color w:val="auto"/>
          <w:sz w:val="24"/>
          <w:highlight w:val="none"/>
          <w:u w:val="single"/>
          <w:shd w:val="clear" w:color="auto" w:fill="auto"/>
        </w:rPr>
        <w:t>（采购人或采购代理机构）</w:t>
      </w:r>
    </w:p>
    <w:p w14:paraId="3EAEC2E4">
      <w:pPr>
        <w:tabs>
          <w:tab w:val="left" w:pos="5580"/>
        </w:tabs>
        <w:spacing w:line="360" w:lineRule="auto"/>
        <w:rPr>
          <w:color w:val="auto"/>
          <w:sz w:val="24"/>
          <w:szCs w:val="20"/>
          <w:highlight w:val="none"/>
          <w:shd w:val="clear" w:color="auto" w:fill="auto"/>
        </w:rPr>
      </w:pPr>
    </w:p>
    <w:p w14:paraId="75AA4985">
      <w:pPr>
        <w:tabs>
          <w:tab w:val="left" w:pos="5580"/>
        </w:tabs>
        <w:spacing w:line="360" w:lineRule="auto"/>
        <w:ind w:firstLine="408"/>
        <w:rPr>
          <w:color w:val="auto"/>
          <w:sz w:val="24"/>
          <w:szCs w:val="20"/>
          <w:highlight w:val="none"/>
          <w:shd w:val="clear" w:color="auto" w:fill="auto"/>
        </w:rPr>
      </w:pPr>
      <w:r>
        <w:rPr>
          <w:color w:val="auto"/>
          <w:sz w:val="24"/>
          <w:szCs w:val="20"/>
          <w:highlight w:val="none"/>
          <w:shd w:val="clear" w:color="auto" w:fill="auto"/>
        </w:rPr>
        <w:t>我方参加你方就___________（项目名称，项目编号）组织的</w:t>
      </w:r>
      <w:r>
        <w:rPr>
          <w:rFonts w:hint="eastAsia"/>
          <w:color w:val="auto"/>
          <w:sz w:val="24"/>
          <w:szCs w:val="20"/>
          <w:highlight w:val="none"/>
          <w:shd w:val="clear" w:color="auto" w:fill="auto"/>
        </w:rPr>
        <w:t>政府采购</w:t>
      </w:r>
      <w:r>
        <w:rPr>
          <w:color w:val="auto"/>
          <w:sz w:val="24"/>
          <w:szCs w:val="20"/>
          <w:highlight w:val="none"/>
          <w:shd w:val="clear" w:color="auto" w:fill="auto"/>
        </w:rPr>
        <w:t>活动，并对此项目进行响应。</w:t>
      </w:r>
    </w:p>
    <w:p w14:paraId="457E9443">
      <w:pPr>
        <w:tabs>
          <w:tab w:val="left" w:pos="5580"/>
        </w:tabs>
        <w:spacing w:line="360" w:lineRule="auto"/>
        <w:ind w:firstLine="408"/>
        <w:rPr>
          <w:color w:val="auto"/>
          <w:sz w:val="24"/>
          <w:szCs w:val="20"/>
          <w:highlight w:val="none"/>
          <w:shd w:val="clear" w:color="auto" w:fill="auto"/>
        </w:rPr>
      </w:pPr>
      <w:r>
        <w:rPr>
          <w:color w:val="auto"/>
          <w:sz w:val="24"/>
          <w:szCs w:val="20"/>
          <w:highlight w:val="none"/>
          <w:shd w:val="clear" w:color="auto" w:fill="auto"/>
        </w:rPr>
        <w:t>1. 我方</w:t>
      </w:r>
      <w:r>
        <w:rPr>
          <w:color w:val="auto"/>
          <w:sz w:val="24"/>
          <w:highlight w:val="none"/>
          <w:shd w:val="clear" w:color="auto" w:fill="auto"/>
        </w:rPr>
        <w:t>已详细审查全部磋商文件</w:t>
      </w:r>
      <w:r>
        <w:rPr>
          <w:color w:val="auto"/>
          <w:sz w:val="24"/>
          <w:szCs w:val="20"/>
          <w:highlight w:val="none"/>
          <w:shd w:val="clear" w:color="auto" w:fill="auto"/>
        </w:rPr>
        <w:t>，自愿参与响应并承诺如下：</w:t>
      </w:r>
    </w:p>
    <w:p w14:paraId="55B49877">
      <w:pPr>
        <w:tabs>
          <w:tab w:val="left" w:pos="720"/>
          <w:tab w:val="left" w:pos="900"/>
        </w:tabs>
        <w:spacing w:line="360" w:lineRule="auto"/>
        <w:ind w:left="360" w:firstLine="72" w:firstLineChars="30"/>
        <w:rPr>
          <w:color w:val="auto"/>
          <w:sz w:val="24"/>
          <w:szCs w:val="20"/>
          <w:highlight w:val="none"/>
          <w:shd w:val="clear" w:color="auto" w:fill="auto"/>
        </w:rPr>
      </w:pPr>
      <w:r>
        <w:rPr>
          <w:color w:val="auto"/>
          <w:sz w:val="24"/>
          <w:szCs w:val="20"/>
          <w:highlight w:val="none"/>
          <w:shd w:val="clear" w:color="auto" w:fill="auto"/>
        </w:rPr>
        <w:t>（1）本响应有效期为自提交响应文件的截止之日起</w:t>
      </w:r>
      <w:r>
        <w:rPr>
          <w:rFonts w:hint="eastAsia"/>
          <w:color w:val="auto"/>
          <w:sz w:val="24"/>
          <w:highlight w:val="none"/>
          <w:shd w:val="clear" w:color="auto" w:fill="auto"/>
        </w:rPr>
        <w:t>60</w:t>
      </w:r>
      <w:r>
        <w:rPr>
          <w:color w:val="auto"/>
          <w:sz w:val="24"/>
          <w:szCs w:val="20"/>
          <w:highlight w:val="none"/>
          <w:shd w:val="clear" w:color="auto" w:fill="auto"/>
        </w:rPr>
        <w:t>个日历日。</w:t>
      </w:r>
    </w:p>
    <w:p w14:paraId="4B4660E8">
      <w:pPr>
        <w:tabs>
          <w:tab w:val="left" w:pos="720"/>
          <w:tab w:val="left" w:pos="900"/>
        </w:tabs>
        <w:spacing w:line="360" w:lineRule="auto"/>
        <w:ind w:left="360" w:firstLine="72" w:firstLineChars="30"/>
        <w:rPr>
          <w:color w:val="auto"/>
          <w:sz w:val="24"/>
          <w:szCs w:val="20"/>
          <w:highlight w:val="none"/>
          <w:shd w:val="clear" w:color="auto" w:fill="auto"/>
        </w:rPr>
      </w:pPr>
      <w:r>
        <w:rPr>
          <w:color w:val="auto"/>
          <w:sz w:val="24"/>
          <w:szCs w:val="20"/>
          <w:highlight w:val="none"/>
          <w:shd w:val="clear" w:color="auto" w:fill="auto"/>
        </w:rPr>
        <w:t>（2）除合同条款及采购需求偏离表列出的偏离外，我方响应磋商文件的全部要求。</w:t>
      </w:r>
    </w:p>
    <w:p w14:paraId="7DF0C355">
      <w:pPr>
        <w:tabs>
          <w:tab w:val="left" w:pos="5580"/>
        </w:tabs>
        <w:spacing w:line="360" w:lineRule="auto"/>
        <w:ind w:firstLine="420" w:firstLineChars="175"/>
        <w:rPr>
          <w:color w:val="auto"/>
          <w:sz w:val="24"/>
          <w:szCs w:val="20"/>
          <w:highlight w:val="none"/>
          <w:shd w:val="clear" w:color="auto" w:fill="auto"/>
        </w:rPr>
      </w:pPr>
      <w:r>
        <w:rPr>
          <w:color w:val="auto"/>
          <w:sz w:val="24"/>
          <w:szCs w:val="20"/>
          <w:highlight w:val="none"/>
          <w:shd w:val="clear" w:color="auto" w:fill="auto"/>
        </w:rPr>
        <w:t>（3）我方已提供的全部文件资料是真实、准确的，并对此承担一切法律后果。</w:t>
      </w:r>
    </w:p>
    <w:p w14:paraId="760B4105">
      <w:pPr>
        <w:tabs>
          <w:tab w:val="left" w:pos="5580"/>
        </w:tabs>
        <w:spacing w:line="360" w:lineRule="auto"/>
        <w:ind w:firstLine="420" w:firstLineChars="175"/>
        <w:rPr>
          <w:color w:val="auto"/>
          <w:sz w:val="24"/>
          <w:highlight w:val="none"/>
          <w:shd w:val="clear" w:color="auto" w:fill="auto"/>
        </w:rPr>
      </w:pPr>
      <w:r>
        <w:rPr>
          <w:color w:val="auto"/>
          <w:sz w:val="24"/>
          <w:szCs w:val="20"/>
          <w:highlight w:val="none"/>
          <w:shd w:val="clear" w:color="auto" w:fill="auto"/>
        </w:rPr>
        <w:t>（4）如我方</w:t>
      </w:r>
      <w:r>
        <w:rPr>
          <w:rFonts w:hint="eastAsia"/>
          <w:color w:val="auto"/>
          <w:sz w:val="24"/>
          <w:szCs w:val="20"/>
          <w:highlight w:val="none"/>
          <w:shd w:val="clear" w:color="auto" w:fill="auto"/>
          <w:lang w:val="en-US" w:eastAsia="zh-CN"/>
        </w:rPr>
        <w:t>成交</w:t>
      </w:r>
      <w:r>
        <w:rPr>
          <w:color w:val="auto"/>
          <w:sz w:val="24"/>
          <w:szCs w:val="20"/>
          <w:highlight w:val="none"/>
          <w:shd w:val="clear" w:color="auto" w:fill="auto"/>
        </w:rPr>
        <w:t>，我方将在法律规定的期限内与你方签订合同，并在合同约定的期限内完成合同规定的全部义务。</w:t>
      </w:r>
    </w:p>
    <w:p w14:paraId="5077FE7D">
      <w:pPr>
        <w:spacing w:line="360" w:lineRule="auto"/>
        <w:ind w:left="420"/>
        <w:rPr>
          <w:color w:val="auto"/>
          <w:sz w:val="24"/>
          <w:highlight w:val="none"/>
          <w:shd w:val="clear" w:color="auto" w:fill="auto"/>
        </w:rPr>
      </w:pPr>
      <w:r>
        <w:rPr>
          <w:color w:val="auto"/>
          <w:sz w:val="24"/>
          <w:highlight w:val="none"/>
          <w:shd w:val="clear" w:color="auto" w:fill="auto"/>
        </w:rPr>
        <w:t>2. 其他补充条款（如有）：</w:t>
      </w:r>
      <w:r>
        <w:rPr>
          <w:color w:val="auto"/>
          <w:sz w:val="24"/>
          <w:szCs w:val="20"/>
          <w:highlight w:val="none"/>
          <w:shd w:val="clear" w:color="auto" w:fill="auto"/>
        </w:rPr>
        <w:t>___________</w:t>
      </w:r>
      <w:r>
        <w:rPr>
          <w:color w:val="auto"/>
          <w:sz w:val="24"/>
          <w:highlight w:val="none"/>
          <w:shd w:val="clear" w:color="auto" w:fill="auto"/>
        </w:rPr>
        <w:t>。</w:t>
      </w:r>
    </w:p>
    <w:p w14:paraId="0995B95E">
      <w:pPr>
        <w:spacing w:line="360" w:lineRule="auto"/>
        <w:ind w:firstLine="480" w:firstLineChars="200"/>
        <w:rPr>
          <w:color w:val="auto"/>
          <w:sz w:val="24"/>
          <w:highlight w:val="none"/>
          <w:shd w:val="clear" w:color="auto" w:fill="auto"/>
        </w:rPr>
      </w:pPr>
      <w:r>
        <w:rPr>
          <w:color w:val="auto"/>
          <w:sz w:val="24"/>
          <w:highlight w:val="none"/>
          <w:shd w:val="clear" w:color="auto" w:fill="auto"/>
        </w:rPr>
        <w:t>与本响应有关的一切正式往来信函请寄：</w:t>
      </w:r>
    </w:p>
    <w:p w14:paraId="63E98E8B">
      <w:pPr>
        <w:tabs>
          <w:tab w:val="left" w:pos="5580"/>
        </w:tabs>
        <w:spacing w:line="360" w:lineRule="auto"/>
        <w:ind w:left="420"/>
        <w:rPr>
          <w:color w:val="auto"/>
          <w:sz w:val="24"/>
          <w:szCs w:val="20"/>
          <w:highlight w:val="none"/>
          <w:shd w:val="clear" w:color="auto" w:fill="auto"/>
        </w:rPr>
      </w:pPr>
    </w:p>
    <w:p w14:paraId="3E4FF58A">
      <w:pPr>
        <w:tabs>
          <w:tab w:val="left" w:pos="5580"/>
        </w:tabs>
        <w:spacing w:line="360" w:lineRule="auto"/>
        <w:ind w:left="420"/>
        <w:rPr>
          <w:color w:val="auto"/>
          <w:sz w:val="24"/>
          <w:szCs w:val="20"/>
          <w:highlight w:val="none"/>
          <w:shd w:val="clear" w:color="auto" w:fill="auto"/>
        </w:rPr>
      </w:pPr>
      <w:r>
        <w:rPr>
          <w:color w:val="auto"/>
          <w:sz w:val="24"/>
          <w:szCs w:val="20"/>
          <w:highlight w:val="none"/>
          <w:shd w:val="clear" w:color="auto" w:fill="auto"/>
        </w:rPr>
        <w:t>地址_________________________     传真____________________________</w:t>
      </w:r>
    </w:p>
    <w:p w14:paraId="67D86E67">
      <w:pPr>
        <w:tabs>
          <w:tab w:val="left" w:pos="5580"/>
        </w:tabs>
        <w:spacing w:line="360" w:lineRule="auto"/>
        <w:ind w:left="420"/>
        <w:rPr>
          <w:color w:val="auto"/>
          <w:sz w:val="24"/>
          <w:szCs w:val="20"/>
          <w:highlight w:val="none"/>
          <w:shd w:val="clear" w:color="auto" w:fill="auto"/>
        </w:rPr>
      </w:pPr>
      <w:r>
        <w:rPr>
          <w:color w:val="auto"/>
          <w:sz w:val="24"/>
          <w:szCs w:val="20"/>
          <w:highlight w:val="none"/>
          <w:shd w:val="clear" w:color="auto" w:fill="auto"/>
        </w:rPr>
        <w:t>电话_________________________     电子函件________________________</w:t>
      </w:r>
    </w:p>
    <w:p w14:paraId="7E035118">
      <w:pPr>
        <w:tabs>
          <w:tab w:val="left" w:pos="5580"/>
        </w:tabs>
        <w:spacing w:line="360" w:lineRule="auto"/>
        <w:ind w:left="420"/>
        <w:rPr>
          <w:color w:val="auto"/>
          <w:sz w:val="24"/>
          <w:szCs w:val="20"/>
          <w:highlight w:val="none"/>
          <w:shd w:val="clear" w:color="auto" w:fill="auto"/>
        </w:rPr>
      </w:pPr>
    </w:p>
    <w:p w14:paraId="2CA33ECA">
      <w:pPr>
        <w:tabs>
          <w:tab w:val="left" w:pos="5580"/>
        </w:tabs>
        <w:spacing w:line="360" w:lineRule="auto"/>
        <w:ind w:left="420"/>
        <w:rPr>
          <w:color w:val="auto"/>
          <w:sz w:val="24"/>
          <w:szCs w:val="20"/>
          <w:highlight w:val="none"/>
          <w:shd w:val="clear" w:color="auto" w:fill="auto"/>
        </w:rPr>
      </w:pPr>
      <w:r>
        <w:rPr>
          <w:color w:val="auto"/>
          <w:sz w:val="24"/>
          <w:szCs w:val="20"/>
          <w:highlight w:val="none"/>
          <w:shd w:val="clear" w:color="auto" w:fill="auto"/>
        </w:rPr>
        <w:t>供应商名称（加盖公章） ___________</w:t>
      </w:r>
    </w:p>
    <w:p w14:paraId="0F25814C">
      <w:pPr>
        <w:tabs>
          <w:tab w:val="left" w:pos="5580"/>
        </w:tabs>
        <w:spacing w:line="360" w:lineRule="auto"/>
        <w:ind w:left="420"/>
        <w:rPr>
          <w:color w:val="auto"/>
          <w:sz w:val="24"/>
          <w:szCs w:val="20"/>
          <w:highlight w:val="none"/>
          <w:shd w:val="clear" w:color="auto" w:fill="auto"/>
        </w:rPr>
      </w:pPr>
      <w:r>
        <w:rPr>
          <w:color w:val="auto"/>
          <w:sz w:val="24"/>
          <w:szCs w:val="20"/>
          <w:highlight w:val="none"/>
          <w:shd w:val="clear" w:color="auto" w:fill="auto"/>
        </w:rPr>
        <w:t xml:space="preserve">日期：_____年______月______日    </w:t>
      </w:r>
    </w:p>
    <w:p w14:paraId="3F46BE28">
      <w:pPr>
        <w:tabs>
          <w:tab w:val="left" w:pos="5580"/>
        </w:tabs>
        <w:spacing w:line="360" w:lineRule="auto"/>
        <w:ind w:left="420"/>
        <w:rPr>
          <w:color w:val="auto"/>
          <w:sz w:val="24"/>
          <w:szCs w:val="20"/>
          <w:highlight w:val="none"/>
          <w:u w:val="single"/>
          <w:shd w:val="clear" w:color="auto" w:fill="auto"/>
        </w:rPr>
      </w:pPr>
    </w:p>
    <w:p w14:paraId="0BC2E7D9">
      <w:pPr>
        <w:widowControl/>
        <w:jc w:val="left"/>
        <w:rPr>
          <w:rFonts w:hint="eastAsia"/>
          <w:color w:val="auto"/>
          <w:sz w:val="24"/>
          <w:highlight w:val="none"/>
          <w:shd w:val="clear" w:color="auto" w:fill="auto"/>
        </w:rPr>
      </w:pPr>
      <w:bookmarkStart w:id="656" w:name="_Hlt520356243"/>
      <w:bookmarkEnd w:id="656"/>
      <w:bookmarkStart w:id="657" w:name="_Hlt520355938"/>
      <w:bookmarkEnd w:id="657"/>
      <w:r>
        <w:rPr>
          <w:color w:val="auto"/>
          <w:sz w:val="24"/>
          <w:highlight w:val="none"/>
          <w:shd w:val="clear" w:color="auto" w:fill="auto"/>
        </w:rPr>
        <w:br w:type="page"/>
      </w:r>
      <w:r>
        <w:rPr>
          <w:rFonts w:hint="eastAsia"/>
          <w:color w:val="auto"/>
          <w:sz w:val="24"/>
          <w:highlight w:val="none"/>
          <w:shd w:val="clear" w:color="auto" w:fill="auto"/>
          <w:lang w:val="en-US" w:eastAsia="zh-CN"/>
        </w:rPr>
        <w:t>5</w:t>
      </w:r>
      <w:r>
        <w:rPr>
          <w:color w:val="auto"/>
          <w:sz w:val="24"/>
          <w:highlight w:val="none"/>
          <w:shd w:val="clear" w:color="auto" w:fill="auto"/>
        </w:rPr>
        <w:t xml:space="preserve">  </w:t>
      </w:r>
      <w:r>
        <w:rPr>
          <w:rFonts w:hint="eastAsia"/>
          <w:color w:val="auto"/>
          <w:sz w:val="24"/>
          <w:highlight w:val="none"/>
          <w:shd w:val="clear" w:color="auto" w:fill="auto"/>
        </w:rPr>
        <w:t>法定代表人资格证明书</w:t>
      </w:r>
      <w:r>
        <w:rPr>
          <w:color w:val="auto"/>
          <w:sz w:val="24"/>
          <w:szCs w:val="20"/>
          <w:highlight w:val="none"/>
          <w:shd w:val="clear" w:color="auto" w:fill="auto"/>
        </w:rPr>
        <w:t>（实质性格式）</w:t>
      </w:r>
    </w:p>
    <w:p w14:paraId="73DA6EFF">
      <w:pPr>
        <w:spacing w:line="360" w:lineRule="auto"/>
        <w:jc w:val="center"/>
        <w:rPr>
          <w:rFonts w:hint="eastAsia" w:ascii="宋体" w:hAnsi="宋体"/>
          <w:b/>
          <w:color w:val="auto"/>
          <w:sz w:val="32"/>
          <w:szCs w:val="32"/>
          <w:highlight w:val="none"/>
          <w:shd w:val="clear" w:color="auto" w:fill="auto"/>
        </w:rPr>
      </w:pPr>
    </w:p>
    <w:p w14:paraId="560C32BB">
      <w:pPr>
        <w:spacing w:line="360" w:lineRule="auto"/>
        <w:jc w:val="center"/>
        <w:rPr>
          <w:rFonts w:ascii="宋体" w:hAnsi="宋体"/>
          <w:b/>
          <w:color w:val="auto"/>
          <w:sz w:val="32"/>
          <w:szCs w:val="32"/>
          <w:highlight w:val="none"/>
          <w:shd w:val="clear" w:color="auto" w:fill="auto"/>
        </w:rPr>
      </w:pPr>
      <w:r>
        <w:rPr>
          <w:rFonts w:hint="eastAsia" w:ascii="宋体" w:hAnsi="宋体"/>
          <w:b/>
          <w:color w:val="auto"/>
          <w:sz w:val="32"/>
          <w:szCs w:val="32"/>
          <w:highlight w:val="none"/>
          <w:shd w:val="clear" w:color="auto" w:fill="auto"/>
        </w:rPr>
        <w:t>法定代表人资格证明书</w:t>
      </w:r>
    </w:p>
    <w:p w14:paraId="37AC72D8">
      <w:pPr>
        <w:spacing w:line="560"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单位名称:</w:t>
      </w:r>
    </w:p>
    <w:p w14:paraId="71B51A80">
      <w:pPr>
        <w:spacing w:line="560"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地址:</w:t>
      </w:r>
    </w:p>
    <w:p w14:paraId="22278164">
      <w:pPr>
        <w:spacing w:line="560"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姓名:     性别:       年龄:      职务:</w:t>
      </w:r>
    </w:p>
    <w:p w14:paraId="002EA0B0">
      <w:pPr>
        <w:spacing w:line="560"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系</w:t>
      </w:r>
      <w:r>
        <w:rPr>
          <w:rFonts w:hint="eastAsia" w:ascii="宋体" w:hAnsi="宋体"/>
          <w:color w:val="auto"/>
          <w:sz w:val="24"/>
          <w:highlight w:val="none"/>
          <w:u w:val="single"/>
          <w:shd w:val="clear" w:color="auto" w:fill="auto"/>
        </w:rPr>
        <w:t>（</w:t>
      </w:r>
      <w:r>
        <w:rPr>
          <w:rFonts w:hint="eastAsia" w:ascii="宋体" w:hAnsi="宋体"/>
          <w:color w:val="auto"/>
          <w:sz w:val="24"/>
          <w:highlight w:val="none"/>
          <w:u w:val="single"/>
          <w:shd w:val="clear" w:color="auto" w:fill="auto"/>
          <w:lang w:eastAsia="zh-CN"/>
        </w:rPr>
        <w:t>供应商</w:t>
      </w:r>
      <w:r>
        <w:rPr>
          <w:rFonts w:hint="eastAsia" w:ascii="宋体" w:hAnsi="宋体"/>
          <w:color w:val="auto"/>
          <w:sz w:val="24"/>
          <w:highlight w:val="none"/>
          <w:u w:val="single"/>
          <w:shd w:val="clear" w:color="auto" w:fill="auto"/>
        </w:rPr>
        <w:t>名称）</w:t>
      </w:r>
      <w:r>
        <w:rPr>
          <w:rFonts w:hint="eastAsia" w:ascii="宋体" w:hAnsi="宋体"/>
          <w:color w:val="auto"/>
          <w:sz w:val="24"/>
          <w:highlight w:val="none"/>
          <w:shd w:val="clear" w:color="auto" w:fill="auto"/>
        </w:rPr>
        <w:t>的法定代表人。为参与</w:t>
      </w:r>
      <w:r>
        <w:rPr>
          <w:rFonts w:hint="eastAsia" w:ascii="宋体" w:hAnsi="宋体"/>
          <w:color w:val="auto"/>
          <w:sz w:val="24"/>
          <w:highlight w:val="none"/>
          <w:u w:val="single"/>
          <w:shd w:val="clear" w:color="auto" w:fill="auto"/>
        </w:rPr>
        <w:t>（项目名称）</w:t>
      </w:r>
      <w:r>
        <w:rPr>
          <w:rFonts w:hint="eastAsia" w:ascii="宋体" w:hAnsi="宋体"/>
          <w:color w:val="auto"/>
          <w:sz w:val="24"/>
          <w:highlight w:val="none"/>
          <w:shd w:val="clear" w:color="auto" w:fill="auto"/>
        </w:rPr>
        <w:t>的政府采购活动，</w:t>
      </w:r>
      <w:r>
        <w:rPr>
          <w:rFonts w:ascii="宋体" w:hAnsi="宋体"/>
          <w:color w:val="auto"/>
          <w:sz w:val="24"/>
          <w:szCs w:val="20"/>
          <w:highlight w:val="none"/>
          <w:shd w:val="clear" w:color="auto" w:fill="auto"/>
        </w:rPr>
        <w:t>签署、澄清确认、递交、撤回、修改</w:t>
      </w:r>
      <w:r>
        <w:rPr>
          <w:rFonts w:hint="eastAsia" w:ascii="宋体" w:hAnsi="宋体"/>
          <w:color w:val="auto"/>
          <w:sz w:val="24"/>
          <w:highlight w:val="none"/>
          <w:shd w:val="clear" w:color="auto" w:fill="auto"/>
        </w:rPr>
        <w:t>上述项目的</w:t>
      </w:r>
      <w:r>
        <w:rPr>
          <w:rFonts w:hint="eastAsia" w:ascii="宋体" w:hAnsi="宋体"/>
          <w:color w:val="auto"/>
          <w:sz w:val="24"/>
          <w:highlight w:val="none"/>
          <w:shd w:val="clear" w:color="auto" w:fill="auto"/>
          <w:lang w:eastAsia="zh-CN"/>
        </w:rPr>
        <w:t>磋商响应</w:t>
      </w:r>
      <w:r>
        <w:rPr>
          <w:rFonts w:hint="eastAsia" w:ascii="宋体" w:hAnsi="宋体"/>
          <w:color w:val="auto"/>
          <w:sz w:val="24"/>
          <w:highlight w:val="none"/>
          <w:shd w:val="clear" w:color="auto" w:fill="auto"/>
        </w:rPr>
        <w:t>文件、进行合同谈判、签署合同和处理与之有关的一切事务。</w:t>
      </w:r>
    </w:p>
    <w:p w14:paraId="3E5D8055">
      <w:pPr>
        <w:spacing w:line="560"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特此证明。</w:t>
      </w:r>
    </w:p>
    <w:p w14:paraId="07A85D84">
      <w:pPr>
        <w:spacing w:line="560" w:lineRule="exact"/>
        <w:rPr>
          <w:rFonts w:ascii="宋体" w:hAnsi="宋体"/>
          <w:color w:val="auto"/>
          <w:sz w:val="24"/>
          <w:highlight w:val="none"/>
          <w:shd w:val="clear" w:color="auto" w:fill="auto"/>
        </w:rPr>
      </w:pPr>
    </w:p>
    <w:p w14:paraId="00E64EE1">
      <w:pPr>
        <w:pStyle w:val="6"/>
        <w:kinsoku w:val="0"/>
        <w:overflowPunct w:val="0"/>
        <w:spacing w:line="583" w:lineRule="auto"/>
        <w:ind w:right="-46"/>
        <w:rPr>
          <w:rFonts w:hint="eastAsia"/>
          <w:color w:val="auto"/>
          <w:spacing w:val="-3"/>
          <w:highlight w:val="none"/>
        </w:rPr>
      </w:pPr>
      <w:r>
        <w:rPr>
          <w:color w:val="auto"/>
          <w:highlight w:val="none"/>
        </w:rPr>
        <w:t>附：</w:t>
      </w:r>
      <w:r>
        <w:rPr>
          <w:color w:val="auto"/>
          <w:spacing w:val="-3"/>
          <w:highlight w:val="none"/>
        </w:rPr>
        <w:t>法</w:t>
      </w:r>
      <w:r>
        <w:rPr>
          <w:color w:val="auto"/>
          <w:highlight w:val="none"/>
        </w:rPr>
        <w:t>定</w:t>
      </w:r>
      <w:r>
        <w:rPr>
          <w:color w:val="auto"/>
          <w:spacing w:val="-3"/>
          <w:highlight w:val="none"/>
        </w:rPr>
        <w:t>代</w:t>
      </w:r>
      <w:r>
        <w:rPr>
          <w:color w:val="auto"/>
          <w:highlight w:val="none"/>
        </w:rPr>
        <w:t>表</w:t>
      </w:r>
      <w:r>
        <w:rPr>
          <w:color w:val="auto"/>
          <w:spacing w:val="-3"/>
          <w:highlight w:val="none"/>
        </w:rPr>
        <w:t>人</w:t>
      </w:r>
      <w:r>
        <w:rPr>
          <w:color w:val="auto"/>
          <w:highlight w:val="none"/>
        </w:rPr>
        <w:t>（</w:t>
      </w:r>
      <w:r>
        <w:rPr>
          <w:color w:val="auto"/>
          <w:spacing w:val="-3"/>
          <w:highlight w:val="none"/>
        </w:rPr>
        <w:t>单</w:t>
      </w:r>
      <w:r>
        <w:rPr>
          <w:color w:val="auto"/>
          <w:highlight w:val="none"/>
        </w:rPr>
        <w:t>位</w:t>
      </w:r>
      <w:r>
        <w:rPr>
          <w:color w:val="auto"/>
          <w:spacing w:val="-3"/>
          <w:highlight w:val="none"/>
        </w:rPr>
        <w:t>负</w:t>
      </w:r>
      <w:r>
        <w:rPr>
          <w:color w:val="auto"/>
          <w:highlight w:val="none"/>
        </w:rPr>
        <w:t>责人</w:t>
      </w:r>
      <w:r>
        <w:rPr>
          <w:color w:val="auto"/>
          <w:spacing w:val="-3"/>
          <w:highlight w:val="none"/>
        </w:rPr>
        <w:t>）有效期内的身</w:t>
      </w:r>
      <w:r>
        <w:rPr>
          <w:rFonts w:hint="eastAsia"/>
          <w:color w:val="auto"/>
          <w:spacing w:val="-3"/>
          <w:highlight w:val="none"/>
        </w:rPr>
        <w:t>份</w:t>
      </w:r>
      <w:r>
        <w:rPr>
          <w:color w:val="auto"/>
          <w:spacing w:val="-3"/>
          <w:highlight w:val="none"/>
        </w:rPr>
        <w:t>证正反面</w:t>
      </w:r>
      <w:r>
        <w:rPr>
          <w:rFonts w:hint="eastAsia"/>
          <w:color w:val="auto"/>
          <w:spacing w:val="-3"/>
          <w:highlight w:val="none"/>
          <w:lang w:val="en-US" w:eastAsia="zh-CN"/>
        </w:rPr>
        <w:t>电子件</w:t>
      </w:r>
      <w:r>
        <w:rPr>
          <w:rFonts w:hint="eastAsia"/>
          <w:color w:val="auto"/>
          <w:spacing w:val="-3"/>
          <w:highlight w:val="none"/>
        </w:rPr>
        <w:t>。</w:t>
      </w:r>
    </w:p>
    <w:tbl>
      <w:tblPr>
        <w:tblStyle w:val="1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406F6E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17644F45">
            <w:pPr>
              <w:tabs>
                <w:tab w:val="left" w:pos="5580"/>
              </w:tabs>
              <w:spacing w:line="360" w:lineRule="auto"/>
              <w:jc w:val="left"/>
              <w:rPr>
                <w:rFonts w:ascii="宋体" w:hAnsi="宋体"/>
                <w:color w:val="auto"/>
                <w:sz w:val="24"/>
                <w:szCs w:val="20"/>
                <w:highlight w:val="none"/>
                <w:shd w:val="clear" w:color="auto" w:fill="auto"/>
              </w:rPr>
            </w:pPr>
          </w:p>
          <w:p w14:paraId="2091473A">
            <w:pPr>
              <w:tabs>
                <w:tab w:val="left" w:pos="5580"/>
              </w:tabs>
              <w:spacing w:line="360" w:lineRule="auto"/>
              <w:jc w:val="left"/>
              <w:rPr>
                <w:rFonts w:ascii="宋体" w:hAnsi="宋体"/>
                <w:color w:val="auto"/>
                <w:sz w:val="24"/>
                <w:szCs w:val="20"/>
                <w:highlight w:val="none"/>
                <w:shd w:val="clear" w:color="auto" w:fill="auto"/>
              </w:rPr>
            </w:pPr>
          </w:p>
          <w:p w14:paraId="07BAD46A">
            <w:pPr>
              <w:tabs>
                <w:tab w:val="left" w:pos="5580"/>
              </w:tabs>
              <w:spacing w:line="360" w:lineRule="auto"/>
              <w:jc w:val="left"/>
              <w:rPr>
                <w:rFonts w:ascii="宋体" w:hAnsi="宋体"/>
                <w:color w:val="auto"/>
                <w:sz w:val="24"/>
                <w:szCs w:val="20"/>
                <w:highlight w:val="none"/>
                <w:shd w:val="clear" w:color="auto" w:fill="auto"/>
              </w:rPr>
            </w:pPr>
          </w:p>
        </w:tc>
        <w:tc>
          <w:tcPr>
            <w:tcW w:w="4536" w:type="dxa"/>
            <w:noWrap w:val="0"/>
            <w:vAlign w:val="top"/>
          </w:tcPr>
          <w:p w14:paraId="2B44907B">
            <w:pPr>
              <w:tabs>
                <w:tab w:val="left" w:pos="5580"/>
              </w:tabs>
              <w:spacing w:line="360" w:lineRule="auto"/>
              <w:jc w:val="left"/>
              <w:rPr>
                <w:rFonts w:ascii="宋体" w:hAnsi="宋体"/>
                <w:color w:val="auto"/>
                <w:sz w:val="24"/>
                <w:szCs w:val="20"/>
                <w:highlight w:val="none"/>
                <w:shd w:val="clear" w:color="auto" w:fill="auto"/>
              </w:rPr>
            </w:pPr>
          </w:p>
          <w:p w14:paraId="6176844B">
            <w:pPr>
              <w:tabs>
                <w:tab w:val="left" w:pos="5580"/>
              </w:tabs>
              <w:spacing w:line="360" w:lineRule="auto"/>
              <w:jc w:val="left"/>
              <w:rPr>
                <w:rFonts w:ascii="宋体" w:hAnsi="宋体"/>
                <w:color w:val="auto"/>
                <w:sz w:val="24"/>
                <w:szCs w:val="20"/>
                <w:highlight w:val="none"/>
                <w:shd w:val="clear" w:color="auto" w:fill="auto"/>
              </w:rPr>
            </w:pPr>
          </w:p>
          <w:p w14:paraId="2C169C4A">
            <w:pPr>
              <w:tabs>
                <w:tab w:val="left" w:pos="5580"/>
              </w:tabs>
              <w:spacing w:line="360" w:lineRule="auto"/>
              <w:jc w:val="left"/>
              <w:rPr>
                <w:rFonts w:ascii="宋体" w:hAnsi="宋体"/>
                <w:color w:val="auto"/>
                <w:sz w:val="24"/>
                <w:szCs w:val="20"/>
                <w:highlight w:val="none"/>
                <w:shd w:val="clear" w:color="auto" w:fill="auto"/>
              </w:rPr>
            </w:pPr>
          </w:p>
        </w:tc>
      </w:tr>
    </w:tbl>
    <w:p w14:paraId="0DA6CBC7">
      <w:pPr>
        <w:spacing w:line="560"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lang w:eastAsia="zh-CN"/>
        </w:rPr>
        <w:t>供应商</w:t>
      </w:r>
      <w:r>
        <w:rPr>
          <w:rFonts w:hint="eastAsia" w:ascii="宋体" w:hAnsi="宋体"/>
          <w:color w:val="auto"/>
          <w:sz w:val="24"/>
          <w:highlight w:val="none"/>
          <w:shd w:val="clear" w:color="auto" w:fill="auto"/>
        </w:rPr>
        <w:t>：（加盖公章）</w:t>
      </w:r>
    </w:p>
    <w:p w14:paraId="11D811EC">
      <w:pPr>
        <w:spacing w:line="560"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法定代表人</w:t>
      </w:r>
      <w:r>
        <w:rPr>
          <w:rFonts w:ascii="宋体" w:hAnsi="宋体"/>
          <w:color w:val="auto"/>
          <w:sz w:val="24"/>
          <w:szCs w:val="20"/>
          <w:highlight w:val="none"/>
          <w:shd w:val="clear" w:color="auto" w:fill="auto"/>
        </w:rPr>
        <w:t>签字</w:t>
      </w:r>
      <w:r>
        <w:rPr>
          <w:rFonts w:hint="eastAsia" w:ascii="宋体" w:hAnsi="宋体"/>
          <w:color w:val="auto"/>
          <w:sz w:val="24"/>
          <w:szCs w:val="20"/>
          <w:highlight w:val="none"/>
          <w:shd w:val="clear" w:color="auto" w:fill="auto"/>
          <w:lang w:eastAsia="zh-CN"/>
        </w:rPr>
        <w:t>或</w:t>
      </w:r>
      <w:r>
        <w:rPr>
          <w:rFonts w:hint="eastAsia" w:ascii="宋体" w:hAnsi="宋体"/>
          <w:color w:val="auto"/>
          <w:sz w:val="24"/>
          <w:szCs w:val="20"/>
          <w:highlight w:val="none"/>
          <w:shd w:val="clear" w:color="auto" w:fill="auto"/>
        </w:rPr>
        <w:t>签章</w:t>
      </w:r>
      <w:r>
        <w:rPr>
          <w:rFonts w:ascii="宋体" w:hAnsi="宋体"/>
          <w:color w:val="auto"/>
          <w:sz w:val="24"/>
          <w:szCs w:val="20"/>
          <w:highlight w:val="none"/>
          <w:shd w:val="clear" w:color="auto" w:fill="auto"/>
        </w:rPr>
        <w:t>或</w:t>
      </w:r>
      <w:r>
        <w:rPr>
          <w:rFonts w:hint="eastAsia" w:ascii="宋体" w:hAnsi="宋体"/>
          <w:color w:val="auto"/>
          <w:sz w:val="24"/>
          <w:szCs w:val="20"/>
          <w:highlight w:val="none"/>
          <w:shd w:val="clear" w:color="auto" w:fill="auto"/>
        </w:rPr>
        <w:t>印鉴</w:t>
      </w:r>
      <w:r>
        <w:rPr>
          <w:rFonts w:hint="eastAsia" w:ascii="宋体" w:hAnsi="宋体"/>
          <w:color w:val="auto"/>
          <w:sz w:val="24"/>
          <w:highlight w:val="none"/>
          <w:shd w:val="clear" w:color="auto" w:fill="auto"/>
        </w:rPr>
        <w:t>：</w:t>
      </w:r>
    </w:p>
    <w:p w14:paraId="1B272FAA">
      <w:pPr>
        <w:spacing w:line="560" w:lineRule="exact"/>
        <w:ind w:firstLine="4320" w:firstLineChars="180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日期：    年    月    日</w:t>
      </w:r>
    </w:p>
    <w:p w14:paraId="574685C3">
      <w:pPr>
        <w:widowControl/>
        <w:jc w:val="left"/>
        <w:rPr>
          <w:rFonts w:hint="eastAsia"/>
          <w:color w:val="auto"/>
          <w:sz w:val="24"/>
          <w:highlight w:val="none"/>
          <w:shd w:val="clear" w:color="auto" w:fill="auto"/>
        </w:rPr>
      </w:pPr>
    </w:p>
    <w:p w14:paraId="66B3D0D7">
      <w:pPr>
        <w:widowControl/>
        <w:jc w:val="left"/>
        <w:rPr>
          <w:rFonts w:hint="eastAsia"/>
          <w:color w:val="auto"/>
          <w:sz w:val="24"/>
          <w:highlight w:val="none"/>
          <w:shd w:val="clear" w:color="auto" w:fill="auto"/>
        </w:rPr>
      </w:pPr>
    </w:p>
    <w:p w14:paraId="5CD1BF30">
      <w:pPr>
        <w:widowControl/>
        <w:jc w:val="left"/>
        <w:rPr>
          <w:rFonts w:hint="eastAsia"/>
          <w:color w:val="auto"/>
          <w:sz w:val="24"/>
          <w:highlight w:val="none"/>
          <w:shd w:val="clear" w:color="auto" w:fill="auto"/>
        </w:rPr>
      </w:pPr>
    </w:p>
    <w:p w14:paraId="1D97CF3D">
      <w:pPr>
        <w:tabs>
          <w:tab w:val="left" w:pos="5580"/>
        </w:tabs>
        <w:spacing w:line="360" w:lineRule="auto"/>
        <w:jc w:val="left"/>
        <w:rPr>
          <w:rFonts w:ascii="宋体" w:hAnsi="宋体"/>
          <w:color w:val="auto"/>
          <w:sz w:val="24"/>
          <w:szCs w:val="20"/>
          <w:highlight w:val="none"/>
          <w:shd w:val="clear" w:color="auto" w:fill="auto"/>
        </w:rPr>
      </w:pPr>
      <w:r>
        <w:rPr>
          <w:rFonts w:hint="eastAsia" w:ascii="宋体" w:hAnsi="宋体"/>
          <w:color w:val="auto"/>
          <w:sz w:val="24"/>
          <w:szCs w:val="20"/>
          <w:highlight w:val="none"/>
          <w:shd w:val="clear" w:color="auto" w:fill="auto"/>
        </w:rPr>
        <w:t>说明</w:t>
      </w:r>
      <w:r>
        <w:rPr>
          <w:rFonts w:ascii="宋体" w:hAnsi="宋体"/>
          <w:color w:val="auto"/>
          <w:sz w:val="24"/>
          <w:szCs w:val="20"/>
          <w:highlight w:val="none"/>
          <w:shd w:val="clear" w:color="auto" w:fill="auto"/>
        </w:rPr>
        <w:t>：</w:t>
      </w:r>
    </w:p>
    <w:p w14:paraId="67B52B26">
      <w:pPr>
        <w:tabs>
          <w:tab w:val="left" w:pos="5580"/>
        </w:tabs>
        <w:spacing w:line="360" w:lineRule="auto"/>
        <w:jc w:val="left"/>
        <w:outlineLvl w:val="9"/>
        <w:rPr>
          <w:rFonts w:hint="eastAsia" w:ascii="宋体" w:hAnsi="宋体"/>
          <w:color w:val="auto"/>
          <w:sz w:val="24"/>
          <w:szCs w:val="20"/>
          <w:highlight w:val="none"/>
        </w:rPr>
      </w:pPr>
      <w:r>
        <w:rPr>
          <w:rFonts w:ascii="宋体" w:hAnsi="宋体"/>
          <w:color w:val="auto"/>
          <w:sz w:val="24"/>
          <w:szCs w:val="20"/>
          <w:highlight w:val="none"/>
        </w:rPr>
        <w:t>若供应商为事业单位或其他组织或分支机构（仅当</w:t>
      </w:r>
      <w:r>
        <w:rPr>
          <w:rFonts w:hint="eastAsia" w:ascii="宋体" w:hAnsi="宋体"/>
          <w:color w:val="auto"/>
          <w:sz w:val="24"/>
          <w:szCs w:val="20"/>
          <w:highlight w:val="none"/>
          <w:lang w:eastAsia="zh-CN"/>
        </w:rPr>
        <w:t>竞争性磋商</w:t>
      </w:r>
      <w:r>
        <w:rPr>
          <w:rFonts w:ascii="宋体" w:hAnsi="宋体"/>
          <w:color w:val="auto"/>
          <w:sz w:val="24"/>
          <w:szCs w:val="20"/>
          <w:highlight w:val="none"/>
        </w:rPr>
        <w:t>文件注明允许分支机构</w:t>
      </w:r>
      <w:r>
        <w:rPr>
          <w:rFonts w:hint="eastAsia" w:ascii="宋体" w:hAnsi="宋体"/>
          <w:color w:val="auto"/>
          <w:sz w:val="24"/>
          <w:szCs w:val="20"/>
          <w:highlight w:val="none"/>
          <w:lang w:eastAsia="zh-CN"/>
        </w:rPr>
        <w:t>磋商</w:t>
      </w:r>
      <w:r>
        <w:rPr>
          <w:rFonts w:ascii="宋体" w:hAnsi="宋体"/>
          <w:color w:val="auto"/>
          <w:sz w:val="24"/>
          <w:szCs w:val="20"/>
          <w:highlight w:val="none"/>
        </w:rPr>
        <w:t>的），则法定代表人（单位负责人）</w:t>
      </w:r>
      <w:r>
        <w:rPr>
          <w:rFonts w:hint="eastAsia" w:ascii="宋体" w:hAnsi="宋体"/>
          <w:color w:val="auto"/>
          <w:sz w:val="24"/>
          <w:szCs w:val="20"/>
          <w:highlight w:val="none"/>
        </w:rPr>
        <w:t>处</w:t>
      </w:r>
      <w:r>
        <w:rPr>
          <w:rFonts w:ascii="宋体" w:hAnsi="宋体"/>
          <w:color w:val="auto"/>
          <w:sz w:val="24"/>
          <w:szCs w:val="20"/>
          <w:highlight w:val="none"/>
        </w:rPr>
        <w:t>的签署人可为单位负责人</w:t>
      </w:r>
      <w:r>
        <w:rPr>
          <w:rFonts w:hint="eastAsia" w:ascii="宋体" w:hAnsi="宋体"/>
          <w:color w:val="auto"/>
          <w:sz w:val="24"/>
          <w:szCs w:val="20"/>
          <w:highlight w:val="none"/>
        </w:rPr>
        <w:t>。</w:t>
      </w:r>
    </w:p>
    <w:p w14:paraId="6A44788F">
      <w:pPr>
        <w:pStyle w:val="6"/>
        <w:rPr>
          <w:color w:val="auto"/>
          <w:highlight w:val="none"/>
          <w:shd w:val="clear" w:color="auto" w:fill="auto"/>
        </w:rPr>
      </w:pPr>
    </w:p>
    <w:p w14:paraId="4EDC245E">
      <w:pPr>
        <w:widowControl/>
        <w:jc w:val="left"/>
        <w:rPr>
          <w:rFonts w:hint="eastAsia"/>
          <w:color w:val="auto"/>
          <w:sz w:val="24"/>
          <w:highlight w:val="none"/>
          <w:shd w:val="clear" w:color="auto" w:fill="auto"/>
        </w:rPr>
      </w:pPr>
    </w:p>
    <w:p w14:paraId="03B803D7">
      <w:pPr>
        <w:widowControl/>
        <w:jc w:val="left"/>
        <w:rPr>
          <w:rFonts w:hint="eastAsia"/>
          <w:color w:val="auto"/>
          <w:sz w:val="24"/>
          <w:highlight w:val="none"/>
          <w:shd w:val="clear" w:color="auto" w:fill="auto"/>
          <w:lang w:val="en-US" w:eastAsia="zh-CN"/>
        </w:rPr>
        <w:sectPr>
          <w:pgSz w:w="11907" w:h="16840"/>
          <w:pgMar w:top="1418" w:right="1134" w:bottom="1418" w:left="1701" w:header="851" w:footer="851" w:gutter="0"/>
          <w:pgNumType w:fmt="decimal"/>
          <w:cols w:space="720" w:num="1"/>
          <w:docGrid w:linePitch="462" w:charSpace="0"/>
        </w:sectPr>
      </w:pPr>
    </w:p>
    <w:p w14:paraId="7D162D37">
      <w:pPr>
        <w:widowControl/>
        <w:jc w:val="left"/>
        <w:rPr>
          <w:rFonts w:hint="eastAsia"/>
          <w:color w:val="auto"/>
          <w:sz w:val="24"/>
          <w:highlight w:val="none"/>
          <w:shd w:val="clear" w:color="auto" w:fill="auto"/>
        </w:rPr>
      </w:pPr>
      <w:r>
        <w:rPr>
          <w:rFonts w:hint="eastAsia"/>
          <w:color w:val="auto"/>
          <w:sz w:val="24"/>
          <w:highlight w:val="none"/>
          <w:shd w:val="clear" w:color="auto" w:fill="auto"/>
          <w:lang w:val="en-US" w:eastAsia="zh-CN"/>
        </w:rPr>
        <w:t>6</w:t>
      </w:r>
      <w:r>
        <w:rPr>
          <w:rFonts w:hint="eastAsia"/>
          <w:color w:val="auto"/>
          <w:sz w:val="24"/>
          <w:highlight w:val="none"/>
          <w:shd w:val="clear" w:color="auto" w:fill="auto"/>
        </w:rPr>
        <w:t xml:space="preserve">  政府采购供应商信用承诺书</w:t>
      </w:r>
      <w:r>
        <w:rPr>
          <w:color w:val="auto"/>
          <w:sz w:val="24"/>
          <w:szCs w:val="20"/>
          <w:highlight w:val="none"/>
          <w:shd w:val="clear" w:color="auto" w:fill="auto"/>
        </w:rPr>
        <w:t>（实质性格式）</w:t>
      </w:r>
    </w:p>
    <w:p w14:paraId="37AE4B56">
      <w:pPr>
        <w:spacing w:line="560" w:lineRule="exact"/>
        <w:ind w:firstLine="321" w:firstLineChars="100"/>
        <w:jc w:val="center"/>
        <w:rPr>
          <w:rFonts w:hint="eastAsia" w:ascii="黑体" w:hAnsi="黑体" w:eastAsia="黑体"/>
          <w:b/>
          <w:color w:val="auto"/>
          <w:sz w:val="32"/>
          <w:szCs w:val="32"/>
          <w:highlight w:val="none"/>
          <w:shd w:val="clear" w:color="auto" w:fill="auto"/>
        </w:rPr>
      </w:pPr>
    </w:p>
    <w:p w14:paraId="7AC9F475">
      <w:pPr>
        <w:spacing w:line="560" w:lineRule="exact"/>
        <w:ind w:firstLine="321" w:firstLineChars="100"/>
        <w:jc w:val="center"/>
        <w:rPr>
          <w:rFonts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t>政府采购供应商信用承诺书</w:t>
      </w:r>
    </w:p>
    <w:p w14:paraId="1A827390">
      <w:pPr>
        <w:ind w:firstLine="640"/>
        <w:rPr>
          <w:snapToGrid w:val="0"/>
          <w:color w:val="auto"/>
          <w:kern w:val="0"/>
          <w:highlight w:val="none"/>
          <w:shd w:val="clear" w:color="auto" w:fill="auto"/>
        </w:rPr>
      </w:pPr>
    </w:p>
    <w:p w14:paraId="384B5997">
      <w:pPr>
        <w:spacing w:line="276"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为维护公开、公平、公正的政府采购市场秩序，树立诚实守信的供应商形象，本单位在参与政府采购活动中,自愿作出以下承诺：</w:t>
      </w:r>
    </w:p>
    <w:p w14:paraId="0086920E">
      <w:pPr>
        <w:spacing w:line="276"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一、严格遵守国家法律、法规和规章，全面履行应尽的责任和义务，全面做到履约守信，具备《政府采购法》第二十二条第一款规定的条件。</w:t>
      </w:r>
    </w:p>
    <w:p w14:paraId="3D35514E">
      <w:pPr>
        <w:spacing w:line="276"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二、本单位已经阅读并充分理解《常州市政府采购供应商信用管理暂行办法》，自愿按照《常州市政府采购供应商信用管理暂行办法》规定，发生失信行为将记录并公开到“信用常州”、常州市政府采购网。</w:t>
      </w:r>
    </w:p>
    <w:p w14:paraId="78B9F6E0">
      <w:pPr>
        <w:spacing w:line="276"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三、本单位提供给注册登记部门、行业管理部门、司法部门、行业组织以及在政府采购活动中提交的所有资料均合法、真实、有效，无任何伪造、修改、虚假</w:t>
      </w:r>
      <w:r>
        <w:rPr>
          <w:rFonts w:hint="eastAsia" w:ascii="宋体" w:hAnsi="宋体"/>
          <w:color w:val="auto"/>
          <w:sz w:val="24"/>
          <w:highlight w:val="none"/>
          <w:shd w:val="clear" w:color="auto" w:fill="auto"/>
          <w:lang w:eastAsia="zh-CN"/>
        </w:rPr>
        <w:t>成分</w:t>
      </w:r>
      <w:r>
        <w:rPr>
          <w:rFonts w:hint="eastAsia" w:ascii="宋体" w:hAnsi="宋体"/>
          <w:color w:val="auto"/>
          <w:sz w:val="24"/>
          <w:highlight w:val="none"/>
          <w:shd w:val="clear" w:color="auto" w:fill="auto"/>
        </w:rPr>
        <w:t>，并对所提供资料的真实性负责。</w:t>
      </w:r>
    </w:p>
    <w:p w14:paraId="64F6A0E2">
      <w:pPr>
        <w:spacing w:line="276"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四、严格依法开展生产经营活动，主动接受行业监管，自愿接受依法开展的日常检查；违法失信经营后将自愿接受约束和惩戒，并依法承担相应责任。</w:t>
      </w:r>
    </w:p>
    <w:p w14:paraId="5D97545D">
      <w:pPr>
        <w:spacing w:line="276"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五、承诺本单位自觉接受行政管理部门、行业组织、社会公众、新闻舆论的监督。 </w:t>
      </w:r>
    </w:p>
    <w:p w14:paraId="6D6ADAFC">
      <w:pPr>
        <w:spacing w:line="276"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六、承诺本单位自我约束、自我管理，重合同、守信用，不制假售假、商标侵权、虚假宣传、违约毁约、恶意逃债、偷税漏税、价格欺诈、垄断和不正当竞争，维护经营者、消费者的合法权益。 </w:t>
      </w:r>
    </w:p>
    <w:p w14:paraId="7FA5EE65">
      <w:pPr>
        <w:spacing w:line="276"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七、承诺本单位在信用中国（江苏）网站中无违法违规、较重或严重失信记录。 </w:t>
      </w:r>
    </w:p>
    <w:p w14:paraId="5EE410B0">
      <w:pPr>
        <w:spacing w:line="276"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八、承诺本单位提出政府采购质疑和投诉坚持依法依规、诚实信用原则。</w:t>
      </w:r>
    </w:p>
    <w:p w14:paraId="2EEA471E">
      <w:pPr>
        <w:spacing w:line="276"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九、根据政府采购相关法律法规的规定需要作出的其他承诺。 </w:t>
      </w:r>
    </w:p>
    <w:p w14:paraId="457692DE">
      <w:pPr>
        <w:spacing w:line="276"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十、承诺本单位若违背承诺约定，经查实，愿意接受行业主管部门和信用管理部门相应的规定处罚，承担违约责任，并依法承担相应的法律责任。</w:t>
      </w:r>
    </w:p>
    <w:p w14:paraId="708ABDE7">
      <w:pPr>
        <w:spacing w:line="276"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十一、承诺本单位同意将以上承诺事项上网公示，违背承诺约定行为将作为失信信息，记录到常州市公共信用信息系统，并予以公开。</w:t>
      </w:r>
    </w:p>
    <w:p w14:paraId="18695765">
      <w:pPr>
        <w:pStyle w:val="17"/>
        <w:spacing w:line="276" w:lineRule="auto"/>
        <w:ind w:right="1050" w:rightChars="500" w:firstLine="2880" w:firstLineChars="1200"/>
        <w:jc w:val="both"/>
        <w:rPr>
          <w:rFonts w:ascii="宋体" w:hAnsi="宋体" w:eastAsia="宋体"/>
          <w:color w:val="auto"/>
          <w:sz w:val="24"/>
          <w:szCs w:val="22"/>
          <w:highlight w:val="none"/>
          <w:shd w:val="clear" w:color="auto" w:fill="auto"/>
        </w:rPr>
      </w:pPr>
    </w:p>
    <w:p w14:paraId="64B32EB6">
      <w:pPr>
        <w:autoSpaceDE w:val="0"/>
        <w:autoSpaceDN w:val="0"/>
        <w:adjustRightInd w:val="0"/>
        <w:snapToGrid w:val="0"/>
        <w:spacing w:before="25" w:after="25" w:line="360" w:lineRule="auto"/>
        <w:rPr>
          <w:color w:val="auto"/>
          <w:sz w:val="24"/>
          <w:highlight w:val="none"/>
          <w:shd w:val="clear" w:color="auto" w:fill="auto"/>
          <w:lang w:val="zh-CN"/>
        </w:rPr>
      </w:pPr>
      <w:r>
        <w:rPr>
          <w:color w:val="auto"/>
          <w:sz w:val="24"/>
          <w:highlight w:val="none"/>
          <w:shd w:val="clear" w:color="auto" w:fill="auto"/>
        </w:rPr>
        <w:t>供应商名称（加盖公章）</w:t>
      </w:r>
      <w:r>
        <w:rPr>
          <w:color w:val="auto"/>
          <w:sz w:val="24"/>
          <w:highlight w:val="none"/>
          <w:shd w:val="clear" w:color="auto" w:fill="auto"/>
          <w:lang w:val="zh-CN"/>
        </w:rPr>
        <w:t>：____________</w:t>
      </w:r>
    </w:p>
    <w:p w14:paraId="045D6F3A">
      <w:pPr>
        <w:autoSpaceDE w:val="0"/>
        <w:autoSpaceDN w:val="0"/>
        <w:adjustRightInd w:val="0"/>
        <w:snapToGrid w:val="0"/>
        <w:spacing w:before="25" w:after="25" w:line="360" w:lineRule="auto"/>
        <w:rPr>
          <w:color w:val="auto"/>
          <w:sz w:val="24"/>
          <w:highlight w:val="none"/>
          <w:shd w:val="clear" w:color="auto" w:fill="auto"/>
          <w:lang w:val="zh-CN"/>
        </w:rPr>
      </w:pPr>
      <w:r>
        <w:rPr>
          <w:color w:val="auto"/>
          <w:sz w:val="24"/>
          <w:szCs w:val="20"/>
          <w:highlight w:val="none"/>
          <w:shd w:val="clear" w:color="auto" w:fill="auto"/>
        </w:rPr>
        <w:t xml:space="preserve">日期：_____年______月______日   </w:t>
      </w:r>
    </w:p>
    <w:p w14:paraId="04EB8D31">
      <w:pPr>
        <w:spacing w:line="360" w:lineRule="auto"/>
        <w:outlineLvl w:val="2"/>
        <w:rPr>
          <w:color w:val="auto"/>
          <w:sz w:val="24"/>
          <w:szCs w:val="20"/>
          <w:highlight w:val="none"/>
          <w:shd w:val="clear" w:color="auto" w:fill="auto"/>
        </w:rPr>
      </w:pPr>
      <w:r>
        <w:rPr>
          <w:color w:val="auto"/>
          <w:sz w:val="24"/>
          <w:szCs w:val="20"/>
          <w:highlight w:val="none"/>
          <w:shd w:val="clear" w:color="auto" w:fill="auto"/>
        </w:rPr>
        <w:br w:type="page"/>
      </w:r>
      <w:r>
        <w:rPr>
          <w:rFonts w:hint="eastAsia"/>
          <w:color w:val="auto"/>
          <w:sz w:val="24"/>
          <w:szCs w:val="20"/>
          <w:highlight w:val="none"/>
          <w:shd w:val="clear" w:color="auto" w:fill="auto"/>
          <w:lang w:val="en-US" w:eastAsia="zh-CN"/>
        </w:rPr>
        <w:t>7</w:t>
      </w:r>
      <w:r>
        <w:rPr>
          <w:color w:val="auto"/>
          <w:sz w:val="24"/>
          <w:szCs w:val="20"/>
          <w:highlight w:val="none"/>
          <w:shd w:val="clear" w:color="auto" w:fill="auto"/>
        </w:rPr>
        <w:t xml:space="preserve">  报价一览表</w:t>
      </w:r>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p>
    <w:p w14:paraId="2A3C87D0">
      <w:pPr>
        <w:jc w:val="center"/>
        <w:rPr>
          <w:b/>
          <w:color w:val="auto"/>
          <w:sz w:val="36"/>
          <w:szCs w:val="36"/>
          <w:highlight w:val="none"/>
          <w:shd w:val="clear" w:color="auto" w:fill="auto"/>
        </w:rPr>
      </w:pPr>
      <w:bookmarkStart w:id="658" w:name="_Toc195842923"/>
      <w:bookmarkStart w:id="659" w:name="_Toc226965748"/>
      <w:bookmarkStart w:id="660" w:name="_Toc226309802"/>
      <w:bookmarkStart w:id="661" w:name="_Toc305158826"/>
      <w:bookmarkStart w:id="662" w:name="_Toc264969248"/>
      <w:bookmarkStart w:id="663" w:name="_Toc164608827"/>
      <w:bookmarkStart w:id="664" w:name="_Toc164608672"/>
      <w:bookmarkStart w:id="665" w:name="_Toc226337254"/>
      <w:bookmarkStart w:id="666" w:name="_Toc305158900"/>
      <w:bookmarkStart w:id="667" w:name="_Toc265228396"/>
      <w:bookmarkStart w:id="668" w:name="_Toc226965831"/>
      <w:r>
        <w:rPr>
          <w:rFonts w:hint="eastAsia"/>
          <w:b/>
          <w:color w:val="auto"/>
          <w:sz w:val="36"/>
          <w:szCs w:val="36"/>
          <w:highlight w:val="none"/>
          <w:shd w:val="clear" w:color="auto" w:fill="auto"/>
        </w:rPr>
        <w:t>报价一览表</w:t>
      </w:r>
      <w:bookmarkEnd w:id="658"/>
      <w:bookmarkEnd w:id="659"/>
      <w:bookmarkEnd w:id="660"/>
      <w:bookmarkEnd w:id="661"/>
      <w:bookmarkEnd w:id="662"/>
      <w:bookmarkEnd w:id="663"/>
      <w:bookmarkEnd w:id="664"/>
      <w:bookmarkEnd w:id="665"/>
      <w:bookmarkEnd w:id="666"/>
      <w:bookmarkEnd w:id="667"/>
      <w:bookmarkEnd w:id="668"/>
    </w:p>
    <w:p w14:paraId="00996ED0">
      <w:pPr>
        <w:tabs>
          <w:tab w:val="left" w:pos="1800"/>
          <w:tab w:val="left" w:pos="5580"/>
        </w:tabs>
        <w:spacing w:line="360" w:lineRule="auto"/>
        <w:jc w:val="left"/>
        <w:rPr>
          <w:color w:val="auto"/>
          <w:sz w:val="24"/>
          <w:highlight w:val="none"/>
          <w:shd w:val="clear" w:color="auto" w:fill="auto"/>
        </w:rPr>
      </w:pPr>
    </w:p>
    <w:p w14:paraId="61622D7A">
      <w:pPr>
        <w:tabs>
          <w:tab w:val="left" w:pos="1800"/>
          <w:tab w:val="left" w:pos="5580"/>
        </w:tabs>
        <w:spacing w:line="360" w:lineRule="auto"/>
        <w:ind w:firstLine="240" w:firstLineChars="100"/>
        <w:jc w:val="left"/>
        <w:rPr>
          <w:color w:val="auto"/>
          <w:sz w:val="24"/>
          <w:highlight w:val="none"/>
          <w:u w:val="single"/>
          <w:shd w:val="clear" w:color="auto" w:fill="auto"/>
        </w:rPr>
      </w:pPr>
      <w:r>
        <w:rPr>
          <w:color w:val="auto"/>
          <w:sz w:val="24"/>
          <w:highlight w:val="none"/>
          <w:shd w:val="clear" w:color="auto" w:fill="auto"/>
        </w:rPr>
        <w:t>项目编号：_____________________     项目名称：_______________________</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12"/>
        <w:gridCol w:w="3204"/>
        <w:gridCol w:w="2025"/>
        <w:gridCol w:w="2131"/>
      </w:tblGrid>
      <w:tr w14:paraId="31EA7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812" w:type="dxa"/>
            <w:vMerge w:val="restart"/>
            <w:tcBorders>
              <w:top w:val="single" w:color="auto" w:sz="4" w:space="0"/>
              <w:left w:val="single" w:color="auto" w:sz="4" w:space="0"/>
              <w:bottom w:val="single" w:color="auto" w:sz="4" w:space="0"/>
              <w:right w:val="single" w:color="auto" w:sz="4" w:space="0"/>
            </w:tcBorders>
            <w:noWrap w:val="0"/>
            <w:vAlign w:val="center"/>
          </w:tcPr>
          <w:p w14:paraId="4C375B61">
            <w:pPr>
              <w:tabs>
                <w:tab w:val="left" w:pos="5580"/>
              </w:tabs>
              <w:jc w:val="center"/>
              <w:rPr>
                <w:b/>
                <w:color w:val="auto"/>
                <w:sz w:val="24"/>
                <w:highlight w:val="none"/>
                <w:shd w:val="clear" w:color="auto" w:fill="auto"/>
              </w:rPr>
            </w:pPr>
            <w:r>
              <w:rPr>
                <w:rFonts w:hint="eastAsia"/>
                <w:b/>
                <w:color w:val="auto"/>
                <w:sz w:val="24"/>
                <w:highlight w:val="none"/>
                <w:shd w:val="clear" w:color="auto" w:fill="auto"/>
              </w:rPr>
              <w:t>序号</w:t>
            </w:r>
          </w:p>
        </w:tc>
        <w:tc>
          <w:tcPr>
            <w:tcW w:w="3204" w:type="dxa"/>
            <w:vMerge w:val="restart"/>
            <w:tcBorders>
              <w:top w:val="single" w:color="auto" w:sz="4" w:space="0"/>
              <w:left w:val="single" w:color="auto" w:sz="4" w:space="0"/>
              <w:bottom w:val="single" w:color="auto" w:sz="4" w:space="0"/>
              <w:right w:val="single" w:color="auto" w:sz="4" w:space="0"/>
            </w:tcBorders>
            <w:noWrap w:val="0"/>
            <w:vAlign w:val="center"/>
          </w:tcPr>
          <w:p w14:paraId="053B22EC">
            <w:pPr>
              <w:tabs>
                <w:tab w:val="left" w:pos="5580"/>
              </w:tabs>
              <w:jc w:val="center"/>
              <w:rPr>
                <w:b/>
                <w:color w:val="auto"/>
                <w:sz w:val="24"/>
                <w:highlight w:val="none"/>
                <w:shd w:val="clear" w:color="auto" w:fill="auto"/>
              </w:rPr>
            </w:pPr>
            <w:r>
              <w:rPr>
                <w:rFonts w:hint="eastAsia"/>
                <w:b/>
                <w:color w:val="auto"/>
                <w:sz w:val="24"/>
                <w:highlight w:val="none"/>
                <w:shd w:val="clear" w:color="auto" w:fill="auto"/>
              </w:rPr>
              <w:t>供应商名称</w:t>
            </w:r>
          </w:p>
        </w:tc>
        <w:tc>
          <w:tcPr>
            <w:tcW w:w="4156" w:type="dxa"/>
            <w:gridSpan w:val="2"/>
            <w:tcBorders>
              <w:top w:val="single" w:color="auto" w:sz="4" w:space="0"/>
              <w:left w:val="single" w:color="auto" w:sz="4" w:space="0"/>
              <w:bottom w:val="single" w:color="auto" w:sz="4" w:space="0"/>
              <w:right w:val="single" w:color="auto" w:sz="4" w:space="0"/>
            </w:tcBorders>
            <w:noWrap w:val="0"/>
            <w:vAlign w:val="center"/>
          </w:tcPr>
          <w:p w14:paraId="7C8D60DA">
            <w:pPr>
              <w:tabs>
                <w:tab w:val="left" w:pos="5580"/>
              </w:tabs>
              <w:jc w:val="center"/>
              <w:rPr>
                <w:rFonts w:hint="eastAsia" w:eastAsia="宋体"/>
                <w:b/>
                <w:color w:val="auto"/>
                <w:sz w:val="24"/>
                <w:highlight w:val="none"/>
                <w:shd w:val="clear" w:color="auto" w:fill="auto"/>
                <w:lang w:eastAsia="zh-CN"/>
              </w:rPr>
            </w:pPr>
            <w:r>
              <w:rPr>
                <w:rFonts w:hint="eastAsia"/>
                <w:b/>
                <w:color w:val="auto"/>
                <w:sz w:val="24"/>
                <w:highlight w:val="none"/>
                <w:shd w:val="clear" w:color="auto" w:fill="auto"/>
              </w:rPr>
              <w:t>报价</w:t>
            </w:r>
            <w:r>
              <w:rPr>
                <w:rFonts w:hint="eastAsia"/>
                <w:b/>
                <w:color w:val="auto"/>
                <w:sz w:val="24"/>
                <w:highlight w:val="none"/>
                <w:shd w:val="clear" w:color="auto" w:fill="auto"/>
                <w:lang w:eastAsia="zh-CN"/>
              </w:rPr>
              <w:t>（</w:t>
            </w:r>
            <w:r>
              <w:rPr>
                <w:rFonts w:hint="eastAsia"/>
                <w:b/>
                <w:color w:val="auto"/>
                <w:sz w:val="24"/>
                <w:highlight w:val="none"/>
                <w:shd w:val="clear" w:color="auto" w:fill="auto"/>
                <w:lang w:val="en-US" w:eastAsia="zh-CN"/>
              </w:rPr>
              <w:t>人民币：元</w:t>
            </w:r>
            <w:r>
              <w:rPr>
                <w:rFonts w:hint="eastAsia"/>
                <w:b/>
                <w:color w:val="auto"/>
                <w:sz w:val="24"/>
                <w:highlight w:val="none"/>
                <w:shd w:val="clear" w:color="auto" w:fill="auto"/>
                <w:lang w:eastAsia="zh-CN"/>
              </w:rPr>
              <w:t>）</w:t>
            </w:r>
          </w:p>
        </w:tc>
      </w:tr>
      <w:tr w14:paraId="32BC3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812" w:type="dxa"/>
            <w:vMerge w:val="continue"/>
            <w:tcBorders>
              <w:top w:val="single" w:color="auto" w:sz="4" w:space="0"/>
              <w:left w:val="single" w:color="auto" w:sz="4" w:space="0"/>
              <w:bottom w:val="single" w:color="auto" w:sz="4" w:space="0"/>
              <w:right w:val="single" w:color="auto" w:sz="4" w:space="0"/>
            </w:tcBorders>
            <w:noWrap w:val="0"/>
            <w:vAlign w:val="center"/>
          </w:tcPr>
          <w:p w14:paraId="697A4D7F">
            <w:pPr>
              <w:widowControl/>
              <w:jc w:val="left"/>
              <w:rPr>
                <w:b/>
                <w:color w:val="auto"/>
                <w:sz w:val="24"/>
                <w:highlight w:val="none"/>
                <w:shd w:val="clear" w:color="auto" w:fill="auto"/>
              </w:rPr>
            </w:pPr>
          </w:p>
        </w:tc>
        <w:tc>
          <w:tcPr>
            <w:tcW w:w="3204" w:type="dxa"/>
            <w:vMerge w:val="continue"/>
            <w:tcBorders>
              <w:top w:val="single" w:color="auto" w:sz="4" w:space="0"/>
              <w:left w:val="single" w:color="auto" w:sz="4" w:space="0"/>
              <w:bottom w:val="single" w:color="auto" w:sz="4" w:space="0"/>
              <w:right w:val="single" w:color="auto" w:sz="4" w:space="0"/>
            </w:tcBorders>
            <w:noWrap w:val="0"/>
            <w:vAlign w:val="center"/>
          </w:tcPr>
          <w:p w14:paraId="35F4C52F">
            <w:pPr>
              <w:widowControl/>
              <w:jc w:val="left"/>
              <w:rPr>
                <w:b/>
                <w:color w:val="auto"/>
                <w:sz w:val="24"/>
                <w:highlight w:val="none"/>
                <w:shd w:val="clear" w:color="auto" w:fill="auto"/>
              </w:rPr>
            </w:pPr>
          </w:p>
        </w:tc>
        <w:tc>
          <w:tcPr>
            <w:tcW w:w="2025" w:type="dxa"/>
            <w:tcBorders>
              <w:top w:val="single" w:color="auto" w:sz="4" w:space="0"/>
              <w:left w:val="single" w:color="auto" w:sz="4" w:space="0"/>
              <w:bottom w:val="single" w:color="auto" w:sz="4" w:space="0"/>
              <w:right w:val="single" w:color="auto" w:sz="4" w:space="0"/>
            </w:tcBorders>
            <w:noWrap w:val="0"/>
            <w:vAlign w:val="center"/>
          </w:tcPr>
          <w:p w14:paraId="0E94EA34">
            <w:pPr>
              <w:tabs>
                <w:tab w:val="left" w:pos="5580"/>
              </w:tabs>
              <w:jc w:val="center"/>
              <w:rPr>
                <w:b/>
                <w:color w:val="auto"/>
                <w:sz w:val="24"/>
                <w:highlight w:val="none"/>
                <w:shd w:val="clear" w:color="auto" w:fill="auto"/>
              </w:rPr>
            </w:pPr>
            <w:r>
              <w:rPr>
                <w:rFonts w:hint="eastAsia"/>
                <w:b/>
                <w:color w:val="auto"/>
                <w:sz w:val="24"/>
                <w:highlight w:val="none"/>
                <w:shd w:val="clear" w:color="auto" w:fill="auto"/>
              </w:rPr>
              <w:t>大写</w:t>
            </w:r>
          </w:p>
        </w:tc>
        <w:tc>
          <w:tcPr>
            <w:tcW w:w="2131" w:type="dxa"/>
            <w:tcBorders>
              <w:top w:val="single" w:color="auto" w:sz="4" w:space="0"/>
              <w:left w:val="single" w:color="auto" w:sz="4" w:space="0"/>
              <w:bottom w:val="single" w:color="auto" w:sz="4" w:space="0"/>
              <w:right w:val="single" w:color="auto" w:sz="4" w:space="0"/>
            </w:tcBorders>
            <w:noWrap w:val="0"/>
            <w:vAlign w:val="center"/>
          </w:tcPr>
          <w:p w14:paraId="1A1D51A0">
            <w:pPr>
              <w:tabs>
                <w:tab w:val="left" w:pos="5580"/>
              </w:tabs>
              <w:jc w:val="center"/>
              <w:rPr>
                <w:b/>
                <w:color w:val="auto"/>
                <w:sz w:val="24"/>
                <w:highlight w:val="none"/>
                <w:shd w:val="clear" w:color="auto" w:fill="auto"/>
              </w:rPr>
            </w:pPr>
            <w:r>
              <w:rPr>
                <w:rFonts w:hint="eastAsia"/>
                <w:b/>
                <w:color w:val="auto"/>
                <w:sz w:val="24"/>
                <w:highlight w:val="none"/>
                <w:shd w:val="clear" w:color="auto" w:fill="auto"/>
              </w:rPr>
              <w:t>小写</w:t>
            </w:r>
          </w:p>
        </w:tc>
      </w:tr>
      <w:tr w14:paraId="09E22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7BF92D5D">
            <w:pPr>
              <w:tabs>
                <w:tab w:val="left" w:pos="5580"/>
              </w:tabs>
              <w:jc w:val="center"/>
              <w:rPr>
                <w:color w:val="auto"/>
                <w:sz w:val="24"/>
                <w:highlight w:val="none"/>
                <w:shd w:val="clear" w:color="auto" w:fill="auto"/>
              </w:rPr>
            </w:pPr>
          </w:p>
        </w:tc>
        <w:tc>
          <w:tcPr>
            <w:tcW w:w="3204" w:type="dxa"/>
            <w:tcBorders>
              <w:top w:val="single" w:color="auto" w:sz="4" w:space="0"/>
              <w:left w:val="single" w:color="auto" w:sz="4" w:space="0"/>
              <w:bottom w:val="single" w:color="auto" w:sz="4" w:space="0"/>
              <w:right w:val="single" w:color="auto" w:sz="4" w:space="0"/>
            </w:tcBorders>
            <w:noWrap w:val="0"/>
            <w:vAlign w:val="center"/>
          </w:tcPr>
          <w:p w14:paraId="0D06FE64">
            <w:pPr>
              <w:tabs>
                <w:tab w:val="left" w:pos="5580"/>
              </w:tabs>
              <w:jc w:val="center"/>
              <w:rPr>
                <w:color w:val="auto"/>
                <w:sz w:val="24"/>
                <w:highlight w:val="none"/>
                <w:shd w:val="clear" w:color="auto" w:fill="auto"/>
              </w:rPr>
            </w:pPr>
          </w:p>
        </w:tc>
        <w:tc>
          <w:tcPr>
            <w:tcW w:w="2025" w:type="dxa"/>
            <w:tcBorders>
              <w:top w:val="single" w:color="auto" w:sz="4" w:space="0"/>
              <w:left w:val="single" w:color="auto" w:sz="4" w:space="0"/>
              <w:bottom w:val="single" w:color="auto" w:sz="4" w:space="0"/>
              <w:right w:val="single" w:color="auto" w:sz="4" w:space="0"/>
            </w:tcBorders>
            <w:noWrap w:val="0"/>
            <w:vAlign w:val="center"/>
          </w:tcPr>
          <w:p w14:paraId="16936E0B">
            <w:pPr>
              <w:tabs>
                <w:tab w:val="left" w:pos="5580"/>
              </w:tabs>
              <w:jc w:val="center"/>
              <w:rPr>
                <w:color w:val="auto"/>
                <w:sz w:val="24"/>
                <w:highlight w:val="none"/>
                <w:shd w:val="clear" w:color="auto" w:fill="auto"/>
              </w:rPr>
            </w:pPr>
          </w:p>
        </w:tc>
        <w:tc>
          <w:tcPr>
            <w:tcW w:w="2131" w:type="dxa"/>
            <w:tcBorders>
              <w:top w:val="single" w:color="auto" w:sz="4" w:space="0"/>
              <w:left w:val="single" w:color="auto" w:sz="4" w:space="0"/>
              <w:bottom w:val="single" w:color="auto" w:sz="4" w:space="0"/>
              <w:right w:val="single" w:color="auto" w:sz="4" w:space="0"/>
            </w:tcBorders>
            <w:noWrap w:val="0"/>
            <w:vAlign w:val="center"/>
          </w:tcPr>
          <w:p w14:paraId="6258E37B">
            <w:pPr>
              <w:tabs>
                <w:tab w:val="left" w:pos="5580"/>
              </w:tabs>
              <w:jc w:val="center"/>
              <w:rPr>
                <w:color w:val="auto"/>
                <w:sz w:val="24"/>
                <w:highlight w:val="none"/>
                <w:shd w:val="clear" w:color="auto" w:fill="auto"/>
              </w:rPr>
            </w:pPr>
          </w:p>
        </w:tc>
      </w:tr>
    </w:tbl>
    <w:p w14:paraId="47D184B9">
      <w:pPr>
        <w:autoSpaceDE w:val="0"/>
        <w:autoSpaceDN w:val="0"/>
        <w:adjustRightInd w:val="0"/>
        <w:jc w:val="left"/>
        <w:rPr>
          <w:color w:val="auto"/>
          <w:kern w:val="0"/>
          <w:sz w:val="24"/>
          <w:highlight w:val="none"/>
          <w:shd w:val="clear" w:color="auto" w:fill="auto"/>
        </w:rPr>
      </w:pPr>
    </w:p>
    <w:p w14:paraId="1C64EAE5">
      <w:pPr>
        <w:keepNext w:val="0"/>
        <w:keepLines w:val="0"/>
        <w:pageBreakBefore w:val="0"/>
        <w:widowControl w:val="0"/>
        <w:kinsoku/>
        <w:wordWrap/>
        <w:overflowPunct/>
        <w:topLinePunct w:val="0"/>
        <w:autoSpaceDE w:val="0"/>
        <w:autoSpaceDN w:val="0"/>
        <w:bidi w:val="0"/>
        <w:adjustRightInd w:val="0"/>
        <w:spacing w:line="400" w:lineRule="exact"/>
        <w:jc w:val="left"/>
        <w:textAlignment w:val="auto"/>
        <w:rPr>
          <w:color w:val="auto"/>
          <w:sz w:val="24"/>
          <w:szCs w:val="20"/>
          <w:highlight w:val="none"/>
          <w:shd w:val="clear" w:color="auto" w:fill="auto"/>
        </w:rPr>
      </w:pPr>
      <w:r>
        <w:rPr>
          <w:color w:val="auto"/>
          <w:kern w:val="0"/>
          <w:sz w:val="24"/>
          <w:highlight w:val="none"/>
          <w:shd w:val="clear" w:color="auto" w:fill="auto"/>
        </w:rPr>
        <w:t>注：</w:t>
      </w:r>
      <w:r>
        <w:rPr>
          <w:rFonts w:hint="eastAsia"/>
          <w:color w:val="auto"/>
          <w:kern w:val="0"/>
          <w:sz w:val="24"/>
          <w:highlight w:val="none"/>
          <w:shd w:val="clear" w:color="auto" w:fill="auto"/>
          <w:lang w:val="en-US" w:eastAsia="zh-CN"/>
        </w:rPr>
        <w:t>1.</w:t>
      </w:r>
      <w:r>
        <w:rPr>
          <w:color w:val="auto"/>
          <w:sz w:val="24"/>
          <w:szCs w:val="20"/>
          <w:highlight w:val="none"/>
          <w:shd w:val="clear" w:color="auto" w:fill="auto"/>
        </w:rPr>
        <w:t>此表中的报价应和《分项报价表》中的总价相一致。</w:t>
      </w:r>
    </w:p>
    <w:p w14:paraId="6AFD25BB">
      <w:pPr>
        <w:keepNext w:val="0"/>
        <w:keepLines w:val="0"/>
        <w:pageBreakBefore w:val="0"/>
        <w:widowControl w:val="0"/>
        <w:kinsoku/>
        <w:wordWrap/>
        <w:overflowPunct/>
        <w:topLinePunct w:val="0"/>
        <w:autoSpaceDE w:val="0"/>
        <w:autoSpaceDN w:val="0"/>
        <w:bidi w:val="0"/>
        <w:adjustRightInd w:val="0"/>
        <w:snapToGrid w:val="0"/>
        <w:spacing w:line="400" w:lineRule="exact"/>
        <w:ind w:firstLine="482" w:firstLineChars="200"/>
        <w:textAlignment w:val="auto"/>
        <w:outlineLvl w:val="9"/>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en-US" w:eastAsia="zh-CN"/>
        </w:rPr>
        <w:t>2.二次报价即最终报价。</w:t>
      </w:r>
    </w:p>
    <w:p w14:paraId="7C864FB9">
      <w:pPr>
        <w:autoSpaceDE w:val="0"/>
        <w:autoSpaceDN w:val="0"/>
        <w:adjustRightInd w:val="0"/>
        <w:snapToGrid w:val="0"/>
        <w:spacing w:before="25" w:after="25" w:line="360" w:lineRule="auto"/>
        <w:ind w:firstLine="482" w:firstLineChars="200"/>
        <w:outlineLvl w:val="9"/>
        <w:rPr>
          <w:rFonts w:hint="default" w:ascii="宋体" w:hAnsi="宋体" w:eastAsia="宋体" w:cs="宋体"/>
          <w:b/>
          <w:bCs/>
          <w:color w:val="auto"/>
          <w:sz w:val="24"/>
          <w:szCs w:val="24"/>
          <w:highlight w:val="none"/>
          <w:lang w:val="en-US" w:eastAsia="zh-CN"/>
        </w:rPr>
      </w:pPr>
    </w:p>
    <w:p w14:paraId="6D2DCAB2">
      <w:pPr>
        <w:autoSpaceDE w:val="0"/>
        <w:autoSpaceDN w:val="0"/>
        <w:adjustRightInd w:val="0"/>
        <w:snapToGrid w:val="0"/>
        <w:spacing w:before="25" w:after="25" w:line="360" w:lineRule="auto"/>
        <w:rPr>
          <w:color w:val="auto"/>
          <w:sz w:val="24"/>
          <w:highlight w:val="none"/>
          <w:shd w:val="clear" w:color="auto" w:fill="auto"/>
          <w:lang w:val="zh-CN"/>
        </w:rPr>
      </w:pPr>
    </w:p>
    <w:p w14:paraId="353884A0">
      <w:pPr>
        <w:autoSpaceDE w:val="0"/>
        <w:autoSpaceDN w:val="0"/>
        <w:adjustRightInd w:val="0"/>
        <w:snapToGrid w:val="0"/>
        <w:spacing w:before="25" w:after="25" w:line="360" w:lineRule="auto"/>
        <w:rPr>
          <w:color w:val="auto"/>
          <w:sz w:val="24"/>
          <w:highlight w:val="none"/>
          <w:shd w:val="clear" w:color="auto" w:fill="auto"/>
          <w:lang w:val="zh-CN"/>
        </w:rPr>
      </w:pPr>
      <w:r>
        <w:rPr>
          <w:color w:val="auto"/>
          <w:sz w:val="24"/>
          <w:highlight w:val="none"/>
          <w:shd w:val="clear" w:color="auto" w:fill="auto"/>
          <w:lang w:val="zh-CN"/>
        </w:rPr>
        <w:t xml:space="preserve">                         </w:t>
      </w:r>
    </w:p>
    <w:p w14:paraId="1CE76F43">
      <w:pPr>
        <w:autoSpaceDE w:val="0"/>
        <w:autoSpaceDN w:val="0"/>
        <w:adjustRightInd w:val="0"/>
        <w:snapToGrid w:val="0"/>
        <w:spacing w:before="25" w:after="25" w:line="360" w:lineRule="auto"/>
        <w:rPr>
          <w:color w:val="auto"/>
          <w:sz w:val="24"/>
          <w:highlight w:val="none"/>
          <w:shd w:val="clear" w:color="auto" w:fill="auto"/>
          <w:lang w:val="zh-CN"/>
        </w:rPr>
      </w:pPr>
      <w:r>
        <w:rPr>
          <w:color w:val="auto"/>
          <w:sz w:val="24"/>
          <w:highlight w:val="none"/>
          <w:shd w:val="clear" w:color="auto" w:fill="auto"/>
        </w:rPr>
        <w:t>供应商名称（加盖公章）</w:t>
      </w:r>
      <w:r>
        <w:rPr>
          <w:color w:val="auto"/>
          <w:sz w:val="24"/>
          <w:highlight w:val="none"/>
          <w:shd w:val="clear" w:color="auto" w:fill="auto"/>
          <w:lang w:val="zh-CN"/>
        </w:rPr>
        <w:t>：____________</w:t>
      </w:r>
    </w:p>
    <w:p w14:paraId="311DAA5B">
      <w:pPr>
        <w:autoSpaceDE w:val="0"/>
        <w:autoSpaceDN w:val="0"/>
        <w:adjustRightInd w:val="0"/>
        <w:snapToGrid w:val="0"/>
        <w:spacing w:before="25" w:after="25" w:line="360" w:lineRule="auto"/>
        <w:rPr>
          <w:color w:val="auto"/>
          <w:sz w:val="24"/>
          <w:highlight w:val="none"/>
          <w:shd w:val="clear" w:color="auto" w:fill="auto"/>
          <w:lang w:val="zh-CN"/>
        </w:rPr>
      </w:pPr>
      <w:r>
        <w:rPr>
          <w:color w:val="auto"/>
          <w:sz w:val="24"/>
          <w:szCs w:val="20"/>
          <w:highlight w:val="none"/>
          <w:shd w:val="clear" w:color="auto" w:fill="auto"/>
        </w:rPr>
        <w:t xml:space="preserve">日期：_____年______月______日   </w:t>
      </w:r>
    </w:p>
    <w:p w14:paraId="0AE6ED07">
      <w:pPr>
        <w:widowControl/>
        <w:jc w:val="left"/>
        <w:rPr>
          <w:color w:val="auto"/>
          <w:sz w:val="24"/>
          <w:szCs w:val="20"/>
          <w:highlight w:val="none"/>
          <w:shd w:val="clear" w:color="auto" w:fill="auto"/>
        </w:rPr>
      </w:pPr>
      <w:bookmarkStart w:id="669" w:name="_Toc226309803"/>
      <w:bookmarkStart w:id="670" w:name="_Toc264969249"/>
      <w:bookmarkStart w:id="671" w:name="_Toc265228397"/>
      <w:bookmarkStart w:id="672" w:name="_Toc150774763"/>
      <w:bookmarkStart w:id="673" w:name="_Toc226337255"/>
      <w:bookmarkStart w:id="674" w:name="_Toc305158827"/>
      <w:bookmarkStart w:id="675" w:name="_Toc226965749"/>
      <w:bookmarkStart w:id="676" w:name="_Toc195842924"/>
      <w:bookmarkStart w:id="677" w:name="_Toc127151558"/>
      <w:bookmarkStart w:id="678" w:name="_Toc226965832"/>
      <w:bookmarkStart w:id="679" w:name="_Toc305158901"/>
      <w:bookmarkStart w:id="680" w:name="_Toc150480796"/>
      <w:bookmarkStart w:id="681" w:name="_Toc142311060"/>
      <w:r>
        <w:rPr>
          <w:color w:val="auto"/>
          <w:sz w:val="24"/>
          <w:szCs w:val="20"/>
          <w:highlight w:val="none"/>
          <w:shd w:val="clear" w:color="auto" w:fill="auto"/>
        </w:rPr>
        <w:br w:type="page"/>
      </w:r>
      <w:r>
        <w:rPr>
          <w:rFonts w:hint="eastAsia"/>
          <w:color w:val="auto"/>
          <w:sz w:val="24"/>
          <w:szCs w:val="20"/>
          <w:highlight w:val="none"/>
          <w:shd w:val="clear" w:color="auto" w:fill="auto"/>
          <w:lang w:val="en-US" w:eastAsia="zh-CN"/>
        </w:rPr>
        <w:t>8</w:t>
      </w:r>
      <w:r>
        <w:rPr>
          <w:color w:val="auto"/>
          <w:sz w:val="24"/>
          <w:szCs w:val="20"/>
          <w:highlight w:val="none"/>
          <w:shd w:val="clear" w:color="auto" w:fill="auto"/>
        </w:rPr>
        <w:t xml:space="preserve"> 分项报价表</w:t>
      </w:r>
      <w:bookmarkEnd w:id="669"/>
      <w:bookmarkEnd w:id="670"/>
      <w:bookmarkEnd w:id="671"/>
      <w:bookmarkEnd w:id="672"/>
      <w:bookmarkEnd w:id="673"/>
      <w:bookmarkEnd w:id="674"/>
      <w:bookmarkEnd w:id="675"/>
      <w:bookmarkEnd w:id="676"/>
      <w:bookmarkEnd w:id="677"/>
      <w:bookmarkEnd w:id="678"/>
      <w:bookmarkEnd w:id="679"/>
      <w:bookmarkEnd w:id="680"/>
      <w:bookmarkEnd w:id="681"/>
    </w:p>
    <w:p w14:paraId="1B7AD6F0">
      <w:pPr>
        <w:spacing w:line="360" w:lineRule="exact"/>
        <w:jc w:val="center"/>
        <w:rPr>
          <w:color w:val="auto"/>
          <w:sz w:val="36"/>
          <w:szCs w:val="36"/>
          <w:highlight w:val="none"/>
          <w:shd w:val="clear" w:color="auto" w:fill="auto"/>
        </w:rPr>
      </w:pPr>
    </w:p>
    <w:p w14:paraId="524048C0">
      <w:pPr>
        <w:jc w:val="center"/>
        <w:rPr>
          <w:b/>
          <w:color w:val="auto"/>
          <w:sz w:val="36"/>
          <w:szCs w:val="36"/>
          <w:highlight w:val="none"/>
          <w:shd w:val="clear" w:color="auto" w:fill="auto"/>
        </w:rPr>
      </w:pPr>
      <w:r>
        <w:rPr>
          <w:rFonts w:hint="eastAsia"/>
          <w:b/>
          <w:color w:val="auto"/>
          <w:sz w:val="36"/>
          <w:szCs w:val="36"/>
          <w:highlight w:val="none"/>
          <w:shd w:val="clear" w:color="auto" w:fill="auto"/>
        </w:rPr>
        <w:t>分项报价表</w:t>
      </w:r>
    </w:p>
    <w:p w14:paraId="5357C9A0">
      <w:pPr>
        <w:spacing w:line="260" w:lineRule="exact"/>
        <w:jc w:val="center"/>
        <w:rPr>
          <w:color w:val="auto"/>
          <w:sz w:val="36"/>
          <w:szCs w:val="36"/>
          <w:highlight w:val="none"/>
          <w:shd w:val="clear" w:color="auto" w:fill="auto"/>
        </w:rPr>
      </w:pPr>
    </w:p>
    <w:p w14:paraId="0FD0EC0D">
      <w:pPr>
        <w:tabs>
          <w:tab w:val="left" w:pos="1800"/>
          <w:tab w:val="left" w:pos="5580"/>
        </w:tabs>
        <w:ind w:firstLine="480" w:firstLineChars="200"/>
        <w:jc w:val="left"/>
        <w:rPr>
          <w:color w:val="auto"/>
          <w:sz w:val="24"/>
          <w:highlight w:val="none"/>
          <w:shd w:val="clear" w:color="auto" w:fill="auto"/>
        </w:rPr>
      </w:pPr>
    </w:p>
    <w:p w14:paraId="6576C1C9">
      <w:pPr>
        <w:jc w:val="center"/>
        <w:outlineLvl w:val="1"/>
        <w:rPr>
          <w:rFonts w:ascii="宋体" w:hAnsi="宋体" w:cs="宋体"/>
          <w:b/>
          <w:color w:val="auto"/>
          <w:sz w:val="28"/>
          <w:szCs w:val="28"/>
          <w:highlight w:val="none"/>
          <w:shd w:val="clear" w:color="auto" w:fill="auto"/>
        </w:rPr>
      </w:pPr>
      <w:bookmarkStart w:id="682" w:name="_Toc226965835"/>
      <w:bookmarkStart w:id="683" w:name="_Toc305158904"/>
      <w:bookmarkStart w:id="684" w:name="_Toc265228400"/>
      <w:bookmarkStart w:id="685" w:name="_Toc150480798"/>
      <w:bookmarkStart w:id="686" w:name="_Toc264969252"/>
      <w:bookmarkStart w:id="687" w:name="_Toc305158830"/>
      <w:bookmarkStart w:id="688" w:name="_Toc226337258"/>
      <w:bookmarkStart w:id="689" w:name="_Toc127151562"/>
      <w:bookmarkStart w:id="690" w:name="_Toc150774765"/>
      <w:bookmarkStart w:id="691" w:name="_Toc226965752"/>
      <w:bookmarkStart w:id="692" w:name="_Toc195842927"/>
      <w:bookmarkStart w:id="693" w:name="_Toc226309806"/>
      <w:bookmarkStart w:id="694" w:name="_Toc142311062"/>
      <w:bookmarkStart w:id="695" w:name="_Toc150480797"/>
      <w:bookmarkStart w:id="696" w:name="_Toc305158829"/>
      <w:bookmarkStart w:id="697" w:name="_Toc226309805"/>
      <w:bookmarkStart w:id="698" w:name="_Toc127151561"/>
      <w:bookmarkStart w:id="699" w:name="_Toc265228399"/>
      <w:bookmarkStart w:id="700" w:name="_Toc195842926"/>
      <w:bookmarkStart w:id="701" w:name="_Toc150774764"/>
      <w:bookmarkStart w:id="702" w:name="_Toc142311061"/>
      <w:bookmarkStart w:id="703" w:name="_Toc264969251"/>
      <w:bookmarkStart w:id="704" w:name="_Toc226337257"/>
      <w:bookmarkStart w:id="705" w:name="_Toc226965751"/>
      <w:bookmarkStart w:id="706" w:name="_Toc305158903"/>
      <w:bookmarkStart w:id="707" w:name="_Toc226965834"/>
      <w:r>
        <w:rPr>
          <w:rFonts w:hint="eastAsia" w:ascii="宋体" w:hAnsi="宋体" w:cs="宋体"/>
          <w:b/>
          <w:color w:val="auto"/>
          <w:sz w:val="28"/>
          <w:szCs w:val="28"/>
          <w:highlight w:val="none"/>
          <w:shd w:val="clear" w:color="auto" w:fill="auto"/>
        </w:rPr>
        <w:t>详见工程量清单</w:t>
      </w:r>
    </w:p>
    <w:p w14:paraId="01C5359B">
      <w:pPr>
        <w:spacing w:line="360" w:lineRule="exact"/>
        <w:outlineLvl w:val="1"/>
        <w:rPr>
          <w:rFonts w:ascii="宋体" w:hAnsi="宋体" w:cs="宋体"/>
          <w:b/>
          <w:color w:val="auto"/>
          <w:sz w:val="28"/>
          <w:szCs w:val="28"/>
          <w:highlight w:val="none"/>
          <w:shd w:val="clear" w:color="auto" w:fill="auto"/>
        </w:rPr>
      </w:pPr>
    </w:p>
    <w:p w14:paraId="3D705475">
      <w:pPr>
        <w:tabs>
          <w:tab w:val="left" w:pos="1800"/>
          <w:tab w:val="left" w:pos="5580"/>
        </w:tabs>
        <w:ind w:firstLine="480" w:firstLineChars="200"/>
        <w:jc w:val="left"/>
        <w:rPr>
          <w:color w:val="auto"/>
          <w:sz w:val="24"/>
          <w:highlight w:val="none"/>
          <w:shd w:val="clear" w:color="auto" w:fill="auto"/>
        </w:rPr>
      </w:pPr>
    </w:p>
    <w:p w14:paraId="557D70B2">
      <w:pPr>
        <w:autoSpaceDE w:val="0"/>
        <w:autoSpaceDN w:val="0"/>
        <w:adjustRightInd w:val="0"/>
        <w:snapToGrid w:val="0"/>
        <w:spacing w:before="25" w:after="25" w:line="360" w:lineRule="auto"/>
        <w:rPr>
          <w:color w:val="auto"/>
          <w:sz w:val="24"/>
          <w:highlight w:val="none"/>
          <w:shd w:val="clear" w:color="auto" w:fill="auto"/>
          <w:lang w:val="zh-CN"/>
        </w:rPr>
      </w:pPr>
      <w:r>
        <w:rPr>
          <w:color w:val="auto"/>
          <w:sz w:val="24"/>
          <w:highlight w:val="none"/>
          <w:shd w:val="clear" w:color="auto" w:fill="auto"/>
          <w:lang w:val="zh-CN"/>
        </w:rPr>
        <w:t xml:space="preserve">                  </w:t>
      </w:r>
    </w:p>
    <w:p w14:paraId="2E64B522">
      <w:pPr>
        <w:autoSpaceDE w:val="0"/>
        <w:autoSpaceDN w:val="0"/>
        <w:adjustRightInd w:val="0"/>
        <w:snapToGrid w:val="0"/>
        <w:spacing w:before="25" w:after="25" w:line="360" w:lineRule="auto"/>
        <w:rPr>
          <w:color w:val="auto"/>
          <w:sz w:val="24"/>
          <w:highlight w:val="none"/>
          <w:shd w:val="clear" w:color="auto" w:fill="auto"/>
          <w:lang w:val="zh-CN"/>
        </w:rPr>
      </w:pPr>
      <w:r>
        <w:rPr>
          <w:color w:val="auto"/>
          <w:sz w:val="24"/>
          <w:highlight w:val="none"/>
          <w:shd w:val="clear" w:color="auto" w:fill="auto"/>
        </w:rPr>
        <w:t>供应商名称（加盖公章）</w:t>
      </w:r>
      <w:r>
        <w:rPr>
          <w:color w:val="auto"/>
          <w:sz w:val="24"/>
          <w:highlight w:val="none"/>
          <w:shd w:val="clear" w:color="auto" w:fill="auto"/>
          <w:lang w:val="zh-CN"/>
        </w:rPr>
        <w:t>：____________</w:t>
      </w:r>
    </w:p>
    <w:p w14:paraId="16A4F67F">
      <w:pPr>
        <w:autoSpaceDE w:val="0"/>
        <w:autoSpaceDN w:val="0"/>
        <w:adjustRightInd w:val="0"/>
        <w:snapToGrid w:val="0"/>
        <w:spacing w:before="25" w:after="25" w:line="360" w:lineRule="auto"/>
        <w:rPr>
          <w:color w:val="auto"/>
          <w:sz w:val="24"/>
          <w:highlight w:val="none"/>
          <w:shd w:val="clear" w:color="auto" w:fill="auto"/>
          <w:lang w:val="zh-CN"/>
        </w:rPr>
      </w:pPr>
      <w:r>
        <w:rPr>
          <w:color w:val="auto"/>
          <w:sz w:val="24"/>
          <w:szCs w:val="20"/>
          <w:highlight w:val="none"/>
          <w:shd w:val="clear" w:color="auto" w:fill="auto"/>
        </w:rPr>
        <w:t xml:space="preserve">日期：_____年______月______日   </w:t>
      </w:r>
    </w:p>
    <w:p w14:paraId="38110F34">
      <w:pPr>
        <w:spacing w:line="360" w:lineRule="auto"/>
        <w:outlineLvl w:val="2"/>
        <w:rPr>
          <w:color w:val="auto"/>
          <w:sz w:val="24"/>
          <w:szCs w:val="20"/>
          <w:highlight w:val="none"/>
          <w:shd w:val="clear" w:color="auto" w:fill="auto"/>
        </w:rPr>
      </w:pPr>
      <w:r>
        <w:rPr>
          <w:color w:val="auto"/>
          <w:sz w:val="24"/>
          <w:szCs w:val="20"/>
          <w:highlight w:val="none"/>
          <w:shd w:val="clear" w:color="auto" w:fill="auto"/>
        </w:rPr>
        <w:br w:type="page"/>
      </w:r>
      <w:r>
        <w:rPr>
          <w:rFonts w:hint="eastAsia"/>
          <w:color w:val="auto"/>
          <w:sz w:val="24"/>
          <w:szCs w:val="20"/>
          <w:highlight w:val="none"/>
          <w:shd w:val="clear" w:color="auto" w:fill="auto"/>
          <w:lang w:val="en-US" w:eastAsia="zh-CN"/>
        </w:rPr>
        <w:t>9</w:t>
      </w:r>
      <w:r>
        <w:rPr>
          <w:color w:val="auto"/>
          <w:sz w:val="24"/>
          <w:szCs w:val="20"/>
          <w:highlight w:val="none"/>
          <w:shd w:val="clear" w:color="auto" w:fill="auto"/>
        </w:rPr>
        <w:t xml:space="preserve">  合同条款偏离表</w:t>
      </w:r>
      <w:bookmarkEnd w:id="682"/>
      <w:bookmarkEnd w:id="683"/>
      <w:bookmarkEnd w:id="684"/>
      <w:bookmarkEnd w:id="685"/>
      <w:bookmarkEnd w:id="686"/>
      <w:bookmarkEnd w:id="687"/>
      <w:bookmarkEnd w:id="688"/>
      <w:bookmarkEnd w:id="689"/>
      <w:bookmarkEnd w:id="690"/>
      <w:bookmarkEnd w:id="691"/>
      <w:bookmarkEnd w:id="692"/>
      <w:bookmarkEnd w:id="693"/>
      <w:bookmarkEnd w:id="694"/>
    </w:p>
    <w:p w14:paraId="0A73AC6A">
      <w:pPr>
        <w:spacing w:line="360" w:lineRule="auto"/>
        <w:rPr>
          <w:color w:val="auto"/>
          <w:sz w:val="24"/>
          <w:szCs w:val="20"/>
          <w:highlight w:val="none"/>
          <w:shd w:val="clear" w:color="auto" w:fill="auto"/>
        </w:rPr>
      </w:pPr>
    </w:p>
    <w:p w14:paraId="6D85DB9A">
      <w:pPr>
        <w:jc w:val="center"/>
        <w:rPr>
          <w:b/>
          <w:color w:val="auto"/>
          <w:sz w:val="36"/>
          <w:szCs w:val="36"/>
          <w:highlight w:val="none"/>
          <w:shd w:val="clear" w:color="auto" w:fill="auto"/>
        </w:rPr>
      </w:pPr>
      <w:r>
        <w:rPr>
          <w:rFonts w:hint="eastAsia"/>
          <w:b/>
          <w:color w:val="auto"/>
          <w:sz w:val="36"/>
          <w:szCs w:val="36"/>
          <w:highlight w:val="none"/>
          <w:shd w:val="clear" w:color="auto" w:fill="auto"/>
        </w:rPr>
        <w:t>合同条款偏离表</w:t>
      </w:r>
    </w:p>
    <w:p w14:paraId="62935705">
      <w:pPr>
        <w:jc w:val="center"/>
        <w:rPr>
          <w:color w:val="auto"/>
          <w:sz w:val="36"/>
          <w:szCs w:val="36"/>
          <w:highlight w:val="none"/>
          <w:shd w:val="clear" w:color="auto" w:fill="auto"/>
        </w:rPr>
      </w:pPr>
    </w:p>
    <w:p w14:paraId="6D0C7F3B">
      <w:pPr>
        <w:spacing w:line="360" w:lineRule="auto"/>
        <w:rPr>
          <w:color w:val="auto"/>
          <w:sz w:val="24"/>
          <w:szCs w:val="20"/>
          <w:highlight w:val="none"/>
          <w:shd w:val="clear" w:color="auto" w:fill="auto"/>
        </w:rPr>
      </w:pPr>
    </w:p>
    <w:p w14:paraId="0C1DAFE2">
      <w:pPr>
        <w:tabs>
          <w:tab w:val="left" w:pos="1800"/>
          <w:tab w:val="left" w:pos="5580"/>
        </w:tabs>
        <w:spacing w:line="360" w:lineRule="auto"/>
        <w:ind w:firstLine="360" w:firstLineChars="150"/>
        <w:jc w:val="left"/>
        <w:rPr>
          <w:color w:val="auto"/>
          <w:sz w:val="24"/>
          <w:highlight w:val="none"/>
          <w:shd w:val="clear" w:color="auto" w:fill="auto"/>
        </w:rPr>
      </w:pPr>
      <w:r>
        <w:rPr>
          <w:color w:val="auto"/>
          <w:sz w:val="24"/>
          <w:highlight w:val="none"/>
          <w:shd w:val="clear" w:color="auto" w:fill="auto"/>
        </w:rPr>
        <w:t>项目编号：_______________     项目名称：_____________________</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290"/>
        <w:gridCol w:w="1980"/>
        <w:gridCol w:w="1981"/>
        <w:gridCol w:w="2427"/>
        <w:gridCol w:w="782"/>
      </w:tblGrid>
      <w:tr w14:paraId="14E84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54D89493">
            <w:pPr>
              <w:adjustRightInd w:val="0"/>
              <w:snapToGrid w:val="0"/>
              <w:jc w:val="left"/>
              <w:rPr>
                <w:b/>
                <w:color w:val="auto"/>
                <w:sz w:val="24"/>
                <w:highlight w:val="none"/>
                <w:shd w:val="clear" w:color="auto" w:fill="auto"/>
              </w:rPr>
            </w:pPr>
            <w:r>
              <w:rPr>
                <w:rFonts w:hint="eastAsia"/>
                <w:b/>
                <w:color w:val="auto"/>
                <w:sz w:val="24"/>
                <w:highlight w:val="none"/>
                <w:shd w:val="clear" w:color="auto" w:fill="auto"/>
              </w:rPr>
              <w:t>对本项目合同条款的偏离情况（请进行勾选）：</w:t>
            </w:r>
          </w:p>
          <w:p w14:paraId="745287B8">
            <w:pPr>
              <w:adjustRightInd w:val="0"/>
              <w:snapToGrid w:val="0"/>
              <w:jc w:val="left"/>
              <w:rPr>
                <w:b/>
                <w:color w:val="auto"/>
                <w:sz w:val="24"/>
                <w:highlight w:val="none"/>
                <w:shd w:val="clear" w:color="auto" w:fill="auto"/>
              </w:rPr>
            </w:pPr>
            <w:r>
              <w:rPr>
                <w:b/>
                <w:color w:val="auto"/>
                <w:sz w:val="24"/>
                <w:highlight w:val="none"/>
                <w:shd w:val="clear" w:color="auto" w:fill="auto"/>
              </w:rPr>
              <w:t>□无偏离</w:t>
            </w:r>
            <w:r>
              <w:rPr>
                <w:color w:val="auto"/>
                <w:sz w:val="24"/>
                <w:highlight w:val="none"/>
                <w:shd w:val="clear" w:color="auto" w:fill="auto"/>
              </w:rPr>
              <w:t>（</w:t>
            </w:r>
            <w:r>
              <w:rPr>
                <w:color w:val="auto"/>
                <w:sz w:val="24"/>
                <w:szCs w:val="21"/>
                <w:highlight w:val="none"/>
                <w:shd w:val="clear" w:color="auto" w:fill="auto"/>
              </w:rPr>
              <w:t>如无偏离，仅勾选无偏离即可</w:t>
            </w:r>
            <w:r>
              <w:rPr>
                <w:color w:val="auto"/>
                <w:sz w:val="24"/>
                <w:highlight w:val="none"/>
                <w:shd w:val="clear" w:color="auto" w:fill="auto"/>
              </w:rPr>
              <w:t>）</w:t>
            </w:r>
          </w:p>
          <w:p w14:paraId="23EFC2DB">
            <w:pPr>
              <w:adjustRightInd w:val="0"/>
              <w:snapToGrid w:val="0"/>
              <w:jc w:val="left"/>
              <w:rPr>
                <w:color w:val="auto"/>
                <w:sz w:val="24"/>
                <w:highlight w:val="none"/>
                <w:shd w:val="clear" w:color="auto" w:fill="auto"/>
              </w:rPr>
            </w:pPr>
            <w:r>
              <w:rPr>
                <w:b/>
                <w:color w:val="auto"/>
                <w:sz w:val="24"/>
                <w:highlight w:val="none"/>
                <w:shd w:val="clear" w:color="auto" w:fill="auto"/>
              </w:rPr>
              <w:t>□有偏离</w:t>
            </w:r>
            <w:r>
              <w:rPr>
                <w:color w:val="auto"/>
                <w:sz w:val="24"/>
                <w:highlight w:val="none"/>
                <w:shd w:val="clear" w:color="auto" w:fill="auto"/>
              </w:rPr>
              <w:t>（</w:t>
            </w:r>
            <w:r>
              <w:rPr>
                <w:color w:val="auto"/>
                <w:sz w:val="24"/>
                <w:szCs w:val="21"/>
                <w:highlight w:val="none"/>
                <w:shd w:val="clear" w:color="auto" w:fill="auto"/>
              </w:rPr>
              <w:t>如有负偏离，</w:t>
            </w:r>
            <w:r>
              <w:rPr>
                <w:color w:val="auto"/>
                <w:sz w:val="24"/>
                <w:highlight w:val="none"/>
                <w:shd w:val="clear" w:color="auto" w:fill="auto"/>
              </w:rPr>
              <w:t>则须在本表中对负偏离项逐一列明）</w:t>
            </w:r>
          </w:p>
        </w:tc>
      </w:tr>
      <w:tr w14:paraId="51E61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7CF3BBD9">
            <w:pPr>
              <w:adjustRightInd w:val="0"/>
              <w:snapToGrid w:val="0"/>
              <w:jc w:val="center"/>
              <w:rPr>
                <w:color w:val="auto"/>
                <w:sz w:val="24"/>
                <w:highlight w:val="none"/>
                <w:shd w:val="clear" w:color="auto" w:fill="auto"/>
              </w:rPr>
            </w:pPr>
            <w:r>
              <w:rPr>
                <w:color w:val="auto"/>
                <w:sz w:val="24"/>
                <w:highlight w:val="none"/>
                <w:shd w:val="clear" w:color="auto" w:fill="auto"/>
              </w:rPr>
              <w:t>序号</w:t>
            </w:r>
          </w:p>
        </w:tc>
        <w:tc>
          <w:tcPr>
            <w:tcW w:w="1290" w:type="dxa"/>
            <w:noWrap w:val="0"/>
            <w:vAlign w:val="center"/>
          </w:tcPr>
          <w:p w14:paraId="0A6CEB09">
            <w:pPr>
              <w:adjustRightInd w:val="0"/>
              <w:snapToGrid w:val="0"/>
              <w:jc w:val="center"/>
              <w:rPr>
                <w:color w:val="auto"/>
                <w:sz w:val="24"/>
                <w:highlight w:val="none"/>
                <w:shd w:val="clear" w:color="auto" w:fill="auto"/>
              </w:rPr>
            </w:pPr>
            <w:r>
              <w:rPr>
                <w:color w:val="auto"/>
                <w:sz w:val="24"/>
                <w:szCs w:val="21"/>
                <w:highlight w:val="none"/>
                <w:shd w:val="clear" w:color="auto" w:fill="auto"/>
              </w:rPr>
              <w:t>磋商文件</w:t>
            </w:r>
            <w:r>
              <w:rPr>
                <w:color w:val="auto"/>
                <w:sz w:val="24"/>
                <w:highlight w:val="none"/>
                <w:shd w:val="clear" w:color="auto" w:fill="auto"/>
              </w:rPr>
              <w:t>条目号（页码）</w:t>
            </w:r>
          </w:p>
        </w:tc>
        <w:tc>
          <w:tcPr>
            <w:tcW w:w="1980" w:type="dxa"/>
            <w:noWrap w:val="0"/>
            <w:vAlign w:val="center"/>
          </w:tcPr>
          <w:p w14:paraId="12E3763D">
            <w:pPr>
              <w:adjustRightInd w:val="0"/>
              <w:snapToGrid w:val="0"/>
              <w:jc w:val="center"/>
              <w:rPr>
                <w:color w:val="auto"/>
                <w:sz w:val="24"/>
                <w:highlight w:val="none"/>
                <w:shd w:val="clear" w:color="auto" w:fill="auto"/>
              </w:rPr>
            </w:pPr>
            <w:r>
              <w:rPr>
                <w:color w:val="auto"/>
                <w:sz w:val="24"/>
                <w:szCs w:val="21"/>
                <w:highlight w:val="none"/>
                <w:shd w:val="clear" w:color="auto" w:fill="auto"/>
              </w:rPr>
              <w:t>磋商文件</w:t>
            </w:r>
            <w:r>
              <w:rPr>
                <w:color w:val="auto"/>
                <w:sz w:val="24"/>
                <w:highlight w:val="none"/>
                <w:shd w:val="clear" w:color="auto" w:fill="auto"/>
              </w:rPr>
              <w:t>要求</w:t>
            </w:r>
          </w:p>
        </w:tc>
        <w:tc>
          <w:tcPr>
            <w:tcW w:w="1981" w:type="dxa"/>
            <w:noWrap w:val="0"/>
            <w:vAlign w:val="center"/>
          </w:tcPr>
          <w:p w14:paraId="17BD642F">
            <w:pPr>
              <w:adjustRightInd w:val="0"/>
              <w:snapToGrid w:val="0"/>
              <w:jc w:val="center"/>
              <w:rPr>
                <w:color w:val="auto"/>
                <w:sz w:val="24"/>
                <w:highlight w:val="none"/>
                <w:shd w:val="clear" w:color="auto" w:fill="auto"/>
              </w:rPr>
            </w:pPr>
            <w:r>
              <w:rPr>
                <w:color w:val="auto"/>
                <w:sz w:val="24"/>
                <w:highlight w:val="none"/>
                <w:shd w:val="clear" w:color="auto" w:fill="auto"/>
              </w:rPr>
              <w:t>响应文件内容</w:t>
            </w:r>
          </w:p>
        </w:tc>
        <w:tc>
          <w:tcPr>
            <w:tcW w:w="2427" w:type="dxa"/>
            <w:noWrap w:val="0"/>
            <w:vAlign w:val="center"/>
          </w:tcPr>
          <w:p w14:paraId="20788493">
            <w:pPr>
              <w:adjustRightInd w:val="0"/>
              <w:snapToGrid w:val="0"/>
              <w:jc w:val="center"/>
              <w:rPr>
                <w:color w:val="auto"/>
                <w:sz w:val="24"/>
                <w:highlight w:val="none"/>
                <w:shd w:val="clear" w:color="auto" w:fill="auto"/>
              </w:rPr>
            </w:pPr>
            <w:r>
              <w:rPr>
                <w:color w:val="auto"/>
                <w:sz w:val="24"/>
                <w:highlight w:val="none"/>
                <w:shd w:val="clear" w:color="auto" w:fill="auto"/>
              </w:rPr>
              <w:t>偏离情况</w:t>
            </w:r>
          </w:p>
          <w:p w14:paraId="29D05C8D">
            <w:pPr>
              <w:adjustRightInd w:val="0"/>
              <w:snapToGrid w:val="0"/>
              <w:jc w:val="center"/>
              <w:rPr>
                <w:color w:val="auto"/>
                <w:sz w:val="24"/>
                <w:highlight w:val="none"/>
                <w:shd w:val="clear" w:color="auto" w:fill="auto"/>
              </w:rPr>
            </w:pPr>
            <w:r>
              <w:rPr>
                <w:color w:val="auto"/>
                <w:sz w:val="24"/>
                <w:highlight w:val="none"/>
                <w:shd w:val="clear" w:color="auto" w:fill="auto"/>
              </w:rPr>
              <w:t>（据实填写）</w:t>
            </w:r>
          </w:p>
        </w:tc>
        <w:tc>
          <w:tcPr>
            <w:tcW w:w="782" w:type="dxa"/>
            <w:noWrap w:val="0"/>
            <w:vAlign w:val="center"/>
          </w:tcPr>
          <w:p w14:paraId="49AA8280">
            <w:pPr>
              <w:adjustRightInd w:val="0"/>
              <w:snapToGrid w:val="0"/>
              <w:jc w:val="center"/>
              <w:rPr>
                <w:color w:val="auto"/>
                <w:sz w:val="24"/>
                <w:highlight w:val="none"/>
                <w:shd w:val="clear" w:color="auto" w:fill="auto"/>
              </w:rPr>
            </w:pPr>
            <w:r>
              <w:rPr>
                <w:color w:val="auto"/>
                <w:sz w:val="24"/>
                <w:highlight w:val="none"/>
                <w:shd w:val="clear" w:color="auto" w:fill="auto"/>
              </w:rPr>
              <w:t>说明</w:t>
            </w:r>
          </w:p>
        </w:tc>
      </w:tr>
      <w:tr w14:paraId="0952C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136B9990">
            <w:pPr>
              <w:adjustRightInd w:val="0"/>
              <w:snapToGrid w:val="0"/>
              <w:jc w:val="center"/>
              <w:rPr>
                <w:color w:val="auto"/>
                <w:sz w:val="24"/>
                <w:highlight w:val="none"/>
                <w:shd w:val="clear" w:color="auto" w:fill="auto"/>
              </w:rPr>
            </w:pPr>
          </w:p>
        </w:tc>
        <w:tc>
          <w:tcPr>
            <w:tcW w:w="1290" w:type="dxa"/>
            <w:noWrap w:val="0"/>
            <w:vAlign w:val="center"/>
          </w:tcPr>
          <w:p w14:paraId="25B82FC2">
            <w:pPr>
              <w:adjustRightInd w:val="0"/>
              <w:snapToGrid w:val="0"/>
              <w:jc w:val="center"/>
              <w:rPr>
                <w:color w:val="auto"/>
                <w:sz w:val="24"/>
                <w:highlight w:val="none"/>
                <w:shd w:val="clear" w:color="auto" w:fill="auto"/>
              </w:rPr>
            </w:pPr>
          </w:p>
        </w:tc>
        <w:tc>
          <w:tcPr>
            <w:tcW w:w="1980" w:type="dxa"/>
            <w:noWrap w:val="0"/>
            <w:vAlign w:val="center"/>
          </w:tcPr>
          <w:p w14:paraId="48A3F3C8">
            <w:pPr>
              <w:adjustRightInd w:val="0"/>
              <w:snapToGrid w:val="0"/>
              <w:jc w:val="center"/>
              <w:rPr>
                <w:color w:val="auto"/>
                <w:sz w:val="24"/>
                <w:highlight w:val="none"/>
                <w:shd w:val="clear" w:color="auto" w:fill="auto"/>
              </w:rPr>
            </w:pPr>
          </w:p>
        </w:tc>
        <w:tc>
          <w:tcPr>
            <w:tcW w:w="1981" w:type="dxa"/>
            <w:noWrap w:val="0"/>
            <w:vAlign w:val="center"/>
          </w:tcPr>
          <w:p w14:paraId="28C751AB">
            <w:pPr>
              <w:adjustRightInd w:val="0"/>
              <w:snapToGrid w:val="0"/>
              <w:jc w:val="center"/>
              <w:rPr>
                <w:color w:val="auto"/>
                <w:sz w:val="24"/>
                <w:highlight w:val="none"/>
                <w:shd w:val="clear" w:color="auto" w:fill="auto"/>
              </w:rPr>
            </w:pPr>
          </w:p>
        </w:tc>
        <w:tc>
          <w:tcPr>
            <w:tcW w:w="2427" w:type="dxa"/>
            <w:noWrap w:val="0"/>
            <w:vAlign w:val="center"/>
          </w:tcPr>
          <w:p w14:paraId="2F1FB3DB">
            <w:pPr>
              <w:adjustRightInd w:val="0"/>
              <w:snapToGrid w:val="0"/>
              <w:jc w:val="center"/>
              <w:rPr>
                <w:color w:val="auto"/>
                <w:sz w:val="24"/>
                <w:highlight w:val="none"/>
                <w:shd w:val="clear" w:color="auto" w:fill="auto"/>
              </w:rPr>
            </w:pPr>
          </w:p>
        </w:tc>
        <w:tc>
          <w:tcPr>
            <w:tcW w:w="782" w:type="dxa"/>
            <w:noWrap w:val="0"/>
            <w:vAlign w:val="center"/>
          </w:tcPr>
          <w:p w14:paraId="119D5B39">
            <w:pPr>
              <w:adjustRightInd w:val="0"/>
              <w:snapToGrid w:val="0"/>
              <w:jc w:val="center"/>
              <w:rPr>
                <w:color w:val="auto"/>
                <w:sz w:val="24"/>
                <w:highlight w:val="none"/>
                <w:shd w:val="clear" w:color="auto" w:fill="auto"/>
              </w:rPr>
            </w:pPr>
          </w:p>
        </w:tc>
      </w:tr>
      <w:tr w14:paraId="332C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6F77F430">
            <w:pPr>
              <w:adjustRightInd w:val="0"/>
              <w:snapToGrid w:val="0"/>
              <w:jc w:val="center"/>
              <w:rPr>
                <w:color w:val="auto"/>
                <w:sz w:val="24"/>
                <w:highlight w:val="none"/>
                <w:shd w:val="clear" w:color="auto" w:fill="auto"/>
              </w:rPr>
            </w:pPr>
          </w:p>
        </w:tc>
        <w:tc>
          <w:tcPr>
            <w:tcW w:w="1290" w:type="dxa"/>
            <w:noWrap w:val="0"/>
            <w:vAlign w:val="center"/>
          </w:tcPr>
          <w:p w14:paraId="5577F5D2">
            <w:pPr>
              <w:adjustRightInd w:val="0"/>
              <w:snapToGrid w:val="0"/>
              <w:jc w:val="center"/>
              <w:rPr>
                <w:color w:val="auto"/>
                <w:sz w:val="24"/>
                <w:highlight w:val="none"/>
                <w:shd w:val="clear" w:color="auto" w:fill="auto"/>
              </w:rPr>
            </w:pPr>
          </w:p>
        </w:tc>
        <w:tc>
          <w:tcPr>
            <w:tcW w:w="1980" w:type="dxa"/>
            <w:noWrap w:val="0"/>
            <w:vAlign w:val="center"/>
          </w:tcPr>
          <w:p w14:paraId="3174D5DB">
            <w:pPr>
              <w:adjustRightInd w:val="0"/>
              <w:snapToGrid w:val="0"/>
              <w:jc w:val="center"/>
              <w:rPr>
                <w:color w:val="auto"/>
                <w:sz w:val="24"/>
                <w:highlight w:val="none"/>
                <w:shd w:val="clear" w:color="auto" w:fill="auto"/>
              </w:rPr>
            </w:pPr>
          </w:p>
        </w:tc>
        <w:tc>
          <w:tcPr>
            <w:tcW w:w="1981" w:type="dxa"/>
            <w:noWrap w:val="0"/>
            <w:vAlign w:val="center"/>
          </w:tcPr>
          <w:p w14:paraId="77FECE79">
            <w:pPr>
              <w:adjustRightInd w:val="0"/>
              <w:snapToGrid w:val="0"/>
              <w:jc w:val="center"/>
              <w:rPr>
                <w:color w:val="auto"/>
                <w:sz w:val="24"/>
                <w:highlight w:val="none"/>
                <w:shd w:val="clear" w:color="auto" w:fill="auto"/>
              </w:rPr>
            </w:pPr>
          </w:p>
        </w:tc>
        <w:tc>
          <w:tcPr>
            <w:tcW w:w="2427" w:type="dxa"/>
            <w:noWrap w:val="0"/>
            <w:vAlign w:val="center"/>
          </w:tcPr>
          <w:p w14:paraId="68289825">
            <w:pPr>
              <w:adjustRightInd w:val="0"/>
              <w:snapToGrid w:val="0"/>
              <w:jc w:val="center"/>
              <w:rPr>
                <w:color w:val="auto"/>
                <w:sz w:val="24"/>
                <w:highlight w:val="none"/>
                <w:shd w:val="clear" w:color="auto" w:fill="auto"/>
              </w:rPr>
            </w:pPr>
          </w:p>
        </w:tc>
        <w:tc>
          <w:tcPr>
            <w:tcW w:w="782" w:type="dxa"/>
            <w:noWrap w:val="0"/>
            <w:vAlign w:val="center"/>
          </w:tcPr>
          <w:p w14:paraId="2CAD42D2">
            <w:pPr>
              <w:adjustRightInd w:val="0"/>
              <w:snapToGrid w:val="0"/>
              <w:jc w:val="center"/>
              <w:rPr>
                <w:color w:val="auto"/>
                <w:sz w:val="24"/>
                <w:highlight w:val="none"/>
                <w:shd w:val="clear" w:color="auto" w:fill="auto"/>
              </w:rPr>
            </w:pPr>
          </w:p>
        </w:tc>
      </w:tr>
      <w:tr w14:paraId="1E771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0BA744ED">
            <w:pPr>
              <w:adjustRightInd w:val="0"/>
              <w:snapToGrid w:val="0"/>
              <w:jc w:val="center"/>
              <w:rPr>
                <w:color w:val="auto"/>
                <w:sz w:val="24"/>
                <w:highlight w:val="none"/>
                <w:shd w:val="clear" w:color="auto" w:fill="auto"/>
              </w:rPr>
            </w:pPr>
          </w:p>
        </w:tc>
        <w:tc>
          <w:tcPr>
            <w:tcW w:w="1290" w:type="dxa"/>
            <w:noWrap w:val="0"/>
            <w:vAlign w:val="center"/>
          </w:tcPr>
          <w:p w14:paraId="0F858423">
            <w:pPr>
              <w:adjustRightInd w:val="0"/>
              <w:snapToGrid w:val="0"/>
              <w:jc w:val="center"/>
              <w:rPr>
                <w:color w:val="auto"/>
                <w:sz w:val="24"/>
                <w:highlight w:val="none"/>
                <w:shd w:val="clear" w:color="auto" w:fill="auto"/>
              </w:rPr>
            </w:pPr>
          </w:p>
        </w:tc>
        <w:tc>
          <w:tcPr>
            <w:tcW w:w="1980" w:type="dxa"/>
            <w:noWrap w:val="0"/>
            <w:vAlign w:val="center"/>
          </w:tcPr>
          <w:p w14:paraId="3886300B">
            <w:pPr>
              <w:adjustRightInd w:val="0"/>
              <w:snapToGrid w:val="0"/>
              <w:jc w:val="center"/>
              <w:rPr>
                <w:color w:val="auto"/>
                <w:sz w:val="24"/>
                <w:highlight w:val="none"/>
                <w:shd w:val="clear" w:color="auto" w:fill="auto"/>
              </w:rPr>
            </w:pPr>
          </w:p>
        </w:tc>
        <w:tc>
          <w:tcPr>
            <w:tcW w:w="1981" w:type="dxa"/>
            <w:noWrap w:val="0"/>
            <w:vAlign w:val="center"/>
          </w:tcPr>
          <w:p w14:paraId="32856995">
            <w:pPr>
              <w:adjustRightInd w:val="0"/>
              <w:snapToGrid w:val="0"/>
              <w:jc w:val="center"/>
              <w:rPr>
                <w:color w:val="auto"/>
                <w:sz w:val="24"/>
                <w:highlight w:val="none"/>
                <w:shd w:val="clear" w:color="auto" w:fill="auto"/>
              </w:rPr>
            </w:pPr>
          </w:p>
        </w:tc>
        <w:tc>
          <w:tcPr>
            <w:tcW w:w="2427" w:type="dxa"/>
            <w:noWrap w:val="0"/>
            <w:vAlign w:val="center"/>
          </w:tcPr>
          <w:p w14:paraId="4C2ABCBA">
            <w:pPr>
              <w:adjustRightInd w:val="0"/>
              <w:snapToGrid w:val="0"/>
              <w:jc w:val="center"/>
              <w:rPr>
                <w:color w:val="auto"/>
                <w:sz w:val="24"/>
                <w:highlight w:val="none"/>
                <w:shd w:val="clear" w:color="auto" w:fill="auto"/>
              </w:rPr>
            </w:pPr>
          </w:p>
        </w:tc>
        <w:tc>
          <w:tcPr>
            <w:tcW w:w="782" w:type="dxa"/>
            <w:noWrap w:val="0"/>
            <w:vAlign w:val="center"/>
          </w:tcPr>
          <w:p w14:paraId="5B52CFA3">
            <w:pPr>
              <w:adjustRightInd w:val="0"/>
              <w:snapToGrid w:val="0"/>
              <w:jc w:val="center"/>
              <w:rPr>
                <w:color w:val="auto"/>
                <w:sz w:val="24"/>
                <w:highlight w:val="none"/>
                <w:shd w:val="clear" w:color="auto" w:fill="auto"/>
              </w:rPr>
            </w:pPr>
          </w:p>
        </w:tc>
      </w:tr>
      <w:tr w14:paraId="06649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40C6DC0E">
            <w:pPr>
              <w:adjustRightInd w:val="0"/>
              <w:snapToGrid w:val="0"/>
              <w:jc w:val="center"/>
              <w:rPr>
                <w:color w:val="auto"/>
                <w:sz w:val="24"/>
                <w:highlight w:val="none"/>
                <w:shd w:val="clear" w:color="auto" w:fill="auto"/>
              </w:rPr>
            </w:pPr>
          </w:p>
        </w:tc>
        <w:tc>
          <w:tcPr>
            <w:tcW w:w="1290" w:type="dxa"/>
            <w:noWrap w:val="0"/>
            <w:vAlign w:val="center"/>
          </w:tcPr>
          <w:p w14:paraId="6C157A87">
            <w:pPr>
              <w:adjustRightInd w:val="0"/>
              <w:snapToGrid w:val="0"/>
              <w:jc w:val="center"/>
              <w:rPr>
                <w:color w:val="auto"/>
                <w:sz w:val="24"/>
                <w:highlight w:val="none"/>
                <w:shd w:val="clear" w:color="auto" w:fill="auto"/>
              </w:rPr>
            </w:pPr>
          </w:p>
        </w:tc>
        <w:tc>
          <w:tcPr>
            <w:tcW w:w="1980" w:type="dxa"/>
            <w:noWrap w:val="0"/>
            <w:vAlign w:val="center"/>
          </w:tcPr>
          <w:p w14:paraId="11D793CF">
            <w:pPr>
              <w:adjustRightInd w:val="0"/>
              <w:snapToGrid w:val="0"/>
              <w:jc w:val="center"/>
              <w:rPr>
                <w:color w:val="auto"/>
                <w:sz w:val="24"/>
                <w:highlight w:val="none"/>
                <w:shd w:val="clear" w:color="auto" w:fill="auto"/>
              </w:rPr>
            </w:pPr>
          </w:p>
        </w:tc>
        <w:tc>
          <w:tcPr>
            <w:tcW w:w="1981" w:type="dxa"/>
            <w:noWrap w:val="0"/>
            <w:vAlign w:val="center"/>
          </w:tcPr>
          <w:p w14:paraId="368B71C0">
            <w:pPr>
              <w:adjustRightInd w:val="0"/>
              <w:snapToGrid w:val="0"/>
              <w:jc w:val="center"/>
              <w:rPr>
                <w:color w:val="auto"/>
                <w:sz w:val="24"/>
                <w:highlight w:val="none"/>
                <w:shd w:val="clear" w:color="auto" w:fill="auto"/>
              </w:rPr>
            </w:pPr>
          </w:p>
        </w:tc>
        <w:tc>
          <w:tcPr>
            <w:tcW w:w="2427" w:type="dxa"/>
            <w:noWrap w:val="0"/>
            <w:vAlign w:val="center"/>
          </w:tcPr>
          <w:p w14:paraId="26709984">
            <w:pPr>
              <w:adjustRightInd w:val="0"/>
              <w:snapToGrid w:val="0"/>
              <w:jc w:val="center"/>
              <w:rPr>
                <w:color w:val="auto"/>
                <w:sz w:val="24"/>
                <w:highlight w:val="none"/>
                <w:shd w:val="clear" w:color="auto" w:fill="auto"/>
              </w:rPr>
            </w:pPr>
          </w:p>
        </w:tc>
        <w:tc>
          <w:tcPr>
            <w:tcW w:w="782" w:type="dxa"/>
            <w:noWrap w:val="0"/>
            <w:vAlign w:val="center"/>
          </w:tcPr>
          <w:p w14:paraId="47C06928">
            <w:pPr>
              <w:adjustRightInd w:val="0"/>
              <w:snapToGrid w:val="0"/>
              <w:jc w:val="center"/>
              <w:rPr>
                <w:color w:val="auto"/>
                <w:sz w:val="24"/>
                <w:highlight w:val="none"/>
                <w:shd w:val="clear" w:color="auto" w:fill="auto"/>
              </w:rPr>
            </w:pPr>
          </w:p>
        </w:tc>
      </w:tr>
    </w:tbl>
    <w:p w14:paraId="32100020">
      <w:pPr>
        <w:tabs>
          <w:tab w:val="left" w:pos="1800"/>
          <w:tab w:val="left" w:pos="5580"/>
        </w:tabs>
        <w:jc w:val="left"/>
        <w:rPr>
          <w:color w:val="auto"/>
          <w:sz w:val="24"/>
          <w:highlight w:val="none"/>
          <w:shd w:val="clear" w:color="auto" w:fill="auto"/>
        </w:rPr>
      </w:pPr>
    </w:p>
    <w:p w14:paraId="4C447DFE">
      <w:pPr>
        <w:tabs>
          <w:tab w:val="left" w:pos="1800"/>
          <w:tab w:val="left" w:pos="5580"/>
        </w:tabs>
        <w:jc w:val="left"/>
        <w:rPr>
          <w:color w:val="auto"/>
          <w:sz w:val="24"/>
          <w:highlight w:val="none"/>
          <w:shd w:val="clear" w:color="auto" w:fill="auto"/>
        </w:rPr>
      </w:pPr>
      <w:r>
        <w:rPr>
          <w:rFonts w:hint="eastAsia"/>
          <w:color w:val="auto"/>
          <w:sz w:val="24"/>
          <w:highlight w:val="none"/>
          <w:shd w:val="clear" w:color="auto" w:fill="auto"/>
        </w:rPr>
        <w:t>注：</w:t>
      </w:r>
    </w:p>
    <w:p w14:paraId="309E8796">
      <w:pPr>
        <w:tabs>
          <w:tab w:val="left" w:pos="1800"/>
          <w:tab w:val="left" w:pos="5580"/>
        </w:tabs>
        <w:jc w:val="left"/>
        <w:rPr>
          <w:color w:val="auto"/>
          <w:sz w:val="24"/>
          <w:highlight w:val="none"/>
          <w:shd w:val="clear" w:color="auto" w:fill="auto"/>
        </w:rPr>
      </w:pPr>
      <w:r>
        <w:rPr>
          <w:color w:val="auto"/>
          <w:sz w:val="24"/>
          <w:highlight w:val="none"/>
          <w:shd w:val="clear" w:color="auto" w:fill="auto"/>
        </w:rPr>
        <w:t xml:space="preserve">1. </w:t>
      </w:r>
      <w:r>
        <w:rPr>
          <w:rFonts w:hint="eastAsia"/>
          <w:color w:val="auto"/>
          <w:sz w:val="24"/>
          <w:highlight w:val="none"/>
          <w:shd w:val="clear" w:color="auto" w:fill="auto"/>
        </w:rPr>
        <w:t>对合同条款中的所有要求，除本表所列明的所有偏离外，均视作供应商已对之理解和响应。</w:t>
      </w:r>
    </w:p>
    <w:p w14:paraId="233A2987">
      <w:pPr>
        <w:tabs>
          <w:tab w:val="left" w:pos="1800"/>
          <w:tab w:val="left" w:pos="5580"/>
        </w:tabs>
        <w:jc w:val="left"/>
        <w:rPr>
          <w:color w:val="auto"/>
          <w:sz w:val="24"/>
          <w:highlight w:val="none"/>
          <w:shd w:val="clear" w:color="auto" w:fill="auto"/>
        </w:rPr>
      </w:pPr>
      <w:r>
        <w:rPr>
          <w:color w:val="auto"/>
          <w:sz w:val="24"/>
          <w:highlight w:val="none"/>
          <w:shd w:val="clear" w:color="auto" w:fill="auto"/>
        </w:rPr>
        <w:t xml:space="preserve">2. </w:t>
      </w:r>
      <w:r>
        <w:rPr>
          <w:rFonts w:hint="eastAsia"/>
          <w:color w:val="auto"/>
          <w:sz w:val="24"/>
          <w:highlight w:val="none"/>
          <w:shd w:val="clear" w:color="auto" w:fill="auto"/>
        </w:rPr>
        <w:t>“偏离情况”列应据实填写“正偏离”或“负偏离”。</w:t>
      </w:r>
    </w:p>
    <w:p w14:paraId="785C89BC">
      <w:pPr>
        <w:spacing w:line="360" w:lineRule="auto"/>
        <w:rPr>
          <w:color w:val="auto"/>
          <w:sz w:val="24"/>
          <w:szCs w:val="20"/>
          <w:highlight w:val="none"/>
          <w:shd w:val="clear" w:color="auto" w:fill="auto"/>
        </w:rPr>
      </w:pPr>
    </w:p>
    <w:p w14:paraId="6648868A">
      <w:pPr>
        <w:autoSpaceDE w:val="0"/>
        <w:autoSpaceDN w:val="0"/>
        <w:adjustRightInd w:val="0"/>
        <w:snapToGrid w:val="0"/>
        <w:spacing w:before="25" w:after="25" w:line="360" w:lineRule="auto"/>
        <w:rPr>
          <w:color w:val="auto"/>
          <w:sz w:val="24"/>
          <w:highlight w:val="none"/>
          <w:shd w:val="clear" w:color="auto" w:fill="auto"/>
          <w:lang w:val="zh-CN"/>
        </w:rPr>
      </w:pPr>
      <w:r>
        <w:rPr>
          <w:color w:val="auto"/>
          <w:sz w:val="24"/>
          <w:highlight w:val="none"/>
          <w:shd w:val="clear" w:color="auto" w:fill="auto"/>
          <w:lang w:val="zh-CN"/>
        </w:rPr>
        <w:t xml:space="preserve">                      </w:t>
      </w:r>
    </w:p>
    <w:p w14:paraId="5D36D877">
      <w:pPr>
        <w:autoSpaceDE w:val="0"/>
        <w:autoSpaceDN w:val="0"/>
        <w:adjustRightInd w:val="0"/>
        <w:snapToGrid w:val="0"/>
        <w:spacing w:before="25" w:after="25" w:line="360" w:lineRule="auto"/>
        <w:rPr>
          <w:color w:val="auto"/>
          <w:sz w:val="24"/>
          <w:highlight w:val="none"/>
          <w:shd w:val="clear" w:color="auto" w:fill="auto"/>
          <w:lang w:val="zh-CN"/>
        </w:rPr>
      </w:pPr>
      <w:r>
        <w:rPr>
          <w:color w:val="auto"/>
          <w:sz w:val="24"/>
          <w:highlight w:val="none"/>
          <w:shd w:val="clear" w:color="auto" w:fill="auto"/>
        </w:rPr>
        <w:t>供应商名称（加盖公章）</w:t>
      </w:r>
      <w:r>
        <w:rPr>
          <w:color w:val="auto"/>
          <w:sz w:val="24"/>
          <w:highlight w:val="none"/>
          <w:shd w:val="clear" w:color="auto" w:fill="auto"/>
          <w:lang w:val="zh-CN"/>
        </w:rPr>
        <w:t>：    ____________</w:t>
      </w:r>
    </w:p>
    <w:p w14:paraId="4F240DF2">
      <w:pPr>
        <w:autoSpaceDE w:val="0"/>
        <w:autoSpaceDN w:val="0"/>
        <w:adjustRightInd w:val="0"/>
        <w:snapToGrid w:val="0"/>
        <w:spacing w:before="25" w:after="25" w:line="360" w:lineRule="auto"/>
        <w:rPr>
          <w:color w:val="auto"/>
          <w:sz w:val="24"/>
          <w:highlight w:val="none"/>
          <w:shd w:val="clear" w:color="auto" w:fill="auto"/>
          <w:lang w:val="zh-CN"/>
        </w:rPr>
      </w:pPr>
      <w:r>
        <w:rPr>
          <w:color w:val="auto"/>
          <w:sz w:val="24"/>
          <w:szCs w:val="20"/>
          <w:highlight w:val="none"/>
          <w:shd w:val="clear" w:color="auto" w:fill="auto"/>
        </w:rPr>
        <w:t xml:space="preserve">日期：_____年______月______日   </w:t>
      </w:r>
    </w:p>
    <w:p w14:paraId="73907C83">
      <w:pPr>
        <w:spacing w:line="360" w:lineRule="auto"/>
        <w:outlineLvl w:val="2"/>
        <w:rPr>
          <w:color w:val="auto"/>
          <w:sz w:val="24"/>
          <w:szCs w:val="20"/>
          <w:highlight w:val="none"/>
          <w:shd w:val="clear" w:color="auto" w:fill="auto"/>
        </w:rPr>
      </w:pPr>
      <w:r>
        <w:rPr>
          <w:color w:val="auto"/>
          <w:sz w:val="24"/>
          <w:szCs w:val="20"/>
          <w:highlight w:val="none"/>
          <w:shd w:val="clear" w:color="auto" w:fill="auto"/>
        </w:rPr>
        <w:br w:type="page"/>
      </w:r>
      <w:r>
        <w:rPr>
          <w:rFonts w:hint="eastAsia"/>
          <w:color w:val="auto"/>
          <w:sz w:val="24"/>
          <w:szCs w:val="20"/>
          <w:highlight w:val="none"/>
          <w:shd w:val="clear" w:color="auto" w:fill="auto"/>
          <w:lang w:val="en-US" w:eastAsia="zh-CN"/>
        </w:rPr>
        <w:t>10</w:t>
      </w:r>
      <w:r>
        <w:rPr>
          <w:color w:val="auto"/>
          <w:sz w:val="24"/>
          <w:szCs w:val="20"/>
          <w:highlight w:val="none"/>
          <w:shd w:val="clear" w:color="auto" w:fill="auto"/>
        </w:rPr>
        <w:t xml:space="preserve"> </w:t>
      </w:r>
      <w:bookmarkEnd w:id="695"/>
      <w:bookmarkEnd w:id="696"/>
      <w:bookmarkEnd w:id="697"/>
      <w:bookmarkEnd w:id="698"/>
      <w:bookmarkEnd w:id="699"/>
      <w:bookmarkEnd w:id="700"/>
      <w:bookmarkEnd w:id="701"/>
      <w:bookmarkEnd w:id="702"/>
      <w:bookmarkEnd w:id="703"/>
      <w:bookmarkEnd w:id="704"/>
      <w:bookmarkEnd w:id="705"/>
      <w:bookmarkEnd w:id="706"/>
      <w:bookmarkEnd w:id="707"/>
      <w:r>
        <w:rPr>
          <w:color w:val="auto"/>
          <w:sz w:val="24"/>
          <w:szCs w:val="20"/>
          <w:highlight w:val="none"/>
          <w:shd w:val="clear" w:color="auto" w:fill="auto"/>
        </w:rPr>
        <w:t>采购需求偏离表</w:t>
      </w:r>
    </w:p>
    <w:p w14:paraId="3C750712">
      <w:pPr>
        <w:jc w:val="center"/>
        <w:rPr>
          <w:b/>
          <w:color w:val="auto"/>
          <w:sz w:val="36"/>
          <w:szCs w:val="36"/>
          <w:highlight w:val="none"/>
          <w:shd w:val="clear" w:color="auto" w:fill="auto"/>
        </w:rPr>
      </w:pPr>
      <w:r>
        <w:rPr>
          <w:rFonts w:hint="eastAsia"/>
          <w:b/>
          <w:color w:val="auto"/>
          <w:sz w:val="36"/>
          <w:szCs w:val="36"/>
          <w:highlight w:val="none"/>
          <w:shd w:val="clear" w:color="auto" w:fill="auto"/>
        </w:rPr>
        <w:t>采购需求偏离表</w:t>
      </w:r>
    </w:p>
    <w:p w14:paraId="00BE32C0">
      <w:pPr>
        <w:jc w:val="center"/>
        <w:rPr>
          <w:color w:val="auto"/>
          <w:sz w:val="36"/>
          <w:szCs w:val="36"/>
          <w:highlight w:val="none"/>
          <w:shd w:val="clear" w:color="auto" w:fill="auto"/>
        </w:rPr>
      </w:pPr>
    </w:p>
    <w:p w14:paraId="25CD67BB">
      <w:pPr>
        <w:tabs>
          <w:tab w:val="left" w:pos="1800"/>
          <w:tab w:val="left" w:pos="5580"/>
        </w:tabs>
        <w:spacing w:line="360" w:lineRule="auto"/>
        <w:ind w:firstLine="360" w:firstLineChars="150"/>
        <w:jc w:val="left"/>
        <w:rPr>
          <w:color w:val="auto"/>
          <w:sz w:val="24"/>
          <w:highlight w:val="none"/>
          <w:u w:val="single"/>
          <w:shd w:val="clear" w:color="auto" w:fill="auto"/>
        </w:rPr>
      </w:pPr>
      <w:r>
        <w:rPr>
          <w:color w:val="auto"/>
          <w:sz w:val="24"/>
          <w:highlight w:val="none"/>
          <w:shd w:val="clear" w:color="auto" w:fill="auto"/>
        </w:rPr>
        <w:t>项目编号：_____________________     项目名称：_______________________</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4A731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641F3679">
            <w:pPr>
              <w:adjustRightInd w:val="0"/>
              <w:snapToGrid w:val="0"/>
              <w:jc w:val="center"/>
              <w:rPr>
                <w:color w:val="auto"/>
                <w:sz w:val="24"/>
                <w:highlight w:val="none"/>
                <w:shd w:val="clear" w:color="auto" w:fill="auto"/>
              </w:rPr>
            </w:pPr>
            <w:r>
              <w:rPr>
                <w:color w:val="auto"/>
                <w:sz w:val="24"/>
                <w:highlight w:val="none"/>
                <w:shd w:val="clear" w:color="auto" w:fill="auto"/>
              </w:rPr>
              <w:t>序号</w:t>
            </w:r>
          </w:p>
        </w:tc>
        <w:tc>
          <w:tcPr>
            <w:tcW w:w="1482" w:type="dxa"/>
            <w:noWrap w:val="0"/>
            <w:vAlign w:val="center"/>
          </w:tcPr>
          <w:p w14:paraId="210D207F">
            <w:pPr>
              <w:adjustRightInd w:val="0"/>
              <w:snapToGrid w:val="0"/>
              <w:jc w:val="center"/>
              <w:rPr>
                <w:color w:val="auto"/>
                <w:sz w:val="24"/>
                <w:highlight w:val="none"/>
                <w:shd w:val="clear" w:color="auto" w:fill="auto"/>
              </w:rPr>
            </w:pPr>
            <w:r>
              <w:rPr>
                <w:color w:val="auto"/>
                <w:sz w:val="24"/>
                <w:highlight w:val="none"/>
                <w:shd w:val="clear" w:color="auto" w:fill="auto"/>
              </w:rPr>
              <w:t>磋商文件条目号(页码)</w:t>
            </w:r>
          </w:p>
        </w:tc>
        <w:tc>
          <w:tcPr>
            <w:tcW w:w="2384" w:type="dxa"/>
            <w:noWrap w:val="0"/>
            <w:vAlign w:val="center"/>
          </w:tcPr>
          <w:p w14:paraId="0B6F9E8E">
            <w:pPr>
              <w:adjustRightInd w:val="0"/>
              <w:snapToGrid w:val="0"/>
              <w:jc w:val="center"/>
              <w:rPr>
                <w:color w:val="auto"/>
                <w:sz w:val="24"/>
                <w:highlight w:val="none"/>
                <w:shd w:val="clear" w:color="auto" w:fill="auto"/>
              </w:rPr>
            </w:pPr>
            <w:r>
              <w:rPr>
                <w:color w:val="auto"/>
                <w:sz w:val="24"/>
                <w:highlight w:val="none"/>
                <w:shd w:val="clear" w:color="auto" w:fill="auto"/>
              </w:rPr>
              <w:t>磋商文件要求</w:t>
            </w:r>
          </w:p>
        </w:tc>
        <w:tc>
          <w:tcPr>
            <w:tcW w:w="2126" w:type="dxa"/>
            <w:noWrap w:val="0"/>
            <w:vAlign w:val="center"/>
          </w:tcPr>
          <w:p w14:paraId="43DFA908">
            <w:pPr>
              <w:adjustRightInd w:val="0"/>
              <w:snapToGrid w:val="0"/>
              <w:jc w:val="center"/>
              <w:rPr>
                <w:color w:val="auto"/>
                <w:sz w:val="24"/>
                <w:highlight w:val="none"/>
                <w:shd w:val="clear" w:color="auto" w:fill="auto"/>
              </w:rPr>
            </w:pPr>
            <w:r>
              <w:rPr>
                <w:color w:val="auto"/>
                <w:sz w:val="24"/>
                <w:highlight w:val="none"/>
                <w:shd w:val="clear" w:color="auto" w:fill="auto"/>
              </w:rPr>
              <w:t>响应内容</w:t>
            </w:r>
          </w:p>
        </w:tc>
        <w:tc>
          <w:tcPr>
            <w:tcW w:w="1875" w:type="dxa"/>
            <w:noWrap w:val="0"/>
            <w:vAlign w:val="center"/>
          </w:tcPr>
          <w:p w14:paraId="775B481B">
            <w:pPr>
              <w:adjustRightInd w:val="0"/>
              <w:snapToGrid w:val="0"/>
              <w:jc w:val="center"/>
              <w:rPr>
                <w:color w:val="auto"/>
                <w:sz w:val="24"/>
                <w:highlight w:val="none"/>
                <w:shd w:val="clear" w:color="auto" w:fill="auto"/>
              </w:rPr>
            </w:pPr>
            <w:r>
              <w:rPr>
                <w:color w:val="auto"/>
                <w:sz w:val="24"/>
                <w:highlight w:val="none"/>
                <w:shd w:val="clear" w:color="auto" w:fill="auto"/>
              </w:rPr>
              <w:t>偏离情况</w:t>
            </w:r>
          </w:p>
          <w:p w14:paraId="3D9F3CBB">
            <w:pPr>
              <w:adjustRightInd w:val="0"/>
              <w:snapToGrid w:val="0"/>
              <w:jc w:val="center"/>
              <w:rPr>
                <w:color w:val="auto"/>
                <w:sz w:val="24"/>
                <w:highlight w:val="none"/>
                <w:shd w:val="clear" w:color="auto" w:fill="auto"/>
              </w:rPr>
            </w:pPr>
            <w:r>
              <w:rPr>
                <w:color w:val="auto"/>
                <w:sz w:val="24"/>
                <w:szCs w:val="21"/>
                <w:highlight w:val="none"/>
                <w:shd w:val="clear" w:color="auto" w:fill="auto"/>
              </w:rPr>
              <w:t>（据实填写）</w:t>
            </w:r>
          </w:p>
        </w:tc>
        <w:tc>
          <w:tcPr>
            <w:tcW w:w="1009" w:type="dxa"/>
            <w:noWrap w:val="0"/>
            <w:vAlign w:val="center"/>
          </w:tcPr>
          <w:p w14:paraId="244DBA62">
            <w:pPr>
              <w:adjustRightInd w:val="0"/>
              <w:snapToGrid w:val="0"/>
              <w:jc w:val="center"/>
              <w:rPr>
                <w:color w:val="auto"/>
                <w:sz w:val="24"/>
                <w:highlight w:val="none"/>
                <w:shd w:val="clear" w:color="auto" w:fill="auto"/>
              </w:rPr>
            </w:pPr>
            <w:r>
              <w:rPr>
                <w:color w:val="auto"/>
                <w:sz w:val="24"/>
                <w:highlight w:val="none"/>
                <w:shd w:val="clear" w:color="auto" w:fill="auto"/>
              </w:rPr>
              <w:t>说明</w:t>
            </w:r>
          </w:p>
        </w:tc>
      </w:tr>
      <w:tr w14:paraId="2BA65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D0EC2DF">
            <w:pPr>
              <w:adjustRightInd w:val="0"/>
              <w:snapToGrid w:val="0"/>
              <w:jc w:val="center"/>
              <w:rPr>
                <w:color w:val="auto"/>
                <w:sz w:val="24"/>
                <w:highlight w:val="none"/>
                <w:shd w:val="clear" w:color="auto" w:fill="auto"/>
              </w:rPr>
            </w:pPr>
          </w:p>
        </w:tc>
        <w:tc>
          <w:tcPr>
            <w:tcW w:w="1482" w:type="dxa"/>
            <w:noWrap w:val="0"/>
            <w:vAlign w:val="center"/>
          </w:tcPr>
          <w:p w14:paraId="0BC9EA54">
            <w:pPr>
              <w:adjustRightInd w:val="0"/>
              <w:snapToGrid w:val="0"/>
              <w:jc w:val="center"/>
              <w:rPr>
                <w:color w:val="auto"/>
                <w:sz w:val="24"/>
                <w:highlight w:val="none"/>
                <w:shd w:val="clear" w:color="auto" w:fill="auto"/>
              </w:rPr>
            </w:pPr>
          </w:p>
        </w:tc>
        <w:tc>
          <w:tcPr>
            <w:tcW w:w="2384" w:type="dxa"/>
            <w:noWrap w:val="0"/>
            <w:vAlign w:val="center"/>
          </w:tcPr>
          <w:p w14:paraId="35CCD536">
            <w:pPr>
              <w:adjustRightInd w:val="0"/>
              <w:snapToGrid w:val="0"/>
              <w:jc w:val="center"/>
              <w:rPr>
                <w:color w:val="auto"/>
                <w:sz w:val="24"/>
                <w:highlight w:val="none"/>
                <w:shd w:val="clear" w:color="auto" w:fill="auto"/>
              </w:rPr>
            </w:pPr>
          </w:p>
        </w:tc>
        <w:tc>
          <w:tcPr>
            <w:tcW w:w="2126" w:type="dxa"/>
            <w:noWrap w:val="0"/>
            <w:vAlign w:val="center"/>
          </w:tcPr>
          <w:p w14:paraId="09616AD3">
            <w:pPr>
              <w:adjustRightInd w:val="0"/>
              <w:snapToGrid w:val="0"/>
              <w:jc w:val="center"/>
              <w:rPr>
                <w:color w:val="auto"/>
                <w:sz w:val="24"/>
                <w:highlight w:val="none"/>
                <w:shd w:val="clear" w:color="auto" w:fill="auto"/>
              </w:rPr>
            </w:pPr>
          </w:p>
        </w:tc>
        <w:tc>
          <w:tcPr>
            <w:tcW w:w="1875" w:type="dxa"/>
            <w:noWrap w:val="0"/>
            <w:vAlign w:val="center"/>
          </w:tcPr>
          <w:p w14:paraId="7A380C6F">
            <w:pPr>
              <w:adjustRightInd w:val="0"/>
              <w:snapToGrid w:val="0"/>
              <w:jc w:val="center"/>
              <w:rPr>
                <w:color w:val="auto"/>
                <w:sz w:val="24"/>
                <w:highlight w:val="none"/>
                <w:shd w:val="clear" w:color="auto" w:fill="auto"/>
              </w:rPr>
            </w:pPr>
          </w:p>
        </w:tc>
        <w:tc>
          <w:tcPr>
            <w:tcW w:w="1009" w:type="dxa"/>
            <w:noWrap w:val="0"/>
            <w:vAlign w:val="center"/>
          </w:tcPr>
          <w:p w14:paraId="49E27991">
            <w:pPr>
              <w:adjustRightInd w:val="0"/>
              <w:snapToGrid w:val="0"/>
              <w:jc w:val="center"/>
              <w:rPr>
                <w:color w:val="auto"/>
                <w:sz w:val="24"/>
                <w:highlight w:val="none"/>
                <w:shd w:val="clear" w:color="auto" w:fill="auto"/>
              </w:rPr>
            </w:pPr>
          </w:p>
        </w:tc>
      </w:tr>
      <w:tr w14:paraId="3088C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9A8F5FA">
            <w:pPr>
              <w:adjustRightInd w:val="0"/>
              <w:snapToGrid w:val="0"/>
              <w:jc w:val="center"/>
              <w:rPr>
                <w:color w:val="auto"/>
                <w:sz w:val="24"/>
                <w:highlight w:val="none"/>
                <w:shd w:val="clear" w:color="auto" w:fill="auto"/>
              </w:rPr>
            </w:pPr>
          </w:p>
        </w:tc>
        <w:tc>
          <w:tcPr>
            <w:tcW w:w="1482" w:type="dxa"/>
            <w:noWrap w:val="0"/>
            <w:vAlign w:val="center"/>
          </w:tcPr>
          <w:p w14:paraId="77441588">
            <w:pPr>
              <w:adjustRightInd w:val="0"/>
              <w:snapToGrid w:val="0"/>
              <w:jc w:val="center"/>
              <w:rPr>
                <w:color w:val="auto"/>
                <w:sz w:val="24"/>
                <w:highlight w:val="none"/>
                <w:shd w:val="clear" w:color="auto" w:fill="auto"/>
              </w:rPr>
            </w:pPr>
          </w:p>
        </w:tc>
        <w:tc>
          <w:tcPr>
            <w:tcW w:w="2384" w:type="dxa"/>
            <w:noWrap w:val="0"/>
            <w:vAlign w:val="center"/>
          </w:tcPr>
          <w:p w14:paraId="3A9CD316">
            <w:pPr>
              <w:adjustRightInd w:val="0"/>
              <w:snapToGrid w:val="0"/>
              <w:jc w:val="center"/>
              <w:rPr>
                <w:color w:val="auto"/>
                <w:sz w:val="24"/>
                <w:highlight w:val="none"/>
                <w:shd w:val="clear" w:color="auto" w:fill="auto"/>
              </w:rPr>
            </w:pPr>
          </w:p>
        </w:tc>
        <w:tc>
          <w:tcPr>
            <w:tcW w:w="2126" w:type="dxa"/>
            <w:noWrap w:val="0"/>
            <w:vAlign w:val="center"/>
          </w:tcPr>
          <w:p w14:paraId="3BA4102B">
            <w:pPr>
              <w:adjustRightInd w:val="0"/>
              <w:snapToGrid w:val="0"/>
              <w:jc w:val="center"/>
              <w:rPr>
                <w:color w:val="auto"/>
                <w:sz w:val="24"/>
                <w:highlight w:val="none"/>
                <w:shd w:val="clear" w:color="auto" w:fill="auto"/>
              </w:rPr>
            </w:pPr>
          </w:p>
        </w:tc>
        <w:tc>
          <w:tcPr>
            <w:tcW w:w="1875" w:type="dxa"/>
            <w:noWrap w:val="0"/>
            <w:vAlign w:val="center"/>
          </w:tcPr>
          <w:p w14:paraId="7467CA76">
            <w:pPr>
              <w:adjustRightInd w:val="0"/>
              <w:snapToGrid w:val="0"/>
              <w:jc w:val="center"/>
              <w:rPr>
                <w:color w:val="auto"/>
                <w:sz w:val="24"/>
                <w:highlight w:val="none"/>
                <w:shd w:val="clear" w:color="auto" w:fill="auto"/>
              </w:rPr>
            </w:pPr>
          </w:p>
        </w:tc>
        <w:tc>
          <w:tcPr>
            <w:tcW w:w="1009" w:type="dxa"/>
            <w:noWrap w:val="0"/>
            <w:vAlign w:val="center"/>
          </w:tcPr>
          <w:p w14:paraId="4CE3AB95">
            <w:pPr>
              <w:adjustRightInd w:val="0"/>
              <w:snapToGrid w:val="0"/>
              <w:jc w:val="center"/>
              <w:rPr>
                <w:color w:val="auto"/>
                <w:sz w:val="24"/>
                <w:highlight w:val="none"/>
                <w:shd w:val="clear" w:color="auto" w:fill="auto"/>
              </w:rPr>
            </w:pPr>
          </w:p>
        </w:tc>
      </w:tr>
      <w:tr w14:paraId="55511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942DE63">
            <w:pPr>
              <w:adjustRightInd w:val="0"/>
              <w:snapToGrid w:val="0"/>
              <w:jc w:val="center"/>
              <w:rPr>
                <w:color w:val="auto"/>
                <w:sz w:val="24"/>
                <w:highlight w:val="none"/>
                <w:shd w:val="clear" w:color="auto" w:fill="auto"/>
              </w:rPr>
            </w:pPr>
          </w:p>
        </w:tc>
        <w:tc>
          <w:tcPr>
            <w:tcW w:w="1482" w:type="dxa"/>
            <w:noWrap w:val="0"/>
            <w:vAlign w:val="center"/>
          </w:tcPr>
          <w:p w14:paraId="4C032F99">
            <w:pPr>
              <w:adjustRightInd w:val="0"/>
              <w:snapToGrid w:val="0"/>
              <w:jc w:val="center"/>
              <w:rPr>
                <w:color w:val="auto"/>
                <w:sz w:val="24"/>
                <w:highlight w:val="none"/>
                <w:shd w:val="clear" w:color="auto" w:fill="auto"/>
              </w:rPr>
            </w:pPr>
          </w:p>
        </w:tc>
        <w:tc>
          <w:tcPr>
            <w:tcW w:w="2384" w:type="dxa"/>
            <w:noWrap w:val="0"/>
            <w:vAlign w:val="center"/>
          </w:tcPr>
          <w:p w14:paraId="59082FBC">
            <w:pPr>
              <w:adjustRightInd w:val="0"/>
              <w:snapToGrid w:val="0"/>
              <w:jc w:val="center"/>
              <w:rPr>
                <w:color w:val="auto"/>
                <w:sz w:val="24"/>
                <w:highlight w:val="none"/>
                <w:shd w:val="clear" w:color="auto" w:fill="auto"/>
              </w:rPr>
            </w:pPr>
          </w:p>
        </w:tc>
        <w:tc>
          <w:tcPr>
            <w:tcW w:w="2126" w:type="dxa"/>
            <w:noWrap w:val="0"/>
            <w:vAlign w:val="center"/>
          </w:tcPr>
          <w:p w14:paraId="128B5B6D">
            <w:pPr>
              <w:adjustRightInd w:val="0"/>
              <w:snapToGrid w:val="0"/>
              <w:jc w:val="center"/>
              <w:rPr>
                <w:color w:val="auto"/>
                <w:sz w:val="24"/>
                <w:highlight w:val="none"/>
                <w:shd w:val="clear" w:color="auto" w:fill="auto"/>
              </w:rPr>
            </w:pPr>
          </w:p>
        </w:tc>
        <w:tc>
          <w:tcPr>
            <w:tcW w:w="1875" w:type="dxa"/>
            <w:noWrap w:val="0"/>
            <w:vAlign w:val="center"/>
          </w:tcPr>
          <w:p w14:paraId="3350EBE8">
            <w:pPr>
              <w:adjustRightInd w:val="0"/>
              <w:snapToGrid w:val="0"/>
              <w:jc w:val="center"/>
              <w:rPr>
                <w:color w:val="auto"/>
                <w:sz w:val="24"/>
                <w:highlight w:val="none"/>
                <w:shd w:val="clear" w:color="auto" w:fill="auto"/>
              </w:rPr>
            </w:pPr>
          </w:p>
        </w:tc>
        <w:tc>
          <w:tcPr>
            <w:tcW w:w="1009" w:type="dxa"/>
            <w:noWrap w:val="0"/>
            <w:vAlign w:val="center"/>
          </w:tcPr>
          <w:p w14:paraId="3CFE1944">
            <w:pPr>
              <w:adjustRightInd w:val="0"/>
              <w:snapToGrid w:val="0"/>
              <w:jc w:val="center"/>
              <w:rPr>
                <w:color w:val="auto"/>
                <w:sz w:val="24"/>
                <w:highlight w:val="none"/>
                <w:shd w:val="clear" w:color="auto" w:fill="auto"/>
              </w:rPr>
            </w:pPr>
          </w:p>
        </w:tc>
      </w:tr>
      <w:tr w14:paraId="2190F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F0E69F4">
            <w:pPr>
              <w:adjustRightInd w:val="0"/>
              <w:snapToGrid w:val="0"/>
              <w:jc w:val="center"/>
              <w:rPr>
                <w:color w:val="auto"/>
                <w:sz w:val="24"/>
                <w:highlight w:val="none"/>
                <w:shd w:val="clear" w:color="auto" w:fill="auto"/>
              </w:rPr>
            </w:pPr>
          </w:p>
        </w:tc>
        <w:tc>
          <w:tcPr>
            <w:tcW w:w="1482" w:type="dxa"/>
            <w:noWrap w:val="0"/>
            <w:vAlign w:val="center"/>
          </w:tcPr>
          <w:p w14:paraId="0367BD8C">
            <w:pPr>
              <w:adjustRightInd w:val="0"/>
              <w:snapToGrid w:val="0"/>
              <w:jc w:val="center"/>
              <w:rPr>
                <w:color w:val="auto"/>
                <w:sz w:val="24"/>
                <w:highlight w:val="none"/>
                <w:shd w:val="clear" w:color="auto" w:fill="auto"/>
              </w:rPr>
            </w:pPr>
          </w:p>
        </w:tc>
        <w:tc>
          <w:tcPr>
            <w:tcW w:w="2384" w:type="dxa"/>
            <w:noWrap w:val="0"/>
            <w:vAlign w:val="center"/>
          </w:tcPr>
          <w:p w14:paraId="09D0DF2A">
            <w:pPr>
              <w:adjustRightInd w:val="0"/>
              <w:snapToGrid w:val="0"/>
              <w:jc w:val="center"/>
              <w:rPr>
                <w:color w:val="auto"/>
                <w:sz w:val="24"/>
                <w:highlight w:val="none"/>
                <w:shd w:val="clear" w:color="auto" w:fill="auto"/>
              </w:rPr>
            </w:pPr>
          </w:p>
        </w:tc>
        <w:tc>
          <w:tcPr>
            <w:tcW w:w="2126" w:type="dxa"/>
            <w:noWrap w:val="0"/>
            <w:vAlign w:val="center"/>
          </w:tcPr>
          <w:p w14:paraId="5535094D">
            <w:pPr>
              <w:adjustRightInd w:val="0"/>
              <w:snapToGrid w:val="0"/>
              <w:jc w:val="center"/>
              <w:rPr>
                <w:color w:val="auto"/>
                <w:sz w:val="24"/>
                <w:highlight w:val="none"/>
                <w:shd w:val="clear" w:color="auto" w:fill="auto"/>
              </w:rPr>
            </w:pPr>
          </w:p>
        </w:tc>
        <w:tc>
          <w:tcPr>
            <w:tcW w:w="1875" w:type="dxa"/>
            <w:noWrap w:val="0"/>
            <w:vAlign w:val="center"/>
          </w:tcPr>
          <w:p w14:paraId="72A427B0">
            <w:pPr>
              <w:adjustRightInd w:val="0"/>
              <w:snapToGrid w:val="0"/>
              <w:jc w:val="center"/>
              <w:rPr>
                <w:color w:val="auto"/>
                <w:sz w:val="24"/>
                <w:highlight w:val="none"/>
                <w:shd w:val="clear" w:color="auto" w:fill="auto"/>
              </w:rPr>
            </w:pPr>
          </w:p>
        </w:tc>
        <w:tc>
          <w:tcPr>
            <w:tcW w:w="1009" w:type="dxa"/>
            <w:noWrap w:val="0"/>
            <w:vAlign w:val="center"/>
          </w:tcPr>
          <w:p w14:paraId="7815930D">
            <w:pPr>
              <w:adjustRightInd w:val="0"/>
              <w:snapToGrid w:val="0"/>
              <w:jc w:val="center"/>
              <w:rPr>
                <w:color w:val="auto"/>
                <w:sz w:val="24"/>
                <w:highlight w:val="none"/>
                <w:shd w:val="clear" w:color="auto" w:fill="auto"/>
              </w:rPr>
            </w:pPr>
          </w:p>
        </w:tc>
      </w:tr>
      <w:tr w14:paraId="0DE58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24DF401">
            <w:pPr>
              <w:adjustRightInd w:val="0"/>
              <w:snapToGrid w:val="0"/>
              <w:jc w:val="center"/>
              <w:rPr>
                <w:color w:val="auto"/>
                <w:sz w:val="24"/>
                <w:highlight w:val="none"/>
                <w:shd w:val="clear" w:color="auto" w:fill="auto"/>
              </w:rPr>
            </w:pPr>
          </w:p>
        </w:tc>
        <w:tc>
          <w:tcPr>
            <w:tcW w:w="1482" w:type="dxa"/>
            <w:noWrap w:val="0"/>
            <w:vAlign w:val="center"/>
          </w:tcPr>
          <w:p w14:paraId="6D22E075">
            <w:pPr>
              <w:adjustRightInd w:val="0"/>
              <w:snapToGrid w:val="0"/>
              <w:jc w:val="center"/>
              <w:rPr>
                <w:color w:val="auto"/>
                <w:sz w:val="24"/>
                <w:highlight w:val="none"/>
                <w:shd w:val="clear" w:color="auto" w:fill="auto"/>
              </w:rPr>
            </w:pPr>
          </w:p>
        </w:tc>
        <w:tc>
          <w:tcPr>
            <w:tcW w:w="2384" w:type="dxa"/>
            <w:noWrap w:val="0"/>
            <w:vAlign w:val="center"/>
          </w:tcPr>
          <w:p w14:paraId="1ECA4A81">
            <w:pPr>
              <w:adjustRightInd w:val="0"/>
              <w:snapToGrid w:val="0"/>
              <w:jc w:val="center"/>
              <w:rPr>
                <w:color w:val="auto"/>
                <w:sz w:val="24"/>
                <w:highlight w:val="none"/>
                <w:shd w:val="clear" w:color="auto" w:fill="auto"/>
              </w:rPr>
            </w:pPr>
          </w:p>
        </w:tc>
        <w:tc>
          <w:tcPr>
            <w:tcW w:w="2126" w:type="dxa"/>
            <w:noWrap w:val="0"/>
            <w:vAlign w:val="center"/>
          </w:tcPr>
          <w:p w14:paraId="1EB30D0C">
            <w:pPr>
              <w:adjustRightInd w:val="0"/>
              <w:snapToGrid w:val="0"/>
              <w:jc w:val="center"/>
              <w:rPr>
                <w:color w:val="auto"/>
                <w:sz w:val="24"/>
                <w:highlight w:val="none"/>
                <w:shd w:val="clear" w:color="auto" w:fill="auto"/>
              </w:rPr>
            </w:pPr>
          </w:p>
        </w:tc>
        <w:tc>
          <w:tcPr>
            <w:tcW w:w="1875" w:type="dxa"/>
            <w:noWrap w:val="0"/>
            <w:vAlign w:val="center"/>
          </w:tcPr>
          <w:p w14:paraId="420CD0AF">
            <w:pPr>
              <w:adjustRightInd w:val="0"/>
              <w:snapToGrid w:val="0"/>
              <w:jc w:val="center"/>
              <w:rPr>
                <w:color w:val="auto"/>
                <w:sz w:val="24"/>
                <w:highlight w:val="none"/>
                <w:shd w:val="clear" w:color="auto" w:fill="auto"/>
              </w:rPr>
            </w:pPr>
          </w:p>
        </w:tc>
        <w:tc>
          <w:tcPr>
            <w:tcW w:w="1009" w:type="dxa"/>
            <w:noWrap w:val="0"/>
            <w:vAlign w:val="center"/>
          </w:tcPr>
          <w:p w14:paraId="53FD32D2">
            <w:pPr>
              <w:adjustRightInd w:val="0"/>
              <w:snapToGrid w:val="0"/>
              <w:jc w:val="center"/>
              <w:rPr>
                <w:color w:val="auto"/>
                <w:sz w:val="24"/>
                <w:highlight w:val="none"/>
                <w:shd w:val="clear" w:color="auto" w:fill="auto"/>
              </w:rPr>
            </w:pPr>
          </w:p>
        </w:tc>
      </w:tr>
      <w:tr w14:paraId="0DCBF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0292D425">
            <w:pPr>
              <w:adjustRightInd w:val="0"/>
              <w:snapToGrid w:val="0"/>
              <w:jc w:val="center"/>
              <w:rPr>
                <w:color w:val="auto"/>
                <w:sz w:val="24"/>
                <w:highlight w:val="none"/>
                <w:shd w:val="clear" w:color="auto" w:fill="auto"/>
              </w:rPr>
            </w:pPr>
          </w:p>
        </w:tc>
        <w:tc>
          <w:tcPr>
            <w:tcW w:w="1482" w:type="dxa"/>
            <w:noWrap w:val="0"/>
            <w:vAlign w:val="center"/>
          </w:tcPr>
          <w:p w14:paraId="2D7219F2">
            <w:pPr>
              <w:adjustRightInd w:val="0"/>
              <w:snapToGrid w:val="0"/>
              <w:jc w:val="center"/>
              <w:rPr>
                <w:color w:val="auto"/>
                <w:sz w:val="24"/>
                <w:highlight w:val="none"/>
                <w:shd w:val="clear" w:color="auto" w:fill="auto"/>
              </w:rPr>
            </w:pPr>
          </w:p>
        </w:tc>
        <w:tc>
          <w:tcPr>
            <w:tcW w:w="2384" w:type="dxa"/>
            <w:noWrap w:val="0"/>
            <w:vAlign w:val="center"/>
          </w:tcPr>
          <w:p w14:paraId="07E65D6F">
            <w:pPr>
              <w:adjustRightInd w:val="0"/>
              <w:snapToGrid w:val="0"/>
              <w:jc w:val="center"/>
              <w:rPr>
                <w:color w:val="auto"/>
                <w:sz w:val="24"/>
                <w:highlight w:val="none"/>
                <w:shd w:val="clear" w:color="auto" w:fill="auto"/>
              </w:rPr>
            </w:pPr>
          </w:p>
        </w:tc>
        <w:tc>
          <w:tcPr>
            <w:tcW w:w="2126" w:type="dxa"/>
            <w:noWrap w:val="0"/>
            <w:vAlign w:val="center"/>
          </w:tcPr>
          <w:p w14:paraId="54381466">
            <w:pPr>
              <w:adjustRightInd w:val="0"/>
              <w:snapToGrid w:val="0"/>
              <w:jc w:val="center"/>
              <w:rPr>
                <w:color w:val="auto"/>
                <w:sz w:val="24"/>
                <w:highlight w:val="none"/>
                <w:shd w:val="clear" w:color="auto" w:fill="auto"/>
              </w:rPr>
            </w:pPr>
          </w:p>
        </w:tc>
        <w:tc>
          <w:tcPr>
            <w:tcW w:w="1875" w:type="dxa"/>
            <w:noWrap w:val="0"/>
            <w:vAlign w:val="center"/>
          </w:tcPr>
          <w:p w14:paraId="2EE3C83F">
            <w:pPr>
              <w:adjustRightInd w:val="0"/>
              <w:snapToGrid w:val="0"/>
              <w:jc w:val="center"/>
              <w:rPr>
                <w:color w:val="auto"/>
                <w:sz w:val="24"/>
                <w:highlight w:val="none"/>
                <w:shd w:val="clear" w:color="auto" w:fill="auto"/>
              </w:rPr>
            </w:pPr>
          </w:p>
        </w:tc>
        <w:tc>
          <w:tcPr>
            <w:tcW w:w="1009" w:type="dxa"/>
            <w:noWrap w:val="0"/>
            <w:vAlign w:val="center"/>
          </w:tcPr>
          <w:p w14:paraId="7CE4490A">
            <w:pPr>
              <w:adjustRightInd w:val="0"/>
              <w:snapToGrid w:val="0"/>
              <w:jc w:val="center"/>
              <w:rPr>
                <w:color w:val="auto"/>
                <w:sz w:val="24"/>
                <w:highlight w:val="none"/>
                <w:shd w:val="clear" w:color="auto" w:fill="auto"/>
              </w:rPr>
            </w:pPr>
          </w:p>
        </w:tc>
      </w:tr>
    </w:tbl>
    <w:p w14:paraId="495D8389">
      <w:pPr>
        <w:tabs>
          <w:tab w:val="left" w:pos="1800"/>
          <w:tab w:val="left" w:pos="5580"/>
        </w:tabs>
        <w:spacing w:line="360" w:lineRule="auto"/>
        <w:ind w:firstLine="360" w:firstLineChars="150"/>
        <w:jc w:val="left"/>
        <w:rPr>
          <w:color w:val="auto"/>
          <w:sz w:val="24"/>
          <w:highlight w:val="none"/>
          <w:u w:val="single"/>
          <w:shd w:val="clear" w:color="auto" w:fill="auto"/>
        </w:rPr>
      </w:pPr>
    </w:p>
    <w:p w14:paraId="5CB90D65">
      <w:pPr>
        <w:tabs>
          <w:tab w:val="left" w:pos="1800"/>
          <w:tab w:val="left" w:pos="5580"/>
        </w:tabs>
        <w:spacing w:line="360" w:lineRule="auto"/>
        <w:ind w:firstLine="360" w:firstLineChars="150"/>
        <w:jc w:val="left"/>
        <w:rPr>
          <w:color w:val="auto"/>
          <w:sz w:val="24"/>
          <w:highlight w:val="none"/>
          <w:u w:val="single"/>
          <w:shd w:val="clear" w:color="auto" w:fill="auto"/>
        </w:rPr>
      </w:pPr>
    </w:p>
    <w:p w14:paraId="5C74A8DE">
      <w:pPr>
        <w:tabs>
          <w:tab w:val="left" w:pos="1800"/>
          <w:tab w:val="left" w:pos="5580"/>
        </w:tabs>
        <w:jc w:val="left"/>
        <w:rPr>
          <w:color w:val="auto"/>
          <w:sz w:val="24"/>
          <w:highlight w:val="none"/>
          <w:shd w:val="clear" w:color="auto" w:fill="auto"/>
        </w:rPr>
      </w:pPr>
      <w:r>
        <w:rPr>
          <w:color w:val="auto"/>
          <w:sz w:val="24"/>
          <w:highlight w:val="none"/>
          <w:shd w:val="clear" w:color="auto" w:fill="auto"/>
        </w:rPr>
        <w:t>注：</w:t>
      </w:r>
    </w:p>
    <w:p w14:paraId="2C9AA3FB">
      <w:pPr>
        <w:tabs>
          <w:tab w:val="left" w:pos="1800"/>
          <w:tab w:val="left" w:pos="5580"/>
        </w:tabs>
        <w:jc w:val="left"/>
        <w:rPr>
          <w:color w:val="auto"/>
          <w:sz w:val="24"/>
          <w:highlight w:val="none"/>
          <w:shd w:val="clear" w:color="auto" w:fill="auto"/>
        </w:rPr>
      </w:pPr>
      <w:r>
        <w:rPr>
          <w:rFonts w:hint="eastAsia"/>
          <w:color w:val="auto"/>
          <w:sz w:val="24"/>
          <w:highlight w:val="none"/>
          <w:shd w:val="clear" w:color="auto" w:fill="auto"/>
        </w:rPr>
        <w:t>1.</w:t>
      </w:r>
      <w:r>
        <w:rPr>
          <w:color w:val="auto"/>
          <w:sz w:val="24"/>
          <w:highlight w:val="none"/>
          <w:shd w:val="clear" w:color="auto" w:fill="auto"/>
        </w:rPr>
        <w:t xml:space="preserve"> 对磋商文件中的所有商务、技术要求，除本表所列明的所有偏离外，均视作供应商已对之理解和</w:t>
      </w:r>
      <w:r>
        <w:rPr>
          <w:rFonts w:hint="eastAsia"/>
          <w:color w:val="auto"/>
          <w:sz w:val="24"/>
          <w:highlight w:val="none"/>
          <w:shd w:val="clear" w:color="auto" w:fill="auto"/>
        </w:rPr>
        <w:t>响应</w:t>
      </w:r>
      <w:r>
        <w:rPr>
          <w:color w:val="auto"/>
          <w:sz w:val="24"/>
          <w:highlight w:val="none"/>
          <w:shd w:val="clear" w:color="auto" w:fill="auto"/>
        </w:rPr>
        <w:t>。此表中若无任何文字说明，内容为空白，则</w:t>
      </w:r>
      <w:r>
        <w:rPr>
          <w:b/>
          <w:color w:val="auto"/>
          <w:sz w:val="24"/>
          <w:highlight w:val="none"/>
          <w:shd w:val="clear" w:color="auto" w:fill="auto"/>
        </w:rPr>
        <w:t>响应无效</w:t>
      </w:r>
      <w:r>
        <w:rPr>
          <w:color w:val="auto"/>
          <w:sz w:val="24"/>
          <w:highlight w:val="none"/>
          <w:shd w:val="clear" w:color="auto" w:fill="auto"/>
        </w:rPr>
        <w:t>。</w:t>
      </w:r>
    </w:p>
    <w:p w14:paraId="3F9818E1">
      <w:pPr>
        <w:tabs>
          <w:tab w:val="left" w:pos="1800"/>
          <w:tab w:val="left" w:pos="5580"/>
        </w:tabs>
        <w:jc w:val="left"/>
        <w:rPr>
          <w:color w:val="auto"/>
          <w:sz w:val="24"/>
          <w:highlight w:val="none"/>
          <w:shd w:val="clear" w:color="auto" w:fill="auto"/>
        </w:rPr>
      </w:pPr>
      <w:r>
        <w:rPr>
          <w:color w:val="auto"/>
          <w:sz w:val="24"/>
          <w:highlight w:val="none"/>
          <w:shd w:val="clear" w:color="auto" w:fill="auto"/>
        </w:rPr>
        <w:t>2.</w:t>
      </w:r>
      <w:r>
        <w:rPr>
          <w:rFonts w:hint="eastAsia"/>
          <w:color w:val="auto"/>
          <w:sz w:val="24"/>
          <w:highlight w:val="none"/>
          <w:shd w:val="clear" w:color="auto" w:fill="auto"/>
        </w:rPr>
        <w:t>“偏离情况”列应据实填写“正偏离”或“负偏离”。</w:t>
      </w:r>
    </w:p>
    <w:p w14:paraId="609D3473">
      <w:pPr>
        <w:tabs>
          <w:tab w:val="left" w:pos="1800"/>
          <w:tab w:val="left" w:pos="5580"/>
        </w:tabs>
        <w:jc w:val="left"/>
        <w:rPr>
          <w:color w:val="auto"/>
          <w:sz w:val="24"/>
          <w:highlight w:val="none"/>
          <w:shd w:val="clear" w:color="auto" w:fill="auto"/>
        </w:rPr>
      </w:pPr>
    </w:p>
    <w:p w14:paraId="4BC5518B">
      <w:pPr>
        <w:rPr>
          <w:color w:val="auto"/>
          <w:sz w:val="24"/>
          <w:szCs w:val="20"/>
          <w:highlight w:val="none"/>
          <w:shd w:val="clear" w:color="auto" w:fill="auto"/>
        </w:rPr>
      </w:pPr>
    </w:p>
    <w:p w14:paraId="6B414BF3">
      <w:pPr>
        <w:autoSpaceDE w:val="0"/>
        <w:autoSpaceDN w:val="0"/>
        <w:adjustRightInd w:val="0"/>
        <w:snapToGrid w:val="0"/>
        <w:spacing w:before="25" w:after="25" w:line="360" w:lineRule="auto"/>
        <w:rPr>
          <w:color w:val="auto"/>
          <w:sz w:val="24"/>
          <w:highlight w:val="none"/>
          <w:shd w:val="clear" w:color="auto" w:fill="auto"/>
          <w:lang w:val="zh-CN"/>
        </w:rPr>
      </w:pPr>
      <w:r>
        <w:rPr>
          <w:color w:val="auto"/>
          <w:sz w:val="24"/>
          <w:highlight w:val="none"/>
          <w:shd w:val="clear" w:color="auto" w:fill="auto"/>
          <w:lang w:val="zh-CN"/>
        </w:rPr>
        <w:t xml:space="preserve">                  </w:t>
      </w:r>
    </w:p>
    <w:p w14:paraId="54515678">
      <w:pPr>
        <w:autoSpaceDE w:val="0"/>
        <w:autoSpaceDN w:val="0"/>
        <w:adjustRightInd w:val="0"/>
        <w:snapToGrid w:val="0"/>
        <w:spacing w:before="25" w:after="25" w:line="360" w:lineRule="auto"/>
        <w:rPr>
          <w:color w:val="auto"/>
          <w:sz w:val="24"/>
          <w:highlight w:val="none"/>
          <w:shd w:val="clear" w:color="auto" w:fill="auto"/>
          <w:lang w:val="zh-CN"/>
        </w:rPr>
      </w:pPr>
      <w:r>
        <w:rPr>
          <w:color w:val="auto"/>
          <w:sz w:val="24"/>
          <w:highlight w:val="none"/>
          <w:shd w:val="clear" w:color="auto" w:fill="auto"/>
        </w:rPr>
        <w:t>供应商名称（加盖公章）</w:t>
      </w:r>
      <w:r>
        <w:rPr>
          <w:color w:val="auto"/>
          <w:sz w:val="24"/>
          <w:highlight w:val="none"/>
          <w:shd w:val="clear" w:color="auto" w:fill="auto"/>
          <w:lang w:val="zh-CN"/>
        </w:rPr>
        <w:t>：    ____________</w:t>
      </w:r>
    </w:p>
    <w:p w14:paraId="41595119">
      <w:pPr>
        <w:autoSpaceDE w:val="0"/>
        <w:autoSpaceDN w:val="0"/>
        <w:adjustRightInd w:val="0"/>
        <w:snapToGrid w:val="0"/>
        <w:spacing w:before="25" w:after="25" w:line="360" w:lineRule="auto"/>
        <w:rPr>
          <w:color w:val="auto"/>
          <w:sz w:val="24"/>
          <w:highlight w:val="none"/>
          <w:shd w:val="clear" w:color="auto" w:fill="auto"/>
          <w:lang w:val="zh-CN"/>
        </w:rPr>
      </w:pPr>
      <w:r>
        <w:rPr>
          <w:color w:val="auto"/>
          <w:sz w:val="24"/>
          <w:szCs w:val="20"/>
          <w:highlight w:val="none"/>
          <w:shd w:val="clear" w:color="auto" w:fill="auto"/>
        </w:rPr>
        <w:t xml:space="preserve">日期：_____年______月______日   </w:t>
      </w:r>
    </w:p>
    <w:p w14:paraId="0ACFED05">
      <w:pPr>
        <w:rPr>
          <w:color w:val="auto"/>
          <w:sz w:val="24"/>
          <w:szCs w:val="20"/>
          <w:highlight w:val="none"/>
          <w:shd w:val="clear" w:color="auto" w:fill="auto"/>
        </w:rPr>
      </w:pPr>
      <w:r>
        <w:rPr>
          <w:color w:val="auto"/>
          <w:sz w:val="24"/>
          <w:szCs w:val="20"/>
          <w:highlight w:val="none"/>
          <w:shd w:val="clear" w:color="auto" w:fill="auto"/>
        </w:rPr>
        <w:br w:type="page"/>
      </w:r>
      <w:r>
        <w:rPr>
          <w:rFonts w:hint="eastAsia"/>
          <w:color w:val="auto"/>
          <w:sz w:val="24"/>
          <w:szCs w:val="20"/>
          <w:highlight w:val="none"/>
          <w:shd w:val="clear" w:color="auto" w:fill="auto"/>
          <w:lang w:val="en-US" w:eastAsia="zh-CN"/>
        </w:rPr>
        <w:t xml:space="preserve">11 </w:t>
      </w:r>
      <w:r>
        <w:rPr>
          <w:color w:val="auto"/>
          <w:sz w:val="24"/>
          <w:szCs w:val="20"/>
          <w:highlight w:val="none"/>
          <w:shd w:val="clear" w:color="auto" w:fill="auto"/>
        </w:rPr>
        <w:t xml:space="preserve"> </w:t>
      </w:r>
      <w:r>
        <w:rPr>
          <w:rFonts w:hint="eastAsia"/>
          <w:color w:val="auto"/>
          <w:sz w:val="24"/>
          <w:szCs w:val="20"/>
          <w:highlight w:val="none"/>
          <w:shd w:val="clear" w:color="auto" w:fill="auto"/>
        </w:rPr>
        <w:t>项目实施方案等，包括但不限于如下主题：</w:t>
      </w:r>
    </w:p>
    <w:p w14:paraId="6B82BA21">
      <w:pPr>
        <w:snapToGrid w:val="0"/>
        <w:spacing w:line="560" w:lineRule="exact"/>
        <w:ind w:firstLine="480" w:firstLineChars="200"/>
        <w:rPr>
          <w:rFonts w:hint="eastAsia"/>
          <w:color w:val="auto"/>
          <w:sz w:val="24"/>
          <w:szCs w:val="20"/>
          <w:highlight w:val="none"/>
          <w:shd w:val="clear" w:color="auto" w:fill="auto"/>
          <w:lang w:eastAsia="zh-CN"/>
        </w:rPr>
      </w:pPr>
      <w:r>
        <w:rPr>
          <w:rFonts w:hint="eastAsia"/>
          <w:color w:val="auto"/>
          <w:sz w:val="24"/>
          <w:szCs w:val="20"/>
          <w:highlight w:val="none"/>
          <w:shd w:val="clear" w:color="auto" w:fill="auto"/>
          <w:lang w:eastAsia="zh-CN"/>
        </w:rPr>
        <w:t>（</w:t>
      </w:r>
      <w:r>
        <w:rPr>
          <w:rFonts w:hint="eastAsia"/>
          <w:color w:val="auto"/>
          <w:sz w:val="24"/>
          <w:szCs w:val="20"/>
          <w:highlight w:val="none"/>
          <w:shd w:val="clear" w:color="auto" w:fill="auto"/>
          <w:lang w:val="en-US" w:eastAsia="zh-CN"/>
        </w:rPr>
        <w:t>1</w:t>
      </w:r>
      <w:r>
        <w:rPr>
          <w:rFonts w:hint="eastAsia"/>
          <w:color w:val="auto"/>
          <w:sz w:val="24"/>
          <w:szCs w:val="20"/>
          <w:highlight w:val="none"/>
          <w:shd w:val="clear" w:color="auto" w:fill="auto"/>
          <w:lang w:eastAsia="zh-CN"/>
        </w:rPr>
        <w:t>）总体概述</w:t>
      </w:r>
    </w:p>
    <w:p w14:paraId="6C1D5E9D">
      <w:pPr>
        <w:snapToGrid w:val="0"/>
        <w:spacing w:line="560" w:lineRule="exact"/>
        <w:ind w:firstLine="480" w:firstLineChars="200"/>
        <w:rPr>
          <w:rFonts w:hint="eastAsia"/>
          <w:color w:val="auto"/>
          <w:sz w:val="24"/>
          <w:szCs w:val="20"/>
          <w:highlight w:val="none"/>
          <w:shd w:val="clear" w:color="auto" w:fill="auto"/>
          <w:lang w:eastAsia="zh-CN"/>
        </w:rPr>
      </w:pPr>
      <w:r>
        <w:rPr>
          <w:rFonts w:hint="eastAsia"/>
          <w:color w:val="auto"/>
          <w:sz w:val="24"/>
          <w:szCs w:val="20"/>
          <w:highlight w:val="none"/>
          <w:shd w:val="clear" w:color="auto" w:fill="auto"/>
          <w:lang w:eastAsia="zh-CN"/>
        </w:rPr>
        <w:t>（</w:t>
      </w:r>
      <w:r>
        <w:rPr>
          <w:rFonts w:hint="eastAsia"/>
          <w:color w:val="auto"/>
          <w:sz w:val="24"/>
          <w:szCs w:val="20"/>
          <w:highlight w:val="none"/>
          <w:shd w:val="clear" w:color="auto" w:fill="auto"/>
          <w:lang w:val="en-US" w:eastAsia="zh-CN"/>
        </w:rPr>
        <w:t>2</w:t>
      </w:r>
      <w:r>
        <w:rPr>
          <w:rFonts w:hint="eastAsia"/>
          <w:color w:val="auto"/>
          <w:sz w:val="24"/>
          <w:szCs w:val="20"/>
          <w:highlight w:val="none"/>
          <w:shd w:val="clear" w:color="auto" w:fill="auto"/>
          <w:lang w:eastAsia="zh-CN"/>
        </w:rPr>
        <w:t>）施工质量保证措施</w:t>
      </w:r>
    </w:p>
    <w:p w14:paraId="196F2F24">
      <w:pPr>
        <w:snapToGrid w:val="0"/>
        <w:spacing w:line="560" w:lineRule="exact"/>
        <w:ind w:firstLine="480" w:firstLineChars="200"/>
        <w:rPr>
          <w:rFonts w:hint="eastAsia"/>
          <w:color w:val="auto"/>
          <w:sz w:val="24"/>
          <w:szCs w:val="20"/>
          <w:highlight w:val="none"/>
          <w:shd w:val="clear" w:color="auto" w:fill="auto"/>
          <w:lang w:eastAsia="zh-CN"/>
        </w:rPr>
      </w:pPr>
      <w:r>
        <w:rPr>
          <w:rFonts w:hint="eastAsia"/>
          <w:color w:val="auto"/>
          <w:sz w:val="24"/>
          <w:szCs w:val="20"/>
          <w:highlight w:val="none"/>
          <w:shd w:val="clear" w:color="auto" w:fill="auto"/>
          <w:lang w:eastAsia="zh-CN"/>
        </w:rPr>
        <w:t>（</w:t>
      </w:r>
      <w:r>
        <w:rPr>
          <w:rFonts w:hint="eastAsia"/>
          <w:color w:val="auto"/>
          <w:sz w:val="24"/>
          <w:szCs w:val="20"/>
          <w:highlight w:val="none"/>
          <w:shd w:val="clear" w:color="auto" w:fill="auto"/>
          <w:lang w:val="en-US" w:eastAsia="zh-CN"/>
        </w:rPr>
        <w:t>3</w:t>
      </w:r>
      <w:r>
        <w:rPr>
          <w:rFonts w:hint="eastAsia"/>
          <w:color w:val="auto"/>
          <w:sz w:val="24"/>
          <w:szCs w:val="20"/>
          <w:highlight w:val="none"/>
          <w:shd w:val="clear" w:color="auto" w:fill="auto"/>
          <w:lang w:eastAsia="zh-CN"/>
        </w:rPr>
        <w:t>）施工进度计划和各阶段进度的保证措施</w:t>
      </w:r>
    </w:p>
    <w:p w14:paraId="7772A50F">
      <w:pPr>
        <w:snapToGrid w:val="0"/>
        <w:spacing w:line="560" w:lineRule="exact"/>
        <w:ind w:firstLine="480" w:firstLineChars="200"/>
        <w:rPr>
          <w:rFonts w:hint="eastAsia"/>
          <w:color w:val="auto"/>
          <w:sz w:val="24"/>
          <w:szCs w:val="20"/>
          <w:highlight w:val="none"/>
          <w:shd w:val="clear" w:color="auto" w:fill="auto"/>
          <w:lang w:eastAsia="zh-CN"/>
        </w:rPr>
      </w:pPr>
      <w:r>
        <w:rPr>
          <w:rFonts w:hint="eastAsia"/>
          <w:color w:val="auto"/>
          <w:sz w:val="24"/>
          <w:szCs w:val="20"/>
          <w:highlight w:val="none"/>
          <w:shd w:val="clear" w:color="auto" w:fill="auto"/>
          <w:lang w:eastAsia="zh-CN"/>
        </w:rPr>
        <w:t>（</w:t>
      </w:r>
      <w:r>
        <w:rPr>
          <w:rFonts w:hint="eastAsia"/>
          <w:color w:val="auto"/>
          <w:sz w:val="24"/>
          <w:szCs w:val="20"/>
          <w:highlight w:val="none"/>
          <w:shd w:val="clear" w:color="auto" w:fill="auto"/>
          <w:lang w:val="en-US" w:eastAsia="zh-CN"/>
        </w:rPr>
        <w:t>4</w:t>
      </w:r>
      <w:r>
        <w:rPr>
          <w:rFonts w:hint="eastAsia"/>
          <w:color w:val="auto"/>
          <w:sz w:val="24"/>
          <w:szCs w:val="20"/>
          <w:highlight w:val="none"/>
          <w:shd w:val="clear" w:color="auto" w:fill="auto"/>
          <w:lang w:eastAsia="zh-CN"/>
        </w:rPr>
        <w:t>）安全文明施工的保证措施</w:t>
      </w:r>
    </w:p>
    <w:p w14:paraId="28527971">
      <w:pPr>
        <w:snapToGrid w:val="0"/>
        <w:spacing w:line="560" w:lineRule="exact"/>
        <w:ind w:firstLine="480" w:firstLineChars="200"/>
        <w:rPr>
          <w:rFonts w:hint="eastAsia"/>
          <w:color w:val="auto"/>
          <w:sz w:val="24"/>
          <w:szCs w:val="20"/>
          <w:highlight w:val="none"/>
          <w:shd w:val="clear" w:color="auto" w:fill="auto"/>
          <w:lang w:eastAsia="zh-CN"/>
        </w:rPr>
      </w:pPr>
      <w:r>
        <w:rPr>
          <w:rFonts w:hint="eastAsia"/>
          <w:color w:val="auto"/>
          <w:sz w:val="24"/>
          <w:szCs w:val="20"/>
          <w:highlight w:val="none"/>
          <w:shd w:val="clear" w:color="auto" w:fill="auto"/>
          <w:lang w:eastAsia="zh-CN"/>
        </w:rPr>
        <w:t>（</w:t>
      </w:r>
      <w:r>
        <w:rPr>
          <w:rFonts w:hint="eastAsia"/>
          <w:color w:val="auto"/>
          <w:sz w:val="24"/>
          <w:szCs w:val="20"/>
          <w:highlight w:val="none"/>
          <w:shd w:val="clear" w:color="auto" w:fill="auto"/>
          <w:lang w:val="en-US" w:eastAsia="zh-CN"/>
        </w:rPr>
        <w:t>5</w:t>
      </w:r>
      <w:r>
        <w:rPr>
          <w:rFonts w:hint="eastAsia"/>
          <w:color w:val="auto"/>
          <w:sz w:val="24"/>
          <w:szCs w:val="20"/>
          <w:highlight w:val="none"/>
          <w:shd w:val="clear" w:color="auto" w:fill="auto"/>
          <w:lang w:eastAsia="zh-CN"/>
        </w:rPr>
        <w:t>）关键施工技术、工艺及工程项目实施的重点、难点和解决方案</w:t>
      </w:r>
    </w:p>
    <w:p w14:paraId="0891C73D">
      <w:pPr>
        <w:snapToGrid w:val="0"/>
        <w:spacing w:line="560" w:lineRule="exact"/>
        <w:ind w:firstLine="480" w:firstLineChars="200"/>
        <w:rPr>
          <w:rFonts w:hint="eastAsia" w:eastAsia="宋体"/>
          <w:color w:val="auto"/>
          <w:sz w:val="24"/>
          <w:szCs w:val="20"/>
          <w:highlight w:val="none"/>
          <w:shd w:val="clear" w:color="auto" w:fill="auto"/>
          <w:lang w:eastAsia="zh-CN"/>
        </w:rPr>
      </w:pPr>
      <w:r>
        <w:rPr>
          <w:rFonts w:hint="eastAsia"/>
          <w:color w:val="auto"/>
          <w:sz w:val="24"/>
          <w:szCs w:val="20"/>
          <w:highlight w:val="none"/>
          <w:shd w:val="clear" w:color="auto" w:fill="auto"/>
          <w:lang w:eastAsia="zh-CN"/>
        </w:rPr>
        <w:t>（</w:t>
      </w:r>
      <w:r>
        <w:rPr>
          <w:rFonts w:hint="eastAsia"/>
          <w:color w:val="auto"/>
          <w:sz w:val="24"/>
          <w:szCs w:val="20"/>
          <w:highlight w:val="none"/>
          <w:shd w:val="clear" w:color="auto" w:fill="auto"/>
          <w:lang w:val="en-US" w:eastAsia="zh-CN"/>
        </w:rPr>
        <w:t>6</w:t>
      </w:r>
      <w:r>
        <w:rPr>
          <w:rFonts w:hint="eastAsia"/>
          <w:color w:val="auto"/>
          <w:sz w:val="24"/>
          <w:szCs w:val="20"/>
          <w:highlight w:val="none"/>
          <w:shd w:val="clear" w:color="auto" w:fill="auto"/>
          <w:lang w:eastAsia="zh-CN"/>
        </w:rPr>
        <w:t>）</w:t>
      </w:r>
      <w:r>
        <w:rPr>
          <w:rFonts w:hint="eastAsia" w:eastAsia="宋体"/>
          <w:color w:val="auto"/>
          <w:sz w:val="24"/>
          <w:szCs w:val="20"/>
          <w:highlight w:val="none"/>
          <w:shd w:val="clear" w:color="auto" w:fill="auto"/>
          <w:lang w:eastAsia="zh-CN"/>
        </w:rPr>
        <w:t>其他</w:t>
      </w:r>
    </w:p>
    <w:p w14:paraId="27B0987B">
      <w:pPr>
        <w:spacing w:line="360" w:lineRule="auto"/>
        <w:outlineLvl w:val="2"/>
        <w:rPr>
          <w:rFonts w:hint="eastAsia"/>
          <w:color w:val="auto"/>
          <w:sz w:val="24"/>
          <w:szCs w:val="20"/>
          <w:highlight w:val="none"/>
          <w:shd w:val="clear" w:color="auto" w:fill="auto"/>
        </w:rPr>
      </w:pPr>
    </w:p>
    <w:p w14:paraId="2B9D833B">
      <w:pPr>
        <w:rPr>
          <w:rFonts w:hint="eastAsia"/>
          <w:color w:val="auto"/>
          <w:sz w:val="24"/>
          <w:szCs w:val="20"/>
          <w:highlight w:val="none"/>
          <w:shd w:val="clear" w:color="auto" w:fill="auto"/>
          <w:lang w:val="en-US" w:eastAsia="zh-CN"/>
        </w:rPr>
        <w:sectPr>
          <w:pgSz w:w="11907" w:h="16840"/>
          <w:pgMar w:top="1418" w:right="1134" w:bottom="1418" w:left="1701" w:header="851" w:footer="851" w:gutter="0"/>
          <w:pgNumType w:fmt="decimal"/>
          <w:cols w:space="720" w:num="1"/>
          <w:docGrid w:linePitch="462" w:charSpace="0"/>
        </w:sectPr>
      </w:pPr>
    </w:p>
    <w:p w14:paraId="67EB0B79">
      <w:pPr>
        <w:rPr>
          <w:color w:val="auto"/>
          <w:sz w:val="24"/>
          <w:szCs w:val="20"/>
          <w:highlight w:val="none"/>
          <w:shd w:val="clear" w:color="auto" w:fill="auto"/>
        </w:rPr>
      </w:pPr>
      <w:r>
        <w:rPr>
          <w:rFonts w:hint="eastAsia"/>
          <w:color w:val="auto"/>
          <w:sz w:val="24"/>
          <w:szCs w:val="20"/>
          <w:highlight w:val="none"/>
          <w:shd w:val="clear" w:color="auto" w:fill="auto"/>
          <w:lang w:val="en-US" w:eastAsia="zh-CN"/>
        </w:rPr>
        <w:t xml:space="preserve"> </w:t>
      </w:r>
      <w:r>
        <w:rPr>
          <w:rFonts w:hint="eastAsia"/>
          <w:color w:val="auto"/>
          <w:sz w:val="24"/>
          <w:szCs w:val="20"/>
          <w:highlight w:val="none"/>
          <w:shd w:val="clear" w:color="auto" w:fill="auto"/>
        </w:rPr>
        <w:t>1</w:t>
      </w:r>
      <w:r>
        <w:rPr>
          <w:rFonts w:hint="eastAsia"/>
          <w:color w:val="auto"/>
          <w:sz w:val="24"/>
          <w:szCs w:val="20"/>
          <w:highlight w:val="none"/>
          <w:shd w:val="clear" w:color="auto" w:fill="auto"/>
          <w:lang w:val="en-US" w:eastAsia="zh-CN"/>
        </w:rPr>
        <w:t xml:space="preserve">2 </w:t>
      </w:r>
      <w:r>
        <w:rPr>
          <w:rFonts w:hint="eastAsia"/>
          <w:color w:val="auto"/>
          <w:sz w:val="24"/>
          <w:szCs w:val="20"/>
          <w:highlight w:val="none"/>
          <w:shd w:val="clear" w:color="auto" w:fill="auto"/>
        </w:rPr>
        <w:t xml:space="preserve"> 参加本项目人员一览表</w:t>
      </w:r>
    </w:p>
    <w:p w14:paraId="7A44B10D">
      <w:pPr>
        <w:spacing w:line="360" w:lineRule="auto"/>
        <w:jc w:val="center"/>
        <w:rPr>
          <w:rFonts w:hint="eastAsia" w:ascii="宋体" w:hAnsi="宋体"/>
          <w:b/>
          <w:color w:val="auto"/>
          <w:sz w:val="32"/>
          <w:szCs w:val="32"/>
          <w:highlight w:val="none"/>
          <w:shd w:val="clear" w:color="auto" w:fill="auto"/>
        </w:rPr>
      </w:pPr>
    </w:p>
    <w:p w14:paraId="4BDF6CD5">
      <w:pPr>
        <w:spacing w:line="360" w:lineRule="auto"/>
        <w:jc w:val="center"/>
        <w:rPr>
          <w:rFonts w:ascii="宋体" w:hAnsi="宋体"/>
          <w:b/>
          <w:color w:val="auto"/>
          <w:sz w:val="32"/>
          <w:szCs w:val="32"/>
          <w:highlight w:val="none"/>
          <w:shd w:val="clear" w:color="auto" w:fill="auto"/>
        </w:rPr>
      </w:pPr>
      <w:r>
        <w:rPr>
          <w:rFonts w:hint="eastAsia" w:ascii="宋体" w:hAnsi="宋体"/>
          <w:b/>
          <w:color w:val="auto"/>
          <w:sz w:val="32"/>
          <w:szCs w:val="32"/>
          <w:highlight w:val="none"/>
          <w:shd w:val="clear" w:color="auto" w:fill="auto"/>
        </w:rPr>
        <w:t>参加本项目人员一览表</w:t>
      </w:r>
    </w:p>
    <w:p w14:paraId="21A4413D">
      <w:pPr>
        <w:snapToGrid w:val="0"/>
        <w:spacing w:line="360" w:lineRule="auto"/>
        <w:rPr>
          <w:rFonts w:ascii="宋体" w:hAnsi="宋体"/>
          <w:color w:val="auto"/>
          <w:sz w:val="22"/>
          <w:highlight w:val="none"/>
          <w:shd w:val="clear" w:color="auto" w:fill="auto"/>
        </w:rPr>
      </w:pPr>
    </w:p>
    <w:p w14:paraId="0596865B">
      <w:pPr>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项目编号：</w:t>
      </w:r>
      <w:r>
        <w:rPr>
          <w:rFonts w:hint="eastAsia" w:ascii="宋体" w:hAnsi="宋体" w:cs="宋体"/>
          <w:color w:val="auto"/>
          <w:sz w:val="24"/>
          <w:highlight w:val="none"/>
          <w:u w:val="single"/>
          <w:shd w:val="clear" w:color="auto" w:fill="auto"/>
        </w:rPr>
        <w:t xml:space="preserve">                     </w:t>
      </w:r>
    </w:p>
    <w:tbl>
      <w:tblPr>
        <w:tblStyle w:val="12"/>
        <w:tblW w:w="0" w:type="auto"/>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648654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center"/>
          </w:tcPr>
          <w:p w14:paraId="7F3D8CCB">
            <w:pPr>
              <w:tabs>
                <w:tab w:val="left" w:pos="9765"/>
              </w:tabs>
              <w:snapToGrid w:val="0"/>
              <w:spacing w:line="360" w:lineRule="auto"/>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序号</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66C79E00">
            <w:pPr>
              <w:tabs>
                <w:tab w:val="left" w:pos="9765"/>
              </w:tabs>
              <w:snapToGrid w:val="0"/>
              <w:spacing w:line="360" w:lineRule="auto"/>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姓名</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4C7C03BA">
            <w:pPr>
              <w:tabs>
                <w:tab w:val="left" w:pos="9765"/>
              </w:tabs>
              <w:snapToGrid w:val="0"/>
              <w:spacing w:line="360" w:lineRule="auto"/>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性别</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23D34BD6">
            <w:pPr>
              <w:tabs>
                <w:tab w:val="left" w:pos="9765"/>
              </w:tabs>
              <w:snapToGrid w:val="0"/>
              <w:spacing w:line="360" w:lineRule="auto"/>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年龄</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78EDA699">
            <w:pPr>
              <w:tabs>
                <w:tab w:val="left" w:pos="9765"/>
              </w:tabs>
              <w:snapToGrid w:val="0"/>
              <w:spacing w:line="360" w:lineRule="auto"/>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毕业学校和学历</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4A5298E1">
            <w:pPr>
              <w:tabs>
                <w:tab w:val="left" w:pos="9765"/>
              </w:tabs>
              <w:snapToGrid w:val="0"/>
              <w:spacing w:line="360" w:lineRule="auto"/>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专业</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56A10CAF">
            <w:pPr>
              <w:tabs>
                <w:tab w:val="left" w:pos="9765"/>
              </w:tabs>
              <w:snapToGrid w:val="0"/>
              <w:spacing w:line="360" w:lineRule="auto"/>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职称</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6D328AAA">
            <w:pPr>
              <w:tabs>
                <w:tab w:val="left" w:pos="9765"/>
              </w:tabs>
              <w:snapToGrid w:val="0"/>
              <w:spacing w:line="360" w:lineRule="auto"/>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专业培训及证书</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75A6D0F2">
            <w:pPr>
              <w:tabs>
                <w:tab w:val="left" w:pos="9765"/>
              </w:tabs>
              <w:snapToGrid w:val="0"/>
              <w:spacing w:line="360" w:lineRule="auto"/>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责任</w:t>
            </w:r>
          </w:p>
          <w:p w14:paraId="180E1695">
            <w:pPr>
              <w:tabs>
                <w:tab w:val="left" w:pos="9765"/>
              </w:tabs>
              <w:snapToGrid w:val="0"/>
              <w:spacing w:line="360" w:lineRule="auto"/>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或分工</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70CF6303">
            <w:pPr>
              <w:tabs>
                <w:tab w:val="left" w:pos="9765"/>
              </w:tabs>
              <w:snapToGrid w:val="0"/>
              <w:spacing w:line="360" w:lineRule="auto"/>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项目经历或主要工作</w:t>
            </w:r>
          </w:p>
          <w:p w14:paraId="1A05D26B">
            <w:pPr>
              <w:tabs>
                <w:tab w:val="left" w:pos="9765"/>
              </w:tabs>
              <w:snapToGrid w:val="0"/>
              <w:spacing w:line="360" w:lineRule="auto"/>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业绩</w:t>
            </w:r>
          </w:p>
        </w:tc>
      </w:tr>
      <w:tr w14:paraId="28911B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3B567EB6">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2160428">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4C91C736">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78B2580C">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2908D7D">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1A535C8">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C6B2317">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0D7CFE0">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5E539B74">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07F30A5F">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r>
      <w:tr w14:paraId="5A87D3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185A074E">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299B421C">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3BE41B7">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72AE7842">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4A6F52D2">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04E15DBC">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5CDCB2BE">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2A3B9A5C">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4F675887">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7ED32210">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r>
      <w:tr w14:paraId="72F203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6103D490">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7F4B9AE2">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4AA0AC83">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4CE04358">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6389A743">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038F030">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2B52BBF1">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1147B53">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486F8712">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47D70FAE">
            <w:pPr>
              <w:tabs>
                <w:tab w:val="left" w:pos="9765"/>
              </w:tabs>
              <w:snapToGrid w:val="0"/>
              <w:spacing w:line="360" w:lineRule="auto"/>
              <w:rPr>
                <w:rFonts w:ascii="宋体" w:hAnsi="宋体" w:cs="宋体"/>
                <w:color w:val="auto"/>
                <w:sz w:val="24"/>
                <w:highlight w:val="none"/>
                <w:shd w:val="clear" w:color="auto" w:fill="auto"/>
              </w:rPr>
            </w:pPr>
          </w:p>
        </w:tc>
      </w:tr>
      <w:tr w14:paraId="56AC9D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7CE28839">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E258841">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5B4A5CD5">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76783F5">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CB65F19">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B8031D3">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6150E85A">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59FFCA99">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AD6EB06">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6BA4671">
            <w:pPr>
              <w:tabs>
                <w:tab w:val="left" w:pos="9765"/>
              </w:tabs>
              <w:snapToGrid w:val="0"/>
              <w:spacing w:line="360" w:lineRule="auto"/>
              <w:rPr>
                <w:rFonts w:ascii="宋体" w:hAnsi="宋体" w:cs="宋体"/>
                <w:color w:val="auto"/>
                <w:sz w:val="24"/>
                <w:highlight w:val="none"/>
                <w:shd w:val="clear" w:color="auto" w:fill="auto"/>
              </w:rPr>
            </w:pPr>
          </w:p>
        </w:tc>
      </w:tr>
      <w:tr w14:paraId="64BF37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4A9091DF">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5A27378C">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733F161D">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27F3CF6E">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5C87A51D">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4E697DCD">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8A99032">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74670EFF">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CD509BE">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77A0862">
            <w:pPr>
              <w:tabs>
                <w:tab w:val="left" w:pos="9765"/>
              </w:tabs>
              <w:snapToGrid w:val="0"/>
              <w:spacing w:line="360" w:lineRule="auto"/>
              <w:rPr>
                <w:rFonts w:ascii="宋体" w:hAnsi="宋体" w:cs="宋体"/>
                <w:color w:val="auto"/>
                <w:sz w:val="24"/>
                <w:highlight w:val="none"/>
                <w:shd w:val="clear" w:color="auto" w:fill="auto"/>
              </w:rPr>
            </w:pPr>
          </w:p>
        </w:tc>
      </w:tr>
      <w:tr w14:paraId="030E46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49458D66">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21C02BB9">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D647F98">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1B644F6">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6B23B73">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4FF0D0CC">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7193CE05">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D2FE588">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227A0D2E">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065DDD4B">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r>
    </w:tbl>
    <w:p w14:paraId="495C4569">
      <w:pPr>
        <w:tabs>
          <w:tab w:val="left" w:pos="9765"/>
        </w:tabs>
        <w:autoSpaceDE w:val="0"/>
        <w:autoSpaceDN w:val="0"/>
        <w:adjustRightInd w:val="0"/>
        <w:snapToGrid w:val="0"/>
        <w:rPr>
          <w:rFonts w:ascii="宋体" w:hAnsi="宋体" w:cs="宋体"/>
          <w:b/>
          <w:color w:val="auto"/>
          <w:sz w:val="24"/>
          <w:highlight w:val="none"/>
          <w:shd w:val="clear" w:color="auto" w:fill="auto"/>
          <w:lang w:val="zh-CN"/>
        </w:rPr>
      </w:pPr>
    </w:p>
    <w:p w14:paraId="1FB94DED">
      <w:pPr>
        <w:tabs>
          <w:tab w:val="left" w:pos="9765"/>
        </w:tabs>
        <w:autoSpaceDE w:val="0"/>
        <w:autoSpaceDN w:val="0"/>
        <w:adjustRightInd w:val="0"/>
        <w:snapToGrid w:val="0"/>
        <w:spacing w:line="360" w:lineRule="auto"/>
        <w:rPr>
          <w:rFonts w:ascii="宋体" w:hAnsi="宋体" w:cs="宋体"/>
          <w:b/>
          <w:color w:val="auto"/>
          <w:sz w:val="24"/>
          <w:highlight w:val="none"/>
          <w:shd w:val="clear" w:color="auto" w:fill="auto"/>
        </w:rPr>
      </w:pPr>
      <w:r>
        <w:rPr>
          <w:rFonts w:hint="eastAsia" w:ascii="宋体" w:hAnsi="宋体" w:cs="宋体"/>
          <w:b/>
          <w:color w:val="auto"/>
          <w:sz w:val="24"/>
          <w:highlight w:val="none"/>
          <w:shd w:val="clear" w:color="auto" w:fill="auto"/>
          <w:lang w:val="zh-CN"/>
        </w:rPr>
        <w:t>注：参加本项目人员须是供应商正式职工。</w:t>
      </w:r>
    </w:p>
    <w:p w14:paraId="57C00B46">
      <w:pPr>
        <w:snapToGrid w:val="0"/>
        <w:spacing w:line="360" w:lineRule="auto"/>
        <w:rPr>
          <w:rFonts w:ascii="宋体" w:hAnsi="宋体"/>
          <w:color w:val="auto"/>
          <w:sz w:val="24"/>
          <w:highlight w:val="none"/>
          <w:shd w:val="clear" w:color="auto" w:fill="auto"/>
        </w:rPr>
      </w:pPr>
    </w:p>
    <w:p w14:paraId="6D93BFC2">
      <w:pPr>
        <w:autoSpaceDE w:val="0"/>
        <w:autoSpaceDN w:val="0"/>
        <w:adjustRightInd w:val="0"/>
        <w:snapToGrid w:val="0"/>
        <w:spacing w:before="25" w:after="25" w:line="360" w:lineRule="auto"/>
        <w:rPr>
          <w:color w:val="auto"/>
          <w:sz w:val="24"/>
          <w:highlight w:val="none"/>
          <w:shd w:val="clear" w:color="auto" w:fill="auto"/>
          <w:lang w:val="zh-CN"/>
        </w:rPr>
      </w:pPr>
      <w:r>
        <w:rPr>
          <w:color w:val="auto"/>
          <w:sz w:val="24"/>
          <w:highlight w:val="none"/>
          <w:shd w:val="clear" w:color="auto" w:fill="auto"/>
        </w:rPr>
        <w:t>供应商名称（加盖公章）</w:t>
      </w:r>
      <w:r>
        <w:rPr>
          <w:color w:val="auto"/>
          <w:sz w:val="24"/>
          <w:highlight w:val="none"/>
          <w:shd w:val="clear" w:color="auto" w:fill="auto"/>
          <w:lang w:val="zh-CN"/>
        </w:rPr>
        <w:t>：    ____________</w:t>
      </w:r>
    </w:p>
    <w:p w14:paraId="5ADEBCE2">
      <w:pPr>
        <w:autoSpaceDE w:val="0"/>
        <w:autoSpaceDN w:val="0"/>
        <w:adjustRightInd w:val="0"/>
        <w:snapToGrid w:val="0"/>
        <w:spacing w:before="25" w:after="25" w:line="360" w:lineRule="auto"/>
        <w:rPr>
          <w:color w:val="auto"/>
          <w:sz w:val="24"/>
          <w:highlight w:val="none"/>
          <w:shd w:val="clear" w:color="auto" w:fill="auto"/>
          <w:lang w:val="zh-CN"/>
        </w:rPr>
      </w:pPr>
      <w:r>
        <w:rPr>
          <w:color w:val="auto"/>
          <w:sz w:val="24"/>
          <w:szCs w:val="20"/>
          <w:highlight w:val="none"/>
          <w:shd w:val="clear" w:color="auto" w:fill="auto"/>
        </w:rPr>
        <w:t xml:space="preserve">日期：_____年______月______日   </w:t>
      </w:r>
    </w:p>
    <w:p w14:paraId="2A359F69">
      <w:pPr>
        <w:rPr>
          <w:color w:val="auto"/>
          <w:sz w:val="24"/>
          <w:szCs w:val="20"/>
          <w:highlight w:val="none"/>
          <w:shd w:val="clear" w:color="auto" w:fill="auto"/>
        </w:rPr>
      </w:pPr>
      <w:r>
        <w:rPr>
          <w:color w:val="auto"/>
          <w:kern w:val="0"/>
          <w:sz w:val="22"/>
          <w:highlight w:val="none"/>
          <w:shd w:val="clear" w:color="auto" w:fill="auto"/>
        </w:rPr>
        <w:br w:type="page"/>
      </w:r>
      <w:bookmarkStart w:id="708" w:name="_Toc288738397"/>
      <w:bookmarkStart w:id="709" w:name="_Toc288738839"/>
      <w:r>
        <w:rPr>
          <w:rFonts w:hint="eastAsia"/>
          <w:color w:val="auto"/>
          <w:sz w:val="24"/>
          <w:szCs w:val="20"/>
          <w:highlight w:val="none"/>
          <w:shd w:val="clear" w:color="auto" w:fill="auto"/>
        </w:rPr>
        <w:t>1</w:t>
      </w:r>
      <w:r>
        <w:rPr>
          <w:rFonts w:hint="eastAsia"/>
          <w:color w:val="auto"/>
          <w:sz w:val="24"/>
          <w:szCs w:val="20"/>
          <w:highlight w:val="none"/>
          <w:shd w:val="clear" w:color="auto" w:fill="auto"/>
          <w:lang w:val="en-US" w:eastAsia="zh-CN"/>
        </w:rPr>
        <w:t>3</w:t>
      </w:r>
      <w:r>
        <w:rPr>
          <w:rFonts w:hint="eastAsia"/>
          <w:color w:val="auto"/>
          <w:sz w:val="24"/>
          <w:szCs w:val="20"/>
          <w:highlight w:val="none"/>
          <w:shd w:val="clear" w:color="auto" w:fill="auto"/>
        </w:rPr>
        <w:t xml:space="preserve">  相关业绩案例一览表</w:t>
      </w:r>
    </w:p>
    <w:p w14:paraId="35904E3B">
      <w:pPr>
        <w:rPr>
          <w:color w:val="auto"/>
          <w:sz w:val="24"/>
          <w:szCs w:val="20"/>
          <w:highlight w:val="none"/>
          <w:shd w:val="clear" w:color="auto" w:fill="auto"/>
        </w:rPr>
      </w:pPr>
    </w:p>
    <w:p w14:paraId="03B78260">
      <w:pPr>
        <w:jc w:val="center"/>
        <w:rPr>
          <w:rFonts w:ascii="宋体" w:hAnsi="宋体"/>
          <w:b/>
          <w:color w:val="auto"/>
          <w:sz w:val="32"/>
          <w:szCs w:val="32"/>
          <w:highlight w:val="none"/>
          <w:shd w:val="clear" w:color="auto" w:fill="auto"/>
        </w:rPr>
      </w:pPr>
      <w:r>
        <w:rPr>
          <w:rFonts w:hint="eastAsia" w:ascii="宋体" w:hAnsi="宋体"/>
          <w:b/>
          <w:color w:val="auto"/>
          <w:sz w:val="32"/>
          <w:szCs w:val="32"/>
          <w:highlight w:val="none"/>
          <w:shd w:val="clear" w:color="auto" w:fill="auto"/>
        </w:rPr>
        <w:t>相关业绩案例一览表</w:t>
      </w:r>
      <w:bookmarkEnd w:id="708"/>
      <w:bookmarkEnd w:id="709"/>
    </w:p>
    <w:p w14:paraId="4F740179">
      <w:pPr>
        <w:snapToGrid w:val="0"/>
        <w:spacing w:line="360" w:lineRule="auto"/>
        <w:jc w:val="center"/>
        <w:rPr>
          <w:rFonts w:ascii="宋体" w:hAnsi="宋体"/>
          <w:b/>
          <w:color w:val="auto"/>
          <w:sz w:val="28"/>
          <w:szCs w:val="30"/>
          <w:highlight w:val="none"/>
          <w:shd w:val="clear" w:color="auto" w:fill="auto"/>
        </w:rPr>
      </w:pPr>
    </w:p>
    <w:p w14:paraId="45CDC174">
      <w:pPr>
        <w:snapToGrid w:val="0"/>
        <w:spacing w:line="360" w:lineRule="auto"/>
        <w:ind w:firstLine="480" w:firstLineChars="20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项目编号：</w:t>
      </w:r>
      <w:r>
        <w:rPr>
          <w:rFonts w:hint="eastAsia" w:ascii="宋体" w:hAnsi="宋体" w:cs="宋体"/>
          <w:color w:val="auto"/>
          <w:sz w:val="24"/>
          <w:highlight w:val="none"/>
          <w:u w:val="single"/>
          <w:shd w:val="clear" w:color="auto" w:fill="auto"/>
        </w:rPr>
        <w:t xml:space="preserve">                   </w:t>
      </w:r>
    </w:p>
    <w:tbl>
      <w:tblPr>
        <w:tblStyle w:val="12"/>
        <w:tblW w:w="0" w:type="auto"/>
        <w:jc w:val="center"/>
        <w:tblLayout w:type="fixed"/>
        <w:tblCellMar>
          <w:top w:w="0" w:type="dxa"/>
          <w:left w:w="108" w:type="dxa"/>
          <w:bottom w:w="0" w:type="dxa"/>
          <w:right w:w="108" w:type="dxa"/>
        </w:tblCellMar>
      </w:tblPr>
      <w:tblGrid>
        <w:gridCol w:w="1284"/>
        <w:gridCol w:w="1681"/>
        <w:gridCol w:w="1521"/>
        <w:gridCol w:w="1198"/>
        <w:gridCol w:w="1730"/>
        <w:gridCol w:w="1597"/>
      </w:tblGrid>
      <w:tr w14:paraId="76014D60">
        <w:tblPrEx>
          <w:tblCellMar>
            <w:top w:w="0" w:type="dxa"/>
            <w:left w:w="108" w:type="dxa"/>
            <w:bottom w:w="0" w:type="dxa"/>
            <w:right w:w="108" w:type="dxa"/>
          </w:tblCellMar>
        </w:tblPrEx>
        <w:trPr>
          <w:trHeight w:val="498" w:hRule="atLeast"/>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09CD4146">
            <w:pPr>
              <w:tabs>
                <w:tab w:val="left" w:pos="9765"/>
              </w:tabs>
              <w:autoSpaceDE w:val="0"/>
              <w:autoSpaceDN w:val="0"/>
              <w:adjustRightInd w:val="0"/>
              <w:snapToGrid w:val="0"/>
              <w:spacing w:line="360" w:lineRule="auto"/>
              <w:jc w:val="center"/>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项目时间</w:t>
            </w:r>
          </w:p>
        </w:tc>
        <w:tc>
          <w:tcPr>
            <w:tcW w:w="1681" w:type="dxa"/>
            <w:tcBorders>
              <w:top w:val="single" w:color="auto" w:sz="6" w:space="0"/>
              <w:left w:val="single" w:color="auto" w:sz="6" w:space="0"/>
              <w:bottom w:val="single" w:color="auto" w:sz="6" w:space="0"/>
              <w:right w:val="single" w:color="auto" w:sz="6" w:space="0"/>
            </w:tcBorders>
            <w:noWrap w:val="0"/>
            <w:vAlign w:val="center"/>
          </w:tcPr>
          <w:p w14:paraId="263CFB60">
            <w:pPr>
              <w:tabs>
                <w:tab w:val="left" w:pos="9765"/>
              </w:tabs>
              <w:autoSpaceDE w:val="0"/>
              <w:autoSpaceDN w:val="0"/>
              <w:adjustRightInd w:val="0"/>
              <w:snapToGrid w:val="0"/>
              <w:spacing w:line="360" w:lineRule="auto"/>
              <w:jc w:val="center"/>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项目甲方单位</w:t>
            </w:r>
          </w:p>
        </w:tc>
        <w:tc>
          <w:tcPr>
            <w:tcW w:w="1521" w:type="dxa"/>
            <w:tcBorders>
              <w:top w:val="single" w:color="auto" w:sz="6" w:space="0"/>
              <w:left w:val="single" w:color="auto" w:sz="6" w:space="0"/>
              <w:bottom w:val="single" w:color="auto" w:sz="6" w:space="0"/>
              <w:right w:val="single" w:color="auto" w:sz="6" w:space="0"/>
            </w:tcBorders>
            <w:noWrap w:val="0"/>
            <w:vAlign w:val="center"/>
          </w:tcPr>
          <w:p w14:paraId="6160602B">
            <w:pPr>
              <w:tabs>
                <w:tab w:val="left" w:pos="9765"/>
              </w:tabs>
              <w:autoSpaceDE w:val="0"/>
              <w:autoSpaceDN w:val="0"/>
              <w:adjustRightInd w:val="0"/>
              <w:snapToGrid w:val="0"/>
              <w:spacing w:line="360" w:lineRule="auto"/>
              <w:jc w:val="center"/>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项目名称</w:t>
            </w:r>
          </w:p>
        </w:tc>
        <w:tc>
          <w:tcPr>
            <w:tcW w:w="1198" w:type="dxa"/>
            <w:tcBorders>
              <w:top w:val="single" w:color="auto" w:sz="6" w:space="0"/>
              <w:left w:val="single" w:color="auto" w:sz="6" w:space="0"/>
              <w:bottom w:val="single" w:color="auto" w:sz="6" w:space="0"/>
              <w:right w:val="single" w:color="auto" w:sz="6" w:space="0"/>
            </w:tcBorders>
            <w:noWrap w:val="0"/>
            <w:vAlign w:val="center"/>
          </w:tcPr>
          <w:p w14:paraId="7338973A">
            <w:pPr>
              <w:tabs>
                <w:tab w:val="left" w:pos="9765"/>
              </w:tabs>
              <w:autoSpaceDE w:val="0"/>
              <w:autoSpaceDN w:val="0"/>
              <w:adjustRightInd w:val="0"/>
              <w:snapToGrid w:val="0"/>
              <w:spacing w:line="360" w:lineRule="auto"/>
              <w:jc w:val="center"/>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合同金额</w:t>
            </w:r>
          </w:p>
        </w:tc>
        <w:tc>
          <w:tcPr>
            <w:tcW w:w="1730" w:type="dxa"/>
            <w:tcBorders>
              <w:top w:val="single" w:color="auto" w:sz="6" w:space="0"/>
              <w:left w:val="single" w:color="auto" w:sz="6" w:space="0"/>
              <w:bottom w:val="single" w:color="auto" w:sz="6" w:space="0"/>
              <w:right w:val="single" w:color="auto" w:sz="6" w:space="0"/>
            </w:tcBorders>
            <w:noWrap w:val="0"/>
            <w:vAlign w:val="center"/>
          </w:tcPr>
          <w:p w14:paraId="626FDEF7">
            <w:pPr>
              <w:tabs>
                <w:tab w:val="left" w:pos="9765"/>
              </w:tabs>
              <w:autoSpaceDE w:val="0"/>
              <w:autoSpaceDN w:val="0"/>
              <w:adjustRightInd w:val="0"/>
              <w:snapToGrid w:val="0"/>
              <w:spacing w:line="360" w:lineRule="auto"/>
              <w:jc w:val="center"/>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单位地址</w:t>
            </w:r>
          </w:p>
        </w:tc>
        <w:tc>
          <w:tcPr>
            <w:tcW w:w="1597" w:type="dxa"/>
            <w:tcBorders>
              <w:top w:val="single" w:color="auto" w:sz="6" w:space="0"/>
              <w:left w:val="single" w:color="auto" w:sz="6" w:space="0"/>
              <w:bottom w:val="single" w:color="auto" w:sz="6" w:space="0"/>
              <w:right w:val="single" w:color="auto" w:sz="6" w:space="0"/>
            </w:tcBorders>
            <w:noWrap w:val="0"/>
            <w:vAlign w:val="center"/>
          </w:tcPr>
          <w:p w14:paraId="116CFA98">
            <w:pPr>
              <w:tabs>
                <w:tab w:val="left" w:pos="9765"/>
              </w:tabs>
              <w:autoSpaceDE w:val="0"/>
              <w:autoSpaceDN w:val="0"/>
              <w:adjustRightInd w:val="0"/>
              <w:snapToGrid w:val="0"/>
              <w:spacing w:line="360" w:lineRule="auto"/>
              <w:jc w:val="center"/>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联系电话</w:t>
            </w:r>
          </w:p>
        </w:tc>
      </w:tr>
      <w:tr w14:paraId="5BDBE8A9">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296F2625">
            <w:pPr>
              <w:tabs>
                <w:tab w:val="left" w:pos="9765"/>
              </w:tabs>
              <w:autoSpaceDE w:val="0"/>
              <w:autoSpaceDN w:val="0"/>
              <w:adjustRightInd w:val="0"/>
              <w:snapToGrid w:val="0"/>
              <w:spacing w:line="360" w:lineRule="auto"/>
              <w:jc w:val="center"/>
              <w:rPr>
                <w:rFonts w:ascii="宋体" w:hAnsi="宋体" w:cs="宋体"/>
                <w:color w:val="auto"/>
                <w:sz w:val="24"/>
                <w:highlight w:val="none"/>
                <w:shd w:val="clear" w:color="auto" w:fill="auto"/>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1DED54BF">
            <w:pPr>
              <w:tabs>
                <w:tab w:val="left" w:pos="9765"/>
              </w:tabs>
              <w:autoSpaceDE w:val="0"/>
              <w:autoSpaceDN w:val="0"/>
              <w:adjustRightInd w:val="0"/>
              <w:snapToGrid w:val="0"/>
              <w:spacing w:line="360" w:lineRule="auto"/>
              <w:jc w:val="center"/>
              <w:rPr>
                <w:rFonts w:ascii="宋体" w:hAnsi="宋体" w:cs="宋体"/>
                <w:color w:val="auto"/>
                <w:sz w:val="24"/>
                <w:highlight w:val="none"/>
                <w:shd w:val="clear" w:color="auto" w:fill="auto"/>
              </w:rPr>
            </w:pPr>
          </w:p>
        </w:tc>
        <w:tc>
          <w:tcPr>
            <w:tcW w:w="1521" w:type="dxa"/>
            <w:tcBorders>
              <w:top w:val="single" w:color="auto" w:sz="6" w:space="0"/>
              <w:left w:val="single" w:color="auto" w:sz="6" w:space="0"/>
              <w:bottom w:val="single" w:color="auto" w:sz="6" w:space="0"/>
              <w:right w:val="single" w:color="auto" w:sz="6" w:space="0"/>
            </w:tcBorders>
            <w:noWrap w:val="0"/>
            <w:vAlign w:val="center"/>
          </w:tcPr>
          <w:p w14:paraId="1DF27900">
            <w:pPr>
              <w:tabs>
                <w:tab w:val="left" w:pos="9765"/>
              </w:tabs>
              <w:autoSpaceDE w:val="0"/>
              <w:autoSpaceDN w:val="0"/>
              <w:adjustRightInd w:val="0"/>
              <w:snapToGrid w:val="0"/>
              <w:spacing w:line="360" w:lineRule="auto"/>
              <w:jc w:val="center"/>
              <w:rPr>
                <w:rFonts w:ascii="宋体" w:hAnsi="宋体" w:cs="宋体"/>
                <w:color w:val="auto"/>
                <w:sz w:val="24"/>
                <w:highlight w:val="none"/>
                <w:shd w:val="clear" w:color="auto" w:fill="auto"/>
              </w:rPr>
            </w:pPr>
          </w:p>
        </w:tc>
        <w:tc>
          <w:tcPr>
            <w:tcW w:w="1198" w:type="dxa"/>
            <w:tcBorders>
              <w:top w:val="single" w:color="auto" w:sz="6" w:space="0"/>
              <w:left w:val="single" w:color="auto" w:sz="6" w:space="0"/>
              <w:bottom w:val="single" w:color="auto" w:sz="6" w:space="0"/>
              <w:right w:val="single" w:color="auto" w:sz="6" w:space="0"/>
            </w:tcBorders>
            <w:noWrap w:val="0"/>
            <w:vAlign w:val="center"/>
          </w:tcPr>
          <w:p w14:paraId="0B39BB1D">
            <w:pPr>
              <w:tabs>
                <w:tab w:val="left" w:pos="9765"/>
              </w:tabs>
              <w:autoSpaceDE w:val="0"/>
              <w:autoSpaceDN w:val="0"/>
              <w:adjustRightInd w:val="0"/>
              <w:snapToGrid w:val="0"/>
              <w:spacing w:line="360" w:lineRule="auto"/>
              <w:jc w:val="center"/>
              <w:rPr>
                <w:rFonts w:ascii="宋体" w:hAnsi="宋体" w:cs="宋体"/>
                <w:color w:val="auto"/>
                <w:sz w:val="24"/>
                <w:highlight w:val="none"/>
                <w:shd w:val="clear" w:color="auto" w:fill="auto"/>
              </w:rPr>
            </w:pPr>
          </w:p>
        </w:tc>
        <w:tc>
          <w:tcPr>
            <w:tcW w:w="1730" w:type="dxa"/>
            <w:tcBorders>
              <w:top w:val="single" w:color="auto" w:sz="6" w:space="0"/>
              <w:left w:val="single" w:color="auto" w:sz="6" w:space="0"/>
              <w:bottom w:val="single" w:color="auto" w:sz="6" w:space="0"/>
              <w:right w:val="single" w:color="auto" w:sz="6" w:space="0"/>
            </w:tcBorders>
            <w:noWrap w:val="0"/>
            <w:vAlign w:val="center"/>
          </w:tcPr>
          <w:p w14:paraId="289672C2">
            <w:pPr>
              <w:tabs>
                <w:tab w:val="left" w:pos="9765"/>
              </w:tabs>
              <w:autoSpaceDE w:val="0"/>
              <w:autoSpaceDN w:val="0"/>
              <w:adjustRightInd w:val="0"/>
              <w:snapToGrid w:val="0"/>
              <w:spacing w:line="360" w:lineRule="auto"/>
              <w:ind w:hanging="523"/>
              <w:jc w:val="center"/>
              <w:rPr>
                <w:rFonts w:ascii="宋体" w:hAnsi="宋体" w:cs="宋体"/>
                <w:color w:val="auto"/>
                <w:sz w:val="24"/>
                <w:highlight w:val="none"/>
                <w:shd w:val="clear" w:color="auto" w:fill="auto"/>
              </w:rPr>
            </w:pPr>
          </w:p>
        </w:tc>
        <w:tc>
          <w:tcPr>
            <w:tcW w:w="1597" w:type="dxa"/>
            <w:tcBorders>
              <w:top w:val="single" w:color="auto" w:sz="6" w:space="0"/>
              <w:left w:val="single" w:color="auto" w:sz="6" w:space="0"/>
              <w:bottom w:val="single" w:color="auto" w:sz="6" w:space="0"/>
              <w:right w:val="single" w:color="auto" w:sz="6" w:space="0"/>
            </w:tcBorders>
            <w:noWrap w:val="0"/>
            <w:vAlign w:val="center"/>
          </w:tcPr>
          <w:p w14:paraId="40AE2E68">
            <w:pPr>
              <w:tabs>
                <w:tab w:val="left" w:pos="9765"/>
              </w:tabs>
              <w:autoSpaceDE w:val="0"/>
              <w:autoSpaceDN w:val="0"/>
              <w:adjustRightInd w:val="0"/>
              <w:snapToGrid w:val="0"/>
              <w:spacing w:line="360" w:lineRule="auto"/>
              <w:ind w:hanging="523"/>
              <w:jc w:val="center"/>
              <w:rPr>
                <w:rFonts w:ascii="宋体" w:hAnsi="宋体" w:cs="宋体"/>
                <w:color w:val="auto"/>
                <w:sz w:val="24"/>
                <w:highlight w:val="none"/>
                <w:shd w:val="clear" w:color="auto" w:fill="auto"/>
              </w:rPr>
            </w:pPr>
          </w:p>
        </w:tc>
      </w:tr>
      <w:tr w14:paraId="28651DE4">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7ACFF1A5">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146EE477">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5F608824">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607DB033">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43D39437">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5BA34313">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r>
      <w:tr w14:paraId="5EE1C25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1848EB8C">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509312D6">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327FEC17">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1C9D1F8D">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2756F635">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21DE5E93">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r>
      <w:tr w14:paraId="76B3C716">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6CA7709C">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623EAD90">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00927C89">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4CB6CB17">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148FB140">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0E9DAD4C">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r>
      <w:tr w14:paraId="5F54C920">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45BCC50C">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6300356D">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4C9FA9A1">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7EC2956E">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5F166073">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5448C0FD">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r>
      <w:tr w14:paraId="6D1467B0">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0DB62213">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68AE2ED0">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04DE1098">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522FA25F">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12D0C512">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21525161">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r>
      <w:tr w14:paraId="6B080E19">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70BAB681">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3FAFA5C3">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6B22625E">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17043DDC">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0551F54C">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5BBFD6F6">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r>
      <w:tr w14:paraId="40F7FBA2">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5D5B923D">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14DB80E0">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18405805">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03114D1A">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5F34E87D">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2E1C7883">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r>
      <w:tr w14:paraId="047E5430">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182CE3E8">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4A4DCD66">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1FC9F62E">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502F2B0E">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536BB2C4">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5F55BCDE">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r>
    </w:tbl>
    <w:p w14:paraId="5CA02611">
      <w:pPr>
        <w:tabs>
          <w:tab w:val="left" w:pos="9765"/>
        </w:tabs>
        <w:autoSpaceDE w:val="0"/>
        <w:autoSpaceDN w:val="0"/>
        <w:adjustRightInd w:val="0"/>
        <w:snapToGrid w:val="0"/>
        <w:rPr>
          <w:rFonts w:ascii="宋体" w:hAnsi="宋体" w:cs="宋体"/>
          <w:color w:val="auto"/>
          <w:sz w:val="24"/>
          <w:highlight w:val="none"/>
          <w:shd w:val="clear" w:color="auto" w:fill="auto"/>
          <w:lang w:val="zh-CN"/>
        </w:rPr>
      </w:pPr>
    </w:p>
    <w:p w14:paraId="3A755759">
      <w:pPr>
        <w:snapToGrid w:val="0"/>
        <w:spacing w:line="360" w:lineRule="auto"/>
        <w:rPr>
          <w:rFonts w:ascii="宋体" w:hAnsi="宋体" w:cs="宋体"/>
          <w:color w:val="auto"/>
          <w:sz w:val="24"/>
          <w:highlight w:val="none"/>
          <w:shd w:val="clear" w:color="auto" w:fill="auto"/>
        </w:rPr>
      </w:pPr>
    </w:p>
    <w:p w14:paraId="08BC22C4">
      <w:pPr>
        <w:autoSpaceDE w:val="0"/>
        <w:autoSpaceDN w:val="0"/>
        <w:adjustRightInd w:val="0"/>
        <w:snapToGrid w:val="0"/>
        <w:spacing w:before="25" w:after="25" w:line="360" w:lineRule="auto"/>
        <w:rPr>
          <w:color w:val="auto"/>
          <w:sz w:val="24"/>
          <w:highlight w:val="none"/>
          <w:shd w:val="clear" w:color="auto" w:fill="auto"/>
          <w:lang w:val="zh-CN"/>
        </w:rPr>
      </w:pPr>
      <w:r>
        <w:rPr>
          <w:color w:val="auto"/>
          <w:sz w:val="24"/>
          <w:highlight w:val="none"/>
          <w:shd w:val="clear" w:color="auto" w:fill="auto"/>
        </w:rPr>
        <w:t>供应商名称（加盖公章）</w:t>
      </w:r>
      <w:r>
        <w:rPr>
          <w:color w:val="auto"/>
          <w:sz w:val="24"/>
          <w:highlight w:val="none"/>
          <w:shd w:val="clear" w:color="auto" w:fill="auto"/>
          <w:lang w:val="zh-CN"/>
        </w:rPr>
        <w:t>：    ____________</w:t>
      </w:r>
    </w:p>
    <w:p w14:paraId="2FD7A55A">
      <w:pPr>
        <w:autoSpaceDE w:val="0"/>
        <w:autoSpaceDN w:val="0"/>
        <w:adjustRightInd w:val="0"/>
        <w:snapToGrid w:val="0"/>
        <w:spacing w:before="25" w:after="25" w:line="360" w:lineRule="auto"/>
        <w:rPr>
          <w:color w:val="auto"/>
          <w:sz w:val="24"/>
          <w:highlight w:val="none"/>
          <w:shd w:val="clear" w:color="auto" w:fill="auto"/>
          <w:lang w:val="zh-CN"/>
        </w:rPr>
      </w:pPr>
      <w:r>
        <w:rPr>
          <w:color w:val="auto"/>
          <w:sz w:val="24"/>
          <w:szCs w:val="20"/>
          <w:highlight w:val="none"/>
          <w:shd w:val="clear" w:color="auto" w:fill="auto"/>
        </w:rPr>
        <w:t xml:space="preserve">日期：_____年______月______日   </w:t>
      </w:r>
    </w:p>
    <w:p w14:paraId="265B38FF">
      <w:pPr>
        <w:spacing w:line="360" w:lineRule="auto"/>
        <w:outlineLvl w:val="2"/>
        <w:rPr>
          <w:rFonts w:hint="eastAsia"/>
          <w:color w:val="auto"/>
          <w:sz w:val="24"/>
          <w:szCs w:val="20"/>
          <w:highlight w:val="none"/>
          <w:shd w:val="clear" w:color="auto" w:fill="auto"/>
        </w:rPr>
      </w:pPr>
    </w:p>
    <w:p w14:paraId="14323DE9">
      <w:pPr>
        <w:spacing w:line="360" w:lineRule="auto"/>
        <w:outlineLvl w:val="2"/>
        <w:rPr>
          <w:rFonts w:hint="eastAsia"/>
          <w:color w:val="auto"/>
          <w:sz w:val="24"/>
          <w:szCs w:val="20"/>
          <w:highlight w:val="none"/>
          <w:shd w:val="clear" w:color="auto" w:fill="auto"/>
        </w:rPr>
      </w:pPr>
    </w:p>
    <w:p w14:paraId="1B59980F">
      <w:pPr>
        <w:spacing w:line="360" w:lineRule="auto"/>
        <w:outlineLvl w:val="2"/>
        <w:rPr>
          <w:rFonts w:hint="eastAsia"/>
          <w:color w:val="auto"/>
          <w:sz w:val="24"/>
          <w:szCs w:val="20"/>
          <w:highlight w:val="none"/>
          <w:shd w:val="clear" w:color="auto" w:fill="auto"/>
        </w:rPr>
      </w:pPr>
    </w:p>
    <w:p w14:paraId="5FB59EA9">
      <w:pPr>
        <w:spacing w:line="360" w:lineRule="auto"/>
        <w:outlineLvl w:val="2"/>
        <w:rPr>
          <w:color w:val="auto"/>
          <w:sz w:val="24"/>
          <w:szCs w:val="20"/>
          <w:highlight w:val="none"/>
          <w:shd w:val="clear" w:color="auto" w:fill="auto"/>
        </w:rPr>
      </w:pPr>
    </w:p>
    <w:p w14:paraId="090D2D4F">
      <w:pPr>
        <w:spacing w:line="360" w:lineRule="auto"/>
        <w:outlineLvl w:val="2"/>
        <w:rPr>
          <w:color w:val="auto"/>
          <w:sz w:val="24"/>
          <w:highlight w:val="none"/>
          <w:shd w:val="clear" w:color="auto" w:fill="auto"/>
        </w:rPr>
      </w:pPr>
      <w:r>
        <w:rPr>
          <w:color w:val="auto"/>
          <w:sz w:val="24"/>
          <w:szCs w:val="20"/>
          <w:highlight w:val="none"/>
          <w:shd w:val="clear" w:color="auto" w:fill="auto"/>
        </w:rPr>
        <w:br w:type="page"/>
      </w:r>
      <w:r>
        <w:rPr>
          <w:color w:val="auto"/>
          <w:sz w:val="24"/>
          <w:szCs w:val="20"/>
          <w:highlight w:val="none"/>
          <w:shd w:val="clear" w:color="auto" w:fill="auto"/>
        </w:rPr>
        <w:t>1</w:t>
      </w:r>
      <w:r>
        <w:rPr>
          <w:rFonts w:hint="eastAsia"/>
          <w:color w:val="auto"/>
          <w:sz w:val="24"/>
          <w:szCs w:val="20"/>
          <w:highlight w:val="none"/>
          <w:shd w:val="clear" w:color="auto" w:fill="auto"/>
          <w:lang w:val="en-US" w:eastAsia="zh-CN"/>
        </w:rPr>
        <w:t>4</w:t>
      </w:r>
      <w:r>
        <w:rPr>
          <w:color w:val="auto"/>
          <w:sz w:val="24"/>
          <w:szCs w:val="20"/>
          <w:highlight w:val="none"/>
          <w:shd w:val="clear" w:color="auto" w:fill="auto"/>
        </w:rPr>
        <w:t xml:space="preserve">  磋商文件要求提供或供应商认为应附的其他材料</w:t>
      </w:r>
    </w:p>
    <w:p w14:paraId="4E4E8B20">
      <w:pPr>
        <w:rPr>
          <w:b/>
          <w:color w:val="auto"/>
          <w:sz w:val="36"/>
          <w:szCs w:val="36"/>
          <w:highlight w:val="none"/>
          <w:shd w:val="clear" w:color="auto" w:fill="auto"/>
        </w:rPr>
      </w:pPr>
    </w:p>
    <w:p w14:paraId="6A5C0B54">
      <w:pPr>
        <w:rPr>
          <w:color w:val="auto"/>
          <w:sz w:val="24"/>
          <w:highlight w:val="none"/>
          <w:shd w:val="clear" w:color="auto" w:fill="auto"/>
          <w:lang w:val="zh-CN"/>
        </w:rPr>
      </w:pPr>
      <w:r>
        <w:rPr>
          <w:color w:val="auto"/>
          <w:sz w:val="24"/>
          <w:szCs w:val="20"/>
          <w:highlight w:val="none"/>
          <w:shd w:val="clear" w:color="auto" w:fill="auto"/>
        </w:rPr>
        <w:t xml:space="preserve"> </w:t>
      </w:r>
    </w:p>
    <w:p w14:paraId="1EF44E90">
      <w:pPr>
        <w:widowControl/>
        <w:jc w:val="left"/>
        <w:rPr>
          <w:b/>
          <w:color w:val="auto"/>
          <w:sz w:val="36"/>
          <w:szCs w:val="36"/>
          <w:highlight w:val="none"/>
          <w:shd w:val="clear" w:color="auto" w:fill="auto"/>
        </w:rPr>
      </w:pPr>
    </w:p>
    <w:p w14:paraId="20D6D2EC">
      <w:pPr>
        <w:rPr>
          <w:color w:val="auto"/>
          <w:highlight w:val="none"/>
        </w:rPr>
      </w:pPr>
    </w:p>
    <w:sectPr>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ESI黑体-GB2312">
    <w:altName w:val="黑体"/>
    <w:panose1 w:val="02000500000000000000"/>
    <w:charset w:val="86"/>
    <w:family w:val="auto"/>
    <w:pitch w:val="default"/>
    <w:sig w:usb0="00000000" w:usb1="00000000" w:usb2="00000012" w:usb3="00000000" w:csb0="0004000F" w:csb1="00000000"/>
  </w:font>
  <w:font w:name="Segoe UI Symbol">
    <w:panose1 w:val="020B0502040204020203"/>
    <w:charset w:val="00"/>
    <w:family w:val="swiss"/>
    <w:pitch w:val="default"/>
    <w:sig w:usb0="800001E3" w:usb1="1200FFEF" w:usb2="00040000" w:usb3="04000000" w:csb0="00000001" w:csb1="40000000"/>
  </w:font>
  <w:font w:name="KSOFBDAA233C">
    <w:panose1 w:val="02010609060101010101"/>
    <w:charset w:val="86"/>
    <w:family w:val="auto"/>
    <w:pitch w:val="default"/>
    <w:sig w:usb0="00000001" w:usb1="00000000" w:usb2="00000000"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769C68">
    <w:pPr>
      <w:pStyle w:val="9"/>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4A71A4">
    <w:pPr>
      <w:pStyle w:val="9"/>
      <w:framePr w:wrap="around" w:vAnchor="text" w:hAnchor="margin" w:xAlign="center" w:y="1"/>
      <w:rPr>
        <w:rStyle w:val="14"/>
      </w:rPr>
    </w:pPr>
    <w:r>
      <w:fldChar w:fldCharType="begin"/>
    </w:r>
    <w:r>
      <w:rPr>
        <w:rStyle w:val="14"/>
      </w:rPr>
      <w:instrText xml:space="preserve">PAGE  </w:instrText>
    </w:r>
    <w:r>
      <w:fldChar w:fldCharType="end"/>
    </w:r>
  </w:p>
  <w:p w14:paraId="02DEC95C">
    <w:pPr>
      <w:pStyle w:val="9"/>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4AA958">
    <w:pPr>
      <w:pStyle w:val="9"/>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155220">
    <w:pPr>
      <w:pStyle w:val="9"/>
      <w:rPr>
        <w:rFonts w:ascii="Times New Roma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F3EC75D">
                          <w:pPr>
                            <w:pStyle w:val="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6F3EC75D">
                    <w:pPr>
                      <w:pStyle w:val="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4F88E4">
    <w:pPr>
      <w:pStyle w:val="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32C0D2B">
                          <w:pPr>
                            <w:pStyle w:val="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332C0D2B">
                    <w:pPr>
                      <w:pStyle w:val="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64E721">
    <w:pPr>
      <w:pStyle w:val="9"/>
      <w:framePr w:wrap="around" w:vAnchor="text" w:hAnchor="margin" w:xAlign="right" w:y="1"/>
      <w:rPr>
        <w:rStyle w:val="14"/>
      </w:rPr>
    </w:pPr>
    <w:r>
      <w:rPr>
        <w:rStyle w:val="14"/>
      </w:rPr>
      <w:fldChar w:fldCharType="begin"/>
    </w:r>
    <w:r>
      <w:rPr>
        <w:rStyle w:val="14"/>
      </w:rPr>
      <w:instrText xml:space="preserve">PAGE  </w:instrText>
    </w:r>
    <w:r>
      <w:rPr>
        <w:rStyle w:val="14"/>
      </w:rPr>
      <w:fldChar w:fldCharType="end"/>
    </w:r>
  </w:p>
  <w:p w14:paraId="089990CF">
    <w:pPr>
      <w:pStyle w:val="9"/>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0E7EE4">
    <w:pPr>
      <w:pStyle w:val="9"/>
      <w:framePr w:wrap="around" w:vAnchor="text" w:hAnchor="margin" w:xAlign="right" w:y="1"/>
      <w:rPr>
        <w:rStyle w:val="14"/>
      </w:rPr>
    </w:pPr>
    <w:r>
      <w:rPr>
        <w:rStyle w:val="14"/>
      </w:rPr>
      <w:fldChar w:fldCharType="begin"/>
    </w:r>
    <w:r>
      <w:rPr>
        <w:rStyle w:val="14"/>
      </w:rPr>
      <w:instrText xml:space="preserve">PAGE  </w:instrText>
    </w:r>
    <w:r>
      <w:rPr>
        <w:rStyle w:val="14"/>
      </w:rPr>
      <w:fldChar w:fldCharType="end"/>
    </w:r>
  </w:p>
  <w:p w14:paraId="6B93D2B2">
    <w:pPr>
      <w:pStyle w:val="9"/>
      <w:ind w:right="360"/>
    </w:pPr>
  </w:p>
  <w:p w14:paraId="46B44E1A"/>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192F69">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952C93">
    <w:pPr>
      <w:pStyle w:val="10"/>
      <w:jc w:val="right"/>
    </w:pPr>
    <w:r>
      <w:rPr>
        <w:rFonts w:hint="eastAsia"/>
        <w:lang w:eastAsia="zh-CN"/>
      </w:rPr>
      <w:t>寺墩遗址保护回填和环境整治项目（一期）</w:t>
    </w:r>
    <w:r>
      <w:rPr>
        <w:rFonts w:hint="eastAsia"/>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80EFA8">
    <w:pPr>
      <w:pStyle w:val="10"/>
      <w:pBdr>
        <w:bottom w:val="single" w:color="auto" w:sz="4" w:space="1"/>
      </w:pBdr>
      <w:jc w:val="right"/>
    </w:pPr>
    <w:r>
      <w:rPr>
        <w:rFonts w:hint="eastAsia"/>
        <w:lang w:eastAsia="zh-CN"/>
      </w:rPr>
      <w:t>寺墩遗址保护回填和环境整治项目（一期）</w:t>
    </w:r>
    <w:r>
      <w:rPr>
        <w:rFonts w:hint="eastAsia"/>
      </w:rPr>
      <w:t>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86C740">
    <w:pPr>
      <w:pStyle w:val="10"/>
    </w:pPr>
  </w:p>
  <w:p w14:paraId="7374DCCD"/>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9E3BB3">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3">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EzMmFhMDA3ZTkyMWVkZDI1Mzg5Y2U4ZGMzM2IxNjkifQ=="/>
    <w:docVar w:name="KSO_WPS_MARK_KEY" w:val="3e19a8c2-64c9-4a47-b4ae-120f07e57314"/>
  </w:docVars>
  <w:rsids>
    <w:rsidRoot w:val="6E5D386A"/>
    <w:rsid w:val="00643BE3"/>
    <w:rsid w:val="00997D30"/>
    <w:rsid w:val="011F5CB6"/>
    <w:rsid w:val="0147153B"/>
    <w:rsid w:val="015772A4"/>
    <w:rsid w:val="016C2C93"/>
    <w:rsid w:val="02825959"/>
    <w:rsid w:val="02A14C7A"/>
    <w:rsid w:val="038A1BB2"/>
    <w:rsid w:val="03F37758"/>
    <w:rsid w:val="041B3604"/>
    <w:rsid w:val="045A3333"/>
    <w:rsid w:val="0495080F"/>
    <w:rsid w:val="05B26319"/>
    <w:rsid w:val="05BC3CF7"/>
    <w:rsid w:val="05D52550"/>
    <w:rsid w:val="06037A7D"/>
    <w:rsid w:val="06232221"/>
    <w:rsid w:val="0709178E"/>
    <w:rsid w:val="08070D6B"/>
    <w:rsid w:val="08275C22"/>
    <w:rsid w:val="08CE0A58"/>
    <w:rsid w:val="094C4255"/>
    <w:rsid w:val="098B6AD1"/>
    <w:rsid w:val="09E808F0"/>
    <w:rsid w:val="0A582AC6"/>
    <w:rsid w:val="0A93759F"/>
    <w:rsid w:val="0AD96F7B"/>
    <w:rsid w:val="0B0E5765"/>
    <w:rsid w:val="0BA66CC6"/>
    <w:rsid w:val="0BCD5CDF"/>
    <w:rsid w:val="0BF3656C"/>
    <w:rsid w:val="0C177D5B"/>
    <w:rsid w:val="0C193AD3"/>
    <w:rsid w:val="0C5673DD"/>
    <w:rsid w:val="0C6752B7"/>
    <w:rsid w:val="0D0522AA"/>
    <w:rsid w:val="0D602343"/>
    <w:rsid w:val="0E715E49"/>
    <w:rsid w:val="0ECD4B44"/>
    <w:rsid w:val="0FC76BED"/>
    <w:rsid w:val="0FCE72CB"/>
    <w:rsid w:val="10312CD7"/>
    <w:rsid w:val="107C6A6C"/>
    <w:rsid w:val="10EE4E82"/>
    <w:rsid w:val="12AC6C3B"/>
    <w:rsid w:val="12C927BB"/>
    <w:rsid w:val="13233662"/>
    <w:rsid w:val="137A74DF"/>
    <w:rsid w:val="139F20ED"/>
    <w:rsid w:val="142D01AE"/>
    <w:rsid w:val="14952165"/>
    <w:rsid w:val="149D115E"/>
    <w:rsid w:val="14F450DE"/>
    <w:rsid w:val="15437E13"/>
    <w:rsid w:val="15EC4FCA"/>
    <w:rsid w:val="161157A6"/>
    <w:rsid w:val="170840D6"/>
    <w:rsid w:val="17487963"/>
    <w:rsid w:val="17681DB3"/>
    <w:rsid w:val="178845AC"/>
    <w:rsid w:val="18491BE4"/>
    <w:rsid w:val="189C1857"/>
    <w:rsid w:val="18B55378"/>
    <w:rsid w:val="19056169"/>
    <w:rsid w:val="192F40A1"/>
    <w:rsid w:val="198A0435"/>
    <w:rsid w:val="19B0396B"/>
    <w:rsid w:val="1A23727F"/>
    <w:rsid w:val="1A644AB4"/>
    <w:rsid w:val="1AFF7B66"/>
    <w:rsid w:val="1B440441"/>
    <w:rsid w:val="1B7C4BEE"/>
    <w:rsid w:val="1C177904"/>
    <w:rsid w:val="1C8925AF"/>
    <w:rsid w:val="1C976CDD"/>
    <w:rsid w:val="1CF118D4"/>
    <w:rsid w:val="1E31252C"/>
    <w:rsid w:val="1F2E4285"/>
    <w:rsid w:val="1F861028"/>
    <w:rsid w:val="1F8D23B7"/>
    <w:rsid w:val="1F901EBC"/>
    <w:rsid w:val="21041119"/>
    <w:rsid w:val="220345DE"/>
    <w:rsid w:val="223D6650"/>
    <w:rsid w:val="22723029"/>
    <w:rsid w:val="22981820"/>
    <w:rsid w:val="229B303C"/>
    <w:rsid w:val="234818B4"/>
    <w:rsid w:val="234A0C57"/>
    <w:rsid w:val="23593C8E"/>
    <w:rsid w:val="239F4DAE"/>
    <w:rsid w:val="243C25FD"/>
    <w:rsid w:val="2457742E"/>
    <w:rsid w:val="246D5167"/>
    <w:rsid w:val="24A95133"/>
    <w:rsid w:val="24CA7C09"/>
    <w:rsid w:val="258778A8"/>
    <w:rsid w:val="25BC382C"/>
    <w:rsid w:val="26C32B62"/>
    <w:rsid w:val="279B6C2D"/>
    <w:rsid w:val="27A460F5"/>
    <w:rsid w:val="27BD01A6"/>
    <w:rsid w:val="291B4ED7"/>
    <w:rsid w:val="2A3526B7"/>
    <w:rsid w:val="2A353D77"/>
    <w:rsid w:val="2AA43736"/>
    <w:rsid w:val="2B033E75"/>
    <w:rsid w:val="2B7E52A9"/>
    <w:rsid w:val="2B8A6344"/>
    <w:rsid w:val="2BBA30C1"/>
    <w:rsid w:val="2C04684A"/>
    <w:rsid w:val="2C9F197B"/>
    <w:rsid w:val="2CD54DA5"/>
    <w:rsid w:val="2D246795"/>
    <w:rsid w:val="2D4517DA"/>
    <w:rsid w:val="2DAC33B3"/>
    <w:rsid w:val="2DB66F7C"/>
    <w:rsid w:val="2DD3200B"/>
    <w:rsid w:val="2DDC26A4"/>
    <w:rsid w:val="2E516A26"/>
    <w:rsid w:val="2E97542F"/>
    <w:rsid w:val="2ED7496F"/>
    <w:rsid w:val="308B0772"/>
    <w:rsid w:val="31997CB4"/>
    <w:rsid w:val="32604CE6"/>
    <w:rsid w:val="32843E49"/>
    <w:rsid w:val="328D3E75"/>
    <w:rsid w:val="33786F3D"/>
    <w:rsid w:val="34060958"/>
    <w:rsid w:val="34BD0DD0"/>
    <w:rsid w:val="34D547E6"/>
    <w:rsid w:val="358E747B"/>
    <w:rsid w:val="359F29EC"/>
    <w:rsid w:val="35BE6A5D"/>
    <w:rsid w:val="362D7FF8"/>
    <w:rsid w:val="363D72EF"/>
    <w:rsid w:val="36992CCD"/>
    <w:rsid w:val="36EF34FF"/>
    <w:rsid w:val="36F17277"/>
    <w:rsid w:val="370B62AA"/>
    <w:rsid w:val="37A7763F"/>
    <w:rsid w:val="37BD53AB"/>
    <w:rsid w:val="37C8622A"/>
    <w:rsid w:val="38AA1794"/>
    <w:rsid w:val="38AE3672"/>
    <w:rsid w:val="3A3221F1"/>
    <w:rsid w:val="3A737C3C"/>
    <w:rsid w:val="3AEC57BB"/>
    <w:rsid w:val="3B3140E6"/>
    <w:rsid w:val="3BBB7067"/>
    <w:rsid w:val="3C0A2E3F"/>
    <w:rsid w:val="3C4C7857"/>
    <w:rsid w:val="3C812135"/>
    <w:rsid w:val="3CC7638F"/>
    <w:rsid w:val="3E4B54BF"/>
    <w:rsid w:val="3E67017E"/>
    <w:rsid w:val="3EA77349"/>
    <w:rsid w:val="3F1134F2"/>
    <w:rsid w:val="3F6727CC"/>
    <w:rsid w:val="3FFE1372"/>
    <w:rsid w:val="403221B3"/>
    <w:rsid w:val="40750F19"/>
    <w:rsid w:val="40AB0497"/>
    <w:rsid w:val="416E08D0"/>
    <w:rsid w:val="42482511"/>
    <w:rsid w:val="424E419F"/>
    <w:rsid w:val="425357A7"/>
    <w:rsid w:val="438B3B5A"/>
    <w:rsid w:val="43E45E93"/>
    <w:rsid w:val="4411350E"/>
    <w:rsid w:val="446136D6"/>
    <w:rsid w:val="44BA339E"/>
    <w:rsid w:val="44D0671E"/>
    <w:rsid w:val="45597815"/>
    <w:rsid w:val="457E3A30"/>
    <w:rsid w:val="468036F5"/>
    <w:rsid w:val="47C562E2"/>
    <w:rsid w:val="47D77DC3"/>
    <w:rsid w:val="48580F04"/>
    <w:rsid w:val="48BD16AF"/>
    <w:rsid w:val="49066BB2"/>
    <w:rsid w:val="49517217"/>
    <w:rsid w:val="49BE425B"/>
    <w:rsid w:val="49F42EAF"/>
    <w:rsid w:val="4A121587"/>
    <w:rsid w:val="4AC960E9"/>
    <w:rsid w:val="4ACF67C0"/>
    <w:rsid w:val="4B8B339F"/>
    <w:rsid w:val="4B934894"/>
    <w:rsid w:val="4BF766AC"/>
    <w:rsid w:val="4C60482B"/>
    <w:rsid w:val="4C63256E"/>
    <w:rsid w:val="4C72455F"/>
    <w:rsid w:val="4C7A2190"/>
    <w:rsid w:val="4CA70A70"/>
    <w:rsid w:val="4D0258E3"/>
    <w:rsid w:val="4D5A127B"/>
    <w:rsid w:val="4DD80905"/>
    <w:rsid w:val="4DDA23BB"/>
    <w:rsid w:val="4E17648E"/>
    <w:rsid w:val="4EE647F9"/>
    <w:rsid w:val="4F8847C5"/>
    <w:rsid w:val="4FE237A9"/>
    <w:rsid w:val="50D13F4A"/>
    <w:rsid w:val="518F5863"/>
    <w:rsid w:val="51BC0228"/>
    <w:rsid w:val="522307D5"/>
    <w:rsid w:val="527E5A0B"/>
    <w:rsid w:val="529308D2"/>
    <w:rsid w:val="529E2F26"/>
    <w:rsid w:val="52EA4C72"/>
    <w:rsid w:val="52EA4E4F"/>
    <w:rsid w:val="53386CD6"/>
    <w:rsid w:val="535C031D"/>
    <w:rsid w:val="53C02935"/>
    <w:rsid w:val="53DE61DE"/>
    <w:rsid w:val="544E1410"/>
    <w:rsid w:val="54A77C82"/>
    <w:rsid w:val="5511700B"/>
    <w:rsid w:val="55C46DAE"/>
    <w:rsid w:val="56927CD7"/>
    <w:rsid w:val="56B849B7"/>
    <w:rsid w:val="57476D14"/>
    <w:rsid w:val="57B17F9E"/>
    <w:rsid w:val="57F6757F"/>
    <w:rsid w:val="58020E8D"/>
    <w:rsid w:val="58111D92"/>
    <w:rsid w:val="58523BC2"/>
    <w:rsid w:val="589E6E07"/>
    <w:rsid w:val="58B55EFF"/>
    <w:rsid w:val="5918449B"/>
    <w:rsid w:val="593B28A8"/>
    <w:rsid w:val="59861649"/>
    <w:rsid w:val="5A0E3B19"/>
    <w:rsid w:val="5A2C11CD"/>
    <w:rsid w:val="5A490FF5"/>
    <w:rsid w:val="5A5966D0"/>
    <w:rsid w:val="5A7122F9"/>
    <w:rsid w:val="5A9F6E67"/>
    <w:rsid w:val="5AEF59F3"/>
    <w:rsid w:val="5AF32D0E"/>
    <w:rsid w:val="5AF4436C"/>
    <w:rsid w:val="5CBC5002"/>
    <w:rsid w:val="5CDC7F59"/>
    <w:rsid w:val="5CF1710A"/>
    <w:rsid w:val="5D091059"/>
    <w:rsid w:val="5D1A0A26"/>
    <w:rsid w:val="5E115985"/>
    <w:rsid w:val="5EC510D8"/>
    <w:rsid w:val="5F7062F0"/>
    <w:rsid w:val="60536729"/>
    <w:rsid w:val="608E59B3"/>
    <w:rsid w:val="60D02615"/>
    <w:rsid w:val="61107851"/>
    <w:rsid w:val="62BA005E"/>
    <w:rsid w:val="631A52DC"/>
    <w:rsid w:val="637B1AF3"/>
    <w:rsid w:val="639257BA"/>
    <w:rsid w:val="642D7291"/>
    <w:rsid w:val="6523255C"/>
    <w:rsid w:val="654D2100"/>
    <w:rsid w:val="656C3734"/>
    <w:rsid w:val="65892E76"/>
    <w:rsid w:val="659F06A6"/>
    <w:rsid w:val="66157FDD"/>
    <w:rsid w:val="661B018A"/>
    <w:rsid w:val="662A7F2C"/>
    <w:rsid w:val="66925AD1"/>
    <w:rsid w:val="66AC2781"/>
    <w:rsid w:val="6740552D"/>
    <w:rsid w:val="67BE75D8"/>
    <w:rsid w:val="6A086F97"/>
    <w:rsid w:val="6A266C5C"/>
    <w:rsid w:val="6AC579A2"/>
    <w:rsid w:val="6B7400A5"/>
    <w:rsid w:val="6C506213"/>
    <w:rsid w:val="6CAA7610"/>
    <w:rsid w:val="6CEB7CE9"/>
    <w:rsid w:val="6D084167"/>
    <w:rsid w:val="6D5E04BB"/>
    <w:rsid w:val="6E5D386A"/>
    <w:rsid w:val="70D32F6E"/>
    <w:rsid w:val="7155100A"/>
    <w:rsid w:val="71B64922"/>
    <w:rsid w:val="72100BFB"/>
    <w:rsid w:val="72CA5C54"/>
    <w:rsid w:val="72EC751B"/>
    <w:rsid w:val="74136BEC"/>
    <w:rsid w:val="747B1953"/>
    <w:rsid w:val="758D7B90"/>
    <w:rsid w:val="765B183C"/>
    <w:rsid w:val="766412F8"/>
    <w:rsid w:val="76781F92"/>
    <w:rsid w:val="769767EC"/>
    <w:rsid w:val="76EA1660"/>
    <w:rsid w:val="76FA74A7"/>
    <w:rsid w:val="77A77481"/>
    <w:rsid w:val="77F07E31"/>
    <w:rsid w:val="781F7918"/>
    <w:rsid w:val="7826607A"/>
    <w:rsid w:val="782B3146"/>
    <w:rsid w:val="786170B2"/>
    <w:rsid w:val="78792CC1"/>
    <w:rsid w:val="78993BD8"/>
    <w:rsid w:val="78DF7A94"/>
    <w:rsid w:val="78E004B3"/>
    <w:rsid w:val="797E2865"/>
    <w:rsid w:val="7A9B2D4F"/>
    <w:rsid w:val="7AE12139"/>
    <w:rsid w:val="7B8E6410"/>
    <w:rsid w:val="7BE75B20"/>
    <w:rsid w:val="7C06244A"/>
    <w:rsid w:val="7D95271F"/>
    <w:rsid w:val="7DBE45BB"/>
    <w:rsid w:val="7E5F7E4B"/>
    <w:rsid w:val="7E9555D7"/>
    <w:rsid w:val="7EAD76C5"/>
    <w:rsid w:val="7EDC2502"/>
    <w:rsid w:val="7F1A5D2F"/>
    <w:rsid w:val="7F1B620C"/>
    <w:rsid w:val="7FB97D55"/>
    <w:rsid w:val="7FE404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3"/>
    <w:basedOn w:val="1"/>
    <w:next w:val="1"/>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3">
    <w:name w:val="Normal Indent"/>
    <w:basedOn w:val="1"/>
    <w:next w:val="1"/>
    <w:qFormat/>
    <w:uiPriority w:val="0"/>
    <w:pPr>
      <w:autoSpaceDE w:val="0"/>
      <w:autoSpaceDN w:val="0"/>
      <w:adjustRightInd w:val="0"/>
      <w:ind w:firstLine="420"/>
      <w:jc w:val="left"/>
    </w:pPr>
    <w:rPr>
      <w:rFonts w:ascii="宋体"/>
      <w:sz w:val="24"/>
    </w:rPr>
  </w:style>
  <w:style w:type="paragraph" w:styleId="4">
    <w:name w:val="Document Map"/>
    <w:basedOn w:val="1"/>
    <w:next w:val="1"/>
    <w:qFormat/>
    <w:uiPriority w:val="0"/>
    <w:pPr>
      <w:shd w:val="clear" w:color="auto" w:fill="000080"/>
    </w:pPr>
  </w:style>
  <w:style w:type="paragraph" w:styleId="5">
    <w:name w:val="annotation text"/>
    <w:basedOn w:val="1"/>
    <w:qFormat/>
    <w:uiPriority w:val="0"/>
    <w:pPr>
      <w:jc w:val="left"/>
    </w:pPr>
  </w:style>
  <w:style w:type="paragraph" w:styleId="6">
    <w:name w:val="Body Text"/>
    <w:basedOn w:val="1"/>
    <w:next w:val="1"/>
    <w:qFormat/>
    <w:uiPriority w:val="0"/>
    <w:pPr>
      <w:tabs>
        <w:tab w:val="left" w:pos="567"/>
      </w:tabs>
      <w:spacing w:before="120" w:line="22" w:lineRule="atLeast"/>
    </w:pPr>
    <w:rPr>
      <w:rFonts w:ascii="宋体" w:hAnsi="宋体"/>
      <w:sz w:val="24"/>
    </w:rPr>
  </w:style>
  <w:style w:type="paragraph" w:styleId="7">
    <w:name w:val="Body Text Indent"/>
    <w:basedOn w:val="1"/>
    <w:next w:val="1"/>
    <w:qFormat/>
    <w:uiPriority w:val="0"/>
    <w:pPr>
      <w:spacing w:line="360" w:lineRule="auto"/>
      <w:ind w:firstLine="570"/>
    </w:pPr>
    <w:rPr>
      <w:sz w:val="24"/>
    </w:rPr>
  </w:style>
  <w:style w:type="paragraph" w:styleId="8">
    <w:name w:val="Plain Text"/>
    <w:basedOn w:val="1"/>
    <w:next w:val="3"/>
    <w:qFormat/>
    <w:uiPriority w:val="0"/>
    <w:rPr>
      <w:rFonts w:hint="eastAsia" w:ascii="宋体" w:hAnsi="Courier New"/>
      <w:szCs w:val="20"/>
    </w:rPr>
  </w:style>
  <w:style w:type="paragraph" w:styleId="9">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1"/>
    <w:next w:val="1"/>
    <w:qFormat/>
    <w:uiPriority w:val="39"/>
    <w:pPr>
      <w:tabs>
        <w:tab w:val="left" w:pos="1050"/>
        <w:tab w:val="right" w:leader="dot" w:pos="8937"/>
      </w:tabs>
      <w:spacing w:line="300" w:lineRule="auto"/>
    </w:pPr>
    <w:rPr>
      <w:rFonts w:ascii="宋体" w:hAnsi="宋体"/>
      <w:b/>
      <w:sz w:val="24"/>
    </w:rPr>
  </w:style>
  <w:style w:type="character" w:styleId="14">
    <w:name w:val="page number"/>
    <w:basedOn w:val="13"/>
    <w:qFormat/>
    <w:uiPriority w:val="0"/>
  </w:style>
  <w:style w:type="character" w:styleId="15">
    <w:name w:val="Hyperlink"/>
    <w:qFormat/>
    <w:uiPriority w:val="99"/>
    <w:rPr>
      <w:color w:val="0000FF"/>
      <w:u w:val="single"/>
    </w:rPr>
  </w:style>
  <w:style w:type="paragraph" w:styleId="16">
    <w:name w:val="List Paragraph"/>
    <w:basedOn w:val="1"/>
    <w:qFormat/>
    <w:uiPriority w:val="34"/>
    <w:pPr>
      <w:ind w:firstLine="420" w:firstLineChars="200"/>
    </w:pPr>
    <w:rPr>
      <w:rFonts w:ascii="Calibri" w:hAnsi="Calibri"/>
      <w:szCs w:val="22"/>
    </w:rPr>
  </w:style>
  <w:style w:type="paragraph" w:customStyle="1" w:styleId="17">
    <w:name w:val="成文日期"/>
    <w:basedOn w:val="1"/>
    <w:qFormat/>
    <w:uiPriority w:val="0"/>
    <w:pPr>
      <w:spacing w:line="570" w:lineRule="exact"/>
      <w:ind w:right="400" w:rightChars="400" w:firstLine="200" w:firstLineChars="200"/>
      <w:jc w:val="right"/>
    </w:pPr>
    <w:rPr>
      <w:rFonts w:ascii="仿宋_GB2312" w:eastAsia="仿宋_GB2312"/>
      <w:sz w:val="32"/>
      <w:szCs w:val="20"/>
    </w:rPr>
  </w:style>
  <w:style w:type="paragraph" w:customStyle="1" w:styleId="18">
    <w:name w:val="null3"/>
    <w:hidden/>
    <w:qFormat/>
    <w:uiPriority w:val="0"/>
    <w:rPr>
      <w:rFonts w:hint="eastAsia" w:ascii="Calibri" w:hAnsi="Calibri" w:eastAsia="宋体" w:cs="Times New Roman"/>
      <w:lang w:val="en-US" w:eastAsia="zh-CN" w:bidi="ar-SA"/>
    </w:rPr>
  </w:style>
  <w:style w:type="paragraph" w:customStyle="1" w:styleId="19">
    <w:name w:val="标题 311"/>
    <w:basedOn w:val="1"/>
    <w:next w:val="1"/>
    <w:qFormat/>
    <w:uiPriority w:val="0"/>
    <w:pPr>
      <w:keepNext/>
      <w:keepLines/>
      <w:spacing w:before="360" w:after="120"/>
      <w:jc w:val="left"/>
      <w:outlineLvl w:val="2"/>
    </w:pPr>
    <w:rPr>
      <w:rFonts w:ascii="宋体"/>
      <w:b/>
      <w:sz w:val="24"/>
      <w:szCs w:val="20"/>
      <w:u w:val="singl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69</Pages>
  <Words>14206</Words>
  <Characters>14814</Characters>
  <Lines>0</Lines>
  <Paragraphs>0</Paragraphs>
  <TotalTime>0</TotalTime>
  <ScaleCrop>false</ScaleCrop>
  <LinksUpToDate>false</LinksUpToDate>
  <CharactersWithSpaces>15069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2024-08-12T03:22:00Z</dcterms:created>
  <dc:creator>π</dc:creator>
  <cp:lastModifiedBy>0</cp:lastModifiedBy>
  <cp:lastPrinted>2025-06-03T06:49:00Z</cp:lastPrinted>
  <dcterms:modified xsi:type="dcterms:W3CDTF">2026-05-07T06:17:20Z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DD014D494829408EBAF6C603AF6FC21D_13</vt:lpwstr>
  </property>
  <property fmtid="{D5CDD505-2E9C-101B-9397-08002B2CF9AE}" pid="4" name="KSOTemplateDocerSaveRecord">
    <vt:lpwstr>eyJoZGlkIjoiY2RiYzU2ZTNjNDllZTMyOTFmNTE3MmRiOTliNjVlMDQiLCJ1c2VySWQiOiIxMDQ2OTQ3MzgyIn0=</vt:lpwstr>
  </property>
</Properties>
</file>