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976"/>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p>
    <w:p>
      <w:pPr>
        <w:pStyle w:val="976"/>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976"/>
        <w:ind w:firstLine="0"/>
        <w:jc w:val="center"/>
        <w:rPr>
          <w:rFonts w:hint="eastAsia" w:ascii="黑体" w:hAnsi="华文中宋" w:eastAsia="黑体"/>
          <w:bCs/>
          <w:color w:val="000000"/>
          <w:spacing w:val="20"/>
          <w:sz w:val="52"/>
          <w:szCs w:val="52"/>
          <w:highlight w:val="none"/>
          <w:shd w:val="clear" w:color="ffffff" w:fill="d9d9d9"/>
          <w:lang w:eastAsia="zh-CN"/>
        </w:rPr>
      </w:pPr>
      <w:r>
        <w:rPr>
          <w:rFonts w:hint="eastAsia" w:ascii="黑体" w:hAnsi="华文中宋" w:eastAsia="黑体"/>
          <w:bCs/>
          <w:color w:val="000000"/>
          <w:spacing w:val="20"/>
          <w:sz w:val="52"/>
          <w:szCs w:val="52"/>
          <w:highlight w:val="none"/>
          <w:shd w:val="clear" w:color="ffffff" w:fill="d9d9d9"/>
          <w:lang w:eastAsia="zh-CN"/>
        </w:rPr>
        <w:t xml:space="preserve">（</w:t>
      </w:r>
      <w:r>
        <w:rPr>
          <w:rFonts w:hint="eastAsia" w:ascii="黑体" w:hAnsi="华文中宋" w:eastAsia="黑体"/>
          <w:bCs/>
          <w:color w:val="000000"/>
          <w:spacing w:val="20"/>
          <w:sz w:val="52"/>
          <w:szCs w:val="52"/>
          <w:highlight w:val="none"/>
          <w:shd w:val="clear" w:color="ffffff" w:fill="d9d9d9"/>
          <w:lang w:val="en-US" w:eastAsia="zh-CN"/>
        </w:rPr>
        <w:t xml:space="preserve">暗标</w:t>
      </w:r>
      <w:r>
        <w:rPr>
          <w:rFonts w:hint="eastAsia" w:ascii="黑体" w:hAnsi="华文中宋" w:eastAsia="黑体"/>
          <w:bCs/>
          <w:color w:val="000000"/>
          <w:spacing w:val="20"/>
          <w:sz w:val="52"/>
          <w:szCs w:val="52"/>
          <w:highlight w:val="none"/>
          <w:shd w:val="clear" w:color="ffffff" w:fill="d9d9d9"/>
          <w:lang w:eastAsia="zh-CN"/>
        </w:rPr>
        <w:t xml:space="preserve">）</w:t>
      </w:r>
      <w:r/>
    </w:p>
    <w:p>
      <w:pPr>
        <w:pStyle w:val="976"/>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76"/>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项目编号：JSZC-320211-JZCG-G2026-0006</w:t>
      </w:r>
      <w:r/>
    </w:p>
    <w:p>
      <w:pPr>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项目名称：无锡市第二中医医院物业服务外包</w:t>
      </w:r>
      <w:r/>
    </w:p>
    <w:p>
      <w:pPr>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人：无锡市第二中医医院</w:t>
      </w:r>
      <w:r/>
    </w:p>
    <w:p>
      <w:pPr>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6"/>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w:t>
      </w:r>
      <w:r>
        <w:rPr>
          <w:rFonts w:hint="eastAsia" w:ascii="黑体" w:hAnsi="华文中宋" w:eastAsia="黑体"/>
          <w:bCs/>
          <w:color w:val="000000"/>
          <w:sz w:val="32"/>
          <w:szCs w:val="32"/>
          <w:highlight w:val="none"/>
          <w:lang w:val="en-US" w:eastAsia="zh-CN"/>
        </w:rPr>
        <w:t xml:space="preserve">滨湖区</w:t>
      </w:r>
      <w:r>
        <w:rPr>
          <w:rFonts w:hint="eastAsia" w:ascii="黑体" w:hAnsi="华文中宋" w:eastAsia="黑体"/>
          <w:bCs/>
          <w:color w:val="000000"/>
          <w:sz w:val="32"/>
          <w:szCs w:val="32"/>
          <w:highlight w:val="none"/>
        </w:rPr>
        <w:t xml:space="preserve">公共资源交易中心</w:t>
      </w:r>
      <w:r/>
    </w:p>
    <w:p>
      <w:pPr>
        <w:pStyle w:val="976"/>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lang w:val="en-US" w:eastAsia="zh-CN"/>
        </w:rPr>
        <w:t xml:space="preserve"> </w:t>
      </w:r>
      <w:r>
        <w:rPr>
          <w:rFonts w:hint="eastAsia" w:ascii="黑体" w:hAnsi="华文中宋" w:eastAsia="黑体"/>
          <w:bCs/>
          <w:color w:val="000000"/>
          <w:sz w:val="32"/>
          <w:szCs w:val="32"/>
          <w:highlight w:val="none"/>
        </w:rPr>
        <w:t xml:space="preserve">二〇二</w:t>
      </w:r>
      <w:r>
        <w:rPr>
          <w:rFonts w:hint="eastAsia" w:ascii="黑体" w:hAnsi="华文中宋" w:eastAsia="黑体"/>
          <w:bCs/>
          <w:color w:val="000000"/>
          <w:sz w:val="32"/>
          <w:szCs w:val="32"/>
          <w:highlight w:val="none"/>
          <w:lang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eastAsia="zh-CN"/>
        </w:rPr>
        <w:t xml:space="preserve">五</w:t>
      </w:r>
      <w:r>
        <w:rPr>
          <w:rFonts w:hint="eastAsia" w:ascii="黑体" w:hAnsi="华文中宋" w:eastAsia="黑体"/>
          <w:bCs/>
          <w:color w:val="000000"/>
          <w:sz w:val="32"/>
          <w:szCs w:val="32"/>
          <w:highlight w:val="none"/>
        </w:rPr>
        <w:t xml:space="preserve">月</w:t>
      </w:r>
      <w:r/>
    </w:p>
    <w:p>
      <w:pPr>
        <w:pStyle w:val="976"/>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黑体" w:hAnsi="黑体" w:eastAsia="黑体"/>
          <w:color w:val="000000"/>
          <w:sz w:val="36"/>
          <w:szCs w:val="36"/>
          <w:highlight w:val="none"/>
        </w:rPr>
        <w:t xml:space="preserve">总  目  录</w:t>
      </w:r>
      <w:r/>
    </w:p>
    <w:p>
      <w:pPr>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r/>
    </w:p>
    <w:p>
      <w:pPr>
        <w:ind w:firstLine="480"/>
        <w:spacing w:line="500" w:lineRule="exact"/>
        <w:rPr>
          <w:rFonts w:ascii="宋体" w:hAnsi="宋体"/>
          <w:color w:val="000000"/>
          <w:sz w:val="24"/>
          <w:szCs w:val="24"/>
          <w:highlight w:val="none"/>
          <w:shd w:val="clear" w:color="ffffff" w:fill="d9d9d9"/>
        </w:rPr>
      </w:pPr>
      <w:r/>
      <w:bookmarkStart w:id="6" w:name="_Toc35393791"/>
      <w:r/>
      <w:bookmarkStart w:id="7" w:name="_Toc28359080"/>
      <w:r/>
      <w:bookmarkStart w:id="8" w:name="_Toc38985264"/>
      <w:r/>
      <w:bookmarkStart w:id="9" w:name="_Toc28359003"/>
      <w:r/>
      <w:bookmarkStart w:id="10" w:name="_Toc35393622"/>
      <w:r>
        <w:rPr>
          <w:rFonts w:hint="eastAsia" w:ascii="宋体" w:hAnsi="宋体"/>
          <w:color w:val="000000"/>
          <w:sz w:val="24"/>
          <w:szCs w:val="24"/>
          <w:highlight w:val="none"/>
        </w:rPr>
        <w:t xml:space="preserve">受</w:t>
      </w:r>
      <w:r>
        <w:rPr>
          <w:rFonts w:hint="eastAsia" w:ascii="宋体" w:hAnsi="宋体"/>
          <w:color w:val="000000"/>
          <w:sz w:val="24"/>
          <w:szCs w:val="24"/>
          <w:highlight w:val="none"/>
          <w:lang w:val="en-US" w:eastAsia="zh-CN"/>
        </w:rPr>
        <w:t xml:space="preserve">无锡市第二中医医院</w:t>
      </w:r>
      <w:r>
        <w:rPr>
          <w:rFonts w:hint="eastAsia" w:ascii="宋体" w:hAnsi="宋体"/>
          <w:color w:val="000000"/>
          <w:sz w:val="24"/>
          <w:szCs w:val="24"/>
          <w:highlight w:val="none"/>
        </w:rPr>
        <w:t xml:space="preserve">的委托，无锡市</w:t>
      </w:r>
      <w:r>
        <w:rPr>
          <w:rFonts w:hint="eastAsia" w:ascii="宋体" w:hAnsi="宋体"/>
          <w:color w:val="000000"/>
          <w:sz w:val="24"/>
          <w:szCs w:val="24"/>
          <w:highlight w:val="none"/>
          <w:lang w:val="en-US" w:eastAsia="zh-CN"/>
        </w:rPr>
        <w:t xml:space="preserve">滨湖区</w:t>
      </w:r>
      <w:r>
        <w:rPr>
          <w:rFonts w:hint="eastAsia" w:ascii="宋体" w:hAnsi="宋体"/>
          <w:color w:val="000000"/>
          <w:sz w:val="24"/>
          <w:szCs w:val="24"/>
          <w:highlight w:val="none"/>
        </w:rPr>
        <w:t xml:space="preserve">公共资源交易中心就</w:t>
      </w:r>
      <w:r>
        <w:rPr>
          <w:rFonts w:hint="eastAsia" w:ascii="宋体" w:hAnsi="宋体"/>
          <w:color w:val="000000"/>
          <w:sz w:val="24"/>
          <w:szCs w:val="24"/>
          <w:highlight w:val="none"/>
          <w:lang w:val="en-US" w:eastAsia="zh-CN"/>
        </w:rPr>
        <w:t xml:space="preserve">无锡市第二中医医院物业服务外包项目</w:t>
      </w:r>
      <w:r>
        <w:rPr>
          <w:rFonts w:hint="eastAsia" w:ascii="宋体" w:hAnsi="宋体"/>
          <w:color w:val="000000"/>
          <w:sz w:val="24"/>
          <w:szCs w:val="24"/>
          <w:highlight w:val="none"/>
        </w:rPr>
        <w:t xml:space="preserve">进行公开招标采购，欢迎符合条件的供应商投标。</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val="en-US" w:eastAsia="zh-CN"/>
        </w:rPr>
        <w:t xml:space="preserve">无锡市第二中医医院物业服务外包</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06</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12</w:t>
      </w:r>
      <w:r>
        <w:rPr>
          <w:rFonts w:hint="eastAsia" w:ascii="宋体" w:hAnsi="宋体"/>
          <w:b/>
          <w:bCs/>
          <w:color w:val="0000ff"/>
          <w:sz w:val="24"/>
          <w:szCs w:val="24"/>
          <w:highlight w:val="none"/>
        </w:rPr>
        <w:t xml:space="preserve">日</w:t>
      </w:r>
      <w:r>
        <w:rPr>
          <w:rFonts w:hint="eastAsia" w:ascii="宋体" w:hAnsi="宋体"/>
          <w:b/>
          <w:bCs/>
          <w:color w:val="000000"/>
          <w:sz w:val="24"/>
          <w:szCs w:val="24"/>
          <w:highlight w:val="none"/>
        </w:rPr>
        <w:t xml:space="preserve">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891"/>
        <w:ind w:firstLine="452"/>
        <w:keepLines w:val="0"/>
        <w:keepNext w:val="0"/>
        <w:spacing w:before="0" w:after="0" w:line="500" w:lineRule="exact"/>
        <w:rPr>
          <w:color w:val="000000"/>
          <w:sz w:val="30"/>
          <w:szCs w:val="30"/>
          <w:highlight w:val="none"/>
        </w:rPr>
      </w:pPr>
      <w:r/>
      <w:bookmarkStart w:id="11" w:name="_Toc38985263"/>
      <w:r/>
      <w:bookmarkStart w:id="12" w:name="_Toc35393621"/>
      <w:r/>
      <w:bookmarkStart w:id="13" w:name="_Toc28359002"/>
      <w:r/>
      <w:bookmarkStart w:id="14" w:name="_Toc28359079"/>
      <w:r/>
      <w:bookmarkStart w:id="15" w:name="_Toc35393790"/>
      <w:r/>
      <w:bookmarkStart w:id="16" w:name="_Hlk24379207"/>
      <w:r>
        <w:rPr>
          <w:rFonts w:hint="eastAsia"/>
          <w:color w:val="000000"/>
          <w:sz w:val="30"/>
          <w:szCs w:val="30"/>
          <w:highlight w:val="none"/>
        </w:rPr>
        <w:t xml:space="preserve">一、项目基本情况</w:t>
      </w:r>
      <w:bookmarkEnd w:id="11"/>
      <w:r/>
      <w:bookmarkEnd w:id="12"/>
      <w:r/>
      <w:bookmarkEnd w:id="13"/>
      <w:r/>
      <w:bookmarkEnd w:id="14"/>
      <w:r/>
      <w:bookmarkEnd w:id="15"/>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1.项目编号：JSZC-320211-JZCG-G2026-0006</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2.项目名称：无锡市第二中医医院物业服务外包</w:t>
      </w:r>
      <w:bookmarkEnd w:id="16"/>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3.项目预算金额：</w:t>
      </w:r>
      <w:r>
        <w:rPr>
          <w:rFonts w:hint="eastAsia" w:ascii="宋体" w:hAnsi="宋体"/>
          <w:color w:val="000000"/>
          <w:sz w:val="24"/>
          <w:szCs w:val="24"/>
          <w:highlight w:val="none"/>
          <w:lang w:val="en-US" w:eastAsia="zh-CN"/>
        </w:rPr>
        <w:t xml:space="preserve">900</w:t>
      </w:r>
      <w:r>
        <w:rPr>
          <w:rFonts w:hint="eastAsia" w:ascii="宋体" w:hAnsi="宋体"/>
          <w:color w:val="000000"/>
          <w:sz w:val="24"/>
          <w:szCs w:val="24"/>
          <w:highlight w:val="none"/>
        </w:rPr>
        <w:t xml:space="preserve">万元</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color w:val="000000"/>
          <w:sz w:val="24"/>
          <w:szCs w:val="24"/>
          <w:highlight w:val="none"/>
          <w:lang w:val="en-US" w:eastAsia="zh-CN"/>
        </w:rPr>
        <w:t xml:space="preserve"> 881.5007</w:t>
      </w:r>
      <w:r>
        <w:rPr>
          <w:rFonts w:hint="eastAsia" w:ascii="宋体" w:hAnsi="宋体"/>
          <w:color w:val="000000"/>
          <w:sz w:val="24"/>
          <w:szCs w:val="24"/>
          <w:highlight w:val="none"/>
        </w:rPr>
        <w:t xml:space="preserve">万元</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hint="eastAsia" w:cs="宋体" w:asciiTheme="minorEastAsia" w:hAnsiTheme="minorEastAsia"/>
          <w:sz w:val="24"/>
        </w:rPr>
      </w:pPr>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rPr>
        <w:t xml:space="preserve">是</w:t>
      </w:r>
      <w:r/>
    </w:p>
    <w:p>
      <w:pPr>
        <w:ind w:firstLine="480"/>
        <w:spacing w:line="500" w:lineRule="exact"/>
        <w:rPr>
          <w:rFonts w:hint="eastAsia" w:cs="宋体" w:asciiTheme="minorEastAsia" w:hAnsiTheme="minorEastAsia"/>
          <w:sz w:val="24"/>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sz w:val="24"/>
        </w:rPr>
        <w:t xml:space="preserve">物业管理</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91"/>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二、申请人的资格要求</w:t>
      </w:r>
      <w:bookmarkEnd w:id="6"/>
      <w:r/>
      <w:bookmarkEnd w:id="7"/>
      <w:r/>
      <w:bookmarkEnd w:id="8"/>
      <w:r/>
      <w:bookmarkEnd w:id="9"/>
      <w:r/>
      <w:bookmarkEnd w:id="10"/>
      <w:r/>
      <w:r/>
    </w:p>
    <w:p>
      <w:pPr>
        <w:ind w:firstLine="480"/>
        <w:spacing w:line="500" w:lineRule="exact"/>
        <w:rPr>
          <w:rFonts w:ascii="宋体" w:hAnsi="宋体"/>
          <w:color w:val="000000"/>
          <w:sz w:val="24"/>
          <w:szCs w:val="24"/>
          <w:highlight w:val="none"/>
        </w:rPr>
      </w:pPr>
      <w:r/>
      <w:bookmarkStart w:id="17" w:name="_Toc35393623"/>
      <w:r/>
      <w:bookmarkStart w:id="18" w:name="_Toc28359081"/>
      <w:r/>
      <w:bookmarkStart w:id="19" w:name="_Toc28359004"/>
      <w:r/>
      <w:bookmarkStart w:id="20" w:name="_Toc38985265"/>
      <w:r/>
      <w:bookmarkStart w:id="21" w:name="_Toc35393792"/>
      <w:r>
        <w:rPr>
          <w:rFonts w:hint="eastAsia" w:ascii="宋体" w:hAnsi="宋体"/>
          <w:color w:val="000000"/>
          <w:sz w:val="24"/>
          <w:szCs w:val="24"/>
          <w:highlight w:val="none"/>
        </w:rPr>
        <w:t xml:space="preserve">1.满足《中华人民共和国政府采购法》第二十二条规定；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p>
    <w:p>
      <w:pPr>
        <w:pStyle w:val="891"/>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p>
    <w:p>
      <w:pPr>
        <w:ind w:firstLine="540"/>
        <w:spacing w:line="500" w:lineRule="exact"/>
        <w:rPr>
          <w:rStyle w:val="965"/>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“江苏省政府采购（苏采云）平台”（http://jszfcg.jscz.gov.cn/jszc/login）获取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pStyle w:val="891"/>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hint="eastAsia" w:ascii="宋体" w:hAnsi="宋体"/>
          <w:b/>
          <w:bCs w:val="0"/>
          <w:color w:val="0000ff"/>
          <w:sz w:val="24"/>
          <w:szCs w:val="24"/>
          <w:highlight w:val="none"/>
        </w:rPr>
        <w:t xml:space="preserve">202</w:t>
      </w:r>
      <w:r>
        <w:rPr>
          <w:rFonts w:hint="eastAsia" w:ascii="宋体" w:hAnsi="宋体"/>
          <w:b/>
          <w:bCs w:val="0"/>
          <w:color w:val="0000ff"/>
          <w:sz w:val="24"/>
          <w:szCs w:val="24"/>
          <w:highlight w:val="none"/>
          <w:lang w:val="en-US" w:eastAsia="zh-CN"/>
        </w:rPr>
        <w:t xml:space="preserve">6</w:t>
      </w:r>
      <w:r>
        <w:rPr>
          <w:rFonts w:hint="eastAsia" w:ascii="宋体" w:hAnsi="宋体"/>
          <w:b/>
          <w:bCs w:val="0"/>
          <w:color w:val="0000ff"/>
          <w:sz w:val="24"/>
          <w:szCs w:val="24"/>
          <w:highlight w:val="none"/>
        </w:rPr>
        <w:t xml:space="preserve">年</w:t>
      </w:r>
      <w:r>
        <w:rPr>
          <w:rFonts w:hint="eastAsia" w:ascii="宋体" w:hAnsi="宋体"/>
          <w:b/>
          <w:bCs w:val="0"/>
          <w:color w:val="0000ff"/>
          <w:sz w:val="24"/>
          <w:szCs w:val="24"/>
          <w:highlight w:val="none"/>
          <w:lang w:val="en-US" w:eastAsia="zh-CN"/>
        </w:rPr>
        <w:t xml:space="preserve">06</w:t>
      </w:r>
      <w:r>
        <w:rPr>
          <w:rFonts w:hint="eastAsia" w:ascii="宋体" w:hAnsi="宋体"/>
          <w:b/>
          <w:bCs w:val="0"/>
          <w:color w:val="0000ff"/>
          <w:sz w:val="24"/>
          <w:szCs w:val="24"/>
          <w:highlight w:val="none"/>
        </w:rPr>
        <w:t xml:space="preserve">月</w:t>
      </w:r>
      <w:r>
        <w:rPr>
          <w:rFonts w:hint="eastAsia" w:ascii="宋体" w:hAnsi="宋体"/>
          <w:b/>
          <w:bCs w:val="0"/>
          <w:color w:val="0000ff"/>
          <w:sz w:val="24"/>
          <w:szCs w:val="24"/>
          <w:highlight w:val="none"/>
          <w:lang w:val="en-US" w:eastAsia="zh-CN"/>
        </w:rPr>
        <w:t xml:space="preserve">12</w:t>
      </w:r>
      <w:r>
        <w:rPr>
          <w:rFonts w:hint="eastAsia" w:ascii="宋体" w:hAnsi="宋体"/>
          <w:b/>
          <w:bCs w:val="0"/>
          <w:color w:val="0000ff"/>
          <w:sz w:val="24"/>
          <w:szCs w:val="24"/>
          <w:highlight w:val="none"/>
        </w:rPr>
        <w:t xml:space="preserve">日</w:t>
      </w:r>
      <w:r>
        <w:rPr>
          <w:rFonts w:hint="eastAsia" w:ascii="宋体" w:hAnsi="宋体"/>
          <w:b/>
          <w:bCs w:val="0"/>
          <w:color w:val="000000"/>
          <w:sz w:val="24"/>
          <w:szCs w:val="24"/>
          <w:highlight w:val="none"/>
        </w:rPr>
        <w:t xml:space="preserve">09点30分</w:t>
      </w:r>
      <w:r>
        <w:rPr>
          <w:rFonts w:hint="eastAsia" w:ascii="宋体" w:hAnsi="宋体"/>
          <w:bCs/>
          <w:color w:val="000000"/>
          <w:sz w:val="24"/>
          <w:szCs w:val="24"/>
          <w:highlight w:val="none"/>
        </w:rPr>
        <w:t xml:space="preserve">（北京时间）</w:t>
      </w:r>
      <w:r/>
    </w:p>
    <w:p>
      <w:pPr>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891"/>
        <w:ind w:firstLine="452"/>
        <w:keepLines w:val="0"/>
        <w:keepNext w:val="0"/>
        <w:spacing w:before="0" w:after="0" w:line="500" w:lineRule="exact"/>
        <w:rPr>
          <w:color w:val="000000"/>
          <w:sz w:val="30"/>
          <w:szCs w:val="30"/>
          <w:highlight w:val="none"/>
        </w:rPr>
      </w:pPr>
      <w:r/>
      <w:bookmarkStart w:id="27" w:name="_Toc28359084"/>
      <w:r/>
      <w:bookmarkStart w:id="28" w:name="_Toc28359007"/>
      <w:r/>
      <w:bookmarkStart w:id="29" w:name="_Toc38985267"/>
      <w:r/>
      <w:bookmarkStart w:id="30" w:name="_Toc35393625"/>
      <w:r/>
      <w:bookmarkStart w:id="31" w:name="_Toc35393794"/>
      <w:r>
        <w:rPr>
          <w:rFonts w:hint="eastAsia"/>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（招标公告及招标文件公告期限）自本公告发布之日起5个工作日。</w:t>
      </w:r>
      <w:r/>
    </w:p>
    <w:p>
      <w:pPr>
        <w:pStyle w:val="891"/>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pStyle w:val="891"/>
        <w:ind w:firstLine="452"/>
        <w:keepLines w:val="0"/>
        <w:keepNext w:val="0"/>
        <w:spacing w:before="0" w:after="0" w:line="500" w:lineRule="exact"/>
        <w:rPr>
          <w:color w:val="000000"/>
          <w:sz w:val="30"/>
          <w:szCs w:val="30"/>
          <w:highlight w:val="none"/>
        </w:rPr>
      </w:pPr>
      <w:r/>
      <w:bookmarkStart w:id="35" w:name="_Toc35393796"/>
      <w:r/>
      <w:bookmarkStart w:id="36" w:name="_Toc35393627"/>
      <w:r/>
      <w:bookmarkStart w:id="37" w:name="_Toc38985269"/>
      <w:r/>
      <w:bookmarkStart w:id="38" w:name="_Toc28359008"/>
      <w:r/>
      <w:bookmarkStart w:id="39" w:name="_Toc28359085"/>
      <w:r>
        <w:rPr>
          <w:rFonts w:hint="eastAsia"/>
          <w:color w:val="000000"/>
          <w:sz w:val="30"/>
          <w:szCs w:val="30"/>
          <w:highlight w:val="none"/>
        </w:rPr>
        <w:t xml:space="preserve">七、本项目联系方式</w:t>
      </w:r>
      <w:bookmarkEnd w:id="35"/>
      <w:r/>
      <w:bookmarkEnd w:id="36"/>
      <w:r/>
      <w:bookmarkEnd w:id="37"/>
      <w:r/>
      <w:bookmarkEnd w:id="38"/>
      <w:r/>
      <w:bookmarkEnd w:id="39"/>
      <w:r/>
      <w:r/>
    </w:p>
    <w:p>
      <w:pPr>
        <w:ind w:firstLine="480"/>
        <w:spacing w:line="356"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56"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56"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w:t>
      </w:r>
      <w:r>
        <w:rPr>
          <w:rFonts w:hint="eastAsia" w:cs="宋体" w:asciiTheme="minorEastAsia" w:hAnsiTheme="minorEastAsia"/>
          <w:color w:val="000000" w:themeColor="text1"/>
          <w:sz w:val="24"/>
          <w:szCs w:val="24"/>
          <w:lang w:eastAsia="zh-CN"/>
        </w:rPr>
        <w:t xml:space="preserve">曹宝柱</w:t>
      </w:r>
      <w:r>
        <w:rPr>
          <w:rFonts w:hint="eastAsia" w:cs="宋体" w:asciiTheme="minorEastAsia" w:hAnsiTheme="minorEastAsia"/>
          <w:color w:val="000000" w:themeColor="text1"/>
          <w:sz w:val="24"/>
          <w:szCs w:val="24"/>
        </w:rPr>
        <w:t xml:space="preserve">  徐鹏飞 </w:t>
      </w:r>
      <w:r/>
    </w:p>
    <w:p>
      <w:pPr>
        <w:ind w:firstLine="480"/>
        <w:jc w:val="left"/>
        <w:spacing w:line="356"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w:t>
      </w:r>
      <w:r>
        <w:rPr>
          <w:rFonts w:hint="eastAsia" w:cs="宋体" w:asciiTheme="minorEastAsia" w:hAnsiTheme="minorEastAsia"/>
          <w:color w:val="000000" w:themeColor="text1"/>
          <w:sz w:val="24"/>
          <w:szCs w:val="24"/>
          <w:lang w:val="en-US" w:eastAsia="zh-CN"/>
        </w:rPr>
        <w:t xml:space="preserve">50</w:t>
      </w:r>
      <w:r>
        <w:rPr>
          <w:rFonts w:hint="eastAsia" w:cs="宋体" w:asciiTheme="minorEastAsia" w:hAnsiTheme="minorEastAsia"/>
          <w:color w:val="000000" w:themeColor="text1"/>
          <w:sz w:val="24"/>
          <w:szCs w:val="24"/>
        </w:rPr>
        <w:t xml:space="preserve">             </w:t>
      </w:r>
      <w:r/>
    </w:p>
    <w:p>
      <w:pPr>
        <w:ind w:firstLine="480"/>
        <w:jc w:val="left"/>
        <w:spacing w:line="356"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56"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56"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名称：无锡市第二中医医院</w:t>
      </w:r>
      <w:r/>
    </w:p>
    <w:p>
      <w:pPr>
        <w:ind w:firstLine="480"/>
        <w:jc w:val="left"/>
        <w:spacing w:line="356"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联系人：殷丹燕</w:t>
      </w:r>
      <w:r/>
    </w:p>
    <w:p>
      <w:pPr>
        <w:ind w:firstLine="480"/>
        <w:jc w:val="left"/>
        <w:spacing w:line="356"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联系电话：15306179955</w:t>
      </w:r>
      <w:r/>
    </w:p>
    <w:p>
      <w:pPr>
        <w:ind w:firstLine="480"/>
        <w:jc w:val="left"/>
        <w:spacing w:line="356"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联系地址：滨湖区太湖街道信成道390号</w:t>
      </w:r>
      <w:r/>
    </w:p>
    <w:p>
      <w:pPr>
        <w:pStyle w:val="891"/>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0"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0"/>
      <w:r/>
      <w:bookmarkStart w:id="41" w:name="_Toc513029202"/>
      <w:r/>
      <w:bookmarkStart w:id="42" w:name="_Toc16938518"/>
      <w:r/>
      <w:bookmarkStart w:id="43" w:name="_Toc20823274"/>
      <w:r/>
      <w:bookmarkStart w:id="44" w:name="_Toc120614213"/>
      <w:r>
        <w:rPr>
          <w:rFonts w:hint="eastAsia" w:ascii="黑体" w:hAnsi="黑体" w:eastAsia="黑体"/>
          <w:color w:val="000000"/>
          <w:sz w:val="36"/>
          <w:szCs w:val="36"/>
          <w:highlight w:val="none"/>
        </w:rPr>
        <w:t xml:space="preserve">投标人须知</w:t>
      </w:r>
      <w:bookmarkEnd w:id="41"/>
      <w:r/>
      <w:bookmarkEnd w:id="42"/>
      <w:r/>
      <w:bookmarkEnd w:id="43"/>
      <w:r/>
      <w:bookmarkEnd w:id="44"/>
      <w:r/>
      <w:r/>
    </w:p>
    <w:p>
      <w:pPr>
        <w:pStyle w:val="891"/>
        <w:ind w:firstLine="452"/>
        <w:keepLines w:val="0"/>
        <w:keepNext w:val="0"/>
        <w:spacing w:before="0" w:after="0" w:line="500" w:lineRule="exact"/>
        <w:rPr>
          <w:rFonts w:hint="eastAsia"/>
          <w:color w:val="000000"/>
          <w:sz w:val="30"/>
          <w:szCs w:val="30"/>
          <w:highlight w:val="none"/>
        </w:rPr>
      </w:pPr>
      <w:r/>
      <w:bookmarkStart w:id="45" w:name="_Toc120614214"/>
      <w:r/>
      <w:bookmarkStart w:id="46" w:name="_Toc513029203"/>
      <w:r/>
      <w:bookmarkStart w:id="47" w:name="_Toc16938519"/>
      <w:r/>
      <w:bookmarkStart w:id="48" w:name="_Toc20823275"/>
      <w:r>
        <w:rPr>
          <w:rFonts w:hint="eastAsia"/>
          <w:color w:val="000000"/>
          <w:sz w:val="30"/>
          <w:szCs w:val="30"/>
          <w:highlight w:val="none"/>
        </w:rPr>
        <w:t xml:space="preserve">一、总则</w:t>
      </w:r>
      <w:bookmarkEnd w:id="45"/>
      <w:r/>
      <w:bookmarkEnd w:id="46"/>
      <w:r/>
      <w:bookmarkEnd w:id="47"/>
      <w:r/>
      <w:bookmarkEnd w:id="48"/>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49" w:name="_Hlt16619475"/>
      <w:r/>
      <w:bookmarkEnd w:id="49"/>
      <w:r/>
      <w:bookmarkStart w:id="50" w:name="_Toc513029204"/>
      <w:r/>
      <w:bookmarkStart w:id="51" w:name="_Toc16938520"/>
      <w:r/>
      <w:bookmarkStart w:id="52" w:name="_Toc20823276"/>
      <w:r>
        <w:rPr>
          <w:rFonts w:hint="eastAsia" w:ascii="宋体" w:hAnsi="宋体" w:eastAsia="宋体"/>
          <w:bCs w:val="0"/>
          <w:color w:val="000000"/>
          <w:highlight w:val="none"/>
        </w:rPr>
        <w:t xml:space="preserve">1.招标方式</w:t>
      </w:r>
      <w:bookmarkEnd w:id="50"/>
      <w:r/>
      <w:bookmarkEnd w:id="51"/>
      <w:r/>
      <w:bookmarkEnd w:id="52"/>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53" w:name="_Toc513029205"/>
      <w:r/>
      <w:bookmarkStart w:id="54" w:name="_Toc20823277"/>
      <w:r/>
      <w:bookmarkStart w:id="55" w:name="_Toc16938521"/>
      <w:r>
        <w:rPr>
          <w:rFonts w:hint="eastAsia" w:ascii="宋体" w:hAnsi="宋体" w:eastAsia="宋体"/>
          <w:bCs w:val="0"/>
          <w:color w:val="000000"/>
          <w:highlight w:val="none"/>
        </w:rPr>
        <w:t xml:space="preserve">2.</w:t>
      </w:r>
      <w:bookmarkEnd w:id="53"/>
      <w:r/>
      <w:bookmarkEnd w:id="54"/>
      <w:r/>
      <w:bookmarkEnd w:id="55"/>
      <w:r>
        <w:rPr>
          <w:rFonts w:hint="eastAsia" w:ascii="宋体" w:hAnsi="宋体" w:eastAsia="宋体"/>
          <w:bCs w:val="0"/>
          <w:color w:val="000000"/>
          <w:highlight w:val="none"/>
        </w:rPr>
        <w:t xml:space="preserve">采购人、采购代理机构、投标人、联合体</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56" w:name="_Toc513029206"/>
      <w:r/>
      <w:bookmarkStart w:id="57" w:name="_Toc16938522"/>
      <w:r/>
      <w:bookmarkStart w:id="58" w:name="_Toc20823278"/>
      <w:r>
        <w:rPr>
          <w:rFonts w:hint="eastAsia" w:ascii="宋体" w:hAnsi="宋体" w:eastAsia="宋体"/>
          <w:bCs w:val="0"/>
          <w:color w:val="000000"/>
          <w:highlight w:val="none"/>
        </w:rPr>
        <w:t xml:space="preserve">3.适用法律</w:t>
      </w:r>
      <w:bookmarkEnd w:id="56"/>
      <w:r/>
      <w:bookmarkEnd w:id="57"/>
      <w:r/>
      <w:bookmarkEnd w:id="58"/>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59" w:name="_Toc513029207"/>
      <w:r/>
      <w:bookmarkStart w:id="60" w:name="_Toc462564067"/>
      <w:r/>
      <w:bookmarkStart w:id="61" w:name="_Toc20823279"/>
      <w:r/>
      <w:bookmarkStart w:id="62" w:name="_Toc16938523"/>
      <w:r>
        <w:rPr>
          <w:rFonts w:hint="eastAsia" w:ascii="宋体" w:hAnsi="宋体" w:eastAsia="宋体"/>
          <w:bCs w:val="0"/>
          <w:color w:val="000000"/>
          <w:highlight w:val="none"/>
        </w:rPr>
        <w:t xml:space="preserve">4.投标费用</w:t>
      </w:r>
      <w:bookmarkEnd w:id="59"/>
      <w:r/>
      <w:bookmarkEnd w:id="60"/>
      <w:r/>
      <w:bookmarkEnd w:id="61"/>
      <w:r/>
      <w:bookmarkEnd w:id="62"/>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eastAsia="zh-CN"/>
        </w:rPr>
        <w:t xml:space="preserve">无锡市滨湖区公共资源交易中心</w:t>
      </w:r>
      <w:r>
        <w:rPr>
          <w:rFonts w:hint="eastAsia" w:ascii="宋体" w:hAnsi="宋体"/>
          <w:color w:val="000000"/>
          <w:sz w:val="24"/>
          <w:highlight w:val="none"/>
        </w:rPr>
        <w:t xml:space="preserve">（以下简称交易中心）在任何情况下均无义务和责任承担这些费用。</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891"/>
        <w:ind w:firstLine="452"/>
        <w:keepLines w:val="0"/>
        <w:keepNext w:val="0"/>
        <w:spacing w:before="0" w:after="0" w:line="500" w:lineRule="exact"/>
        <w:rPr>
          <w:rFonts w:hint="eastAsia"/>
          <w:color w:val="000000"/>
          <w:sz w:val="30"/>
          <w:szCs w:val="30"/>
          <w:highlight w:val="none"/>
        </w:rPr>
      </w:pPr>
      <w:r/>
      <w:bookmarkStart w:id="63" w:name="_Toc120614215"/>
      <w:r/>
      <w:bookmarkStart w:id="64" w:name="_Toc513029209"/>
      <w:r/>
      <w:bookmarkStart w:id="65" w:name="_Toc16938525"/>
      <w:r/>
      <w:bookmarkStart w:id="66" w:name="_Toc20823281"/>
      <w:r>
        <w:rPr>
          <w:rFonts w:hint="eastAsia"/>
          <w:color w:val="000000"/>
          <w:sz w:val="30"/>
          <w:szCs w:val="30"/>
          <w:highlight w:val="none"/>
        </w:rPr>
        <w:t xml:space="preserve">二、招标文件</w:t>
      </w:r>
      <w:bookmarkEnd w:id="63"/>
      <w:r/>
      <w:bookmarkEnd w:id="64"/>
      <w:r/>
      <w:bookmarkEnd w:id="65"/>
      <w:r/>
      <w:bookmarkEnd w:id="66"/>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67" w:name="_Toc20823282"/>
      <w:r/>
      <w:bookmarkStart w:id="68" w:name="_Toc513029210"/>
      <w:r/>
      <w:bookmarkStart w:id="69" w:name="_Toc16938526"/>
      <w:r>
        <w:rPr>
          <w:rFonts w:hint="eastAsia" w:ascii="宋体" w:hAnsi="宋体" w:eastAsia="宋体"/>
          <w:bCs w:val="0"/>
          <w:color w:val="000000"/>
          <w:highlight w:val="none"/>
        </w:rPr>
        <w:t xml:space="preserve">6.招标文件构成</w:t>
      </w:r>
      <w:bookmarkEnd w:id="67"/>
      <w:r/>
      <w:bookmarkEnd w:id="68"/>
      <w:r/>
      <w:bookmarkEnd w:id="69"/>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70" w:name="_Toc16938527"/>
      <w:r/>
      <w:bookmarkStart w:id="71" w:name="_Toc20823283"/>
      <w:r/>
      <w:bookmarkStart w:id="72" w:name="_Toc513029211"/>
      <w:r/>
      <w:bookmarkStart w:id="73" w:name="_Toc462564070"/>
      <w:r>
        <w:rPr>
          <w:rFonts w:hint="eastAsia" w:ascii="宋体" w:hAnsi="宋体" w:eastAsia="宋体"/>
          <w:bCs w:val="0"/>
          <w:color w:val="000000"/>
          <w:highlight w:val="none"/>
        </w:rPr>
        <w:t xml:space="preserve">7.招标文件的澄清</w:t>
      </w:r>
      <w:bookmarkEnd w:id="70"/>
      <w:r/>
      <w:bookmarkEnd w:id="71"/>
      <w:r/>
      <w:bookmarkEnd w:id="72"/>
      <w:r/>
      <w:bookmarkEnd w:id="73"/>
      <w:r/>
      <w:r/>
    </w:p>
    <w:p>
      <w:pPr>
        <w:ind w:firstLine="480"/>
        <w:spacing w:line="500" w:lineRule="exact"/>
        <w:rPr>
          <w:rFonts w:hint="eastAsia" w:ascii="宋体" w:hAnsi="宋体"/>
          <w:bCs/>
          <w:i/>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74" w:name="_Toc462564071"/>
      <w:r/>
      <w:bookmarkStart w:id="75" w:name="_Toc513029212"/>
      <w:r/>
      <w:bookmarkStart w:id="76" w:name="_Toc20823284"/>
      <w:r/>
      <w:bookmarkStart w:id="77" w:name="_Toc16938528"/>
      <w:r>
        <w:rPr>
          <w:rFonts w:hint="eastAsia" w:ascii="宋体" w:hAnsi="宋体" w:eastAsia="宋体"/>
          <w:bCs w:val="0"/>
          <w:color w:val="000000"/>
          <w:highlight w:val="none"/>
        </w:rPr>
        <w:t xml:space="preserve">8.招标文件的修改</w:t>
      </w:r>
      <w:bookmarkEnd w:id="74"/>
      <w:r/>
      <w:bookmarkEnd w:id="75"/>
      <w:r/>
      <w:bookmarkEnd w:id="76"/>
      <w:r/>
      <w:bookmarkEnd w:id="77"/>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color w:val="000000"/>
          <w:sz w:val="24"/>
          <w:szCs w:val="24"/>
          <w:highlight w:val="none"/>
          <w:lang w:eastAsia="zh-CN"/>
        </w:rPr>
        <w:t xml:space="preserve">全面</w:t>
      </w:r>
      <w:r>
        <w:rPr>
          <w:rFonts w:hint="eastAsia" w:ascii="宋体" w:hAnsi="宋体"/>
          <w:bCs/>
          <w:color w:val="000000"/>
          <w:sz w:val="24"/>
          <w:szCs w:val="24"/>
          <w:highlight w:val="none"/>
        </w:rPr>
        <w:t xml:space="preserve">关注更正公告导致其提交的投标材料不符合本项目相关招标要求，而造成的损失及风险（包括但不限于未中标）由投标人自行承担。</w:t>
      </w:r>
      <w:r/>
    </w:p>
    <w:p>
      <w:pPr>
        <w:pStyle w:val="891"/>
        <w:ind w:firstLine="452"/>
        <w:keepLines w:val="0"/>
        <w:keepNext w:val="0"/>
        <w:spacing w:before="0" w:after="0" w:line="500" w:lineRule="exact"/>
        <w:rPr>
          <w:rFonts w:hint="eastAsia"/>
          <w:color w:val="000000"/>
          <w:sz w:val="30"/>
          <w:szCs w:val="30"/>
          <w:highlight w:val="none"/>
        </w:rPr>
      </w:pPr>
      <w:r/>
      <w:bookmarkStart w:id="78" w:name="_Toc120614216"/>
      <w:r/>
      <w:bookmarkStart w:id="79" w:name="_Toc513029213"/>
      <w:r/>
      <w:bookmarkStart w:id="80" w:name="_Toc462564072"/>
      <w:r/>
      <w:bookmarkStart w:id="81" w:name="_Toc20823285"/>
      <w:r/>
      <w:bookmarkStart w:id="82" w:name="_Toc16938529"/>
      <w:r>
        <w:rPr>
          <w:rFonts w:hint="eastAsia"/>
          <w:color w:val="000000"/>
          <w:sz w:val="30"/>
          <w:szCs w:val="30"/>
          <w:highlight w:val="none"/>
        </w:rPr>
        <w:t xml:space="preserve">三、投标文件的编制</w:t>
      </w:r>
      <w:bookmarkEnd w:id="78"/>
      <w:r/>
      <w:bookmarkEnd w:id="79"/>
      <w:r/>
      <w:bookmarkEnd w:id="80"/>
      <w:r/>
      <w:bookmarkEnd w:id="81"/>
      <w:r/>
      <w:bookmarkEnd w:id="82"/>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83" w:name="_Toc16938530"/>
      <w:r/>
      <w:bookmarkStart w:id="84" w:name="_Toc462564073"/>
      <w:r/>
      <w:bookmarkStart w:id="85" w:name="_Toc513029214"/>
      <w:r/>
      <w:bookmarkStart w:id="86" w:name="_Toc20823286"/>
      <w:r>
        <w:rPr>
          <w:rFonts w:hint="eastAsia" w:ascii="宋体" w:hAnsi="宋体" w:eastAsia="宋体"/>
          <w:bCs w:val="0"/>
          <w:color w:val="000000"/>
          <w:highlight w:val="none"/>
        </w:rPr>
        <w:t xml:space="preserve">9.投标文件的语言及度量衡单位</w:t>
      </w:r>
      <w:bookmarkEnd w:id="83"/>
      <w:r/>
      <w:bookmarkEnd w:id="84"/>
      <w:r/>
      <w:bookmarkEnd w:id="85"/>
      <w:r/>
      <w:bookmarkEnd w:id="86"/>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87" w:name="_Toc20823287"/>
      <w:r/>
      <w:bookmarkStart w:id="88" w:name="_Toc462564074"/>
      <w:r/>
      <w:bookmarkStart w:id="89" w:name="_Toc16938531"/>
      <w:r/>
      <w:bookmarkStart w:id="90" w:name="_Toc513029215"/>
      <w:r>
        <w:rPr>
          <w:rFonts w:hint="eastAsia" w:ascii="宋体" w:hAnsi="宋体" w:eastAsia="宋体"/>
          <w:bCs w:val="0"/>
          <w:color w:val="000000"/>
          <w:highlight w:val="none"/>
        </w:rPr>
        <w:t xml:space="preserve">10.投标文件构成</w:t>
      </w:r>
      <w:bookmarkEnd w:id="87"/>
      <w:r/>
      <w:bookmarkEnd w:id="88"/>
      <w:r/>
      <w:bookmarkEnd w:id="89"/>
      <w:r/>
      <w:bookmarkEnd w:id="90"/>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ind w:firstLine="482"/>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rPr>
        <w:t xml:space="preserve">不得有体现投标人身份的内容是指：</w:t>
      </w:r>
      <w:r/>
    </w:p>
    <w:p>
      <w:pPr>
        <w:ind w:firstLine="482"/>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10.4.1技术部分不得出现能够体现投标人身份、名称的相关描述、材料、文件等内容；</w:t>
      </w:r>
      <w:r/>
    </w:p>
    <w:p>
      <w:pPr>
        <w:ind w:firstLine="482"/>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10.4.4不得有其他体现投标人身份的内容。</w:t>
      </w:r>
      <w:r/>
    </w:p>
    <w:p>
      <w:pPr>
        <w:ind w:firstLine="361"/>
        <w:spacing w:line="440" w:lineRule="exact"/>
        <w:rPr>
          <w:rFonts w:hint="eastAsia" w:ascii="宋体" w:hAnsi="宋体" w:eastAsia="宋体" w:cs="宋体"/>
          <w:sz w:val="24"/>
          <w:highlight w:val="none"/>
        </w:rPr>
      </w:pPr>
      <w:r>
        <w:rPr>
          <w:rFonts w:hint="eastAsia" w:ascii="宋体" w:hAnsi="宋体" w:eastAsia="宋体" w:cs="宋体"/>
          <w:b/>
          <w:sz w:val="24"/>
          <w:szCs w:val="24"/>
          <w:highlight w:val="none"/>
        </w:rPr>
        <w:t xml:space="preserve">10.5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如有图片要为彩色，图片不得出现能显示企业特征或其他提示性的标记或标识。</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91" w:name="_Hlt26670360"/>
      <w:r/>
      <w:bookmarkEnd w:id="91"/>
      <w:r/>
      <w:bookmarkStart w:id="92" w:name="_Hlt26954838"/>
      <w:r/>
      <w:bookmarkEnd w:id="92"/>
      <w:r/>
      <w:bookmarkStart w:id="93" w:name="_Hlt26668975"/>
      <w:r/>
      <w:bookmarkEnd w:id="93"/>
      <w:r/>
      <w:bookmarkStart w:id="94" w:name="_Toc14577357"/>
      <w:r/>
      <w:bookmarkStart w:id="95" w:name="_Toc513029219"/>
      <w:r/>
      <w:bookmarkStart w:id="96" w:name="_Toc49090509"/>
      <w:r/>
      <w:bookmarkStart w:id="97" w:name="_Toc513029216"/>
      <w:r/>
      <w:bookmarkStart w:id="98" w:name="_Toc14577354"/>
      <w:r/>
      <w:bookmarkStart w:id="99" w:name="_Toc49090507"/>
      <w:r>
        <w:rPr>
          <w:rFonts w:hint="eastAsia" w:ascii="宋体" w:hAnsi="宋体" w:eastAsia="宋体"/>
          <w:bCs w:val="0"/>
          <w:color w:val="000000"/>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hint="eastAsia" w:ascii="宋体" w:hAnsi="宋体"/>
          <w:bCs/>
          <w:color w:val="000000"/>
          <w:sz w:val="24"/>
          <w:highlight w:val="none"/>
        </w:rPr>
      </w:pPr>
      <w:r/>
      <w:bookmarkStart w:id="100" w:name="_Toc14577355"/>
      <w:r/>
      <w:bookmarkStart w:id="101" w:name="_Toc49090508"/>
      <w:r>
        <w:rPr>
          <w:rFonts w:hint="eastAsia" w:ascii="宋体" w:hAnsi="宋体"/>
          <w:bCs/>
          <w:color w:val="000000"/>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02" w:name="_Toc14577359"/>
      <w:r/>
      <w:bookmarkStart w:id="103" w:name="_Toc49090510"/>
      <w:r>
        <w:rPr>
          <w:rFonts w:hint="eastAsia" w:ascii="宋体" w:hAnsi="宋体" w:eastAsia="宋体"/>
          <w:bCs w:val="0"/>
          <w:color w:val="000000"/>
          <w:highlight w:val="none"/>
        </w:rPr>
        <w:t xml:space="preserve">12.投标函、承诺书和开标一览表</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13.</w:t>
      </w:r>
      <w:bookmarkEnd w:id="100"/>
      <w:r/>
      <w:bookmarkEnd w:id="101"/>
      <w:r>
        <w:rPr>
          <w:rFonts w:hint="eastAsia" w:ascii="宋体" w:hAnsi="宋体" w:eastAsia="宋体"/>
          <w:bCs w:val="0"/>
          <w:color w:val="000000"/>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4" w:name="_Hlt26954840"/>
      <w:r/>
      <w:bookmarkEnd w:id="104"/>
      <w:r>
        <w:rPr>
          <w:rFonts w:hint="eastAsia" w:ascii="宋体" w:hAnsi="宋体"/>
          <w:color w:val="000000"/>
          <w:sz w:val="24"/>
          <w:highlight w:val="none"/>
        </w:rPr>
        <w:t xml:space="preserve">标人应按照招标文件规定格式填报</w:t>
      </w:r>
      <w:bookmarkStart w:id="105" w:name="_Hlt26670399"/>
      <w:r/>
      <w:bookmarkEnd w:id="105"/>
      <w:r>
        <w:rPr>
          <w:rFonts w:hint="eastAsia" w:ascii="宋体" w:hAnsi="宋体"/>
          <w:color w:val="000000"/>
          <w:sz w:val="24"/>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06" w:name="_Hlt26954844"/>
      <w:r/>
      <w:bookmarkEnd w:id="106"/>
      <w:r/>
      <w:bookmarkStart w:id="107" w:name="_Hlt26670403"/>
      <w:r/>
      <w:bookmarkEnd w:id="107"/>
      <w:r/>
      <w:bookmarkStart w:id="108" w:name="_Hlt26668983"/>
      <w:r/>
      <w:bookmarkEnd w:id="108"/>
      <w:r/>
      <w:bookmarkStart w:id="109" w:name="_Hlt26954731"/>
      <w:r/>
      <w:bookmarkEnd w:id="109"/>
      <w:r/>
      <w:bookmarkStart w:id="110" w:name="_Hlt26670486"/>
      <w:r/>
      <w:bookmarkEnd w:id="110"/>
      <w:r/>
      <w:bookmarkStart w:id="111" w:name="_Hlt26954842"/>
      <w:r/>
      <w:bookmarkEnd w:id="111"/>
      <w:r/>
      <w:bookmarkStart w:id="112" w:name="_Hlt26954846"/>
      <w:r/>
      <w:bookmarkEnd w:id="112"/>
      <w:r/>
      <w:bookmarkStart w:id="113" w:name="_Hlt26954848"/>
      <w:r/>
      <w:bookmarkEnd w:id="113"/>
      <w:r/>
      <w:bookmarkStart w:id="114" w:name="_Hlt26670425"/>
      <w:r/>
      <w:bookmarkEnd w:id="114"/>
      <w:r/>
      <w:bookmarkStart w:id="115" w:name="_Hlt26670482"/>
      <w:r/>
      <w:bookmarkEnd w:id="115"/>
      <w:r>
        <w:rPr>
          <w:rFonts w:hint="eastAsia" w:ascii="宋体" w:hAnsi="宋体" w:eastAsia="宋体"/>
          <w:bCs w:val="0"/>
          <w:color w:val="000000"/>
          <w:highlight w:val="none"/>
        </w:rPr>
        <w:t xml:space="preserve">14.投标偏离表</w:t>
      </w:r>
      <w:r/>
    </w:p>
    <w:p>
      <w:pPr>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16" w:name="_Hlt26670489"/>
      <w:r/>
      <w:bookmarkEnd w:id="116"/>
      <w:r/>
      <w:bookmarkStart w:id="117" w:name="_Hlt26954734"/>
      <w:r/>
      <w:bookmarkEnd w:id="117"/>
      <w:r/>
      <w:bookmarkStart w:id="118" w:name="_Hlt26954850"/>
      <w:r/>
      <w:bookmarkEnd w:id="118"/>
      <w:r/>
      <w:bookmarkStart w:id="119" w:name="_Toc14577360"/>
      <w:r/>
      <w:bookmarkStart w:id="120" w:name="_Toc49090511"/>
      <w:r>
        <w:rPr>
          <w:rFonts w:hint="eastAsia" w:ascii="宋体" w:hAnsi="宋体" w:eastAsia="宋体"/>
          <w:bCs w:val="0"/>
          <w:color w:val="000000"/>
          <w:highlight w:val="none"/>
        </w:rPr>
        <w:t xml:space="preserve">15.投标有效期</w:t>
      </w:r>
      <w:bookmarkEnd w:id="119"/>
      <w:r/>
      <w:bookmarkEnd w:id="120"/>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891"/>
        <w:ind w:firstLine="452"/>
        <w:keepLines w:val="0"/>
        <w:keepNext w:val="0"/>
        <w:spacing w:before="0" w:after="0" w:line="500" w:lineRule="exact"/>
        <w:rPr>
          <w:rFonts w:hint="eastAsia"/>
          <w:color w:val="000000"/>
          <w:sz w:val="30"/>
          <w:szCs w:val="30"/>
          <w:highlight w:val="none"/>
        </w:rPr>
      </w:pPr>
      <w:r/>
      <w:bookmarkStart w:id="121" w:name="_Hlt26954852"/>
      <w:r/>
      <w:bookmarkEnd w:id="121"/>
      <w:r/>
      <w:bookmarkStart w:id="122" w:name="_Hlt26954739"/>
      <w:r/>
      <w:bookmarkEnd w:id="122"/>
      <w:r/>
      <w:bookmarkStart w:id="123" w:name="_Toc120614217"/>
      <w:r/>
      <w:bookmarkStart w:id="124" w:name="_Toc16938540"/>
      <w:r/>
      <w:bookmarkStart w:id="125" w:name="_Toc20823296"/>
      <w:r/>
      <w:bookmarkStart w:id="126" w:name="_Toc513029224"/>
      <w:r>
        <w:rPr>
          <w:rFonts w:hint="eastAsia"/>
          <w:color w:val="000000"/>
          <w:sz w:val="30"/>
          <w:szCs w:val="30"/>
          <w:highlight w:val="none"/>
        </w:rPr>
        <w:t xml:space="preserve">四、投标文件的递交</w:t>
      </w:r>
      <w:bookmarkEnd w:id="123"/>
      <w:r/>
      <w:bookmarkEnd w:id="124"/>
      <w:r/>
      <w:bookmarkEnd w:id="125"/>
      <w:r/>
      <w:bookmarkEnd w:id="126"/>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27" w:name="_Toc16938541"/>
      <w:r/>
      <w:bookmarkStart w:id="128" w:name="_Toc20823297"/>
      <w:r/>
      <w:bookmarkStart w:id="129" w:name="_Toc462564084"/>
      <w:r/>
      <w:bookmarkStart w:id="130" w:name="_Toc513029225"/>
      <w:r>
        <w:rPr>
          <w:rFonts w:hint="eastAsia" w:ascii="宋体" w:hAnsi="宋体" w:eastAsia="宋体"/>
          <w:bCs w:val="0"/>
          <w:color w:val="000000"/>
          <w:highlight w:val="none"/>
        </w:rPr>
        <w:t xml:space="preserve">17.投标文件</w:t>
      </w:r>
      <w:bookmarkEnd w:id="127"/>
      <w:r/>
      <w:bookmarkEnd w:id="128"/>
      <w:r/>
      <w:bookmarkEnd w:id="129"/>
      <w:r/>
      <w:bookmarkEnd w:id="130"/>
      <w:r>
        <w:rPr>
          <w:rFonts w:hint="eastAsia" w:ascii="宋体" w:hAnsi="宋体" w:eastAsia="宋体"/>
          <w:bCs w:val="0"/>
          <w:color w:val="000000"/>
          <w:highlight w:val="none"/>
        </w:rPr>
        <w:t xml:space="preserve">的递交</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00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1" w:name="_Toc16938542"/>
      <w:r/>
      <w:bookmarkStart w:id="132" w:name="_Toc513029226"/>
      <w:r/>
      <w:bookmarkStart w:id="133" w:name="_Toc20823298"/>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1"/>
      <w:r/>
      <w:bookmarkEnd w:id="132"/>
      <w:r/>
      <w:bookmarkEnd w:id="133"/>
      <w:r>
        <w:rPr>
          <w:rFonts w:hint="eastAsia" w:ascii="宋体" w:hAnsi="宋体" w:eastAsia="宋体"/>
          <w:bCs w:val="0"/>
          <w:color w:val="000000"/>
          <w:highlight w:val="none"/>
        </w:rPr>
        <w:t xml:space="preserve">时间</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bCs/>
          <w:color w:val="000000"/>
          <w:sz w:val="24"/>
          <w:highlight w:val="none"/>
          <w:lang w:eastAsia="zh-CN"/>
        </w:rPr>
        <w:t xml:space="preserve">作</w:t>
      </w:r>
      <w:r>
        <w:rPr>
          <w:rFonts w:hint="eastAsia" w:ascii="宋体" w:hAnsi="宋体"/>
          <w:bCs/>
          <w:color w:val="000000"/>
          <w:sz w:val="24"/>
          <w:highlight w:val="none"/>
        </w:rPr>
        <w:t xml:space="preserve">无效投标处理。</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34" w:name="_Toc513029227"/>
      <w:r/>
      <w:bookmarkStart w:id="135" w:name="_Toc20823299"/>
      <w:r/>
      <w:bookmarkStart w:id="136" w:name="_Toc16938543"/>
      <w:r>
        <w:rPr>
          <w:rFonts w:hint="eastAsia" w:ascii="宋体" w:hAnsi="宋体" w:eastAsia="宋体"/>
          <w:bCs w:val="0"/>
          <w:color w:val="000000"/>
          <w:highlight w:val="none"/>
        </w:rPr>
        <w:t xml:space="preserve">19.投标文件</w:t>
      </w:r>
      <w:bookmarkEnd w:id="134"/>
      <w:r/>
      <w:bookmarkEnd w:id="135"/>
      <w:r/>
      <w:bookmarkEnd w:id="136"/>
      <w:r>
        <w:rPr>
          <w:rFonts w:hint="eastAsia" w:ascii="宋体" w:hAnsi="宋体" w:eastAsia="宋体"/>
          <w:bCs w:val="0"/>
          <w:color w:val="000000"/>
          <w:highlight w:val="none"/>
        </w:rPr>
        <w:t xml:space="preserve">的拒收</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37" w:name="_Toc513029228"/>
      <w:r/>
      <w:bookmarkStart w:id="138" w:name="_Toc20823300"/>
      <w:r/>
      <w:bookmarkStart w:id="139" w:name="_Toc16938544"/>
      <w:r>
        <w:rPr>
          <w:rFonts w:hint="eastAsia" w:ascii="宋体" w:hAnsi="宋体" w:eastAsia="宋体"/>
          <w:bCs w:val="0"/>
          <w:color w:val="000000"/>
          <w:highlight w:val="none"/>
        </w:rPr>
        <w:t xml:space="preserve">20.投标文件的撤回和修改</w:t>
      </w:r>
      <w:bookmarkEnd w:id="137"/>
      <w:r/>
      <w:bookmarkEnd w:id="138"/>
      <w:r/>
      <w:bookmarkEnd w:id="139"/>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pStyle w:val="891"/>
        <w:ind w:firstLine="452"/>
        <w:keepLines w:val="0"/>
        <w:keepNext w:val="0"/>
        <w:spacing w:before="0" w:after="0" w:line="500" w:lineRule="exact"/>
        <w:rPr>
          <w:rFonts w:hint="eastAsia"/>
          <w:color w:val="000000"/>
          <w:sz w:val="30"/>
          <w:szCs w:val="30"/>
          <w:highlight w:val="none"/>
        </w:rPr>
      </w:pPr>
      <w:r/>
      <w:bookmarkStart w:id="140" w:name="_Toc20823301"/>
      <w:r/>
      <w:bookmarkStart w:id="141" w:name="_Toc16938545"/>
      <w:r/>
      <w:bookmarkStart w:id="142" w:name="_Toc513029229"/>
      <w:r/>
      <w:bookmarkStart w:id="143" w:name="_Toc120614218"/>
      <w:r>
        <w:rPr>
          <w:rFonts w:hint="eastAsia"/>
          <w:color w:val="000000"/>
          <w:sz w:val="30"/>
          <w:szCs w:val="30"/>
          <w:highlight w:val="none"/>
        </w:rPr>
        <w:t xml:space="preserve">五、开标与评标</w:t>
      </w:r>
      <w:bookmarkEnd w:id="140"/>
      <w:r/>
      <w:bookmarkEnd w:id="141"/>
      <w:r/>
      <w:bookmarkEnd w:id="142"/>
      <w:r/>
      <w:bookmarkEnd w:id="143"/>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44" w:name="_Toc16938546"/>
      <w:r/>
      <w:bookmarkStart w:id="145" w:name="_Toc513029230"/>
      <w:r/>
      <w:bookmarkStart w:id="146" w:name="_Toc20823302"/>
      <w:r>
        <w:rPr>
          <w:rFonts w:hint="eastAsia" w:ascii="宋体" w:hAnsi="宋体" w:eastAsia="宋体"/>
          <w:bCs w:val="0"/>
          <w:color w:val="000000"/>
          <w:highlight w:val="none"/>
        </w:rPr>
        <w:t xml:space="preserve">21.开标</w:t>
      </w:r>
      <w:bookmarkEnd w:id="144"/>
      <w:r/>
      <w:bookmarkEnd w:id="145"/>
      <w:r/>
      <w:bookmarkEnd w:id="146"/>
      <w:r/>
      <w:r/>
    </w:p>
    <w:p>
      <w:pPr>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47" w:name="_Toc20823303"/>
      <w:r/>
      <w:bookmarkStart w:id="148" w:name="_Toc513029231"/>
      <w:r/>
      <w:bookmarkStart w:id="149" w:name="_Toc16938547"/>
      <w:r>
        <w:rPr>
          <w:rFonts w:hint="eastAsia" w:ascii="宋体" w:hAnsi="宋体" w:eastAsia="宋体"/>
          <w:bCs w:val="0"/>
          <w:color w:val="000000"/>
          <w:highlight w:val="none"/>
        </w:rPr>
        <w:t xml:space="preserve">22.评标委员会</w:t>
      </w:r>
      <w:r/>
    </w:p>
    <w:p>
      <w:pPr>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bookmarkEnd w:id="147"/>
      <w:r/>
      <w:bookmarkEnd w:id="148"/>
      <w:r/>
      <w:bookmarkEnd w:id="149"/>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50" w:name="_Toc513029232"/>
      <w:r/>
      <w:bookmarkStart w:id="151" w:name="_Toc16938548"/>
      <w:r/>
      <w:bookmarkStart w:id="152" w:name="_Toc20823304"/>
      <w:r>
        <w:rPr>
          <w:rFonts w:hint="eastAsia" w:ascii="宋体" w:hAnsi="宋体" w:eastAsia="宋体"/>
          <w:bCs w:val="0"/>
          <w:color w:val="000000"/>
          <w:highlight w:val="none"/>
        </w:rPr>
        <w:t xml:space="preserve">24.投标文件的澄清</w:t>
      </w:r>
      <w:bookmarkEnd w:id="150"/>
      <w:r/>
      <w:bookmarkEnd w:id="151"/>
      <w:r/>
      <w:bookmarkEnd w:id="152"/>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p>
    <w:p>
      <w:pPr>
        <w:pStyle w:val="720"/>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24.4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53" w:name="_Toc16938549"/>
      <w:r/>
      <w:bookmarkStart w:id="154" w:name="_Toc20823305"/>
      <w:r/>
      <w:bookmarkStart w:id="155" w:name="_Toc513029233"/>
      <w:r>
        <w:rPr>
          <w:rFonts w:hint="eastAsia" w:ascii="宋体" w:hAnsi="宋体" w:eastAsia="宋体"/>
          <w:bCs w:val="0"/>
          <w:color w:val="000000"/>
          <w:highlight w:val="none"/>
        </w:rPr>
        <w:t xml:space="preserve">25.对投标文件的初审</w:t>
      </w:r>
      <w:bookmarkEnd w:id="153"/>
      <w:r/>
      <w:bookmarkEnd w:id="154"/>
      <w:r/>
      <w:bookmarkEnd w:id="155"/>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sz w:val="24"/>
          <w:highlight w:val="none"/>
        </w:rPr>
      </w:pPr>
      <w:r/>
      <w:bookmarkStart w:id="156" w:name="_Toc16938550"/>
      <w:r/>
      <w:bookmarkStart w:id="157" w:name="_Toc20823306"/>
      <w:r/>
      <w:bookmarkStart w:id="158" w:name="_Toc513029234"/>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6"/>
      <w:r/>
      <w:bookmarkEnd w:id="157"/>
      <w:r/>
      <w:bookmarkEnd w:id="158"/>
      <w:r>
        <w:rPr>
          <w:rFonts w:hint="eastAsia" w:ascii="宋体" w:hAnsi="宋体" w:eastAsia="宋体"/>
          <w:bCs w:val="0"/>
          <w:color w:val="000000"/>
          <w:highlight w:val="none"/>
        </w:rPr>
        <w:t xml:space="preserve">.无效投标条款和废标条款</w:t>
      </w:r>
      <w:r/>
    </w:p>
    <w:p>
      <w:pPr>
        <w:ind w:left="479"/>
        <w:spacing w:line="500" w:lineRule="exact"/>
        <w:rPr>
          <w:rFonts w:hint="eastAsia" w:ascii="宋体" w:hAnsi="宋体"/>
          <w:bCs/>
          <w:color w:val="000000"/>
          <w:sz w:val="24"/>
          <w:highlight w:val="none"/>
        </w:rPr>
      </w:pPr>
      <w:r/>
      <w:bookmarkStart w:id="159" w:name="_Toc513029235"/>
      <w:r/>
      <w:bookmarkStart w:id="160" w:name="_Toc16938551"/>
      <w:r/>
      <w:bookmarkStart w:id="161" w:name="_Toc20823307"/>
      <w:r>
        <w:rPr>
          <w:rFonts w:hint="eastAsia" w:ascii="宋体" w:hAnsi="宋体"/>
          <w:bCs/>
          <w:color w:val="000000"/>
          <w:sz w:val="24"/>
          <w:highlight w:val="none"/>
        </w:rPr>
        <w:t xml:space="preserve">26.1无效投标条款</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26.1.25其他法律、法规及本招标文件规定的属无效投标的情形。</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26.4技术标（暗标）中出现该报价供应商单位名称、简称、人员姓名、Logo、商标、电话号码等任何标识标记及其他暗示性标志的；</w:t>
      </w:r>
      <w:r/>
    </w:p>
    <w:p>
      <w:pPr>
        <w:ind w:firstLine="480"/>
        <w:spacing w:line="500" w:lineRule="exact"/>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26.5商务标（明标）和技术标（暗标），其中某一标被本项目评委确认为无效响应文件的；</w:t>
      </w:r>
      <w:r/>
    </w:p>
    <w:p>
      <w:pPr>
        <w:ind w:firstLine="480"/>
        <w:spacing w:line="500" w:lineRule="exact"/>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26.6暗标未按要求编制，编制粗糙、缺漏项、格式混乱、条理不清的；</w:t>
      </w:r>
      <w:r/>
    </w:p>
    <w:p>
      <w:pPr>
        <w:pStyle w:val="891"/>
        <w:ind w:firstLine="452"/>
        <w:keepLines w:val="0"/>
        <w:keepNext w:val="0"/>
        <w:spacing w:before="0" w:after="0" w:line="500" w:lineRule="exact"/>
        <w:rPr>
          <w:rFonts w:hint="eastAsia"/>
          <w:color w:val="000000"/>
          <w:sz w:val="30"/>
          <w:szCs w:val="30"/>
          <w:highlight w:val="none"/>
        </w:rPr>
      </w:pPr>
      <w:r/>
      <w:bookmarkStart w:id="162" w:name="_Toc120614219"/>
      <w:r>
        <w:rPr>
          <w:rFonts w:hint="eastAsia"/>
          <w:color w:val="000000"/>
          <w:sz w:val="30"/>
          <w:szCs w:val="30"/>
          <w:highlight w:val="none"/>
        </w:rPr>
        <w:t xml:space="preserve">六、</w:t>
      </w:r>
      <w:bookmarkEnd w:id="159"/>
      <w:r/>
      <w:bookmarkEnd w:id="160"/>
      <w:r/>
      <w:bookmarkEnd w:id="161"/>
      <w:r>
        <w:rPr>
          <w:rFonts w:hint="eastAsia"/>
          <w:color w:val="000000"/>
          <w:sz w:val="30"/>
          <w:szCs w:val="30"/>
          <w:highlight w:val="none"/>
        </w:rPr>
        <w:t xml:space="preserve">定标</w:t>
      </w:r>
      <w:bookmarkEnd w:id="162"/>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63" w:name="_Toc513029238"/>
      <w:r/>
      <w:bookmarkStart w:id="164" w:name="_Toc20823310"/>
      <w:r/>
      <w:bookmarkStart w:id="165" w:name="_Toc16938554"/>
      <w:r>
        <w:rPr>
          <w:rFonts w:hint="eastAsia" w:ascii="宋体" w:hAnsi="宋体" w:eastAsia="宋体"/>
          <w:bCs w:val="0"/>
          <w:color w:val="000000"/>
          <w:highlight w:val="none"/>
        </w:rPr>
        <w:t xml:space="preserve">27</w:t>
      </w:r>
      <w:bookmarkEnd w:id="163"/>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4"/>
      <w:r/>
      <w:bookmarkEnd w:id="165"/>
      <w:r>
        <w:rPr>
          <w:rFonts w:hint="eastAsia" w:ascii="宋体" w:hAnsi="宋体" w:eastAsia="宋体"/>
          <w:bCs w:val="0"/>
          <w:color w:val="000000"/>
          <w:highlight w:val="none"/>
        </w:rPr>
        <w:t xml:space="preserve">中标单位</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500" w:lineRule="exact"/>
        <w:rPr>
          <w:rFonts w:hint="eastAsia" w:ascii="宋体" w:hAnsi="宋体"/>
          <w:color w:val="000000"/>
          <w:sz w:val="24"/>
          <w:szCs w:val="24"/>
          <w:highlight w:val="none"/>
        </w:rPr>
      </w:pPr>
      <w:r/>
      <w:bookmarkStart w:id="166"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6"/>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1"/>
        <w:ind w:firstLine="452"/>
        <w:keepLines w:val="0"/>
        <w:keepNext w:val="0"/>
        <w:spacing w:before="0" w:after="0" w:line="500" w:lineRule="exact"/>
        <w:rPr>
          <w:rFonts w:hint="eastAsia"/>
          <w:color w:val="000000"/>
          <w:sz w:val="30"/>
          <w:szCs w:val="30"/>
          <w:highlight w:val="none"/>
        </w:rPr>
      </w:pPr>
      <w:r/>
      <w:bookmarkStart w:id="167" w:name="_Toc120614220"/>
      <w:r/>
      <w:bookmarkStart w:id="168" w:name="_Toc16938552"/>
      <w:r/>
      <w:bookmarkStart w:id="169" w:name="_Toc20823308"/>
      <w:r/>
      <w:bookmarkStart w:id="170" w:name="_Toc513029236"/>
      <w:r>
        <w:rPr>
          <w:rFonts w:hint="eastAsia"/>
          <w:color w:val="000000"/>
          <w:sz w:val="30"/>
          <w:szCs w:val="30"/>
          <w:highlight w:val="none"/>
        </w:rPr>
        <w:t xml:space="preserve">七、授予合同</w:t>
      </w:r>
      <w:bookmarkEnd w:id="167"/>
      <w:r/>
      <w:bookmarkEnd w:id="168"/>
      <w:r/>
      <w:bookmarkEnd w:id="169"/>
      <w:r/>
      <w:bookmarkEnd w:id="170"/>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71" w:name="_Toc16938553"/>
      <w:r/>
      <w:bookmarkStart w:id="172" w:name="_Toc20823309"/>
      <w:r/>
      <w:bookmarkStart w:id="173" w:name="_Toc513029237"/>
      <w:r>
        <w:rPr>
          <w:rFonts w:hint="eastAsia" w:ascii="宋体" w:hAnsi="宋体" w:eastAsia="宋体"/>
          <w:bCs w:val="0"/>
          <w:color w:val="000000"/>
          <w:highlight w:val="none"/>
        </w:rPr>
        <w:t xml:space="preserve">30.签订合同</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bookmarkStart w:id="174" w:name="_Toc16938558"/>
      <w:r/>
      <w:bookmarkStart w:id="175" w:name="_Toc20823314"/>
      <w:r/>
      <w:bookmarkStart w:id="176" w:name="_Toc120614221"/>
      <w:r/>
      <w:bookmarkStart w:id="177" w:name="_Toc479757207"/>
      <w:r/>
      <w:bookmarkStart w:id="178" w:name="_Toc513029242"/>
      <w:r>
        <w:rPr>
          <w:rFonts w:ascii="宋体" w:hAnsi="宋体"/>
          <w:bCs/>
          <w:color w:val="000000"/>
          <w:sz w:val="24"/>
          <w:highlight w:val="none"/>
          <w:shd w:val="clear" w:color="ffffff" w:fill="d9d9d9"/>
        </w:rPr>
        <w:br w:type="page" w:clear="all"/>
      </w:r>
      <w:bookmarkEnd w:id="174"/>
      <w:r/>
      <w:bookmarkEnd w:id="175"/>
      <w:r/>
      <w:bookmarkEnd w:id="176"/>
      <w:r/>
      <w:bookmarkEnd w:id="177"/>
      <w:r/>
      <w:bookmarkEnd w:id="178"/>
      <w:r/>
      <w:bookmarkStart w:id="179" w:name="_Toc513029243"/>
      <w:r/>
      <w:bookmarkStart w:id="180" w:name="_Toc16938559"/>
      <w:r/>
      <w:bookmarkStart w:id="181" w:name="_Toc20823315"/>
      <w:r>
        <w:rPr>
          <w:rFonts w:hint="eastAsia" w:ascii="黑体" w:hAnsi="黑体" w:eastAsia="黑体"/>
          <w:color w:val="000000" w:themeColor="text1"/>
          <w:sz w:val="36"/>
          <w:szCs w:val="36"/>
          <w:highlight w:val="none"/>
        </w:rPr>
        <w:t xml:space="preserve">第三章  合同文本</w:t>
      </w:r>
      <w:r/>
    </w:p>
    <w:p>
      <w:pPr>
        <w:ind w:firstLine="480"/>
        <w:spacing w:line="4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p>
    <w:p>
      <w:pPr>
        <w:pStyle w:val="925"/>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p>
    <w:p>
      <w:pPr>
        <w:pStyle w:val="925"/>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p>
    <w:p>
      <w:pPr>
        <w:pStyle w:val="925"/>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p>
    <w:p>
      <w:pPr>
        <w:pStyle w:val="925"/>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lang w:eastAsia="zh-CN"/>
        </w:rPr>
        <w:t xml:space="preserve">无锡市滨湖区公共资源交易中心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第一条 合同标的</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一、项目名称：</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二、项目坐落位置：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color w:val="000000" w:themeColor="text1"/>
          <w:sz w:val="24"/>
          <w:szCs w:val="24"/>
          <w:highlight w:val="none"/>
        </w:rPr>
        <w:t xml:space="preserve">项目总建筑面积：</w:t>
      </w:r>
      <w:r>
        <w:rPr>
          <w:rFonts w:hint="eastAsia" w:ascii="宋体" w:hAnsi="宋体"/>
          <w:color w:val="000000" w:themeColor="text1"/>
          <w:sz w:val="24"/>
          <w:szCs w:val="24"/>
          <w:highlight w:val="none"/>
          <w:u w:val="single"/>
        </w:rPr>
        <w:t xml:space="preserve">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三、物业管理服务期限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年。本合同期限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年，自</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日至</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第二条 委托管理事项</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委托物业管理服务内容：</w:t>
      </w:r>
      <w:r>
        <w:rPr>
          <w:rFonts w:hint="eastAsia" w:ascii="宋体" w:hAnsi="宋体" w:cs="宋体"/>
          <w:color w:val="000000" w:themeColor="text1"/>
          <w:sz w:val="24"/>
          <w:highlight w:val="none"/>
          <w:u w:val="single"/>
        </w:rPr>
        <w:t xml:space="preserve">                      </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第三条 合同总价款</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一、本合同总价款（含税）为人民币 大写：</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u w:val="single"/>
        </w:rPr>
        <w:t xml:space="preserve">年</w:t>
      </w:r>
      <w:r>
        <w:rPr>
          <w:rFonts w:hint="eastAsia" w:ascii="宋体" w:hAnsi="宋体" w:cs="宋体"/>
          <w:color w:val="000000" w:themeColor="text1"/>
          <w:sz w:val="24"/>
          <w:highlight w:val="none"/>
        </w:rPr>
        <w:t xml:space="preserve">（RMB</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元/年）。</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二、本合同执行期间总价不变。</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三、履约保证金的缴纳和退付</w:t>
      </w:r>
      <w:r/>
    </w:p>
    <w:p>
      <w:pPr>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本项目是/否向采购人缴纳履约保证金：</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w:t>
      </w:r>
      <w:r/>
    </w:p>
    <w:p>
      <w:pPr>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履约保证金缴纳金额：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元。</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履约保证金的缴纳时间：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，缴纳形式：</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履约保证金的退付时间：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，退付办法：</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履约保证金不予退还的情形：</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
          <w:color w:val="000000" w:themeColor="text1"/>
          <w:sz w:val="24"/>
          <w:szCs w:val="24"/>
          <w:highlight w:val="none"/>
        </w:rPr>
      </w:pPr>
      <w:r>
        <w:rPr>
          <w:rFonts w:hint="eastAsia" w:ascii="宋体" w:hAnsi="宋体"/>
          <w:bCs/>
          <w:color w:val="000000" w:themeColor="text1"/>
          <w:sz w:val="24"/>
          <w:highlight w:val="none"/>
        </w:rPr>
        <w:t xml:space="preserve">逾期退还履约保证金的违约责任：</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第四条 组成本合同的有关文件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下列关于采购</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一、乙方提供的投标文件和报价表；</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二、中标通知书；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三、甲乙双方商定的其他文件。</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第五条 双方权利义务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一、甲方权利义务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（三）对物业管理服务质量进行监督检查，对不符合质量标准的管理服务要求乙方整改落实。</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（四）为乙方的管理服务提供必要的工作场所以及</w:t>
      </w:r>
      <w:r>
        <w:rPr>
          <w:rFonts w:hint="eastAsia" w:ascii="宋体" w:hAnsi="宋体"/>
          <w:color w:val="000000" w:themeColor="text1"/>
          <w:sz w:val="24"/>
          <w:szCs w:val="24"/>
          <w:highlight w:val="none"/>
        </w:rPr>
        <w:t xml:space="preserve">物业管理服务所必需的水、电供应</w:t>
      </w:r>
      <w:r>
        <w:rPr>
          <w:rFonts w:hint="eastAsia" w:ascii="宋体" w:hAnsi="宋体" w:cs="宋体"/>
          <w:color w:val="000000" w:themeColor="text1"/>
          <w:sz w:val="24"/>
          <w:highlight w:val="none"/>
        </w:rPr>
        <w:t xml:space="preserve">。</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（五）对乙方的节能工作进行指导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提高用能设施设备的能源利用效率。</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（六）根据有关部门的要求，指导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乙方做好控烟、爱国卫生等工作。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themeColor="text1"/>
          <w:sz w:val="24"/>
          <w:szCs w:val="24"/>
          <w:highlight w:val="none"/>
        </w:rPr>
        <w:t xml:space="preserve">协助乙方做好物业服务管理工作</w:t>
      </w:r>
      <w:r>
        <w:rPr>
          <w:rFonts w:hint="eastAsia" w:ascii="宋体" w:hAnsi="宋体" w:cs="宋体"/>
          <w:color w:val="000000" w:themeColor="text1"/>
          <w:sz w:val="24"/>
          <w:highlight w:val="none"/>
        </w:rPr>
        <w:t xml:space="preserve">。</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（八）按照合同约定，及时支付</w:t>
      </w:r>
      <w:r>
        <w:rPr>
          <w:rFonts w:ascii="宋体" w:hAnsi="宋体" w:cs="宋体"/>
          <w:color w:val="000000" w:themeColor="text1"/>
          <w:sz w:val="24"/>
          <w:highlight w:val="none"/>
        </w:rPr>
        <w:t xml:space="preserve">合同款项。</w:t>
      </w:r>
      <w:r/>
    </w:p>
    <w:p>
      <w:pPr>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（九）法规、政策规定由甲方承担的其他责任。</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二、乙方权利义务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（一）在承接物业时，对物业工程技术档案资料、共用部位、设施设备等进行查验</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并做好书面确认工作；对所有图、档、卡、册等资料应做好建档工作。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（五）对有违反或影响本合同执行，包括影响机关正常办公秩序的行为，乙方应及时整改。</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（九）投保物业公众责任险。</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（十一）法规、政策规定由乙方承担的其他责任。</w:t>
      </w:r>
      <w:r/>
    </w:p>
    <w:p>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三、在管理过程中，因下列因素所致的损害构成乙方的免责事由，乙方均不负赔偿之责：</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（一）天灾、地震等不可抗力的事由所致的损害；</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（二）暴动、持械抢劫、破坏、爆炸、火灾、刑事犯罪等违法行为等事由所致的损害；</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（三）因甲方或第三者之故意、重大过失所致的损害；</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（四）因乙方书面建议甲方改善或改进物业管理措施，而甲方未采纳</w:t>
      </w:r>
      <w:r>
        <w:rPr>
          <w:rFonts w:ascii="宋体" w:hAnsi="宋体"/>
          <w:color w:val="000000" w:themeColor="text1"/>
          <w:sz w:val="24"/>
          <w:szCs w:val="24"/>
          <w:highlight w:val="none"/>
        </w:rPr>
        <w:t xml:space="preserve">所致的损害</w:t>
      </w:r>
      <w:r>
        <w:rPr>
          <w:rFonts w:hint="eastAsia" w:ascii="宋体" w:hAnsi="宋体"/>
          <w:color w:val="000000" w:themeColor="text1"/>
          <w:sz w:val="24"/>
          <w:szCs w:val="24"/>
          <w:highlight w:val="none"/>
        </w:rPr>
        <w:t xml:space="preserve">；</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（五）本合同标的物之共用部分（含共用部位、共用设备设施）自然或非乙方人为的任何损坏。</w:t>
      </w:r>
      <w:r/>
    </w:p>
    <w:p>
      <w:pPr>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（六）除上述各款外，其他不可归责于乙方之事由的。</w:t>
      </w:r>
      <w:r/>
    </w:p>
    <w:p>
      <w:pPr>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以上所有事项</w:t>
      </w:r>
      <w:r>
        <w:rPr>
          <w:rFonts w:hint="eastAsia" w:ascii="宋体" w:hAnsi="宋体" w:cs="宋体"/>
          <w:color w:val="000000" w:themeColor="text1"/>
          <w:sz w:val="24"/>
          <w:highlight w:val="none"/>
        </w:rPr>
        <w:t xml:space="preserve">因乙方故意或过失所致，或未尽到物业管理职责的，不在此限；</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第六条 质量保证</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一、建立质量管理体系并有效运行，管理服务能够接受质量审核。</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二、管理服务逐步达到接受创优评审条件。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三、各项承诺指标及所采取的措施详见“招标文件”及投标文件。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四、其他管理服务质量要求按无锡市有关标准执行。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第七条 款项支付</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一、本合同项下所有款项均以人民币支付。</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二、甲方在收到乙方开具相应的增值税发票后按约定支付物业服务费；乙方未提供发票的</w:t>
      </w:r>
      <w:r>
        <w:rPr>
          <w:rFonts w:ascii="宋体" w:hAnsi="宋体" w:cs="宋体"/>
          <w:color w:val="000000" w:themeColor="text1"/>
          <w:sz w:val="24"/>
          <w:highlight w:val="none"/>
        </w:rPr>
        <w:t xml:space="preserve">，甲方有权迟延支付款项</w:t>
      </w:r>
      <w:r>
        <w:rPr>
          <w:rFonts w:hint="eastAsia" w:ascii="宋体" w:hAnsi="宋体" w:cs="宋体"/>
          <w:color w:val="000000" w:themeColor="text1"/>
          <w:sz w:val="24"/>
          <w:highlight w:val="none"/>
        </w:rPr>
        <w:t xml:space="preserve">且</w:t>
      </w:r>
      <w:r>
        <w:rPr>
          <w:rFonts w:ascii="宋体" w:hAnsi="宋体" w:cs="宋体"/>
          <w:color w:val="000000" w:themeColor="text1"/>
          <w:sz w:val="24"/>
          <w:highlight w:val="none"/>
        </w:rPr>
        <w:t xml:space="preserve">不承担违约责任，乙方仍应继续履行本合同项下的全部义务</w:t>
      </w:r>
      <w:r>
        <w:rPr>
          <w:rFonts w:hint="eastAsia" w:ascii="宋体" w:hAnsi="宋体" w:cs="宋体"/>
          <w:color w:val="000000" w:themeColor="text1"/>
          <w:sz w:val="24"/>
          <w:highlight w:val="none"/>
        </w:rPr>
        <w:t xml:space="preserve">。</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三、付款方式及进度安排及履约评价考核机制按招标文件执行。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第八条 违约责任</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olor w:val="000000" w:themeColor="text1"/>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 或依照法律程序解除部分或全部合同。</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四、乙方无正当理由，违反本合同约定，擅自收费或擅自提高收费标准的，对擅自收费部分或超出标准的部分，甲方有权</w:t>
      </w:r>
      <w:r>
        <w:rPr>
          <w:rFonts w:ascii="宋体" w:hAnsi="宋体" w:cs="宋体"/>
          <w:color w:val="000000" w:themeColor="text1"/>
          <w:sz w:val="24"/>
          <w:highlight w:val="none"/>
        </w:rPr>
        <w:t xml:space="preserve">拒绝付款</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已经支付的，</w:t>
      </w:r>
      <w:r>
        <w:rPr>
          <w:rFonts w:hint="eastAsia" w:ascii="宋体" w:hAnsi="宋体" w:cs="宋体"/>
          <w:color w:val="000000" w:themeColor="text1"/>
          <w:sz w:val="24"/>
          <w:highlight w:val="none"/>
        </w:rPr>
        <w:t xml:space="preserve">有权要求乙方双倍返还；造成甲方经济损失的，乙方应予赔偿。</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0%作为违约金；造成的损失超出前述违约金的，甲方有权要求乙方按照实际损失予以赔偿。</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第九条 合同的生效、变更和终止</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五、本合同终止时，乙方应移交管理权，撤出本项目，协助甲方</w:t>
      </w:r>
      <w:r>
        <w:rPr>
          <w:rFonts w:hint="eastAsia" w:ascii="宋体" w:hAnsi="宋体" w:cs="宋体"/>
          <w:color w:val="000000" w:themeColor="text1"/>
          <w:sz w:val="24"/>
          <w:highlight w:val="none"/>
          <w:lang w:eastAsia="zh-CN"/>
        </w:rPr>
        <w:t xml:space="preserve">做好</w:t>
      </w:r>
      <w:r>
        <w:rPr>
          <w:rFonts w:hint="eastAsia" w:ascii="宋体" w:hAnsi="宋体" w:cs="宋体"/>
          <w:color w:val="000000" w:themeColor="text1"/>
          <w:sz w:val="24"/>
          <w:highlight w:val="none"/>
        </w:rPr>
        <w:t xml:space="preserve">服务的交接和善后工作，移交或配合甲方移交管理用房和管理的全部档案资料等。</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合同签订后</w:t>
      </w:r>
      <w:r>
        <w:rPr>
          <w:rFonts w:hint="eastAsia" w:ascii="宋体" w:hAnsi="宋体"/>
          <w:color w:val="000000" w:themeColor="text1"/>
          <w:sz w:val="24"/>
          <w:szCs w:val="24"/>
          <w:highlight w:val="none"/>
        </w:rPr>
        <w:t xml:space="preserve">甲乙</w:t>
      </w:r>
      <w:r>
        <w:rPr>
          <w:rFonts w:hint="eastAsia" w:ascii="宋体" w:hAnsi="宋体"/>
          <w:bCs/>
          <w:color w:val="000000" w:themeColor="text1"/>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highlight w:val="none"/>
        </w:rPr>
        <w:t xml:space="preserve">由甲乙双方协商处理，若协商不成，</w:t>
      </w:r>
      <w:r>
        <w:rPr>
          <w:rFonts w:hint="eastAsia" w:ascii="宋体" w:hAnsi="宋体"/>
          <w:bCs/>
          <w:color w:val="000000" w:themeColor="text1"/>
          <w:sz w:val="24"/>
          <w:szCs w:val="24"/>
          <w:highlight w:val="none"/>
        </w:rPr>
        <w:t xml:space="preserve">可选择以下</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方式处理：</w:t>
      </w:r>
      <w:r/>
    </w:p>
    <w:p>
      <w:pPr>
        <w:spacing w:line="400" w:lineRule="exact"/>
        <w:tabs>
          <w:tab w:val="left" w:pos="525" w:leader="none"/>
          <w:tab w:val="left" w:pos="94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二、向甲方所在地法院提起诉讼。</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第十一条 诚实信用及其他</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二、本合同应按照中华人民共和国的现行法律进行解释。</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甲方（采购人）：（盖章）         乙方（供应商）：（盖章）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代表人：                       代表人：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                     开户银行：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账号：                         账号：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年    月    日</w:t>
      </w:r>
      <w:r/>
    </w:p>
    <w:p>
      <w:pPr>
        <w:ind w:firstLine="480"/>
        <w:spacing w:line="400" w:lineRule="exact"/>
        <w:rPr>
          <w:color w:val="000000"/>
          <w:sz w:val="24"/>
          <w:szCs w:val="24"/>
          <w:highlight w:val="none"/>
        </w:rPr>
      </w:pPr>
      <w:r>
        <w:rPr>
          <w:color w:val="000000"/>
          <w:sz w:val="24"/>
          <w:szCs w:val="24"/>
          <w:highlight w:val="none"/>
        </w:rPr>
      </w:r>
      <w:r/>
    </w:p>
    <w:p>
      <w:pPr>
        <w:ind w:firstLine="480"/>
        <w:jc w:val="center"/>
        <w:spacing w:line="400" w:lineRule="exact"/>
        <w:rPr>
          <w:rFonts w:hint="eastAsia" w:ascii="黑体" w:hAnsi="黑体" w:eastAsia="黑体"/>
          <w:color w:val="000000"/>
          <w:sz w:val="36"/>
          <w:szCs w:val="36"/>
          <w:highlight w:val="none"/>
        </w:rPr>
      </w:pPr>
      <w:r>
        <w:rPr>
          <w:color w:val="000000"/>
          <w:sz w:val="24"/>
          <w:szCs w:val="24"/>
          <w:highlight w:val="none"/>
        </w:rPr>
        <w:br w:type="page" w:clear="all"/>
      </w:r>
      <w:bookmarkEnd w:id="179"/>
      <w:r/>
      <w:bookmarkEnd w:id="180"/>
      <w:r/>
      <w:bookmarkEnd w:id="181"/>
      <w:r/>
      <w:bookmarkStart w:id="182" w:name="_Hlt16619369"/>
      <w:r/>
      <w:bookmarkEnd w:id="182"/>
      <w:r/>
      <w:bookmarkStart w:id="183" w:name="_Hlt16619350"/>
      <w:r/>
      <w:bookmarkStart w:id="184" w:name="_Toc20823346"/>
      <w:r/>
      <w:bookmarkStart w:id="185" w:name="_Toc16938590"/>
      <w:r/>
      <w:bookmarkStart w:id="186" w:name="_Toc120614244"/>
      <w:r/>
      <w:bookmarkStart w:id="187" w:name="_Toc462564139"/>
      <w:r/>
      <w:bookmarkStart w:id="188" w:name="_Toc479757211"/>
      <w:r>
        <w:rPr>
          <w:rFonts w:hint="eastAsia" w:ascii="黑体" w:hAnsi="黑体" w:eastAsia="黑体"/>
          <w:color w:val="000000"/>
          <w:sz w:val="36"/>
          <w:szCs w:val="36"/>
          <w:highlight w:val="none"/>
        </w:rPr>
        <w:t xml:space="preserve">第</w:t>
      </w:r>
      <w:bookmarkEnd w:id="183"/>
      <w:r>
        <w:rPr>
          <w:rFonts w:hint="eastAsia" w:ascii="黑体" w:hAnsi="黑体" w:eastAsia="黑体"/>
          <w:color w:val="000000"/>
          <w:sz w:val="36"/>
          <w:szCs w:val="36"/>
          <w:highlight w:val="none"/>
        </w:rPr>
        <w:t xml:space="preserve">四章 采购需求</w:t>
      </w:r>
      <w:bookmarkEnd w:id="184"/>
      <w:r/>
      <w:bookmarkEnd w:id="185"/>
      <w:r/>
      <w:bookmarkEnd w:id="186"/>
      <w:r/>
      <w:r/>
    </w:p>
    <w:p>
      <w:pPr>
        <w:ind w:firstLine="480"/>
        <w:jc w:val="center"/>
        <w:spacing w:line="4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ind w:firstLine="480"/>
        <w:jc w:val="left"/>
        <w:spacing w:line="360" w:lineRule="auto"/>
        <w:rPr>
          <w:rFonts w:hint="eastAsia" w:ascii="宋体" w:hAnsi="宋体"/>
          <w:color w:val="000000"/>
          <w:sz w:val="24"/>
          <w:szCs w:val="24"/>
          <w:highlight w:val="none"/>
        </w:rPr>
      </w:pPr>
      <w:r/>
      <w:bookmarkStart w:id="189" w:name="_Toc49090575"/>
      <w:r/>
      <w:bookmarkStart w:id="190" w:name="_Toc26554093"/>
      <w:r>
        <w:rPr>
          <w:rFonts w:hint="eastAsia" w:ascii="宋体" w:hAnsi="宋体"/>
          <w:color w:val="000000"/>
          <w:sz w:val="24"/>
          <w:szCs w:val="24"/>
          <w:highlight w:val="none"/>
        </w:rPr>
        <w:t xml:space="preserve">投标人所投内容必须满足以下要求，不得有负偏离。</w:t>
      </w:r>
      <w:r/>
    </w:p>
    <w:p>
      <w:pPr>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p>
    <w:p>
      <w:pPr>
        <w:pStyle w:val="925"/>
        <w:ind w:firstLine="480"/>
        <w:spacing w:line="400" w:lineRule="exact"/>
        <w:rPr>
          <w:rFonts w:hint="eastAsia" w:hAnsi="宋体"/>
          <w:color w:val="000000"/>
          <w:sz w:val="24"/>
          <w:szCs w:val="24"/>
          <w:highlight w:val="none"/>
          <w:lang w:val="en-US"/>
        </w:rPr>
      </w:pPr>
      <w:r>
        <w:rPr>
          <w:rFonts w:hint="eastAsia" w:hAnsi="宋体"/>
          <w:color w:val="000000"/>
          <w:sz w:val="24"/>
          <w:szCs w:val="24"/>
          <w:highlight w:val="none"/>
          <w:lang w:eastAsia="zh-CN"/>
        </w:rPr>
        <w:t xml:space="preserve">一、项目基本情况</w:t>
      </w:r>
      <w:r/>
    </w:p>
    <w:p>
      <w:pPr>
        <w:pStyle w:val="925"/>
        <w:ind w:firstLine="480"/>
        <w:spacing w:line="400" w:lineRule="exact"/>
        <w:rPr>
          <w:rFonts w:hint="default" w:hAnsi="宋体"/>
          <w:color w:val="000000"/>
          <w:sz w:val="24"/>
          <w:szCs w:val="24"/>
          <w:highlight w:val="none"/>
          <w:lang w:val="en-US" w:eastAsia="zh-CN"/>
        </w:rPr>
      </w:pPr>
      <w:r>
        <w:rPr>
          <w:rFonts w:hint="eastAsia" w:hAnsi="宋体"/>
          <w:color w:val="000000"/>
          <w:sz w:val="24"/>
          <w:szCs w:val="24"/>
          <w:highlight w:val="none"/>
          <w:lang w:val="en-US" w:eastAsia="zh-CN"/>
        </w:rPr>
        <w:t xml:space="preserve">本次采购项目为无锡市第二中医医院后勤管理服务社会化项目，为继续落实推进医院后勤服务社会化的要求，为医院患者、职工提供专业、高效、优质的后勤管理服务。采购内容主要包括：保洁、运送、垃圾清运、集中清洗等工作。</w:t>
      </w:r>
      <w:r>
        <w:rPr>
          <w:rFonts w:hint="default" w:hAnsi="宋体"/>
          <w:color w:val="000000"/>
          <w:sz w:val="24"/>
          <w:szCs w:val="24"/>
          <w:highlight w:val="none"/>
          <w:lang w:val="en-US" w:eastAsia="zh-CN"/>
        </w:rPr>
        <w:t xml:space="preserve"> </w:t>
      </w:r>
      <w:r/>
    </w:p>
    <w:p>
      <w:pPr>
        <w:pStyle w:val="925"/>
        <w:ind w:firstLine="480"/>
        <w:spacing w:line="400" w:lineRule="exact"/>
        <w:rPr>
          <w:rFonts w:hint="default" w:hAnsi="宋体"/>
          <w:color w:val="000000"/>
          <w:sz w:val="24"/>
          <w:szCs w:val="24"/>
          <w:highlight w:val="none"/>
          <w:lang w:val="en-US" w:eastAsia="zh-CN"/>
        </w:rPr>
      </w:pPr>
      <w:r>
        <w:rPr>
          <w:rFonts w:hint="eastAsia" w:hAnsi="宋体"/>
          <w:color w:val="000000"/>
          <w:sz w:val="24"/>
          <w:szCs w:val="24"/>
          <w:highlight w:val="none"/>
          <w:lang w:val="en-US" w:eastAsia="zh-CN"/>
        </w:rPr>
        <w:t xml:space="preserve">服务期：三年</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自合同签订之日起</w:t>
      </w:r>
      <w:r>
        <w:rPr>
          <w:rFonts w:hint="default" w:hAnsi="宋体"/>
          <w:color w:val="000000"/>
          <w:sz w:val="24"/>
          <w:szCs w:val="24"/>
          <w:highlight w:val="none"/>
          <w:lang w:val="en-US" w:eastAsia="zh-CN"/>
        </w:rPr>
        <w:t xml:space="preserve">)</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服务项目质量要求：符合国家相关规范，满足采购文件及采购需求。</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二、作业服务内容和要求：</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（一）保洁管理服务内容 </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医院的后勤管理服务业务归属后勤科，由后勤科负责监督、协调、指导、考评中标单位的工作。</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1</w:t>
      </w:r>
      <w:r>
        <w:rPr>
          <w:rFonts w:hint="eastAsia" w:hAnsi="宋体"/>
          <w:color w:val="000000"/>
          <w:sz w:val="24"/>
          <w:szCs w:val="24"/>
          <w:highlight w:val="none"/>
          <w:lang w:eastAsia="zh-CN"/>
        </w:rPr>
        <w:t xml:space="preserve">．保洁管理服务范围和内容</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）全方位立体的保洁后勤工作；</w:t>
      </w:r>
      <w:r>
        <w:rPr>
          <w:rFonts w:hint="default" w:hAnsi="宋体"/>
          <w:color w:val="000000"/>
          <w:sz w:val="24"/>
          <w:szCs w:val="24"/>
          <w:highlight w:val="none"/>
          <w:lang w:val="en-US" w:eastAsia="zh-CN"/>
        </w:rPr>
        <w:t xml:space="preserve"> </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）生活及医疗垃圾的收集、清运和无害化处理；</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）除“四害”及消毒消杀；</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）医疗场所、病房、卫生间的专业清洁与消毒；</w:t>
      </w:r>
      <w:r>
        <w:rPr>
          <w:rFonts w:hint="default" w:hAnsi="宋体"/>
          <w:color w:val="000000"/>
          <w:sz w:val="24"/>
          <w:szCs w:val="24"/>
          <w:highlight w:val="none"/>
          <w:lang w:val="en-US" w:eastAsia="zh-CN"/>
        </w:rPr>
        <w:t xml:space="preserve"> </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2</w:t>
      </w:r>
      <w:r>
        <w:rPr>
          <w:rFonts w:hint="eastAsia" w:hAnsi="宋体"/>
          <w:color w:val="000000"/>
          <w:sz w:val="24"/>
          <w:szCs w:val="24"/>
          <w:highlight w:val="none"/>
          <w:lang w:eastAsia="zh-CN"/>
        </w:rPr>
        <w:t xml:space="preserve">．保洁管理服务的要求</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）在现基础上营造“安全、整洁、有序”的就医环境；</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）确保环境卫生符合行业检查标准，以及国家爱国卫生城市检查标准要求；</w:t>
      </w:r>
      <w:r>
        <w:rPr>
          <w:rFonts w:hint="default" w:hAnsi="宋体"/>
          <w:color w:val="000000"/>
          <w:sz w:val="24"/>
          <w:szCs w:val="24"/>
          <w:highlight w:val="none"/>
          <w:lang w:val="en-US" w:eastAsia="zh-CN"/>
        </w:rPr>
        <w:t xml:space="preserve"> </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）保持雨天排水畅通，地面不积水；</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）确保无鼠害、虫害；</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）确保环境安全各种排放达标；</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）确保医疗场所、病房、卫生间达到专业清洁与消毒，不发生交叉作业；</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7</w:t>
      </w:r>
      <w:r>
        <w:rPr>
          <w:rFonts w:hint="eastAsia" w:hAnsi="宋体"/>
          <w:color w:val="000000"/>
          <w:sz w:val="24"/>
          <w:szCs w:val="24"/>
          <w:highlight w:val="none"/>
          <w:lang w:val="en-US" w:eastAsia="zh-CN"/>
        </w:rPr>
        <w:t xml:space="preserve">）垃圾按规范要求分类收集、包装、储存、运输、确保不发生污染事故；</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）保持环境清洁，外墙美观无破损；</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9</w:t>
      </w:r>
      <w:r>
        <w:rPr>
          <w:rFonts w:hint="eastAsia" w:hAnsi="宋体"/>
          <w:color w:val="000000"/>
          <w:sz w:val="24"/>
          <w:szCs w:val="24"/>
          <w:highlight w:val="none"/>
          <w:lang w:val="en-US" w:eastAsia="zh-CN"/>
        </w:rPr>
        <w:t xml:space="preserve">）因管理因素造成医院及周边环境污染，以及人身伤害或由此引发的其它事故，由中标服务方承担全部责任；</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）保洁员工年龄：男员工</w:t>
      </w:r>
      <w:r>
        <w:rPr>
          <w:rFonts w:hint="default" w:hAnsi="宋体"/>
          <w:color w:val="000000"/>
          <w:sz w:val="24"/>
          <w:szCs w:val="24"/>
          <w:highlight w:val="none"/>
          <w:lang w:val="en-US" w:eastAsia="zh-CN"/>
        </w:rPr>
        <w:t xml:space="preserve">65</w:t>
      </w:r>
      <w:r>
        <w:rPr>
          <w:rFonts w:hint="eastAsia" w:hAnsi="宋体"/>
          <w:color w:val="000000"/>
          <w:sz w:val="24"/>
          <w:szCs w:val="24"/>
          <w:highlight w:val="none"/>
          <w:lang w:val="en-US" w:eastAsia="zh-CN"/>
        </w:rPr>
        <w:t xml:space="preserve">周岁以下、女员工</w:t>
      </w:r>
      <w:r>
        <w:rPr>
          <w:rFonts w:hint="default" w:hAnsi="宋体"/>
          <w:color w:val="000000"/>
          <w:sz w:val="24"/>
          <w:szCs w:val="24"/>
          <w:highlight w:val="none"/>
          <w:lang w:val="en-US" w:eastAsia="zh-CN"/>
        </w:rPr>
        <w:t xml:space="preserve">60</w:t>
      </w:r>
      <w:r>
        <w:rPr>
          <w:rFonts w:hint="eastAsia" w:hAnsi="宋体"/>
          <w:color w:val="000000"/>
          <w:sz w:val="24"/>
          <w:szCs w:val="24"/>
          <w:highlight w:val="none"/>
          <w:lang w:val="en-US" w:eastAsia="zh-CN"/>
        </w:rPr>
        <w:t xml:space="preserve">周岁以下，身体健康。</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（二）运送管理服务内容</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陪检运送管理服务业务归属后勤科，由后勤科负责监督、协调、指导、考评中标服务方的工作。</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1</w:t>
      </w:r>
      <w:r>
        <w:rPr>
          <w:rFonts w:hint="eastAsia" w:hAnsi="宋体"/>
          <w:color w:val="000000"/>
          <w:sz w:val="24"/>
          <w:szCs w:val="24"/>
          <w:highlight w:val="none"/>
          <w:lang w:eastAsia="zh-CN"/>
        </w:rPr>
        <w:t xml:space="preserve">．医疗运送管理服务的范围和内容</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）负责各类标本的收集运送，发放结果报告单。</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）负责运送、陪同病人检查。</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）负责“</w:t>
      </w:r>
      <w:r>
        <w:rPr>
          <w:rFonts w:hint="default" w:hAnsi="宋体"/>
          <w:color w:val="000000"/>
          <w:sz w:val="24"/>
          <w:szCs w:val="24"/>
          <w:highlight w:val="none"/>
          <w:lang w:val="en-US" w:eastAsia="zh-CN"/>
        </w:rPr>
        <w:t xml:space="preserve">120</w:t>
      </w:r>
      <w:r>
        <w:rPr>
          <w:rFonts w:hint="eastAsia" w:hAnsi="宋体"/>
          <w:color w:val="000000"/>
          <w:sz w:val="24"/>
          <w:szCs w:val="24"/>
          <w:highlight w:val="none"/>
          <w:lang w:val="en-US" w:eastAsia="zh-CN"/>
        </w:rPr>
        <w:t xml:space="preserve">”急救中心</w:t>
      </w:r>
      <w:r>
        <w:rPr>
          <w:rFonts w:hint="default" w:hAnsi="宋体"/>
          <w:color w:val="000000"/>
          <w:sz w:val="24"/>
          <w:szCs w:val="24"/>
          <w:highlight w:val="none"/>
          <w:lang w:val="en-US" w:eastAsia="zh-CN"/>
        </w:rPr>
        <w:t xml:space="preserve">24</w:t>
      </w:r>
      <w:r>
        <w:rPr>
          <w:rFonts w:hint="eastAsia" w:hAnsi="宋体"/>
          <w:color w:val="000000"/>
          <w:sz w:val="24"/>
          <w:szCs w:val="24"/>
          <w:highlight w:val="none"/>
          <w:lang w:val="en-US" w:eastAsia="zh-CN"/>
        </w:rPr>
        <w:t xml:space="preserve">小时服务。</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）负责手术病人的接送。</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2</w:t>
      </w:r>
      <w:r>
        <w:rPr>
          <w:rFonts w:hint="eastAsia" w:hAnsi="宋体"/>
          <w:color w:val="000000"/>
          <w:sz w:val="24"/>
          <w:szCs w:val="24"/>
          <w:highlight w:val="none"/>
          <w:lang w:eastAsia="zh-CN"/>
        </w:rPr>
        <w:t xml:space="preserve">．运送管理服务要求</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）运送员工年龄：男</w:t>
      </w:r>
      <w:r>
        <w:rPr>
          <w:rFonts w:hint="default" w:hAnsi="宋体"/>
          <w:color w:val="000000"/>
          <w:sz w:val="24"/>
          <w:szCs w:val="24"/>
          <w:highlight w:val="none"/>
          <w:lang w:val="en-US" w:eastAsia="zh-CN"/>
        </w:rPr>
        <w:t xml:space="preserve">65</w:t>
      </w:r>
      <w:r>
        <w:rPr>
          <w:rFonts w:hint="eastAsia" w:hAnsi="宋体"/>
          <w:color w:val="000000"/>
          <w:sz w:val="24"/>
          <w:szCs w:val="24"/>
          <w:highlight w:val="none"/>
          <w:lang w:val="en-US" w:eastAsia="zh-CN"/>
        </w:rPr>
        <w:t xml:space="preserve">周岁、女</w:t>
      </w:r>
      <w:r>
        <w:rPr>
          <w:rFonts w:hint="default" w:hAnsi="宋体"/>
          <w:color w:val="000000"/>
          <w:sz w:val="24"/>
          <w:szCs w:val="24"/>
          <w:highlight w:val="none"/>
          <w:lang w:val="en-US" w:eastAsia="zh-CN"/>
        </w:rPr>
        <w:t xml:space="preserve">60</w:t>
      </w:r>
      <w:r>
        <w:rPr>
          <w:rFonts w:hint="eastAsia" w:hAnsi="宋体"/>
          <w:color w:val="000000"/>
          <w:sz w:val="24"/>
          <w:szCs w:val="24"/>
          <w:highlight w:val="none"/>
          <w:lang w:val="en-US" w:eastAsia="zh-CN"/>
        </w:rPr>
        <w:t xml:space="preserve">周岁以下，身体健康；</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）服务必须符合医疗服务规范要求。</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）因管理不善、服务不规范导致的服务纠纷和质量事故或由此引起的其它事件，由中标方承担全部责任。</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）必须配备现代化的通讯工具和调度设备。</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三、后勤管理服务质量考核及要求 </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（一）病区保洁工作要求</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、主任办公室、医生办公室、护士站、治疗室、值班室等场所每天至少打扫二次，地面清拖，桌面清擦，墙面每月至少抹灰一次。</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、病区地面每天清拖二次，如被呕吐物、分泌物或粪便污染时，应立即使用</w:t>
      </w:r>
      <w:r>
        <w:rPr>
          <w:rFonts w:hint="default" w:hAnsi="宋体"/>
          <w:color w:val="000000"/>
          <w:sz w:val="24"/>
          <w:szCs w:val="24"/>
          <w:highlight w:val="none"/>
          <w:lang w:val="en-US" w:eastAsia="zh-CN"/>
        </w:rPr>
        <w:t xml:space="preserve">1000mg/L</w:t>
      </w:r>
      <w:r>
        <w:rPr>
          <w:rFonts w:hint="eastAsia" w:hAnsi="宋体"/>
          <w:color w:val="000000"/>
          <w:sz w:val="24"/>
          <w:szCs w:val="24"/>
          <w:highlight w:val="none"/>
          <w:lang w:val="en-US" w:eastAsia="zh-CN"/>
        </w:rPr>
        <w:t xml:space="preserve">氯消毒剂擦拭。墙面瓷砖每周至少擦洗一次，墙面每月至少抹灰一次，如有血液或体液污染时，应立即使用</w:t>
      </w:r>
      <w:r>
        <w:rPr>
          <w:rFonts w:hint="default" w:hAnsi="宋体"/>
          <w:color w:val="000000"/>
          <w:sz w:val="24"/>
          <w:szCs w:val="24"/>
          <w:highlight w:val="none"/>
          <w:lang w:val="en-US" w:eastAsia="zh-CN"/>
        </w:rPr>
        <w:t xml:space="preserve">1000mg/L</w:t>
      </w:r>
      <w:r>
        <w:rPr>
          <w:rFonts w:hint="eastAsia" w:hAnsi="宋体"/>
          <w:color w:val="000000"/>
          <w:sz w:val="24"/>
          <w:szCs w:val="24"/>
          <w:highlight w:val="none"/>
          <w:lang w:val="en-US" w:eastAsia="zh-CN"/>
        </w:rPr>
        <w:t xml:space="preserve">含氯消毒剂擦拭。走道用洗地机每天清洗一次。消防梯每天清拖至少二次，电梯厅及家属等候区不间断巡回检查打扫，以确保各区域的整洁。</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、病床、床头柜、设备带、窗台、餐板每天抹灰一次；楼层玻璃门及候诊椅每天擦洗一次；门、门框、家具、电器等每周抹灰一次。</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、污洗间、卫生间不间断巡回检查打扫，确保洗污间、卫生间的整洁和无异味，每天消毒一次</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每周彻底清洁打扫一次。</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、楼梯扶手每天擦洗一次，病区内窗每月擦洗一次，病区灯罩每两月打扫一次，空调进出风口每季度清洗一次，医院垃圾房每天至少清扫两次。</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、每天清理室内花木花盆内的烟头和纸屑，定期清洗托盘。</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7</w:t>
      </w:r>
      <w:r>
        <w:rPr>
          <w:rFonts w:hint="eastAsia" w:hAnsi="宋体"/>
          <w:color w:val="000000"/>
          <w:sz w:val="24"/>
          <w:szCs w:val="24"/>
          <w:highlight w:val="none"/>
          <w:lang w:val="en-US" w:eastAsia="zh-CN"/>
        </w:rPr>
        <w:t xml:space="preserve">、各室抹布应分开使用，用后清洗消毒，晾干分类放置；不同区域（污染区、半污染区、清洁区）使用的拖把，分开放置，清洗后悬挂；各科室使用后的抹布、拖把每天由清洗中心的工人负责收到清洗中心集中消毒、清洗后再分发给各病区使用。</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、保洁人员要有节约意识，养成随手关灯的习惯。发现病区设施设备损坏或破损应及时告知护士长，以便及时维修。</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9</w:t>
      </w:r>
      <w:r>
        <w:rPr>
          <w:rFonts w:hint="eastAsia" w:hAnsi="宋体"/>
          <w:color w:val="000000"/>
          <w:sz w:val="24"/>
          <w:szCs w:val="24"/>
          <w:highlight w:val="none"/>
          <w:lang w:val="en-US" w:eastAsia="zh-CN"/>
        </w:rPr>
        <w:t xml:space="preserve">、医院如有突击任务，公司必须保证物资和人员的及时到位，保质保量完成乙方的临时突击任务。</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、完成好护士长交办的相关临时工作。</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（二）保洁服务标准</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、所有在岗人员必须通过培训、试用、综合考核合格后方可上岗，做到一员多能。</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、工作时间内所有员工必须统一着装，佩戴好工号牌，做到着装整洁，举止大方。</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、不准迟到、早退，不准串岗、脱岗，不做与工作无关的事，做到文明用语，礼貌待人，宽容忍让，互相协作。</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、工作期间必须保证各保洁区域内：</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）墙面光亮干净，无污垢、无积灰、无蜘蛛网。</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）地面清洁，无积水、无垃圾、无污垢、无卫生死角。</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）卫生间台盆、坐便器、便池、浴室保证清洁卫生，无异味、无污垢、无积水，及时更换垃圾袋（垃圾袋内垃圾不得超过三分之二）。</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）室内门、窗框、楼梯扶手干净，无灰尘、无污垢。</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）床、床头柜、设备带、窗台、餐板干净，无积灰、无污渍。</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）消防设施干净，无积灰。</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7)</w:t>
      </w:r>
      <w:r>
        <w:rPr>
          <w:rFonts w:hint="eastAsia" w:hAnsi="宋体"/>
          <w:color w:val="000000"/>
          <w:sz w:val="24"/>
          <w:szCs w:val="24"/>
          <w:highlight w:val="none"/>
          <w:lang w:val="en-US" w:eastAsia="zh-CN"/>
        </w:rPr>
        <w:t xml:space="preserve">电梯轿厢清洁，无积灰、无垃圾、无积水。</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外平台、雨棚清洁，无垃圾。</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9)</w:t>
      </w:r>
      <w:r>
        <w:rPr>
          <w:rFonts w:hint="eastAsia" w:hAnsi="宋体"/>
          <w:color w:val="000000"/>
          <w:sz w:val="24"/>
          <w:szCs w:val="24"/>
          <w:highlight w:val="none"/>
          <w:lang w:val="en-US" w:eastAsia="zh-CN"/>
        </w:rPr>
        <w:t xml:space="preserve">医院内、外场、停车场、花园、草丛保持清洁，无垃圾。</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（三）医院保洁工作考核细则</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加强对员工的业务培训，提高工作质量，改善服务态度，督促和检查各部门的工作情况，发现问题及时整改。使用部门每月一次对当月的内勤工作进行全面的考评和打分，每扣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分扣款</w:t>
      </w: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元。</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医院有关人员不定期对相关工作进行检查，对检查中发现的问题视情节轻重作出要求整改、扣款等处理，直至要求更换员工；发现一处扣款</w:t>
      </w:r>
      <w:r>
        <w:rPr>
          <w:rFonts w:hint="default" w:hAnsi="宋体"/>
          <w:color w:val="000000"/>
          <w:sz w:val="24"/>
          <w:szCs w:val="24"/>
          <w:highlight w:val="none"/>
          <w:lang w:val="en-US" w:eastAsia="zh-CN"/>
        </w:rPr>
        <w:t xml:space="preserve">50</w:t>
      </w:r>
      <w:r>
        <w:rPr>
          <w:rFonts w:hint="eastAsia" w:hAnsi="宋体"/>
          <w:color w:val="000000"/>
          <w:sz w:val="24"/>
          <w:szCs w:val="24"/>
          <w:highlight w:val="none"/>
          <w:lang w:val="en-US" w:eastAsia="zh-CN"/>
        </w:rPr>
        <w:t xml:space="preserve">元。</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在医院对住院病人满意度调查中涉及保洁工作不到位而扣分的，以及发生病人或使用部门投诉情况的，医院在核实情况后将做相应的处理。</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在医院的重大活动中发生保洁质量问题，对医院造成不良影响的，将对公司进行</w:t>
      </w:r>
      <w:r>
        <w:rPr>
          <w:rFonts w:hint="default" w:hAnsi="宋体"/>
          <w:color w:val="000000"/>
          <w:sz w:val="24"/>
          <w:szCs w:val="24"/>
          <w:highlight w:val="none"/>
          <w:lang w:val="en-US" w:eastAsia="zh-CN"/>
        </w:rPr>
        <w:t xml:space="preserve">100</w:t>
      </w: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500</w:t>
      </w:r>
      <w:r>
        <w:rPr>
          <w:rFonts w:hint="eastAsia" w:hAnsi="宋体"/>
          <w:color w:val="000000"/>
          <w:sz w:val="24"/>
          <w:szCs w:val="24"/>
          <w:highlight w:val="none"/>
          <w:lang w:val="en-US" w:eastAsia="zh-CN"/>
        </w:rPr>
        <w:t xml:space="preserve">元的罚款处理，并限期整改。</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公司应经常性地对员工进行教育，提高员工的基本素质。任何人员都不得私自将医院的任何物品带出院外，违者视情节轻重罚款</w:t>
      </w:r>
      <w:r>
        <w:rPr>
          <w:rFonts w:hint="default" w:hAnsi="宋体"/>
          <w:color w:val="000000"/>
          <w:sz w:val="24"/>
          <w:szCs w:val="24"/>
          <w:highlight w:val="none"/>
          <w:lang w:val="en-US" w:eastAsia="zh-CN"/>
        </w:rPr>
        <w:t xml:space="preserve">50</w:t>
      </w: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200</w:t>
      </w:r>
      <w:r>
        <w:rPr>
          <w:rFonts w:hint="eastAsia" w:hAnsi="宋体"/>
          <w:color w:val="000000"/>
          <w:sz w:val="24"/>
          <w:szCs w:val="24"/>
          <w:highlight w:val="none"/>
          <w:lang w:val="en-US" w:eastAsia="zh-CN"/>
        </w:rPr>
        <w:t xml:space="preserve">元，屡教不改者，立即开除。</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（四）各区域工作标准</w:t>
      </w:r>
      <w:r/>
    </w:p>
    <w:tbl>
      <w:tblPr>
        <w:tblStyle w:val="717"/>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04"/>
        <w:gridCol w:w="1089"/>
        <w:gridCol w:w="3145"/>
        <w:gridCol w:w="2984"/>
      </w:tblGrid>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区域</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服务质量标准</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要求</w:t>
            </w:r>
            <w:r/>
          </w:p>
        </w:tc>
      </w:tr>
      <w:tr>
        <w:trPr>
          <w:jc w:val="center"/>
          <w:trHeight w:val="400"/>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vMerge w:val="restart"/>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医</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院</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大环境</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做到</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六净</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。即路面净、路沿净、人行道净、树坑墙根净、雨水口净、宣传栏净；并做到果皮桶、垃圾箱外表无明显污迹，无垃圾粘附物，人工草坪无纸屑，院内无杂草。</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每天两次清扫；</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白班分段巡视，发现污水、杂物、痰渍及时清扫干净；</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及时清理雨后积水；</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区域内垃圾桶每天至少倾倒两次，并每天刷洗一次；</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明沟、暗沟每周彻底清理一次，如有堵塞情况，自发现时起，半小时内疏通；</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室外宣传牌护栏每天抹一次。</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院</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门</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目视无明显污渍。</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每天抹一次（不锈钢门用中性不锈钢清洁剂清洁保养）。</w:t>
            </w:r>
            <w:r/>
          </w:p>
        </w:tc>
      </w:tr>
      <w:tr>
        <w:trPr>
          <w:jc w:val="center"/>
          <w:trHeight w:val="400"/>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vMerge w:val="restart"/>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房</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屋</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棚</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顶</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无垃圾及杂物。</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每季至少清扫一次。</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304" w:type="dxa"/>
            <w:vAlign w:val="center"/>
            <w:vMerge w:val="restart"/>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门</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急</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诊</w:t>
            </w:r>
            <w:r/>
          </w:p>
        </w:tc>
        <w:tc>
          <w:tcPr>
            <w:shd w:val="clear" w:color="auto" w:fill="auto"/>
            <w:tcBorders>
              <w:top w:val="single" w:color="auto" w:sz="4" w:space="0"/>
              <w:left w:val="single" w:color="auto" w:sz="4" w:space="0"/>
              <w:bottom w:val="single" w:color="auto" w:sz="4" w:space="0"/>
              <w:right w:val="single" w:color="auto" w:sz="4" w:space="0"/>
            </w:tcBorders>
            <w:tcW w:w="1089"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诊室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检查室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留察室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抢救室</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室内整洁，墙壁无灰尘、蜘蛛网，墙裙踢脚线无污迹；地面干净、无杂物；窗户明亮；痰盂清洁，外表无痰迹；垃圾桶上盖、外表无污迹，垃圾无外溢。</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地面有杂物、纸屑等垃圾时，随时清除；</w:t>
            </w:r>
            <w:r>
              <w:rPr>
                <w:rFonts w:hint="default" w:hAnsi="宋体"/>
                <w:color w:val="000000"/>
                <w:sz w:val="24"/>
                <w:szCs w:val="24"/>
                <w:highlight w:val="none"/>
                <w:lang w:val="en-US" w:eastAsia="zh-CN"/>
              </w:rPr>
              <w:t xml:space="preserve"> 2.</w:t>
            </w:r>
            <w:r>
              <w:rPr>
                <w:rFonts w:hint="eastAsia" w:hAnsi="宋体"/>
                <w:color w:val="000000"/>
                <w:sz w:val="24"/>
                <w:szCs w:val="24"/>
                <w:highlight w:val="none"/>
                <w:lang w:val="en-US" w:eastAsia="zh-CN"/>
              </w:rPr>
              <w:t xml:space="preserve">每天用尘推推二次，尽量用最少的时间，达到清洁的效果，不影响医疗工作；</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每周用消毒液消毒地面一次；</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墙裙及踢脚线每周抹一次；</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室内灯具及空调每月抹一次，天花板每月除尘一次；</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内窗玻璃每月擦洗一次；外窗玻璃每两月擦洗一次；</w:t>
            </w:r>
            <w:r>
              <w:rPr>
                <w:rFonts w:hint="default" w:hAnsi="宋体"/>
                <w:color w:val="000000"/>
                <w:sz w:val="24"/>
                <w:szCs w:val="24"/>
                <w:highlight w:val="none"/>
                <w:lang w:val="en-US" w:eastAsia="zh-CN"/>
              </w:rPr>
              <w:t xml:space="preserve">7.</w:t>
            </w:r>
            <w:r>
              <w:rPr>
                <w:rFonts w:hint="eastAsia" w:hAnsi="宋体"/>
                <w:color w:val="000000"/>
                <w:sz w:val="24"/>
                <w:szCs w:val="24"/>
                <w:highlight w:val="none"/>
                <w:lang w:val="en-US" w:eastAsia="zh-CN"/>
              </w:rPr>
              <w:t xml:space="preserve">垃圾桶每天倾倒两次，表面每天擦洗一次；</w:t>
            </w: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各诊室候诊区桌椅等物每周用消毒液抹一次。</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304" w:type="dxa"/>
            <w:vAlign w:val="center"/>
            <w:vMerge w:val="continue"/>
            <w:textDirection w:val="lrTb"/>
            <w:noWrap/>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089"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候诊</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大厅</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地面清洁无杂物；候诊椅干净，无污迹，无灰尘。</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定期用全自动洗地机清洗，每周用消毒液消毒一次；</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每天用尘推推三次；随时巡视，及时清除地面杂物、痰迹等。</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304"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病</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室</w:t>
            </w:r>
            <w:r/>
          </w:p>
        </w:tc>
        <w:tc>
          <w:tcPr>
            <w:shd w:val="clear" w:color="auto" w:fill="auto"/>
            <w:tcBorders>
              <w:top w:val="single" w:color="auto" w:sz="4" w:space="0"/>
              <w:left w:val="single" w:color="auto" w:sz="4" w:space="0"/>
              <w:bottom w:val="single" w:color="auto" w:sz="4" w:space="0"/>
              <w:right w:val="single" w:color="auto" w:sz="4" w:space="0"/>
            </w:tcBorders>
            <w:tcW w:w="1089"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普通病房</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室内整洁，墙壁无灰尘、蛛网，墙裙踢脚线无污迹；地面干净、无杂物；门窗清洁、明亮；垃圾桶外表无污迹，垃圾无外溢；病床、床头柜、设备带、家具、家电无灰尘、无污迹；空气菌落计数≤</w:t>
            </w:r>
            <w:r>
              <w:rPr>
                <w:rFonts w:hint="default" w:hAnsi="宋体"/>
                <w:color w:val="000000"/>
                <w:sz w:val="24"/>
                <w:szCs w:val="24"/>
                <w:highlight w:val="none"/>
                <w:lang w:val="en-US" w:eastAsia="zh-CN"/>
              </w:rPr>
              <w:t xml:space="preserve">500cfu/M3</w:t>
            </w:r>
            <w:r>
              <w:rPr>
                <w:rFonts w:hint="eastAsia" w:hAnsi="宋体"/>
                <w:color w:val="000000"/>
                <w:sz w:val="24"/>
                <w:szCs w:val="24"/>
                <w:highlight w:val="none"/>
                <w:lang w:val="en-US" w:eastAsia="zh-CN"/>
              </w:rPr>
              <w:t xml:space="preserve">，物体表面菌落计数≤</w:t>
            </w:r>
            <w:r>
              <w:rPr>
                <w:rFonts w:hint="default" w:hAnsi="宋体"/>
                <w:color w:val="000000"/>
                <w:sz w:val="24"/>
                <w:szCs w:val="24"/>
                <w:highlight w:val="none"/>
                <w:lang w:val="en-US" w:eastAsia="zh-CN"/>
              </w:rPr>
              <w:t xml:space="preserve">10 cfu/ M3</w:t>
            </w:r>
            <w:r>
              <w:rPr>
                <w:rFonts w:hint="eastAsia" w:hAnsi="宋体"/>
                <w:color w:val="000000"/>
                <w:sz w:val="24"/>
                <w:szCs w:val="24"/>
                <w:highlight w:val="none"/>
                <w:lang w:val="en-US" w:eastAsia="zh-CN"/>
              </w:rPr>
              <w:t xml:space="preserve">；不得检出致病微生物。</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地面有杂物、纸屑等垃圾时，随时清除；</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地面保证一日二拖（上午上班前、下午上班前）；</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保证走廊一日早、中二拖；</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病床、床头柜、设备带、家具、家电等每天抹一次（每床一抹布），每个出院病人床单元终末消毒一次（包括病床）；</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病房卫生间洁具每天至少擦洗一次并用消毒液消毒；</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室内灯具及空调每月抹一次，天花板每月除尘一次；</w:t>
            </w:r>
            <w:r>
              <w:rPr>
                <w:rFonts w:hint="default" w:hAnsi="宋体"/>
                <w:color w:val="000000"/>
                <w:sz w:val="24"/>
                <w:szCs w:val="24"/>
                <w:highlight w:val="none"/>
                <w:lang w:val="en-US" w:eastAsia="zh-CN"/>
              </w:rPr>
              <w:t xml:space="preserve">7.</w:t>
            </w:r>
            <w:r>
              <w:rPr>
                <w:rFonts w:hint="eastAsia" w:hAnsi="宋体"/>
                <w:color w:val="000000"/>
                <w:sz w:val="24"/>
                <w:szCs w:val="24"/>
                <w:highlight w:val="none"/>
                <w:lang w:val="en-US" w:eastAsia="zh-CN"/>
              </w:rPr>
              <w:t xml:space="preserve">内窗玻璃每月擦洗一次；外窗玻璃每两月擦洗一次；</w:t>
            </w: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垃圾桶每天至少倾倒两次，垃圾不得溢出，及时更换垃圾袋，表面每天擦洗一次并消毒；生活垃圾使用黑色垃圾袋；</w:t>
            </w:r>
            <w:r>
              <w:rPr>
                <w:rFonts w:hint="default" w:hAnsi="宋体"/>
                <w:color w:val="000000"/>
                <w:sz w:val="24"/>
                <w:szCs w:val="24"/>
                <w:highlight w:val="none"/>
                <w:lang w:val="en-US" w:eastAsia="zh-CN"/>
              </w:rPr>
              <w:t xml:space="preserve">9.</w:t>
            </w:r>
            <w:r>
              <w:rPr>
                <w:rFonts w:hint="eastAsia" w:hAnsi="宋体"/>
                <w:color w:val="000000"/>
                <w:sz w:val="24"/>
                <w:szCs w:val="24"/>
                <w:highlight w:val="none"/>
                <w:lang w:val="en-US" w:eastAsia="zh-CN"/>
              </w:rPr>
              <w:t xml:space="preserve">卫生工具按办公区、病房、走道、厕所等分别固定使用和放置。</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医护办公室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检查室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化验室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值班室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处置室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更衣室</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室内整洁有序；地面无灰尘、无杂物，墙面无蛛网。</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定期用全自动洗地机全面清洗地面并用消毒液消毒；</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每天用湿尘推拖地二次，尽量用最少的时间，达到清洁的效果，不影响正常工作；</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办公桌椅每天抹一次（抹布分室使用）。</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垃圾篓每天倾倒二次，及时更换垃圾袋，每周清洗一次；</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内窗玻璃每月清洁一次；</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外窗玻璃每两月清洁一次；</w:t>
            </w:r>
            <w:r>
              <w:rPr>
                <w:rFonts w:hint="default" w:hAnsi="宋体"/>
                <w:color w:val="000000"/>
                <w:sz w:val="24"/>
                <w:szCs w:val="24"/>
                <w:highlight w:val="none"/>
                <w:lang w:val="en-US" w:eastAsia="zh-CN"/>
              </w:rPr>
              <w:t xml:space="preserve"> 7.</w:t>
            </w:r>
            <w:r>
              <w:rPr>
                <w:rFonts w:hint="eastAsia" w:hAnsi="宋体"/>
                <w:color w:val="000000"/>
                <w:sz w:val="24"/>
                <w:szCs w:val="24"/>
                <w:highlight w:val="none"/>
                <w:lang w:val="en-US" w:eastAsia="zh-CN"/>
              </w:rPr>
              <w:t xml:space="preserve">灯罩每两月清洁一次；</w:t>
            </w: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空调进出风口每季度清洗一次。</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治疗室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换药室</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基本要求同上，地面无药迹；治疗台、治疗车（盘）、药车无灰尘、无药迹，车轮无头发及杂物缠绕。</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定期每周用全自动洗地车全面清洁；并用消毒液消毒；</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每天清扫地面二次，清扫后用湿尘推拖地两次；</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每天用消毒液对治疗台、治疗车（盘）及药车进行保洁处理；每周清理车轮一次，每月用润滑油对车轮进行保养。</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处置室</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基本要求同上</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按院感科要求分类清理垃圾。</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门厅</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走廊</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楼梯</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通道</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大理石地面清洁光亮、无污渍；</w:t>
            </w:r>
            <w:r>
              <w:rPr>
                <w:rFonts w:hint="default" w:hAnsi="宋体"/>
                <w:color w:val="000000"/>
                <w:sz w:val="24"/>
                <w:szCs w:val="24"/>
                <w:highlight w:val="none"/>
                <w:lang w:val="en-US" w:eastAsia="zh-CN"/>
              </w:rPr>
              <w:t xml:space="preserve">PVC</w:t>
            </w:r>
            <w:r>
              <w:rPr>
                <w:rFonts w:hint="eastAsia" w:hAnsi="宋体"/>
                <w:color w:val="000000"/>
                <w:sz w:val="24"/>
                <w:szCs w:val="24"/>
                <w:highlight w:val="none"/>
                <w:lang w:val="en-US" w:eastAsia="zh-CN"/>
              </w:rPr>
              <w:t xml:space="preserve">地面清洁光亮、无污渍；墙面干净；楼梯扶手无积灰、无污渍。</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每天用全自动洗地车或擦地机清洗地面；</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每天用湿尘推拖地二次；</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每天随时巡视，及时清理地面杂物及痰迹等；</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楼梯每天拖地一次，扶手及不锈钢每天抹灰一次，不锈钢体每周用清洁液或光亮剂保养一次。</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监护室、手术室</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同普通病房；</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室内整洁，地面无杂物，窗户明亮，病床、床头柜、设施设备无灰尘无污迹。</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同普通病房；</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监护室、手术室每周末彻底全面大扫除和消毒一次；</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监护室、手术室推车每日用消毒液擦拭一次。</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电</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梯</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轿厢内无杂物，无污迹；厢体不锈钢表面无灰尘。</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每天清扫并用尘推清洁电梯轿厢多次；</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每天抹电梯一次；</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每天用中性不锈钢清洁剂清洁厢体并保养一次；</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电梯门槽每天清扫一次。</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公共卫生间</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地面无烟头、纸屑、果皮、污渍、积水；天花板、墙角、灯具目视无灰尘和蜘蛛网；瓷砖干净；便池便器洁净无黄渍；台盆清洁；门窗清洁、明亮；室内无异味臭味。</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每天上、下午上班后清洁便器、台盆；</w:t>
            </w:r>
            <w:r>
              <w:rPr>
                <w:rFonts w:hint="default" w:hAnsi="宋体"/>
                <w:color w:val="000000"/>
                <w:sz w:val="24"/>
                <w:szCs w:val="24"/>
                <w:highlight w:val="none"/>
                <w:lang w:val="en-US" w:eastAsia="zh-CN"/>
              </w:rPr>
              <w:t xml:space="preserve"> 2.</w:t>
            </w:r>
            <w:r>
              <w:rPr>
                <w:rFonts w:hint="eastAsia" w:hAnsi="宋体"/>
                <w:color w:val="000000"/>
                <w:sz w:val="24"/>
                <w:szCs w:val="24"/>
                <w:highlight w:val="none"/>
                <w:lang w:val="en-US" w:eastAsia="zh-CN"/>
              </w:rPr>
              <w:t xml:space="preserve">每小时清洁地面一次，并冲洗便器；</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清洗完后点好卫生香或使用喷香机；</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每天消毒一次便器、台盆；</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及时更换垃圾袋。</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每周清洁一次墙面、门窗及天花板。</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天台露台</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地面无垃圾，排水沟无积水，无重油，管道无堵塞。</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每日清理露台二次，地面无烟头、杂物。</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每周巡查一次排水沟，及时疏通排水管道；</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每周清理天台一次，清扫烟头、垃圾及积水。</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生活垃圾、医用垃圾的收集、清理</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垃圾分类收集，及时清理，防止污染扩散；垃圾桶每天清洗并消毒，堆放整齐；垃圾房每天冲洗，保持整洁。</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生活垃圾房由绿色可移动式垃圾桶组成，避免异味及污染，杜绝四害繁殖，经常清洗；</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医用垃圾必须在院内感染科的监管下，严格用专用黄色垃圾袋收集医用垃圾，黄色可移动式垃圾桶密封转运；</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严禁在运输过程中出现抛洒滴漏现象；</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正确佩戴防护用品；</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按规范每天认真做好登记；</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医疗垃圾桶每天清洗、消毒两次；</w:t>
            </w:r>
            <w:r>
              <w:rPr>
                <w:rFonts w:hint="default" w:hAnsi="宋体"/>
                <w:color w:val="000000"/>
                <w:sz w:val="24"/>
                <w:szCs w:val="24"/>
                <w:highlight w:val="none"/>
                <w:lang w:val="en-US" w:eastAsia="zh-CN"/>
              </w:rPr>
              <w:t xml:space="preserve">7.</w:t>
            </w:r>
            <w:r>
              <w:rPr>
                <w:rFonts w:hint="eastAsia" w:hAnsi="宋体"/>
                <w:color w:val="000000"/>
                <w:sz w:val="24"/>
                <w:szCs w:val="24"/>
                <w:highlight w:val="none"/>
                <w:lang w:val="en-US" w:eastAsia="zh-CN"/>
              </w:rPr>
              <w:t xml:space="preserve">垃圾桶堆放整齐；</w:t>
            </w: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垃圾房每天冲洗两次，保持整洁。</w:t>
            </w:r>
            <w:r/>
          </w:p>
        </w:tc>
      </w:tr>
    </w:tbl>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（五）保洁服务质量考核细则</w:t>
      </w:r>
      <w:r/>
    </w:p>
    <w:tbl>
      <w:tblPr>
        <w:tblStyle w:val="717"/>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4"/>
        <w:gridCol w:w="3797"/>
        <w:gridCol w:w="850"/>
        <w:gridCol w:w="3146"/>
        <w:gridCol w:w="783"/>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病区保洁管理（</w:t>
            </w:r>
            <w:r>
              <w:rPr>
                <w:rFonts w:hint="default" w:hAnsi="宋体"/>
                <w:color w:val="000000"/>
                <w:sz w:val="24"/>
                <w:szCs w:val="24"/>
                <w:highlight w:val="none"/>
                <w:lang w:val="en-US" w:eastAsia="zh-CN"/>
              </w:rPr>
              <w:t xml:space="preserve">100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分数</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质量考核扣分内容</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得分</w:t>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病区</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保洁</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管理</w:t>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（一）综合管理</w:t>
            </w: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分</w:t>
            </w:r>
            <w:r>
              <w:rPr>
                <w:rFonts w:hint="default" w:hAnsi="宋体"/>
                <w:color w:val="000000"/>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员工仪表端正、着工装、佩戴工牌。热情服务，规范服务。严格遵守劳动纪律，做好班前准备，在岗在位，文明礼貌，言行举止符合规范要求。</w:t>
            </w:r>
            <w:r>
              <w:rPr>
                <w:rFonts w:hint="default" w:hAnsi="宋体"/>
                <w:color w:val="000000"/>
                <w:sz w:val="24"/>
                <w:szCs w:val="24"/>
                <w:highlight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未按规定着装、仪表仪容、规范服务不符合要求，一次一项扣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分。违反劳动纪律、规章制度要求一次扣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部门职责明确，各项管理服务制度健全，内容印制上墙。</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制度不明确、制度不健全扣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分，制度未上墙一处扣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各岗位员工工作内容、操作流程符合规定要求，工作规范，作风严谨，并严格按规范标准要求进行操作。</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岗位内容不全，操作流程不规范，未按规范标准操作一次一项扣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有完善的员工培训计划并组织实施。</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无员工培训计划扣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分，未组织实施扣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Height w:val="469"/>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按规定不擅自将医院的物品带回。</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违规者扣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（二）病区保洁（</w:t>
            </w:r>
            <w:r>
              <w:rPr>
                <w:rFonts w:hint="default" w:hAnsi="宋体"/>
                <w:color w:val="000000"/>
                <w:sz w:val="24"/>
                <w:szCs w:val="24"/>
                <w:highlight w:val="none"/>
                <w:lang w:val="en-US" w:eastAsia="zh-CN"/>
              </w:rPr>
              <w:t xml:space="preserve">40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环境清洁设施齐全，设有垃圾箱、清洁清扫工具等。</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每发现一项配备不齐，扣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Height w:val="1884"/>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清洁卫生各责任范围明确到人，清洁区内清洁保洁达到服务标准。清洁员着装统一、工作仔细、形象良好，并积极主动学习新的保洁知识，提高保洁、清洁技术。清洁工人数应按合同要求配备充足。</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责任范围不明确的扣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分，清洁保洁不符合标准每个点位扣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分，着装不统一、形象不佳，每人次扣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分，保洁美化培训工作有计划无落实或无计划，扣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分。清洁工未按要求配备</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每缺一人扣</w:t>
            </w:r>
            <w:r>
              <w:rPr>
                <w:rFonts w:hint="default" w:hAnsi="宋体"/>
                <w:color w:val="000000"/>
                <w:sz w:val="24"/>
                <w:szCs w:val="24"/>
                <w:highlight w:val="none"/>
                <w:lang w:val="en-US" w:eastAsia="zh-CN"/>
              </w:rPr>
              <w:t xml:space="preserve">2000</w:t>
            </w:r>
            <w:r>
              <w:rPr>
                <w:rFonts w:hint="eastAsia" w:hAnsi="宋体"/>
                <w:color w:val="000000"/>
                <w:sz w:val="24"/>
                <w:szCs w:val="24"/>
                <w:highlight w:val="none"/>
                <w:lang w:val="en-US" w:eastAsia="zh-CN"/>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规范服务，打扫卫生时不可影响他人工作或病人休息，根据不同情况执行相应的作业规程，按照室内、卫生间内等清洁标准完成保洁工作。进行清洁工作时，物品轻拿轻放，移动的东西要恢复原位，不得损坏物品。</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不服从管理、不礼貌扣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分，发现在无菌区和污染区或传染病和非传染病区交叉作业扣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分，将污染区的物品带入无菌区扣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分，不同的地方都应配置清洁用品，不得混用，发现一次，扣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分。室内清洁方面，玻璃、桌面及角落有灰尘、污迹、水渍，均扣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分。如某责任区卫生普遍差，扣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分，并追究责任。损坏物品要按价赔偿，并扣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大厅、走廊、楼梯干净明亮，无纸屑、果皮、污渍，垃圾盖上不得堆有垃圾，筒内的垃圾不能超过</w:t>
            </w:r>
            <w:r>
              <w:rPr>
                <w:rFonts w:hint="default" w:hAnsi="宋体"/>
                <w:color w:val="000000"/>
                <w:sz w:val="24"/>
                <w:szCs w:val="24"/>
                <w:highlight w:val="none"/>
                <w:lang w:val="en-US" w:eastAsia="zh-CN"/>
              </w:rPr>
              <w:t xml:space="preserve">2/3</w:t>
            </w:r>
            <w:r>
              <w:rPr>
                <w:rFonts w:hint="eastAsia" w:hAnsi="宋体"/>
                <w:color w:val="000000"/>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地面无保洁、有痰迹、卫生设施有污渍。各转角处有蜘蛛网、积尘垃圾堆积，均扣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Height w:val="6211"/>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医生、护士办公室、更衣室、值班室室内保持干净、清爽，无积尘及其他杂物。</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治疗室：水池台面清洁、无积水、周围无霉斑，治疗室内干净卫生、无污渍及异味。</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7.</w:t>
            </w:r>
            <w:r>
              <w:rPr>
                <w:rFonts w:hint="eastAsia" w:hAnsi="宋体"/>
                <w:color w:val="000000"/>
                <w:sz w:val="24"/>
                <w:szCs w:val="24"/>
                <w:highlight w:val="none"/>
                <w:lang w:val="en-US" w:eastAsia="zh-CN"/>
              </w:rPr>
              <w:t xml:space="preserve">病房：床头柜等无污迹、灰尘和杂物；地面清洁、无污渍及垃圾，墙面洁净，工作时不得影响病人休息，清洁完毕后将物品复位。并按照不同科室的要求做好保洁工作。</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洗手间：无异味、无积水及污渍，坐厕隔板消毒干净，镜子镜面无污渍、手印。</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墙面、玻璃窗、天花板、灯饰等有灰尘蜘蛛网，桌椅台面有污迹灰尘。地面杂物，垃圾篓清理不及时，物品摆放杂乱无序，发现一项扣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Height w:val="12264"/>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门诊</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保洁</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管理</w:t>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9.</w:t>
            </w:r>
            <w:r>
              <w:rPr>
                <w:rFonts w:hint="eastAsia" w:hAnsi="宋体"/>
                <w:color w:val="000000"/>
                <w:sz w:val="24"/>
                <w:szCs w:val="24"/>
                <w:highlight w:val="none"/>
                <w:lang w:val="en-US" w:eastAsia="zh-CN"/>
              </w:rPr>
              <w:t xml:space="preserve">处置室：地面整洁、干净，垃圾清倒及时，无异味散发、污洗室要分清各类工具的摆放区域及具体位置，并有明显的标识；水池无垃圾无积水，无乱摆、乱挂现象，并根据科室要求，做好职责范围内的其它工作。</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开水间：地面无垃圾、积水，有警示标识。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11.</w:t>
            </w:r>
            <w:r>
              <w:rPr>
                <w:rFonts w:hint="eastAsia" w:hAnsi="宋体"/>
                <w:color w:val="000000"/>
                <w:sz w:val="24"/>
                <w:szCs w:val="24"/>
                <w:highlight w:val="none"/>
                <w:lang w:val="en-US" w:eastAsia="zh-CN"/>
              </w:rPr>
              <w:t xml:space="preserve">货梯前垃圾桶：冲洗干净，摆放整齐。地面洁净不积水，每天至少清洗</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次，确保无异味。配餐梯前无污迹及杂物。</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12.PVC</w:t>
            </w:r>
            <w:r>
              <w:rPr>
                <w:rFonts w:hint="eastAsia" w:hAnsi="宋体"/>
                <w:color w:val="000000"/>
                <w:sz w:val="24"/>
                <w:szCs w:val="24"/>
                <w:highlight w:val="none"/>
                <w:lang w:val="en-US" w:eastAsia="zh-CN"/>
              </w:rPr>
              <w:t xml:space="preserve">地面：每年至少打蜡</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次。</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13.</w:t>
            </w:r>
            <w:r>
              <w:rPr>
                <w:rFonts w:hint="eastAsia" w:hAnsi="宋体"/>
                <w:color w:val="000000"/>
                <w:sz w:val="24"/>
                <w:szCs w:val="24"/>
                <w:highlight w:val="none"/>
                <w:lang w:val="en-US" w:eastAsia="zh-CN"/>
              </w:rPr>
              <w:t xml:space="preserve">楼内的地面</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含楼梯</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：保持干燥，尤其雨天要加强管理，设有警示标识，防止跌倒。</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14.</w:t>
            </w:r>
            <w:r>
              <w:rPr>
                <w:rFonts w:hint="eastAsia" w:hAnsi="宋体"/>
                <w:color w:val="000000"/>
                <w:sz w:val="24"/>
                <w:szCs w:val="24"/>
                <w:highlight w:val="none"/>
                <w:lang w:val="en-US" w:eastAsia="zh-CN"/>
              </w:rPr>
              <w:t xml:space="preserve">地面有水迹，防滑标识到位。</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设备清洁无污渍，谨慎操作，防止损坏。地面药渍、血渍、杂物等及时清理。玻璃明亮无污，达不到，每项扣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面有水迹污物，面盆有污渍，水龙头生锈等，均扣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分，大小便池有污物清洗不净阻塞，卫生球没有及时更换有异味，均扣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分，手纸、洗手液没有及时更换，墙面有污渍、手印，均扣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地面有垃圾、水迹、清洁工具放置混乱无标识分类，水池清洗不净，堵塞没及时疏通，及其它不符合规范要求，每项扣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因天气等原因地面湿滑未尽告知义务或采取相应措施，致使人员滑到受伤扣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分，并承担由此而引发的其他责任。</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（三）门急诊保洁（</w:t>
            </w:r>
            <w:r>
              <w:rPr>
                <w:rFonts w:hint="default" w:hAnsi="宋体"/>
                <w:color w:val="000000"/>
                <w:sz w:val="24"/>
                <w:szCs w:val="24"/>
                <w:highlight w:val="none"/>
                <w:lang w:val="en-US" w:eastAsia="zh-CN"/>
              </w:rPr>
              <w:t xml:space="preserve">20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诊疗室地面、楼道、厕所、急诊、观察室、输液室、电梯等整洁地面清洁、干燥，厕所无臭味。垃圾桶周围无污迹。</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不符合一项，扣</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（四）外围保洁（</w:t>
            </w:r>
            <w:r>
              <w:rPr>
                <w:rFonts w:hint="default" w:hAnsi="宋体"/>
                <w:color w:val="000000"/>
                <w:sz w:val="24"/>
                <w:szCs w:val="24"/>
                <w:highlight w:val="none"/>
                <w:lang w:val="en-US" w:eastAsia="zh-CN"/>
              </w:rPr>
              <w:t xml:space="preserve">20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路面无明显泥沙、污垢，每</w:t>
            </w:r>
            <w:r>
              <w:rPr>
                <w:rFonts w:hint="default" w:hAnsi="宋体"/>
                <w:color w:val="000000"/>
                <w:sz w:val="24"/>
                <w:szCs w:val="24"/>
                <w:highlight w:val="none"/>
                <w:lang w:val="en-US" w:eastAsia="zh-CN"/>
              </w:rPr>
              <w:t xml:space="preserve">100</w:t>
            </w:r>
            <w:r>
              <w:rPr>
                <w:rFonts w:hint="eastAsia" w:hAnsi="宋体"/>
                <w:color w:val="000000"/>
                <w:sz w:val="24"/>
                <w:szCs w:val="24"/>
                <w:highlight w:val="none"/>
                <w:lang w:val="en-US" w:eastAsia="zh-CN"/>
              </w:rPr>
              <w:t xml:space="preserve">平方米内烟头纸屑平均不超过</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处。</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不符合，扣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标识牌、公共设施目视无明显灰尘。平台、转换层及裙楼平台无积水、杂物，无垃圾、无青苔、无积水、无污迹，明沟通畅。</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Height w:val="727"/>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宣传栏、无污迹，无乱张贴现象。</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外墙</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幕墙</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面目视无污迹，每年清洗</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次，玻璃面无灰尘，铁栏上无铁锈。</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垃圾池和垃圾箱按规定及时清运，无积水，清运后及时冲洗，场地没臭味。</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（五）除“四害”消杀（</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至少每年对全院环境进行</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次全面消杀工作，并做好记录，确保“四害”密度控制在国家规定的标准范围内。</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无按时消杀，扣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分，院内发现老鼠、蟑螂及蚊蝇孳生地，扣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分，并追究责任。</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（六）综合服务满意度（</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整体服务月平均满意度（医护人员、住院病人）不得低于</w:t>
            </w:r>
            <w:r>
              <w:rPr>
                <w:rFonts w:hint="default" w:hAnsi="宋体"/>
                <w:color w:val="000000"/>
                <w:sz w:val="24"/>
                <w:szCs w:val="24"/>
                <w:highlight w:val="none"/>
                <w:lang w:val="en-US" w:eastAsia="zh-CN"/>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每低于</w:t>
            </w:r>
            <w:r>
              <w:rPr>
                <w:rFonts w:hint="default" w:hAnsi="宋体"/>
                <w:color w:val="000000"/>
                <w:sz w:val="24"/>
                <w:szCs w:val="24"/>
                <w:highlight w:val="none"/>
                <w:lang w:val="en-US" w:eastAsia="zh-CN"/>
              </w:rPr>
              <w:t xml:space="preserve">85%</w:t>
            </w:r>
            <w:r>
              <w:rPr>
                <w:rFonts w:hint="eastAsia" w:hAnsi="宋体"/>
                <w:color w:val="000000"/>
                <w:sz w:val="24"/>
                <w:szCs w:val="24"/>
                <w:highlight w:val="none"/>
                <w:lang w:val="en-US" w:eastAsia="zh-CN"/>
              </w:rPr>
              <w:t xml:space="preserve">一个点</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低于</w:t>
            </w:r>
            <w:r>
              <w:rPr>
                <w:rFonts w:hint="default" w:hAnsi="宋体"/>
                <w:color w:val="000000"/>
                <w:sz w:val="24"/>
                <w:szCs w:val="24"/>
                <w:highlight w:val="none"/>
                <w:lang w:val="en-US" w:eastAsia="zh-CN"/>
              </w:rPr>
              <w:t xml:space="preserve">80%</w:t>
            </w:r>
            <w:r>
              <w:rPr>
                <w:rFonts w:hint="eastAsia" w:hAnsi="宋体"/>
                <w:color w:val="000000"/>
                <w:sz w:val="24"/>
                <w:szCs w:val="24"/>
                <w:highlight w:val="none"/>
                <w:lang w:val="en-US" w:eastAsia="zh-CN"/>
              </w:rPr>
              <w:t xml:space="preserve">给予一个点扣款</w:t>
            </w:r>
            <w:r>
              <w:rPr>
                <w:rFonts w:hint="default" w:hAnsi="宋体"/>
                <w:color w:val="000000"/>
                <w:sz w:val="24"/>
                <w:szCs w:val="24"/>
                <w:highlight w:val="none"/>
                <w:lang w:val="en-US" w:eastAsia="zh-CN"/>
              </w:rPr>
              <w:t xml:space="preserve">100</w:t>
            </w:r>
            <w:r>
              <w:rPr>
                <w:rFonts w:hint="eastAsia" w:hAnsi="宋体"/>
                <w:color w:val="000000"/>
                <w:sz w:val="24"/>
                <w:szCs w:val="24"/>
                <w:highlight w:val="none"/>
                <w:lang w:val="en-US" w:eastAsia="zh-CN"/>
              </w:rPr>
              <w:t xml:space="preserve">元处罚。</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bl>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（六）陪检运送服务要求</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1</w:t>
      </w:r>
      <w:r>
        <w:rPr>
          <w:rFonts w:hint="eastAsia" w:hAnsi="宋体"/>
          <w:color w:val="000000"/>
          <w:sz w:val="24"/>
          <w:szCs w:val="24"/>
          <w:highlight w:val="none"/>
          <w:lang w:eastAsia="zh-CN"/>
        </w:rPr>
        <w:t xml:space="preserve">）服务内容：</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陪检服务：负责完成病员的检查任务，并实行全程陪同，在护送病人检查过程中，</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要确保病人安全、稳定、到位，防止意外发生。</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送检标本：负责收集送检各种化验标本，工作中要细心认真核对，防止损坏标本，不出差错。</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送药退药：及时有效地做好送药退药工作，确保病人及时用药，并做好交接签字工作，防止发生差错。</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供应物资：负责病区物品，材料的报损、领取工作，确保临床使用，抢救物品随叫随到。</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、应急服务：负责应急病区各项突发工作，如加床、拆床、借抢救物品等。</w:t>
      </w:r>
      <w:r>
        <w:rPr>
          <w:rFonts w:hint="default" w:hAnsi="宋体"/>
          <w:color w:val="000000"/>
          <w:sz w:val="24"/>
          <w:szCs w:val="24"/>
          <w:highlight w:val="none"/>
          <w:lang w:val="en-US" w:eastAsia="zh-CN"/>
        </w:rPr>
        <w:t xml:space="preserve">                            </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2</w:t>
      </w:r>
      <w:r>
        <w:rPr>
          <w:rFonts w:hint="eastAsia" w:hAnsi="宋体"/>
          <w:color w:val="000000"/>
          <w:sz w:val="24"/>
          <w:szCs w:val="24"/>
          <w:highlight w:val="none"/>
          <w:lang w:eastAsia="zh-CN"/>
        </w:rPr>
        <w:t xml:space="preserve">）服务标准：</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急查标本、急送会诊单、通知单、急求药品、必须及时迅速处理。</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领取的各类药品、办公用品、医用品等物品应准确无遗漏无差错，贵重药品必须有经手人签字。</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外勤人员不得私自拿药，不得变卖病人药品，不得私自收费，不得延误时间。</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（七）陪检运送服务质量考核细则</w:t>
      </w:r>
      <w:r/>
    </w:p>
    <w:tbl>
      <w:tblPr>
        <w:tblStyle w:val="717"/>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0"/>
        <w:gridCol w:w="3780"/>
        <w:gridCol w:w="720"/>
        <w:gridCol w:w="3060"/>
        <w:gridCol w:w="1080"/>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陪检运送管理（</w:t>
            </w:r>
            <w:r>
              <w:rPr>
                <w:rFonts w:hint="default" w:hAnsi="宋体"/>
                <w:color w:val="000000"/>
                <w:sz w:val="24"/>
                <w:szCs w:val="24"/>
                <w:highlight w:val="none"/>
                <w:lang w:val="en-US" w:eastAsia="zh-CN"/>
              </w:rPr>
              <w:t xml:space="preserve">100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分数</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质量考核扣分内容</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得分</w:t>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陪检运送服务</w:t>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（一）综合管理</w:t>
            </w: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分</w:t>
            </w:r>
            <w:r>
              <w:rPr>
                <w:rFonts w:hint="default" w:hAnsi="宋体"/>
                <w:color w:val="000000"/>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员工仪表端正、着工装、佩戴工牌。热情服务，规范服务。严格遵守劳动纪律，做好班前准备，在岗在位，文明礼貌，言行举止符合规范要求。</w:t>
            </w:r>
            <w:r>
              <w:rPr>
                <w:rFonts w:hint="default" w:hAnsi="宋体"/>
                <w:color w:val="000000"/>
                <w:sz w:val="24"/>
                <w:szCs w:val="24"/>
                <w:highlight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未按规定着装、仪表仪容、规范服务不符合要求，一次一项扣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分。违反劳动纪律、规章制度要求一次扣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部门职责明确，各项管理服务制度健全，内容印制上墙。</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制度不明确、制度不健全扣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分，制度未上墙一处扣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各岗位员工工作内容、操作流程符合规定要求，工作规范，作风严谨，并严格按规范标准要求进行操作。</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岗位内容不全，操作流程不规范，未按规范标准操作一次一项扣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有完善的员工培训计划并组织实施。</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无员工培训计划扣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分，未组织实施扣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按规定不擅自将医院的物品带回。</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违规者扣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（二）运送管理（</w:t>
            </w:r>
            <w:r>
              <w:rPr>
                <w:rFonts w:hint="default" w:hAnsi="宋体"/>
                <w:color w:val="000000"/>
                <w:sz w:val="24"/>
                <w:szCs w:val="24"/>
                <w:highlight w:val="none"/>
                <w:lang w:val="en-US" w:eastAsia="zh-CN"/>
              </w:rPr>
              <w:t xml:space="preserve">85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严格执行“核查”制度，防止差错发生。</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未执行制度要求，违规一次扣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严格执行感染控制要求和消毒隔离制度，防止交叉感染。</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未执行制度要求，违规一次扣</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标本：</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）按时收集各病区的各种标本，并正确无误的将报告发到各病区。</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）执行急、平、常规的收集流程，特别是急查的标本接到临床需求要在</w:t>
            </w:r>
            <w:r>
              <w:rPr>
                <w:rFonts w:hint="default" w:hAnsi="宋体"/>
                <w:color w:val="000000"/>
                <w:sz w:val="24"/>
                <w:szCs w:val="24"/>
                <w:highlight w:val="none"/>
                <w:lang w:val="en-US" w:eastAsia="zh-CN"/>
              </w:rPr>
              <w:t xml:space="preserve">15</w:t>
            </w:r>
            <w:r>
              <w:rPr>
                <w:rFonts w:hint="eastAsia" w:hAnsi="宋体"/>
                <w:color w:val="000000"/>
                <w:sz w:val="24"/>
                <w:szCs w:val="24"/>
                <w:highlight w:val="none"/>
                <w:lang w:val="en-US" w:eastAsia="zh-CN"/>
              </w:rPr>
              <w:t xml:space="preserve">分钟内送验；</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）登记、签收，做到准确、及时。</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陪检：</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）对住院病人分病重、一级、卧床、生活不能自理进行陪检。</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）认真查对病区、床号、姓名、检查项目、检查治疗前的准备，并注意保护病人隐私。</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）一般情况按急诊、预约（空腹、浅表及饮水）、普通的顺序，以缩短病人等候时间。</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）重病人必须有医护人员陪同。</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）检查运输工具，保持良好功能，注意工具的清洁、消毒，防止交叉感染。</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）注意病人的安全，系好安全带。运送前向病人及家属做好告知工作。</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运送途中发生跌倒、坠床由公司承担一切责任。新病床不能出新综合楼，发生一次扣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由于员工运送不当，发生病人坠床，一切后果由公司承担。</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领物、送物：</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）科室随时急用的要随叫随到。</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）领取各类物品，针剂、口服药及借用、归还抢救设备等，按要求送到相关病区。</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）针剂药品要注意包装，运送途中要防止碰撞、避免破损、丢失。由于运送不当者，由当事人全额赔偿。</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）取血时按要求立即送病区，交护士再次核对。</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）要与科室对接，签收。</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对于急的送检没有在</w:t>
            </w:r>
            <w:r>
              <w:rPr>
                <w:rFonts w:hint="default" w:hAnsi="宋体"/>
                <w:color w:val="000000"/>
                <w:sz w:val="24"/>
                <w:szCs w:val="24"/>
                <w:highlight w:val="none"/>
                <w:lang w:val="en-US" w:eastAsia="zh-CN"/>
              </w:rPr>
              <w:t xml:space="preserve">15</w:t>
            </w:r>
            <w:r>
              <w:rPr>
                <w:rFonts w:hint="eastAsia" w:hAnsi="宋体"/>
                <w:color w:val="000000"/>
                <w:sz w:val="24"/>
                <w:szCs w:val="24"/>
                <w:highlight w:val="none"/>
                <w:lang w:val="en-US" w:eastAsia="zh-CN"/>
              </w:rPr>
              <w:t xml:space="preserve">分钟内到达者，扣一次</w:t>
            </w:r>
            <w:r>
              <w:rPr>
                <w:rFonts w:hint="default" w:hAnsi="宋体"/>
                <w:color w:val="000000"/>
                <w:sz w:val="24"/>
                <w:szCs w:val="24"/>
                <w:highlight w:val="none"/>
                <w:lang w:val="en-US" w:eastAsia="zh-CN"/>
              </w:rPr>
              <w:t xml:space="preserve">50</w:t>
            </w:r>
            <w:r>
              <w:rPr>
                <w:rFonts w:hint="eastAsia" w:hAnsi="宋体"/>
                <w:color w:val="000000"/>
                <w:sz w:val="24"/>
                <w:szCs w:val="24"/>
                <w:highlight w:val="none"/>
                <w:lang w:val="en-US" w:eastAsia="zh-CN"/>
              </w:rPr>
              <w:t xml:space="preserve">元。</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文书：</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）按要求、按流程收集各科室的文书如报表、危重病人通知单等</w:t>
            </w:r>
            <w:r>
              <w:rPr>
                <w:rFonts w:hint="default" w:hAnsi="宋体"/>
                <w:color w:val="000000"/>
                <w:sz w:val="24"/>
                <w:szCs w:val="24"/>
                <w:highlight w:val="none"/>
                <w:lang w:val="en-US" w:eastAsia="zh-CN"/>
              </w:rPr>
              <w:t xml:space="preserve">.</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）将各种文书分别送到相应的科室。</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（三）综合服务满意度（</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整体服务月平均满意度（医护人员、住院病人）不得低于</w:t>
            </w:r>
            <w:r>
              <w:rPr>
                <w:rFonts w:hint="default" w:hAnsi="宋体"/>
                <w:color w:val="000000"/>
                <w:sz w:val="24"/>
                <w:szCs w:val="24"/>
                <w:highlight w:val="none"/>
                <w:lang w:val="en-US" w:eastAsia="zh-CN"/>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每低于</w:t>
            </w:r>
            <w:r>
              <w:rPr>
                <w:rFonts w:hint="default" w:hAnsi="宋体"/>
                <w:color w:val="000000"/>
                <w:sz w:val="24"/>
                <w:szCs w:val="24"/>
                <w:highlight w:val="none"/>
                <w:lang w:val="en-US" w:eastAsia="zh-CN"/>
              </w:rPr>
              <w:t xml:space="preserve">85%</w:t>
            </w:r>
            <w:r>
              <w:rPr>
                <w:rFonts w:hint="eastAsia" w:hAnsi="宋体"/>
                <w:color w:val="000000"/>
                <w:sz w:val="24"/>
                <w:szCs w:val="24"/>
                <w:highlight w:val="none"/>
                <w:lang w:val="en-US" w:eastAsia="zh-CN"/>
              </w:rPr>
              <w:t xml:space="preserve">一个点</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低于</w:t>
            </w:r>
            <w:r>
              <w:rPr>
                <w:rFonts w:hint="default" w:hAnsi="宋体"/>
                <w:color w:val="000000"/>
                <w:sz w:val="24"/>
                <w:szCs w:val="24"/>
                <w:highlight w:val="none"/>
                <w:lang w:val="en-US" w:eastAsia="zh-CN"/>
              </w:rPr>
              <w:t xml:space="preserve">80%</w:t>
            </w:r>
            <w:r>
              <w:rPr>
                <w:rFonts w:hint="eastAsia" w:hAnsi="宋体"/>
                <w:color w:val="000000"/>
                <w:sz w:val="24"/>
                <w:szCs w:val="24"/>
                <w:highlight w:val="none"/>
                <w:lang w:val="en-US" w:eastAsia="zh-CN"/>
              </w:rPr>
              <w:t xml:space="preserve">给予一个点扣款</w:t>
            </w:r>
            <w:r>
              <w:rPr>
                <w:rFonts w:hint="default" w:hAnsi="宋体"/>
                <w:color w:val="000000"/>
                <w:sz w:val="24"/>
                <w:szCs w:val="24"/>
                <w:highlight w:val="none"/>
                <w:lang w:val="en-US" w:eastAsia="zh-CN"/>
              </w:rPr>
              <w:t xml:space="preserve">100</w:t>
            </w:r>
            <w:r>
              <w:rPr>
                <w:rFonts w:hint="eastAsia" w:hAnsi="宋体"/>
                <w:color w:val="000000"/>
                <w:sz w:val="24"/>
                <w:szCs w:val="24"/>
                <w:highlight w:val="none"/>
                <w:lang w:val="en-US" w:eastAsia="zh-CN"/>
              </w:rPr>
              <w:t xml:space="preserve">元处罚。</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bl>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（八）项目配置</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、人员配置</w:t>
      </w:r>
      <w:r/>
    </w:p>
    <w:tbl>
      <w:tblPr>
        <w:tblStyle w:val="73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5"/>
        <w:gridCol w:w="1650"/>
        <w:gridCol w:w="3906"/>
        <w:gridCol w:w="1988"/>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服务区域</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服务岗位</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现人数配置</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门诊</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1F</w:t>
            </w:r>
            <w:r>
              <w:rPr>
                <w:rFonts w:hint="eastAsia" w:hAnsi="宋体"/>
                <w:color w:val="000000"/>
                <w:sz w:val="24"/>
                <w:szCs w:val="24"/>
                <w:highlight w:val="none"/>
                <w:lang w:val="en-US" w:eastAsia="zh-CN"/>
              </w:rPr>
              <w:t xml:space="preserve">大厅</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公厕</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1F</w:t>
            </w:r>
            <w:r>
              <w:rPr>
                <w:rFonts w:hint="eastAsia" w:hAnsi="宋体"/>
                <w:color w:val="000000"/>
                <w:sz w:val="24"/>
                <w:szCs w:val="24"/>
                <w:highlight w:val="none"/>
                <w:lang w:val="en-US" w:eastAsia="zh-CN"/>
              </w:rPr>
              <w:t xml:space="preserve">放射科</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1F</w:t>
            </w:r>
            <w:r>
              <w:rPr>
                <w:rFonts w:hint="eastAsia" w:hAnsi="宋体"/>
                <w:color w:val="000000"/>
                <w:sz w:val="24"/>
                <w:szCs w:val="24"/>
                <w:highlight w:val="none"/>
                <w:lang w:val="en-US" w:eastAsia="zh-CN"/>
              </w:rPr>
              <w:t xml:space="preserve">输液室</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1F</w:t>
            </w:r>
            <w:r>
              <w:rPr>
                <w:rFonts w:hint="eastAsia" w:hAnsi="宋体"/>
                <w:color w:val="000000"/>
                <w:sz w:val="24"/>
                <w:szCs w:val="24"/>
                <w:highlight w:val="none"/>
                <w:lang w:val="en-US" w:eastAsia="zh-CN"/>
              </w:rPr>
              <w:t xml:space="preserve">急诊陪检</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1F120</w:t>
            </w:r>
            <w:r>
              <w:rPr>
                <w:rFonts w:hint="eastAsia" w:hAnsi="宋体"/>
                <w:color w:val="000000"/>
                <w:sz w:val="24"/>
                <w:szCs w:val="24"/>
                <w:highlight w:val="none"/>
                <w:lang w:val="en-US" w:eastAsia="zh-CN"/>
              </w:rPr>
              <w:t xml:space="preserve">担架员</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1F</w:t>
            </w:r>
            <w:r>
              <w:rPr>
                <w:rFonts w:hint="eastAsia" w:hAnsi="宋体"/>
                <w:color w:val="000000"/>
                <w:sz w:val="24"/>
                <w:szCs w:val="24"/>
                <w:highlight w:val="none"/>
                <w:lang w:val="en-US" w:eastAsia="zh-CN"/>
              </w:rPr>
              <w:t xml:space="preserve">急诊保洁（日班、夜班）</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1F</w:t>
            </w:r>
            <w:r>
              <w:rPr>
                <w:rFonts w:hint="eastAsia" w:hAnsi="宋体"/>
                <w:color w:val="000000"/>
                <w:sz w:val="24"/>
                <w:szCs w:val="24"/>
                <w:highlight w:val="none"/>
                <w:lang w:val="en-US" w:eastAsia="zh-CN"/>
              </w:rPr>
              <w:t xml:space="preserve">口腔科保洁</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2F</w:t>
            </w:r>
            <w:r>
              <w:rPr>
                <w:rFonts w:hint="eastAsia" w:hAnsi="宋体"/>
                <w:color w:val="000000"/>
                <w:sz w:val="24"/>
                <w:szCs w:val="24"/>
                <w:highlight w:val="none"/>
                <w:lang w:val="en-US" w:eastAsia="zh-CN"/>
              </w:rPr>
              <w:t xml:space="preserve">大厅</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公厕</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2F</w:t>
            </w:r>
            <w:r>
              <w:rPr>
                <w:rFonts w:hint="eastAsia" w:hAnsi="宋体"/>
                <w:color w:val="000000"/>
                <w:sz w:val="24"/>
                <w:szCs w:val="24"/>
                <w:highlight w:val="none"/>
                <w:lang w:val="en-US" w:eastAsia="zh-CN"/>
              </w:rPr>
              <w:t xml:space="preserve">检验科保洁</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针灸推拿科</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3F</w:t>
            </w:r>
            <w:r>
              <w:rPr>
                <w:rFonts w:hint="eastAsia" w:hAnsi="宋体"/>
                <w:color w:val="000000"/>
                <w:sz w:val="24"/>
                <w:szCs w:val="24"/>
                <w:highlight w:val="none"/>
                <w:lang w:val="en-US" w:eastAsia="zh-CN"/>
              </w:rPr>
              <w:t xml:space="preserve">大厅</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公厕</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3F</w:t>
            </w:r>
            <w:r>
              <w:rPr>
                <w:rFonts w:hint="eastAsia" w:hAnsi="宋体"/>
                <w:color w:val="000000"/>
                <w:sz w:val="24"/>
                <w:szCs w:val="24"/>
                <w:highlight w:val="none"/>
                <w:lang w:val="en-US" w:eastAsia="zh-CN"/>
              </w:rPr>
              <w:t xml:space="preserve">胃镜室</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人、五官科</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人保洁</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3F</w:t>
            </w:r>
            <w:r>
              <w:rPr>
                <w:rFonts w:hint="eastAsia" w:hAnsi="宋体"/>
                <w:color w:val="000000"/>
                <w:sz w:val="24"/>
                <w:szCs w:val="24"/>
                <w:highlight w:val="none"/>
                <w:lang w:val="en-US" w:eastAsia="zh-CN"/>
              </w:rPr>
              <w:t xml:space="preserve">供应室</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6</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楼手术室</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体检中心</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保洁</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工勤</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妇科</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门诊、病房</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病房</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ICU</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病区（脾胃病、眼科、）</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7</w:t>
            </w:r>
            <w:r>
              <w:rPr>
                <w:rFonts w:hint="eastAsia" w:hAnsi="宋体"/>
                <w:color w:val="000000"/>
                <w:sz w:val="24"/>
                <w:szCs w:val="24"/>
                <w:highlight w:val="none"/>
                <w:lang w:val="en-US" w:eastAsia="zh-CN"/>
              </w:rPr>
              <w:t xml:space="preserve">病区（外科、泌尿外科）</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8F</w:t>
            </w:r>
            <w:r>
              <w:rPr>
                <w:rFonts w:hint="eastAsia" w:hAnsi="宋体"/>
                <w:color w:val="000000"/>
                <w:sz w:val="24"/>
                <w:szCs w:val="24"/>
                <w:highlight w:val="none"/>
                <w:lang w:val="en-US" w:eastAsia="zh-CN"/>
              </w:rPr>
              <w:t xml:space="preserve">（脑外科）</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9F</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10F</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11F</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12F</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机动顶岗</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电梯</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司梯</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康复中心</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1F</w:t>
            </w: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2F</w:t>
            </w:r>
            <w:r>
              <w:rPr>
                <w:rFonts w:hint="eastAsia" w:hAnsi="宋体"/>
                <w:color w:val="000000"/>
                <w:sz w:val="24"/>
                <w:szCs w:val="24"/>
                <w:highlight w:val="none"/>
                <w:lang w:val="en-US" w:eastAsia="zh-CN"/>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3F</w:t>
            </w:r>
            <w:r>
              <w:rPr>
                <w:rFonts w:hint="eastAsia" w:hAnsi="宋体"/>
                <w:color w:val="000000"/>
                <w:sz w:val="24"/>
                <w:szCs w:val="24"/>
                <w:highlight w:val="none"/>
                <w:lang w:val="en-US" w:eastAsia="zh-CN"/>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5F</w:t>
            </w:r>
            <w:r>
              <w:rPr>
                <w:rFonts w:hint="eastAsia" w:hAnsi="宋体"/>
                <w:color w:val="000000"/>
                <w:sz w:val="24"/>
                <w:szCs w:val="24"/>
                <w:highlight w:val="none"/>
                <w:lang w:val="en-US" w:eastAsia="zh-CN"/>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6F</w:t>
            </w:r>
            <w:r>
              <w:rPr>
                <w:rFonts w:hint="eastAsia" w:hAnsi="宋体"/>
                <w:color w:val="000000"/>
                <w:sz w:val="24"/>
                <w:szCs w:val="24"/>
                <w:highlight w:val="none"/>
                <w:lang w:val="en-US" w:eastAsia="zh-CN"/>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运送、陪检</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陪检、运送</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送检</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陪检</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9</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中夜班（送药、陪检）</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药房</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保洁</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工勤</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6</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拿血</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工勤</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收发被服工</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工勤</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治未病中心</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保洁</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工勤</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行政楼</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洗衣房</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消毒清洗推尘、毛巾</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外场</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垃圾清运</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生活垃圾</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医疗垃圾</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专项</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不锈钢保养</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刮玻璃</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洗地</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屋面保洁</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项目主管</w:t>
            </w:r>
            <w:r/>
          </w:p>
        </w:tc>
        <w:tc>
          <w:tcPr>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48</w:t>
            </w:r>
            <w:r/>
          </w:p>
        </w:tc>
        <w:tc>
          <w:tcPr>
            <w:gridSpan w:val="2"/>
            <w:shd w:val="clear" w:color="auto" w:fill="auto"/>
            <w:tcBorders>
              <w:top w:val="single" w:color="auto" w:sz="4" w:space="0"/>
              <w:left w:val="single" w:color="auto" w:sz="4" w:space="0"/>
              <w:bottom w:val="single" w:color="auto" w:sz="4" w:space="0"/>
              <w:right w:val="single" w:color="auto" w:sz="4" w:space="0"/>
            </w:tcBorders>
            <w:tcW w:w="390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89</w:t>
            </w:r>
            <w:r/>
          </w:p>
        </w:tc>
      </w:tr>
    </w:tbl>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、工具设备要求：</w:t>
      </w:r>
      <w:r/>
    </w:p>
    <w:tbl>
      <w:tblPr>
        <w:tblStyle w:val="717"/>
        <w:tblpPr w:horzAnchor="page" w:tblpX="1992" w:vertAnchor="text" w:tblpY="255" w:leftFromText="180" w:topFromText="0" w:rightFromText="180" w:bottomFromText="0"/>
        <w:tblW w:w="877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5"/>
        <w:gridCol w:w="3718"/>
        <w:gridCol w:w="1560"/>
        <w:gridCol w:w="2551"/>
      </w:tblGrid>
      <w:tr>
        <w:trPr>
          <w:trHeight w:val="200"/>
        </w:trPr>
        <w:tc>
          <w:tcPr>
            <w:shd w:val="clear" w:color="auto" w:fill="auto"/>
            <w:tcBorders>
              <w:top w:val="single" w:color="auto" w:sz="4" w:space="0"/>
              <w:left w:val="single" w:color="auto" w:sz="4" w:space="0"/>
              <w:bottom w:val="single" w:color="000000" w:sz="4" w:space="0"/>
              <w:right w:val="single" w:color="000000" w:sz="4" w:space="0"/>
            </w:tcBorders>
            <w:tcW w:w="9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序号</w:t>
            </w:r>
            <w:r/>
          </w:p>
        </w:tc>
        <w:tc>
          <w:tcPr>
            <w:shd w:val="clear" w:color="auto" w:fill="auto"/>
            <w:tcBorders>
              <w:top w:val="single" w:color="auto" w:sz="4" w:space="0"/>
              <w:left w:val="none" w:color="000000" w:sz="4" w:space="0"/>
              <w:bottom w:val="single" w:color="000000" w:sz="4" w:space="0"/>
              <w:right w:val="single" w:color="000000" w:sz="4" w:space="0"/>
            </w:tcBorders>
            <w:tcW w:w="371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设备名称</w:t>
            </w:r>
            <w:r/>
          </w:p>
        </w:tc>
        <w:tc>
          <w:tcPr>
            <w:shd w:val="clear" w:color="auto" w:fill="auto"/>
            <w:tcBorders>
              <w:top w:val="single" w:color="auto" w:sz="4" w:space="0"/>
              <w:left w:val="none" w:color="000000" w:sz="4" w:space="0"/>
              <w:bottom w:val="single" w:color="000000" w:sz="4" w:space="0"/>
              <w:right w:val="single" w:color="000000" w:sz="4" w:space="0"/>
            </w:tcBorders>
            <w:tcW w:w="15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数量</w:t>
            </w:r>
            <w:r/>
          </w:p>
        </w:tc>
        <w:tc>
          <w:tcPr>
            <w:shd w:val="clear" w:color="auto" w:fill="auto"/>
            <w:tcBorders>
              <w:top w:val="single" w:color="auto" w:sz="4" w:space="0"/>
              <w:left w:val="none" w:color="000000" w:sz="4" w:space="0"/>
              <w:bottom w:val="single" w:color="000000" w:sz="4" w:space="0"/>
              <w:right w:val="single" w:color="auto" w:sz="4" w:space="0"/>
            </w:tcBorders>
            <w:tcW w:w="2551"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备注</w:t>
            </w:r>
            <w:r/>
          </w:p>
        </w:tc>
      </w:tr>
      <w:tr>
        <w:trPr>
          <w:trHeight w:val="90"/>
        </w:trPr>
        <w:tc>
          <w:tcPr>
            <w:shd w:val="clear" w:color="auto" w:fill="auto"/>
            <w:tcBorders>
              <w:top w:val="none" w:color="000000" w:sz="4" w:space="0"/>
              <w:left w:val="single" w:color="auto" w:sz="4" w:space="0"/>
              <w:bottom w:val="single" w:color="000000" w:sz="4" w:space="0"/>
              <w:right w:val="single" w:color="000000" w:sz="4" w:space="0"/>
            </w:tcBorders>
            <w:tcW w:w="9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371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全自动洗地机</w:t>
            </w:r>
            <w:r/>
          </w:p>
        </w:tc>
        <w:tc>
          <w:tcPr>
            <w:shd w:val="clear" w:color="auto" w:fill="auto"/>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auto" w:sz="4" w:space="0"/>
            </w:tcBorders>
            <w:tcW w:w="2551"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rHeight w:val="90"/>
        </w:trPr>
        <w:tc>
          <w:tcPr>
            <w:shd w:val="clear" w:color="auto" w:fill="auto"/>
            <w:tcBorders>
              <w:top w:val="none" w:color="000000" w:sz="4" w:space="0"/>
              <w:left w:val="single" w:color="auto" w:sz="4" w:space="0"/>
              <w:bottom w:val="single" w:color="000000" w:sz="4" w:space="0"/>
              <w:right w:val="single" w:color="000000" w:sz="4" w:space="0"/>
            </w:tcBorders>
            <w:tcW w:w="9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371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多功能擦地机</w:t>
            </w:r>
            <w:r/>
          </w:p>
        </w:tc>
        <w:tc>
          <w:tcPr>
            <w:shd w:val="clear" w:color="auto" w:fill="auto"/>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auto" w:sz="4" w:space="0"/>
            </w:tcBorders>
            <w:tcW w:w="2551"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rHeight w:val="90"/>
        </w:trPr>
        <w:tc>
          <w:tcPr>
            <w:shd w:val="clear" w:color="auto" w:fill="auto"/>
            <w:tcBorders>
              <w:top w:val="none" w:color="000000" w:sz="4" w:space="0"/>
              <w:left w:val="single" w:color="auto" w:sz="4" w:space="0"/>
              <w:bottom w:val="single" w:color="000000" w:sz="4" w:space="0"/>
              <w:right w:val="single" w:color="000000" w:sz="4" w:space="0"/>
            </w:tcBorders>
            <w:tcW w:w="9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371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吸水吸尘机</w:t>
            </w:r>
            <w:r/>
          </w:p>
        </w:tc>
        <w:tc>
          <w:tcPr>
            <w:shd w:val="clear" w:color="auto" w:fill="auto"/>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auto" w:sz="4" w:space="0"/>
            </w:tcBorders>
            <w:tcW w:w="2551"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rHeight w:val="90"/>
        </w:trPr>
        <w:tc>
          <w:tcPr>
            <w:shd w:val="clear" w:color="auto" w:fill="auto"/>
            <w:tcBorders>
              <w:top w:val="none" w:color="000000" w:sz="4" w:space="0"/>
              <w:left w:val="single" w:color="auto" w:sz="4" w:space="0"/>
              <w:bottom w:val="single" w:color="000000" w:sz="4" w:space="0"/>
              <w:right w:val="single" w:color="000000" w:sz="4" w:space="0"/>
            </w:tcBorders>
            <w:tcW w:w="9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371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吹干机</w:t>
            </w:r>
            <w:r/>
          </w:p>
        </w:tc>
        <w:tc>
          <w:tcPr>
            <w:shd w:val="clear" w:color="auto" w:fill="auto"/>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auto" w:sz="4" w:space="0"/>
            </w:tcBorders>
            <w:tcW w:w="2551"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rHeight w:val="90"/>
        </w:trPr>
        <w:tc>
          <w:tcPr>
            <w:shd w:val="clear" w:color="auto" w:fill="auto"/>
            <w:tcBorders>
              <w:top w:val="none" w:color="000000" w:sz="4" w:space="0"/>
              <w:left w:val="single" w:color="auto" w:sz="4" w:space="0"/>
              <w:bottom w:val="single" w:color="000000" w:sz="4" w:space="0"/>
              <w:right w:val="single" w:color="000000" w:sz="4" w:space="0"/>
            </w:tcBorders>
            <w:tcW w:w="9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371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保洁工具车</w:t>
            </w:r>
            <w:r/>
          </w:p>
        </w:tc>
        <w:tc>
          <w:tcPr>
            <w:shd w:val="clear" w:color="auto" w:fill="auto"/>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15</w:t>
            </w:r>
            <w:r>
              <w:rPr>
                <w:rFonts w:hint="eastAsia" w:hAnsi="宋体"/>
                <w:color w:val="000000"/>
                <w:sz w:val="24"/>
                <w:szCs w:val="24"/>
                <w:highlight w:val="none"/>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auto" w:sz="4" w:space="0"/>
            </w:tcBorders>
            <w:tcW w:w="2551"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rHeight w:val="90"/>
        </w:trPr>
        <w:tc>
          <w:tcPr>
            <w:shd w:val="clear" w:color="auto" w:fill="auto"/>
            <w:tcBorders>
              <w:top w:val="none" w:color="000000" w:sz="4" w:space="0"/>
              <w:left w:val="single" w:color="auto" w:sz="4" w:space="0"/>
              <w:bottom w:val="single" w:color="auto" w:sz="4" w:space="0"/>
              <w:right w:val="single" w:color="000000" w:sz="4" w:space="0"/>
            </w:tcBorders>
            <w:tcW w:w="9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6</w:t>
            </w:r>
            <w:r/>
          </w:p>
        </w:tc>
        <w:tc>
          <w:tcPr>
            <w:shd w:val="clear" w:color="auto" w:fill="auto"/>
            <w:tcBorders>
              <w:top w:val="none" w:color="000000" w:sz="4" w:space="0"/>
              <w:left w:val="none" w:color="000000" w:sz="4" w:space="0"/>
              <w:bottom w:val="single" w:color="auto" w:sz="4" w:space="0"/>
              <w:right w:val="single" w:color="000000" w:sz="4" w:space="0"/>
            </w:tcBorders>
            <w:tcW w:w="371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高压水枪</w:t>
            </w:r>
            <w:r/>
          </w:p>
        </w:tc>
        <w:tc>
          <w:tcPr>
            <w:shd w:val="clear" w:color="auto" w:fill="auto"/>
            <w:tcBorders>
              <w:top w:val="none" w:color="000000" w:sz="4" w:space="0"/>
              <w:left w:val="none" w:color="000000" w:sz="4" w:space="0"/>
              <w:bottom w:val="single" w:color="auto" w:sz="4" w:space="0"/>
              <w:right w:val="single" w:color="000000" w:sz="4" w:space="0"/>
            </w:tcBorders>
            <w:tcW w:w="15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bl>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注：该项配备指满足本项目正常运行的必需物品采购费用，采购单位认为的最低配备要求包含但不限于以上表格的内容。</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（九）保洁易耗品要求</w:t>
      </w:r>
      <w:r/>
    </w:p>
    <w:tbl>
      <w:tblPr>
        <w:tblStyle w:val="717"/>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7"/>
        <w:gridCol w:w="3566"/>
        <w:gridCol w:w="2095"/>
        <w:gridCol w:w="948"/>
        <w:gridCol w:w="966"/>
      </w:tblGrid>
      <w:tr>
        <w:trPr>
          <w:trHeight w:val="420"/>
        </w:trPr>
        <w:tc>
          <w:tcPr>
            <w:shd w:val="clear" w:color="auto" w:fill="auto"/>
            <w:tcBorders>
              <w:top w:val="single" w:color="auto" w:sz="4" w:space="0"/>
              <w:left w:val="single" w:color="auto" w:sz="4" w:space="0"/>
              <w:bottom w:val="single" w:color="auto" w:sz="4" w:space="0"/>
              <w:right w:val="single" w:color="000000" w:sz="4" w:space="0"/>
            </w:tcBorders>
            <w:tcW w:w="947"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序号</w:t>
            </w:r>
            <w:r/>
          </w:p>
        </w:tc>
        <w:tc>
          <w:tcPr>
            <w:shd w:val="clear" w:color="auto" w:fill="auto"/>
            <w:tcBorders>
              <w:top w:val="single" w:color="auto" w:sz="4" w:space="0"/>
              <w:left w:val="single" w:color="000000" w:sz="4" w:space="0"/>
              <w:bottom w:val="single" w:color="auto" w:sz="4" w:space="0"/>
              <w:right w:val="single" w:color="auto" w:sz="4" w:space="0"/>
            </w:tcBorders>
            <w:tcW w:w="3566"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易耗品名称</w:t>
            </w:r>
            <w:r/>
          </w:p>
        </w:tc>
        <w:tc>
          <w:tcPr>
            <w:shd w:val="clear" w:color="auto" w:fill="auto"/>
            <w:tcBorders>
              <w:top w:val="single" w:color="auto" w:sz="4" w:space="0"/>
              <w:left w:val="single" w:color="auto" w:sz="4" w:space="0"/>
              <w:bottom w:val="single" w:color="auto" w:sz="4" w:space="0"/>
              <w:right w:val="single" w:color="000000" w:sz="4" w:space="0"/>
            </w:tcBorders>
            <w:tcW w:w="2095"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规格</w:t>
            </w:r>
            <w:r/>
          </w:p>
        </w:tc>
        <w:tc>
          <w:tcPr>
            <w:shd w:val="clear" w:color="auto" w:fill="auto"/>
            <w:tcBorders>
              <w:top w:val="single" w:color="auto" w:sz="4" w:space="0"/>
              <w:left w:val="single" w:color="000000" w:sz="4" w:space="0"/>
              <w:bottom w:val="single" w:color="auto" w:sz="4" w:space="0"/>
              <w:right w:val="single" w:color="000000" w:sz="4" w:space="0"/>
            </w:tcBorders>
            <w:tcW w:w="948"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数量</w:t>
            </w:r>
            <w:r/>
          </w:p>
        </w:tc>
        <w:tc>
          <w:tcPr>
            <w:shd w:val="clear" w:color="auto" w:fill="auto"/>
            <w:tcBorders>
              <w:top w:val="single" w:color="auto" w:sz="4" w:space="0"/>
              <w:left w:val="single" w:color="000000" w:sz="4" w:space="0"/>
              <w:bottom w:val="single" w:color="auto" w:sz="4" w:space="0"/>
              <w:right w:val="single" w:color="auto" w:sz="4" w:space="0"/>
            </w:tcBorders>
            <w:tcW w:w="966"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备注</w:t>
            </w:r>
            <w:r/>
          </w:p>
        </w:tc>
      </w:tr>
      <w:tr>
        <w:trPr/>
        <w:tc>
          <w:tcPr>
            <w:shd w:val="clear" w:color="auto" w:fill="auto"/>
            <w:tcBorders>
              <w:top w:val="single" w:color="auto"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c>
          <w:tcPr>
            <w:shd w:val="clear" w:color="auto" w:fill="auto"/>
            <w:tcBorders>
              <w:top w:val="single" w:color="auto"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大垃圾袋（黑）</w:t>
            </w:r>
            <w:r/>
          </w:p>
        </w:tc>
        <w:tc>
          <w:tcPr>
            <w:shd w:val="clear" w:color="auto" w:fill="auto"/>
            <w:tcBorders>
              <w:top w:val="single" w:color="auto"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100mm*120mm</w:t>
            </w:r>
            <w:r/>
          </w:p>
        </w:tc>
        <w:tc>
          <w:tcPr>
            <w:shd w:val="clear" w:color="auto" w:fill="auto"/>
            <w:tcBorders>
              <w:top w:val="single" w:color="auto"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single" w:color="auto"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垃圾袋（黑）</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100mm*80mm</w:t>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垃圾袋（黑）</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70mm*80mm</w:t>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垃圾袋（黑）</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50mm*60mm</w:t>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尘推架</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6</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尘推布</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7</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平板拖杆</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8</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洁净区平板拖布（分色</w:t>
            </w:r>
            <w:r>
              <w:rPr>
                <w:rFonts w:hint="default" w:hAnsi="宋体"/>
                <w:color w:val="000000"/>
                <w:sz w:val="24"/>
                <w:szCs w:val="24"/>
                <w:highlight w:val="none"/>
                <w:lang w:val="en-US" w:eastAsia="zh-CN"/>
              </w:rPr>
              <w:t xml:space="preserve">)</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auto"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污染区平板拖布</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分色）</w:t>
            </w:r>
            <w:r/>
          </w:p>
        </w:tc>
        <w:tc>
          <w:tcPr>
            <w:shd w:val="clear" w:color="auto" w:fill="auto"/>
            <w:tcBorders>
              <w:top w:val="none" w:color="000000" w:sz="4" w:space="0"/>
              <w:left w:val="single" w:color="auto" w:sz="4" w:space="0"/>
              <w:bottom w:val="single" w:color="auto"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single" w:color="auto" w:sz="4" w:space="0"/>
              <w:left w:val="single" w:color="auto" w:sz="4" w:space="0"/>
              <w:bottom w:val="single" w:color="auto"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半污染区平板拖布（分色）</w:t>
            </w:r>
            <w:r/>
          </w:p>
        </w:tc>
        <w:tc>
          <w:tcPr>
            <w:shd w:val="clear" w:color="auto" w:fill="auto"/>
            <w:tcBorders>
              <w:top w:val="single" w:color="auto" w:sz="4" w:space="0"/>
              <w:left w:val="single" w:color="auto" w:sz="4" w:space="0"/>
              <w:bottom w:val="single" w:color="auto"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auto"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污染区毛巾（分色）</w:t>
            </w:r>
            <w:r/>
          </w:p>
        </w:tc>
        <w:tc>
          <w:tcPr>
            <w:shd w:val="clear" w:color="auto" w:fill="auto"/>
            <w:tcBorders>
              <w:top w:val="single" w:color="auto" w:sz="4" w:space="0"/>
              <w:left w:val="single" w:color="auto" w:sz="4" w:space="0"/>
              <w:bottom w:val="single" w:color="auto" w:sz="4" w:space="0"/>
              <w:right w:val="single" w:color="auto"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single" w:color="auto"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12</w:t>
            </w:r>
            <w:r/>
          </w:p>
        </w:tc>
        <w:tc>
          <w:tcPr>
            <w:shd w:val="clear" w:color="auto" w:fill="auto"/>
            <w:tcBorders>
              <w:top w:val="single" w:color="auto"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半污染区毛巾（分色）</w:t>
            </w:r>
            <w:r/>
          </w:p>
        </w:tc>
        <w:tc>
          <w:tcPr>
            <w:shd w:val="clear" w:color="auto" w:fill="auto"/>
            <w:tcBorders>
              <w:top w:val="single" w:color="auto"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13</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洁净区毛巾（分色）</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14</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榨水车</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15</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百洁布</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16</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玻璃刮刀</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17</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涂水器</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18</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伸缩杆</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19</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推水刮</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20</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刮条</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21</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铝合金梯</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22</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台盆刷</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23</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长柄地刷</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24</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水管</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25</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擦片（黑垫）</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26</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擦片（红垫）</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27</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云石刀片</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28</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铲刀</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auto"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铁锹</w:t>
            </w:r>
            <w:r/>
          </w:p>
        </w:tc>
        <w:tc>
          <w:tcPr>
            <w:shd w:val="clear" w:color="auto" w:fill="auto"/>
            <w:tcBorders>
              <w:top w:val="none" w:color="000000" w:sz="4" w:space="0"/>
              <w:left w:val="single" w:color="auto" w:sz="4" w:space="0"/>
              <w:bottom w:val="single" w:color="auto"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auto"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single" w:color="auto" w:sz="4" w:space="0"/>
              <w:left w:val="single" w:color="auto" w:sz="4" w:space="0"/>
              <w:bottom w:val="single" w:color="auto"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杂物篮</w:t>
            </w:r>
            <w:r/>
          </w:p>
        </w:tc>
        <w:tc>
          <w:tcPr>
            <w:shd w:val="clear" w:color="auto" w:fill="auto"/>
            <w:tcBorders>
              <w:top w:val="single" w:color="auto" w:sz="4" w:space="0"/>
              <w:left w:val="single" w:color="auto" w:sz="4" w:space="0"/>
              <w:bottom w:val="single" w:color="auto"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auto"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single" w:color="auto"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31</w:t>
            </w:r>
            <w:r/>
          </w:p>
        </w:tc>
        <w:tc>
          <w:tcPr>
            <w:shd w:val="clear" w:color="auto" w:fill="auto"/>
            <w:tcBorders>
              <w:top w:val="single" w:color="auto"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喷壶</w:t>
            </w:r>
            <w:r/>
          </w:p>
        </w:tc>
        <w:tc>
          <w:tcPr>
            <w:shd w:val="clear" w:color="auto" w:fill="auto"/>
            <w:tcBorders>
              <w:top w:val="single" w:color="auto"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single" w:color="auto"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32</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水桶</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33</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皮老虎</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34</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卫生刷</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35</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卫生球</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36</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肥皂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37</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洗衣粉</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38</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化油剂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39</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静电牵尘剂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40</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中性清洁剂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41</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玻璃清洁剂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42</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不锈钢光亮剂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43</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空气清新剂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44</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洁厕液</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45</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全能消毒清洁剂（地面用）</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46</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高泡地毯除渍剂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auto"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室内扫把、簸箕</w:t>
            </w:r>
            <w:r/>
          </w:p>
        </w:tc>
        <w:tc>
          <w:tcPr>
            <w:shd w:val="clear" w:color="auto" w:fill="auto"/>
            <w:tcBorders>
              <w:top w:val="none" w:color="000000" w:sz="4" w:space="0"/>
              <w:left w:val="single" w:color="auto" w:sz="4" w:space="0"/>
              <w:bottom w:val="single" w:color="auto"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auto"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地面警示牌</w:t>
            </w:r>
            <w:r/>
          </w:p>
        </w:tc>
        <w:tc>
          <w:tcPr>
            <w:shd w:val="clear" w:color="auto" w:fill="auto"/>
            <w:tcBorders>
              <w:top w:val="single" w:color="auto" w:sz="4" w:space="0"/>
              <w:left w:val="single" w:color="auto" w:sz="4" w:space="0"/>
              <w:bottom w:val="single" w:color="auto" w:sz="4" w:space="0"/>
              <w:right w:val="single" w:color="auto"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single" w:color="auto" w:sz="4" w:space="0"/>
              <w:left w:val="single" w:color="000000" w:sz="4" w:space="0"/>
              <w:bottom w:val="single" w:color="auto"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49</w:t>
            </w:r>
            <w:r/>
          </w:p>
        </w:tc>
        <w:tc>
          <w:tcPr>
            <w:shd w:val="clear" w:color="auto" w:fill="auto"/>
            <w:tcBorders>
              <w:top w:val="single" w:color="auto" w:sz="4" w:space="0"/>
              <w:left w:val="none" w:color="000000"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员工春夏服装</w:t>
            </w:r>
            <w:r/>
          </w:p>
        </w:tc>
        <w:tc>
          <w:tcPr>
            <w:shd w:val="clear" w:color="auto" w:fill="auto"/>
            <w:tcBorders>
              <w:top w:val="single" w:color="auto" w:sz="4" w:space="0"/>
              <w:left w:val="single" w:color="auto" w:sz="4" w:space="0"/>
              <w:bottom w:val="single" w:color="auto"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auto"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single" w:color="auto" w:sz="4" w:space="0"/>
              <w:left w:val="none" w:color="000000" w:sz="4" w:space="0"/>
              <w:bottom w:val="single" w:color="auto"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single" w:color="auto" w:sz="4" w:space="0"/>
              <w:left w:val="single" w:color="auto" w:sz="4" w:space="0"/>
              <w:bottom w:val="single" w:color="auto"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50</w:t>
            </w:r>
            <w:r/>
          </w:p>
        </w:tc>
        <w:tc>
          <w:tcPr>
            <w:shd w:val="clear" w:color="auto" w:fill="auto"/>
            <w:tcBorders>
              <w:top w:val="single" w:color="auto" w:sz="4" w:space="0"/>
              <w:left w:val="none" w:color="000000"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工号牌</w:t>
            </w:r>
            <w:r/>
          </w:p>
        </w:tc>
        <w:tc>
          <w:tcPr>
            <w:shd w:val="clear" w:color="auto" w:fill="auto"/>
            <w:tcBorders>
              <w:top w:val="single" w:color="auto" w:sz="4" w:space="0"/>
              <w:left w:val="single" w:color="auto" w:sz="4" w:space="0"/>
              <w:bottom w:val="single" w:color="auto"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auto"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single" w:color="auto"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51</w:t>
            </w:r>
            <w:r/>
          </w:p>
        </w:tc>
        <w:tc>
          <w:tcPr>
            <w:shd w:val="clear" w:color="auto" w:fill="auto"/>
            <w:tcBorders>
              <w:top w:val="single" w:color="auto"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雨鞋</w:t>
            </w:r>
            <w:r/>
          </w:p>
        </w:tc>
        <w:tc>
          <w:tcPr>
            <w:shd w:val="clear" w:color="auto" w:fill="auto"/>
            <w:tcBorders>
              <w:top w:val="single" w:color="auto"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single" w:color="auto"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52</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雨衣</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53</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塑料护袖</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54</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一次性口罩</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55</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纱手套</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56</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橡胶手套</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bl>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注：该项配备指满足本项目正常运行的必需物品采购费用，采购单位认为的最低配备要求包含但不限于以上表格的内容。</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（十）其他相关说明：</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后勤服务工作人员的工资须符合国家、省、市的相关规定，符合无锡市最低工资标准；实行八小时工作。</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投标报价中人员社保费用根据拟派人员符合年龄条件的予以缴纳社保测算。</w:t>
      </w:r>
      <w:r>
        <w:rPr>
          <w:rFonts w:hint="default" w:hAnsi="宋体"/>
          <w:color w:val="000000"/>
          <w:sz w:val="24"/>
          <w:szCs w:val="24"/>
          <w:highlight w:val="none"/>
          <w:lang w:val="en-US" w:eastAsia="zh-CN"/>
        </w:rPr>
        <w:t xml:space="preserve"> </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投标报价中含生活垃圾袋、清洁设备、保洁易耗材料等保洁服务成本、人员工资、规定所用卫生材料（对照清洁设备要求、清洁易耗品要求）以及人员意外成本和所应承担的税收等中标方所涉及的一切相关费用。</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注：</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①医疗垃圾专业公司清出院外的费用不包含在此次投标报价之内；</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②因特殊情况需加班产生的费用不包含在此次投标报价之内，由院方另行支付；</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③医疗垃圾袋、消毒片、扎带、白色可回收垃圾袋由医院提供，不包含在此次投标报价之内；</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④石材养护及</w:t>
      </w:r>
      <w:r>
        <w:rPr>
          <w:rFonts w:hint="default" w:hAnsi="宋体"/>
          <w:color w:val="000000"/>
          <w:sz w:val="24"/>
          <w:szCs w:val="24"/>
          <w:highlight w:val="none"/>
          <w:lang w:val="en-US" w:eastAsia="zh-CN"/>
        </w:rPr>
        <w:t xml:space="preserve">PVC</w:t>
      </w:r>
      <w:r>
        <w:rPr>
          <w:rFonts w:hint="eastAsia" w:hAnsi="宋体"/>
          <w:color w:val="000000"/>
          <w:sz w:val="24"/>
          <w:szCs w:val="24"/>
          <w:highlight w:val="none"/>
          <w:lang w:val="en-US" w:eastAsia="zh-CN"/>
        </w:rPr>
        <w:t xml:space="preserve">打蜡费用不包含在此次投标报价之内；</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⑤开荒保洁相关费用不包含在此次投标报价之内。</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增加服务人员或服务项目由双方协商解决。</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、付款方式：采购人根据月度考核结果于每月</w:t>
      </w:r>
      <w:r>
        <w:rPr>
          <w:rFonts w:hint="default" w:hAnsi="宋体"/>
          <w:color w:val="000000"/>
          <w:sz w:val="24"/>
          <w:szCs w:val="24"/>
          <w:highlight w:val="none"/>
          <w:lang w:val="en-US" w:eastAsia="zh-CN"/>
        </w:rPr>
        <w:t xml:space="preserve">20</w:t>
      </w:r>
      <w:r>
        <w:rPr>
          <w:rFonts w:hint="eastAsia" w:hAnsi="宋体"/>
          <w:color w:val="000000"/>
          <w:sz w:val="24"/>
          <w:szCs w:val="24"/>
          <w:highlight w:val="none"/>
          <w:lang w:val="en-US" w:eastAsia="zh-CN"/>
        </w:rPr>
        <w:t xml:space="preserve">日之前支付上月的服务费用，支付方式由银行转账支付，中标供应商需提供增值税发票。</w:t>
      </w:r>
      <w:r/>
    </w:p>
    <w:p>
      <w:pPr>
        <w:pStyle w:val="925"/>
        <w:ind w:firstLine="480"/>
        <w:spacing w:line="400" w:lineRule="exact"/>
        <w:rPr>
          <w:rFonts w:hint="eastAsia" w:hAnsi="宋体"/>
          <w:color w:val="000000"/>
          <w:sz w:val="24"/>
          <w:szCs w:val="24"/>
          <w:highlight w:val="none"/>
          <w:lang w:eastAsia="zh-CN"/>
        </w:rPr>
      </w:pPr>
      <w:r>
        <w:rPr>
          <w:rFonts w:hint="eastAsia" w:hAnsi="宋体"/>
          <w:color w:val="000000"/>
          <w:sz w:val="24"/>
          <w:szCs w:val="24"/>
          <w:highlight w:val="none"/>
          <w:lang w:eastAsia="zh-CN"/>
        </w:rPr>
        <w:br w:type="page" w:clear="all"/>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p>
    <w:p>
      <w:pPr>
        <w:numPr>
          <w:ilvl w:val="1"/>
          <w:numId w:val="5"/>
        </w:numPr>
        <w:ind w:left="0" w:firstLine="480"/>
        <w:spacing w:line="360" w:lineRule="auto"/>
        <w:tabs>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投标人报价时应充分考虑服务期内所有可能</w:t>
      </w:r>
      <w:r>
        <w:rPr>
          <w:rFonts w:hint="eastAsia" w:ascii="宋体" w:hAnsi="宋体"/>
          <w:color w:val="000000" w:themeColor="text1"/>
          <w:sz w:val="24"/>
          <w:szCs w:val="24"/>
          <w:highlight w:val="none"/>
          <w:lang w:eastAsia="zh-CN"/>
        </w:rPr>
        <w:t xml:space="preserve">影响</w:t>
      </w:r>
      <w:r>
        <w:rPr>
          <w:rFonts w:hint="eastAsia" w:ascii="宋体" w:hAnsi="宋体"/>
          <w:color w:val="000000" w:themeColor="text1"/>
          <w:sz w:val="24"/>
          <w:szCs w:val="24"/>
          <w:highlight w:val="none"/>
        </w:rPr>
        <w:t xml:space="preserve">报价的因素，包括最低工资标准及社保基数的政策性调整、一旦投标结束最终中标，总价固定，不予调整。</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olor w:val="000000" w:themeColor="text1"/>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s="仿宋_GB2312"/>
          <w:color w:val="000000" w:themeColor="text1"/>
          <w:sz w:val="24"/>
          <w:szCs w:val="24"/>
          <w:highlight w:val="none"/>
        </w:rPr>
        <w:t xml:space="preserve">中标单位应按照相关规定，与所有聘用人员依法签订劳动合同。</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投标人必须在满足采购文件要求的基础上进行报价，如有服务偏离请于投标偏离表中说明。</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本项目合同履行地点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中标方必须按采购人要求将本项目中货物送到指定地点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包括可能的分布范围</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，并分地实施安装调试。</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hint="eastAsia" w:ascii="宋体" w:hAnsi="宋体"/>
          <w:b/>
          <w:color w:val="000000"/>
          <w:sz w:val="30"/>
          <w:szCs w:val="30"/>
          <w:highlight w:val="none"/>
        </w:rPr>
        <w:br w:type="page" w:clear="all"/>
      </w:r>
      <w:r>
        <w:rPr>
          <w:rFonts w:ascii="宋体"/>
          <w:bCs/>
          <w:color w:val="000000" w:themeColor="text1"/>
          <w:sz w:val="24"/>
          <w:szCs w:val="24"/>
          <w:highlight w:val="none"/>
        </w:rPr>
      </w:r>
      <w:r/>
    </w:p>
    <w:p>
      <w:pPr>
        <w:ind w:left="42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91" w:name="OLE_LINK1"/>
      <w:r/>
      <w:bookmarkStart w:id="192" w:name="OLE_LINK2"/>
      <w:r>
        <w:rPr>
          <w:rFonts w:hint="eastAsia" w:ascii="宋体"/>
          <w:bCs/>
          <w:color w:val="000000"/>
          <w:sz w:val="24"/>
          <w:szCs w:val="24"/>
          <w:highlight w:val="none"/>
        </w:rPr>
        <w:t xml:space="preserve">《保障中小企业款项支付条例》（中华人民共和国国务院令第802号）</w:t>
      </w:r>
      <w:bookmarkEnd w:id="191"/>
      <w:r/>
      <w:bookmarkEnd w:id="192"/>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根据《关于推动解决政府采购异常低价问题相关工作的通知》（苏财购〔2025〕62号）要求，</w:t>
      </w:r>
      <w:r>
        <w:rPr>
          <w:rFonts w:hint="eastAsia" w:ascii="宋体"/>
          <w:bCs/>
          <w:color w:val="000000"/>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numPr>
          <w:ilvl w:val="0"/>
          <w:numId w:val="0"/>
        </w:numPr>
        <w:ind w:left="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93" w:name="_Toc120614281"/>
      <w:r>
        <w:rPr>
          <w:rFonts w:hint="eastAsia" w:ascii="黑体" w:hAnsi="黑体" w:eastAsia="黑体"/>
          <w:color w:val="000000"/>
          <w:sz w:val="36"/>
          <w:szCs w:val="36"/>
          <w:highlight w:val="none"/>
        </w:rPr>
        <w:t xml:space="preserve">第五章  评标方法与评标标准</w:t>
      </w:r>
      <w:r/>
    </w:p>
    <w:p>
      <w:pPr>
        <w:pStyle w:val="976"/>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p>
    <w:p>
      <w:pPr>
        <w:pStyle w:val="976"/>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p>
    <w:p>
      <w:pPr>
        <w:pStyle w:val="976"/>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p>
    <w:p>
      <w:pPr>
        <w:pStyle w:val="976"/>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6"/>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6"/>
        <w:spacing w:before="0" w:after="0" w:line="500" w:lineRule="exact"/>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p>
    <w:p>
      <w:pPr>
        <w:pStyle w:val="976"/>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p>
    <w:p>
      <w:pPr>
        <w:pStyle w:val="976"/>
        <w:numPr>
          <w:ilvl w:val="0"/>
          <w:numId w:val="7"/>
        </w:numPr>
        <w:ind w:firstLine="360"/>
        <w:spacing w:before="0" w:after="0" w:line="500" w:lineRule="exact"/>
        <w:rPr>
          <w:rFonts w:hint="eastAsia"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评分标准</w:t>
      </w:r>
      <w:r/>
    </w:p>
    <w:p>
      <w:pPr>
        <w:pStyle w:val="976"/>
        <w:numPr>
          <w:ilvl w:val="0"/>
          <w:numId w:val="0"/>
        </w:numPr>
        <w:ind w:firstLine="562"/>
        <w:spacing w:before="0" w:after="0" w:line="500" w:lineRule="exact"/>
        <w:rPr>
          <w:rFonts w:hint="eastAsia" w:ascii="宋体" w:hAnsi="宋体"/>
          <w:b/>
          <w:color w:val="000000"/>
          <w:sz w:val="28"/>
          <w:szCs w:val="28"/>
          <w:highlight w:val="none"/>
        </w:rPr>
      </w:pPr>
      <w:r>
        <w:rPr>
          <w:rFonts w:hint="eastAsia" w:ascii="宋体" w:hAnsi="宋体" w:eastAsia="宋体" w:cs="宋体"/>
          <w:b/>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120"/>
        <w:spacing w:line="360" w:lineRule="auto"/>
        <w:rPr>
          <w:rFonts w:cs="宋体" w:asciiTheme="minorEastAsia" w:hAnsiTheme="minorEastAsia"/>
          <w:sz w:val="24"/>
        </w:rPr>
      </w:pPr>
      <w:r/>
      <w:bookmarkStart w:id="194" w:name="_Hlk165208115"/>
      <w:r>
        <w:rPr>
          <w:rFonts w:hint="eastAsia" w:cs="宋体" w:asciiTheme="minorEastAsia" w:hAnsiTheme="minorEastAsia"/>
          <w:sz w:val="24"/>
        </w:rPr>
        <w:t xml:space="preserve">（一）评分项目及总分（总分100分）</w:t>
      </w:r>
      <w:r/>
    </w:p>
    <w:p>
      <w:pPr>
        <w:ind w:firstLine="718"/>
        <w:spacing w:line="360" w:lineRule="auto"/>
        <w:rPr>
          <w:rFonts w:cs="宋体" w:asciiTheme="minorEastAsia" w:hAnsiTheme="minorEastAsia"/>
          <w:b/>
          <w:sz w:val="24"/>
        </w:rPr>
      </w:pPr>
      <w:r/>
      <w:bookmarkStart w:id="195" w:name="_Hlk165208094"/>
      <w:r>
        <w:rPr>
          <w:rFonts w:hint="eastAsia" w:cs="宋体" w:asciiTheme="minorEastAsia" w:hAnsiTheme="minorEastAsia"/>
          <w:b/>
          <w:sz w:val="24"/>
        </w:rPr>
        <w:t xml:space="preserve">1、报价                       </w:t>
      </w:r>
      <w:r>
        <w:rPr>
          <w:rFonts w:hint="eastAsia" w:cs="宋体" w:asciiTheme="minorEastAsia" w:hAnsiTheme="minorEastAsia"/>
          <w:b/>
          <w:sz w:val="24"/>
          <w:lang w:val="en-US" w:eastAsia="zh-CN"/>
        </w:rPr>
        <w:t xml:space="preserve">30</w:t>
      </w:r>
      <w:r>
        <w:rPr>
          <w:rFonts w:hint="eastAsia" w:cs="宋体" w:asciiTheme="minorEastAsia" w:hAnsiTheme="minorEastAsia"/>
          <w:b/>
          <w:sz w:val="24"/>
        </w:rPr>
        <w:t xml:space="preserve">分</w:t>
      </w:r>
      <w:r/>
    </w:p>
    <w:p>
      <w:pPr>
        <w:ind w:firstLine="723"/>
        <w:spacing w:line="360" w:lineRule="auto"/>
        <w:rPr>
          <w:rFonts w:cs="宋体" w:asciiTheme="minorEastAsia" w:hAnsiTheme="minorEastAsia"/>
          <w:b/>
          <w:sz w:val="24"/>
        </w:rPr>
        <w:outlineLvl w:val="0"/>
      </w:pPr>
      <w:r>
        <w:rPr>
          <w:rFonts w:hint="eastAsia" w:cs="宋体" w:asciiTheme="minorEastAsia" w:hAnsiTheme="minorEastAsia"/>
          <w:b/>
          <w:sz w:val="24"/>
        </w:rPr>
        <w:t xml:space="preserve">2、报价供应商综合情况</w:t>
      </w:r>
      <w:r>
        <w:rPr>
          <w:rFonts w:hint="eastAsia" w:cs="宋体" w:asciiTheme="minorEastAsia" w:hAnsiTheme="minorEastAsia"/>
          <w:b/>
          <w:bCs/>
          <w:sz w:val="24"/>
        </w:rPr>
        <w:t xml:space="preserve">         </w:t>
      </w:r>
      <w:r>
        <w:rPr>
          <w:rFonts w:hint="eastAsia" w:cs="宋体" w:asciiTheme="minorEastAsia" w:hAnsiTheme="minorEastAsia"/>
          <w:b/>
          <w:bCs/>
          <w:sz w:val="24"/>
          <w:lang w:val="en-US" w:eastAsia="zh-CN"/>
        </w:rPr>
        <w:t xml:space="preserve">20</w:t>
      </w:r>
      <w:r>
        <w:rPr>
          <w:rFonts w:hint="eastAsia" w:cs="宋体" w:asciiTheme="minorEastAsia" w:hAnsiTheme="minorEastAsia"/>
          <w:b/>
          <w:bCs/>
          <w:sz w:val="24"/>
        </w:rPr>
        <w:t xml:space="preserve">分</w:t>
      </w:r>
      <w:r/>
    </w:p>
    <w:p>
      <w:pPr>
        <w:ind w:firstLine="718"/>
        <w:spacing w:line="360" w:lineRule="auto"/>
        <w:rPr>
          <w:rFonts w:cs="宋体" w:asciiTheme="minorEastAsia" w:hAnsiTheme="minorEastAsia"/>
          <w:b/>
          <w:sz w:val="24"/>
        </w:rPr>
      </w:pPr>
      <w:r>
        <w:rPr>
          <w:rFonts w:hint="eastAsia" w:cs="宋体" w:asciiTheme="minorEastAsia" w:hAnsiTheme="minorEastAsia"/>
          <w:b/>
          <w:sz w:val="24"/>
          <w:lang w:val="en-US" w:eastAsia="zh-CN"/>
        </w:rPr>
        <w:t xml:space="preserve">3</w:t>
      </w:r>
      <w:r>
        <w:rPr>
          <w:rFonts w:hint="eastAsia" w:cs="宋体" w:asciiTheme="minorEastAsia" w:hAnsiTheme="minorEastAsia"/>
          <w:b/>
          <w:sz w:val="24"/>
        </w:rPr>
        <w:t xml:space="preserve">、</w:t>
      </w:r>
      <w:r>
        <w:rPr>
          <w:rFonts w:hint="eastAsia" w:asciiTheme="minorEastAsia" w:hAnsiTheme="minorEastAsia"/>
          <w:b/>
          <w:bCs/>
          <w:sz w:val="24"/>
        </w:rPr>
        <w:t xml:space="preserve">服务方案                   </w:t>
      </w:r>
      <w:r>
        <w:rPr>
          <w:rFonts w:hint="eastAsia" w:asciiTheme="minorEastAsia" w:hAnsiTheme="minorEastAsia"/>
          <w:b/>
          <w:bCs/>
          <w:sz w:val="24"/>
          <w:lang w:val="en-US" w:eastAsia="zh-CN"/>
        </w:rPr>
        <w:t xml:space="preserve">50</w:t>
      </w:r>
      <w:r>
        <w:rPr>
          <w:rFonts w:hint="eastAsia" w:asciiTheme="minorEastAsia" w:hAnsiTheme="minorEastAsia"/>
          <w:b/>
          <w:bCs/>
          <w:sz w:val="24"/>
        </w:rPr>
        <w:t xml:space="preserve">分</w:t>
      </w:r>
      <w:bookmarkEnd w:id="195"/>
      <w:r/>
      <w:r/>
    </w:p>
    <w:p>
      <w:pPr>
        <w:ind w:firstLine="240"/>
        <w:spacing w:line="360" w:lineRule="auto"/>
        <w:rPr>
          <w:rFonts w:cs="宋体" w:asciiTheme="minorEastAsia" w:hAnsiTheme="minorEastAsia"/>
          <w:sz w:val="24"/>
        </w:rPr>
      </w:pPr>
      <w:r>
        <w:rPr>
          <w:rFonts w:hint="eastAsia" w:cs="宋体" w:asciiTheme="minorEastAsia" w:hAnsiTheme="minorEastAsia"/>
          <w:sz w:val="24"/>
        </w:rPr>
        <w:t xml:space="preserve">（二）各项目评分标准</w:t>
      </w:r>
      <w:bookmarkEnd w:id="194"/>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eastAsia="宋体" w:cs="Times New Roman"/>
          <w:b/>
          <w:bCs/>
          <w:color w:val="000000"/>
          <w:sz w:val="24"/>
          <w:szCs w:val="24"/>
          <w:lang w:val="en-US" w:eastAsia="zh-CN" w:bidi="ar-SA"/>
        </w:rPr>
        <w:t xml:space="preserve">1.</w:t>
      </w: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30</w:t>
      </w:r>
      <w:r>
        <w:rPr>
          <w:rFonts w:hint="eastAsia" w:ascii="宋体" w:hAnsi="宋体"/>
          <w:b/>
          <w:bCs/>
          <w:color w:val="000000"/>
          <w:sz w:val="24"/>
          <w:szCs w:val="24"/>
          <w:highlight w:val="none"/>
        </w:rPr>
        <w:t xml:space="preserve">分）：</w:t>
      </w:r>
      <w:r/>
    </w:p>
    <w:p>
      <w:pPr>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p>
    <w:p>
      <w:pPr>
        <w:ind w:firstLine="482"/>
        <w:jc w:val="left"/>
        <w:spacing w:line="500" w:lineRule="exact"/>
        <w:tabs>
          <w:tab w:val="left" w:pos="1440" w:leader="none"/>
        </w:tabs>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2.</w:t>
      </w:r>
      <w:r>
        <w:rPr>
          <w:rFonts w:hint="eastAsia" w:cs="宋体" w:asciiTheme="minorEastAsia" w:hAnsiTheme="minorEastAsia"/>
          <w:b/>
          <w:sz w:val="24"/>
        </w:rPr>
        <w:t xml:space="preserve">报价供应商综合情况</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20</w:t>
      </w:r>
      <w:r>
        <w:rPr>
          <w:rFonts w:hint="eastAsia" w:ascii="宋体" w:hAnsi="宋体"/>
          <w:b/>
          <w:bCs/>
          <w:color w:val="000000"/>
          <w:sz w:val="24"/>
          <w:szCs w:val="24"/>
          <w:highlight w:val="none"/>
        </w:rPr>
        <w:t xml:space="preserve">分）</w:t>
      </w:r>
      <w:r>
        <w:rPr>
          <w:rFonts w:hint="eastAsia" w:ascii="宋体" w:hAnsi="宋体"/>
          <w:b/>
          <w:bCs/>
          <w:color w:val="000000"/>
          <w:sz w:val="24"/>
          <w:szCs w:val="24"/>
          <w:highlight w:val="none"/>
          <w:lang w:val="en-US" w:eastAsia="zh-CN"/>
        </w:rPr>
        <w:t xml:space="preserve">:</w:t>
      </w:r>
      <w:r/>
    </w:p>
    <w:p>
      <w:pPr>
        <w:ind w:firstLine="482"/>
        <w:jc w:val="left"/>
        <w:spacing w:line="500" w:lineRule="exact"/>
        <w:tabs>
          <w:tab w:val="left" w:pos="1440" w:leader="none"/>
        </w:tabs>
        <w:rPr>
          <w:rFonts w:hint="eastAsia" w:ascii="宋体" w:hAnsi="宋体" w:eastAsia="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1)</w:t>
      </w:r>
      <w:r>
        <w:rPr>
          <w:rFonts w:hint="eastAsia" w:ascii="宋体" w:hAnsi="宋体" w:eastAsia="宋体" w:cs="Times New Roman"/>
          <w:b/>
          <w:bCs/>
          <w:color w:val="000000"/>
          <w:sz w:val="24"/>
          <w:szCs w:val="24"/>
          <w:lang w:val="en-US" w:eastAsia="zh-CN" w:bidi="ar-SA"/>
        </w:rPr>
        <w:t xml:space="preserve">、人员配置情况（5分）</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eastAsia="宋体" w:cs="Calibri"/>
          <w:b/>
          <w:bCs/>
          <w:color w:val="000000"/>
          <w:sz w:val="24"/>
          <w:szCs w:val="24"/>
          <w:lang w:val="en-US" w:eastAsia="zh-CN" w:bidi="ar-SA"/>
        </w:rPr>
        <w:t xml:space="preserve">①</w:t>
      </w:r>
      <w:r>
        <w:rPr>
          <w:rFonts w:hint="eastAsia" w:ascii="宋体" w:hAnsi="宋体" w:eastAsia="宋体" w:cs="Times New Roman"/>
          <w:b/>
          <w:bCs/>
          <w:color w:val="000000"/>
          <w:sz w:val="24"/>
          <w:szCs w:val="24"/>
          <w:lang w:val="en-US" w:eastAsia="zh-CN" w:bidi="ar-SA"/>
        </w:rPr>
        <w:t xml:space="preserve">.项目负责人要求（3分）</w:t>
      </w:r>
      <w:r>
        <w:rPr>
          <w:rFonts w:hint="eastAsia" w:ascii="宋体" w:hAnsi="宋体" w:eastAsia="宋体" w:cs="Times New Roman"/>
          <w:b w:val="0"/>
          <w:bCs w:val="0"/>
          <w:color w:val="000000"/>
          <w:sz w:val="24"/>
          <w:szCs w:val="24"/>
          <w:lang w:val="en-US" w:eastAsia="zh-CN" w:bidi="ar-SA"/>
        </w:rPr>
        <w:t xml:space="preserve">：法定退休年龄以下，学历为专科及以上学历的得1分，具有项目经理上岗证或项目经理岗位技能证书的得1分，具有三年（含）以上医疗机构同类项目管理经验的得1分。需由第三方服务单位出具证明。【提供项目负责人相关证明材料、劳动合同及社保机构出具的本企业的2025年12月～2026年2月的缴费证明，上述资料复印件加盖公章装订进入投标文件，不提供本项不得分】</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eastAsia="宋体" w:cs="Calibri"/>
          <w:b/>
          <w:bCs/>
          <w:color w:val="000000"/>
          <w:sz w:val="24"/>
          <w:szCs w:val="24"/>
          <w:lang w:val="en-US" w:eastAsia="zh-CN" w:bidi="ar-SA"/>
        </w:rPr>
        <w:t xml:space="preserve">②</w:t>
      </w:r>
      <w:r>
        <w:rPr>
          <w:rFonts w:hint="eastAsia" w:ascii="宋体" w:hAnsi="宋体" w:eastAsia="宋体" w:cs="Times New Roman"/>
          <w:b/>
          <w:bCs/>
          <w:color w:val="000000"/>
          <w:sz w:val="24"/>
          <w:szCs w:val="24"/>
          <w:lang w:val="en-US" w:eastAsia="zh-CN" w:bidi="ar-SA"/>
        </w:rPr>
        <w:t xml:space="preserve">.主管人员配置（1分）</w:t>
      </w:r>
      <w:r>
        <w:rPr>
          <w:rFonts w:hint="eastAsia" w:ascii="宋体" w:hAnsi="宋体" w:eastAsia="宋体" w:cs="Times New Roman"/>
          <w:b w:val="0"/>
          <w:bCs w:val="0"/>
          <w:color w:val="000000"/>
          <w:sz w:val="24"/>
          <w:szCs w:val="24"/>
          <w:lang w:val="en-US" w:eastAsia="zh-CN" w:bidi="ar-SA"/>
        </w:rPr>
        <w:t xml:space="preserve">：主管人员在法定退休年龄以下且学历在专科（含）以上学历的，具有二年（含）以上医疗机构同类项目负责经验的得1分。需第三方服务单位出具证明【提供主管人员相关证明材料、劳动合同及社保机构出具的本企业的2025年12月～2026年2月的缴费证明，上述资料复印件加盖公章装订进入投标文件，不提供本项不得分】</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eastAsia="宋体" w:cs="Calibri"/>
          <w:b/>
          <w:bCs/>
          <w:color w:val="000000"/>
          <w:sz w:val="24"/>
          <w:szCs w:val="24"/>
          <w:lang w:val="en-US" w:eastAsia="zh-CN" w:bidi="ar-SA"/>
        </w:rPr>
        <w:t xml:space="preserve">③</w:t>
      </w:r>
      <w:r>
        <w:rPr>
          <w:rFonts w:hint="eastAsia" w:ascii="宋体" w:hAnsi="宋体" w:eastAsia="宋体" w:cs="Times New Roman"/>
          <w:b/>
          <w:bCs/>
          <w:color w:val="000000"/>
          <w:sz w:val="24"/>
          <w:szCs w:val="24"/>
          <w:lang w:val="en-US" w:eastAsia="zh-CN" w:bidi="ar-SA"/>
        </w:rPr>
        <w:t xml:space="preserve">.其他服务人员配置（1分）</w:t>
      </w:r>
      <w:r>
        <w:rPr>
          <w:rFonts w:hint="eastAsia" w:ascii="宋体" w:hAnsi="宋体" w:eastAsia="宋体" w:cs="Times New Roman"/>
          <w:b w:val="0"/>
          <w:bCs w:val="0"/>
          <w:color w:val="000000"/>
          <w:sz w:val="24"/>
          <w:szCs w:val="24"/>
          <w:lang w:val="en-US" w:eastAsia="zh-CN" w:bidi="ar-SA"/>
        </w:rPr>
        <w:t xml:space="preserve">：其余人员(除项目负责人及主管人员外)持有红十字救护员证书的得1分。【提供人员相关证明材料、劳动合同及社保机构出具的本企业的2025年12月～2026年2月的缴费证明，上述资料复印件加盖公章装订进入投标文件，不提供本项不得分】</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2)</w:t>
      </w:r>
      <w:r>
        <w:rPr>
          <w:rFonts w:hint="eastAsia" w:ascii="宋体" w:hAnsi="宋体" w:eastAsia="宋体" w:cs="Times New Roman"/>
          <w:b/>
          <w:bCs/>
          <w:color w:val="000000"/>
          <w:sz w:val="24"/>
          <w:szCs w:val="24"/>
          <w:lang w:val="en-US" w:eastAsia="zh-CN" w:bidi="ar-SA"/>
        </w:rPr>
        <w:t xml:space="preserve">、投标人评价（15分）</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eastAsia="宋体" w:cs="Calibri"/>
          <w:b/>
          <w:bCs/>
          <w:color w:val="000000"/>
          <w:sz w:val="24"/>
          <w:szCs w:val="24"/>
          <w:lang w:val="en-US" w:eastAsia="zh-CN" w:bidi="ar-SA"/>
        </w:rPr>
        <w:t xml:space="preserve">①</w:t>
      </w:r>
      <w:r>
        <w:rPr>
          <w:rFonts w:hint="eastAsia" w:ascii="宋体" w:hAnsi="宋体" w:eastAsia="宋体" w:cs="Times New Roman"/>
          <w:b/>
          <w:bCs/>
          <w:color w:val="000000"/>
          <w:sz w:val="24"/>
          <w:szCs w:val="24"/>
          <w:lang w:val="en-US" w:eastAsia="zh-CN" w:bidi="ar-SA"/>
        </w:rPr>
        <w:t xml:space="preserve">.体系证书（6分）</w:t>
      </w:r>
      <w:r>
        <w:rPr>
          <w:rFonts w:hint="eastAsia" w:ascii="宋体" w:hAnsi="宋体" w:eastAsia="宋体" w:cs="Times New Roman"/>
          <w:b w:val="0"/>
          <w:bCs w:val="0"/>
          <w:color w:val="000000"/>
          <w:sz w:val="24"/>
          <w:szCs w:val="24"/>
          <w:lang w:val="en-US" w:eastAsia="zh-CN" w:bidi="ar-SA"/>
        </w:rPr>
        <w:t xml:space="preserve">投标供应商具有有效期内的质量管理体系认证证书、环境管理体系认证证书、职业安全健康管理体系认证证书有1个得2分，本项最高得6分。需提供官方完整截图。（投标时提供证书复印件加盖公章放入投标文件中，不提供本项不得分）</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eastAsia="宋体" w:cs="Calibri"/>
          <w:b/>
          <w:bCs/>
          <w:color w:val="000000"/>
          <w:sz w:val="24"/>
          <w:szCs w:val="24"/>
          <w:lang w:val="en-US" w:eastAsia="zh-CN" w:bidi="ar-SA"/>
        </w:rPr>
        <w:t xml:space="preserve">②</w:t>
      </w:r>
      <w:r>
        <w:rPr>
          <w:rFonts w:hint="eastAsia" w:ascii="宋体" w:hAnsi="宋体" w:eastAsia="宋体" w:cs="Times New Roman"/>
          <w:b/>
          <w:bCs/>
          <w:color w:val="000000"/>
          <w:sz w:val="24"/>
          <w:szCs w:val="24"/>
          <w:lang w:val="en-US" w:eastAsia="zh-CN" w:bidi="ar-SA"/>
        </w:rPr>
        <w:t xml:space="preserve">.业绩（4分）</w:t>
      </w:r>
      <w:r>
        <w:rPr>
          <w:rFonts w:hint="eastAsia" w:ascii="宋体" w:hAnsi="宋体" w:eastAsia="宋体" w:cs="Times New Roman"/>
          <w:b w:val="0"/>
          <w:bCs w:val="0"/>
          <w:color w:val="000000"/>
          <w:sz w:val="24"/>
          <w:szCs w:val="24"/>
          <w:lang w:val="en-US" w:eastAsia="zh-CN" w:bidi="ar-SA"/>
        </w:rPr>
        <w:t xml:space="preserve">投标供应商于2023年1月1日以来承担过同类业绩证明材料，每提供1个业绩得1分，本项最高得4分。时间以合同（协议）上签订时间为准；须同时提供中标通知书及合同复印件加公章装订在投标文件中，上述资料未按要求提供或提供不全不得分（同一单位不重复计分）（业绩的认定：需提供中标通知书及合同复印件加盖公章）。</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eastAsia="宋体" w:cs="Calibri"/>
          <w:b/>
          <w:bCs/>
          <w:color w:val="000000"/>
          <w:sz w:val="24"/>
          <w:szCs w:val="24"/>
          <w:lang w:val="en-US" w:eastAsia="zh-CN" w:bidi="ar-SA"/>
        </w:rPr>
        <w:t xml:space="preserve">③</w:t>
      </w:r>
      <w:r>
        <w:rPr>
          <w:rFonts w:hint="eastAsia" w:ascii="宋体" w:hAnsi="宋体" w:eastAsia="宋体" w:cs="Times New Roman"/>
          <w:b/>
          <w:bCs/>
          <w:color w:val="000000"/>
          <w:sz w:val="24"/>
          <w:szCs w:val="24"/>
          <w:lang w:val="en-US" w:eastAsia="zh-CN" w:bidi="ar-SA"/>
        </w:rPr>
        <w:t xml:space="preserve">. 购买保险（2分）</w:t>
      </w:r>
      <w:r>
        <w:rPr>
          <w:rFonts w:hint="eastAsia" w:ascii="宋体" w:hAnsi="宋体" w:eastAsia="宋体" w:cs="Times New Roman"/>
          <w:b w:val="0"/>
          <w:bCs w:val="0"/>
          <w:color w:val="000000"/>
          <w:sz w:val="24"/>
          <w:szCs w:val="24"/>
          <w:lang w:val="en-US" w:eastAsia="zh-CN" w:bidi="ar-SA"/>
        </w:rPr>
        <w:t xml:space="preserve">投标人购买有效期内相关责任险种的（类似公司员工意外险、雇主责任险等），有1种得1分，最多得2分。没有不得分（投标时提供相关购买证明文件复印件加盖公章）</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eastAsia="宋体" w:cs="Calibri"/>
          <w:b/>
          <w:bCs/>
          <w:color w:val="000000"/>
          <w:sz w:val="24"/>
          <w:szCs w:val="24"/>
          <w:lang w:val="en-US" w:eastAsia="zh-CN" w:bidi="ar-SA"/>
        </w:rPr>
        <w:t xml:space="preserve">④</w:t>
      </w:r>
      <w:r>
        <w:rPr>
          <w:rFonts w:hint="eastAsia" w:ascii="宋体" w:hAnsi="宋体" w:eastAsia="宋体" w:cs="Times New Roman"/>
          <w:b/>
          <w:bCs/>
          <w:color w:val="000000"/>
          <w:sz w:val="24"/>
          <w:szCs w:val="24"/>
          <w:lang w:val="en-US" w:eastAsia="zh-CN" w:bidi="ar-SA"/>
        </w:rPr>
        <w:t xml:space="preserve">.物业信息化系统（3分）</w:t>
      </w:r>
      <w:r>
        <w:rPr>
          <w:rFonts w:hint="eastAsia" w:ascii="宋体" w:hAnsi="宋体" w:eastAsia="宋体" w:cs="Times New Roman"/>
          <w:b w:val="0"/>
          <w:bCs w:val="0"/>
          <w:color w:val="000000"/>
          <w:sz w:val="24"/>
          <w:szCs w:val="24"/>
          <w:lang w:val="en-US" w:eastAsia="zh-CN" w:bidi="ar-SA"/>
        </w:rPr>
        <w:t xml:space="preserve">投标供应商拟投入信息化管理系统。软件系统应属于投标供应商自有或购买或联合开发的，自有或联合开发的需提供相关产权证明；购买的需提供采购合同（提供的相关证明复印件需加盖公章）得1分。有对该系统有实际运行证明材料复印件，（如操作界面截屏等材料）得1分。对系统的合理性、可操作性的描述（内容包含：对人员合理管理、所自动生成的工时、工作量等数据清单，运送工作任务能否可由PC端、手机APP等下单，为招标人提供各种参考数据）进行综合评议，最多得1分。　</w:t>
      </w:r>
      <w:r/>
    </w:p>
    <w:p>
      <w:pPr>
        <w:ind w:firstLine="48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r>
      <w:r/>
    </w:p>
    <w:p>
      <w:pPr>
        <w:ind w:firstLine="482"/>
        <w:spacing w:line="360" w:lineRule="auto"/>
        <w:tabs>
          <w:tab w:val="left" w:pos="945" w:leader="none"/>
          <w:tab w:val="left" w:pos="1155" w:leader="none"/>
          <w:tab w:val="left" w:pos="3823" w:leader="none"/>
        </w:tabs>
        <w:rPr>
          <w:rFonts w:hint="eastAsia" w:ascii="宋体" w:hAnsi="宋体" w:eastAsia="宋体" w:cs="宋体"/>
          <w:b/>
          <w:bCs/>
          <w:sz w:val="24"/>
        </w:rPr>
      </w:pPr>
      <w:r>
        <w:rPr>
          <w:rFonts w:hint="eastAsia" w:ascii="宋体" w:hAnsi="宋体" w:eastAsia="宋体" w:cs="宋体"/>
          <w:b/>
          <w:bCs/>
          <w:sz w:val="24"/>
        </w:rPr>
        <w:t xml:space="preserve">3.服务方案</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50</w:t>
      </w:r>
      <w:r>
        <w:rPr>
          <w:rFonts w:hint="eastAsia" w:ascii="宋体" w:hAnsi="宋体"/>
          <w:b/>
          <w:bCs/>
          <w:color w:val="000000"/>
          <w:sz w:val="24"/>
          <w:szCs w:val="24"/>
          <w:highlight w:val="none"/>
        </w:rPr>
        <w:t xml:space="preserve">分）</w:t>
      </w:r>
      <w:r/>
    </w:p>
    <w:p>
      <w:pPr>
        <w:pStyle w:val="976"/>
        <w:ind w:firstLine="422"/>
        <w:spacing w:before="0" w:after="0" w:line="500" w:lineRule="exact"/>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u w:val="single"/>
        </w:rPr>
        <w:t xml:space="preserve">注：技术部分属于暗标，投标人在制作技术部分相关内容时不得有体现投标人身份的内容，否则投标无效。</w:t>
      </w:r>
      <w:r/>
    </w:p>
    <w:p>
      <w:pPr>
        <w:pStyle w:val="976"/>
        <w:ind w:firstLine="422"/>
        <w:spacing w:before="0" w:after="0" w:line="500" w:lineRule="exact"/>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u w:val="single"/>
        </w:rPr>
      </w:r>
      <w:r/>
    </w:p>
    <w:p>
      <w:pPr>
        <w:ind w:firstLine="482"/>
        <w:jc w:val="left"/>
        <w:spacing w:line="500" w:lineRule="exact"/>
        <w:tabs>
          <w:tab w:val="left" w:pos="1440" w:leader="none"/>
        </w:tabs>
        <w:rPr>
          <w:rFonts w:hint="eastAsia" w:ascii="宋体" w:hAnsi="宋体" w:eastAsia="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1)</w:t>
      </w:r>
      <w:r>
        <w:rPr>
          <w:rFonts w:hint="eastAsia" w:ascii="宋体" w:hAnsi="宋体" w:eastAsia="宋体" w:cs="Times New Roman"/>
          <w:b/>
          <w:bCs/>
          <w:color w:val="000000"/>
          <w:sz w:val="24"/>
          <w:szCs w:val="24"/>
          <w:lang w:val="en-US" w:eastAsia="zh-CN" w:bidi="ar-SA"/>
        </w:rPr>
        <w:t xml:space="preserve">、整体方案及策划思路（20分）</w:t>
      </w:r>
      <w:r/>
    </w:p>
    <w:p>
      <w:pPr>
        <w:numPr>
          <w:ilvl w:val="0"/>
          <w:numId w:val="8"/>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医院后勤服务管理定位3分：定位清晰，支撑临床，提升体验得3分；定位基本准确，保障日常运转得2分；定位模糊，仅停留在事务性层面得1分。</w:t>
      </w:r>
      <w:r/>
    </w:p>
    <w:p>
      <w:pPr>
        <w:numPr>
          <w:ilvl w:val="0"/>
          <w:numId w:val="8"/>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医院整体管理方案策划3分：方案系统全面，针对性强，有创新得3分。方案较完整，但缺乏亮点得2分。方案零散，仅为简单罗列处1分。</w:t>
      </w:r>
      <w:r/>
    </w:p>
    <w:p>
      <w:pPr>
        <w:numPr>
          <w:ilvl w:val="0"/>
          <w:numId w:val="8"/>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医院项目服务管理具体措施5分：措施详实，可操作性强，有信息化手段得5分。措施具体，流程清晰，能指导日常工作得4分。措施覆盖基本内容，但细节不足得3分。措施笼统，缺乏执行支撑得2分。仅有框架，无实质内容得1分。</w:t>
      </w:r>
      <w:r/>
    </w:p>
    <w:p>
      <w:pPr>
        <w:numPr>
          <w:ilvl w:val="0"/>
          <w:numId w:val="8"/>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医院项目服务的操作规范及作业标准4分：建立标准化作业程序（SOP），数据量化清晰处4分。有明确流程，但量化不足得3分。有简单要求，但标准宽泛得2分。无成文规范，凭经验操作得1分。</w:t>
      </w:r>
      <w:r/>
    </w:p>
    <w:p>
      <w:pPr>
        <w:numPr>
          <w:ilvl w:val="0"/>
          <w:numId w:val="8"/>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医院项目服务管理指标承诺5分：指标全面有挑战，有第三方考核机制得5分。有基本承诺，但缺乏监督体系得3分。无明确指标，无可量化依据得1分。</w:t>
      </w:r>
      <w:r/>
    </w:p>
    <w:p>
      <w:pPr>
        <w:ind w:firstLine="482"/>
        <w:jc w:val="left"/>
        <w:spacing w:line="500" w:lineRule="exact"/>
        <w:tabs>
          <w:tab w:val="left" w:pos="1440" w:leader="none"/>
        </w:tabs>
        <w:rPr>
          <w:rFonts w:hint="eastAsia" w:ascii="宋体" w:hAnsi="宋体" w:eastAsia="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2)</w:t>
      </w:r>
      <w:r>
        <w:rPr>
          <w:rFonts w:hint="eastAsia" w:ascii="宋体" w:hAnsi="宋体" w:eastAsia="宋体" w:cs="Times New Roman"/>
          <w:b/>
          <w:bCs/>
          <w:color w:val="000000"/>
          <w:sz w:val="24"/>
          <w:szCs w:val="24"/>
          <w:lang w:val="en-US" w:eastAsia="zh-CN" w:bidi="ar-SA"/>
        </w:rPr>
        <w:t xml:space="preserve">、管理人员配备及员工管理（10分）</w:t>
      </w:r>
      <w:r/>
    </w:p>
    <w:p>
      <w:pPr>
        <w:ind w:firstLine="48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宋体"/>
          <w:b w:val="0"/>
          <w:bCs w:val="0"/>
          <w:color w:val="000000"/>
          <w:sz w:val="24"/>
          <w:szCs w:val="24"/>
          <w:lang w:val="en-US" w:eastAsia="zh-CN" w:bidi="ar-SA"/>
        </w:rPr>
        <w:t xml:space="preserve">①</w:t>
      </w:r>
      <w:r>
        <w:rPr>
          <w:rFonts w:hint="eastAsia" w:ascii="宋体" w:hAnsi="宋体" w:eastAsia="宋体" w:cs="Times New Roman"/>
          <w:b w:val="0"/>
          <w:bCs w:val="0"/>
          <w:color w:val="000000"/>
          <w:sz w:val="24"/>
          <w:szCs w:val="24"/>
          <w:lang w:val="en-US" w:eastAsia="zh-CN" w:bidi="ar-SA"/>
        </w:rPr>
        <w:t xml:space="preserve">、员工录用标准2分：标准明确，与岗位高度匹配，流程规范得2分。标准模糊或执行随意不得分。 </w:t>
      </w:r>
      <w:r/>
    </w:p>
    <w:p>
      <w:pPr>
        <w:ind w:firstLine="48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宋体"/>
          <w:b w:val="0"/>
          <w:bCs w:val="0"/>
          <w:color w:val="000000"/>
          <w:sz w:val="24"/>
          <w:szCs w:val="24"/>
          <w:lang w:val="en-US" w:eastAsia="zh-CN" w:bidi="ar-SA"/>
        </w:rPr>
        <w:t xml:space="preserve">②</w:t>
      </w:r>
      <w:r>
        <w:rPr>
          <w:rFonts w:hint="eastAsia" w:ascii="宋体" w:hAnsi="宋体" w:eastAsia="宋体" w:cs="Times New Roman"/>
          <w:b w:val="0"/>
          <w:bCs w:val="0"/>
          <w:color w:val="000000"/>
          <w:sz w:val="24"/>
          <w:szCs w:val="24"/>
          <w:lang w:val="en-US" w:eastAsia="zh-CN" w:bidi="ar-SA"/>
        </w:rPr>
        <w:t xml:space="preserve">、员工培训方案2分：方案系统，覆盖岗前和在岗，有考核闭环得2分。方案简单，或缺乏实操性不得分。</w:t>
      </w:r>
      <w:r/>
    </w:p>
    <w:p>
      <w:pPr>
        <w:ind w:firstLine="48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cs="Calibri"/>
          <w:b w:val="0"/>
          <w:bCs w:val="0"/>
          <w:color w:val="000000"/>
          <w:sz w:val="24"/>
          <w:szCs w:val="24"/>
          <w:lang w:val="en-US" w:eastAsia="zh-CN" w:bidi="ar-SA"/>
        </w:rPr>
        <w:t xml:space="preserve">③</w:t>
      </w:r>
      <w:r>
        <w:rPr>
          <w:rFonts w:hint="eastAsia" w:ascii="宋体" w:hAnsi="宋体" w:eastAsia="宋体" w:cs="Times New Roman"/>
          <w:b w:val="0"/>
          <w:bCs w:val="0"/>
          <w:color w:val="000000"/>
          <w:sz w:val="24"/>
          <w:szCs w:val="24"/>
          <w:lang w:val="en-US" w:eastAsia="zh-CN" w:bidi="ar-SA"/>
        </w:rPr>
        <w:t xml:space="preserve">、主要员工岗位职责2分：职责清晰，分工明确，无交叉空白得2分。职责笼统，或界定不清不得分。</w:t>
      </w:r>
      <w:r/>
    </w:p>
    <w:p>
      <w:pPr>
        <w:ind w:firstLine="48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cs="Calibri"/>
          <w:b w:val="0"/>
          <w:bCs w:val="0"/>
          <w:color w:val="000000"/>
          <w:sz w:val="24"/>
          <w:szCs w:val="24"/>
          <w:lang w:val="en-US" w:eastAsia="zh-CN" w:bidi="ar-SA"/>
        </w:rPr>
        <w:t xml:space="preserve">④</w:t>
      </w:r>
      <w:r>
        <w:rPr>
          <w:rFonts w:hint="eastAsia" w:ascii="宋体" w:hAnsi="宋体" w:eastAsia="宋体" w:cs="Times New Roman"/>
          <w:b w:val="0"/>
          <w:bCs w:val="0"/>
          <w:color w:val="000000"/>
          <w:sz w:val="24"/>
          <w:szCs w:val="24"/>
          <w:lang w:val="en-US" w:eastAsia="zh-CN" w:bidi="ar-SA"/>
        </w:rPr>
        <w:t xml:space="preserve">、员工考核与奖惩机制2分：机制健全，指标量化，赏罚分明得2分。机制缺失，或流于形式，不得分。</w:t>
      </w:r>
      <w:r/>
    </w:p>
    <w:p>
      <w:pPr>
        <w:ind w:firstLine="48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宋体"/>
          <w:b w:val="0"/>
          <w:bCs w:val="0"/>
          <w:color w:val="000000"/>
          <w:sz w:val="24"/>
          <w:szCs w:val="24"/>
          <w:lang w:val="en-US" w:eastAsia="zh-CN" w:bidi="ar-SA"/>
        </w:rPr>
        <w:t xml:space="preserve">⑤</w:t>
      </w:r>
      <w:r>
        <w:rPr>
          <w:rFonts w:hint="eastAsia" w:ascii="宋体" w:hAnsi="宋体" w:eastAsia="宋体" w:cs="Times New Roman"/>
          <w:b w:val="0"/>
          <w:bCs w:val="0"/>
          <w:color w:val="000000"/>
          <w:sz w:val="24"/>
          <w:szCs w:val="24"/>
          <w:lang w:val="en-US" w:eastAsia="zh-CN" w:bidi="ar-SA"/>
        </w:rPr>
        <w:t xml:space="preserve">.员工仪容仪表、着装及标识2分：统一规范，整洁得体，标识清晰得2分。 要求不严，或执行不到位不得分。</w:t>
      </w:r>
      <w:r/>
    </w:p>
    <w:p>
      <w:pPr>
        <w:ind w:firstLine="482"/>
        <w:jc w:val="left"/>
        <w:spacing w:line="500" w:lineRule="exact"/>
        <w:tabs>
          <w:tab w:val="left" w:pos="1440" w:leader="none"/>
        </w:tabs>
        <w:rPr>
          <w:rFonts w:hint="eastAsia" w:ascii="宋体" w:hAnsi="宋体" w:eastAsia="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3)</w:t>
      </w:r>
      <w:r>
        <w:rPr>
          <w:rFonts w:hint="eastAsia" w:ascii="宋体" w:hAnsi="宋体" w:eastAsia="宋体" w:cs="Times New Roman"/>
          <w:b/>
          <w:bCs/>
          <w:color w:val="000000"/>
          <w:sz w:val="24"/>
          <w:szCs w:val="24"/>
          <w:lang w:val="en-US" w:eastAsia="zh-CN" w:bidi="ar-SA"/>
        </w:rPr>
        <w:t xml:space="preserve">、管理机构设置及管理制度及其他（20分）</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管理工作流程、重点、难点和措施2分： 流程清晰，重难点把握精准，应对措施具体可行得2分。不符合以上要求不得分。  </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管理机制的建立2分：机制健全，运行顺畅，形成闭环管理得2分。不符合以上要求不得分。  </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各项管理规章制度2分：制度完备，覆盖全面，合规性强得2分。不符合以上要求不得分。</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与采购人以及其他单位、部门的综合协调方案2分：</w:t>
      </w:r>
      <w:r>
        <w:rPr>
          <w:rFonts w:hint="default" w:ascii="宋体" w:hAnsi="宋体" w:eastAsia="宋体" w:cs="Times New Roman"/>
          <w:b w:val="0"/>
          <w:bCs w:val="0"/>
          <w:color w:val="000000"/>
          <w:sz w:val="24"/>
          <w:szCs w:val="24"/>
          <w:lang w:val="en-US" w:eastAsia="zh-CN" w:bidi="ar-SA"/>
        </w:rPr>
        <w:t xml:space="preserve"> </w:t>
      </w:r>
      <w:r>
        <w:rPr>
          <w:rFonts w:hint="eastAsia" w:ascii="宋体" w:hAnsi="宋体" w:eastAsia="宋体" w:cs="Times New Roman"/>
          <w:b w:val="0"/>
          <w:bCs w:val="0"/>
          <w:color w:val="000000"/>
          <w:sz w:val="24"/>
          <w:szCs w:val="24"/>
          <w:lang w:val="en-US" w:eastAsia="zh-CN" w:bidi="ar-SA"/>
        </w:rPr>
        <w:t xml:space="preserve">协调机制畅通，职责边界清晰，沟通高效得2分。不符合以上要求不得分。</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正式接管前具体措施2分：措施周密，筹备充分，无缝衔接得2分。不符合以上要求不得分。</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特殊情况应急预案及措施2分：预案完整，针对性强，定期演练得2分。不符合以上要求不得分。</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过失及意外保障措施2分：保障机制完善，责任界定清晰，有补救措施得2分。不符合以上要求不得分。                              </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档案资料管理2分：</w:t>
      </w:r>
      <w:r>
        <w:rPr>
          <w:rFonts w:hint="default" w:ascii="宋体" w:hAnsi="宋体" w:eastAsia="宋体" w:cs="Times New Roman"/>
          <w:b w:val="0"/>
          <w:bCs w:val="0"/>
          <w:color w:val="000000"/>
          <w:sz w:val="24"/>
          <w:szCs w:val="24"/>
          <w:lang w:val="en-US" w:eastAsia="zh-CN" w:bidi="ar-SA"/>
        </w:rPr>
        <w:t xml:space="preserve"> </w:t>
      </w:r>
      <w:r>
        <w:rPr>
          <w:rFonts w:hint="eastAsia" w:ascii="宋体" w:hAnsi="宋体" w:eastAsia="宋体" w:cs="Times New Roman"/>
          <w:b w:val="0"/>
          <w:bCs w:val="0"/>
          <w:color w:val="000000"/>
          <w:sz w:val="24"/>
          <w:szCs w:val="24"/>
          <w:lang w:val="en-US" w:eastAsia="zh-CN" w:bidi="ar-SA"/>
        </w:rPr>
        <w:t xml:space="preserve">归档及时，分类规范得2分，不符合以上要求不得分。</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后勤管理设备及物品的配备及维保使用方案2分：</w:t>
      </w:r>
      <w:r>
        <w:rPr>
          <w:rFonts w:hint="default" w:ascii="宋体" w:hAnsi="宋体" w:eastAsia="宋体" w:cs="Times New Roman"/>
          <w:b w:val="0"/>
          <w:bCs w:val="0"/>
          <w:color w:val="000000"/>
          <w:sz w:val="24"/>
          <w:szCs w:val="24"/>
          <w:lang w:val="en-US" w:eastAsia="zh-CN" w:bidi="ar-SA"/>
        </w:rPr>
        <w:t xml:space="preserve"> </w:t>
      </w:r>
      <w:r>
        <w:rPr>
          <w:rFonts w:hint="eastAsia" w:ascii="宋体" w:hAnsi="宋体" w:eastAsia="宋体" w:cs="Times New Roman"/>
          <w:b w:val="0"/>
          <w:bCs w:val="0"/>
          <w:color w:val="000000"/>
          <w:sz w:val="24"/>
          <w:szCs w:val="24"/>
          <w:lang w:val="en-US" w:eastAsia="zh-CN" w:bidi="ar-SA"/>
        </w:rPr>
        <w:t xml:space="preserve">配备齐全，维保计划周密，使用规范得2分。不符合以上要求不得分。</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服务特色与创新2分：特色鲜明，有实质性创新举措得2分。不符合以上要求不得分。</w:t>
      </w:r>
      <w:r/>
    </w:p>
    <w:p>
      <w:pPr>
        <w:ind w:firstLine="48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shd w:val="nil"/>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br w:type="page" w:clear="all"/>
      </w:r>
      <w:r>
        <w:rPr>
          <w:rFonts w:hint="eastAsia" w:ascii="黑体" w:hAnsi="黑体" w:eastAsia="黑体"/>
          <w:color w:val="000000"/>
          <w:sz w:val="36"/>
          <w:szCs w:val="36"/>
          <w:highlight w:val="none"/>
        </w:rP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t xml:space="preserve">第六章  </w:t>
      </w:r>
      <w:bookmarkEnd w:id="189"/>
      <w:r/>
      <w:bookmarkEnd w:id="190"/>
      <w:r/>
      <w:bookmarkEnd w:id="193"/>
      <w:r>
        <w:rPr>
          <w:rFonts w:hint="eastAsia" w:ascii="黑体" w:hAnsi="黑体" w:eastAsia="黑体"/>
          <w:color w:val="000000"/>
          <w:sz w:val="36"/>
          <w:szCs w:val="36"/>
          <w:highlight w:val="none"/>
        </w:rPr>
        <w:t xml:space="preserve">投标文件内容与格式</w:t>
      </w:r>
      <w:r/>
    </w:p>
    <w:p>
      <w:pPr>
        <w:pStyle w:val="976"/>
        <w:ind w:firstLine="602"/>
        <w:spacing w:before="0" w:after="0" w:line="500" w:lineRule="exact"/>
        <w:rPr>
          <w:rFonts w:hint="eastAsia" w:cs="Arial"/>
          <w:b/>
          <w:color w:val="000000"/>
          <w:sz w:val="30"/>
          <w:szCs w:val="30"/>
          <w:highlight w:val="none"/>
        </w:rPr>
      </w:pPr>
      <w:r/>
      <w:bookmarkStart w:id="196" w:name="_Hlt26671244"/>
      <w:r/>
      <w:bookmarkEnd w:id="196"/>
      <w:r/>
      <w:bookmarkStart w:id="197" w:name="_Hlt26955039"/>
      <w:r/>
      <w:bookmarkEnd w:id="197"/>
      <w:r/>
      <w:bookmarkStart w:id="198" w:name="_Toc120614282"/>
      <w:r/>
      <w:bookmarkStart w:id="199" w:name="_Toc49090576"/>
      <w:r/>
      <w:bookmarkStart w:id="200" w:name="_Toc26554094"/>
      <w:r>
        <w:rPr>
          <w:rFonts w:hint="eastAsia" w:cs="Arial"/>
          <w:b/>
          <w:color w:val="000000"/>
          <w:sz w:val="30"/>
          <w:szCs w:val="30"/>
          <w:highlight w:val="none"/>
        </w:rPr>
        <w:t xml:space="preserve">第一部分  投标文件内容</w:t>
      </w:r>
      <w:r/>
    </w:p>
    <w:p>
      <w:pPr>
        <w:pStyle w:val="976"/>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1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6"/>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976"/>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p>
        </w:tc>
        <w:tc>
          <w:tcPr>
            <w:tcW w:w="2449" w:type="dxa"/>
            <w:vAlign w:val="center"/>
            <w:textDirection w:val="lrTb"/>
            <w:noWrap w:val="false"/>
          </w:tcPr>
          <w:p>
            <w:pPr>
              <w:pStyle w:val="976"/>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p>
        </w:tc>
      </w:tr>
      <w:tr>
        <w:trPr>
          <w:jc w:val="center"/>
          <w:trHeight w:val="1335"/>
        </w:trPr>
        <w:tc>
          <w:tcPr>
            <w:tcW w:w="719" w:type="dxa"/>
            <w:vAlign w:val="center"/>
            <w:textDirection w:val="lrTb"/>
            <w:noWrap w:val="false"/>
          </w:tcPr>
          <w:p>
            <w:pPr>
              <w:pStyle w:val="97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7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1684"/>
        </w:trPr>
        <w:tc>
          <w:tcPr>
            <w:tcW w:w="719" w:type="dxa"/>
            <w:vAlign w:val="center"/>
            <w:textDirection w:val="lrTb"/>
            <w:noWrap w:val="false"/>
          </w:tcPr>
          <w:p>
            <w:pPr>
              <w:pStyle w:val="97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5"/>
                <w:rFonts w:hint="eastAsia" w:ascii="宋体" w:hAnsi="宋体" w:cs="宋体"/>
                <w:color w:val="000000"/>
                <w:sz w:val="24"/>
                <w:szCs w:val="24"/>
                <w:highlight w:val="none"/>
              </w:rPr>
              <w:t xml:space="preserve">。</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963"/>
        </w:trPr>
        <w:tc>
          <w:tcPr>
            <w:tcW w:w="719" w:type="dxa"/>
            <w:vAlign w:val="center"/>
            <w:textDirection w:val="lrTb"/>
            <w:noWrap w:val="false"/>
          </w:tcPr>
          <w:p>
            <w:pPr>
              <w:pStyle w:val="97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1023"/>
        </w:trPr>
        <w:tc>
          <w:tcPr>
            <w:tcW w:w="719" w:type="dxa"/>
            <w:vAlign w:val="center"/>
            <w:textDirection w:val="lrTb"/>
            <w:noWrap w:val="false"/>
          </w:tcPr>
          <w:p>
            <w:pPr>
              <w:pStyle w:val="97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05"/>
        </w:trPr>
        <w:tc>
          <w:tcPr>
            <w:tcW w:w="719" w:type="dxa"/>
            <w:vAlign w:val="center"/>
            <w:textDirection w:val="lrTb"/>
            <w:noWrap w:val="false"/>
          </w:tcPr>
          <w:p>
            <w:pPr>
              <w:pStyle w:val="97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00"/>
        </w:trPr>
        <w:tc>
          <w:tcPr>
            <w:tcW w:w="719" w:type="dxa"/>
            <w:vAlign w:val="center"/>
            <w:textDirection w:val="lrTb"/>
            <w:noWrap w:val="false"/>
          </w:tcPr>
          <w:p>
            <w:pPr>
              <w:pStyle w:val="97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976"/>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6"/>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p>
        </w:tc>
        <w:tc>
          <w:tcPr>
            <w:tcW w:w="2449" w:type="dxa"/>
            <w:vAlign w:val="center"/>
            <w:textDirection w:val="lrTb"/>
            <w:noWrap w:val="false"/>
          </w:tcPr>
          <w:p>
            <w:pPr>
              <w:pStyle w:val="976"/>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976"/>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p>
        </w:tc>
        <w:tc>
          <w:tcPr>
            <w:gridSpan w:val="2"/>
            <w:tcW w:w="8553" w:type="dxa"/>
            <w:vAlign w:val="center"/>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0"/>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rPr>
      </w:pPr>
      <w:r>
        <w:rPr>
          <w:rFonts w:hint="eastAsia" w:ascii="宋体" w:hAnsi="宋体"/>
          <w:color w:val="000000"/>
          <w:highlight w:val="none"/>
        </w:rPr>
        <w:br w:type="page" w:clear="all"/>
      </w:r>
      <w:r>
        <w:rPr>
          <w:rFonts w:hint="eastAsia"/>
          <w:b/>
          <w:color w:val="000000" w:themeColor="text1"/>
          <w:sz w:val="28"/>
          <w:szCs w:val="28"/>
          <w:highlight w:val="none"/>
        </w:rPr>
        <w:t xml:space="preserve">二、符合性证明文件及其他证明文件</w:t>
      </w:r>
      <w:r/>
    </w:p>
    <w:p>
      <w:pPr>
        <w:rPr>
          <w:b/>
          <w:color w:val="000000" w:themeColor="text1"/>
          <w:sz w:val="28"/>
          <w:szCs w:val="28"/>
          <w:highlight w:val="none"/>
        </w:rPr>
      </w:pPr>
      <w:r>
        <w:rPr>
          <w:rFonts w:hint="eastAsia"/>
          <w:b/>
          <w:color w:val="000000" w:themeColor="text1"/>
          <w:sz w:val="28"/>
          <w:szCs w:val="28"/>
          <w:highlight w:val="none"/>
        </w:rPr>
        <w:t xml:space="preserve">（一）符合性证明文件</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p>
        </w:tc>
        <w:tc>
          <w:tcPr>
            <w:tcW w:w="6095" w:type="dxa"/>
            <w:vAlign w:val="center"/>
            <w:textDirection w:val="lrTb"/>
            <w:noWrap w:val="false"/>
          </w:tcPr>
          <w:p>
            <w:pPr>
              <w:pStyle w:val="976"/>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976"/>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976"/>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p>
        </w:tc>
      </w:tr>
      <w:tr>
        <w:trPr>
          <w:jc w:val="center"/>
          <w:trHeight w:val="567"/>
        </w:trPr>
        <w:tc>
          <w:tcPr>
            <w:shd w:val="clear" w:color="auto" w:fill="auto"/>
            <w:tcW w:w="823" w:type="dxa"/>
            <w:vAlign w:val="center"/>
            <w:textDirection w:val="lrTb"/>
            <w:noWrap w:val="false"/>
          </w:tcPr>
          <w:p>
            <w:pPr>
              <w:pStyle w:val="976"/>
              <w:ind w:firstLine="0"/>
              <w:jc w:val="center"/>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2</w:t>
            </w:r>
            <w:r/>
          </w:p>
        </w:tc>
        <w:tc>
          <w:tcPr>
            <w:shd w:val="clear" w:color="auto" w:fill="auto"/>
            <w:tcW w:w="6095" w:type="dxa"/>
            <w:vAlign w:val="center"/>
            <w:textDirection w:val="lrTb"/>
            <w:noWrap w:val="false"/>
          </w:tcPr>
          <w:p>
            <w:pPr>
              <w:pStyle w:val="976"/>
              <w:ind w:firstLine="0"/>
              <w:jc w:val="both"/>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 xml:space="preserve">3</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项目人员配置考察表（给定格式）</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4</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976"/>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5</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6</w:t>
            </w:r>
            <w:r/>
          </w:p>
        </w:tc>
        <w:tc>
          <w:tcPr>
            <w:tcW w:w="6095" w:type="dxa"/>
            <w:vAlign w:val="center"/>
            <w:textDirection w:val="lrTb"/>
            <w:noWrap w:val="false"/>
          </w:tcPr>
          <w:p>
            <w:pPr>
              <w:pStyle w:val="976"/>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976"/>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7</w:t>
            </w:r>
            <w:r/>
          </w:p>
        </w:tc>
        <w:tc>
          <w:tcPr>
            <w:tcW w:w="6095" w:type="dxa"/>
            <w:vAlign w:val="center"/>
            <w:textDirection w:val="lrTb"/>
            <w:noWrap w:val="false"/>
          </w:tcPr>
          <w:p>
            <w:pPr>
              <w:pStyle w:val="976"/>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w:t>
      </w:r>
      <w:r>
        <w:rPr>
          <w:rFonts w:hint="eastAsia" w:ascii="宋体" w:hAnsi="宋体" w:cs="Arial"/>
          <w:color w:val="000000" w:themeColor="text1"/>
          <w:sz w:val="24"/>
          <w:szCs w:val="24"/>
          <w:highlight w:val="none"/>
          <w:lang w:val="en-US" w:eastAsia="zh-CN"/>
        </w:rPr>
        <w:t xml:space="preserve">7</w:t>
      </w:r>
      <w:r>
        <w:rPr>
          <w:rFonts w:hint="eastAsia" w:ascii="宋体" w:hAnsi="宋体" w:cs="Arial"/>
          <w:color w:val="000000" w:themeColor="text1"/>
          <w:sz w:val="24"/>
          <w:szCs w:val="24"/>
          <w:highlight w:val="none"/>
        </w:rPr>
        <w:t xml:space="preserve">项，《采购需求》中如有要求提供证明材料的，须按要求提供，否则投标文件无效。</w:t>
      </w:r>
      <w:r/>
    </w:p>
    <w:p>
      <w:pPr>
        <w:numPr>
          <w:ilvl w:val="0"/>
          <w:numId w:val="11"/>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项按《采购需求》中的相应要求（如有）进行提供。</w:t>
      </w:r>
      <w:r/>
    </w:p>
    <w:p>
      <w:pPr>
        <w:rPr>
          <w:rFonts w:hint="eastAsia"/>
          <w:b/>
          <w:color w:val="000000" w:themeColor="text1"/>
          <w:sz w:val="28"/>
          <w:szCs w:val="28"/>
          <w:highlight w:val="none"/>
        </w:rPr>
      </w:pPr>
      <w:r>
        <w:rPr>
          <w:rFonts w:hint="eastAsia"/>
          <w:b/>
          <w:color w:val="000000" w:themeColor="text1"/>
          <w:sz w:val="28"/>
          <w:szCs w:val="28"/>
          <w:highlight w:val="none"/>
        </w:rPr>
      </w:r>
      <w:r/>
    </w:p>
    <w:p>
      <w:pPr>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p>
    <w:p>
      <w:pPr>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p>
    <w:p>
      <w:pPr>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p>
    <w:p>
      <w:pPr>
        <w:pStyle w:val="976"/>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w:t>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w:t>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p>
    <w:p>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974"/>
        <w:ind w:firstLine="480"/>
        <w:spacing w:line="360" w:lineRule="auto"/>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项目，兹授权：</w:t>
      </w:r>
      <w:r/>
    </w:p>
    <w:p>
      <w:pPr>
        <w:pStyle w:val="974"/>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974"/>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974"/>
        <w:ind w:firstLine="480"/>
        <w:spacing w:line="360" w:lineRule="auto"/>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974"/>
        <w:ind w:firstLine="480"/>
        <w:spacing w:line="360" w:lineRule="auto"/>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974"/>
        <w:ind w:firstLine="480"/>
        <w:spacing w:line="360" w:lineRule="auto"/>
        <w:rPr>
          <w:rFonts w:hint="eastAsia"/>
          <w:color w:val="000000"/>
          <w:sz w:val="24"/>
          <w:szCs w:val="24"/>
          <w:highlight w:val="none"/>
        </w:rPr>
      </w:pPr>
      <w:r>
        <w:rPr>
          <w:rFonts w:hint="eastAsia"/>
          <w:color w:val="000000"/>
          <w:sz w:val="24"/>
          <w:szCs w:val="24"/>
          <w:highlight w:val="none"/>
        </w:rPr>
        <w:t xml:space="preserve">特此授权委托。</w:t>
      </w:r>
      <w:r/>
    </w:p>
    <w:p>
      <w:pPr>
        <w:pStyle w:val="974"/>
        <w:ind w:firstLine="0"/>
        <w:spacing w:line="360" w:lineRule="auto"/>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974"/>
        <w:ind w:firstLine="0"/>
        <w:spacing w:line="360" w:lineRule="auto"/>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p>
    <w:p>
      <w:pPr>
        <w:pStyle w:val="974"/>
        <w:ind w:firstLine="0"/>
        <w:spacing w:line="360" w:lineRule="auto"/>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4"/>
        <w:ind w:firstLine="0"/>
        <w:spacing w:line="360" w:lineRule="auto"/>
        <w:rPr>
          <w:rFonts w:hint="eastAsia"/>
          <w:color w:val="000000"/>
          <w:sz w:val="21"/>
          <w:szCs w:val="21"/>
          <w:highlight w:val="none"/>
        </w:rPr>
      </w:pPr>
      <w:r>
        <w:rPr>
          <w:rFonts w:hint="eastAsia"/>
          <w:color w:val="000000"/>
          <w:sz w:val="21"/>
          <w:szCs w:val="21"/>
          <w:highlight w:val="none"/>
        </w:rPr>
      </w:r>
      <w:r/>
    </w:p>
    <w:p>
      <w:pPr>
        <w:pStyle w:val="974"/>
        <w:ind w:firstLine="0"/>
        <w:spacing w:line="360" w:lineRule="auto"/>
        <w:rPr>
          <w:rFonts w:hint="eastAsia"/>
          <w:color w:val="000000"/>
          <w:sz w:val="21"/>
          <w:szCs w:val="21"/>
          <w:highlight w:val="none"/>
        </w:rPr>
      </w:pPr>
      <w:r>
        <w:rPr>
          <w:rFonts w:hint="eastAsia"/>
          <w:color w:val="000000"/>
          <w:sz w:val="21"/>
          <w:szCs w:val="21"/>
          <w:highlight w:val="none"/>
        </w:rPr>
        <w:t xml:space="preserve">说明：</w:t>
      </w:r>
      <w:r/>
    </w:p>
    <w:p>
      <w:pPr>
        <w:pStyle w:val="974"/>
        <w:numPr>
          <w:ilvl w:val="0"/>
          <w:numId w:val="12"/>
        </w:numPr>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p>
    <w:p>
      <w:pPr>
        <w:pStyle w:val="974"/>
        <w:numPr>
          <w:ilvl w:val="0"/>
          <w:numId w:val="12"/>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74"/>
        <w:numPr>
          <w:ilvl w:val="0"/>
          <w:numId w:val="12"/>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p>
    <w:p>
      <w:pPr>
        <w:pStyle w:val="974"/>
        <w:numPr>
          <w:ilvl w:val="0"/>
          <w:numId w:val="12"/>
        </w:numPr>
        <w:ind w:firstLine="420"/>
        <w:spacing w:line="360" w:lineRule="auto"/>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74"/>
        <w:ind w:firstLine="0"/>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201" w:name="报价方关于资格的声明函（格式）"/>
      <w:r/>
      <w:bookmarkEnd w:id="201"/>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进行投标，并作如下声明</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rFonts w:hint="eastAsia"/>
          <w:color w:val="000000"/>
          <w:highlight w:val="none"/>
        </w:rPr>
      </w:pPr>
      <w:r>
        <w:rPr>
          <w:rFonts w:hint="eastAsia"/>
          <w:color w:val="000000"/>
          <w:highlight w:val="none"/>
        </w:rPr>
      </w:r>
      <w:r/>
    </w:p>
    <w:p>
      <w:pPr>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w:t>
      </w:r>
      <w:r/>
    </w:p>
    <w:p>
      <w:pPr>
        <w:ind w:firstLine="48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3"/>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jc w:val="right"/>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在此承诺：</w:t>
      </w:r>
      <w:r/>
    </w:p>
    <w:p>
      <w:pPr>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对本项目所提供的货物均为原厂全新合格产品，提供的服务符合招标文件要求。</w:t>
      </w:r>
      <w:r/>
    </w:p>
    <w:p>
      <w:pPr>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p>
    <w:p>
      <w:pPr>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p>
    <w:p>
      <w:pPr>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p>
    <w:p>
      <w:pPr>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48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p>
    <w:p>
      <w:pPr>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1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3188"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投标总报价（小写）</w:t>
            </w:r>
            <w:r/>
          </w:p>
        </w:tc>
      </w:tr>
      <w:tr>
        <w:trPr>
          <w:cantSplit/>
          <w:trHeight w:val="1630"/>
        </w:trPr>
        <w:tc>
          <w:tcPr>
            <w:tcW w:w="5697" w:type="dxa"/>
            <w:vAlign w:val="center"/>
            <w:textDirection w:val="lrTb"/>
            <w:noWrap w:val="false"/>
          </w:tcPr>
          <w:p>
            <w:pPr>
              <w:pStyle w:val="1002"/>
              <w:jc w:val="center"/>
              <w:spacing w:line="400" w:lineRule="exact"/>
              <w:rPr>
                <w:rFonts w:hint="eastAsia" w:hAnsi="宋体"/>
                <w:bCs/>
                <w:color w:val="000000"/>
                <w:szCs w:val="24"/>
                <w:highlight w:val="none"/>
              </w:rPr>
            </w:pPr>
            <w:r>
              <w:rPr>
                <w:rFonts w:hint="eastAsia" w:hAnsi="宋体"/>
                <w:bCs/>
                <w:color w:val="000000"/>
                <w:szCs w:val="24"/>
                <w:highlight w:val="none"/>
              </w:rPr>
            </w:r>
            <w:r/>
          </w:p>
        </w:tc>
        <w:tc>
          <w:tcPr>
            <w:tcW w:w="3188" w:type="dxa"/>
            <w:vAlign w:val="center"/>
            <w:textDirection w:val="lrTb"/>
            <w:noWrap w:val="false"/>
          </w:tcPr>
          <w:p>
            <w:pPr>
              <w:pStyle w:val="1002"/>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p>
        </w:tc>
      </w:tr>
    </w:tbl>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3"/>
        </w:numPr>
        <w:spacing w:line="360" w:lineRule="auto"/>
        <w:rPr>
          <w:rFonts w:hint="eastAsia"/>
          <w:b/>
          <w:color w:val="000000" w:themeColor="text1"/>
          <w:sz w:val="28"/>
          <w:szCs w:val="28"/>
          <w:highlight w:val="none"/>
        </w:rPr>
      </w:pPr>
      <w:r>
        <w:rPr>
          <w:rFonts w:hint="eastAsia" w:ascii="黑体" w:eastAsia="黑体"/>
          <w:bCs/>
          <w:color w:val="000000"/>
          <w:sz w:val="24"/>
          <w:szCs w:val="24"/>
          <w:highlight w:val="none"/>
        </w:rPr>
        <w:br w:type="page" w:clear="all"/>
      </w:r>
      <w:r>
        <w:rPr>
          <w:rFonts w:hint="eastAsia"/>
          <w:b/>
          <w:color w:val="000000" w:themeColor="text1"/>
          <w:sz w:val="28"/>
          <w:szCs w:val="28"/>
          <w:highlight w:val="none"/>
        </w:rPr>
        <w:t xml:space="preserve">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r/>
    </w:p>
    <w:p>
      <w:pPr>
        <w:numPr>
          <w:ilvl w:val="0"/>
          <w:numId w:val="0"/>
        </w:numPr>
        <w:jc w:val="center"/>
        <w:spacing w:line="360" w:lineRule="auto"/>
        <w:rPr>
          <w:rFonts w:hint="eastAsia" w:ascii="黑体" w:hAnsi="宋体" w:eastAsia="黑体"/>
          <w:bCs/>
          <w:color w:val="000000" w:themeColor="text1"/>
          <w:sz w:val="24"/>
          <w:szCs w:val="24"/>
          <w:highlight w:val="none"/>
        </w:rPr>
      </w:pPr>
      <w:r>
        <w:rPr>
          <w:rFonts w:hint="eastAsia" w:ascii="黑体" w:eastAsia="黑体"/>
          <w:bCs/>
          <w:color w:val="000000" w:themeColor="text1"/>
          <w:sz w:val="28"/>
          <w:szCs w:val="28"/>
          <w:highlight w:val="none"/>
        </w:rPr>
        <w:t xml:space="preserve">分项报价表</w:t>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7"/>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序号</w:t>
            </w:r>
            <w:r/>
          </w:p>
        </w:tc>
        <w:tc>
          <w:tcPr>
            <w:tcW w:w="357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项目名称</w:t>
            </w:r>
            <w:r/>
          </w:p>
        </w:tc>
        <w:tc>
          <w:tcPr>
            <w:tcW w:w="146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（元/月）</w:t>
            </w:r>
            <w:r/>
          </w:p>
        </w:tc>
        <w:tc>
          <w:tcPr>
            <w:tcW w:w="1418"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（元/年）</w:t>
            </w:r>
            <w:r/>
          </w:p>
        </w:tc>
        <w:tc>
          <w:tcPr>
            <w:tcW w:w="1842"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1</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2</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行政办公费用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办公用品、耗材费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交通费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通讯费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培训费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5</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员工餐费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6</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标识标牌等费用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7</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b/>
                <w:color w:val="000000" w:themeColor="text1"/>
                <w:highlight w:val="none"/>
              </w:rPr>
              <w:t xml:space="preserve">3</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b/>
                <w:color w:val="000000" w:themeColor="text1"/>
                <w:highlight w:val="none"/>
              </w:rPr>
              <w:t xml:space="preserve">服装费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4</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卫生清洁费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保洁工具</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bCs/>
                <w:color w:val="000000" w:themeColor="text1"/>
                <w:highlight w:val="none"/>
              </w:rPr>
              <w:t xml:space="preserve">卫生保洁耗材</w:t>
            </w:r>
            <w:r>
              <w:rPr>
                <w:rFonts w:hint="eastAsia" w:ascii="宋体" w:hAnsi="宋体"/>
                <w:color w:val="000000" w:themeColor="text1"/>
                <w:highlight w:val="none"/>
              </w:rPr>
              <w:t xml:space="preserve">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消杀防疫等费用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5</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安保器械装备费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6</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餐饮服务相关费用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7</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维修维保费用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8</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合理利润</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9</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税金</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10</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其他支出（按需求自行列举）</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 </w:t>
            </w:r>
            <w:r>
              <w:rPr>
                <w:rFonts w:ascii="宋体" w:hAnsi="宋体"/>
                <w:color w:val="000000" w:themeColor="text1"/>
                <w:highlight w:val="none"/>
              </w:rPr>
              <w:t xml:space="preserve">…</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合计：</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bl>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 xml:space="preserve">投标人名称（盖章）：</w:t>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themeColor="text1"/>
          <w:highlight w:val="none"/>
        </w:rPr>
      </w:pPr>
      <w:r>
        <w:rPr>
          <w:rFonts w:hint="eastAsia" w:ascii="宋体" w:hAnsi="宋体"/>
          <w:bCs/>
          <w:color w:val="000000" w:themeColor="text1"/>
          <w:highlight w:val="none"/>
        </w:rPr>
        <w:t xml:space="preserve">2</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上述报价表由投标单位参照，不限于此，可根据采购需求自行添加条目进行投报。</w:t>
      </w:r>
      <w:r/>
    </w:p>
    <w:p>
      <w:pPr>
        <w:ind w:firstLine="420"/>
        <w:rPr>
          <w:rFonts w:ascii="宋体" w:hAnsi="Calibri"/>
          <w:bCs/>
          <w:color w:val="000000" w:themeColor="text1"/>
          <w:highlight w:val="none"/>
        </w:rPr>
        <w:outlineLvl w:val="0"/>
      </w:pPr>
      <w:r>
        <w:rPr>
          <w:rFonts w:hint="eastAsia" w:ascii="宋体" w:hAnsi="宋体"/>
          <w:bCs/>
          <w:color w:val="000000" w:themeColor="text1"/>
          <w:highlight w:val="none"/>
          <w:lang w:eastAsia="zh-CN"/>
        </w:rPr>
        <w:t xml:space="preserve">3.</w:t>
      </w:r>
      <w:r>
        <w:rPr>
          <w:rFonts w:hint="eastAsia" w:ascii="宋体" w:hAnsi="Calibri"/>
          <w:bCs/>
          <w:color w:val="000000" w:themeColor="text1"/>
          <w:highlight w:val="none"/>
        </w:rPr>
        <w:t xml:space="preserve">投标人本项目提供的服务全部由符合政策要求的中小企业承接的，须提供按格式填写的《中小企业声明函》（服务）；或提供由省级以上监狱管理局、戒毒管理局</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含新疆生产建设兵团</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themeColor="text1"/>
          <w:highlight w:val="none"/>
          <w:lang w:eastAsia="zh-CN"/>
        </w:rPr>
        <w:t xml:space="preserve">无锡市滨湖区公共资源交易中心</w:t>
      </w:r>
      <w:r>
        <w:rPr>
          <w:rFonts w:hint="eastAsia" w:ascii="宋体" w:hAnsi="Calibri"/>
          <w:bCs/>
          <w:color w:val="000000" w:themeColor="text1"/>
          <w:highlight w:val="none"/>
        </w:rPr>
        <w:t xml:space="preserve">有权将相关内容进行公示；</w:t>
      </w:r>
      <w:r/>
    </w:p>
    <w:p>
      <w:pPr>
        <w:ind w:firstLine="420"/>
        <w:rPr>
          <w:rFonts w:hint="eastAsia" w:ascii="宋体" w:hAnsi="宋体"/>
          <w:b/>
          <w:bCs/>
          <w:color w:val="000000" w:themeColor="text1"/>
          <w:sz w:val="24"/>
          <w:szCs w:val="24"/>
          <w:highlight w:val="none"/>
        </w:rPr>
        <w:outlineLvl w:val="0"/>
      </w:pPr>
      <w:r>
        <w:rPr>
          <w:rFonts w:ascii="宋体" w:hAnsi="Calibri"/>
          <w:bCs/>
          <w:color w:val="000000" w:themeColor="text1"/>
          <w:highlight w:val="none"/>
        </w:rPr>
        <w:br w:type="page" w:clear="all"/>
      </w:r>
      <w:r>
        <w:rPr>
          <w:rFonts w:hint="eastAsia" w:ascii="宋体" w:hAnsi="宋体"/>
          <w:b/>
          <w:bCs/>
          <w:color w:val="000000" w:themeColor="text1"/>
          <w:sz w:val="24"/>
          <w:szCs w:val="24"/>
          <w:highlight w:val="none"/>
        </w:rPr>
        <w:t xml:space="preserve">表（1）：员工工资福利及法定计提费用明细表</w:t>
      </w:r>
      <w:r/>
    </w:p>
    <w:tbl>
      <w:tblPr>
        <w:tblStyle w:val="717"/>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198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人员费用标准</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84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1</w:t>
            </w:r>
            <w:r/>
          </w:p>
        </w:tc>
        <w:tc>
          <w:tcPr>
            <w:tcW w:w="1985"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项目经理</w:t>
            </w:r>
            <w:r/>
          </w:p>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XX人员</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color w:val="000000" w:themeColor="text1"/>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2</w:t>
            </w:r>
            <w:r/>
          </w:p>
        </w:tc>
        <w:tc>
          <w:tcPr>
            <w:tcW w:w="198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失业</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工伤</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5</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生育</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6</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gridSpan w:val="2"/>
            <w:tcW w:w="266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以上人员费用须包括工资、社保等内容，须符合国家、省、市相关政策规定；本项目如有允许配置</w:t>
      </w:r>
      <w:r>
        <w:rPr>
          <w:rFonts w:ascii="宋体" w:hAnsi="宋体"/>
          <w:bCs/>
          <w:color w:val="000000" w:themeColor="text1"/>
          <w:highlight w:val="none"/>
        </w:rPr>
        <w:t xml:space="preserve">按国家规定可不缴纳社保的人员</w:t>
      </w:r>
      <w:r>
        <w:rPr>
          <w:rFonts w:hint="eastAsia" w:ascii="宋体" w:hAnsi="宋体"/>
          <w:bCs/>
          <w:color w:val="000000" w:themeColor="text1"/>
          <w:highlight w:val="none"/>
        </w:rPr>
        <w:t xml:space="preserve">（详见第四章《采购需求》），上表“法定计提费用”中的人员配置总数可扣除上述人员，但须</w:t>
      </w:r>
      <w:r>
        <w:rPr>
          <w:rFonts w:ascii="宋体" w:hAnsi="宋体"/>
          <w:bCs/>
          <w:color w:val="000000" w:themeColor="text1"/>
          <w:highlight w:val="none"/>
        </w:rPr>
        <w:t xml:space="preserve">提供</w:t>
      </w:r>
      <w:r>
        <w:rPr>
          <w:rFonts w:hint="eastAsia" w:ascii="宋体" w:hAnsi="宋体"/>
          <w:bCs/>
          <w:color w:val="000000" w:themeColor="text1"/>
          <w:highlight w:val="none"/>
        </w:rPr>
        <w:t xml:space="preserve">该人员</w:t>
      </w:r>
      <w:r>
        <w:rPr>
          <w:rFonts w:ascii="宋体" w:hAnsi="宋体"/>
          <w:bCs/>
          <w:color w:val="000000" w:themeColor="text1"/>
          <w:highlight w:val="none"/>
        </w:rPr>
        <w:t xml:space="preserve">相关证明材料复印件</w:t>
      </w:r>
      <w:r>
        <w:rPr>
          <w:rFonts w:hint="eastAsia" w:ascii="宋体" w:hAnsi="宋体"/>
          <w:bCs/>
          <w:color w:val="000000" w:themeColor="text1"/>
          <w:highlight w:val="none"/>
        </w:rPr>
        <w:t xml:space="preserve">，否则投标文件无效。</w:t>
      </w:r>
      <w:r/>
    </w:p>
    <w:p>
      <w:pPr>
        <w:ind w:firstLine="405"/>
        <w:rPr>
          <w:rFonts w:hint="eastAsia" w:ascii="宋体" w:hAnsi="宋体"/>
          <w:bCs/>
          <w:color w:val="000000" w:themeColor="text1"/>
          <w:highlight w:val="none"/>
        </w:rPr>
      </w:pPr>
      <w:r>
        <w:rPr>
          <w:rFonts w:hint="eastAsia" w:ascii="宋体" w:hAnsi="宋体"/>
          <w:bCs/>
          <w:color w:val="000000" w:themeColor="text1"/>
          <w:highlight w:val="none"/>
          <w:lang w:eastAsia="zh-CN"/>
        </w:rPr>
        <w:t xml:space="preserve">2.</w:t>
      </w:r>
      <w:r>
        <w:rPr>
          <w:rFonts w:hint="eastAsia" w:ascii="宋体" w:hAnsi="宋体"/>
          <w:bCs/>
          <w:color w:val="000000" w:themeColor="text1"/>
          <w:highlight w:val="none"/>
        </w:rPr>
        <w:t xml:space="preserve">上述报价表由投标单位参照，不限于此，可根据采购需求自行添加条目进行投报。</w:t>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表（2）：投入本项目的工具设备物资明细表</w:t>
      </w:r>
      <w:r/>
    </w:p>
    <w:tbl>
      <w:tblPr>
        <w:tblStyle w:val="717"/>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992"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物品名称</w:t>
            </w:r>
            <w:r/>
          </w:p>
        </w:tc>
        <w:tc>
          <w:tcPr>
            <w:tcW w:w="709"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型号</w:t>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数量</w:t>
            </w:r>
            <w:r/>
          </w:p>
        </w:tc>
        <w:tc>
          <w:tcPr>
            <w:tcW w:w="850"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127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27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134"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21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表（3）：投入本项目的耗材明细表</w:t>
      </w:r>
      <w:r/>
    </w:p>
    <w:tbl>
      <w:tblPr>
        <w:tblStyle w:val="717"/>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85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名称</w:t>
            </w:r>
            <w:r/>
          </w:p>
        </w:tc>
        <w:tc>
          <w:tcPr>
            <w:tcW w:w="708"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tc>
        <w:tc>
          <w:tcPr>
            <w:tcW w:w="993"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每年用量</w:t>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27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金额（元/月）</w:t>
            </w:r>
            <w:r/>
          </w:p>
        </w:tc>
        <w:tc>
          <w:tcPr>
            <w:tcW w:w="1560"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金额（元/年）</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85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85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07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表（4）：投入本项目的维修维保费用明细表</w:t>
      </w:r>
      <w:r/>
    </w:p>
    <w:tbl>
      <w:tblPr>
        <w:tblStyle w:val="717"/>
        <w:tblpPr w:horzAnchor="page" w:tblpX="1470" w:vertAnchor="text" w:tblpY="415" w:leftFromText="180" w:topFromText="0" w:rightFromText="180" w:bottomFromText="0"/>
        <w:tblW w:w="89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3023"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维保内容</w:t>
            </w:r>
            <w:r/>
          </w:p>
        </w:tc>
        <w:tc>
          <w:tcPr>
            <w:tcW w:w="1214"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144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413"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988"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p>
        </w:tc>
      </w:tr>
      <w:tr>
        <w:trPr/>
        <w:tc>
          <w:tcPr>
            <w:tcW w:w="867"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3023" w:type="dxa"/>
            <w:vAlign w:val="center"/>
            <w:textDirection w:val="lrTb"/>
            <w:noWrap w:val="false"/>
          </w:tcPr>
          <w:p>
            <w:pPr>
              <w:jc w:val="center"/>
              <w:rPr>
                <w:rFonts w:ascii="宋体" w:hAnsi="宋体"/>
                <w:b/>
                <w:color w:val="000000" w:themeColor="text1"/>
                <w:sz w:val="18"/>
                <w:szCs w:val="18"/>
                <w:highlight w:val="none"/>
              </w:rPr>
            </w:pPr>
            <w:r>
              <w:rPr>
                <w:rFonts w:ascii="宋体" w:hAnsi="宋体"/>
                <w:b/>
                <w:color w:val="000000" w:themeColor="text1"/>
                <w:sz w:val="18"/>
                <w:szCs w:val="18"/>
                <w:highlight w:val="none"/>
              </w:rPr>
            </w:r>
            <w:r/>
          </w:p>
        </w:tc>
        <w:tc>
          <w:tcPr>
            <w:tcW w:w="1214"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r>
        <w:trPr/>
        <w:tc>
          <w:tcPr>
            <w:tcW w:w="86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p>
        </w:tc>
        <w:tc>
          <w:tcPr>
            <w:tcW w:w="3023" w:type="dxa"/>
            <w:vAlign w:val="center"/>
            <w:textDirection w:val="lrTb"/>
            <w:noWrap w:val="false"/>
          </w:tcPr>
          <w:p>
            <w:pPr>
              <w:jc w:val="center"/>
              <w:rPr>
                <w:rFonts w:hint="eastAsia"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r>
            <w:r/>
          </w:p>
        </w:tc>
        <w:tc>
          <w:tcPr>
            <w:tcW w:w="1214"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r>
        <w:trPr/>
        <w:tc>
          <w:tcPr>
            <w:gridSpan w:val="3"/>
            <w:tcW w:w="5104"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bl>
    <w:p>
      <w:pPr>
        <w:rPr>
          <w:rFonts w:ascii="宋体" w:hAnsi="宋体" w:cs="宋体"/>
          <w:color w:val="000000" w:themeColor="text1"/>
          <w:highlight w:val="none"/>
        </w:rPr>
      </w:pPr>
      <w:r>
        <w:rPr>
          <w:rFonts w:hint="eastAsia" w:ascii="宋体" w:hAnsi="宋体"/>
          <w:bCs/>
          <w:color w:val="000000" w:themeColor="text1"/>
          <w:highlight w:val="none"/>
        </w:rPr>
        <w:t xml:space="preserve">注：表（2）（3）（4）由投标人根据采购需求自行测算含在投标报价中。表格不够</w:t>
      </w:r>
      <w:r>
        <w:rPr>
          <w:rFonts w:hint="eastAsia" w:ascii="宋体" w:hAnsi="宋体" w:cs="宋体"/>
          <w:color w:val="000000" w:themeColor="text1"/>
          <w:highlight w:val="none"/>
          <w:lang w:val="zh-CN"/>
        </w:rPr>
        <w:t xml:space="preserve">可自行延长。</w:t>
      </w:r>
      <w:r/>
    </w:p>
    <w:p>
      <w:pPr>
        <w:ind w:firstLine="315"/>
        <w:spacing w:line="400" w:lineRule="exact"/>
        <w:rPr>
          <w:rFonts w:ascii="宋体" w:hAnsi="宋体"/>
          <w:bCs/>
          <w:color w:val="000000"/>
          <w:highlight w:val="none"/>
        </w:rPr>
        <w:outlineLvl w:val="0"/>
      </w:pPr>
      <w:r>
        <w:rPr>
          <w:rFonts w:ascii="宋体" w:hAnsi="宋体"/>
          <w:bCs/>
          <w:color w:val="000000"/>
          <w:highlight w:val="none"/>
        </w:rPr>
      </w:r>
      <w:r/>
    </w:p>
    <w:p>
      <w:pPr>
        <w:rPr>
          <w:rFonts w:hint="eastAsia"/>
          <w:b/>
          <w:color w:val="000000"/>
          <w:sz w:val="28"/>
          <w:szCs w:val="28"/>
          <w:highlight w:val="none"/>
        </w:rPr>
      </w:pPr>
      <w:r>
        <w:rPr>
          <w:rFonts w:ascii="宋体" w:hAnsi="宋体"/>
          <w:bCs/>
          <w:color w:val="000000"/>
          <w:highlight w:val="none"/>
        </w:rPr>
        <w:br w:type="page" w:clear="all"/>
      </w:r>
      <w:bookmarkEnd w:id="198"/>
      <w:r/>
      <w:bookmarkEnd w:id="199"/>
      <w:r/>
      <w:bookmarkEnd w:id="200"/>
      <w:r/>
      <w:bookmarkStart w:id="202"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1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bCs/>
          <w:color w:val="000000"/>
          <w:sz w:val="30"/>
          <w:highlight w:val="none"/>
        </w:rPr>
      </w:pPr>
      <w:r>
        <w:rPr>
          <w:rFonts w:ascii="宋体"/>
          <w:bCs/>
          <w:color w:val="000000"/>
          <w:sz w:val="30"/>
          <w:highlight w:val="none"/>
        </w:rPr>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（3）如有技术偏离项，请于本表中列明偏离内容，如需要可自行延长，其余无偏离内容不须赘述。</w:t>
      </w:r>
      <w:bookmarkEnd w:id="187"/>
      <w:r/>
      <w:bookmarkEnd w:id="188"/>
      <w:r/>
      <w:bookmarkEnd w:id="202"/>
      <w:r/>
      <w:bookmarkStart w:id="203" w:name="_格式2__法定代表人授权书"/>
      <w:r/>
      <w:bookmarkEnd w:id="203"/>
      <w:r/>
      <w:bookmarkStart w:id="204" w:name="_Hlt26671374"/>
      <w:r/>
      <w:bookmarkEnd w:id="204"/>
      <w:r/>
      <w:bookmarkStart w:id="205" w:name="_Hlt26609389"/>
      <w:r/>
      <w:bookmarkEnd w:id="205"/>
      <w:r/>
      <w:bookmarkStart w:id="206" w:name="_Hlt26955066"/>
      <w:r/>
      <w:bookmarkEnd w:id="206"/>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p>
    <w:p>
      <w:pP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ind w:firstLine="490"/>
        <w:jc w:val="center"/>
        <w:rPr>
          <w:rFonts w:hint="eastAsia" w:ascii="黑体" w:hAnsi="宋体" w:eastAsia="黑体"/>
          <w:bCs/>
          <w:color w:val="000000" w:themeColor="text1"/>
          <w:sz w:val="24"/>
          <w:szCs w:val="24"/>
          <w:highlight w:val="none"/>
        </w:rPr>
        <w:outlineLvl w:val="0"/>
      </w:pPr>
      <w:r>
        <w:rPr>
          <w:rFonts w:hint="eastAsia" w:ascii="黑体" w:eastAsia="黑体"/>
          <w:bCs/>
          <w:color w:val="000000" w:themeColor="text1"/>
          <w:sz w:val="28"/>
          <w:szCs w:val="28"/>
          <w:highlight w:val="none"/>
        </w:rPr>
        <w:t xml:space="preserve">项目人员配置考察表</w:t>
      </w:r>
      <w:r/>
    </w:p>
    <w:p>
      <w:pPr>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052"/>
        <w:gridCol w:w="724"/>
        <w:gridCol w:w="691"/>
        <w:gridCol w:w="807"/>
        <w:gridCol w:w="1218"/>
        <w:gridCol w:w="1226"/>
        <w:gridCol w:w="1752"/>
        <w:gridCol w:w="955"/>
      </w:tblGrid>
      <w:tr>
        <w:trPr>
          <w:jc w:val="center"/>
          <w:trHeight w:val="865"/>
        </w:trPr>
        <w:tc>
          <w:tcPr>
            <w:tcW w:w="76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序号</w:t>
            </w:r>
            <w:r/>
          </w:p>
        </w:tc>
        <w:tc>
          <w:tcPr>
            <w:tcW w:w="1098"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姓名</w:t>
            </w:r>
            <w:r/>
          </w:p>
        </w:tc>
        <w:tc>
          <w:tcPr>
            <w:tcW w:w="744"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性别</w:t>
            </w:r>
            <w:r/>
          </w:p>
        </w:tc>
        <w:tc>
          <w:tcPr>
            <w:tcW w:w="709"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年龄</w:t>
            </w:r>
            <w:r/>
          </w:p>
        </w:tc>
        <w:tc>
          <w:tcPr>
            <w:tcW w:w="834"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学历</w:t>
            </w:r>
            <w:r/>
          </w:p>
        </w:tc>
        <w:tc>
          <w:tcPr>
            <w:tcW w:w="127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岗位职责</w:t>
            </w:r>
            <w:r/>
          </w:p>
        </w:tc>
        <w:tc>
          <w:tcPr>
            <w:tcW w:w="1285"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人员证书名称</w:t>
            </w:r>
            <w:r/>
          </w:p>
        </w:tc>
        <w:tc>
          <w:tcPr>
            <w:tcW w:w="1833"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人员经验描述</w:t>
            </w:r>
            <w:r/>
          </w:p>
          <w:p>
            <w:pPr>
              <w:jc w:val="center"/>
              <w:rPr>
                <w:rFonts w:hint="eastAsia"/>
                <w:b/>
                <w:color w:val="000000" w:themeColor="text1"/>
                <w:sz w:val="24"/>
                <w:highlight w:val="none"/>
              </w:rPr>
            </w:pPr>
            <w:r>
              <w:rPr>
                <w:rFonts w:hint="eastAsia"/>
                <w:b/>
                <w:color w:val="000000" w:themeColor="text1"/>
                <w:sz w:val="24"/>
                <w:highlight w:val="none"/>
              </w:rPr>
              <w:t xml:space="preserve">（如有要求）</w:t>
            </w:r>
            <w:r/>
          </w:p>
        </w:tc>
        <w:tc>
          <w:tcPr>
            <w:tcW w:w="992"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bl>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ascii="宋体" w:hAnsi="宋体"/>
          <w:bCs/>
          <w:color w:val="000000" w:themeColor="text1"/>
          <w:highlight w:val="none"/>
        </w:rPr>
      </w:pPr>
      <w:r>
        <w:rPr>
          <w:rFonts w:hint="eastAsia" w:ascii="宋体" w:hAnsi="宋体"/>
          <w:bCs/>
          <w:color w:val="000000" w:themeColor="text1"/>
          <w:highlight w:val="none"/>
        </w:rPr>
        <w:t xml:space="preserve">注：1. 本表对应评分标准中的项目人员配置情况，表格不够可自行延长。</w:t>
      </w:r>
      <w:r/>
    </w:p>
    <w:p>
      <w:pPr>
        <w:rPr>
          <w:rFonts w:hint="eastAsia"/>
          <w:color w:val="000000" w:themeColor="text1"/>
          <w:highlight w:val="none"/>
        </w:rPr>
      </w:pPr>
      <w:r>
        <w:rPr>
          <w:rFonts w:hint="eastAsia" w:ascii="宋体" w:hAnsi="宋体"/>
          <w:bCs/>
          <w:color w:val="000000" w:themeColor="text1"/>
          <w:highlight w:val="none"/>
        </w:rPr>
        <w:t xml:space="preserve">2. 上表内容须提供投标人近一年中任意一个月份</w:t>
      </w:r>
      <w:r>
        <w:rPr>
          <w:rFonts w:hint="eastAsia" w:ascii="宋体" w:hAnsi="宋体"/>
          <w:bCs/>
          <w:color w:val="000000" w:themeColor="text1"/>
          <w:highlight w:val="none"/>
          <w:lang w:eastAsia="zh-CN"/>
        </w:rPr>
        <w:t xml:space="preserve">（</w:t>
      </w:r>
      <w:r>
        <w:rPr>
          <w:rFonts w:hint="eastAsia" w:ascii="宋体" w:hAnsi="宋体"/>
          <w:bCs/>
          <w:color w:val="000000" w:themeColor="text1"/>
          <w:highlight w:val="none"/>
        </w:rPr>
        <w:t xml:space="preserve">不含投标当月</w:t>
      </w:r>
      <w:r>
        <w:rPr>
          <w:rFonts w:hint="eastAsia" w:ascii="宋体" w:hAnsi="宋体"/>
          <w:bCs/>
          <w:color w:val="000000" w:themeColor="text1"/>
          <w:highlight w:val="none"/>
          <w:lang w:eastAsia="zh-CN"/>
        </w:rPr>
        <w:t xml:space="preserve">）</w:t>
      </w:r>
      <w:r>
        <w:rPr>
          <w:rFonts w:hint="eastAsia" w:ascii="宋体" w:hAnsi="宋体"/>
          <w:bCs/>
          <w:color w:val="000000" w:themeColor="text1"/>
          <w:highlight w:val="none"/>
        </w:rPr>
        <w:t xml:space="preserve">经社保部门确认的社保缴纳名单复印件；若上表中所填报人员有属于“按国家规定可不缴纳社保的人员”的，则该类人员须提供相关证明材料复印件。</w:t>
      </w:r>
      <w:r/>
    </w:p>
    <w:p>
      <w:pPr>
        <w:rPr>
          <w:rFonts w:hint="eastAsia" w:ascii="宋体" w:hAnsi="宋体"/>
          <w:bCs/>
          <w:color w:val="000000" w:themeColor="text1"/>
          <w:highlight w:val="none"/>
        </w:rPr>
      </w:pPr>
      <w:r>
        <w:rPr>
          <w:rFonts w:hint="eastAsia" w:ascii="宋体" w:hAnsi="宋体"/>
          <w:bCs/>
          <w:color w:val="000000" w:themeColor="text1"/>
          <w:highlight w:val="none"/>
        </w:rPr>
        <w:t xml:space="preserve">3.上表内容须按评分标准中的相关要求提供相应证明材料。</w:t>
      </w:r>
      <w:r/>
    </w:p>
    <w:p>
      <w:pPr>
        <w:rPr>
          <w:rFonts w:hint="eastAsia" w:ascii="宋体" w:hAnsi="宋体"/>
          <w:bCs/>
          <w:color w:val="000000" w:themeColor="text1"/>
          <w:highlight w:val="none"/>
        </w:rPr>
      </w:pPr>
      <w:r>
        <w:rPr>
          <w:rFonts w:hint="eastAsia" w:ascii="宋体" w:hAnsi="宋体"/>
          <w:bCs/>
          <w:color w:val="000000" w:themeColor="text1"/>
          <w:highlight w:val="none"/>
        </w:rPr>
        <w:t xml:space="preserve">4.证明材料均请附在本表之后。</w:t>
      </w:r>
      <w:r/>
    </w:p>
    <w:p>
      <w:pPr>
        <w:ind w:firstLine="420"/>
        <w:rPr>
          <w:color w:val="000000"/>
          <w:highlight w:val="yellow"/>
        </w:rPr>
      </w:pPr>
      <w:r/>
      <w:bookmarkStart w:id="207" w:name="_GoBack"/>
      <w:r/>
      <w:bookmarkEnd w:id="207"/>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61"/>
        <w:rFonts w:ascii="宋体" w:hAnsi="宋体"/>
      </w:rPr>
      <w:framePr w:wrap="around" w:vAnchor="text" w:hAnchor="margin" w:xAlign="center" w:y="1"/>
    </w:pPr>
    <w:r>
      <w:rPr>
        <w:rFonts w:ascii="宋体" w:hAnsi="宋体"/>
      </w:rPr>
      <w:fldChar w:fldCharType="begin"/>
    </w:r>
    <w:r>
      <w:rPr>
        <w:rStyle w:val="961"/>
        <w:rFonts w:ascii="宋体" w:hAnsi="宋体"/>
      </w:rPr>
      <w:instrText xml:space="preserve">PAGE  </w:instrText>
    </w:r>
    <w:r>
      <w:rPr>
        <w:rFonts w:ascii="宋体" w:hAnsi="宋体"/>
      </w:rPr>
      <w:fldChar w:fldCharType="separate"/>
    </w:r>
    <w:r>
      <w:rPr>
        <w:rStyle w:val="961"/>
        <w:rFonts w:ascii="宋体" w:hAnsi="宋体"/>
      </w:rPr>
      <w:t xml:space="preserve">２７</w:t>
    </w:r>
    <w:r>
      <w:rPr>
        <w:rFonts w:ascii="宋体" w:hAnsi="宋体"/>
      </w:rPr>
      <w:fldChar w:fldCharType="end"/>
    </w:r>
    <w:r/>
  </w:p>
  <w:p>
    <w:pPr>
      <w:pStyle w:val="934"/>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p>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4"/>
      <w:isLgl w:val="false"/>
      <w:suff w:val="nothing"/>
      <w:lvlText w:val=""/>
      <w:lvlJc w:val="left"/>
      <w:pPr>
        <w:ind w:left="0" w:firstLine="0"/>
      </w:pPr>
      <w:rPr>
        <w:rFonts w:hint="eastAsia"/>
      </w:rPr>
    </w:lvl>
    <w:lvl w:ilvl="6">
      <w:start w:val="1"/>
      <w:numFmt w:val="decimal"/>
      <w:pStyle w:val="895"/>
      <w:isLgl w:val="false"/>
      <w:suff w:val="nothing"/>
      <w:lvlText w:val=""/>
      <w:lvlJc w:val="left"/>
      <w:pPr>
        <w:ind w:left="0" w:firstLine="0"/>
      </w:pPr>
      <w:rPr>
        <w:rFonts w:hint="eastAsia"/>
      </w:rPr>
    </w:lvl>
    <w:lvl w:ilvl="7">
      <w:start w:val="1"/>
      <w:numFmt w:val="decimal"/>
      <w:pStyle w:val="896"/>
      <w:isLgl w:val="false"/>
      <w:suff w:val="nothing"/>
      <w:lvlText w:val=""/>
      <w:lvlJc w:val="left"/>
      <w:pPr>
        <w:ind w:left="0" w:firstLine="0"/>
      </w:pPr>
      <w:rPr>
        <w:rFonts w:hint="eastAsia"/>
      </w:rPr>
    </w:lvl>
    <w:lvl w:ilvl="8">
      <w:start w:val="1"/>
      <w:numFmt w:val="decimal"/>
      <w:pStyle w:val="897"/>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3"/>
  </w:num>
  <w:num w:numId="5">
    <w:abstractNumId w:val="7"/>
  </w:num>
  <w:num w:numId="6">
    <w:abstractNumId w:val="6"/>
  </w:num>
  <w:num w:numId="7">
    <w:abstractNumId w:val="1"/>
  </w:num>
  <w:num w:numId="8">
    <w:abstractNumId w:val="2"/>
  </w:num>
  <w:num w:numId="9">
    <w:abstractNumId w:val="9"/>
  </w:num>
  <w:num w:numId="10">
    <w:abstractNumId w:val="12"/>
  </w:num>
  <w:num w:numId="11">
    <w:abstractNumId w:val="8"/>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6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7">
    <w:name w:val="Heading 1"/>
    <w:basedOn w:val="706"/>
    <w:next w:val="706"/>
    <w:link w:val="740"/>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1"/>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2"/>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4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4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45"/>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47"/>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48"/>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right="0" w:firstLine="0"/>
      <w:spacing w:after="57"/>
    </w:pPr>
  </w:style>
  <w:style w:type="paragraph" w:styleId="719">
    <w:name w:val="Caption"/>
    <w:basedOn w:val="706"/>
    <w:next w:val="706"/>
    <w:uiPriority w:val="35"/>
    <w:semiHidden/>
    <w:unhideWhenUsed/>
    <w:qFormat/>
    <w:pPr>
      <w:spacing w:line="276" w:lineRule="auto"/>
    </w:pPr>
    <w:rPr>
      <w:b/>
      <w:bCs/>
      <w:color w:val="4f81bd" w:themeColor="accent1"/>
      <w:sz w:val="18"/>
      <w:szCs w:val="18"/>
    </w:rPr>
  </w:style>
  <w:style w:type="paragraph" w:styleId="720">
    <w:name w:val="Body Text"/>
    <w:basedOn w:val="706"/>
    <w:uiPriority w:val="99"/>
    <w:qFormat/>
    <w:rPr>
      <w:rFonts w:ascii="华文中宋" w:hAnsi="Times New Roman" w:eastAsia="华文中宋" w:cs="Times New Roman"/>
      <w:bCs/>
      <w:sz w:val="28"/>
      <w:szCs w:val="20"/>
    </w:rPr>
  </w:style>
  <w:style w:type="paragraph" w:styleId="721">
    <w:name w:val="toc 5"/>
    <w:basedOn w:val="706"/>
    <w:next w:val="706"/>
    <w:uiPriority w:val="39"/>
    <w:unhideWhenUsed/>
    <w:qFormat/>
    <w:pPr>
      <w:ind w:left="1134" w:right="0" w:firstLine="0"/>
      <w:spacing w:after="57"/>
    </w:pPr>
  </w:style>
  <w:style w:type="paragraph" w:styleId="722">
    <w:name w:val="toc 3"/>
    <w:basedOn w:val="706"/>
    <w:next w:val="706"/>
    <w:uiPriority w:val="39"/>
    <w:unhideWhenUsed/>
    <w:qFormat/>
    <w:pPr>
      <w:ind w:left="567" w:right="0" w:firstLine="0"/>
      <w:spacing w:after="57"/>
    </w:pPr>
  </w:style>
  <w:style w:type="paragraph" w:styleId="723">
    <w:name w:val="toc 8"/>
    <w:basedOn w:val="706"/>
    <w:next w:val="706"/>
    <w:uiPriority w:val="39"/>
    <w:unhideWhenUsed/>
    <w:qFormat/>
    <w:pPr>
      <w:ind w:left="1984" w:right="0" w:firstLine="0"/>
      <w:spacing w:after="57"/>
    </w:pPr>
  </w:style>
  <w:style w:type="paragraph" w:styleId="724">
    <w:name w:val="endnote text"/>
    <w:basedOn w:val="706"/>
    <w:link w:val="886"/>
    <w:uiPriority w:val="99"/>
    <w:semiHidden/>
    <w:unhideWhenUsed/>
    <w:qFormat/>
    <w:pPr>
      <w:spacing w:after="0" w:line="240" w:lineRule="auto"/>
    </w:pPr>
    <w:rPr>
      <w:sz w:val="20"/>
    </w:rPr>
  </w:style>
  <w:style w:type="paragraph" w:styleId="725">
    <w:name w:val="Footer"/>
    <w:basedOn w:val="706"/>
    <w:link w:val="759"/>
    <w:uiPriority w:val="99"/>
    <w:unhideWhenUsed/>
    <w:qFormat/>
    <w:pPr>
      <w:spacing w:after="0" w:line="240" w:lineRule="auto"/>
      <w:tabs>
        <w:tab w:val="center" w:pos="7143" w:leader="none"/>
        <w:tab w:val="right" w:pos="14287" w:leader="none"/>
      </w:tabs>
    </w:pPr>
  </w:style>
  <w:style w:type="paragraph" w:styleId="726">
    <w:name w:val="Header"/>
    <w:basedOn w:val="706"/>
    <w:link w:val="757"/>
    <w:uiPriority w:val="99"/>
    <w:unhideWhenUsed/>
    <w:qFormat/>
    <w:pPr>
      <w:spacing w:after="0" w:line="240" w:lineRule="auto"/>
      <w:tabs>
        <w:tab w:val="center" w:pos="7143" w:leader="none"/>
        <w:tab w:val="right" w:pos="14287" w:leader="none"/>
      </w:tabs>
    </w:pPr>
  </w:style>
  <w:style w:type="paragraph" w:styleId="727">
    <w:name w:val="toc 1"/>
    <w:basedOn w:val="706"/>
    <w:next w:val="706"/>
    <w:uiPriority w:val="39"/>
    <w:unhideWhenUsed/>
    <w:qFormat/>
    <w:pPr>
      <w:ind w:left="0" w:right="0" w:firstLine="0"/>
      <w:spacing w:after="57"/>
    </w:pPr>
  </w:style>
  <w:style w:type="paragraph" w:styleId="728">
    <w:name w:val="toc 4"/>
    <w:basedOn w:val="706"/>
    <w:next w:val="706"/>
    <w:uiPriority w:val="39"/>
    <w:unhideWhenUsed/>
    <w:qFormat/>
    <w:pPr>
      <w:ind w:left="850" w:right="0" w:firstLine="0"/>
      <w:spacing w:after="57"/>
    </w:pPr>
  </w:style>
  <w:style w:type="paragraph" w:styleId="729">
    <w:name w:val="Subtitle"/>
    <w:basedOn w:val="706"/>
    <w:next w:val="706"/>
    <w:link w:val="752"/>
    <w:uiPriority w:val="11"/>
    <w:qFormat/>
    <w:pPr>
      <w:spacing w:before="200" w:after="200"/>
    </w:pPr>
    <w:rPr>
      <w:sz w:val="24"/>
      <w:szCs w:val="24"/>
    </w:rPr>
  </w:style>
  <w:style w:type="paragraph" w:styleId="730">
    <w:name w:val="footnote text"/>
    <w:basedOn w:val="706"/>
    <w:link w:val="885"/>
    <w:uiPriority w:val="99"/>
    <w:semiHidden/>
    <w:unhideWhenUsed/>
    <w:qFormat/>
    <w:pPr>
      <w:spacing w:after="40" w:line="240" w:lineRule="auto"/>
    </w:pPr>
    <w:rPr>
      <w:sz w:val="18"/>
    </w:rPr>
  </w:style>
  <w:style w:type="paragraph" w:styleId="731">
    <w:name w:val="toc 6"/>
    <w:basedOn w:val="706"/>
    <w:next w:val="706"/>
    <w:uiPriority w:val="39"/>
    <w:unhideWhenUsed/>
    <w:qFormat/>
    <w:pPr>
      <w:ind w:left="1417" w:right="0" w:firstLine="0"/>
      <w:spacing w:after="57"/>
    </w:pPr>
  </w:style>
  <w:style w:type="paragraph" w:styleId="732">
    <w:name w:val="table of figures"/>
    <w:basedOn w:val="706"/>
    <w:next w:val="706"/>
    <w:uiPriority w:val="99"/>
    <w:unhideWhenUsed/>
    <w:qFormat/>
    <w:pPr>
      <w:spacing w:after="0" w:afterAutospacing="0"/>
    </w:pPr>
  </w:style>
  <w:style w:type="paragraph" w:styleId="733">
    <w:name w:val="toc 2"/>
    <w:basedOn w:val="706"/>
    <w:next w:val="706"/>
    <w:uiPriority w:val="39"/>
    <w:unhideWhenUsed/>
    <w:qFormat/>
    <w:pPr>
      <w:ind w:left="283" w:right="0" w:firstLine="0"/>
      <w:spacing w:after="57"/>
    </w:pPr>
  </w:style>
  <w:style w:type="paragraph" w:styleId="734">
    <w:name w:val="toc 9"/>
    <w:basedOn w:val="706"/>
    <w:next w:val="706"/>
    <w:uiPriority w:val="39"/>
    <w:unhideWhenUsed/>
    <w:qFormat/>
    <w:pPr>
      <w:ind w:left="2268" w:right="0" w:firstLine="0"/>
      <w:spacing w:after="57"/>
    </w:pPr>
  </w:style>
  <w:style w:type="paragraph" w:styleId="735">
    <w:name w:val="Title"/>
    <w:basedOn w:val="706"/>
    <w:next w:val="706"/>
    <w:link w:val="751"/>
    <w:uiPriority w:val="10"/>
    <w:qFormat/>
    <w:pPr>
      <w:contextualSpacing/>
      <w:spacing w:before="300" w:after="200"/>
    </w:pPr>
    <w:rPr>
      <w:sz w:val="48"/>
      <w:szCs w:val="48"/>
    </w:rPr>
  </w:style>
  <w:style w:type="table" w:styleId="7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rPr>
  </w:style>
  <w:style w:type="character" w:styleId="739">
    <w:name w:val="footnote reference"/>
    <w:uiPriority w:val="99"/>
    <w:unhideWhenUsed/>
    <w:qFormat/>
    <w:rPr>
      <w:vertAlign w:val="superscript"/>
    </w:rPr>
  </w:style>
  <w:style w:type="character" w:styleId="740" w:customStyle="1">
    <w:name w:val="Heading 1 Char"/>
    <w:link w:val="707"/>
    <w:uiPriority w:val="9"/>
    <w:qFormat/>
    <w:rPr>
      <w:rFonts w:ascii="Arial" w:hAnsi="Arial" w:eastAsia="Arial" w:cs="Arial"/>
      <w:sz w:val="40"/>
      <w:szCs w:val="40"/>
    </w:rPr>
  </w:style>
  <w:style w:type="character" w:styleId="741" w:customStyle="1">
    <w:name w:val="Heading 2 Char"/>
    <w:link w:val="708"/>
    <w:uiPriority w:val="9"/>
    <w:qFormat/>
    <w:rPr>
      <w:rFonts w:ascii="Arial" w:hAnsi="Arial" w:eastAsia="Arial" w:cs="Arial"/>
      <w:sz w:val="34"/>
    </w:rPr>
  </w:style>
  <w:style w:type="character" w:styleId="742" w:customStyle="1">
    <w:name w:val="Heading 3 Char"/>
    <w:link w:val="709"/>
    <w:uiPriority w:val="9"/>
    <w:qFormat/>
    <w:rPr>
      <w:rFonts w:ascii="Arial" w:hAnsi="Arial" w:eastAsia="Arial" w:cs="Arial"/>
      <w:sz w:val="30"/>
      <w:szCs w:val="30"/>
    </w:rPr>
  </w:style>
  <w:style w:type="character" w:styleId="743" w:customStyle="1">
    <w:name w:val="Heading 4 Char"/>
    <w:link w:val="710"/>
    <w:uiPriority w:val="9"/>
    <w:qFormat/>
    <w:rPr>
      <w:rFonts w:ascii="Arial" w:hAnsi="Arial" w:eastAsia="Arial" w:cs="Arial"/>
      <w:b/>
      <w:bCs/>
      <w:sz w:val="26"/>
      <w:szCs w:val="26"/>
    </w:rPr>
  </w:style>
  <w:style w:type="character" w:styleId="744" w:customStyle="1">
    <w:name w:val="Heading 5 Char"/>
    <w:link w:val="711"/>
    <w:uiPriority w:val="9"/>
    <w:qFormat/>
    <w:rPr>
      <w:rFonts w:ascii="Arial" w:hAnsi="Arial" w:eastAsia="Arial" w:cs="Arial"/>
      <w:b/>
      <w:bCs/>
      <w:sz w:val="24"/>
      <w:szCs w:val="24"/>
    </w:rPr>
  </w:style>
  <w:style w:type="character" w:styleId="745" w:customStyle="1">
    <w:name w:val="Heading 6 Char"/>
    <w:link w:val="712"/>
    <w:uiPriority w:val="9"/>
    <w:qFormat/>
    <w:rPr>
      <w:rFonts w:ascii="Arial" w:hAnsi="Arial" w:eastAsia="Arial" w:cs="Arial"/>
      <w:b/>
      <w:bCs/>
      <w:sz w:val="22"/>
      <w:szCs w:val="22"/>
    </w:rPr>
  </w:style>
  <w:style w:type="character" w:styleId="746" w:customStyle="1">
    <w:name w:val="Heading 7 Char"/>
    <w:link w:val="713"/>
    <w:uiPriority w:val="9"/>
    <w:qFormat/>
    <w:rPr>
      <w:rFonts w:ascii="Arial" w:hAnsi="Arial" w:eastAsia="Arial" w:cs="Arial"/>
      <w:b/>
      <w:bCs/>
      <w:i/>
      <w:iCs/>
      <w:sz w:val="22"/>
      <w:szCs w:val="22"/>
    </w:rPr>
  </w:style>
  <w:style w:type="character" w:styleId="747" w:customStyle="1">
    <w:name w:val="Heading 8 Char"/>
    <w:link w:val="714"/>
    <w:uiPriority w:val="9"/>
    <w:qFormat/>
    <w:rPr>
      <w:rFonts w:ascii="Arial" w:hAnsi="Arial" w:eastAsia="Arial" w:cs="Arial"/>
      <w:i/>
      <w:iCs/>
      <w:sz w:val="22"/>
      <w:szCs w:val="22"/>
    </w:rPr>
  </w:style>
  <w:style w:type="character" w:styleId="748" w:customStyle="1">
    <w:name w:val="Heading 9 Char"/>
    <w:link w:val="715"/>
    <w:uiPriority w:val="9"/>
    <w:qFormat/>
    <w:rPr>
      <w:rFonts w:ascii="Arial" w:hAnsi="Arial" w:eastAsia="Arial" w:cs="Arial"/>
      <w:i/>
      <w:iCs/>
      <w:sz w:val="21"/>
      <w:szCs w:val="21"/>
    </w:rPr>
  </w:style>
  <w:style w:type="paragraph" w:styleId="749">
    <w:name w:val="List Paragraph"/>
    <w:basedOn w:val="706"/>
    <w:uiPriority w:val="34"/>
    <w:qFormat/>
    <w:pPr>
      <w:contextualSpacing/>
      <w:ind w:left="720"/>
    </w:pPr>
  </w:style>
  <w:style w:type="paragraph" w:styleId="750">
    <w:name w:val="No Spacing"/>
    <w:uiPriority w:val="1"/>
    <w:qFormat/>
    <w:pPr>
      <w:spacing w:before="0" w:after="0" w:line="240" w:lineRule="auto"/>
    </w:pPr>
    <w:rPr>
      <w:rFonts w:hint="default" w:ascii="Calibri" w:hAnsi="Calibri" w:eastAsia="宋体" w:cs="Times New Roman"/>
    </w:rPr>
  </w:style>
  <w:style w:type="character" w:styleId="751" w:customStyle="1">
    <w:name w:val="Title Char"/>
    <w:link w:val="735"/>
    <w:uiPriority w:val="10"/>
    <w:qFormat/>
    <w:rPr>
      <w:sz w:val="48"/>
      <w:szCs w:val="48"/>
    </w:rPr>
  </w:style>
  <w:style w:type="character" w:styleId="752" w:customStyle="1">
    <w:name w:val="Subtitle Char"/>
    <w:link w:val="729"/>
    <w:uiPriority w:val="11"/>
    <w:qFormat/>
    <w:rPr>
      <w:sz w:val="24"/>
      <w:szCs w:val="24"/>
    </w:rPr>
  </w:style>
  <w:style w:type="paragraph" w:styleId="753">
    <w:name w:val="Quote"/>
    <w:basedOn w:val="706"/>
    <w:next w:val="706"/>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6"/>
    <w:next w:val="706"/>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6"/>
    <w:uiPriority w:val="99"/>
    <w:qFormat/>
  </w:style>
  <w:style w:type="character" w:styleId="758" w:customStyle="1">
    <w:name w:val="Footer Char"/>
    <w:link w:val="725"/>
    <w:uiPriority w:val="99"/>
    <w:qFormat/>
  </w:style>
  <w:style w:type="character" w:styleId="759" w:customStyle="1">
    <w:name w:val="Caption Char"/>
    <w:link w:val="725"/>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30"/>
    <w:uiPriority w:val="99"/>
    <w:qFormat/>
    <w:rPr>
      <w:sz w:val="18"/>
    </w:rPr>
  </w:style>
  <w:style w:type="character" w:styleId="886" w:customStyle="1">
    <w:name w:val="Endnote Text Char"/>
    <w:link w:val="724"/>
    <w:uiPriority w:val="99"/>
    <w:qFormat/>
    <w:rPr>
      <w:sz w:val="20"/>
    </w:rPr>
  </w:style>
  <w:style w:type="paragraph" w:styleId="887" w:customStyle="1">
    <w:name w:val="TOC Heading"/>
    <w:uiPriority w:val="39"/>
    <w:unhideWhenUsed/>
    <w:qFormat/>
    <w:rPr>
      <w:rFonts w:hint="default" w:ascii="Calibri" w:hAnsi="Calibri" w:eastAsia="宋体" w:cs="Times New Roman"/>
    </w:rPr>
  </w:style>
  <w:style w:type="paragraph" w:styleId="888" w:customStyle="1">
    <w:name w:val="标题 11"/>
    <w:basedOn w:val="706"/>
    <w:next w:val="706"/>
    <w:link w:val="900"/>
    <w:uiPriority w:val="0"/>
    <w:qFormat/>
    <w:pPr>
      <w:jc w:val="center"/>
      <w:keepNext/>
      <w:outlineLvl w:val="0"/>
    </w:pPr>
    <w:rPr>
      <w:rFonts w:ascii="楷体_GB2312" w:eastAsia="楷体_GB2312"/>
      <w:sz w:val="28"/>
      <w:szCs w:val="28"/>
    </w:rPr>
  </w:style>
  <w:style w:type="paragraph" w:styleId="889" w:customStyle="1">
    <w:name w:val="标题 21"/>
    <w:basedOn w:val="706"/>
    <w:next w:val="890"/>
    <w:link w:val="901"/>
    <w:uiPriority w:val="0"/>
    <w:qFormat/>
    <w:pPr>
      <w:jc w:val="center"/>
      <w:keepLines/>
      <w:keepNext/>
      <w:spacing w:before="260" w:after="260" w:line="416" w:lineRule="auto"/>
      <w:outlineLvl w:val="1"/>
    </w:pPr>
    <w:rPr>
      <w:rFonts w:ascii="Arial" w:hAnsi="Arial" w:eastAsia="幼圆"/>
      <w:b/>
      <w:bCs/>
      <w:sz w:val="44"/>
      <w:szCs w:val="44"/>
    </w:rPr>
  </w:style>
  <w:style w:type="paragraph" w:styleId="890" w:customStyle="1">
    <w:name w:val="正文缩进1"/>
    <w:basedOn w:val="706"/>
    <w:link w:val="902"/>
    <w:uiPriority w:val="0"/>
    <w:qFormat/>
    <w:pPr>
      <w:ind w:firstLine="420"/>
    </w:pPr>
    <w:rPr>
      <w:sz w:val="20"/>
    </w:rPr>
  </w:style>
  <w:style w:type="paragraph" w:styleId="891" w:customStyle="1">
    <w:name w:val="标题 31"/>
    <w:basedOn w:val="706"/>
    <w:next w:val="890"/>
    <w:link w:val="903"/>
    <w:uiPriority w:val="0"/>
    <w:qFormat/>
    <w:pPr>
      <w:keepLines/>
      <w:keepNext/>
      <w:spacing w:before="260" w:after="260" w:line="416" w:lineRule="auto"/>
      <w:outlineLvl w:val="2"/>
    </w:pPr>
    <w:rPr>
      <w:b/>
      <w:bCs/>
      <w:sz w:val="32"/>
      <w:szCs w:val="32"/>
    </w:rPr>
  </w:style>
  <w:style w:type="paragraph" w:styleId="892" w:customStyle="1">
    <w:name w:val="标题 41"/>
    <w:basedOn w:val="706"/>
    <w:next w:val="890"/>
    <w:link w:val="904"/>
    <w:uiPriority w:val="0"/>
    <w:qFormat/>
    <w:pPr>
      <w:keepLines/>
      <w:keepNext/>
      <w:spacing w:before="280" w:after="290" w:line="376" w:lineRule="auto"/>
      <w:outlineLvl w:val="3"/>
    </w:pPr>
    <w:rPr>
      <w:rFonts w:ascii="Arial" w:hAnsi="Arial" w:eastAsia="黑体"/>
      <w:b/>
      <w:bCs/>
      <w:sz w:val="28"/>
      <w:szCs w:val="28"/>
    </w:rPr>
  </w:style>
  <w:style w:type="paragraph" w:styleId="893" w:customStyle="1">
    <w:name w:val="标题 51"/>
    <w:basedOn w:val="706"/>
    <w:next w:val="890"/>
    <w:link w:val="905"/>
    <w:uiPriority w:val="0"/>
    <w:qFormat/>
    <w:pPr>
      <w:keepNext/>
      <w:outlineLvl w:val="4"/>
    </w:pPr>
    <w:rPr>
      <w:rFonts w:ascii="宋体"/>
      <w:color w:val="000000"/>
      <w:sz w:val="28"/>
      <w:szCs w:val="28"/>
    </w:rPr>
  </w:style>
  <w:style w:type="paragraph" w:styleId="894" w:customStyle="1">
    <w:name w:val="标题 61"/>
    <w:basedOn w:val="706"/>
    <w:next w:val="706"/>
    <w:link w:val="90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5" w:customStyle="1">
    <w:name w:val="标题 71"/>
    <w:basedOn w:val="706"/>
    <w:next w:val="706"/>
    <w:link w:val="907"/>
    <w:uiPriority w:val="0"/>
    <w:qFormat/>
    <w:pPr>
      <w:numPr>
        <w:ilvl w:val="6"/>
        <w:numId w:val="1"/>
      </w:numPr>
      <w:keepLines/>
      <w:keepNext/>
      <w:spacing w:before="240" w:after="64" w:line="320" w:lineRule="auto"/>
      <w:outlineLvl w:val="6"/>
    </w:pPr>
    <w:rPr>
      <w:b/>
      <w:bCs/>
      <w:sz w:val="24"/>
      <w:szCs w:val="24"/>
    </w:rPr>
  </w:style>
  <w:style w:type="paragraph" w:styleId="896" w:customStyle="1">
    <w:name w:val="标题 81"/>
    <w:basedOn w:val="706"/>
    <w:next w:val="706"/>
    <w:link w:val="90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7" w:customStyle="1">
    <w:name w:val="标题 91"/>
    <w:basedOn w:val="706"/>
    <w:next w:val="706"/>
    <w:link w:val="909"/>
    <w:uiPriority w:val="0"/>
    <w:qFormat/>
    <w:pPr>
      <w:numPr>
        <w:ilvl w:val="8"/>
        <w:numId w:val="1"/>
      </w:numPr>
      <w:keepLines/>
      <w:keepNext/>
      <w:spacing w:before="240" w:after="64" w:line="320" w:lineRule="auto"/>
      <w:outlineLvl w:val="8"/>
    </w:pPr>
    <w:rPr>
      <w:rFonts w:ascii="Arial" w:hAnsi="Arial" w:eastAsia="黑体"/>
      <w:sz w:val="20"/>
    </w:rPr>
  </w:style>
  <w:style w:type="character" w:styleId="898" w:customStyle="1">
    <w:name w:val="默认段落字体1"/>
    <w:link w:val="706"/>
    <w:uiPriority w:val="1"/>
    <w:unhideWhenUsed/>
    <w:qFormat/>
  </w:style>
  <w:style w:type="table" w:styleId="899" w:customStyle="1">
    <w:name w:val="普通表格1"/>
    <w:uiPriority w:val="99"/>
    <w:unhideWhenUsed/>
    <w:qFormat/>
    <w:tblPr/>
  </w:style>
  <w:style w:type="character" w:styleId="900" w:customStyle="1">
    <w:name w:val="标题 1 Char"/>
    <w:link w:val="888"/>
    <w:uiPriority w:val="0"/>
    <w:qFormat/>
    <w:rPr>
      <w:rFonts w:ascii="楷体_GB2312" w:hAnsi="Times New Roman" w:eastAsia="楷体_GB2312" w:cs="Times New Roman"/>
      <w:sz w:val="28"/>
      <w:szCs w:val="28"/>
    </w:rPr>
  </w:style>
  <w:style w:type="character" w:styleId="901" w:customStyle="1">
    <w:name w:val="标题 2 Char"/>
    <w:link w:val="889"/>
    <w:uiPriority w:val="0"/>
    <w:qFormat/>
    <w:rPr>
      <w:rFonts w:ascii="Arial" w:hAnsi="Arial" w:eastAsia="幼圆" w:cs="Arial"/>
      <w:b/>
      <w:bCs/>
      <w:sz w:val="44"/>
      <w:szCs w:val="44"/>
    </w:rPr>
  </w:style>
  <w:style w:type="character" w:styleId="902" w:customStyle="1">
    <w:name w:val="正文缩进 Char"/>
    <w:link w:val="890"/>
    <w:uiPriority w:val="0"/>
    <w:qFormat/>
    <w:rPr>
      <w:rFonts w:ascii="Times New Roman" w:hAnsi="Times New Roman" w:eastAsia="宋体" w:cs="Times New Roman"/>
      <w:szCs w:val="21"/>
    </w:rPr>
  </w:style>
  <w:style w:type="character" w:styleId="903" w:customStyle="1">
    <w:name w:val="标题 3 Char"/>
    <w:link w:val="891"/>
    <w:uiPriority w:val="0"/>
    <w:qFormat/>
    <w:rPr>
      <w:rFonts w:ascii="Times New Roman" w:hAnsi="Times New Roman" w:eastAsia="宋体" w:cs="Times New Roman"/>
      <w:b/>
      <w:bCs/>
      <w:sz w:val="32"/>
      <w:szCs w:val="32"/>
    </w:rPr>
  </w:style>
  <w:style w:type="character" w:styleId="904" w:customStyle="1">
    <w:name w:val="标题 4 Char"/>
    <w:link w:val="892"/>
    <w:uiPriority w:val="0"/>
    <w:qFormat/>
    <w:rPr>
      <w:rFonts w:ascii="Arial" w:hAnsi="Arial" w:eastAsia="黑体" w:cs="Arial"/>
      <w:b/>
      <w:bCs/>
      <w:sz w:val="28"/>
      <w:szCs w:val="28"/>
    </w:rPr>
  </w:style>
  <w:style w:type="character" w:styleId="905" w:customStyle="1">
    <w:name w:val="标题 5 Char"/>
    <w:link w:val="893"/>
    <w:uiPriority w:val="0"/>
    <w:qFormat/>
    <w:rPr>
      <w:rFonts w:ascii="宋体" w:hAnsi="Times New Roman" w:eastAsia="宋体" w:cs="Times New Roman"/>
      <w:color w:val="000000"/>
      <w:sz w:val="28"/>
      <w:szCs w:val="28"/>
    </w:rPr>
  </w:style>
  <w:style w:type="character" w:styleId="906" w:customStyle="1">
    <w:name w:val="标题 6 Char"/>
    <w:link w:val="894"/>
    <w:uiPriority w:val="0"/>
    <w:qFormat/>
    <w:rPr>
      <w:rFonts w:ascii="Arial" w:hAnsi="Arial" w:eastAsia="黑体" w:cs="Times New Roman"/>
      <w:b/>
      <w:bCs/>
      <w:sz w:val="24"/>
      <w:szCs w:val="24"/>
    </w:rPr>
  </w:style>
  <w:style w:type="character" w:styleId="907" w:customStyle="1">
    <w:name w:val="标题 7 Char"/>
    <w:link w:val="895"/>
    <w:uiPriority w:val="0"/>
    <w:qFormat/>
    <w:rPr>
      <w:rFonts w:ascii="Times New Roman" w:hAnsi="Times New Roman" w:eastAsia="宋体" w:cs="Times New Roman"/>
      <w:b/>
      <w:bCs/>
      <w:sz w:val="24"/>
      <w:szCs w:val="24"/>
    </w:rPr>
  </w:style>
  <w:style w:type="character" w:styleId="908" w:customStyle="1">
    <w:name w:val="标题 8 Char"/>
    <w:link w:val="896"/>
    <w:uiPriority w:val="0"/>
    <w:qFormat/>
    <w:rPr>
      <w:rFonts w:ascii="Arial" w:hAnsi="Arial" w:eastAsia="黑体" w:cs="Times New Roman"/>
      <w:sz w:val="24"/>
      <w:szCs w:val="24"/>
    </w:rPr>
  </w:style>
  <w:style w:type="character" w:styleId="909" w:customStyle="1">
    <w:name w:val="标题 9 Char"/>
    <w:link w:val="897"/>
    <w:uiPriority w:val="0"/>
    <w:qFormat/>
    <w:rPr>
      <w:rFonts w:ascii="Arial" w:hAnsi="Arial" w:eastAsia="黑体" w:cs="Times New Roman"/>
      <w:szCs w:val="21"/>
    </w:rPr>
  </w:style>
  <w:style w:type="paragraph" w:styleId="910" w:customStyle="1">
    <w:name w:val="列表 31"/>
    <w:basedOn w:val="706"/>
    <w:uiPriority w:val="0"/>
    <w:qFormat/>
    <w:pPr>
      <w:ind w:left="100" w:hanging="200"/>
    </w:pPr>
  </w:style>
  <w:style w:type="paragraph" w:styleId="911" w:customStyle="1">
    <w:name w:val="目录 71"/>
    <w:basedOn w:val="706"/>
    <w:next w:val="706"/>
    <w:uiPriority w:val="0"/>
    <w:semiHidden/>
    <w:qFormat/>
    <w:pPr>
      <w:ind w:left="1260"/>
      <w:jc w:val="left"/>
    </w:pPr>
  </w:style>
  <w:style w:type="paragraph" w:styleId="912" w:customStyle="1">
    <w:name w:val="文档结构图1"/>
    <w:basedOn w:val="706"/>
    <w:link w:val="913"/>
    <w:uiPriority w:val="0"/>
    <w:semiHidden/>
    <w:qFormat/>
    <w:pPr>
      <w:shd w:val="clear" w:color="auto" w:fill="000080"/>
    </w:pPr>
    <w:rPr>
      <w:sz w:val="20"/>
    </w:rPr>
  </w:style>
  <w:style w:type="character" w:styleId="913" w:customStyle="1">
    <w:name w:val="文档结构图 Char"/>
    <w:link w:val="912"/>
    <w:uiPriority w:val="0"/>
    <w:semiHidden/>
    <w:qFormat/>
    <w:rPr>
      <w:rFonts w:ascii="Times New Roman" w:hAnsi="Times New Roman" w:eastAsia="宋体" w:cs="Times New Roman"/>
      <w:szCs w:val="21"/>
      <w:shd w:val="clear" w:color="auto" w:fill="000080"/>
    </w:rPr>
  </w:style>
  <w:style w:type="paragraph" w:styleId="914" w:customStyle="1">
    <w:name w:val="批注文字1"/>
    <w:basedOn w:val="706"/>
    <w:link w:val="915"/>
    <w:uiPriority w:val="0"/>
    <w:semiHidden/>
    <w:qFormat/>
    <w:pPr>
      <w:jc w:val="left"/>
    </w:pPr>
    <w:rPr>
      <w:sz w:val="20"/>
    </w:rPr>
  </w:style>
  <w:style w:type="character" w:styleId="915" w:customStyle="1">
    <w:name w:val="批注文字 Char"/>
    <w:link w:val="914"/>
    <w:uiPriority w:val="0"/>
    <w:semiHidden/>
    <w:qFormat/>
    <w:rPr>
      <w:rFonts w:ascii="Times New Roman" w:hAnsi="Times New Roman" w:eastAsia="宋体" w:cs="Times New Roman"/>
      <w:szCs w:val="21"/>
    </w:rPr>
  </w:style>
  <w:style w:type="paragraph" w:styleId="916" w:customStyle="1">
    <w:name w:val="正文文本 31"/>
    <w:basedOn w:val="706"/>
    <w:link w:val="917"/>
    <w:uiPriority w:val="0"/>
    <w:qFormat/>
    <w:rPr>
      <w:rFonts w:ascii="仿宋_GB2312" w:hAnsi="Arial" w:eastAsia="仿宋_GB2312"/>
      <w:sz w:val="32"/>
      <w:szCs w:val="32"/>
    </w:rPr>
  </w:style>
  <w:style w:type="character" w:styleId="917" w:customStyle="1">
    <w:name w:val="正文文本 3 Char"/>
    <w:link w:val="916"/>
    <w:uiPriority w:val="0"/>
    <w:qFormat/>
    <w:rPr>
      <w:rFonts w:ascii="仿宋_GB2312" w:hAnsi="Arial" w:eastAsia="仿宋_GB2312" w:cs="Times New Roman"/>
      <w:sz w:val="32"/>
      <w:szCs w:val="32"/>
    </w:rPr>
  </w:style>
  <w:style w:type="paragraph" w:styleId="918" w:customStyle="1">
    <w:name w:val="正文文本1"/>
    <w:basedOn w:val="706"/>
    <w:link w:val="919"/>
    <w:uiPriority w:val="0"/>
    <w:qFormat/>
    <w:rPr>
      <w:rFonts w:ascii="楷体_GB2312" w:hAnsi="Arial" w:eastAsia="楷体_GB2312"/>
      <w:sz w:val="28"/>
      <w:szCs w:val="28"/>
    </w:rPr>
  </w:style>
  <w:style w:type="character" w:styleId="919" w:customStyle="1">
    <w:name w:val="正文文本 Char"/>
    <w:link w:val="918"/>
    <w:uiPriority w:val="0"/>
    <w:qFormat/>
    <w:rPr>
      <w:rFonts w:ascii="楷体_GB2312" w:hAnsi="Arial" w:eastAsia="楷体_GB2312" w:cs="Times New Roman"/>
      <w:sz w:val="28"/>
      <w:szCs w:val="28"/>
    </w:rPr>
  </w:style>
  <w:style w:type="paragraph" w:styleId="920" w:customStyle="1">
    <w:name w:val="正文文本缩进1"/>
    <w:basedOn w:val="706"/>
    <w:link w:val="921"/>
    <w:uiPriority w:val="0"/>
    <w:qFormat/>
    <w:pPr>
      <w:ind w:firstLine="645"/>
    </w:pPr>
    <w:rPr>
      <w:rFonts w:ascii="楷体_GB2312" w:eastAsia="楷体_GB2312"/>
      <w:sz w:val="32"/>
      <w:szCs w:val="32"/>
    </w:rPr>
  </w:style>
  <w:style w:type="character" w:styleId="921" w:customStyle="1">
    <w:name w:val="正文文本缩进 Char"/>
    <w:link w:val="920"/>
    <w:uiPriority w:val="0"/>
    <w:qFormat/>
    <w:rPr>
      <w:rFonts w:ascii="楷体_GB2312" w:hAnsi="Times New Roman" w:eastAsia="楷体_GB2312" w:cs="Times New Roman"/>
      <w:sz w:val="32"/>
      <w:szCs w:val="32"/>
    </w:rPr>
  </w:style>
  <w:style w:type="paragraph" w:styleId="922" w:customStyle="1">
    <w:name w:val="列表 21"/>
    <w:basedOn w:val="706"/>
    <w:uiPriority w:val="0"/>
    <w:qFormat/>
    <w:pPr>
      <w:ind w:left="100" w:hanging="200"/>
    </w:pPr>
  </w:style>
  <w:style w:type="paragraph" w:styleId="923" w:customStyle="1">
    <w:name w:val="目录 51"/>
    <w:basedOn w:val="706"/>
    <w:next w:val="706"/>
    <w:uiPriority w:val="0"/>
    <w:semiHidden/>
    <w:qFormat/>
    <w:pPr>
      <w:ind w:left="840"/>
      <w:jc w:val="left"/>
    </w:pPr>
  </w:style>
  <w:style w:type="paragraph" w:styleId="924" w:customStyle="1">
    <w:name w:val="目录 31"/>
    <w:basedOn w:val="706"/>
    <w:next w:val="706"/>
    <w:uiPriority w:val="0"/>
    <w:semiHidden/>
    <w:qFormat/>
    <w:pPr>
      <w:ind w:left="420"/>
      <w:jc w:val="left"/>
    </w:pPr>
    <w:rPr>
      <w:i/>
      <w:iCs/>
      <w:szCs w:val="24"/>
    </w:rPr>
  </w:style>
  <w:style w:type="paragraph" w:styleId="925" w:customStyle="1">
    <w:name w:val="纯文本1"/>
    <w:basedOn w:val="706"/>
    <w:link w:val="926"/>
    <w:uiPriority w:val="0"/>
    <w:qFormat/>
    <w:rPr>
      <w:rFonts w:ascii="宋体" w:hAnsi="Courier New"/>
      <w:sz w:val="20"/>
    </w:rPr>
  </w:style>
  <w:style w:type="character" w:styleId="926" w:customStyle="1">
    <w:name w:val="纯文本 Char"/>
    <w:link w:val="925"/>
    <w:uiPriority w:val="0"/>
    <w:qFormat/>
    <w:rPr>
      <w:rFonts w:ascii="宋体" w:hAnsi="Courier New" w:eastAsia="宋体" w:cs="Courier New"/>
      <w:szCs w:val="21"/>
    </w:rPr>
  </w:style>
  <w:style w:type="paragraph" w:styleId="927" w:customStyle="1">
    <w:name w:val="目录 81"/>
    <w:basedOn w:val="706"/>
    <w:next w:val="706"/>
    <w:uiPriority w:val="0"/>
    <w:semiHidden/>
    <w:qFormat/>
    <w:pPr>
      <w:ind w:left="1470"/>
      <w:jc w:val="left"/>
    </w:pPr>
  </w:style>
  <w:style w:type="paragraph" w:styleId="928" w:customStyle="1">
    <w:name w:val="日期1"/>
    <w:basedOn w:val="706"/>
    <w:next w:val="706"/>
    <w:link w:val="929"/>
    <w:uiPriority w:val="0"/>
    <w:qFormat/>
    <w:rPr>
      <w:sz w:val="24"/>
      <w:szCs w:val="24"/>
    </w:rPr>
  </w:style>
  <w:style w:type="character" w:styleId="929" w:customStyle="1">
    <w:name w:val="日期 Char"/>
    <w:link w:val="928"/>
    <w:uiPriority w:val="0"/>
    <w:qFormat/>
    <w:rPr>
      <w:rFonts w:ascii="Times New Roman" w:hAnsi="Times New Roman" w:eastAsia="宋体" w:cs="Times New Roman"/>
      <w:sz w:val="24"/>
      <w:szCs w:val="24"/>
    </w:rPr>
  </w:style>
  <w:style w:type="paragraph" w:styleId="930" w:customStyle="1">
    <w:name w:val="正文文本缩进 21"/>
    <w:basedOn w:val="706"/>
    <w:link w:val="931"/>
    <w:uiPriority w:val="0"/>
    <w:qFormat/>
    <w:pPr>
      <w:ind w:left="630" w:firstLine="645"/>
    </w:pPr>
    <w:rPr>
      <w:rFonts w:ascii="Arial" w:hAnsi="Arial" w:eastAsia="仿宋_GB2312"/>
      <w:sz w:val="32"/>
      <w:szCs w:val="32"/>
    </w:rPr>
  </w:style>
  <w:style w:type="character" w:styleId="931" w:customStyle="1">
    <w:name w:val="正文文本缩进 2 Char"/>
    <w:link w:val="930"/>
    <w:uiPriority w:val="0"/>
    <w:qFormat/>
    <w:rPr>
      <w:rFonts w:ascii="Arial" w:hAnsi="Arial" w:eastAsia="仿宋_GB2312" w:cs="Arial"/>
      <w:sz w:val="32"/>
      <w:szCs w:val="32"/>
    </w:rPr>
  </w:style>
  <w:style w:type="paragraph" w:styleId="932" w:customStyle="1">
    <w:name w:val="批注框文本1"/>
    <w:basedOn w:val="706"/>
    <w:link w:val="933"/>
    <w:uiPriority w:val="0"/>
    <w:semiHidden/>
    <w:qFormat/>
    <w:rPr>
      <w:sz w:val="18"/>
      <w:szCs w:val="18"/>
    </w:rPr>
  </w:style>
  <w:style w:type="character" w:styleId="933" w:customStyle="1">
    <w:name w:val="批注框文本 Char"/>
    <w:link w:val="932"/>
    <w:uiPriority w:val="0"/>
    <w:semiHidden/>
    <w:qFormat/>
    <w:rPr>
      <w:rFonts w:ascii="Times New Roman" w:hAnsi="Times New Roman" w:eastAsia="宋体" w:cs="Times New Roman"/>
      <w:sz w:val="18"/>
      <w:szCs w:val="18"/>
    </w:rPr>
  </w:style>
  <w:style w:type="paragraph" w:styleId="934" w:customStyle="1">
    <w:name w:val="页脚1"/>
    <w:basedOn w:val="706"/>
    <w:link w:val="935"/>
    <w:uiPriority w:val="0"/>
    <w:qFormat/>
    <w:pPr>
      <w:jc w:val="left"/>
      <w:tabs>
        <w:tab w:val="center" w:pos="4153" w:leader="none"/>
        <w:tab w:val="right" w:pos="8306" w:leader="none"/>
      </w:tabs>
    </w:pPr>
    <w:rPr>
      <w:sz w:val="18"/>
      <w:szCs w:val="18"/>
    </w:rPr>
  </w:style>
  <w:style w:type="character" w:styleId="935" w:customStyle="1">
    <w:name w:val="页脚 Char"/>
    <w:link w:val="934"/>
    <w:uiPriority w:val="0"/>
    <w:qFormat/>
    <w:rPr>
      <w:rFonts w:ascii="Times New Roman" w:hAnsi="Times New Roman" w:eastAsia="宋体" w:cs="Times New Roman"/>
      <w:sz w:val="18"/>
      <w:szCs w:val="18"/>
    </w:rPr>
  </w:style>
  <w:style w:type="paragraph" w:styleId="936" w:customStyle="1">
    <w:name w:val="页眉1"/>
    <w:basedOn w:val="706"/>
    <w:link w:val="937"/>
    <w:uiPriority w:val="99"/>
    <w:qFormat/>
    <w:pPr>
      <w:jc w:val="center"/>
      <w:tabs>
        <w:tab w:val="center" w:pos="4153" w:leader="none"/>
        <w:tab w:val="right" w:pos="8306" w:leader="none"/>
      </w:tabs>
      <w:pBdr>
        <w:bottom w:val="single" w:color="000000" w:sz="6" w:space="1"/>
      </w:pBdr>
    </w:pPr>
    <w:rPr>
      <w:sz w:val="18"/>
      <w:szCs w:val="18"/>
    </w:rPr>
  </w:style>
  <w:style w:type="character" w:styleId="937" w:customStyle="1">
    <w:name w:val="页眉 Char"/>
    <w:link w:val="936"/>
    <w:uiPriority w:val="99"/>
    <w:qFormat/>
    <w:rPr>
      <w:rFonts w:ascii="Times New Roman" w:hAnsi="Times New Roman" w:eastAsia="宋体" w:cs="Times New Roman"/>
      <w:sz w:val="18"/>
      <w:szCs w:val="18"/>
    </w:rPr>
  </w:style>
  <w:style w:type="paragraph" w:styleId="938"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939" w:customStyle="1">
    <w:name w:val="目录 41"/>
    <w:basedOn w:val="706"/>
    <w:next w:val="706"/>
    <w:uiPriority w:val="0"/>
    <w:semiHidden/>
    <w:qFormat/>
    <w:pPr>
      <w:ind w:left="630"/>
      <w:jc w:val="left"/>
    </w:pPr>
  </w:style>
  <w:style w:type="paragraph" w:styleId="940" w:customStyle="1">
    <w:name w:val="列表1"/>
    <w:basedOn w:val="706"/>
    <w:uiPriority w:val="0"/>
    <w:qFormat/>
    <w:pPr>
      <w:ind w:left="200" w:hanging="200"/>
    </w:pPr>
  </w:style>
  <w:style w:type="paragraph" w:styleId="941" w:customStyle="1">
    <w:name w:val="目录 61"/>
    <w:basedOn w:val="706"/>
    <w:next w:val="706"/>
    <w:uiPriority w:val="0"/>
    <w:semiHidden/>
    <w:qFormat/>
    <w:pPr>
      <w:ind w:left="1050"/>
      <w:jc w:val="left"/>
    </w:pPr>
  </w:style>
  <w:style w:type="paragraph" w:styleId="942" w:customStyle="1">
    <w:name w:val="正文文本缩进 31"/>
    <w:basedOn w:val="706"/>
    <w:link w:val="943"/>
    <w:uiPriority w:val="0"/>
    <w:qFormat/>
    <w:pPr>
      <w:ind w:left="645" w:firstLine="645"/>
    </w:pPr>
    <w:rPr>
      <w:rFonts w:ascii="Arial" w:hAnsi="Arial" w:eastAsia="仿宋_GB2312"/>
      <w:color w:val="ffff00"/>
      <w:sz w:val="32"/>
      <w:szCs w:val="32"/>
    </w:rPr>
  </w:style>
  <w:style w:type="character" w:styleId="943" w:customStyle="1">
    <w:name w:val="正文文本缩进 3 Char"/>
    <w:link w:val="942"/>
    <w:uiPriority w:val="0"/>
    <w:qFormat/>
    <w:rPr>
      <w:rFonts w:ascii="Arial" w:hAnsi="Arial" w:eastAsia="仿宋_GB2312" w:cs="Arial"/>
      <w:color w:val="ffff00"/>
      <w:sz w:val="32"/>
      <w:szCs w:val="32"/>
    </w:rPr>
  </w:style>
  <w:style w:type="paragraph" w:styleId="944" w:customStyle="1">
    <w:name w:val="图表目录1"/>
    <w:basedOn w:val="706"/>
    <w:next w:val="706"/>
    <w:uiPriority w:val="0"/>
    <w:semiHidden/>
    <w:qFormat/>
    <w:pPr>
      <w:ind w:left="840" w:hanging="420"/>
    </w:pPr>
  </w:style>
  <w:style w:type="paragraph" w:styleId="945" w:customStyle="1">
    <w:name w:val="目录 21"/>
    <w:basedOn w:val="706"/>
    <w:next w:val="706"/>
    <w:uiPriority w:val="0"/>
    <w:semiHidden/>
    <w:qFormat/>
    <w:pPr>
      <w:ind w:left="210"/>
      <w:jc w:val="left"/>
    </w:pPr>
    <w:rPr>
      <w:smallCaps/>
      <w:szCs w:val="24"/>
    </w:rPr>
  </w:style>
  <w:style w:type="paragraph" w:styleId="946" w:customStyle="1">
    <w:name w:val="目录 91"/>
    <w:basedOn w:val="706"/>
    <w:next w:val="706"/>
    <w:uiPriority w:val="0"/>
    <w:semiHidden/>
    <w:qFormat/>
    <w:pPr>
      <w:ind w:left="1680"/>
      <w:jc w:val="left"/>
    </w:pPr>
  </w:style>
  <w:style w:type="paragraph" w:styleId="947" w:customStyle="1">
    <w:name w:val="正文文本 21"/>
    <w:basedOn w:val="706"/>
    <w:link w:val="948"/>
    <w:uiPriority w:val="0"/>
    <w:qFormat/>
    <w:pPr>
      <w:jc w:val="center"/>
      <w:widowControl/>
    </w:pPr>
    <w:rPr>
      <w:rFonts w:ascii="楷体_GB2312" w:eastAsia="楷体_GB2312"/>
      <w:sz w:val="28"/>
      <w:szCs w:val="28"/>
    </w:rPr>
  </w:style>
  <w:style w:type="character" w:styleId="948" w:customStyle="1">
    <w:name w:val="正文文本 2 Char"/>
    <w:link w:val="947"/>
    <w:uiPriority w:val="0"/>
    <w:qFormat/>
    <w:rPr>
      <w:rFonts w:ascii="楷体_GB2312" w:hAnsi="Times New Roman" w:eastAsia="楷体_GB2312" w:cs="Times New Roman"/>
      <w:sz w:val="28"/>
      <w:szCs w:val="28"/>
    </w:rPr>
  </w:style>
  <w:style w:type="paragraph" w:styleId="949" w:customStyle="1">
    <w:name w:val="HTML 预设格式1"/>
    <w:basedOn w:val="706"/>
    <w:link w:val="95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50" w:customStyle="1">
    <w:name w:val="HTML 预设格式 Char"/>
    <w:basedOn w:val="898"/>
    <w:link w:val="949"/>
    <w:uiPriority w:val="99"/>
    <w:semiHidden/>
    <w:qFormat/>
    <w:rPr>
      <w:rFonts w:ascii="宋体" w:hAnsi="宋体" w:cs="宋体"/>
      <w:sz w:val="24"/>
      <w:szCs w:val="24"/>
    </w:rPr>
  </w:style>
  <w:style w:type="paragraph" w:styleId="951"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952" w:customStyle="1">
    <w:name w:val="索引 11"/>
    <w:basedOn w:val="706"/>
    <w:next w:val="706"/>
    <w:uiPriority w:val="0"/>
    <w:semiHidden/>
    <w:qFormat/>
    <w:pPr>
      <w:spacing w:line="240" w:lineRule="atLeast"/>
    </w:pPr>
    <w:rPr>
      <w:b/>
      <w:bCs/>
    </w:rPr>
  </w:style>
  <w:style w:type="paragraph" w:styleId="953" w:customStyle="1">
    <w:name w:val="批注主题1"/>
    <w:basedOn w:val="914"/>
    <w:next w:val="914"/>
    <w:link w:val="954"/>
    <w:uiPriority w:val="0"/>
    <w:semiHidden/>
    <w:qFormat/>
    <w:rPr>
      <w:b/>
      <w:bCs/>
    </w:rPr>
  </w:style>
  <w:style w:type="character" w:styleId="954" w:customStyle="1">
    <w:name w:val="批注主题 Char"/>
    <w:link w:val="953"/>
    <w:uiPriority w:val="0"/>
    <w:semiHidden/>
    <w:qFormat/>
    <w:rPr>
      <w:rFonts w:ascii="Times New Roman" w:hAnsi="Times New Roman" w:eastAsia="宋体" w:cs="Times New Roman"/>
      <w:b/>
      <w:bCs/>
      <w:szCs w:val="21"/>
    </w:rPr>
  </w:style>
  <w:style w:type="paragraph" w:styleId="955" w:customStyle="1">
    <w:name w:val="正文首行缩进1"/>
    <w:basedOn w:val="706"/>
    <w:link w:val="956"/>
    <w:uiPriority w:val="0"/>
    <w:qFormat/>
    <w:pPr>
      <w:ind w:firstLine="200"/>
      <w:spacing w:line="360" w:lineRule="auto"/>
    </w:pPr>
    <w:rPr>
      <w:rFonts w:ascii="仿宋_GB2312" w:eastAsia="仿宋_GB2312"/>
      <w:sz w:val="30"/>
      <w:szCs w:val="30"/>
    </w:rPr>
  </w:style>
  <w:style w:type="character" w:styleId="956" w:customStyle="1">
    <w:name w:val="正文首行缩进 Char"/>
    <w:link w:val="955"/>
    <w:uiPriority w:val="0"/>
    <w:qFormat/>
    <w:rPr>
      <w:rFonts w:ascii="仿宋_GB2312" w:hAnsi="Times New Roman" w:eastAsia="仿宋_GB2312" w:cs="Times New Roman"/>
      <w:sz w:val="30"/>
      <w:szCs w:val="30"/>
    </w:rPr>
  </w:style>
  <w:style w:type="paragraph" w:styleId="957" w:customStyle="1">
    <w:name w:val="正文首行缩进 21"/>
    <w:basedOn w:val="920"/>
    <w:link w:val="958"/>
    <w:uiPriority w:val="0"/>
    <w:qFormat/>
    <w:pPr>
      <w:ind w:firstLine="420"/>
      <w:spacing w:line="360" w:lineRule="auto"/>
    </w:pPr>
    <w:rPr>
      <w:rFonts w:ascii="宋体" w:hAnsi="宋体" w:eastAsia="宋体"/>
      <w:szCs w:val="20"/>
    </w:rPr>
  </w:style>
  <w:style w:type="character" w:styleId="958" w:customStyle="1">
    <w:name w:val="正文首行缩进 2 Char"/>
    <w:link w:val="957"/>
    <w:uiPriority w:val="0"/>
    <w:qFormat/>
    <w:rPr>
      <w:rFonts w:ascii="宋体" w:hAnsi="宋体" w:eastAsia="宋体" w:cs="Times New Roman"/>
      <w:sz w:val="32"/>
      <w:szCs w:val="20"/>
    </w:rPr>
  </w:style>
  <w:style w:type="table" w:styleId="959" w:customStyle="1">
    <w:name w:val="网格型1"/>
    <w:basedOn w:val="899"/>
    <w:uiPriority w:val="0"/>
    <w:qFormat/>
    <w:pPr>
      <w:jc w:val="both"/>
      <w:widowControl w:val="off"/>
    </w:pPr>
    <w:rPr>
      <w:rFonts w:ascii="Times New Roman" w:hAnsi="Times New Roman" w:eastAsia="宋体" w:cs="Times New Roman"/>
      <w:sz w:val="20"/>
      <w:szCs w:val="20"/>
    </w:rPr>
    <w:tblPr/>
  </w:style>
  <w:style w:type="character" w:styleId="960" w:customStyle="1">
    <w:name w:val="要点1"/>
    <w:link w:val="706"/>
    <w:uiPriority w:val="0"/>
    <w:qFormat/>
    <w:rPr>
      <w:b/>
      <w:bCs/>
    </w:rPr>
  </w:style>
  <w:style w:type="character" w:styleId="961" w:customStyle="1">
    <w:name w:val="页码1"/>
    <w:link w:val="706"/>
    <w:uiPriority w:val="0"/>
    <w:qFormat/>
  </w:style>
  <w:style w:type="character" w:styleId="962" w:customStyle="1">
    <w:name w:val="已访问的超链接1"/>
    <w:link w:val="706"/>
    <w:uiPriority w:val="0"/>
    <w:qFormat/>
    <w:rPr>
      <w:color w:val="800080"/>
      <w:u w:val="single"/>
    </w:rPr>
  </w:style>
  <w:style w:type="character" w:styleId="963" w:customStyle="1">
    <w:name w:val="HTML 打字机1"/>
    <w:link w:val="706"/>
    <w:uiPriority w:val="99"/>
    <w:qFormat/>
    <w:rPr>
      <w:rFonts w:ascii="宋体" w:hAnsi="宋体" w:eastAsia="宋体" w:cs="宋体"/>
      <w:sz w:val="24"/>
      <w:szCs w:val="24"/>
    </w:rPr>
  </w:style>
  <w:style w:type="character" w:styleId="964" w:customStyle="1">
    <w:name w:val="超链接1"/>
    <w:link w:val="706"/>
    <w:uiPriority w:val="0"/>
    <w:qFormat/>
    <w:rPr>
      <w:color w:val="0000ff"/>
      <w:u w:val="single"/>
    </w:rPr>
  </w:style>
  <w:style w:type="character" w:styleId="965" w:customStyle="1">
    <w:name w:val="批注引用1"/>
    <w:link w:val="706"/>
    <w:uiPriority w:val="0"/>
    <w:semiHidden/>
    <w:qFormat/>
    <w:rPr>
      <w:sz w:val="21"/>
      <w:szCs w:val="21"/>
    </w:rPr>
  </w:style>
  <w:style w:type="character" w:styleId="966" w:customStyle="1">
    <w:name w:val="font5 Char"/>
    <w:link w:val="706"/>
    <w:uiPriority w:val="0"/>
    <w:qFormat/>
    <w:rPr>
      <w:rFonts w:ascii="宋体" w:hAnsi="宋体" w:eastAsia="宋体"/>
      <w:sz w:val="28"/>
      <w:szCs w:val="28"/>
      <w:lang w:val="en-US" w:eastAsia="zh-CN" w:bidi="ar-SA"/>
    </w:rPr>
  </w:style>
  <w:style w:type="character" w:styleId="967" w:customStyle="1">
    <w:name w:val="二级目录 Char"/>
    <w:link w:val="968"/>
    <w:uiPriority w:val="0"/>
    <w:qFormat/>
    <w:rPr>
      <w:b/>
      <w:sz w:val="30"/>
      <w:szCs w:val="28"/>
      <w:lang w:val="en-US" w:eastAsia="zh-CN" w:bidi="ar-SA"/>
    </w:rPr>
  </w:style>
  <w:style w:type="paragraph" w:styleId="968" w:customStyle="1">
    <w:name w:val="二级目录"/>
    <w:next w:val="706"/>
    <w:link w:val="96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69" w:customStyle="1">
    <w:name w:val="列出段落 Char"/>
    <w:link w:val="970"/>
    <w:uiPriority w:val="0"/>
    <w:qFormat/>
    <w:rPr>
      <w:rFonts w:ascii="Calibri" w:hAnsi="Calibri"/>
      <w:sz w:val="24"/>
      <w:szCs w:val="24"/>
      <w:lang w:eastAsia="en-US" w:bidi="en-US"/>
    </w:rPr>
  </w:style>
  <w:style w:type="paragraph" w:styleId="970" w:customStyle="1">
    <w:name w:val="列出段落1"/>
    <w:basedOn w:val="706"/>
    <w:link w:val="969"/>
    <w:uiPriority w:val="0"/>
    <w:qFormat/>
    <w:pPr>
      <w:contextualSpacing/>
      <w:ind w:left="720"/>
      <w:jc w:val="left"/>
      <w:widowControl/>
    </w:pPr>
    <w:rPr>
      <w:rFonts w:ascii="Calibri" w:hAnsi="Calibri"/>
      <w:sz w:val="24"/>
      <w:szCs w:val="24"/>
      <w:lang w:eastAsia="en-US" w:bidi="en-US"/>
    </w:rPr>
  </w:style>
  <w:style w:type="paragraph" w:styleId="971" w:customStyle="1">
    <w:name w:val="Body Text(ch)"/>
    <w:basedOn w:val="706"/>
    <w:next w:val="918"/>
    <w:uiPriority w:val="0"/>
    <w:qFormat/>
    <w:pPr>
      <w:spacing w:after="120"/>
    </w:pPr>
    <w:rPr>
      <w:rFonts w:ascii="宋体" w:hAnsi="Arial"/>
      <w:bCs/>
      <w:iCs/>
      <w:szCs w:val="24"/>
    </w:rPr>
  </w:style>
  <w:style w:type="paragraph" w:styleId="972"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customStyle="1">
    <w:name w:val="Char"/>
    <w:basedOn w:val="706"/>
    <w:uiPriority w:val="0"/>
    <w:qFormat/>
    <w:pPr>
      <w:ind w:firstLine="200"/>
      <w:tabs>
        <w:tab w:val="left" w:pos="360" w:leader="none"/>
      </w:tabs>
    </w:pPr>
    <w:rPr>
      <w:sz w:val="28"/>
      <w:szCs w:val="30"/>
    </w:rPr>
  </w:style>
  <w:style w:type="paragraph" w:styleId="975" w:customStyle="1">
    <w:name w:val=" Char"/>
    <w:basedOn w:val="912"/>
    <w:uiPriority w:val="0"/>
    <w:qFormat/>
    <w:rPr>
      <w:rFonts w:ascii="Tahoma" w:hAnsi="Tahoma"/>
      <w:sz w:val="24"/>
      <w:szCs w:val="24"/>
    </w:rPr>
  </w:style>
  <w:style w:type="paragraph" w:styleId="976"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77" w:customStyle="1">
    <w:name w:val="table_lines"/>
    <w:basedOn w:val="706"/>
    <w:uiPriority w:val="0"/>
    <w:qFormat/>
    <w:pPr>
      <w:jc w:val="left"/>
      <w:widowControl/>
    </w:pPr>
    <w:rPr>
      <w:sz w:val="20"/>
      <w:szCs w:val="20"/>
      <w:lang w:val="de-DE" w:eastAsia="de-DE"/>
    </w:rPr>
  </w:style>
  <w:style w:type="paragraph" w:styleId="97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9"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980" w:customStyle="1">
    <w:name w:val=" Char Char Char Char"/>
    <w:basedOn w:val="912"/>
    <w:uiPriority w:val="0"/>
    <w:qFormat/>
    <w:pPr>
      <w:spacing w:line="360" w:lineRule="auto"/>
    </w:pPr>
    <w:rPr>
      <w:rFonts w:ascii="Tahoma" w:hAnsi="Tahoma"/>
      <w:sz w:val="24"/>
      <w:szCs w:val="24"/>
    </w:rPr>
  </w:style>
  <w:style w:type="paragraph" w:styleId="981" w:customStyle="1">
    <w:name w:val="列出段落"/>
    <w:basedOn w:val="706"/>
    <w:uiPriority w:val="99"/>
    <w:qFormat/>
    <w:pPr>
      <w:contextualSpacing/>
      <w:ind w:left="720"/>
      <w:jc w:val="left"/>
      <w:widowControl/>
    </w:pPr>
    <w:rPr>
      <w:rFonts w:ascii="Calibri" w:hAnsi="Calibri"/>
      <w:sz w:val="24"/>
      <w:szCs w:val="24"/>
      <w:lang w:eastAsia="en-US" w:bidi="en-US"/>
    </w:rPr>
  </w:style>
  <w:style w:type="paragraph" w:styleId="982" w:customStyle="1">
    <w:name w:val="4"/>
    <w:basedOn w:val="706"/>
    <w:next w:val="942"/>
    <w:uiPriority w:val="0"/>
    <w:qFormat/>
    <w:pPr>
      <w:ind w:firstLine="420"/>
      <w:spacing w:line="360" w:lineRule="auto"/>
    </w:pPr>
    <w:rPr>
      <w:color w:val="ff0000"/>
      <w:sz w:val="24"/>
      <w:szCs w:val="24"/>
    </w:rPr>
  </w:style>
  <w:style w:type="paragraph" w:styleId="983"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984" w:customStyle="1">
    <w:name w:val=" Char Char Char Char Char Char Char Char Char Char"/>
    <w:basedOn w:val="706"/>
    <w:uiPriority w:val="0"/>
    <w:qFormat/>
    <w:pPr>
      <w:spacing w:line="360" w:lineRule="auto"/>
    </w:pPr>
    <w:rPr>
      <w:sz w:val="24"/>
      <w:szCs w:val="20"/>
    </w:rPr>
  </w:style>
  <w:style w:type="paragraph" w:styleId="985" w:customStyle="1">
    <w:name w:val="样式1"/>
    <w:basedOn w:val="706"/>
    <w:uiPriority w:val="0"/>
    <w:qFormat/>
    <w:pPr>
      <w:numPr>
        <w:ilvl w:val="0"/>
        <w:numId w:val="3"/>
      </w:numPr>
    </w:pPr>
    <w:rPr>
      <w:rFonts w:ascii="宋体" w:hAnsi="宋体"/>
    </w:rPr>
  </w:style>
  <w:style w:type="paragraph" w:styleId="986"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987"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990"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93"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95"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996" w:customStyle="1">
    <w:name w:val="Char Char Char Char"/>
    <w:basedOn w:val="912"/>
    <w:uiPriority w:val="0"/>
    <w:qFormat/>
    <w:pPr>
      <w:spacing w:line="360" w:lineRule="auto"/>
    </w:pPr>
    <w:rPr>
      <w:rFonts w:ascii="Tahoma" w:hAnsi="Tahoma"/>
      <w:sz w:val="24"/>
      <w:szCs w:val="24"/>
    </w:rPr>
  </w:style>
  <w:style w:type="paragraph" w:styleId="997" w:customStyle="1">
    <w:name w:val="table_1stline"/>
    <w:basedOn w:val="706"/>
    <w:uiPriority w:val="0"/>
    <w:qFormat/>
    <w:pPr>
      <w:jc w:val="left"/>
      <w:spacing w:before="120"/>
      <w:widowControl/>
    </w:pPr>
    <w:rPr>
      <w:bCs/>
      <w:sz w:val="20"/>
      <w:szCs w:val="20"/>
      <w:lang w:val="de-DE" w:eastAsia="de-DE"/>
    </w:rPr>
  </w:style>
  <w:style w:type="paragraph" w:styleId="998"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999" w:customStyle="1">
    <w:name w:val="标题1"/>
    <w:basedOn w:val="706"/>
    <w:next w:val="7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2" w:customStyle="1">
    <w:name w:val="普通文字"/>
    <w:basedOn w:val="706"/>
    <w:next w:val="706"/>
    <w:uiPriority w:val="99"/>
    <w:qFormat/>
    <w:rPr>
      <w:rFonts w:ascii="宋体" w:hAnsi="Times New Roman" w:eastAsia="宋体" w:cs="Times New Roman"/>
      <w:sz w:val="24"/>
      <w:szCs w:val="20"/>
      <w:u w:val="none"/>
    </w:rPr>
  </w:style>
  <w:style w:type="paragraph" w:styleId="1003" w:customStyle="1">
    <w:name w:val="目录 111"/>
    <w:basedOn w:val="706"/>
    <w:next w:val="706"/>
    <w:uiPriority w:val="39"/>
    <w:unhideWhenUsed/>
    <w:qFormat/>
    <w:pPr>
      <w:jc w:val="left"/>
      <w:spacing w:after="100" w:line="259" w:lineRule="auto"/>
      <w:widowControl/>
    </w:pPr>
    <w:rPr>
      <w:rFonts w:ascii="Calibri" w:hAnsi="Calibri" w:eastAsia="宋体"/>
      <w:sz w:val="22"/>
      <w:szCs w:val="22"/>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曹宝柱</cp:lastModifiedBy>
  <cp:revision>6</cp:revision>
  <dcterms:created xsi:type="dcterms:W3CDTF">2023-03-16T02:16:00Z</dcterms:created>
  <dcterms:modified xsi:type="dcterms:W3CDTF">2026-05-19T08:51:15Z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eyJoZGlkIjoiOTBlZjUwMGM0MDg2Njg1NzgzZDM3Y2FhODRiZTFhODciLCJ1c2VySWQiOiIxNjAzMzk1MzkxIn0=</vt:lpwstr>
  </property>
  <property fmtid="{D5CDD505-2E9C-101B-9397-08002B2CF9AE}" pid="3" name="KSOProductBuildVer">
    <vt:lpwstr>2052-12.1.0.25865</vt:lpwstr>
  </property>
  <property fmtid="{D5CDD505-2E9C-101B-9397-08002B2CF9AE}" pid="4" name="ICV">
    <vt:lpwstr>976384C5E1BD47AC890715EA229F76A9_12</vt:lpwstr>
  </property>
</Properties>
</file>