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ind w:firstLine="0"/>
        <w:rPr>
          <w:rFonts w:hint="eastAsia" w:eastAsia="黑体"/>
          <w:b/>
          <w:bCs/>
          <w:sz w:val="84"/>
          <w:shd w:val="clear" w:color="ffffff" w:fill="d9d9d9"/>
        </w:rPr>
      </w:pPr>
      <w:r>
        <w:rPr>
          <w:rFonts w:hint="eastAsia" w:eastAsia="黑体"/>
          <w:b/>
          <w:bCs/>
          <w:sz w:val="84"/>
          <w:shd w:val="clear" w:color="ffffff" w:fill="d9d9d9"/>
        </w:rPr>
      </w:r>
      <w:r/>
    </w:p>
    <w:p>
      <w:pPr>
        <w:pStyle w:val="76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rPr>
        <w:t xml:space="preserve">：</w:t>
      </w:r>
      <w:r>
        <w:rPr>
          <w:rFonts w:hint="eastAsia" w:ascii="黑体" w:hAnsi="华文中宋" w:eastAsia="黑体"/>
          <w:bCs/>
          <w:color w:val="auto"/>
          <w:sz w:val="32"/>
          <w:szCs w:val="32"/>
          <w:highlight w:val="none"/>
          <w:lang w:eastAsia="zh-CN"/>
        </w:rPr>
        <w:t xml:space="preserve">JSZC-320214-JZCG-G2026-0018</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无锡市新洲小学2026年物业管理服务项目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无锡市新洲小学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5"/>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5"/>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四</w:t>
      </w:r>
      <w:r>
        <w:rPr>
          <w:rFonts w:hint="eastAsia" w:ascii="黑体" w:hAnsi="华文中宋" w:eastAsia="黑体"/>
          <w:bCs/>
          <w:color w:val="auto"/>
          <w:sz w:val="32"/>
          <w:szCs w:val="32"/>
          <w:highlight w:val="none"/>
        </w:rPr>
        <w:t xml:space="preserve">月</w:t>
      </w:r>
      <w:r/>
    </w:p>
    <w:p>
      <w:pPr>
        <w:pStyle w:val="765"/>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6</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20</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25</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47</w:t>
      </w:r>
      <w:r>
        <w:rPr>
          <w:rFonts w:hint="eastAsia" w:ascii="宋体" w:hAnsi="宋体"/>
          <w:color w:val="auto"/>
          <w:sz w:val="30"/>
          <w:szCs w:val="30"/>
          <w:highlight w:val="none"/>
          <w:lang w:eastAsia="zh-CN"/>
        </w:rPr>
        <w:t xml:space="preserve">）</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rFonts w:hint="eastAsia" w:ascii="宋体" w:hAnsi="宋体"/>
          <w:color w:val="auto"/>
          <w:sz w:val="30"/>
          <w:szCs w:val="30"/>
          <w:highlight w:val="none"/>
          <w:lang w:eastAsia="zh-CN"/>
        </w:rPr>
        <w:t xml:space="preserve">（</w:t>
      </w:r>
      <w:r>
        <w:rPr>
          <w:rFonts w:hint="eastAsia" w:ascii="宋体" w:hAnsi="宋体"/>
          <w:color w:val="auto"/>
          <w:sz w:val="30"/>
          <w:szCs w:val="30"/>
          <w:highlight w:val="none"/>
          <w:lang w:val="en-US" w:eastAsia="zh-CN"/>
        </w:rPr>
        <w:t xml:space="preserve">56</w:t>
      </w:r>
      <w:r>
        <w:rPr>
          <w:rFonts w:hint="eastAsia" w:ascii="宋体" w:hAnsi="宋体"/>
          <w:color w:val="auto"/>
          <w:sz w:val="30"/>
          <w:szCs w:val="30"/>
          <w:highlight w:val="none"/>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无锡市新洲小学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无锡市新洲小学2026年物业管理服务项目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JSZC-320214-JZCG-G2026-0018</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无锡市新洲小学2026年物业管理服务项目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9"/>
        <w:ind w:firstLine="452"/>
        <w:keepLines w:val="0"/>
        <w:keepNext w:val="0"/>
        <w:spacing w:before="0" w:after="0" w:line="500" w:lineRule="exact"/>
        <w:rPr>
          <w:color w:val="auto"/>
          <w:sz w:val="30"/>
          <w:szCs w:val="30"/>
          <w:highlight w:val="none"/>
        </w:rPr>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JSZC-320214-JZCG-G2026-0018</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无锡市新洲小学2026年物业管理服务项目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3.项目预算金额：124.292 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4.项目最高限价：124.292 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79"/>
        <w:ind w:firstLine="452"/>
        <w:keepLines w:val="0"/>
        <w:keepNext w:val="0"/>
        <w:spacing w:before="0" w:after="0" w:line="500" w:lineRule="exact"/>
        <w:rPr>
          <w:color w:val="auto"/>
          <w:sz w:val="30"/>
          <w:szCs w:val="30"/>
          <w:highlight w:val="none"/>
        </w:rPr>
      </w:pPr>
      <w:r/>
      <w:bookmarkStart w:id="12" w:name="_Toc35393791"/>
      <w:r/>
      <w:bookmarkStart w:id="13" w:name="_Toc28359080"/>
      <w:r/>
      <w:bookmarkStart w:id="14" w:name="_Toc28359003"/>
      <w:r/>
      <w:bookmarkStart w:id="15" w:name="_Toc38985264"/>
      <w:r/>
      <w:bookmarkStart w:id="16" w:name="_Toc35393622"/>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5393623"/>
      <w:r/>
      <w:bookmarkStart w:id="19" w:name="_Toc28359004"/>
      <w:r/>
      <w:bookmarkStart w:id="20" w:name="_Toc35393792"/>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72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w:t>
      </w:r>
      <w:bookmarkStart w:id="203" w:name="_GoBack"/>
      <w:r/>
      <w:bookmarkEnd w:id="203"/>
      <w:r>
        <w:rPr>
          <w:rFonts w:ascii="宋体" w:hAnsi="宋体"/>
          <w:color w:val="auto"/>
          <w:sz w:val="24"/>
          <w:szCs w:val="24"/>
          <w:highlight w:val="none"/>
        </w:rPr>
        <w:t xml:space="preserve">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79"/>
        <w:ind w:firstLine="452"/>
        <w:keepLines w:val="0"/>
        <w:keepNext w:val="0"/>
        <w:spacing w:before="0" w:after="0" w:line="500" w:lineRule="exact"/>
        <w:rPr>
          <w:color w:val="auto"/>
          <w:sz w:val="30"/>
          <w:szCs w:val="30"/>
          <w:highlight w:val="none"/>
        </w:rPr>
      </w:pPr>
      <w:r/>
      <w:bookmarkStart w:id="27" w:name="_Toc35393625"/>
      <w:r/>
      <w:bookmarkStart w:id="28" w:name="_Toc28359084"/>
      <w:r/>
      <w:bookmarkStart w:id="29" w:name="_Toc28359007"/>
      <w:r/>
      <w:bookmarkStart w:id="30" w:name="_Toc35393794"/>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79"/>
        <w:ind w:firstLine="452"/>
        <w:keepLines w:val="0"/>
        <w:keepNext w:val="0"/>
        <w:spacing w:before="0" w:after="0" w:line="500" w:lineRule="exact"/>
        <w:rPr>
          <w:color w:val="auto"/>
          <w:sz w:val="30"/>
          <w:szCs w:val="30"/>
          <w:highlight w:val="none"/>
        </w:rPr>
      </w:pPr>
      <w:r/>
      <w:bookmarkStart w:id="35" w:name="_Toc35393627"/>
      <w:r/>
      <w:bookmarkStart w:id="36" w:name="_Toc28359008"/>
      <w:r/>
      <w:bookmarkStart w:id="37" w:name="_Toc28359085"/>
      <w:r/>
      <w:bookmarkStart w:id="38" w:name="_Toc38985269"/>
      <w:r/>
      <w:bookmarkStart w:id="39" w:name="_Toc35393796"/>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无锡市新洲小学</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址：无锡市新吴区联心嘉园151号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采购人项目咨询联系人：刘海峰；电话：0510</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85342826</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采购人质疑受理联系人：刘海峰；电话：0510</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85342826</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w:t>
      </w:r>
      <w:r>
        <w:rPr>
          <w:rFonts w:hint="eastAsia" w:ascii="宋体" w:hAnsi="宋体"/>
          <w:color w:val="000000"/>
          <w:sz w:val="24"/>
          <w:szCs w:val="24"/>
          <w:highlight w:val="none"/>
        </w:rPr>
        <w:t xml:space="preserve">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679"/>
        <w:ind w:firstLine="452"/>
        <w:keepLines w:val="0"/>
        <w:keepNext w:val="0"/>
        <w:spacing w:before="0" w:after="0" w:line="500" w:lineRule="exact"/>
        <w:rPr>
          <w:rFonts w:hint="eastAsia"/>
          <w:sz w:val="30"/>
          <w:szCs w:val="30"/>
        </w:rPr>
      </w:pPr>
      <w:r/>
      <w:bookmarkStart w:id="47" w:name="_Toc120614214"/>
      <w:r/>
      <w:bookmarkStart w:id="48" w:name="_Toc20823275"/>
      <w:r/>
      <w:bookmarkStart w:id="49" w:name="_Toc16938519"/>
      <w:r/>
      <w:bookmarkStart w:id="50" w:name="_Toc513029203"/>
      <w:r>
        <w:rPr>
          <w:rFonts w:hint="eastAsia"/>
          <w:sz w:val="30"/>
          <w:szCs w:val="30"/>
        </w:rPr>
        <w:t xml:space="preserve">一、总则</w:t>
      </w:r>
      <w:bookmarkEnd w:id="47"/>
      <w:r/>
      <w:bookmarkEnd w:id="48"/>
      <w:r/>
      <w:bookmarkEnd w:id="49"/>
      <w:r/>
      <w:bookmarkEnd w:id="50"/>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0"/>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0"/>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0"/>
        <w:ind w:firstLine="422"/>
        <w:keepLines w:val="0"/>
        <w:keepNext w:val="0"/>
        <w:spacing w:before="0" w:after="0" w:line="500" w:lineRule="exact"/>
        <w:rPr>
          <w:rFonts w:hint="eastAsia" w:ascii="宋体" w:hAnsi="宋体" w:eastAsia="宋体"/>
          <w:bCs w:val="0"/>
        </w:rPr>
      </w:pPr>
      <w:r/>
      <w:bookmarkStart w:id="61" w:name="_Toc16938523"/>
      <w:r/>
      <w:bookmarkStart w:id="62" w:name="_Toc513029207"/>
      <w:r/>
      <w:bookmarkStart w:id="63" w:name="_Toc462564067"/>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9"/>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120614215"/>
      <w:r/>
      <w:bookmarkStart w:id="68" w:name="_Toc513029209"/>
      <w:r>
        <w:rPr>
          <w:rFonts w:hint="eastAsia"/>
          <w:sz w:val="30"/>
          <w:szCs w:val="30"/>
        </w:rPr>
        <w:t xml:space="preserve">二、招标文件</w:t>
      </w:r>
      <w:bookmarkEnd w:id="65"/>
      <w:r/>
      <w:bookmarkEnd w:id="66"/>
      <w:r/>
      <w:bookmarkEnd w:id="67"/>
      <w:r/>
      <w:bookmarkEnd w:id="68"/>
      <w:r/>
      <w:r/>
    </w:p>
    <w:p>
      <w:pPr>
        <w:pStyle w:val="680"/>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72" w:name="_Toc462564070"/>
      <w:r/>
      <w:bookmarkStart w:id="73" w:name="_Toc513029211"/>
      <w:r/>
      <w:bookmarkStart w:id="74" w:name="_Toc20823283"/>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0"/>
        <w:ind w:firstLine="422"/>
        <w:keepLines w:val="0"/>
        <w:keepNext w:val="0"/>
        <w:spacing w:before="0" w:after="0" w:line="500" w:lineRule="exact"/>
        <w:rPr>
          <w:rFonts w:hint="eastAsia" w:ascii="宋体" w:hAnsi="宋体" w:eastAsia="宋体"/>
          <w:bCs w:val="0"/>
          <w:color w:val="auto"/>
        </w:rPr>
      </w:pPr>
      <w:r/>
      <w:bookmarkStart w:id="76" w:name="_Toc20823284"/>
      <w:r/>
      <w:bookmarkStart w:id="77" w:name="_Toc16938528"/>
      <w:r/>
      <w:bookmarkStart w:id="78" w:name="_Toc513029212"/>
      <w:r/>
      <w:bookmarkStart w:id="79" w:name="_Toc462564071"/>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9"/>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16938529"/>
      <w:r/>
      <w:bookmarkStart w:id="83" w:name="_Toc20823285"/>
      <w:r/>
      <w:bookmarkStart w:id="84" w:name="_Toc513029213"/>
      <w:r>
        <w:rPr>
          <w:rFonts w:hint="eastAsia"/>
          <w:sz w:val="30"/>
          <w:szCs w:val="30"/>
        </w:rPr>
        <w:t xml:space="preserve">三、投标文件的编制</w:t>
      </w:r>
      <w:bookmarkEnd w:id="80"/>
      <w:r/>
      <w:bookmarkEnd w:id="81"/>
      <w:r/>
      <w:bookmarkEnd w:id="82"/>
      <w:r/>
      <w:bookmarkEnd w:id="83"/>
      <w:r/>
      <w:bookmarkEnd w:id="84"/>
      <w:r/>
      <w:r/>
    </w:p>
    <w:p>
      <w:pPr>
        <w:pStyle w:val="680"/>
        <w:ind w:firstLine="422"/>
        <w:keepLines w:val="0"/>
        <w:keepNext w:val="0"/>
        <w:spacing w:before="0" w:after="0" w:line="500" w:lineRule="exact"/>
        <w:rPr>
          <w:rFonts w:hint="eastAsia" w:ascii="宋体" w:hAnsi="宋体" w:eastAsia="宋体"/>
          <w:bCs w:val="0"/>
        </w:rPr>
      </w:pPr>
      <w:r/>
      <w:bookmarkStart w:id="85" w:name="_Toc16938530"/>
      <w:r/>
      <w:bookmarkStart w:id="86" w:name="_Toc20823286"/>
      <w:r/>
      <w:bookmarkStart w:id="87" w:name="_Toc462564073"/>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0"/>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0"/>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0"/>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0"/>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670425"/>
      <w:r/>
      <w:bookmarkEnd w:id="109"/>
      <w:r/>
      <w:bookmarkStart w:id="110" w:name="_Hlt26954731"/>
      <w:r/>
      <w:bookmarkEnd w:id="110"/>
      <w:r/>
      <w:bookmarkStart w:id="111" w:name="_Hlt26670403"/>
      <w:r/>
      <w:bookmarkEnd w:id="111"/>
      <w:r/>
      <w:bookmarkStart w:id="112" w:name="_Hlt26668983"/>
      <w:r/>
      <w:bookmarkEnd w:id="112"/>
      <w:r/>
      <w:bookmarkStart w:id="113" w:name="_Hlt26954842"/>
      <w:r/>
      <w:bookmarkEnd w:id="113"/>
      <w:r/>
      <w:bookmarkStart w:id="114" w:name="_Hlt26954844"/>
      <w:r/>
      <w:bookmarkEnd w:id="114"/>
      <w:r/>
      <w:bookmarkStart w:id="115" w:name="_Hlt26954848"/>
      <w:r/>
      <w:bookmarkEnd w:id="115"/>
      <w:r/>
      <w:bookmarkStart w:id="116" w:name="_Hlt26670482"/>
      <w:r/>
      <w:bookmarkEnd w:id="116"/>
      <w:r/>
      <w:bookmarkStart w:id="117" w:name="_Hlt26954846"/>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0"/>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9"/>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
    </w:p>
    <w:p>
      <w:pPr>
        <w:pStyle w:val="680"/>
        <w:ind w:firstLine="422"/>
        <w:keepLines w:val="0"/>
        <w:keepNext w:val="0"/>
        <w:spacing w:before="0" w:after="0" w:line="500" w:lineRule="exact"/>
        <w:rPr>
          <w:rFonts w:hint="eastAsia" w:ascii="宋体" w:hAnsi="宋体" w:eastAsia="宋体"/>
          <w:bCs w:val="0"/>
        </w:rPr>
      </w:pPr>
      <w:r/>
      <w:bookmarkStart w:id="129" w:name="_Toc513029225"/>
      <w:r/>
      <w:bookmarkStart w:id="130" w:name="_Toc16938541"/>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0"/>
        <w:ind w:firstLine="422"/>
        <w:keepLines w:val="0"/>
        <w:keepNext w:val="0"/>
        <w:spacing w:before="0" w:after="0" w:line="500" w:lineRule="exact"/>
        <w:rPr>
          <w:rFonts w:hint="eastAsia" w:ascii="宋体" w:hAnsi="宋体" w:eastAsia="宋体"/>
          <w:bCs w:val="0"/>
        </w:rPr>
      </w:pPr>
      <w:r/>
      <w:bookmarkStart w:id="136" w:name="_Toc16938543"/>
      <w:r/>
      <w:bookmarkStart w:id="137" w:name="_Toc513029227"/>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0"/>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9"/>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
    </w:p>
    <w:p>
      <w:pPr>
        <w:pStyle w:val="680"/>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0"/>
        <w:ind w:firstLine="422"/>
        <w:keepLines w:val="0"/>
        <w:keepNext w:val="0"/>
        <w:spacing w:before="0" w:after="0" w:line="500" w:lineRule="exact"/>
        <w:rPr>
          <w:rFonts w:hint="eastAsia" w:ascii="宋体" w:hAnsi="宋体" w:eastAsia="宋体"/>
          <w:bCs w:val="0"/>
        </w:rPr>
      </w:pPr>
      <w:r/>
      <w:bookmarkStart w:id="149" w:name="_Toc20823303"/>
      <w:r/>
      <w:bookmarkStart w:id="150" w:name="_Toc16938547"/>
      <w:r/>
      <w:bookmarkStart w:id="151" w:name="_Toc513029231"/>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0"/>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8"/>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9"/>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bookmarkEnd w:id="170"/>
      <w:bookmarkEnd w:id="171"/>
      <w:bookmarkEnd w:id="172"/>
      <w:r/>
    </w:p>
    <w:p>
      <w:pPr>
        <w:pStyle w:val="680"/>
        <w:ind w:firstLine="422"/>
        <w:keepLines w:val="0"/>
        <w:keepNext w:val="0"/>
        <w:spacing w:before="0" w:after="0" w:line="500" w:lineRule="exact"/>
        <w:rPr>
          <w:rFonts w:hint="eastAsia"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513029242"/>
      <w:r/>
      <w:bookmarkStart w:id="177" w:name="_Toc16938558"/>
      <w:r/>
      <w:bookmarkStart w:id="178" w:name="_Toc479757207"/>
      <w:r/>
      <w:bookmarkStart w:id="179" w:name="_Toc120614221"/>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0"/>
        <w:spacing w:line="400" w:lineRule="exact"/>
        <w:rPr>
          <w:rFonts w:hAnsi="宋体"/>
          <w:sz w:val="24"/>
          <w:szCs w:val="24"/>
        </w:rPr>
      </w:pPr>
      <w:r>
        <w:rPr>
          <w:rFonts w:hAnsi="宋体"/>
          <w:sz w:val="24"/>
          <w:szCs w:val="24"/>
        </w:rPr>
        <w:t xml:space="preserve">项目名称：                                       项目编号：</w:t>
      </w:r>
      <w:r/>
    </w:p>
    <w:p>
      <w:pPr>
        <w:pStyle w:val="700"/>
        <w:spacing w:line="400" w:lineRule="exact"/>
        <w:rPr>
          <w:rFonts w:hAnsi="宋体"/>
          <w:sz w:val="24"/>
          <w:szCs w:val="24"/>
        </w:rPr>
      </w:pPr>
      <w:r>
        <w:rPr>
          <w:rFonts w:hAnsi="宋体"/>
          <w:sz w:val="24"/>
          <w:szCs w:val="24"/>
        </w:rPr>
        <w:t xml:space="preserve">甲方：（买方、需方、采购人）_________</w:t>
      </w:r>
      <w:r/>
    </w:p>
    <w:p>
      <w:pPr>
        <w:pStyle w:val="700"/>
        <w:spacing w:line="400" w:lineRule="exact"/>
        <w:rPr>
          <w:rFonts w:hint="eastAsia" w:hAnsi="宋体"/>
          <w:sz w:val="24"/>
          <w:szCs w:val="24"/>
        </w:rPr>
      </w:pPr>
      <w:r>
        <w:rPr>
          <w:rFonts w:hAnsi="宋体"/>
          <w:sz w:val="24"/>
          <w:szCs w:val="24"/>
        </w:rPr>
        <w:t xml:space="preserve">乙方：（卖方、供方、供应商）_________</w:t>
      </w:r>
      <w:r/>
    </w:p>
    <w:p>
      <w:pPr>
        <w:pStyle w:val="70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sz w:val="30"/>
          <w:szCs w:val="30"/>
        </w:rPr>
        <w:t xml:space="preserve">本项目属</w:t>
      </w:r>
      <w:r>
        <w:rPr>
          <w:rFonts w:hint="eastAsia" w:ascii="黑体" w:hAnsi="黑体" w:eastAsia="黑体"/>
          <w:color w:val="auto"/>
          <w:sz w:val="30"/>
          <w:szCs w:val="30"/>
        </w:rPr>
        <w:t xml:space="preserve">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numPr>
          <w:ilvl w:val="0"/>
          <w:numId w:val="5"/>
        </w:numPr>
        <w:ind w:firstLine="602"/>
        <w:rPr>
          <w:rFonts w:hint="eastAsia" w:ascii="宋体" w:hAnsi="宋体"/>
          <w:b/>
          <w:color w:val="000000"/>
          <w:sz w:val="30"/>
          <w:szCs w:val="30"/>
          <w:u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30"/>
          <w:szCs w:val="30"/>
          <w:u w:val="none"/>
        </w:rPr>
        <w:t xml:space="preserve"> 项目技术要求</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eastAsia" w:ascii="宋体" w:hAnsi="宋体" w:cs="Times New Roman"/>
          <w:bCs/>
          <w:sz w:val="24"/>
          <w:szCs w:val="24"/>
          <w:highlight w:val="none"/>
          <w:lang w:val="en-US" w:eastAsia="zh-CN"/>
        </w:rPr>
        <w:t xml:space="preserve">无锡市新洲小学</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履约验收时间：</w:t>
      </w:r>
      <w:r>
        <w:rPr>
          <w:rFonts w:hint="eastAsia" w:ascii="宋体" w:hAnsi="宋体" w:cs="Times New Roman"/>
          <w:bCs/>
          <w:sz w:val="24"/>
          <w:szCs w:val="24"/>
          <w:highlight w:val="none"/>
          <w:lang w:val="en-US" w:eastAsia="zh-CN"/>
        </w:rPr>
        <w:t xml:space="preserve">每季度</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履约验收方式：</w:t>
      </w:r>
      <w:r>
        <w:rPr>
          <w:rFonts w:hint="eastAsia" w:ascii="宋体" w:hAnsi="宋体" w:cs="Times New Roman"/>
          <w:bCs/>
          <w:sz w:val="24"/>
          <w:szCs w:val="24"/>
          <w:highlight w:val="none"/>
          <w:lang w:val="en-US" w:eastAsia="zh-CN"/>
        </w:rPr>
        <w:t xml:space="preserve">考核表</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履约验收程序：</w:t>
      </w:r>
      <w:r>
        <w:rPr>
          <w:rFonts w:hint="eastAsia" w:ascii="宋体" w:hAnsi="宋体" w:cs="Times New Roman"/>
          <w:bCs/>
          <w:sz w:val="24"/>
          <w:szCs w:val="24"/>
          <w:highlight w:val="none"/>
          <w:lang w:val="en-US" w:eastAsia="zh-CN"/>
        </w:rPr>
        <w:t xml:space="preserve">物业服务项目考核打分</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履约验收内容：</w:t>
      </w:r>
      <w:r>
        <w:rPr>
          <w:rFonts w:hint="eastAsia" w:ascii="宋体" w:hAnsi="宋体" w:cs="Times New Roman"/>
          <w:bCs/>
          <w:sz w:val="24"/>
          <w:szCs w:val="24"/>
          <w:highlight w:val="none"/>
          <w:lang w:val="en-US" w:eastAsia="zh-CN"/>
        </w:rPr>
        <w:t xml:space="preserve">保洁、保安、绿化、给排水、空调、强弱电、消防设施设备运维等</w:t>
      </w:r>
      <w:r/>
    </w:p>
    <w:p>
      <w:pPr>
        <w:ind w:firstLine="480"/>
        <w:spacing w:line="360" w:lineRule="auto"/>
        <w:rPr>
          <w:rFonts w:hint="default"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履约验收标准：</w:t>
      </w:r>
      <w:r>
        <w:rPr>
          <w:rFonts w:hint="eastAsia" w:ascii="宋体" w:hAnsi="宋体" w:cs="Times New Roman"/>
          <w:bCs/>
          <w:sz w:val="24"/>
          <w:szCs w:val="24"/>
          <w:highlight w:val="none"/>
          <w:lang w:val="en-US" w:eastAsia="zh-CN"/>
        </w:rPr>
        <w:t xml:space="preserve">详见物业服务范围清单</w:t>
      </w:r>
      <w:r/>
    </w:p>
    <w:p>
      <w:pPr>
        <w:ind w:firstLine="480"/>
        <w:spacing w:line="360" w:lineRule="auto"/>
        <w:rPr>
          <w:rFonts w:hint="eastAsia" w:ascii="宋体" w:hAnsi="宋体"/>
          <w:b/>
          <w:color w:val="000000"/>
          <w:sz w:val="30"/>
          <w:szCs w:val="30"/>
          <w:highlight w:val="none"/>
          <w:u w:val="none"/>
        </w:rPr>
      </w:pPr>
      <w:r>
        <w:rPr>
          <w:rFonts w:hint="eastAsia" w:ascii="宋体" w:hAnsi="宋体" w:eastAsia="宋体" w:cs="Times New Roman"/>
          <w:bCs/>
          <w:sz w:val="24"/>
          <w:szCs w:val="24"/>
          <w:highlight w:val="none"/>
        </w:rPr>
        <w:t xml:space="preserve">履约验收其他事项：</w:t>
      </w:r>
      <w:r>
        <w:rPr>
          <w:rFonts w:hint="eastAsia" w:ascii="宋体" w:hAnsi="宋体" w:cs="Times New Roman"/>
          <w:bCs/>
          <w:sz w:val="24"/>
          <w:szCs w:val="24"/>
          <w:highlight w:val="none"/>
          <w:lang w:val="en-US" w:eastAsia="zh-CN"/>
        </w:rPr>
        <w:t xml:space="preserve">根据具体实际服务情况</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1.1物业情况</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项目概况：无锡市新洲小学位于无锡市新吴区联心嘉园151号。现有师生员工</w:t>
      </w:r>
      <w:r>
        <w:rPr>
          <w:rFonts w:hint="eastAsia" w:ascii="宋体" w:hAnsi="宋体"/>
          <w:color w:val="000000"/>
          <w:sz w:val="24"/>
          <w:lang w:val="en-US" w:eastAsia="zh-CN"/>
        </w:rPr>
        <w:t xml:space="preserve">1800</w:t>
      </w:r>
      <w:r>
        <w:rPr>
          <w:rFonts w:hint="eastAsia" w:ascii="宋体" w:hAnsi="宋体"/>
          <w:color w:val="000000"/>
          <w:sz w:val="24"/>
        </w:rPr>
        <w:t xml:space="preserve">人，占地面积为51000平方米，建筑面积28000平方米。绿化面积17900平方米，常用出入门二个。</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次采购内容为物业管理服务，包括公共安全秩序维护、消防安全、治安防范、设施设备的安全保卫、学生上学、放学期间学校放学区及周边秩序及安全服务；环境卫生保洁；学校范围内的绿化带的树木、花草等的日常养护和管理；强弱电系统管理维护，消防系统维护，给排水系统管理维护，空调系统管理维护，防雷检测等服务。</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1.2 采购人提供供应商使用的场地、设施、设备、材料等。</w:t>
      </w:r>
      <w:r/>
    </w:p>
    <w:p>
      <w:pPr>
        <w:ind w:firstLine="480"/>
        <w:spacing w:line="360" w:lineRule="auto"/>
        <w:rPr>
          <w:rFonts w:hint="eastAsia" w:ascii="宋体" w:hAnsi="宋体"/>
          <w:sz w:val="24"/>
        </w:rPr>
      </w:pPr>
      <w:r>
        <w:rPr>
          <w:rFonts w:hint="eastAsia" w:ascii="宋体" w:hAnsi="宋体"/>
          <w:sz w:val="24"/>
        </w:rPr>
        <w:t xml:space="preserve">（1）采购人可提供的办公室</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395"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1425"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面积</w:t>
            </w:r>
            <w:r>
              <w:rPr>
                <w:rFonts w:hint="eastAsia" w:ascii="宋体" w:hAnsi="宋体" w:cs="宋体"/>
                <w:color w:val="000000"/>
                <w:spacing w:val="-1"/>
                <w:szCs w:val="21"/>
              </w:rPr>
              <w:t xml:space="preserve">㎡</w:t>
            </w:r>
            <w:r/>
          </w:p>
        </w:tc>
        <w:tc>
          <w:tcPr>
            <w:tcW w:w="475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办公室内可用设施设备清单</w:t>
            </w:r>
            <w:r/>
          </w:p>
        </w:tc>
      </w:tr>
      <w:tr>
        <w:trPr>
          <w:jc w:val="center"/>
        </w:trPr>
        <w:tc>
          <w:tcPr>
            <w:tcW w:w="948"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395"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p>
        </w:tc>
        <w:tc>
          <w:tcPr>
            <w:tcW w:w="1425"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p>
        </w:tc>
        <w:tc>
          <w:tcPr>
            <w:tcW w:w="475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保安室（包括消控室）、办公桌、椅子、空调等</w:t>
            </w:r>
            <w:r/>
          </w:p>
        </w:tc>
      </w:tr>
    </w:tbl>
    <w:p>
      <w:pPr>
        <w:ind w:firstLine="480"/>
        <w:spacing w:line="360" w:lineRule="auto"/>
        <w:rPr>
          <w:rFonts w:hint="eastAsia" w:ascii="宋体" w:hAnsi="宋体"/>
          <w:sz w:val="24"/>
        </w:rPr>
      </w:pPr>
      <w:r>
        <w:rPr>
          <w:rFonts w:hint="eastAsia" w:ascii="宋体" w:hAnsi="宋体"/>
          <w:sz w:val="24"/>
        </w:rPr>
        <w:t xml:space="preserve">（2）采购人可提供的物业管理服务设备</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2135"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c>
          <w:tcPr>
            <w:tcW w:w="3051"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主要技术指标</w:t>
            </w:r>
            <w:r/>
          </w:p>
        </w:tc>
      </w:tr>
      <w:tr>
        <w:trPr>
          <w:jc w:val="cente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无</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r>
            <w:r/>
          </w:p>
        </w:tc>
        <w:tc>
          <w:tcPr>
            <w:tcW w:w="2135"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c>
          <w:tcPr>
            <w:tcW w:w="3051"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bl>
    <w:p>
      <w:pPr>
        <w:numPr>
          <w:ilvl w:val="0"/>
          <w:numId w:val="6"/>
        </w:numPr>
        <w:ind w:firstLine="480"/>
        <w:spacing w:line="360" w:lineRule="auto"/>
        <w:rPr>
          <w:rFonts w:hint="eastAsia" w:ascii="宋体" w:hAnsi="宋体"/>
          <w:sz w:val="24"/>
        </w:rPr>
      </w:pPr>
      <w:r>
        <w:rPr>
          <w:rFonts w:hint="eastAsia" w:ascii="宋体" w:hAnsi="宋体"/>
          <w:sz w:val="24"/>
        </w:rPr>
        <w:t xml:space="preserve">采购人可提供的零星维修材料、低值易耗品</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textDirection w:val="lrTb"/>
            <w:noWrap w:val="false"/>
          </w:tcPr>
          <w:p>
            <w:pPr>
              <w:jc w:val="left"/>
              <w:rPr>
                <w:rFonts w:hint="eastAsia" w:ascii="微软雅黑" w:hAnsi="微软雅黑" w:eastAsia="微软雅黑" w:cs="微软雅黑"/>
                <w:color w:val="000000"/>
                <w:spacing w:val="-1"/>
                <w:szCs w:val="21"/>
              </w:rPr>
            </w:pPr>
            <w:r>
              <w:rPr>
                <w:rFonts w:hint="eastAsia" w:ascii="微软雅黑" w:hAnsi="微软雅黑" w:eastAsia="微软雅黑" w:cs="微软雅黑"/>
                <w:b/>
                <w:bCs/>
                <w:color w:val="000000"/>
                <w:spacing w:val="-1"/>
                <w:szCs w:val="21"/>
              </w:rPr>
              <w:t xml:space="preserve">零星维修材料</w:t>
            </w:r>
            <w:r/>
          </w:p>
        </w:tc>
      </w:tr>
      <w:tr>
        <w:trPr>
          <w:jc w:val="cente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5186"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r>
      <w:tr>
        <w:trPr>
          <w:jc w:val="cente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无</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r>
            <w:r/>
          </w:p>
        </w:tc>
        <w:tc>
          <w:tcPr>
            <w:tcW w:w="5186"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r>
        <w:trPr>
          <w:jc w:val="center"/>
        </w:trPr>
        <w:tc>
          <w:tcPr>
            <w:gridSpan w:val="4"/>
            <w:tcW w:w="8519" w:type="dxa"/>
            <w:textDirection w:val="lrTb"/>
            <w:noWrap w:val="false"/>
          </w:tcPr>
          <w:p>
            <w:pPr>
              <w:jc w:val="left"/>
              <w:rPr>
                <w:rFonts w:hint="eastAsia" w:ascii="微软雅黑" w:hAnsi="微软雅黑" w:eastAsia="微软雅黑" w:cs="微软雅黑"/>
                <w:b/>
                <w:bCs/>
                <w:color w:val="000000"/>
                <w:spacing w:val="-1"/>
                <w:szCs w:val="21"/>
              </w:rPr>
            </w:pPr>
            <w:r>
              <w:rPr>
                <w:rFonts w:hint="eastAsia" w:ascii="微软雅黑" w:hAnsi="微软雅黑" w:eastAsia="微软雅黑" w:cs="微软雅黑"/>
                <w:b/>
                <w:bCs/>
                <w:color w:val="000000"/>
                <w:spacing w:val="-1"/>
                <w:szCs w:val="21"/>
              </w:rPr>
              <w:t xml:space="preserve">低值易耗品</w:t>
            </w:r>
            <w:r/>
          </w:p>
        </w:tc>
      </w:tr>
      <w:tr>
        <w:trPr>
          <w:jc w:val="cente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p>
        </w:tc>
        <w:tc>
          <w:tcPr>
            <w:tcW w:w="123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p>
        </w:tc>
        <w:tc>
          <w:tcPr>
            <w:tcW w:w="5186"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p>
        </w:tc>
      </w:tr>
      <w:tr>
        <w:trPr>
          <w:jc w:val="center"/>
        </w:trPr>
        <w:tc>
          <w:tcPr>
            <w:tcW w:w="963"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p>
        </w:tc>
        <w:tc>
          <w:tcPr>
            <w:tcW w:w="1140" w:type="dxa"/>
            <w:textDirection w:val="lrTb"/>
            <w:noWrap w:val="false"/>
          </w:tcPr>
          <w:p>
            <w:pPr>
              <w:jc w:val="center"/>
              <w:rPr>
                <w:rFonts w:hint="eastAsia"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无</w:t>
            </w:r>
            <w:r/>
          </w:p>
        </w:tc>
        <w:tc>
          <w:tcPr>
            <w:tcW w:w="1230"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c>
          <w:tcPr>
            <w:tcW w:w="5186" w:type="dxa"/>
            <w:textDirection w:val="lrTb"/>
            <w:noWrap w:val="false"/>
          </w:tcPr>
          <w:p>
            <w:pPr>
              <w:jc w:val="center"/>
              <w:rPr>
                <w:rFonts w:hint="eastAsia"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r>
            <w:r/>
          </w:p>
        </w:tc>
      </w:tr>
    </w:tbl>
    <w:p>
      <w:pPr>
        <w:spacing w:line="360" w:lineRule="auto"/>
        <w:rPr>
          <w:rFonts w:hint="eastAsia" w:ascii="宋体" w:hAnsi="宋体" w:eastAsia="微软雅黑"/>
          <w:sz w:val="24"/>
        </w:rPr>
      </w:pPr>
      <w:r>
        <w:rPr>
          <w:rFonts w:hint="eastAsia" w:ascii="微软雅黑" w:hAnsi="微软雅黑" w:eastAsia="微软雅黑" w:cs="微软雅黑"/>
          <w:b/>
          <w:bCs/>
          <w:color w:val="000000"/>
          <w:spacing w:val="-1"/>
          <w:szCs w:val="21"/>
          <w:lang w:eastAsia="en-US"/>
        </w:rPr>
        <w:t xml:space="preserve">……</w:t>
      </w:r>
      <w:r/>
    </w:p>
    <w:p>
      <w:pPr>
        <w:ind w:firstLine="480"/>
        <w:spacing w:line="360" w:lineRule="auto"/>
        <w:rPr>
          <w:rFonts w:hint="eastAsia" w:ascii="宋体" w:hAnsi="宋体"/>
          <w:sz w:val="24"/>
        </w:rPr>
      </w:pPr>
      <w:r>
        <w:rPr>
          <w:rFonts w:hint="eastAsia" w:ascii="宋体" w:hAnsi="宋体"/>
          <w:sz w:val="24"/>
        </w:rPr>
        <w:t xml:space="preserve">除</w:t>
      </w:r>
      <w:r>
        <w:rPr>
          <w:rFonts w:ascii="宋体" w:hAnsi="宋体"/>
          <w:sz w:val="24"/>
        </w:rPr>
        <w:t xml:space="preserve">以上所列场地、设施、设备、材料外，与物业管理服务有关的其他场地、设施、设备、材料均由供应商承担。</w:t>
      </w:r>
      <w:r/>
    </w:p>
    <w:p>
      <w:pPr>
        <w:numPr>
          <w:ilvl w:val="0"/>
          <w:numId w:val="7"/>
        </w:numPr>
        <w:ind w:firstLine="482"/>
        <w:spacing w:line="360" w:lineRule="auto"/>
        <w:rPr>
          <w:rFonts w:hint="eastAsia" w:ascii="宋体" w:hAnsi="宋体"/>
          <w:b/>
          <w:sz w:val="24"/>
        </w:rPr>
      </w:pPr>
      <w:r>
        <w:rPr>
          <w:rFonts w:hint="eastAsia" w:ascii="宋体" w:hAnsi="宋体"/>
          <w:b/>
          <w:sz w:val="24"/>
        </w:rPr>
        <w:t xml:space="preserve">物业服务范围</w:t>
      </w:r>
      <w:r/>
    </w:p>
    <w:p>
      <w:pPr>
        <w:spacing w:line="360" w:lineRule="auto"/>
        <w:rPr>
          <w:rFonts w:hint="eastAsia" w:ascii="宋体" w:hAnsi="宋体"/>
          <w:b/>
          <w:sz w:val="24"/>
        </w:rPr>
      </w:pPr>
      <w:r>
        <w:rPr>
          <w:rFonts w:hint="eastAsia" w:ascii="宋体" w:hAnsi="宋体"/>
          <w:b/>
          <w:sz w:val="24"/>
        </w:rPr>
        <w:t xml:space="preserve">（1）物业管理（建筑物）</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3"/>
        <w:gridCol w:w="2898"/>
        <w:gridCol w:w="3401"/>
      </w:tblGrid>
      <w:tr>
        <w:trPr>
          <w:jc w:val="center"/>
        </w:trPr>
        <w:tc>
          <w:tcPr>
            <w:tcW w:w="2223" w:type="dxa"/>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名称</w:t>
            </w:r>
            <w:r/>
          </w:p>
        </w:tc>
        <w:tc>
          <w:tcPr>
            <w:tcW w:w="2898" w:type="dxa"/>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明细</w:t>
            </w:r>
            <w:r/>
          </w:p>
        </w:tc>
        <w:tc>
          <w:tcPr>
            <w:tcW w:w="3401" w:type="dxa"/>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服务内容及标准</w:t>
            </w:r>
            <w:r/>
          </w:p>
        </w:tc>
      </w:tr>
      <w:tr>
        <w:trPr>
          <w:jc w:val="center"/>
        </w:trPr>
        <w:tc>
          <w:tcPr>
            <w:tcW w:w="2223" w:type="dxa"/>
            <w:vAlign w:val="center"/>
            <w:textDirection w:val="lrTb"/>
            <w:noWrap w:val="false"/>
          </w:tcPr>
          <w:p>
            <w:pPr>
              <w:jc w:val="center"/>
              <w:spacing w:line="360" w:lineRule="auto"/>
              <w:rPr>
                <w:rFonts w:hint="eastAsia" w:ascii="宋体" w:hAnsi="宋体"/>
                <w:sz w:val="24"/>
                <w:szCs w:val="24"/>
              </w:rPr>
            </w:pPr>
            <w:r>
              <w:rPr>
                <w:rFonts w:hint="eastAsia" w:ascii="宋体" w:hAnsi="宋体" w:cs="宋体"/>
                <w:sz w:val="24"/>
                <w:szCs w:val="24"/>
              </w:rPr>
              <w:t xml:space="preserve">无锡市新洲小学教学楼、办公楼等建筑物部分</w:t>
            </w:r>
            <w:r/>
          </w:p>
        </w:tc>
        <w:tc>
          <w:tcPr>
            <w:tcW w:w="2898" w:type="dxa"/>
            <w:vAlign w:val="center"/>
            <w:textDirection w:val="lrTb"/>
            <w:noWrap w:val="false"/>
          </w:tcPr>
          <w:p>
            <w:pPr>
              <w:jc w:val="left"/>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无锡市新洲小学共2个门岗、保洁服务面积</w:t>
            </w:r>
            <w:r>
              <w:rPr>
                <w:rFonts w:ascii="宋体" w:hAnsi="宋体" w:cs="宋体"/>
                <w:sz w:val="24"/>
                <w:szCs w:val="24"/>
              </w:rPr>
              <w:t xml:space="preserve">35048.11</w:t>
            </w:r>
            <w:r>
              <w:rPr>
                <w:rFonts w:hint="eastAsia" w:ascii="宋体" w:hAnsi="宋体" w:cs="宋体"/>
                <w:sz w:val="24"/>
                <w:szCs w:val="24"/>
              </w:rPr>
              <w:t xml:space="preserve">平方米，给排水系统管理维护面积</w:t>
            </w:r>
            <w:r>
              <w:rPr>
                <w:rFonts w:ascii="宋体" w:hAnsi="宋体" w:cs="宋体"/>
                <w:sz w:val="24"/>
                <w:szCs w:val="24"/>
              </w:rPr>
              <w:t xml:space="preserve">25807.61</w:t>
            </w:r>
            <w:r>
              <w:rPr>
                <w:rFonts w:hint="eastAsia" w:ascii="宋体" w:hAnsi="宋体" w:cs="宋体"/>
                <w:sz w:val="24"/>
                <w:szCs w:val="24"/>
              </w:rPr>
              <w:t xml:space="preserve">平方米，空调系统管理维护面积</w:t>
            </w:r>
            <w:r>
              <w:rPr>
                <w:rFonts w:ascii="宋体" w:hAnsi="宋体" w:cs="宋体"/>
                <w:sz w:val="24"/>
                <w:szCs w:val="24"/>
              </w:rPr>
              <w:t xml:space="preserve">25880.11</w:t>
            </w:r>
            <w:r>
              <w:rPr>
                <w:rFonts w:hint="eastAsia" w:ascii="宋体" w:hAnsi="宋体" w:cs="宋体"/>
                <w:sz w:val="24"/>
                <w:szCs w:val="24"/>
              </w:rPr>
              <w:t xml:space="preserve">平方米。强弱电维护面积</w:t>
            </w:r>
            <w:r>
              <w:rPr>
                <w:rFonts w:ascii="宋体" w:hAnsi="宋体" w:cs="宋体"/>
                <w:sz w:val="24"/>
                <w:szCs w:val="24"/>
              </w:rPr>
              <w:t xml:space="preserve">25807.61</w:t>
            </w:r>
            <w:r>
              <w:rPr>
                <w:rFonts w:hint="eastAsia" w:ascii="宋体" w:hAnsi="宋体" w:cs="宋体"/>
                <w:sz w:val="24"/>
                <w:szCs w:val="24"/>
                <w:lang w:val="en-US" w:eastAsia="zh-CN"/>
              </w:rPr>
              <w:t xml:space="preserve">平方米</w:t>
            </w:r>
            <w:r>
              <w:rPr>
                <w:rFonts w:hint="eastAsia" w:ascii="宋体" w:hAnsi="宋体" w:cs="宋体"/>
                <w:sz w:val="24"/>
                <w:szCs w:val="24"/>
              </w:rPr>
              <w:t xml:space="preserve">，消防维护面积25807.11</w:t>
            </w:r>
            <w:r>
              <w:rPr>
                <w:rFonts w:hint="eastAsia" w:ascii="宋体" w:hAnsi="宋体" w:cs="宋体"/>
                <w:sz w:val="24"/>
                <w:szCs w:val="24"/>
                <w:lang w:val="en-US" w:eastAsia="zh-CN"/>
              </w:rPr>
              <w:t xml:space="preserve">平方米</w:t>
            </w:r>
            <w:r/>
          </w:p>
          <w:p>
            <w:pPr>
              <w:jc w:val="center"/>
              <w:spacing w:line="360" w:lineRule="auto"/>
              <w:rPr>
                <w:rFonts w:hint="eastAsia" w:ascii="宋体" w:hAnsi="宋体"/>
                <w:sz w:val="24"/>
                <w:szCs w:val="24"/>
              </w:rPr>
            </w:pPr>
            <w:r>
              <w:rPr>
                <w:rFonts w:hint="eastAsia" w:ascii="宋体" w:hAnsi="宋体"/>
                <w:sz w:val="24"/>
                <w:szCs w:val="24"/>
              </w:rPr>
            </w:r>
            <w:r/>
          </w:p>
        </w:tc>
        <w:tc>
          <w:tcPr>
            <w:tcW w:w="3401" w:type="dxa"/>
            <w:textDirection w:val="lrTb"/>
            <w:noWrap w:val="false"/>
          </w:tcPr>
          <w:p>
            <w:pPr>
              <w:ind w:firstLine="480"/>
              <w:spacing w:line="360" w:lineRule="auto"/>
              <w:rPr>
                <w:rFonts w:hint="eastAsia" w:ascii="宋体" w:hAnsi="宋体" w:cs="宋体"/>
                <w:sz w:val="24"/>
                <w:szCs w:val="24"/>
              </w:rPr>
            </w:pPr>
            <w:r>
              <w:rPr>
                <w:rFonts w:hint="eastAsia" w:ascii="宋体" w:hAnsi="宋体" w:cs="宋体"/>
                <w:sz w:val="24"/>
                <w:szCs w:val="24"/>
              </w:rPr>
              <w:t xml:space="preserve">服务内容为建筑物部分的保洁服务、安全保卫服务（保安服务、消控服务）、消防系统维护，给排水系统管理维护，空调系统管理维护，防雷检测服务等。具体内容及标准详见“3.物业管理服务内容及标准”。</w:t>
            </w:r>
            <w:r/>
          </w:p>
          <w:p>
            <w:pPr>
              <w:spacing w:line="360" w:lineRule="auto"/>
              <w:rPr>
                <w:rFonts w:hint="eastAsia" w:ascii="宋体" w:hAnsi="宋体"/>
                <w:sz w:val="24"/>
                <w:szCs w:val="24"/>
              </w:rPr>
            </w:pPr>
            <w:r>
              <w:rPr>
                <w:rFonts w:hint="eastAsia" w:ascii="宋体" w:hAnsi="宋体"/>
                <w:sz w:val="24"/>
                <w:szCs w:val="24"/>
              </w:rPr>
            </w:r>
            <w:r/>
          </w:p>
        </w:tc>
      </w:tr>
    </w:tbl>
    <w:p>
      <w:pPr>
        <w:spacing w:line="360" w:lineRule="auto"/>
        <w:rPr>
          <w:rFonts w:hint="eastAsia" w:ascii="宋体" w:hAnsi="宋体"/>
          <w:b/>
          <w:sz w:val="24"/>
        </w:rPr>
      </w:pPr>
      <w:r>
        <w:rPr>
          <w:rFonts w:hint="eastAsia" w:ascii="宋体" w:hAnsi="宋体"/>
          <w:b/>
          <w:sz w:val="24"/>
        </w:rPr>
        <w:t xml:space="preserve">（2）物业管理（室外）</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9"/>
        <w:gridCol w:w="2935"/>
        <w:gridCol w:w="3378"/>
      </w:tblGrid>
      <w:tr>
        <w:trPr>
          <w:jc w:val="center"/>
        </w:trPr>
        <w:tc>
          <w:tcPr>
            <w:tcW w:w="2209" w:type="dxa"/>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名称</w:t>
            </w:r>
            <w:r/>
          </w:p>
        </w:tc>
        <w:tc>
          <w:tcPr>
            <w:tcW w:w="2935" w:type="dxa"/>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明细</w:t>
            </w:r>
            <w:r/>
          </w:p>
        </w:tc>
        <w:tc>
          <w:tcPr>
            <w:tcW w:w="3378" w:type="dxa"/>
            <w:textDirection w:val="lrTb"/>
            <w:noWrap w:val="false"/>
          </w:tcPr>
          <w:p>
            <w:pPr>
              <w:jc w:val="center"/>
              <w:spacing w:line="360" w:lineRule="auto"/>
              <w:rPr>
                <w:rFonts w:hint="eastAsia" w:ascii="宋体" w:hAnsi="宋体"/>
                <w:sz w:val="24"/>
                <w:szCs w:val="24"/>
              </w:rPr>
            </w:pPr>
            <w:r>
              <w:rPr>
                <w:rFonts w:ascii="宋体" w:hAnsi="宋体"/>
                <w:sz w:val="24"/>
                <w:szCs w:val="24"/>
              </w:rPr>
              <w:t xml:space="preserve">服务内容及标准</w:t>
            </w:r>
            <w:r/>
          </w:p>
        </w:tc>
      </w:tr>
      <w:tr>
        <w:trPr>
          <w:jc w:val="center"/>
        </w:trPr>
        <w:tc>
          <w:tcPr>
            <w:tcW w:w="220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无锡市新洲小学室外面积</w:t>
            </w:r>
            <w:r/>
          </w:p>
        </w:tc>
        <w:tc>
          <w:tcPr>
            <w:tcW w:w="2935" w:type="dxa"/>
            <w:vAlign w:val="center"/>
            <w:textDirection w:val="lrTb"/>
            <w:noWrap w:val="false"/>
          </w:tcPr>
          <w:p>
            <w:pPr>
              <w:jc w:val="left"/>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无锡市新洲小学共2个门岗、保洁服务面积</w:t>
            </w:r>
            <w:r>
              <w:rPr>
                <w:rFonts w:ascii="宋体" w:hAnsi="宋体" w:cs="宋体"/>
                <w:sz w:val="24"/>
                <w:szCs w:val="24"/>
              </w:rPr>
              <w:t xml:space="preserve">35048.11</w:t>
            </w:r>
            <w:r>
              <w:rPr>
                <w:rFonts w:hint="eastAsia" w:ascii="宋体" w:hAnsi="宋体" w:cs="宋体"/>
                <w:sz w:val="24"/>
                <w:szCs w:val="24"/>
              </w:rPr>
              <w:t xml:space="preserve">平方米，给排水系统管理维护面积</w:t>
            </w:r>
            <w:r>
              <w:rPr>
                <w:rFonts w:ascii="宋体" w:hAnsi="宋体" w:cs="宋体"/>
                <w:sz w:val="24"/>
                <w:szCs w:val="24"/>
              </w:rPr>
              <w:t xml:space="preserve">25807.61</w:t>
            </w:r>
            <w:r>
              <w:rPr>
                <w:rFonts w:hint="eastAsia" w:ascii="宋体" w:hAnsi="宋体" w:cs="宋体"/>
                <w:sz w:val="24"/>
                <w:szCs w:val="24"/>
              </w:rPr>
              <w:t xml:space="preserve">平方米，强弱电维护面积</w:t>
            </w:r>
            <w:r>
              <w:rPr>
                <w:rFonts w:ascii="宋体" w:hAnsi="宋体" w:cs="宋体"/>
                <w:sz w:val="24"/>
                <w:szCs w:val="24"/>
              </w:rPr>
              <w:t xml:space="preserve">25807.61</w:t>
            </w:r>
            <w:r>
              <w:rPr>
                <w:rFonts w:hint="eastAsia" w:ascii="宋体" w:hAnsi="宋体" w:cs="宋体"/>
                <w:sz w:val="24"/>
                <w:szCs w:val="24"/>
                <w:lang w:val="en-US" w:eastAsia="zh-CN"/>
              </w:rPr>
              <w:t xml:space="preserve">平方米</w:t>
            </w:r>
            <w:r>
              <w:rPr>
                <w:rFonts w:hint="eastAsia" w:ascii="宋体" w:hAnsi="宋体" w:cs="宋体"/>
                <w:sz w:val="24"/>
                <w:szCs w:val="24"/>
              </w:rPr>
              <w:t xml:space="preserve">，消防维护面积25807.11</w:t>
            </w:r>
            <w:r>
              <w:rPr>
                <w:rFonts w:hint="eastAsia" w:ascii="宋体" w:hAnsi="宋体" w:cs="宋体"/>
                <w:sz w:val="24"/>
                <w:szCs w:val="24"/>
                <w:lang w:val="en-US" w:eastAsia="zh-CN"/>
              </w:rPr>
              <w:t xml:space="preserve">平方米</w:t>
            </w:r>
            <w:r/>
          </w:p>
          <w:p>
            <w:pPr>
              <w:jc w:val="center"/>
              <w:spacing w:line="360" w:lineRule="auto"/>
              <w:rPr>
                <w:rFonts w:hint="eastAsia" w:ascii="宋体" w:hAnsi="宋体"/>
                <w:sz w:val="24"/>
                <w:szCs w:val="24"/>
              </w:rPr>
            </w:pPr>
            <w:r>
              <w:rPr>
                <w:rFonts w:hint="eastAsia" w:ascii="宋体" w:hAnsi="宋体"/>
                <w:sz w:val="24"/>
                <w:szCs w:val="24"/>
              </w:rPr>
            </w:r>
            <w:r/>
          </w:p>
        </w:tc>
        <w:tc>
          <w:tcPr>
            <w:tcW w:w="3378" w:type="dxa"/>
            <w:textDirection w:val="lrTb"/>
            <w:noWrap w:val="false"/>
          </w:tcPr>
          <w:p>
            <w:pPr>
              <w:spacing w:line="360" w:lineRule="auto"/>
              <w:rPr>
                <w:rFonts w:hint="eastAsia" w:ascii="宋体" w:hAnsi="宋体"/>
                <w:sz w:val="24"/>
                <w:szCs w:val="24"/>
              </w:rPr>
            </w:pPr>
            <w:r>
              <w:rPr>
                <w:rFonts w:hint="eastAsia" w:ascii="宋体" w:hAnsi="宋体" w:cs="宋体"/>
                <w:sz w:val="24"/>
                <w:szCs w:val="24"/>
              </w:rPr>
              <w:t xml:space="preserve">服务内容为建筑物部分的保洁服务、安全保卫服务（保安服务、消控服务）、保洁、绿化、消防系统维护，给排水系统管理维护，防雷检测服务、强弱电系统维护等。具体内容及标准详见“3.物业管理服务内容及标准”。</w:t>
            </w:r>
            <w:r/>
          </w:p>
        </w:tc>
      </w:tr>
    </w:tbl>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t xml:space="preserve">3.物业管理服务内容及标准</w:t>
      </w:r>
      <w:r/>
    </w:p>
    <w:p>
      <w:pPr>
        <w:spacing w:line="360" w:lineRule="auto"/>
        <w:rPr>
          <w:rFonts w:hint="eastAsia" w:ascii="宋体" w:hAnsi="宋体"/>
          <w:sz w:val="24"/>
        </w:rPr>
      </w:pPr>
      <w:r>
        <w:rPr>
          <w:rFonts w:hint="eastAsia" w:ascii="宋体" w:hAnsi="宋体"/>
          <w:sz w:val="24"/>
        </w:rPr>
        <w:t xml:space="preserve">3.1 保洁服务</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2632"/>
        <w:gridCol w:w="4716"/>
      </w:tblGrid>
      <w:tr>
        <w:trPr/>
        <w:tc>
          <w:tcPr>
            <w:tcW w:w="1174"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序号</w:t>
            </w:r>
            <w:r/>
          </w:p>
        </w:tc>
        <w:tc>
          <w:tcPr>
            <w:tcW w:w="2632"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服务内容</w:t>
            </w:r>
            <w:r/>
          </w:p>
        </w:tc>
        <w:tc>
          <w:tcPr>
            <w:tcW w:w="4716"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服务标准</w:t>
            </w:r>
            <w:r/>
          </w:p>
        </w:tc>
      </w:tr>
      <w:tr>
        <w:trPr/>
        <w:tc>
          <w:tcPr>
            <w:tcW w:w="1174"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1</w:t>
            </w:r>
            <w:r/>
          </w:p>
        </w:tc>
        <w:tc>
          <w:tcPr>
            <w:tcW w:w="2632" w:type="dxa"/>
            <w:textDirection w:val="lrTb"/>
            <w:noWrap w:val="false"/>
          </w:tcPr>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1.1室内：日常清洗、保洁</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1.2室外：日常清扫、保洁</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1.3教室及办公楼门窗玻璃、吊扇的擦洗</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1.4垃圾的收集与转运</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1.5学校内蚊蝇、鼠、蟑螂的消杀,无蝇、少蚊、少虫。 灭鼠、灭蟑螂</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1.6除厨余垃圾外的垃圾清运，化粪池清掏、管道疏通。</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b/>
                <w:bCs/>
                <w:color w:val="000000"/>
                <w:sz w:val="24"/>
                <w:szCs w:val="24"/>
              </w:rPr>
              <w:t xml:space="preserve">注：此费用包含由承接主体承担的清洁药剂、清洁工具等低值易耗品费</w:t>
            </w:r>
            <w:r>
              <w:rPr>
                <w:rFonts w:hint="eastAsia" w:asciiTheme="minorEastAsia" w:hAnsiTheme="minorEastAsia" w:eastAsiaTheme="minorEastAsia" w:cstheme="minorEastAsia"/>
                <w:color w:val="000000"/>
                <w:sz w:val="24"/>
                <w:szCs w:val="24"/>
              </w:rPr>
              <w:t xml:space="preserve">。</w:t>
            </w:r>
            <w:r/>
          </w:p>
        </w:tc>
        <w:tc>
          <w:tcPr>
            <w:tcW w:w="4716" w:type="dxa"/>
            <w:textDirection w:val="lrTb"/>
            <w:noWrap w:val="false"/>
          </w:tcPr>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1．公共区域基本服务标准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不见积水、不见杂物、不见积土、不漏收堆、不乱倒垃圾、路面净、路沿净、雨水口净、树坑墙根净、果皮箱净：无裸露垃圾、无垃圾死角、无明显积尘积垢、无脏乱差顽疾。</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2．常规保洁项目清洁标准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2.1停车场、车行道、室外消防通道及外围公共区域地面</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每月清洗一次，每日清洁一次，平时进行巡回保洁保持地面无垃圾、无泥沙、无烟头和纸屑等杂物、无积水、无青苔、无污渍和斑点，无口香糖等附着物，检查时抽查50平方米地面、无烟头、果皮、纸屑香口胶等垃圾杂物，地面目视清洁卫生。</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2.2室内地面</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目视地面无明显灰尘及污渍。楼梯、走廊、行政楼办公室地面每日清洁1次。在用的教师办公室、教室地面每周清洁1次。</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2.3服务项目内各种告示牌、路牌、灯箱、宣传栏等，每周全面清洁一次，平时巡回保洁保持表面干净，无积尘、无污渍、无斑点、无锈迹、无口香糖等附着物。</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消防管道、消防栓箱、管理区域内的消防设备设施，每周清洁一次，平时巡回保洁。表面干净、无积灰、无污渍、无装饰等附着物。平时抽查2-3个消防箱，无垃圾、无杂物、无蜘蛛网。消防通道及人行通道上灯具、应急照明、疏散指示牌</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每周清洁一次，平时巡回保洁。表面干净、无灰尘、无污迹、无油漆脱落现象，无口香糖等附着物。</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2.4垃圾箱（桶）</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每天清洁一次，平时巡回保持，室外垃圾桶每周用不锈钢球擦拭。放置端正、无歪斜现象。外表光亮干净、无污迹、无口香糖等附着物。无异味，垃圾桶内垃圾不超过2/3。</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2.5垃圾收集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2.5.1垃圾做到日产日清，所有垃圾转运至指定的垃圾收集点，做到合理、卫生、四周无散积垃圾：</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2.5.2垃圾存放点保持保洁，无异味：</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2.5.3做好垃圾袋装化：</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2.5.4垃圾存放点地面无垃圾：无白色垃圾、泥沙、污水、积水：墙面与墙角无灰尘、无蜘蛛网。</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2.6卫生间</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2.6.1每周用清洁剂全面清洁一次，每日清洁4次，平时巡回保洁。每天进行大冲洗，无粪便、无水迹、无污迹、无头发、无异味，清洁干净。</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2.6.2洗漱台每天清洁一次，保持台面无水印、无杂物、无污迹、明亮干净。</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2.6.3小便池无黄渍、锈渍等。大便池无锈渍、不积大便、无异味。</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2.6.4墙面、隔断及其附属设施设备和天花板每月全面清洁一次。每天保持光亮干净、无污渍、无灰尘、无水迹：墙面四周保持干燥、无蜘蛛网、无杂物。</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2.6.5每天巡回保洁，随时保持干净干燥、无积水、无脚印。及时清理垃圾桶内的垃圾，垃圾容量不超过1/2。</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2.7楼层楼道及楼层花台</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无痰迹、无口香糖印、无杂物、无白色垃圾及蜘蛛网。楼梯角落无积尘。</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2.8通道栏杆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每周擦拭一次，栏杆无灰尘、无污渍，保持干净光亮。</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2.9天花板</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项目管理区域内所有人行通道、楼道、楼梯间等天花板，无蜘蛛网、无积灰、无污渍。</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3.学校窗户玻璃及吊扇的擦拭、保洁</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3.1每年2次教室及办公楼门窗玻璃的擦洗的擦拭、保洁；每年1次教室及办公楼吊扇的擦洗的擦拭、保洁。清洁明亮、无污渍、水渍、手印、浮灰、蜘蛛网等。</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3.2办公楼走道窗户做到定期清洁。</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4.垃圾的收集与转运</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保洁中出现的垃圾归入到指定的垃圾桶中，做到垃圾分类。</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5.学校内蚊蝇、鼠、蟑螂的消杀</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消除积存垃圾、污物、积水等蝇、蚊、蟑螂孳生地，同时对学校内孳生的蝇、鼠、蟑螂的消杀。校园内无蝇、少蚊。</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6.生活垃圾和厨余垃圾每天清运1次。化粪池清掏每年至少1次。特殊情况适当增加次数。</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7.食堂消毒（包括空气消毒的维保）。</w:t>
            </w:r>
            <w:r/>
          </w:p>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8.食堂油烟机清洗，每季度一次清洗。</w:t>
            </w:r>
            <w:r/>
          </w:p>
        </w:tc>
      </w:tr>
      <w:tr>
        <w:trPr/>
        <w:tc>
          <w:tcPr>
            <w:tcW w:w="1174"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2</w:t>
            </w:r>
            <w:r/>
          </w:p>
        </w:tc>
        <w:tc>
          <w:tcPr>
            <w:tcW w:w="2632"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服务时间</w:t>
            </w:r>
            <w:r/>
          </w:p>
        </w:tc>
        <w:tc>
          <w:tcPr>
            <w:tcW w:w="4716" w:type="dxa"/>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学生正常上学期间，保洁人员必须满岗到位；延时放学期间，中标供应商必须根据学校要求安排保洁人员在岗；在调休期间按学校时间同步安排保洁人员；节假期学校保洁人员需要有相应的值班人员在岗。如有</w:t>
            </w:r>
            <w:r>
              <w:rPr>
                <w:rFonts w:hint="eastAsia" w:asciiTheme="minorEastAsia" w:hAnsiTheme="minorEastAsia" w:eastAsiaTheme="minorEastAsia" w:cstheme="minorEastAsia"/>
                <w:sz w:val="24"/>
                <w:szCs w:val="24"/>
                <w:lang w:val="en-US" w:eastAsia="zh-CN"/>
              </w:rPr>
              <w:t xml:space="preserve">突</w:t>
            </w:r>
            <w:r>
              <w:rPr>
                <w:rFonts w:hint="eastAsia" w:asciiTheme="minorEastAsia" w:hAnsiTheme="minorEastAsia" w:eastAsiaTheme="minorEastAsia" w:cstheme="minorEastAsia"/>
                <w:sz w:val="24"/>
                <w:szCs w:val="24"/>
              </w:rPr>
              <w:t xml:space="preserve">发事件或紧急任务，中标供应商必须按学校要求安排保洁人员到岗。</w:t>
            </w:r>
            <w:r/>
          </w:p>
        </w:tc>
      </w:tr>
    </w:tbl>
    <w:p>
      <w:pPr>
        <w:spacing w:line="360" w:lineRule="auto"/>
        <w:rPr>
          <w:rFonts w:hint="eastAsia" w:ascii="宋体" w:hAnsi="宋体"/>
          <w:sz w:val="24"/>
        </w:rPr>
      </w:pPr>
      <w:r>
        <w:rPr>
          <w:rFonts w:hint="eastAsia" w:ascii="宋体" w:hAnsi="宋体"/>
          <w:sz w:val="24"/>
        </w:rPr>
        <w:t xml:space="preserve">3.2  绿化服务</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0"/>
        <w:gridCol w:w="2639"/>
        <w:gridCol w:w="4713"/>
      </w:tblGrid>
      <w:tr>
        <w:trPr/>
        <w:tc>
          <w:tcPr>
            <w:tcW w:w="1170"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序号</w:t>
            </w:r>
            <w:r/>
          </w:p>
        </w:tc>
        <w:tc>
          <w:tcPr>
            <w:tcW w:w="2639"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服务内容</w:t>
            </w:r>
            <w:r/>
          </w:p>
        </w:tc>
        <w:tc>
          <w:tcPr>
            <w:tcW w:w="4713"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服务标准</w:t>
            </w:r>
            <w:r/>
          </w:p>
        </w:tc>
      </w:tr>
      <w:tr>
        <w:trPr/>
        <w:tc>
          <w:tcPr>
            <w:tcW w:w="1170"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1</w:t>
            </w:r>
            <w:r/>
          </w:p>
        </w:tc>
        <w:tc>
          <w:tcPr>
            <w:tcW w:w="2639" w:type="dxa"/>
            <w:textDirection w:val="lrTb"/>
            <w:noWrap w:val="false"/>
          </w:tcPr>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2.1树木的养护管理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2.2草坪的养护管理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2.3灌木、花卉等绿地管理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2.4校园内摆花、种花</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2.5绿化产生的垃圾管理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2.6学校</w:t>
            </w:r>
            <w:r>
              <w:rPr>
                <w:rFonts w:hint="eastAsia" w:asciiTheme="minorEastAsia" w:hAnsiTheme="minorEastAsia" w:eastAsiaTheme="minorEastAsia" w:cstheme="minorEastAsia"/>
                <w:color w:val="000000"/>
                <w:sz w:val="24"/>
                <w:szCs w:val="24"/>
                <w:lang w:val="en-US" w:eastAsia="zh-CN"/>
              </w:rPr>
              <w:t xml:space="preserve">种植园</w:t>
            </w:r>
            <w:r>
              <w:rPr>
                <w:rFonts w:hint="eastAsia" w:asciiTheme="minorEastAsia" w:hAnsiTheme="minorEastAsia" w:eastAsiaTheme="minorEastAsia" w:cstheme="minorEastAsia"/>
                <w:color w:val="000000"/>
                <w:sz w:val="24"/>
                <w:szCs w:val="24"/>
              </w:rPr>
              <w:t xml:space="preserve">管理</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b/>
                <w:bCs/>
                <w:color w:val="000000"/>
                <w:sz w:val="24"/>
                <w:szCs w:val="24"/>
              </w:rPr>
              <w:t xml:space="preserve">注：</w:t>
            </w:r>
            <w:r>
              <w:rPr>
                <w:rFonts w:hint="eastAsia" w:asciiTheme="minorEastAsia" w:hAnsiTheme="minorEastAsia" w:eastAsiaTheme="minorEastAsia" w:cstheme="minorEastAsia"/>
                <w:b/>
                <w:bCs/>
                <w:color w:val="000000"/>
                <w:spacing w:val="-1"/>
                <w:sz w:val="24"/>
                <w:szCs w:val="24"/>
              </w:rPr>
              <w:t xml:space="preserve">此费用包含由承接主体承担的除草机、修剪机、杀虫药剂等材料费</w:t>
            </w:r>
            <w:r>
              <w:rPr>
                <w:rFonts w:hint="eastAsia" w:asciiTheme="minorEastAsia" w:hAnsiTheme="minorEastAsia" w:eastAsiaTheme="minorEastAsia" w:cstheme="minorEastAsia"/>
                <w:color w:val="000000"/>
                <w:spacing w:val="-1"/>
                <w:sz w:val="24"/>
                <w:szCs w:val="24"/>
              </w:rPr>
              <w:t xml:space="preserve">。</w:t>
            </w:r>
            <w:r/>
          </w:p>
        </w:tc>
        <w:tc>
          <w:tcPr>
            <w:tcW w:w="4713" w:type="dxa"/>
            <w:textDirection w:val="lrTb"/>
            <w:noWrap w:val="false"/>
          </w:tcPr>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1．树木养护管理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1.1树木存活完好</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株生长健壮、树形自然美观，主、侧枝分布均匀，数量适宜，内膛通风透光。无死树、缺株，保存率达100%。死亡缺损苗木要及时补植、更换。乔灌木每年施一次肥，花灌木一年不少于两次，花灌木草坪按需要及时补充肥料。</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1.2合理修剪</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不同树种适时进行抹芽、抽枝、修剪、整形；修剪合理，疏密得当，整齐美观。对具有造型条件的树种进行艺术造型修剪，造型率大于50%。及时合理清理枯枝、病枝、残枝。修剪的树枝、树叶重点路段做到随产随清，其它路段做到日产日清。</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1.3无病虫害</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生长季节叶色正，无病虫害。根据不同季节、不同树种适时喷洒药物，病虫危害程度小，枝叶完整。</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2．草坪管理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2.1</w:t>
            </w:r>
            <w:r>
              <w:rPr>
                <w:rFonts w:hint="eastAsia" w:asciiTheme="minorEastAsia" w:hAnsiTheme="minorEastAsia" w:eastAsiaTheme="minorEastAsia" w:cstheme="minorEastAsia"/>
                <w:color w:val="000000"/>
                <w:sz w:val="24"/>
                <w:szCs w:val="24"/>
                <w:lang w:val="en-US" w:eastAsia="zh-CN"/>
              </w:rPr>
              <w:t xml:space="preserve">草</w:t>
            </w:r>
            <w:r>
              <w:rPr>
                <w:rFonts w:hint="eastAsia" w:asciiTheme="minorEastAsia" w:hAnsiTheme="minorEastAsia" w:eastAsiaTheme="minorEastAsia" w:cstheme="minorEastAsia"/>
                <w:color w:val="000000"/>
                <w:sz w:val="24"/>
                <w:szCs w:val="24"/>
              </w:rPr>
              <w:t xml:space="preserve">坪地均匀平整，无坑洼现象。覆盖率高于95%，杂草率≤5%。</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2.2修剪</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修剪及时合理，坪面整齐，无垃圾及堆物。草坪生长茂盛，适时</w:t>
            </w:r>
            <w:r>
              <w:rPr>
                <w:rFonts w:hint="eastAsia" w:asciiTheme="minorEastAsia" w:hAnsiTheme="minorEastAsia" w:eastAsiaTheme="minorEastAsia" w:cstheme="minorEastAsia"/>
                <w:color w:val="000000"/>
                <w:sz w:val="24"/>
                <w:szCs w:val="24"/>
                <w:lang w:val="en-US" w:eastAsia="zh-CN"/>
              </w:rPr>
              <w:t xml:space="preserve">除草</w:t>
            </w:r>
            <w:r>
              <w:rPr>
                <w:rFonts w:hint="eastAsia" w:asciiTheme="minorEastAsia" w:hAnsiTheme="minorEastAsia" w:eastAsiaTheme="minorEastAsia" w:cstheme="minorEastAsia"/>
                <w:color w:val="000000"/>
                <w:sz w:val="24"/>
                <w:szCs w:val="24"/>
              </w:rPr>
              <w:t xml:space="preserve">，密度适宜，无明显干枯草丛，草坪叶色绿润，无明显色差。</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2.3无病虫害</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草坪叶色绿润，病虫害防治及时。</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2.4除草</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在植物生长季节要不间断地进行除草，应除小、除早、除了，绿地内无杂草。除下杂草要集中处理，并及时清运。除草一年不少于五次，无杂草。</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2.5浇水</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喷灌时应专人看管，浇水量适当，以地面达到径流为准，保持土壤湿润。</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3．灌木、花卉等绿地管理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3.1苗木存活完好。</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若有缺损，按同等品种、规格、标准更换补植。</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3.2苗木生长健壮。</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枝叶茂密，无死株、弱株、病株、歪斜株（最大倾斜度不超过5度，整形性歪斜除外），有明显的生长量。</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3.3修剪及时合理。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灌木修剪要平整，层次分明，错落有致；突出造型修剪艺术。及时摘除残花、败果。修剪产生的垃圾重点路段做到随产随清，其它路段做到日产日清。</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3.4无病虫害。</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根据不同季节、不同苗木适时喷洒药物，病虫危害程度小，枝叶完整，无枯黄、干焦、卷曲、缀拈、穿孔。</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3.5除草</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在植物生长季节要不间断地进行除草，绿地内无杂草。</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3.6病虫害防治</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加强病虫检查，发现主要病虫害应根据虫情预报及时采取防治措施。对于危险性病虫害，一旦发现疫情应及时上报主管部门，并迅速采取扑灭措施及时清理带病虫的落叶、杂草等，消灭病源、虫源，防止病虫扩散、蔓延。</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3.7对不同区域的花卉制定各自的调整周期，及时进行浇水、养护，浇水的同时，应冲洗叶面，保持叶面清洁，提高观赏效果。</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4.校园内摆花、种花</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4.1摆花有造型、茂盛、定期更换、无枯叶、断枝等。学校北门花坛要定期更换草花</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4.2重大节日、学校举行活动，如有需要，需按要求提供摆花。（一年不超过一次）</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4.3校门口小广场种植花草,每年至少4次。</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5.绿化产生的垃圾管理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5.1绿化产生的垃圾及时清运。</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6.学校种植园管理</w:t>
            </w:r>
            <w:r/>
          </w:p>
          <w:p>
            <w:pPr>
              <w:jc w:val="left"/>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z w:val="24"/>
                <w:szCs w:val="24"/>
              </w:rPr>
              <w:t xml:space="preserve">6.1种值园内周边除草</w:t>
            </w:r>
            <w:r/>
          </w:p>
        </w:tc>
      </w:tr>
    </w:tbl>
    <w:p>
      <w:pPr>
        <w:spacing w:line="360" w:lineRule="auto"/>
        <w:rPr>
          <w:rFonts w:hint="eastAsia" w:ascii="宋体" w:hAnsi="宋体"/>
          <w:sz w:val="24"/>
        </w:rPr>
      </w:pPr>
      <w:r>
        <w:rPr>
          <w:rFonts w:hint="eastAsia" w:ascii="宋体" w:hAnsi="宋体"/>
          <w:sz w:val="24"/>
        </w:rPr>
        <w:t xml:space="preserve">3.3  保安服务</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650"/>
        <w:gridCol w:w="4699"/>
      </w:tblGrid>
      <w:tr>
        <w:trPr/>
        <w:tc>
          <w:tcPr>
            <w:tcW w:w="1173"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序号</w:t>
            </w:r>
            <w:r/>
          </w:p>
        </w:tc>
        <w:tc>
          <w:tcPr>
            <w:tcW w:w="2650"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服务内容</w:t>
            </w:r>
            <w:r/>
          </w:p>
        </w:tc>
        <w:tc>
          <w:tcPr>
            <w:tcW w:w="4699"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服务标准</w:t>
            </w:r>
            <w:r/>
          </w:p>
        </w:tc>
      </w:tr>
      <w:tr>
        <w:trPr/>
        <w:tc>
          <w:tcPr>
            <w:tcW w:w="1173"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1</w:t>
            </w:r>
            <w:r/>
          </w:p>
        </w:tc>
        <w:tc>
          <w:tcPr>
            <w:tcW w:w="2650" w:type="dxa"/>
            <w:textDirection w:val="lrTb"/>
            <w:noWrap w:val="false"/>
          </w:tcPr>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3.1防火、防盗、防汛及突发事件处理等。车辆、道路及公共秩序维护、熟悉周边环境，能处理和应对公共秩序维护工作。</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3.2来人来访的通报、证件检验、登记、报刊信件收发等</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3.3门卫、守护和日常巡逻</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3.4主动配合、服从对口部门(总务处、安保处)临时安排调度的工作</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3.5学生入学、放学时的秩序维护及安全防范</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b/>
                <w:bCs/>
                <w:color w:val="000000"/>
                <w:sz w:val="24"/>
                <w:szCs w:val="24"/>
              </w:rPr>
              <w:t xml:space="preserve">注：此费用包含由承接主体承担的对讲机、安保服装、照明灯、应急包等材料费。</w:t>
            </w:r>
            <w:r/>
          </w:p>
        </w:tc>
        <w:tc>
          <w:tcPr>
            <w:tcW w:w="4699" w:type="dxa"/>
            <w:textDirection w:val="lrTb"/>
            <w:noWrap w:val="false"/>
          </w:tcPr>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负责校区内治安、消防、门岗及车辆管理工作，做好防火、防盗、防爆、防破坏、防自然灾害工作，维护学校正常的校园安全秩序。能正确使用各类消防、物防、技防器械和设备，能够熟悉、掌握各类刑事、治安案件和各类灾害事故的应急处置方法</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2.负责来访人员的接待、登记、验证及被访人员的通知工作。学校保卫人员对进出学校的外来人员携带的物品进行登记，对可疑物品要进行查验，严禁易燃易爆、剧毒、管制刀具等危险物品进入校园。 </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3.负责24小时门卫守护、视频监控室24小时值班、考场警戒，校园巡逻及交通指挥值班值勤工作，每天学生入学、放学时段的秩序维护及安全防范。</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4.需参与学校应急突发事件的处置工作及服从学校安排的临时性工作。</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5.负责监控等，同时对各类异常情况进行快速处理。</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6.负责学校内公共设施设备的异常情况的及时发现和汇报工作。</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r>
    </w:tbl>
    <w:p>
      <w:pPr>
        <w:spacing w:line="360" w:lineRule="auto"/>
        <w:rPr>
          <w:rFonts w:hint="eastAsia" w:ascii="宋体" w:hAnsi="宋体"/>
          <w:sz w:val="24"/>
        </w:rPr>
      </w:pPr>
      <w:r>
        <w:rPr>
          <w:rFonts w:hint="eastAsia" w:ascii="宋体" w:hAnsi="宋体"/>
          <w:sz w:val="24"/>
        </w:rPr>
        <w:t xml:space="preserve">3.4</w:t>
      </w:r>
      <w:r>
        <w:rPr>
          <w:rFonts w:hint="eastAsia" w:ascii="宋体" w:hAnsi="宋体" w:cs="宋体"/>
          <w:color w:val="000000"/>
          <w:szCs w:val="21"/>
        </w:rPr>
        <w:t xml:space="preserve">给排水系统</w:t>
      </w:r>
      <w:r>
        <w:rPr>
          <w:rFonts w:hint="eastAsia" w:ascii="宋体" w:hAnsi="宋体"/>
          <w:sz w:val="24"/>
        </w:rPr>
        <w:t xml:space="preserve">维护服务</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序号</w:t>
            </w:r>
            <w:r/>
          </w:p>
        </w:tc>
        <w:tc>
          <w:tcPr>
            <w:tcW w:w="2638"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服务内容</w:t>
            </w:r>
            <w:r/>
          </w:p>
        </w:tc>
        <w:tc>
          <w:tcPr>
            <w:tcW w:w="4709"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服务标准</w:t>
            </w:r>
            <w:r/>
          </w:p>
        </w:tc>
      </w:tr>
      <w:tr>
        <w:trPr/>
        <w:tc>
          <w:tcPr>
            <w:tcW w:w="1175"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1</w:t>
            </w:r>
            <w:r/>
          </w:p>
        </w:tc>
        <w:tc>
          <w:tcPr>
            <w:tcW w:w="2638" w:type="dxa"/>
            <w:vAlign w:val="center"/>
            <w:textDirection w:val="lrTb"/>
            <w:noWrap w:val="false"/>
          </w:tcPr>
          <w:p>
            <w:pPr>
              <w:jc w:val="cente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4.1学校房屋内外给排水系统的监测，排水管等日常养护。</w:t>
            </w:r>
            <w:r/>
          </w:p>
          <w:p>
            <w:pPr>
              <w:jc w:val="cente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4.2食堂隔油池等设备设施的日常养护维修。</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b/>
                <w:bCs/>
                <w:color w:val="000000"/>
                <w:sz w:val="24"/>
                <w:szCs w:val="24"/>
              </w:rPr>
              <w:t xml:space="preserve">注：此费用包含由承接主体承担的300元以下的单个维修零配件材料费</w:t>
            </w:r>
            <w:r/>
          </w:p>
        </w:tc>
        <w:tc>
          <w:tcPr>
            <w:tcW w:w="4709" w:type="dxa"/>
            <w:textDirection w:val="lrTb"/>
            <w:noWrap w:val="false"/>
          </w:tcPr>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1.学校房屋内外给排水系统的监测，排水管道日常养护检查，每年至少1次清洗，疏通管道。</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2.食堂隔油池日常养护检查，每年至少1次清洗疏通。</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3.学校饮水机每学期按要求清洗</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4.学校两个水箱清洗</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5.学校雨污水管道疏通</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6.学校其他供水服务</w:t>
            </w:r>
            <w:r/>
          </w:p>
          <w:p>
            <w:pPr>
              <w:spacing w:line="36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7.学校饮水机和水箱清洗要求提供每学期一次的水质检测。</w:t>
            </w:r>
            <w:r/>
          </w:p>
          <w:p>
            <w:pPr>
              <w:pStyle w:val="719"/>
              <w:ind w:firstLine="0"/>
              <w:spacing w:after="0"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8.蓄水池、供水管路、排水管、消火栓、隔油池等设备设施的日常养护维修。</w:t>
            </w:r>
            <w:r/>
          </w:p>
        </w:tc>
      </w:tr>
    </w:tbl>
    <w:p>
      <w:pPr>
        <w:spacing w:line="360" w:lineRule="auto"/>
        <w:rPr>
          <w:rFonts w:hint="eastAsia" w:ascii="宋体" w:hAnsi="宋体"/>
          <w:sz w:val="24"/>
        </w:rPr>
      </w:pPr>
      <w:r>
        <w:rPr>
          <w:rFonts w:hint="eastAsia" w:ascii="宋体" w:hAnsi="宋体"/>
          <w:sz w:val="24"/>
        </w:rPr>
        <w:t xml:space="preserve">3.5  </w:t>
      </w:r>
      <w:r>
        <w:rPr>
          <w:rFonts w:hint="eastAsia" w:ascii="宋体" w:hAnsi="宋体" w:cs="宋体"/>
          <w:szCs w:val="21"/>
        </w:rPr>
        <w:t xml:space="preserve">空调系统维护服务</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序号</w:t>
            </w:r>
            <w:r/>
          </w:p>
        </w:tc>
        <w:tc>
          <w:tcPr>
            <w:tcW w:w="2638"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服务内容</w:t>
            </w:r>
            <w:r/>
          </w:p>
        </w:tc>
        <w:tc>
          <w:tcPr>
            <w:tcW w:w="4709"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服务标准</w:t>
            </w:r>
            <w:r/>
          </w:p>
        </w:tc>
      </w:tr>
      <w:tr>
        <w:trPr/>
        <w:tc>
          <w:tcPr>
            <w:tcW w:w="1175"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1</w:t>
            </w:r>
            <w:r/>
          </w:p>
        </w:tc>
        <w:tc>
          <w:tcPr>
            <w:tcW w:w="2638"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z w:val="24"/>
                <w:szCs w:val="24"/>
              </w:rPr>
              <w:t xml:space="preserve">学校空调系统清洗及消毒（本服务不包括空调维修）</w:t>
            </w:r>
            <w:r>
              <w:rPr>
                <w:rFonts w:hint="eastAsia" w:asciiTheme="minorEastAsia" w:hAnsiTheme="minorEastAsia" w:eastAsiaTheme="minorEastAsia" w:cstheme="minorEastAsia"/>
                <w:b/>
                <w:bCs/>
                <w:color w:val="000000"/>
                <w:sz w:val="24"/>
                <w:szCs w:val="24"/>
              </w:rPr>
              <w:t xml:space="preserve">注：此费用包含由承接主体承担的清洗、消毒所用辅助材料</w:t>
            </w:r>
            <w:r/>
          </w:p>
        </w:tc>
        <w:tc>
          <w:tcPr>
            <w:tcW w:w="4709" w:type="dxa"/>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1.1每年2次检查空调内外机、线路、插头、插板等。</w:t>
            </w:r>
            <w:r/>
          </w:p>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1.2每年至少1次滤网消毒清洗</w:t>
            </w:r>
            <w:r>
              <w:rPr>
                <w:rFonts w:hint="eastAsia" w:asciiTheme="minorEastAsia" w:hAnsiTheme="minorEastAsia" w:eastAsiaTheme="minorEastAsia" w:cstheme="minorEastAsia"/>
                <w:sz w:val="24"/>
                <w:szCs w:val="24"/>
                <w:lang w:val="en-US" w:eastAsia="zh-CN"/>
              </w:rPr>
              <w:t xml:space="preserve">和</w:t>
            </w:r>
            <w:r>
              <w:rPr>
                <w:rFonts w:hint="eastAsia" w:asciiTheme="minorEastAsia" w:hAnsiTheme="minorEastAsia" w:eastAsiaTheme="minorEastAsia" w:cstheme="minorEastAsia"/>
                <w:sz w:val="24"/>
                <w:szCs w:val="24"/>
              </w:rPr>
              <w:t xml:space="preserve">保养。</w:t>
            </w:r>
            <w:r/>
          </w:p>
          <w:p>
            <w:pPr>
              <w:spacing w:line="360" w:lineRule="exact"/>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r>
    </w:tbl>
    <w:p>
      <w:pPr>
        <w:widowControl/>
        <w:rPr>
          <w:rFonts w:hint="eastAsia" w:ascii="等线" w:hAnsi="等线" w:eastAsia="等线" w:cs="宋体"/>
          <w:color w:val="000000"/>
          <w:sz w:val="32"/>
          <w:szCs w:val="32"/>
        </w:rPr>
      </w:pPr>
      <w:r>
        <w:rPr>
          <w:rFonts w:hint="eastAsia" w:ascii="宋体" w:hAnsi="宋体"/>
          <w:sz w:val="24"/>
        </w:rPr>
        <w:t xml:space="preserve">3.6  </w:t>
      </w:r>
      <w:r>
        <w:rPr>
          <w:rFonts w:hint="eastAsia" w:ascii="宋体" w:hAnsi="宋体" w:cs="宋体"/>
          <w:szCs w:val="21"/>
        </w:rPr>
        <w:t xml:space="preserve">强弱电系统管理服务</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序号</w:t>
            </w:r>
            <w:r/>
          </w:p>
        </w:tc>
        <w:tc>
          <w:tcPr>
            <w:tcW w:w="2638"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服务内容</w:t>
            </w:r>
            <w:r/>
          </w:p>
        </w:tc>
        <w:tc>
          <w:tcPr>
            <w:tcW w:w="4709"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服务标准</w:t>
            </w:r>
            <w:r/>
          </w:p>
        </w:tc>
      </w:tr>
      <w:tr>
        <w:trPr/>
        <w:tc>
          <w:tcPr>
            <w:tcW w:w="1175"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1</w:t>
            </w:r>
            <w:r/>
          </w:p>
        </w:tc>
        <w:tc>
          <w:tcPr>
            <w:tcW w:w="2638"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z w:val="24"/>
                <w:szCs w:val="24"/>
              </w:rPr>
              <w:t xml:space="preserve">学校空调系统清洗及消毒（本服务不包括空调维修）</w:t>
            </w:r>
            <w:r>
              <w:rPr>
                <w:rFonts w:hint="eastAsia" w:asciiTheme="minorEastAsia" w:hAnsiTheme="minorEastAsia" w:eastAsiaTheme="minorEastAsia" w:cstheme="minorEastAsia"/>
                <w:b/>
                <w:bCs/>
                <w:color w:val="000000"/>
                <w:sz w:val="24"/>
                <w:szCs w:val="24"/>
              </w:rPr>
              <w:t xml:space="preserve">注：此费用包含由承接主体承担的300元以下的单个维修零配件材料费。</w:t>
            </w:r>
            <w:r/>
          </w:p>
        </w:tc>
        <w:tc>
          <w:tcPr>
            <w:tcW w:w="4709" w:type="dxa"/>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1.保证校内各场所正常供电、安全用电。</w:t>
            </w:r>
            <w:r/>
          </w:p>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2.管理范围为学校楼道管道井到用电末端所有用电设施。</w:t>
            </w:r>
            <w:r/>
          </w:p>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3.做好用电用水设施、设备及电器线路安全巡查、维修、做好记录。</w:t>
            </w:r>
            <w:r/>
          </w:p>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4.做好学校变电所维护及月检工作。不包括每两年一次的第三方检测。</w:t>
            </w:r>
            <w:r/>
          </w:p>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5.包括每年一次的防雷检测，并提供检测结果。</w:t>
            </w:r>
            <w:r/>
          </w:p>
          <w:p>
            <w:pPr>
              <w:pStyle w:val="719"/>
              <w:ind w:firstLine="0"/>
              <w:spacing w:after="0"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6.包括学校停车系统及监控系统智能化设施设备的维护维修。</w:t>
            </w:r>
            <w:r/>
          </w:p>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 电子围栏及监控网络维护维修。</w:t>
            </w:r>
            <w:r/>
          </w:p>
        </w:tc>
      </w:tr>
    </w:tbl>
    <w:p>
      <w:pPr>
        <w:widowControl/>
        <w:rPr>
          <w:rFonts w:hint="eastAsia" w:ascii="等线" w:hAnsi="等线" w:eastAsia="等线" w:cs="宋体"/>
          <w:color w:val="000000"/>
          <w:sz w:val="32"/>
          <w:szCs w:val="32"/>
        </w:rPr>
      </w:pPr>
      <w:r>
        <w:rPr>
          <w:rFonts w:hint="eastAsia" w:ascii="宋体" w:hAnsi="宋体"/>
          <w:sz w:val="24"/>
        </w:rPr>
        <w:t xml:space="preserve">3.7  </w:t>
      </w:r>
      <w:r>
        <w:rPr>
          <w:rFonts w:hint="eastAsia" w:ascii="宋体" w:hAnsi="宋体" w:cs="宋体"/>
          <w:szCs w:val="21"/>
        </w:rPr>
        <w:t xml:space="preserve">消防系统维护服务</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序号</w:t>
            </w:r>
            <w:r/>
          </w:p>
        </w:tc>
        <w:tc>
          <w:tcPr>
            <w:tcW w:w="2638"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服务内容</w:t>
            </w:r>
            <w:r/>
          </w:p>
        </w:tc>
        <w:tc>
          <w:tcPr>
            <w:tcW w:w="4709"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服务标准</w:t>
            </w:r>
            <w:r/>
          </w:p>
        </w:tc>
      </w:tr>
      <w:tr>
        <w:trPr/>
        <w:tc>
          <w:tcPr>
            <w:tcW w:w="1175"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1</w:t>
            </w:r>
            <w:r/>
          </w:p>
        </w:tc>
        <w:tc>
          <w:tcPr>
            <w:tcW w:w="2638"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sz w:val="24"/>
                <w:szCs w:val="24"/>
              </w:rPr>
              <w:t xml:space="preserve">学校消防设备设施的维保</w:t>
            </w:r>
            <w:r/>
          </w:p>
        </w:tc>
        <w:tc>
          <w:tcPr>
            <w:tcW w:w="4709"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1.包括学校灭火器与自动报警系统、自动喷淋系、安全疏散系统及红外线报警器、安防系统等日常管理养护。</w:t>
            </w:r>
            <w:r/>
          </w:p>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2.不包括每年一次的第三方检测。</w:t>
            </w:r>
            <w:r/>
          </w:p>
        </w:tc>
      </w:tr>
    </w:tbl>
    <w:p>
      <w:pPr>
        <w:widowControl/>
        <w:rPr>
          <w:rFonts w:hint="eastAsia" w:ascii="等线" w:hAnsi="等线" w:eastAsia="等线" w:cs="宋体"/>
          <w:color w:val="000000"/>
          <w:sz w:val="32"/>
          <w:szCs w:val="32"/>
        </w:rPr>
      </w:pPr>
      <w:r>
        <w:rPr>
          <w:rFonts w:hint="eastAsia" w:ascii="宋体" w:hAnsi="宋体"/>
          <w:sz w:val="24"/>
        </w:rPr>
        <w:t xml:space="preserve">3.8  </w:t>
      </w:r>
      <w:r>
        <w:rPr>
          <w:rFonts w:hint="eastAsia" w:ascii="宋体" w:hAnsi="宋体" w:cs="宋体"/>
          <w:szCs w:val="21"/>
        </w:rPr>
        <w:t xml:space="preserve">消控服务</w:t>
      </w:r>
      <w:r/>
    </w:p>
    <w:tbl>
      <w:tblPr>
        <w:tblStyle w:val="6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序号</w:t>
            </w:r>
            <w:r/>
          </w:p>
        </w:tc>
        <w:tc>
          <w:tcPr>
            <w:tcW w:w="2638"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服务内容</w:t>
            </w:r>
            <w:r/>
          </w:p>
        </w:tc>
        <w:tc>
          <w:tcPr>
            <w:tcW w:w="4709" w:type="dxa"/>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服务标准</w:t>
            </w:r>
            <w:r/>
          </w:p>
        </w:tc>
      </w:tr>
      <w:tr>
        <w:trPr/>
        <w:tc>
          <w:tcPr>
            <w:tcW w:w="1175"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lang w:eastAsia="en-US"/>
              </w:rPr>
            </w:pPr>
            <w:r>
              <w:rPr>
                <w:rFonts w:hint="eastAsia" w:asciiTheme="minorEastAsia" w:hAnsiTheme="minorEastAsia" w:eastAsiaTheme="minorEastAsia" w:cstheme="minorEastAsia"/>
                <w:color w:val="000000"/>
                <w:spacing w:val="-1"/>
                <w:sz w:val="24"/>
                <w:szCs w:val="24"/>
                <w:lang w:eastAsia="en-US"/>
              </w:rPr>
              <w:t xml:space="preserve">1</w:t>
            </w:r>
            <w:r/>
          </w:p>
        </w:tc>
        <w:tc>
          <w:tcPr>
            <w:tcW w:w="2638" w:type="dxa"/>
            <w:vAlign w:val="center"/>
            <w:textDirection w:val="lrTb"/>
            <w:noWrap w:val="false"/>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z w:val="24"/>
                <w:szCs w:val="24"/>
              </w:rPr>
              <w:t xml:space="preserve">学校消控室值班服务</w:t>
            </w:r>
            <w:r/>
          </w:p>
        </w:tc>
        <w:tc>
          <w:tcPr>
            <w:tcW w:w="4709" w:type="dxa"/>
            <w:vAlign w:val="center"/>
            <w:textDirection w:val="lrTb"/>
            <w:noWrap w:val="false"/>
          </w:tcPr>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1.学校消防控制室值班服务</w:t>
            </w:r>
            <w:r/>
          </w:p>
          <w:p>
            <w:pP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2.必须有二名持有消控设施操作员证，其中必须有一名具有中级及以上消控设施操作员证。   </w:t>
            </w:r>
            <w:r/>
          </w:p>
          <w:p>
            <w:pPr>
              <w:spacing w:line="360" w:lineRule="exact"/>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sz w:val="24"/>
                <w:szCs w:val="24"/>
              </w:rPr>
              <w:t xml:space="preserve">3.消控室要做到24小时不断人。</w:t>
            </w:r>
            <w:r/>
          </w:p>
        </w:tc>
      </w:tr>
    </w:tbl>
    <w:p>
      <w:pPr>
        <w:spacing w:line="360" w:lineRule="auto"/>
        <w:rPr>
          <w:rFonts w:hint="eastAsia" w:ascii="宋体" w:hAnsi="宋体"/>
          <w:b/>
          <w:sz w:val="24"/>
        </w:rPr>
      </w:pPr>
      <w:r>
        <w:rPr>
          <w:rFonts w:hint="eastAsia" w:ascii="宋体" w:hAnsi="宋体"/>
          <w:b/>
          <w:sz w:val="24"/>
        </w:rPr>
        <w:t xml:space="preserve">4.供应商履行合同所需的设备</w:t>
      </w:r>
      <w:r/>
    </w:p>
    <w:p>
      <w:pPr>
        <w:ind w:firstLine="480"/>
        <w:spacing w:line="360" w:lineRule="auto"/>
        <w:rPr>
          <w:rFonts w:hint="eastAsia" w:ascii="宋体" w:hAnsi="宋体"/>
          <w:sz w:val="24"/>
        </w:rPr>
      </w:pPr>
      <w:r>
        <w:rPr>
          <w:rFonts w:hint="eastAsia" w:ascii="宋体" w:hAnsi="宋体"/>
          <w:sz w:val="24"/>
        </w:rPr>
        <w:t xml:space="preserve">根据项目实际需求，需要供应商提供作业设备（自有或租赁）用于物业管理服务的，可在下表中列出，举例如下：</w:t>
      </w:r>
      <w:r/>
    </w:p>
    <w:tbl>
      <w:tblPr>
        <w:tblStyle w:val="687"/>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序号</w:t>
            </w:r>
            <w:r/>
          </w:p>
        </w:tc>
        <w:tc>
          <w:tcPr>
            <w:tcW w:w="255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用途</w:t>
            </w:r>
            <w:r/>
          </w:p>
        </w:tc>
        <w:tc>
          <w:tcPr>
            <w:tcW w:w="3848" w:type="dxa"/>
            <w:textDirection w:val="lrTb"/>
            <w:noWrap w:val="false"/>
          </w:tcPr>
          <w:p>
            <w:pP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作业设备名称</w:t>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z w:val="24"/>
                <w:szCs w:val="24"/>
                <w:lang w:eastAsia="en-US"/>
              </w:rPr>
              <w:t xml:space="preserve">数量</w:t>
            </w:r>
            <w:r/>
          </w:p>
        </w:tc>
        <w:tc>
          <w:tcPr>
            <w:tcW w:w="993"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b/>
                <w:bCs/>
                <w:color w:val="000000"/>
                <w:spacing w:val="-1"/>
                <w:sz w:val="24"/>
                <w:szCs w:val="24"/>
                <w:lang w:eastAsia="en-US"/>
              </w:rPr>
              <w:t xml:space="preserve">单位</w:t>
            </w:r>
            <w:r/>
          </w:p>
        </w:tc>
      </w:tr>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1</w:t>
            </w:r>
            <w:r/>
          </w:p>
        </w:tc>
        <w:tc>
          <w:tcPr>
            <w:tcW w:w="2552"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基本服务</w:t>
            </w:r>
            <w:r/>
          </w:p>
        </w:tc>
        <w:tc>
          <w:tcPr>
            <w:tcW w:w="3848" w:type="dxa"/>
            <w:textDirection w:val="lrTb"/>
            <w:noWrap w:val="false"/>
          </w:tcPr>
          <w:p>
            <w:pPr>
              <w:pStyle w:val="7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如：AED</w:t>
            </w:r>
            <w:r>
              <w:rPr>
                <w:rFonts w:hint="eastAsia" w:asciiTheme="minorEastAsia" w:hAnsiTheme="minorEastAsia" w:eastAsiaTheme="minorEastAsia" w:cstheme="minorEastAsia"/>
                <w:spacing w:val="-32"/>
                <w:sz w:val="24"/>
                <w:szCs w:val="24"/>
              </w:rPr>
              <w:t xml:space="preserve"> </w:t>
            </w:r>
            <w:r>
              <w:rPr>
                <w:rFonts w:hint="eastAsia" w:asciiTheme="minorEastAsia" w:hAnsiTheme="minorEastAsia" w:eastAsiaTheme="minorEastAsia" w:cstheme="minorEastAsia"/>
                <w:sz w:val="24"/>
                <w:szCs w:val="24"/>
                <w:u w:val="single"/>
              </w:rPr>
              <w:t xml:space="preserve">       </w:t>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1</w:t>
            </w:r>
            <w:r/>
          </w:p>
        </w:tc>
        <w:tc>
          <w:tcPr>
            <w:tcW w:w="993"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个</w:t>
            </w:r>
            <w:r/>
          </w:p>
        </w:tc>
      </w:tr>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2</w:t>
            </w:r>
            <w:r/>
          </w:p>
        </w:tc>
        <w:tc>
          <w:tcPr>
            <w:tcW w:w="2552"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房屋维修服务</w:t>
            </w:r>
            <w:r/>
          </w:p>
        </w:tc>
        <w:tc>
          <w:tcPr>
            <w:tcW w:w="3848" w:type="dxa"/>
            <w:textDirection w:val="lrTb"/>
            <w:noWrap w:val="false"/>
          </w:tcPr>
          <w:p>
            <w:pPr>
              <w:pStyle w:val="7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如：移动登高车</w:t>
            </w:r>
            <w:r>
              <w:rPr>
                <w:rFonts w:hint="eastAsia" w:asciiTheme="minorEastAsia" w:hAnsiTheme="minorEastAsia" w:eastAsiaTheme="minorEastAsia" w:cstheme="minorEastAsia"/>
                <w:spacing w:val="-84"/>
                <w:sz w:val="24"/>
                <w:szCs w:val="24"/>
              </w:rPr>
              <w:t xml:space="preserve"> </w:t>
            </w:r>
            <w:r>
              <w:rPr>
                <w:rFonts w:hint="eastAsia" w:asciiTheme="minorEastAsia" w:hAnsiTheme="minorEastAsia" w:eastAsiaTheme="minorEastAsia" w:cstheme="minorEastAsia"/>
                <w:sz w:val="24"/>
                <w:szCs w:val="24"/>
                <w:u w:val="single"/>
              </w:rPr>
              <w:t xml:space="preserve">   </w:t>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1</w:t>
            </w:r>
            <w:r/>
          </w:p>
        </w:tc>
        <w:tc>
          <w:tcPr>
            <w:tcW w:w="993"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r>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3</w:t>
            </w:r>
            <w:r/>
          </w:p>
        </w:tc>
        <w:tc>
          <w:tcPr>
            <w:tcW w:w="2552" w:type="dxa"/>
            <w:textDirection w:val="lrTb"/>
            <w:noWrap w:val="false"/>
          </w:tcPr>
          <w:p>
            <w:pPr>
              <w:pStyle w:val="79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eastAsia="zh-CN"/>
              </w:rPr>
              <w:t xml:space="preserve">公用设施设备维护服务</w:t>
            </w:r>
            <w:r/>
          </w:p>
        </w:tc>
        <w:tc>
          <w:tcPr>
            <w:tcW w:w="3848" w:type="dxa"/>
            <w:textDirection w:val="lrTb"/>
            <w:noWrap w:val="false"/>
          </w:tcPr>
          <w:p>
            <w:pPr>
              <w:pStyle w:val="7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如：管道探测仪</w:t>
            </w:r>
            <w:r>
              <w:rPr>
                <w:rFonts w:hint="eastAsia" w:asciiTheme="minorEastAsia" w:hAnsiTheme="minorEastAsia" w:eastAsiaTheme="minorEastAsia" w:cstheme="minorEastAsia"/>
                <w:spacing w:val="-84"/>
                <w:sz w:val="24"/>
                <w:szCs w:val="24"/>
              </w:rPr>
              <w:t xml:space="preserve"> </w:t>
            </w:r>
            <w:r>
              <w:rPr>
                <w:rFonts w:hint="eastAsia" w:asciiTheme="minorEastAsia" w:hAnsiTheme="minorEastAsia" w:eastAsiaTheme="minorEastAsia" w:cstheme="minorEastAsia"/>
                <w:sz w:val="24"/>
                <w:szCs w:val="24"/>
                <w:u w:val="single"/>
              </w:rPr>
              <w:t xml:space="preserve">   </w:t>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1</w:t>
            </w:r>
            <w:r/>
          </w:p>
        </w:tc>
        <w:tc>
          <w:tcPr>
            <w:tcW w:w="993"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r>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4</w:t>
            </w:r>
            <w:r/>
          </w:p>
        </w:tc>
        <w:tc>
          <w:tcPr>
            <w:tcW w:w="2552"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保洁服务</w:t>
            </w:r>
            <w:r/>
          </w:p>
        </w:tc>
        <w:tc>
          <w:tcPr>
            <w:tcW w:w="3848" w:type="dxa"/>
            <w:textDirection w:val="lrTb"/>
            <w:noWrap w:val="false"/>
          </w:tcPr>
          <w:p>
            <w:pPr>
              <w:pStyle w:val="7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如：地毯清洗机</w:t>
            </w:r>
            <w:r>
              <w:rPr>
                <w:rFonts w:hint="eastAsia" w:asciiTheme="minorEastAsia" w:hAnsiTheme="minorEastAsia" w:eastAsiaTheme="minorEastAsia" w:cstheme="minorEastAsia"/>
                <w:spacing w:val="-84"/>
                <w:sz w:val="24"/>
                <w:szCs w:val="24"/>
              </w:rPr>
              <w:t xml:space="preserve"> </w:t>
            </w:r>
            <w:r>
              <w:rPr>
                <w:rFonts w:hint="eastAsia" w:asciiTheme="minorEastAsia" w:hAnsiTheme="minorEastAsia" w:eastAsiaTheme="minorEastAsia" w:cstheme="minorEastAsia"/>
                <w:sz w:val="24"/>
                <w:szCs w:val="24"/>
                <w:u w:val="single"/>
              </w:rPr>
              <w:t xml:space="preserve">   </w:t>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1</w:t>
            </w:r>
            <w:r/>
          </w:p>
        </w:tc>
        <w:tc>
          <w:tcPr>
            <w:tcW w:w="993"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r>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5</w:t>
            </w:r>
            <w:r/>
          </w:p>
        </w:tc>
        <w:tc>
          <w:tcPr>
            <w:tcW w:w="2552"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绿化服务</w:t>
            </w:r>
            <w:r/>
          </w:p>
        </w:tc>
        <w:tc>
          <w:tcPr>
            <w:tcW w:w="3848" w:type="dxa"/>
            <w:textDirection w:val="lrTb"/>
            <w:noWrap w:val="false"/>
          </w:tcPr>
          <w:p>
            <w:pPr>
              <w:pStyle w:val="7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如：绿篱机</w:t>
            </w:r>
            <w:r>
              <w:rPr>
                <w:rFonts w:hint="eastAsia" w:asciiTheme="minorEastAsia" w:hAnsiTheme="minorEastAsia" w:eastAsiaTheme="minorEastAsia" w:cstheme="minorEastAsia"/>
                <w:spacing w:val="-88"/>
                <w:sz w:val="24"/>
                <w:szCs w:val="24"/>
              </w:rPr>
              <w:t xml:space="preserve"> </w:t>
            </w:r>
            <w:r>
              <w:rPr>
                <w:rFonts w:hint="eastAsia" w:asciiTheme="minorEastAsia" w:hAnsiTheme="minorEastAsia" w:eastAsiaTheme="minorEastAsia" w:cstheme="minorEastAsia"/>
                <w:sz w:val="24"/>
                <w:szCs w:val="24"/>
                <w:u w:val="single"/>
              </w:rPr>
              <w:t xml:space="preserve">   </w:t>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1</w:t>
            </w:r>
            <w:r/>
          </w:p>
        </w:tc>
        <w:tc>
          <w:tcPr>
            <w:tcW w:w="993"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r>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6</w:t>
            </w:r>
            <w:r/>
          </w:p>
        </w:tc>
        <w:tc>
          <w:tcPr>
            <w:tcW w:w="2552"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保安服务</w:t>
            </w:r>
            <w:r/>
          </w:p>
        </w:tc>
        <w:tc>
          <w:tcPr>
            <w:tcW w:w="3848" w:type="dxa"/>
            <w:textDirection w:val="lrTb"/>
            <w:noWrap w:val="false"/>
          </w:tcPr>
          <w:p>
            <w:pPr>
              <w:pStyle w:val="7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如：对讲机</w:t>
            </w:r>
            <w:r>
              <w:rPr>
                <w:rFonts w:hint="eastAsia" w:asciiTheme="minorEastAsia" w:hAnsiTheme="minorEastAsia" w:eastAsiaTheme="minorEastAsia" w:cstheme="minorEastAsia"/>
                <w:spacing w:val="-95"/>
                <w:sz w:val="24"/>
                <w:szCs w:val="24"/>
              </w:rPr>
              <w:t xml:space="preserve"> </w:t>
            </w:r>
            <w:r>
              <w:rPr>
                <w:rFonts w:hint="eastAsia" w:asciiTheme="minorEastAsia" w:hAnsiTheme="minorEastAsia" w:eastAsiaTheme="minorEastAsia" w:cstheme="minorEastAsia"/>
                <w:sz w:val="24"/>
                <w:szCs w:val="24"/>
                <w:u w:val="single"/>
              </w:rPr>
              <w:t xml:space="preserve">   </w:t>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pacing w:val="-4"/>
                <w:sz w:val="24"/>
                <w:szCs w:val="24"/>
                <w:lang w:eastAsia="en-US"/>
              </w:rPr>
              <w:t xml:space="preserve">10</w:t>
            </w:r>
            <w:r/>
          </w:p>
        </w:tc>
        <w:tc>
          <w:tcPr>
            <w:tcW w:w="993"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套</w:t>
            </w:r>
            <w:r/>
          </w:p>
        </w:tc>
      </w:tr>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7</w:t>
            </w:r>
            <w:r/>
          </w:p>
        </w:tc>
        <w:tc>
          <w:tcPr>
            <w:tcW w:w="2552"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 xml:space="preserve">会议服务</w:t>
            </w:r>
            <w:r/>
          </w:p>
        </w:tc>
        <w:tc>
          <w:tcPr>
            <w:tcW w:w="3848" w:type="dxa"/>
            <w:textDirection w:val="lrTb"/>
            <w:noWrap w:val="false"/>
          </w:tcPr>
          <w:p>
            <w:pPr>
              <w:pStyle w:val="79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 xml:space="preserve">如：签到机</w:t>
            </w:r>
            <w:r>
              <w:rPr>
                <w:rFonts w:hint="eastAsia" w:asciiTheme="minorEastAsia" w:hAnsiTheme="minorEastAsia" w:eastAsiaTheme="minorEastAsia" w:cstheme="minorEastAsia"/>
                <w:spacing w:val="-88"/>
                <w:sz w:val="24"/>
                <w:szCs w:val="24"/>
              </w:rPr>
              <w:t xml:space="preserve"> </w:t>
            </w:r>
            <w:r>
              <w:rPr>
                <w:rFonts w:hint="eastAsia" w:asciiTheme="minorEastAsia" w:hAnsiTheme="minorEastAsia" w:eastAsiaTheme="minorEastAsia" w:cstheme="minorEastAsia"/>
                <w:sz w:val="24"/>
                <w:szCs w:val="24"/>
                <w:u w:val="single"/>
              </w:rPr>
              <w:t xml:space="preserve">   </w:t>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t xml:space="preserve">1</w:t>
            </w:r>
            <w:r/>
          </w:p>
        </w:tc>
        <w:tc>
          <w:tcPr>
            <w:tcW w:w="993"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台</w:t>
            </w:r>
            <w:r/>
          </w:p>
        </w:tc>
      </w:tr>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r>
            <w:r/>
          </w:p>
        </w:tc>
        <w:tc>
          <w:tcPr>
            <w:tcW w:w="2552" w:type="dxa"/>
            <w:textDirection w:val="lrTb"/>
            <w:noWrap w:val="false"/>
          </w:tcPr>
          <w:p>
            <w:pPr>
              <w:pStyle w:val="793"/>
              <w:jc w:val="center"/>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t xml:space="preserve">……</w:t>
            </w:r>
            <w:r/>
          </w:p>
        </w:tc>
        <w:tc>
          <w:tcPr>
            <w:tcW w:w="3848" w:type="dxa"/>
            <w:textDirection w:val="lrTb"/>
            <w:noWrap w:val="false"/>
          </w:tcPr>
          <w:p>
            <w:pPr>
              <w:pStyle w:val="793"/>
              <w:rPr>
                <w:rFonts w:hint="eastAsia" w:asciiTheme="minorEastAsia" w:hAnsiTheme="minorEastAsia" w:eastAsiaTheme="minorEastAsia" w:cstheme="minorEastAsia"/>
                <w:spacing w:val="-2"/>
                <w:sz w:val="24"/>
                <w:szCs w:val="24"/>
                <w:lang w:eastAsia="zh-CN"/>
              </w:rPr>
            </w:pPr>
            <w:r>
              <w:rPr>
                <w:rFonts w:hint="eastAsia" w:asciiTheme="minorEastAsia" w:hAnsiTheme="minorEastAsia" w:eastAsiaTheme="minorEastAsia" w:cstheme="minorEastAsia"/>
                <w:spacing w:val="-2"/>
                <w:sz w:val="24"/>
                <w:szCs w:val="24"/>
                <w:lang w:eastAsia="zh-CN"/>
              </w:rPr>
              <w:t xml:space="preserve">……</w:t>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r>
            <w:r/>
          </w:p>
        </w:tc>
        <w:tc>
          <w:tcPr>
            <w:tcW w:w="993"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Pr>
        <w:tc>
          <w:tcPr>
            <w:tcW w:w="851"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r>
            <w:r/>
          </w:p>
        </w:tc>
        <w:tc>
          <w:tcPr>
            <w:tcW w:w="2552" w:type="dxa"/>
            <w:textDirection w:val="lrTb"/>
            <w:noWrap w:val="false"/>
          </w:tcPr>
          <w:p>
            <w:pPr>
              <w:pStyle w:val="793"/>
              <w:jc w:val="center"/>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r>
            <w:r/>
          </w:p>
        </w:tc>
        <w:tc>
          <w:tcPr>
            <w:tcW w:w="3848" w:type="dxa"/>
            <w:textDirection w:val="lrTb"/>
            <w:noWrap w:val="false"/>
          </w:tcPr>
          <w:p>
            <w:pPr>
              <w:pStyle w:val="793"/>
              <w:rPr>
                <w:rFonts w:hint="eastAsia" w:asciiTheme="minorEastAsia" w:hAnsiTheme="minorEastAsia" w:eastAsiaTheme="minorEastAsia" w:cstheme="minorEastAsia"/>
                <w:spacing w:val="-2"/>
                <w:sz w:val="24"/>
                <w:szCs w:val="24"/>
                <w:lang w:eastAsia="zh-CN"/>
              </w:rPr>
            </w:pPr>
            <w:r>
              <w:rPr>
                <w:rFonts w:hint="eastAsia" w:asciiTheme="minorEastAsia" w:hAnsiTheme="minorEastAsia" w:eastAsiaTheme="minorEastAsia" w:cstheme="minorEastAsia"/>
                <w:spacing w:val="-2"/>
                <w:sz w:val="24"/>
                <w:szCs w:val="24"/>
                <w:lang w:eastAsia="zh-CN"/>
              </w:rPr>
            </w:r>
            <w:r/>
          </w:p>
        </w:tc>
        <w:tc>
          <w:tcPr>
            <w:tcW w:w="992" w:type="dxa"/>
            <w:textDirection w:val="lrTb"/>
            <w:noWrap w:val="false"/>
          </w:tcPr>
          <w:p>
            <w:pPr>
              <w:jc w:val="center"/>
              <w:rPr>
                <w:rFonts w:hint="eastAsia" w:asciiTheme="minorEastAsia" w:hAnsiTheme="minorEastAsia" w:eastAsiaTheme="minorEastAsia" w:cstheme="minorEastAsia"/>
                <w:color w:val="000000"/>
                <w:sz w:val="24"/>
                <w:szCs w:val="24"/>
                <w:lang w:eastAsia="en-US"/>
              </w:rPr>
            </w:pPr>
            <w:r>
              <w:rPr>
                <w:rFonts w:hint="eastAsia" w:asciiTheme="minorEastAsia" w:hAnsiTheme="minorEastAsia" w:eastAsiaTheme="minorEastAsia" w:cstheme="minorEastAsia"/>
                <w:color w:val="000000"/>
                <w:sz w:val="24"/>
                <w:szCs w:val="24"/>
                <w:lang w:eastAsia="en-US"/>
              </w:rPr>
            </w:r>
            <w:r/>
          </w:p>
        </w:tc>
        <w:tc>
          <w:tcPr>
            <w:tcW w:w="993"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宋体" w:hAnsi="宋体"/>
          <w:sz w:val="24"/>
        </w:rPr>
      </w:pPr>
      <w:r>
        <w:rPr>
          <w:rFonts w:hint="eastAsia" w:ascii="宋体" w:hAnsi="宋体"/>
          <w:sz w:val="24"/>
        </w:rPr>
        <w:t xml:space="preserve">注：采购人已无偿提供的作业设备，或准备放置评分项中作考察的，不在此重复要求。</w:t>
      </w:r>
      <w:r/>
    </w:p>
    <w:p>
      <w:pPr>
        <w:numPr>
          <w:ilvl w:val="0"/>
          <w:numId w:val="8"/>
        </w:numPr>
        <w:ind w:firstLine="482"/>
        <w:spacing w:line="360" w:lineRule="auto"/>
        <w:rPr>
          <w:rFonts w:hint="eastAsia" w:ascii="宋体" w:hAnsi="宋体"/>
          <w:b/>
          <w:sz w:val="24"/>
        </w:rPr>
      </w:pPr>
      <w:r>
        <w:rPr>
          <w:rFonts w:hint="eastAsia" w:ascii="宋体" w:hAnsi="宋体"/>
          <w:b/>
          <w:sz w:val="24"/>
        </w:rPr>
        <w:t xml:space="preserve">物业管理服务人员需求</w:t>
      </w:r>
      <w:r/>
    </w:p>
    <w:p>
      <w:pPr>
        <w:ind w:firstLine="480"/>
        <w:spacing w:line="360" w:lineRule="auto"/>
        <w:rPr>
          <w:rFonts w:hint="eastAsia" w:ascii="宋体" w:hAnsi="宋体"/>
          <w:color w:val="000000"/>
          <w:sz w:val="24"/>
          <w:u w:val="single"/>
        </w:rPr>
      </w:pPr>
      <w:r>
        <w:rPr>
          <w:rFonts w:hint="eastAsia" w:ascii="宋体" w:hAnsi="宋体"/>
          <w:color w:val="000000"/>
          <w:sz w:val="24"/>
        </w:rPr>
        <w:t xml:space="preserve">本项目是否允许配置按国家规定可不缴纳社保的人员（是/否）：</w:t>
      </w:r>
      <w:r>
        <w:rPr>
          <w:rFonts w:hint="eastAsia" w:ascii="宋体" w:hAnsi="宋体"/>
          <w:color w:val="000000"/>
          <w:sz w:val="24"/>
          <w:u w:val="single"/>
        </w:rPr>
        <w:t xml:space="preserve">   是   </w:t>
      </w:r>
      <w:r/>
    </w:p>
    <w:p>
      <w:pPr>
        <w:numPr>
          <w:ilvl w:val="0"/>
          <w:numId w:val="0"/>
        </w:numPr>
        <w:ind w:firstLine="480"/>
        <w:spacing w:line="360" w:lineRule="auto"/>
        <w:rPr>
          <w:rFonts w:hint="eastAsia" w:ascii="宋体" w:hAnsi="宋体"/>
          <w:color w:val="000000"/>
          <w:sz w:val="24"/>
          <w:highlight w:val="cyan"/>
          <w:u w:val="single"/>
        </w:rPr>
      </w:pPr>
      <w:r>
        <w:rPr>
          <w:rFonts w:hint="eastAsia" w:ascii="宋体" w:hAnsi="宋体"/>
          <w:color w:val="000000"/>
          <w:sz w:val="24"/>
        </w:rPr>
        <w:t xml:space="preserve">如允许配置，则该类人员最多不超过</w:t>
      </w:r>
      <w:r>
        <w:rPr>
          <w:rFonts w:hint="eastAsia" w:ascii="宋体" w:hAnsi="宋体"/>
          <w:color w:val="000000"/>
          <w:sz w:val="24"/>
          <w:u w:val="single"/>
        </w:rPr>
        <w:t xml:space="preserve">  10</w:t>
      </w:r>
      <w:r>
        <w:rPr>
          <w:rFonts w:hint="eastAsia" w:ascii="宋体" w:hAnsi="宋体"/>
          <w:color w:val="000000"/>
          <w:sz w:val="24"/>
        </w:rPr>
        <w:t xml:space="preserve">人。</w:t>
      </w:r>
      <w:r>
        <w:rPr>
          <w:rFonts w:hint="eastAsia" w:ascii="宋体" w:hAnsi="宋体" w:cs="宋体"/>
          <w:b/>
          <w:bCs/>
          <w:color w:val="ff0000"/>
          <w:sz w:val="24"/>
          <w:highlight w:val="none"/>
        </w:rPr>
        <w:t xml:space="preserve">若所填报人员有属于“按国家规定可不缴纳社保的人员”的，则该类人员须提供相关证明材料（如退休证明、符合国家政策的补贴证明等）扫描件，否则作无效投标处理。</w:t>
      </w:r>
      <w:r/>
    </w:p>
    <w:tbl>
      <w:tblPr>
        <w:tblStyle w:val="687"/>
        <w:tblW w:w="83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710"/>
        <w:gridCol w:w="990"/>
        <w:gridCol w:w="4220"/>
      </w:tblGrid>
      <w:tr>
        <w:trPr>
          <w:jc w:val="center"/>
          <w:trHeight w:val="889"/>
        </w:trPr>
        <w:tc>
          <w:tcPr>
            <w:tcW w:w="1465"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pacing w:val="-1"/>
                <w:sz w:val="24"/>
                <w:szCs w:val="24"/>
              </w:rPr>
              <w:t xml:space="preserve">类别</w:t>
            </w:r>
            <w:r/>
          </w:p>
        </w:tc>
        <w:tc>
          <w:tcPr>
            <w:tcW w:w="1710"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pacing w:val="-1"/>
                <w:sz w:val="24"/>
                <w:szCs w:val="24"/>
              </w:rPr>
              <w:t xml:space="preserve">岗位</w:t>
            </w:r>
            <w:r/>
          </w:p>
        </w:tc>
        <w:tc>
          <w:tcPr>
            <w:tcW w:w="990"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z w:val="24"/>
                <w:szCs w:val="24"/>
              </w:rPr>
              <w:t xml:space="preserve">人数</w:t>
            </w:r>
            <w:r/>
          </w:p>
        </w:tc>
        <w:tc>
          <w:tcPr>
            <w:tcW w:w="4220"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bCs/>
                <w:color w:val="000000"/>
                <w:spacing w:val="-1"/>
                <w:sz w:val="24"/>
                <w:szCs w:val="24"/>
              </w:rPr>
              <w:t xml:space="preserve">备注</w:t>
            </w:r>
            <w:r/>
          </w:p>
        </w:tc>
      </w:tr>
      <w:tr>
        <w:trPr>
          <w:jc w:val="center"/>
        </w:trPr>
        <w:tc>
          <w:tcPr>
            <w:tcW w:w="1465" w:type="dxa"/>
            <w:vAlign w:val="center"/>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管理</w:t>
            </w:r>
            <w:r/>
          </w:p>
        </w:tc>
        <w:tc>
          <w:tcPr>
            <w:tcW w:w="1710" w:type="dxa"/>
            <w:vAlign w:val="center"/>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项目经理</w:t>
            </w:r>
            <w:r/>
          </w:p>
        </w:tc>
        <w:tc>
          <w:tcPr>
            <w:tcW w:w="990"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4220" w:type="dxa"/>
            <w:textDirection w:val="lrTb"/>
            <w:noWrap w:val="false"/>
          </w:tcPr>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eastAsia="zh-CN"/>
              </w:rPr>
              <w:t xml:space="preserve">1、基本要求：男女不限，50周岁（含）以下。</w:t>
            </w:r>
            <w:r/>
          </w:p>
          <w:p>
            <w:pPr>
              <w:pStyle w:val="793"/>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2、其他要求：</w:t>
            </w:r>
            <w:r/>
          </w:p>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（1）每周不定时到现场（包含晚班时）对各岗位工作情况进行抽查，覆盖率须达到90%，确保物业服务质量。</w:t>
            </w:r>
            <w:r/>
          </w:p>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（2）所配备的人员素质好，责任心强，工作认真负责并定期接受培训，无违法犯罪记录，身体健康。</w:t>
            </w:r>
            <w:r/>
          </w:p>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（3）能够胜任本职工作，对不能胜任的服务人员，校方有权要求更换。</w:t>
            </w:r>
            <w:r/>
          </w:p>
          <w:p>
            <w:pPr>
              <w:pStyle w:val="793"/>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（4）本项目的物业负责人不能任意更换，如确需更换，应取得甲方书面认可，并且更换的新的物业经理的要求不低于原负责人。</w:t>
            </w:r>
            <w:r/>
          </w:p>
        </w:tc>
      </w:tr>
      <w:tr>
        <w:trPr>
          <w:jc w:val="center"/>
        </w:trPr>
        <w:tc>
          <w:tcPr>
            <w:tcW w:w="1465" w:type="dxa"/>
            <w:vAlign w:val="center"/>
            <w:vMerge w:val="restart"/>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保洁服务</w:t>
            </w:r>
            <w:r/>
          </w:p>
        </w:tc>
        <w:tc>
          <w:tcPr>
            <w:tcW w:w="1710" w:type="dxa"/>
            <w:vAlign w:val="center"/>
            <w:textDirection w:val="lrTb"/>
            <w:noWrap w:val="false"/>
          </w:tcPr>
          <w:p>
            <w:pPr>
              <w:pStyle w:val="793"/>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保洁主管</w:t>
            </w:r>
            <w:r/>
          </w:p>
        </w:tc>
        <w:tc>
          <w:tcPr>
            <w:tcW w:w="990" w:type="dxa"/>
            <w:vAlign w:val="center"/>
            <w:textDirection w:val="lrTb"/>
            <w:noWrap w:val="false"/>
          </w:tcPr>
          <w:p>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w:t>
            </w:r>
            <w:r/>
          </w:p>
        </w:tc>
        <w:tc>
          <w:tcPr>
            <w:tcW w:w="4220" w:type="dxa"/>
            <w:textDirection w:val="lrTb"/>
            <w:noWrap w:val="false"/>
          </w:tcPr>
          <w:p>
            <w:pPr>
              <w:pStyle w:val="793"/>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65周岁以下，能够胜任保洁管理工作，协调能力、责任心强。</w:t>
            </w:r>
            <w:r/>
          </w:p>
        </w:tc>
      </w:tr>
      <w:tr>
        <w:trPr>
          <w:jc w:val="center"/>
        </w:trPr>
        <w:tc>
          <w:tcPr>
            <w:tcW w:w="1465" w:type="dxa"/>
            <w:vAlign w:val="center"/>
            <w:vMerge w:val="continue"/>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10" w:type="dxa"/>
            <w:textDirection w:val="lrTb"/>
            <w:noWrap w:val="false"/>
          </w:tcPr>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pStyle w:val="793"/>
              <w:ind w:firstLine="4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保洁人员</w:t>
            </w:r>
            <w:r/>
          </w:p>
        </w:tc>
        <w:tc>
          <w:tcPr>
            <w:tcW w:w="990" w:type="dxa"/>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9</w:t>
            </w:r>
            <w:r/>
          </w:p>
        </w:tc>
        <w:tc>
          <w:tcPr>
            <w:tcW w:w="4220" w:type="dxa"/>
            <w:textDirection w:val="lrTb"/>
            <w:noWrap w:val="false"/>
          </w:tcPr>
          <w:p>
            <w:pPr>
              <w:pStyle w:val="793"/>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1、基本要求：男女不限，65周岁（含）以下。</w:t>
            </w:r>
            <w:r/>
          </w:p>
          <w:p>
            <w:pPr>
              <w:pStyle w:val="793"/>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2、其他要求：</w:t>
            </w:r>
            <w:r/>
          </w:p>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（1）以学校安排的具体工作时间为准。</w:t>
            </w:r>
            <w:r/>
          </w:p>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（2）所配备的人员素质好，责任心强，工作认真负责并定期接受培训，无违法犯罪记录，身体健康。</w:t>
            </w:r>
            <w:r/>
          </w:p>
          <w:p>
            <w:pPr>
              <w:pStyle w:val="793"/>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（3）能够胜任本职工作，对不能胜任的服务人员，校方有权要求更换。</w:t>
            </w:r>
            <w:r/>
          </w:p>
        </w:tc>
      </w:tr>
      <w:tr>
        <w:trPr>
          <w:jc w:val="center"/>
        </w:trPr>
        <w:tc>
          <w:tcPr>
            <w:tcW w:w="1465" w:type="dxa"/>
            <w:vAlign w:val="center"/>
            <w:vMerge w:val="restart"/>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秩序维护服务</w:t>
            </w:r>
            <w:r/>
          </w:p>
        </w:tc>
        <w:tc>
          <w:tcPr>
            <w:tcW w:w="1710" w:type="dxa"/>
            <w:vAlign w:val="center"/>
            <w:textDirection w:val="lrTb"/>
            <w:noWrap w:val="false"/>
          </w:tcPr>
          <w:p>
            <w:pPr>
              <w:pStyle w:val="793"/>
              <w:ind w:firstLine="42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保安队长</w:t>
            </w:r>
            <w:r/>
          </w:p>
        </w:tc>
        <w:tc>
          <w:tcPr>
            <w:tcW w:w="990" w:type="dxa"/>
            <w:vAlign w:val="center"/>
            <w:textDirection w:val="lrTb"/>
            <w:noWrap w:val="false"/>
          </w:tcPr>
          <w:p>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1</w:t>
            </w:r>
            <w:r/>
          </w:p>
        </w:tc>
        <w:tc>
          <w:tcPr>
            <w:tcW w:w="4220" w:type="dxa"/>
            <w:textDirection w:val="lrTb"/>
            <w:noWrap w:val="false"/>
          </w:tcPr>
          <w:p>
            <w:pPr>
              <w:pStyle w:val="793"/>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50周岁以下，有较强的校园安防意识，会操作相应的安防设施，较强工作能力和协调能力，具有国家认可的保安员证。</w:t>
            </w:r>
            <w:r/>
          </w:p>
        </w:tc>
      </w:tr>
      <w:tr>
        <w:trPr>
          <w:jc w:val="center"/>
        </w:trPr>
        <w:tc>
          <w:tcPr>
            <w:tcW w:w="1465" w:type="dxa"/>
            <w:vAlign w:val="center"/>
            <w:vMerge w:val="continue"/>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10" w:type="dxa"/>
            <w:vAlign w:val="center"/>
            <w:textDirection w:val="lrTb"/>
            <w:noWrap w:val="false"/>
          </w:tcPr>
          <w:p>
            <w:pPr>
              <w:pStyle w:val="793"/>
              <w:ind w:firstLine="48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保安人员</w:t>
            </w:r>
            <w:r/>
          </w:p>
        </w:tc>
        <w:tc>
          <w:tcPr>
            <w:tcW w:w="990" w:type="dxa"/>
            <w:vAlign w:val="center"/>
            <w:textDirection w:val="lrTb"/>
            <w:noWrap w:val="false"/>
          </w:tcPr>
          <w:p>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rPr>
              <w:t xml:space="preserve">至少</w:t>
            </w:r>
            <w:r>
              <w:rPr>
                <w:rFonts w:hint="eastAsia" w:asciiTheme="minorEastAsia" w:hAnsiTheme="minorEastAsia" w:eastAsiaTheme="minorEastAsia" w:cstheme="minorEastAsia"/>
                <w:color w:val="000000"/>
                <w:sz w:val="24"/>
                <w:szCs w:val="24"/>
                <w:lang w:val="en-US" w:eastAsia="zh-CN"/>
              </w:rPr>
              <w:t xml:space="preserve">7</w:t>
            </w:r>
            <w:r/>
          </w:p>
        </w:tc>
        <w:tc>
          <w:tcPr>
            <w:tcW w:w="4220" w:type="dxa"/>
            <w:textDirection w:val="lrTb"/>
            <w:noWrap w:val="false"/>
          </w:tcPr>
          <w:p>
            <w:pPr>
              <w:pStyle w:val="79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男性50周岁以下，着装统一，</w:t>
            </w:r>
            <w:r>
              <w:rPr>
                <w:rFonts w:hint="eastAsia" w:asciiTheme="minorEastAsia" w:hAnsiTheme="minorEastAsia" w:eastAsiaTheme="minorEastAsia" w:cstheme="minorEastAsia"/>
                <w:b/>
                <w:bCs/>
                <w:color w:val="ff0000"/>
                <w:sz w:val="24"/>
                <w:szCs w:val="24"/>
                <w:lang w:eastAsia="zh-CN"/>
              </w:rPr>
              <w:t xml:space="preserve">全部具有国家认可的保安员证（</w:t>
            </w:r>
            <w:r>
              <w:rPr>
                <w:rFonts w:hint="eastAsia" w:asciiTheme="minorEastAsia" w:hAnsiTheme="minorEastAsia" w:eastAsiaTheme="minorEastAsia" w:cstheme="minorEastAsia"/>
                <w:b/>
                <w:bCs/>
                <w:color w:val="ff0000"/>
                <w:sz w:val="24"/>
                <w:szCs w:val="24"/>
                <w:lang w:val="en-US" w:eastAsia="zh-CN"/>
              </w:rPr>
              <w:t xml:space="preserve">需提供证书原件扫描件，否则为无效投标文件。</w:t>
            </w:r>
            <w:r>
              <w:rPr>
                <w:rFonts w:hint="eastAsia" w:asciiTheme="minorEastAsia" w:hAnsiTheme="minorEastAsia" w:eastAsiaTheme="minorEastAsia" w:cstheme="minorEastAsia"/>
                <w:b/>
                <w:bCs/>
                <w:color w:val="ff0000"/>
                <w:sz w:val="24"/>
                <w:szCs w:val="24"/>
                <w:lang w:eastAsia="zh-CN"/>
              </w:rPr>
              <w:t xml:space="preserve">）</w:t>
            </w:r>
            <w:r/>
          </w:p>
        </w:tc>
      </w:tr>
      <w:tr>
        <w:trPr>
          <w:jc w:val="center"/>
        </w:trPr>
        <w:tc>
          <w:tcPr>
            <w:tcW w:w="1465" w:type="dxa"/>
            <w:textDirection w:val="lrTb"/>
            <w:noWrap w:val="false"/>
          </w:tcPr>
          <w:p>
            <w:pPr>
              <w:pStyle w:val="793"/>
              <w:jc w:val="center"/>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eastAsia="zh-CN"/>
              </w:rPr>
            </w:r>
            <w:r/>
          </w:p>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 xml:space="preserve">消防维保</w:t>
            </w:r>
            <w:r/>
          </w:p>
        </w:tc>
        <w:tc>
          <w:tcPr>
            <w:tcW w:w="1710" w:type="dxa"/>
            <w:textDirection w:val="lrTb"/>
            <w:noWrap w:val="false"/>
          </w:tcPr>
          <w:p>
            <w:pPr>
              <w:pStyle w:val="793"/>
              <w:jc w:val="center"/>
              <w:rPr>
                <w:rFonts w:hint="eastAsia" w:asciiTheme="minorEastAsia" w:hAnsiTheme="minorEastAsia" w:eastAsiaTheme="minorEastAsia" w:cstheme="minorEastAsia"/>
                <w:spacing w:val="-2"/>
                <w:sz w:val="24"/>
                <w:szCs w:val="24"/>
                <w:lang w:eastAsia="zh-CN"/>
              </w:rPr>
            </w:pPr>
            <w:r>
              <w:rPr>
                <w:rFonts w:hint="eastAsia" w:asciiTheme="minorEastAsia" w:hAnsiTheme="minorEastAsia" w:eastAsiaTheme="minorEastAsia" w:cstheme="minorEastAsia"/>
                <w:spacing w:val="-2"/>
                <w:sz w:val="24"/>
                <w:szCs w:val="24"/>
                <w:lang w:eastAsia="zh-CN"/>
              </w:rPr>
            </w:r>
            <w:r/>
          </w:p>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 xml:space="preserve">消控室值班人员</w:t>
            </w:r>
            <w:r/>
          </w:p>
        </w:tc>
        <w:tc>
          <w:tcPr>
            <w:tcW w:w="990"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4220" w:type="dxa"/>
            <w:textDirection w:val="lrTb"/>
            <w:noWrap w:val="false"/>
          </w:tcPr>
          <w:p>
            <w:pPr>
              <w:pStyle w:val="79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50周岁以下，其中女性人员最多1名</w:t>
            </w:r>
            <w:r>
              <w:rPr>
                <w:rFonts w:hint="eastAsia" w:asciiTheme="minorEastAsia" w:hAnsiTheme="minorEastAsia" w:eastAsiaTheme="minorEastAsia" w:cstheme="minorEastAsia"/>
                <w:b/>
                <w:bCs/>
                <w:color w:val="ff0000"/>
                <w:sz w:val="24"/>
                <w:szCs w:val="24"/>
                <w:lang w:eastAsia="zh-CN"/>
              </w:rPr>
              <w:t xml:space="preserve">，全部具有国家认可的中级或中级以上的消防设施操作员证书（</w:t>
            </w:r>
            <w:r>
              <w:rPr>
                <w:rFonts w:hint="eastAsia" w:asciiTheme="minorEastAsia" w:hAnsiTheme="minorEastAsia" w:eastAsiaTheme="minorEastAsia" w:cstheme="minorEastAsia"/>
                <w:b/>
                <w:bCs/>
                <w:color w:val="ff0000"/>
                <w:sz w:val="24"/>
                <w:szCs w:val="24"/>
                <w:lang w:val="en-US" w:eastAsia="zh-CN"/>
              </w:rPr>
              <w:t xml:space="preserve">需提供证书原件扫描件，否则为无效投标文件。</w:t>
            </w:r>
            <w:r>
              <w:rPr>
                <w:rFonts w:hint="eastAsia" w:asciiTheme="minorEastAsia" w:hAnsiTheme="minorEastAsia" w:eastAsiaTheme="minorEastAsia" w:cstheme="minorEastAsia"/>
                <w:b/>
                <w:bCs/>
                <w:color w:val="ff0000"/>
                <w:sz w:val="24"/>
                <w:szCs w:val="24"/>
                <w:lang w:eastAsia="zh-CN"/>
              </w:rPr>
              <w:t xml:space="preserve">）</w:t>
            </w:r>
            <w:r/>
          </w:p>
        </w:tc>
      </w:tr>
      <w:tr>
        <w:trPr>
          <w:jc w:val="center"/>
          <w:trHeight w:val="2901"/>
        </w:trPr>
        <w:tc>
          <w:tcPr>
            <w:tcW w:w="1465" w:type="dxa"/>
            <w:vAlign w:val="center"/>
            <w:textDirection w:val="lrTb"/>
            <w:noWrap w:val="false"/>
          </w:tcPr>
          <w:p>
            <w:pPr>
              <w:pStyle w:val="79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强弱电维护</w:t>
            </w:r>
            <w:r/>
          </w:p>
        </w:tc>
        <w:tc>
          <w:tcPr>
            <w:tcW w:w="1710" w:type="dxa"/>
            <w:vAlign w:val="center"/>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水电工</w:t>
            </w:r>
            <w:r/>
          </w:p>
        </w:tc>
        <w:tc>
          <w:tcPr>
            <w:tcW w:w="990" w:type="dxa"/>
            <w:vAlign w:val="center"/>
            <w:textDirection w:val="lrTb"/>
            <w:noWrap w:val="false"/>
          </w:tcPr>
          <w:p>
            <w:pPr>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 xml:space="preserve">1</w:t>
            </w:r>
            <w:r/>
          </w:p>
        </w:tc>
        <w:tc>
          <w:tcPr>
            <w:tcW w:w="4220" w:type="dxa"/>
            <w:textDirection w:val="lrTb"/>
            <w:noWrap w:val="false"/>
          </w:tcPr>
          <w:p>
            <w:pPr>
              <w:pStyle w:val="793"/>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1、基本要求：男，55周岁（含）以下</w:t>
            </w:r>
            <w:r/>
          </w:p>
          <w:p>
            <w:pPr>
              <w:pStyle w:val="793"/>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eastAsia="zh-CN"/>
              </w:rPr>
              <w:t xml:space="preserve">2、其他要求：</w:t>
            </w:r>
            <w:r/>
          </w:p>
          <w:p>
            <w:pPr>
              <w:pStyle w:val="79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（1）所配备的人员素质好，责任心强，工作认真负责并定期接受培训，无违法犯罪记录，身体健康。</w:t>
            </w:r>
            <w:r/>
          </w:p>
          <w:p>
            <w:pPr>
              <w:pStyle w:val="793"/>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（2）能够胜任本职工作，对不能胜任的服务人员，校方有权要求更换。</w:t>
            </w:r>
            <w:r/>
          </w:p>
          <w:p>
            <w:pPr>
              <w:pStyle w:val="79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Pr>
        <w:tc>
          <w:tcPr>
            <w:tcW w:w="1465" w:type="dxa"/>
            <w:vAlign w:val="center"/>
            <w:textDirection w:val="lrTb"/>
            <w:noWrap w:val="false"/>
          </w:tcPr>
          <w:p>
            <w:pPr>
              <w:pStyle w:val="79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1710" w:type="dxa"/>
            <w:vAlign w:val="center"/>
            <w:textDirection w:val="lrTb"/>
            <w:noWrap w:val="false"/>
          </w:tcPr>
          <w:p>
            <w:pPr>
              <w:pStyle w:val="793"/>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c>
          <w:tcPr>
            <w:tcW w:w="990"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4220" w:type="dxa"/>
            <w:textDirection w:val="lrTb"/>
            <w:noWrap w:val="false"/>
          </w:tcPr>
          <w:p>
            <w:pPr>
              <w:pStyle w:val="793"/>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tc>
      </w:tr>
      <w:tr>
        <w:trPr>
          <w:jc w:val="center"/>
        </w:trPr>
        <w:tc>
          <w:tcPr>
            <w:gridSpan w:val="2"/>
            <w:tcW w:w="3175" w:type="dxa"/>
            <w:textDirection w:val="lrTb"/>
            <w:noWrap w:val="false"/>
          </w:tcPr>
          <w:p>
            <w:pPr>
              <w:pStyle w:val="793"/>
              <w:jc w:val="center"/>
              <w:rPr>
                <w:rFonts w:hint="eastAsia" w:asciiTheme="minorEastAsia" w:hAnsiTheme="minorEastAsia" w:eastAsiaTheme="minorEastAsia" w:cstheme="minorEastAsia"/>
                <w:b/>
                <w:spacing w:val="-2"/>
                <w:sz w:val="24"/>
                <w:szCs w:val="24"/>
                <w:lang w:eastAsia="zh-CN"/>
              </w:rPr>
            </w:pPr>
            <w:r>
              <w:rPr>
                <w:rFonts w:hint="eastAsia" w:asciiTheme="minorEastAsia" w:hAnsiTheme="minorEastAsia" w:eastAsiaTheme="minorEastAsia" w:cstheme="minorEastAsia"/>
                <w:b/>
                <w:spacing w:val="-2"/>
                <w:sz w:val="24"/>
                <w:szCs w:val="24"/>
                <w:lang w:eastAsia="zh-CN"/>
              </w:rPr>
              <w:t xml:space="preserve">人员总数</w:t>
            </w:r>
            <w:r/>
          </w:p>
        </w:tc>
        <w:tc>
          <w:tcPr>
            <w:tcW w:w="990" w:type="dxa"/>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000000"/>
                <w:sz w:val="24"/>
                <w:szCs w:val="24"/>
              </w:rPr>
              <w:t xml:space="preserve">不得少于22人</w:t>
            </w:r>
            <w:r/>
          </w:p>
        </w:tc>
        <w:tc>
          <w:tcPr>
            <w:tcW w:w="4220" w:type="dxa"/>
            <w:textDirection w:val="lrTb"/>
            <w:noWrap w:val="false"/>
          </w:tcPr>
          <w:p>
            <w:pPr>
              <w:pStyle w:val="793"/>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ind w:firstLine="482"/>
        <w:spacing w:line="360" w:lineRule="auto"/>
        <w:rPr>
          <w:rFonts w:hint="eastAsia" w:ascii="宋体" w:hAnsi="宋体" w:cs="宋体"/>
          <w:b/>
          <w:bCs/>
          <w:color w:val="ff0000"/>
          <w:sz w:val="24"/>
        </w:rPr>
      </w:pPr>
      <w:r>
        <w:rPr>
          <w:rFonts w:hint="eastAsia" w:ascii="宋体" w:hAnsi="宋体" w:cs="宋体"/>
          <w:b/>
          <w:bCs/>
          <w:color w:val="ff0000"/>
          <w:sz w:val="24"/>
        </w:rPr>
      </w:r>
      <w:r/>
    </w:p>
    <w:p>
      <w:pPr>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备注：</w:t>
      </w:r>
      <w:r/>
    </w:p>
    <w:p>
      <w:pPr>
        <w:ind w:firstLine="482"/>
        <w:spacing w:line="360" w:lineRule="auto"/>
        <w:rPr>
          <w:rFonts w:hint="eastAsia" w:ascii="宋体" w:hAnsi="宋体" w:cs="宋体"/>
          <w:b/>
          <w:bCs/>
          <w:color w:val="ff0000"/>
          <w:sz w:val="24"/>
        </w:rPr>
      </w:pPr>
      <w:r>
        <w:rPr>
          <w:rFonts w:hint="eastAsia" w:ascii="宋体" w:hAnsi="宋体" w:cs="宋体"/>
          <w:b/>
          <w:bCs/>
          <w:color w:val="ff0000"/>
          <w:sz w:val="24"/>
        </w:rPr>
        <w:t xml:space="preserve">1、所配备人员要具备相应工作资质，曾经从事过相关服务工作经历的人员不得低于50%。中标单位应按照相关规定，人员由中标人统一管理，工资及社会保险费及各项福利及津贴等须按国家、省、市的相关规定发放、缴纳，与所有聘用人员依法签订劳动合同或劳务协议。报价方人员在校方服务期限内的一切伤害责任，均由报价人负责。</w:t>
      </w:r>
      <w:r/>
    </w:p>
    <w:p>
      <w:pPr>
        <w:ind w:firstLine="480"/>
        <w:spacing w:line="360" w:lineRule="auto"/>
        <w:rPr>
          <w:rFonts w:hint="eastAsia" w:ascii="宋体" w:hAnsi="宋体"/>
          <w:b/>
          <w:sz w:val="24"/>
        </w:rPr>
      </w:pPr>
      <w:r>
        <w:rPr>
          <w:rFonts w:hint="eastAsia" w:ascii="宋体" w:hAnsi="宋体"/>
          <w:sz w:val="24"/>
        </w:rPr>
        <w:t xml:space="preserve">中标并合同签订生效后，中标人须按招标文件要求及所投的投标文件中做出的相应承诺将相关人员及时</w:t>
      </w:r>
      <w:r>
        <w:rPr>
          <w:rFonts w:hint="eastAsia" w:ascii="宋体" w:hAnsi="宋体"/>
          <w:color w:val="000000"/>
          <w:sz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b/>
          <w:sz w:val="24"/>
        </w:rPr>
      </w:pPr>
      <w:r>
        <w:rPr>
          <w:rFonts w:hint="eastAsia" w:ascii="宋体" w:hAnsi="宋体"/>
          <w:b/>
          <w:sz w:val="24"/>
        </w:rPr>
        <w:t xml:space="preserve">6.验收标准与要求</w:t>
      </w:r>
      <w:r/>
    </w:p>
    <w:p>
      <w:pPr>
        <w:ind w:firstLine="480"/>
        <w:spacing w:line="360" w:lineRule="auto"/>
        <w:rPr>
          <w:rFonts w:hint="eastAsia" w:ascii="宋体" w:hAnsi="宋体"/>
          <w:bCs/>
          <w:sz w:val="24"/>
        </w:rPr>
      </w:pPr>
      <w:r>
        <w:rPr>
          <w:rFonts w:hint="eastAsia" w:ascii="宋体" w:hAnsi="宋体"/>
          <w:bCs/>
          <w:sz w:val="24"/>
        </w:rPr>
        <w:t xml:space="preserve">学校物业管理执行《中华人民共和国政府采购法》、《物业管理条例》、《江苏省物业管理条例》等法律法规，中标单位要严格履行投标书的承诺和物业管理合同的约定，采购人每月对中标人提供的物业管理服务内容进行考核，包括人员工作情况、服务评价等相关考核内容。考核标准见《物业考核情况表》，具体考核标准根据学校后续有关规定执行。</w:t>
      </w:r>
      <w:r/>
    </w:p>
    <w:p>
      <w:pPr>
        <w:ind w:firstLine="480"/>
        <w:spacing w:line="360" w:lineRule="auto"/>
        <w:rPr>
          <w:rFonts w:hint="eastAsia" w:ascii="宋体" w:hAnsi="宋体"/>
          <w:bCs/>
          <w:sz w:val="24"/>
        </w:rPr>
      </w:pPr>
      <w:r>
        <w:rPr>
          <w:rFonts w:hint="eastAsia" w:ascii="宋体" w:hAnsi="宋体"/>
          <w:bCs/>
          <w:sz w:val="24"/>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p>
    <w:p>
      <w:pPr>
        <w:ind w:firstLine="480"/>
        <w:jc w:val="center"/>
        <w:spacing w:line="360" w:lineRule="auto"/>
        <w:tabs>
          <w:tab w:val="left" w:pos="1050" w:leader="none"/>
        </w:tabs>
        <w:rPr>
          <w:rFonts w:hint="eastAsia" w:ascii="宋体" w:hAnsi="宋体" w:cs="宋体"/>
          <w:b/>
          <w:bCs/>
          <w:color w:val="000000"/>
          <w:sz w:val="24"/>
        </w:rPr>
      </w:pPr>
      <w:r>
        <w:rPr>
          <w:rFonts w:hint="eastAsia" w:ascii="宋体" w:hAnsi="宋体" w:cs="宋体"/>
          <w:b/>
          <w:bCs/>
          <w:color w:val="000000"/>
          <w:sz w:val="24"/>
        </w:rPr>
        <w:t xml:space="preserve">《物业考核情况表》</w:t>
      </w:r>
      <w:r/>
    </w:p>
    <w:p>
      <w:pPr>
        <w:ind w:firstLine="480"/>
        <w:jc w:val="center"/>
        <w:spacing w:line="360" w:lineRule="auto"/>
        <w:tabs>
          <w:tab w:val="left" w:pos="1050" w:leader="none"/>
        </w:tabs>
        <w:rPr>
          <w:rFonts w:hint="eastAsia" w:ascii="宋体" w:hAnsi="宋体" w:cs="宋体"/>
          <w:b/>
          <w:bCs/>
          <w:color w:val="000000"/>
          <w:sz w:val="24"/>
        </w:rPr>
      </w:pPr>
      <w:r>
        <w:rPr>
          <w:rFonts w:hint="eastAsia" w:ascii="宋体" w:hAnsi="宋体"/>
          <w:color w:val="000000"/>
          <w:sz w:val="24"/>
        </w:rPr>
        <w:t xml:space="preserve">（考核内容以具体实施为准）</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9"/>
        <w:gridCol w:w="6228"/>
        <w:gridCol w:w="825"/>
      </w:tblGrid>
      <w:tr>
        <w:trPr>
          <w:jc w:val="center"/>
          <w:trHeight w:val="646" w:hRule="exact"/>
        </w:trPr>
        <w:tc>
          <w:tcPr>
            <w:tcW w:w="198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考核内容</w:t>
            </w:r>
            <w:r/>
          </w:p>
        </w:tc>
        <w:tc>
          <w:tcPr>
            <w:tcW w:w="6228"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考核标准</w:t>
            </w:r>
            <w:r/>
          </w:p>
        </w:tc>
        <w:tc>
          <w:tcPr>
            <w:tcW w:w="825"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得分</w:t>
            </w:r>
            <w:r/>
          </w:p>
        </w:tc>
      </w:tr>
      <w:tr>
        <w:trPr>
          <w:jc w:val="center"/>
          <w:trHeight w:val="646" w:hRule="exact"/>
        </w:trPr>
        <w:tc>
          <w:tcPr>
            <w:tcW w:w="1989"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1</w:t>
            </w:r>
            <w:r/>
          </w:p>
        </w:tc>
        <w:tc>
          <w:tcPr>
            <w:tcW w:w="6228"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保洁卫生考核标准（30分）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基础管理</w:t>
            </w:r>
            <w:r/>
          </w:p>
          <w:p>
            <w:pPr>
              <w:jc w:val="center"/>
              <w:rPr>
                <w:rFonts w:hint="eastAsia" w:ascii="宋体" w:hAnsi="宋体" w:cs="宋体"/>
                <w:szCs w:val="21"/>
              </w:rPr>
            </w:pPr>
            <w:r>
              <w:rPr>
                <w:rFonts w:hint="eastAsia" w:ascii="宋体" w:hAnsi="宋体" w:cs="宋体"/>
                <w:color w:val="000000"/>
                <w:szCs w:val="21"/>
              </w:rPr>
              <w:t xml:space="preserve">（8分）</w:t>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统一着装、佩戴工牌、礼貌服务（2分）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服从学校管理、认真及时完成学校布置的各项工作（2分）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团结协作，互相配合、（2分）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卫生工具定点整洁存放（2分）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926" w:hRule="exact"/>
        </w:trPr>
        <w:tc>
          <w:tcPr>
            <w:tcW w:w="198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室内地面，楼道，扶手，卫生间</w:t>
            </w:r>
            <w:r/>
          </w:p>
          <w:p>
            <w:pPr>
              <w:jc w:val="center"/>
              <w:rPr>
                <w:rFonts w:hint="eastAsia" w:ascii="宋体" w:hAnsi="宋体" w:cs="宋体"/>
                <w:szCs w:val="21"/>
              </w:rPr>
            </w:pPr>
            <w:r>
              <w:rPr>
                <w:rFonts w:hint="eastAsia" w:ascii="宋体" w:hAnsi="宋体" w:cs="宋体"/>
                <w:color w:val="000000"/>
                <w:szCs w:val="21"/>
              </w:rPr>
              <w:t xml:space="preserve">（10分）</w:t>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办公楼（区）内大厅、过道、楼梯、天台、电梯间、卫生间、茶水间、公共活动场所、楼宇外墙等所有公共部位洁净无杂物、无积水、泥垢、痰迹、纸屑等（2分）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64"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门窗、玻璃洁净，门、窗、楼梯扶手无灰尘（2分）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64"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室内地面干净无水渍、无污渍、无浮灰（2分）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51"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卫生间干净整洁，无异味（2分）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墙上张贴物无破损、其他公共设施目视无污迹、无蜘蛛网，损坏及时报修（2分）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室外场地，道路等</w:t>
            </w:r>
            <w:r>
              <w:rPr>
                <w:rFonts w:hint="eastAsia" w:ascii="宋体" w:hAnsi="宋体" w:cs="宋体"/>
                <w:color w:val="000000"/>
                <w:szCs w:val="21"/>
              </w:rPr>
              <w:t xml:space="preserve">（8分）</w:t>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校园内各场地目视整洁，无纸屑、烟头果壳，无明显杂物（2分）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花坛路沿无积沙土、无杂物，保持泄水孔畅通（2分）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运动场地无果皮纸屑、无废弃物、无积水、无玻璃渣等杂物（2分）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垃圾桶外观整洁、无异味、无损坏（2分）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卫生防疫</w:t>
            </w:r>
            <w:r/>
          </w:p>
          <w:p>
            <w:pPr>
              <w:jc w:val="center"/>
              <w:rPr>
                <w:rFonts w:hint="eastAsia" w:ascii="宋体" w:hAnsi="宋体" w:cs="宋体"/>
                <w:szCs w:val="21"/>
              </w:rPr>
            </w:pPr>
            <w:r>
              <w:rPr>
                <w:rFonts w:hint="eastAsia" w:ascii="宋体" w:hAnsi="宋体" w:cs="宋体"/>
                <w:color w:val="000000"/>
                <w:szCs w:val="21"/>
              </w:rPr>
              <w:t xml:space="preserve">（4分）</w:t>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室内外各场所无明显蚊蝇及四害（2分）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教室及其他校内场所如有学生呕吐物及时清理并消毒（2分）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2</w:t>
            </w:r>
            <w:r/>
          </w:p>
        </w:tc>
        <w:tc>
          <w:tcPr>
            <w:tcW w:w="6228" w:type="dxa"/>
            <w:vAlign w:val="center"/>
            <w:textDirection w:val="lrTb"/>
            <w:noWrap w:val="false"/>
          </w:tcPr>
          <w:p>
            <w:pPr>
              <w:rPr>
                <w:rFonts w:hint="eastAsia" w:ascii="宋体" w:hAnsi="宋体" w:cs="宋体"/>
                <w:b/>
                <w:szCs w:val="21"/>
              </w:rPr>
            </w:pPr>
            <w:r>
              <w:rPr>
                <w:rFonts w:hint="eastAsia" w:ascii="宋体" w:hAnsi="宋体" w:cs="宋体"/>
                <w:b/>
                <w:szCs w:val="21"/>
              </w:rPr>
              <w:t xml:space="preserve">安保考核标准（45分）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基础管理</w:t>
            </w:r>
            <w:r/>
          </w:p>
          <w:p>
            <w:pPr>
              <w:jc w:val="center"/>
              <w:rPr>
                <w:rFonts w:hint="eastAsia" w:ascii="宋体" w:hAnsi="宋体" w:cs="宋体"/>
                <w:szCs w:val="21"/>
              </w:rPr>
            </w:pPr>
            <w:r>
              <w:rPr>
                <w:rFonts w:hint="eastAsia" w:ascii="宋体" w:hAnsi="宋体" w:cs="宋体"/>
                <w:color w:val="000000"/>
                <w:szCs w:val="21"/>
              </w:rPr>
              <w:t xml:space="preserve">（8分）</w:t>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1.门卫室不乱堆乱放，保持清洁卫生，物品摆放整齐（2分）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2.在岗期间不抽烟，不喝酒，不使用明火和易燃易爆物品（2分）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3.规范着装，佩戴保安器械，文明执勤，礼貌待人（2分）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46" w:hRule="exact"/>
        </w:trPr>
        <w:tc>
          <w:tcPr>
            <w:tcW w:w="198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4.服从学校管理、认真及时完成学校布置的各项工作（2分）</w:t>
            </w:r>
            <w:r/>
          </w:p>
        </w:tc>
        <w:tc>
          <w:tcPr>
            <w:tcW w:w="82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值班管理</w:t>
            </w:r>
            <w:r/>
          </w:p>
          <w:p>
            <w:pPr>
              <w:jc w:val="center"/>
              <w:rPr>
                <w:rFonts w:hint="eastAsia" w:ascii="宋体" w:hAnsi="宋体" w:cs="宋体"/>
                <w:szCs w:val="21"/>
              </w:rPr>
            </w:pPr>
            <w:r>
              <w:rPr>
                <w:rFonts w:hint="eastAsia" w:ascii="宋体" w:hAnsi="宋体" w:cs="宋体"/>
                <w:color w:val="000000"/>
                <w:szCs w:val="21"/>
              </w:rPr>
              <w:t xml:space="preserve">（37分）</w:t>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1.严格执行学校的各项规章制度，自觉遵守学校保安管理制度， 及时做好各项台账记录（2分）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2.根据学校规定，定时开（闭）校门、教室门等。定时开（关）学校报警系统。放学后巡视校园，及时关闭水电设施。（2分）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4.值班期间，确保一名保安在值班室内值勤，另一名保安必须到室外执勤，杜绝犬只等动物进入校园，发现可疑人员要进行盘问，严禁无关人员进入学校，人员来访需使用访客通，询问事由，联系学校相关人员是否接待，同意后进行入校登记，并填写会客单，出门要出示会客单回执。（4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854"/>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5.严禁学生私自出校，学生请假出校的必须出示班主任签字的出门单，并由家长陪同。教师请假出入的在门卫登记。（7分）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6.教职员工车辆早晨放学时段须停放到停车场，来宾车辆停放到指定停车区域，与教学无关人员的车辆不得入校。送货车辆须经相关部门同意，方可放行入内并做好入校车辆登记。（3分）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7.按要求在规定时间进行校园巡查，排查安全隐患并做好巡查记载：防范可疑人员，做好防火防盗工作。白班保安下班前应认真进行全校各室各区域场馆的巡查工作，关闭水电门窗。确保各区域各室、各场馆无学生滞留，如有发现及时通知家长接走。（3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8.保安要做好日常快递的收发保管。做好日常报刊杂志、信件的收发和临时保管工作（2分）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974"/>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9.定期组织保安培训，熟练使用保安器械，实施防恐防爆演练，熟悉并能使用各类安全、消防设施和各种灭火器材（2分）。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974"/>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10. 保安执勤人员在执勤过程中，严禁擅自脱岗、串岗，保证岗位执勤人员在岗率达100%。（1分）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11.确保夜间无闲杂人员非法进入校区（2分）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rPr>
                <w:rFonts w:hint="eastAsia" w:ascii="宋体" w:hAnsi="宋体" w:cs="宋体"/>
                <w:szCs w:val="21"/>
              </w:rPr>
            </w:pPr>
            <w:r>
              <w:rPr>
                <w:rFonts w:hint="eastAsia" w:ascii="宋体" w:hAnsi="宋体" w:cs="宋体"/>
                <w:szCs w:val="21"/>
              </w:rPr>
              <w:t xml:space="preserve">12.确保校园安全，财产安全（3分）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297"/>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13.正确应对夜间各种紧急情况（3分）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711"/>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14.做好操场对社会开放期间的保安巡查，维护好秩序，</w:t>
            </w:r>
            <w:r/>
          </w:p>
          <w:p>
            <w:pPr>
              <w:jc w:val="left"/>
              <w:widowControl/>
              <w:rPr>
                <w:rFonts w:hint="eastAsia" w:ascii="宋体" w:hAnsi="宋体" w:cs="宋体"/>
                <w:color w:val="000000"/>
                <w:szCs w:val="21"/>
              </w:rPr>
            </w:pPr>
            <w:r>
              <w:rPr>
                <w:rFonts w:hint="eastAsia" w:ascii="宋体" w:hAnsi="宋体" w:cs="宋体"/>
                <w:color w:val="000000"/>
                <w:szCs w:val="21"/>
              </w:rPr>
              <w:t xml:space="preserve">社会人员不得进入未开放区域（1分）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622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15.做好校园晚间巡逻工作，防火防盗（2分）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1989" w:type="dxa"/>
            <w:vAlign w:val="center"/>
            <w:textDirection w:val="lrTb"/>
            <w:noWrap w:val="false"/>
          </w:tcPr>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3</w:t>
            </w:r>
            <w:r/>
          </w:p>
        </w:tc>
        <w:tc>
          <w:tcPr>
            <w:tcW w:w="6228" w:type="dxa"/>
            <w:vAlign w:val="center"/>
            <w:textDirection w:val="lrTb"/>
            <w:noWrap w:val="false"/>
          </w:tcPr>
          <w:p>
            <w:pPr>
              <w:spacing w:line="360" w:lineRule="auto"/>
              <w:rPr>
                <w:rFonts w:hint="eastAsia" w:ascii="宋体" w:hAnsi="宋体" w:cs="宋体"/>
                <w:b/>
                <w:color w:val="000000"/>
                <w:szCs w:val="21"/>
              </w:rPr>
            </w:pPr>
            <w:r>
              <w:rPr>
                <w:rFonts w:hint="eastAsia" w:ascii="宋体" w:hAnsi="宋体" w:cs="宋体"/>
                <w:b/>
                <w:color w:val="000000"/>
                <w:szCs w:val="21"/>
              </w:rPr>
              <w:t xml:space="preserve">绿化考核标准（10分）</w:t>
            </w:r>
            <w:r/>
          </w:p>
        </w:tc>
        <w:tc>
          <w:tcPr>
            <w:tcW w:w="825" w:type="dxa"/>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Pr>
        <w:tc>
          <w:tcPr>
            <w:tcW w:w="1989" w:type="dxa"/>
            <w:vAlign w:val="center"/>
            <w:vMerge w:val="restart"/>
            <w:textDirection w:val="lrTb"/>
            <w:noWrap w:val="false"/>
          </w:tcPr>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绿化养护</w:t>
            </w:r>
            <w:r/>
          </w:p>
          <w:p>
            <w:pPr>
              <w:jc w:val="center"/>
              <w:spacing w:line="360" w:lineRule="auto"/>
              <w:rPr>
                <w:rFonts w:hint="eastAsia" w:ascii="宋体" w:hAnsi="宋体" w:cs="宋体"/>
                <w:bCs/>
                <w:color w:val="000000"/>
                <w:szCs w:val="21"/>
              </w:rPr>
            </w:pPr>
            <w:r>
              <w:rPr>
                <w:rFonts w:hint="eastAsia" w:ascii="宋体" w:hAnsi="宋体" w:cs="宋体"/>
                <w:bCs/>
                <w:color w:val="000000"/>
                <w:szCs w:val="21"/>
              </w:rPr>
              <w:t xml:space="preserve">（10分）</w:t>
            </w:r>
            <w:r/>
          </w:p>
        </w:tc>
        <w:tc>
          <w:tcPr>
            <w:tcW w:w="6228"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1.绿地、绿篱正常生长，草根不裸露：生长季节无枯黄、杂草；修剪及时、无病虫害（4分）</w:t>
            </w:r>
            <w:r/>
          </w:p>
        </w:tc>
        <w:tc>
          <w:tcPr>
            <w:tcW w:w="825" w:type="dxa"/>
            <w:textDirection w:val="lrTb"/>
            <w:noWrap w:val="false"/>
          </w:tcPr>
          <w:p>
            <w:pPr>
              <w:ind w:firstLine="420"/>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1989"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6228"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2.树木枝干健壮、无枯、死枝；修剪适当、及时，尤其是要做好影响主干道树木的修剪；冬季做好防扫雪等植物保护工作；叶色正常、无卷叶、黄叶；无病虫害；做好绿化施肥工作。（4分）</w:t>
            </w:r>
            <w:r/>
          </w:p>
        </w:tc>
        <w:tc>
          <w:tcPr>
            <w:tcW w:w="825" w:type="dxa"/>
            <w:textDirection w:val="lrTb"/>
            <w:noWrap w:val="false"/>
          </w:tcPr>
          <w:p>
            <w:pPr>
              <w:ind w:firstLine="420"/>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1989" w:type="dxa"/>
            <w:vAlign w:val="center"/>
            <w:vMerge w:val="continue"/>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6228"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3.花卉草木正常生长；无枯枝残花，无缺株、倒伏无病虫害，按要求整形，保证满足日常综合治理要求及清洁要求。（2分）</w:t>
            </w:r>
            <w:r/>
          </w:p>
        </w:tc>
        <w:tc>
          <w:tcPr>
            <w:tcW w:w="825" w:type="dxa"/>
            <w:textDirection w:val="lrTb"/>
            <w:noWrap w:val="false"/>
          </w:tcPr>
          <w:p>
            <w:pPr>
              <w:ind w:firstLine="420"/>
              <w:spacing w:line="360" w:lineRule="auto"/>
              <w:rPr>
                <w:rFonts w:hint="eastAsia" w:ascii="宋体" w:hAnsi="宋体" w:cs="宋体"/>
                <w:bCs/>
                <w:color w:val="000000"/>
                <w:szCs w:val="21"/>
              </w:rPr>
            </w:pPr>
            <w:r>
              <w:rPr>
                <w:rFonts w:hint="eastAsia" w:ascii="宋体" w:hAnsi="宋体" w:cs="宋体"/>
                <w:bCs/>
                <w:color w:val="000000"/>
                <w:szCs w:val="21"/>
              </w:rPr>
            </w:r>
            <w:r/>
          </w:p>
        </w:tc>
      </w:tr>
      <w:tr>
        <w:trPr>
          <w:jc w:val="center"/>
        </w:trPr>
        <w:tc>
          <w:tcPr>
            <w:tcW w:w="1989"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t xml:space="preserve">4</w:t>
            </w:r>
            <w:r/>
          </w:p>
        </w:tc>
        <w:tc>
          <w:tcPr>
            <w:tcW w:w="6228" w:type="dxa"/>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rPr>
              <w:t xml:space="preserve">设施设备运行维护考核标准（15分）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72"/>
        </w:trPr>
        <w:tc>
          <w:tcPr>
            <w:tcW w:w="1989"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设施设备运行维护</w:t>
            </w:r>
            <w:r/>
          </w:p>
          <w:p>
            <w:pPr>
              <w:jc w:val="center"/>
              <w:widowControl/>
              <w:rPr>
                <w:rFonts w:hint="eastAsia" w:ascii="宋体" w:hAnsi="宋体" w:cs="宋体"/>
                <w:b/>
                <w:bCs/>
                <w:color w:val="000000"/>
                <w:szCs w:val="21"/>
              </w:rPr>
            </w:pPr>
            <w:r>
              <w:rPr>
                <w:rFonts w:hint="eastAsia" w:ascii="宋体" w:hAnsi="宋体" w:cs="宋体"/>
                <w:color w:val="000000"/>
                <w:szCs w:val="21"/>
              </w:rPr>
              <w:t xml:space="preserve">（15分）</w:t>
            </w:r>
            <w:r/>
          </w:p>
        </w:tc>
        <w:tc>
          <w:tcPr>
            <w:tcW w:w="622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1.具备相应上岗资质，严格执行安全操作规程。（1分）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05"/>
        </w:trPr>
        <w:tc>
          <w:tcPr>
            <w:tcW w:w="198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622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2.保证校内各设施设备的正常运行。（5分）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54"/>
        </w:trPr>
        <w:tc>
          <w:tcPr>
            <w:tcW w:w="198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622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3.做好设施设备的安全巡查、维修、做好记录。（2分）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67"/>
        </w:trPr>
        <w:tc>
          <w:tcPr>
            <w:tcW w:w="198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622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4.按规定完成临时交办的工作任务。（2分）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863"/>
        </w:trPr>
        <w:tc>
          <w:tcPr>
            <w:tcW w:w="1989" w:type="dxa"/>
            <w:vAlign w:val="center"/>
            <w:vMerge w:val="continue"/>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rPr>
            </w:r>
            <w:r/>
          </w:p>
        </w:tc>
        <w:tc>
          <w:tcPr>
            <w:tcW w:w="6228"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szCs w:val="21"/>
              </w:rPr>
              <w:t xml:space="preserve"> </w:t>
            </w:r>
            <w:r>
              <w:rPr>
                <w:rFonts w:hint="eastAsia" w:ascii="宋体" w:hAnsi="宋体" w:cs="宋体"/>
                <w:color w:val="000000"/>
                <w:szCs w:val="21"/>
              </w:rPr>
              <w:t xml:space="preserve">物业维修人员自接到甲方维修通知及时组织人员和设备到达现场，维修完毕按校方要求完成维修单。（5分）</w:t>
            </w:r>
            <w:r/>
          </w:p>
        </w:tc>
        <w:tc>
          <w:tcPr>
            <w:tcW w:w="825" w:type="dxa"/>
            <w:textDirection w:val="lrTb"/>
            <w:noWrap w:val="false"/>
          </w:tcPr>
          <w:p>
            <w:pPr>
              <w:rPr>
                <w:rFonts w:hint="eastAsia" w:ascii="宋体" w:hAnsi="宋体" w:cs="宋体"/>
                <w:szCs w:val="21"/>
              </w:rPr>
            </w:pPr>
            <w:r>
              <w:rPr>
                <w:rFonts w:hint="eastAsia" w:ascii="宋体" w:hAnsi="宋体" w:cs="宋体"/>
                <w:szCs w:val="21"/>
              </w:rPr>
            </w:r>
            <w:r/>
          </w:p>
        </w:tc>
      </w:tr>
    </w:tbl>
    <w:p>
      <w:pPr>
        <w:ind w:firstLine="482"/>
        <w:spacing w:line="360" w:lineRule="auto"/>
        <w:rPr>
          <w:rFonts w:hint="eastAsia" w:ascii="宋体" w:hAnsi="宋体"/>
          <w:b/>
          <w:sz w:val="24"/>
        </w:rPr>
      </w:pPr>
      <w:r>
        <w:rPr>
          <w:rFonts w:hint="eastAsia" w:ascii="宋体" w:hAnsi="宋体"/>
          <w:b/>
          <w:sz w:val="24"/>
        </w:rPr>
        <w:t xml:space="preserve">7.其他要求: </w:t>
      </w:r>
      <w:r/>
    </w:p>
    <w:p>
      <w:pPr>
        <w:ind w:firstLine="480"/>
        <w:spacing w:line="360" w:lineRule="auto"/>
        <w:rPr>
          <w:rFonts w:hint="eastAsia" w:ascii="宋体" w:hAnsi="宋体"/>
          <w:color w:val="000000"/>
          <w:sz w:val="24"/>
        </w:rPr>
      </w:pPr>
      <w:r>
        <w:rPr>
          <w:rFonts w:hint="eastAsia" w:ascii="宋体" w:hAnsi="宋体"/>
          <w:color w:val="000000"/>
          <w:sz w:val="24"/>
        </w:rPr>
        <w:t xml:space="preserve">本项目涉及的零星维修材料、低值易耗品、苗木、客耗品等费用，不论是由供应商，还是采购人承担，涉及的相关服务由供应商承担，服务费用包含在物业服务项目合同金额之内。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hint="eastAsia" w:ascii="宋体" w:hAnsi="宋体"/>
          <w:color w:val="000000"/>
          <w:sz w:val="24"/>
        </w:rPr>
      </w:pPr>
      <w:r>
        <w:rPr>
          <w:rFonts w:hint="eastAsia" w:ascii="宋体" w:hAnsi="宋体"/>
          <w:b/>
          <w:bCs/>
          <w:color w:val="000000"/>
          <w:sz w:val="24"/>
        </w:rPr>
        <w:t xml:space="preserve">物业费用有关说明：</w:t>
      </w:r>
      <w:r>
        <w:rPr>
          <w:rFonts w:hint="eastAsia" w:ascii="宋体" w:hAnsi="宋体"/>
          <w:color w:val="000000"/>
          <w:sz w:val="24"/>
        </w:rPr>
        <w:t xml:space="preserve">投标报价除应包括物业管理服务人员的工资（员工工资不得低于规定的无锡市最低工资标准，所有国家政策规定年龄范围内的工作人员必须缴纳养老、医疗、失业、生育、工伤等在内的社会保险）、社保福利费、物业公用设施日常维护保养费、物业管理区域清洁费、办公费、法定税费、物业各类设施设备及公众责任保险费和合理利润外，还应包括检测、管理、劳务、服装、培训、保修、通讯、风险及政策性文件规定等各项应有费用，以及为完成招标文件规定的物业管理工作所涉及的一切相关费用。</w:t>
      </w:r>
      <w:r/>
    </w:p>
    <w:p>
      <w:pPr>
        <w:ind w:firstLine="480"/>
        <w:spacing w:line="360" w:lineRule="auto"/>
        <w:rPr>
          <w:rFonts w:hint="eastAsia" w:ascii="宋体" w:hAnsi="宋体"/>
          <w:b/>
          <w:sz w:val="24"/>
        </w:rPr>
      </w:pPr>
      <w:r>
        <w:rPr>
          <w:rFonts w:hint="eastAsia" w:ascii="宋体" w:hAnsi="宋体"/>
          <w:color w:val="000000"/>
          <w:sz w:val="24"/>
        </w:rPr>
        <w:t xml:space="preserve">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p>
    <w:p>
      <w:pPr>
        <w:ind w:firstLine="482"/>
        <w:spacing w:line="360" w:lineRule="auto"/>
        <w:rPr>
          <w:rFonts w:hint="eastAsia" w:ascii="宋体" w:hAnsi="宋体"/>
          <w:b/>
          <w:sz w:val="24"/>
        </w:rPr>
      </w:pPr>
      <w:r>
        <w:rPr>
          <w:rFonts w:hint="eastAsia" w:ascii="宋体" w:hAnsi="宋体"/>
          <w:b/>
          <w:sz w:val="24"/>
        </w:rPr>
        <w:t xml:space="preserve">8.</w:t>
      </w:r>
      <w:r>
        <w:rPr>
          <w:rFonts w:ascii="宋体" w:hAnsi="宋体"/>
          <w:b/>
          <w:sz w:val="24"/>
        </w:rPr>
        <w:t xml:space="preserve">关于中标后项目进行分包的</w:t>
      </w:r>
      <w:r>
        <w:rPr>
          <w:rFonts w:hint="eastAsia" w:ascii="宋体" w:hAnsi="宋体"/>
          <w:b/>
          <w:sz w:val="24"/>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highlight w:val="none"/>
        </w:rPr>
        <w:t xml:space="preserve">本项目中的</w:t>
      </w:r>
      <w:r>
        <w:rPr>
          <w:rFonts w:hint="eastAsia" w:ascii="宋体" w:hAnsi="宋体"/>
          <w:bCs/>
          <w:color w:val="auto"/>
          <w:sz w:val="24"/>
          <w:szCs w:val="24"/>
          <w:highlight w:val="none"/>
        </w:rPr>
        <w:t xml:space="preserve">【消防系统维保】、【强弱电系统维保】</w:t>
      </w:r>
      <w:r>
        <w:rPr>
          <w:rFonts w:hint="eastAsia" w:ascii="宋体" w:hAnsi="宋体"/>
          <w:bCs/>
          <w:sz w:val="24"/>
          <w:szCs w:val="24"/>
          <w:highlight w:val="none"/>
        </w:rPr>
        <w:t xml:space="preserve">，如</w:t>
      </w:r>
      <w:r>
        <w:rPr>
          <w:rFonts w:hint="eastAsia" w:ascii="宋体" w:hAnsi="宋体"/>
          <w:bCs/>
          <w:sz w:val="24"/>
          <w:szCs w:val="24"/>
        </w:rPr>
        <w:t xml:space="preserve">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【分包事项1】</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分包具体内容：消防系统维保。</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分包金额或比例：</w:t>
      </w:r>
      <w:r>
        <w:rPr>
          <w:rFonts w:hint="eastAsia" w:ascii="宋体" w:hAnsi="宋体"/>
          <w:bCs/>
          <w:color w:val="000000"/>
          <w:sz w:val="24"/>
          <w:lang w:val="en-US" w:eastAsia="zh-CN"/>
        </w:rPr>
        <w:t xml:space="preserve">不超过</w:t>
      </w:r>
      <w:r>
        <w:rPr>
          <w:rFonts w:hint="eastAsia" w:ascii="宋体" w:hAnsi="宋体"/>
          <w:bCs/>
          <w:color w:val="000000"/>
          <w:sz w:val="24"/>
        </w:rPr>
        <w:t xml:space="preserve">预算金额2%。</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投标人或分包供应商资质条件：供应商</w:t>
      </w:r>
      <w:r>
        <w:rPr>
          <w:rFonts w:ascii="宋体" w:hAnsi="宋体"/>
          <w:bCs/>
          <w:color w:val="000000"/>
          <w:sz w:val="24"/>
        </w:rPr>
        <w:t xml:space="preserve">具备社会消防技术服务信息系统中消防设施维护保养检测类企业，以“社会消防技术服务信息系统”网站查询结果为准。</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【分包事项2】</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分包具体内容：强弱电系统维保。</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分包金额或比例：</w:t>
      </w:r>
      <w:r>
        <w:rPr>
          <w:rFonts w:hint="eastAsia" w:ascii="宋体" w:hAnsi="宋体"/>
          <w:bCs/>
          <w:color w:val="000000"/>
          <w:sz w:val="24"/>
          <w:lang w:val="en-US" w:eastAsia="zh-CN"/>
        </w:rPr>
        <w:t xml:space="preserve">不超过</w:t>
      </w:r>
      <w:r>
        <w:rPr>
          <w:rFonts w:hint="eastAsia" w:ascii="宋体" w:hAnsi="宋体"/>
          <w:bCs/>
          <w:color w:val="000000"/>
          <w:sz w:val="24"/>
        </w:rPr>
        <w:t xml:space="preserve">预算金额9%。</w:t>
      </w:r>
      <w:r/>
    </w:p>
    <w:p>
      <w:pPr>
        <w:ind w:firstLine="480"/>
        <w:spacing w:line="360" w:lineRule="auto"/>
        <w:rPr>
          <w:rFonts w:hint="eastAsia" w:ascii="宋体" w:hAnsi="宋体"/>
          <w:bCs/>
          <w:color w:val="000000"/>
          <w:sz w:val="24"/>
        </w:rPr>
      </w:pPr>
      <w:r>
        <w:rPr>
          <w:rFonts w:hint="eastAsia" w:ascii="宋体" w:hAnsi="宋体"/>
          <w:bCs/>
          <w:color w:val="000000"/>
          <w:sz w:val="24"/>
        </w:rPr>
        <w:t xml:space="preserve">投标人或分包供应商资质条件：具有强电</w:t>
      </w:r>
      <w:r>
        <w:rPr>
          <w:rFonts w:ascii="宋体" w:hAnsi="宋体"/>
          <w:bCs/>
          <w:color w:val="000000"/>
          <w:sz w:val="24"/>
        </w:rPr>
        <w:t xml:space="preserve">具备五级（含）以上承装（修、试）电力设施许可证资质</w:t>
      </w:r>
      <w:r>
        <w:rPr>
          <w:rFonts w:hint="eastAsia" w:ascii="宋体" w:hAnsi="宋体"/>
          <w:bCs/>
          <w:color w:val="000000"/>
          <w:sz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ascii="宋体" w:hAnsi="宋体"/>
          <w:bCs/>
          <w:sz w:val="24"/>
          <w:szCs w:val="24"/>
        </w:rPr>
        <w:br w:type="page" w:clear="all"/>
      </w:r>
      <w:r/>
    </w:p>
    <w:p>
      <w:pPr>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 xml:space="preserve">第二部分  有关说明</w:t>
      </w:r>
      <w:r/>
    </w:p>
    <w:p>
      <w:pPr>
        <w:numPr>
          <w:ilvl w:val="1"/>
          <w:numId w:val="10"/>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10"/>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10"/>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10"/>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服务期限：一年（以签订的合同服务期限为准）</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付款方式：合同签订生效后，物业管理服务每三个月考核一次，采购方考核合格后向中标单位支付1次服务费用（总费用的四分之一，即一年4次）。</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%提供履约担保。中标（成交）供应商可采用电子履约保函（保险）形式,具体操作可登录江苏政府采购网的保险保函模块进行办理。</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本项目合同履行地点：无锡市新洲小学（无锡市新吴区联心嘉园151号）。中标方必须按采购人要求将本项目中货物送到指定地点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5"/>
        <w:spacing w:before="0" w:after="0" w:line="500" w:lineRule="exact"/>
        <w:rPr>
          <w:rFonts w:hint="eastAsia" w:cs="Arial"/>
        </w:rPr>
      </w:pPr>
      <w:r>
        <w:rPr>
          <w:rFonts w:hint="eastAsia" w:cs="Arial"/>
        </w:rPr>
        <w:t xml:space="preserve">投标人通过初审的，方可进入比较与评价程序。</w:t>
      </w:r>
      <w:r/>
    </w:p>
    <w:p>
      <w:pPr>
        <w:pStyle w:val="765"/>
        <w:spacing w:before="0" w:after="0" w:line="500" w:lineRule="exact"/>
        <w:rPr>
          <w:rFonts w:hint="eastAsia" w:cs="Arial"/>
        </w:rPr>
      </w:pPr>
      <w:r>
        <w:rPr>
          <w:rFonts w:hint="eastAsia" w:cs="Arial"/>
        </w:rPr>
        <w:t xml:space="preserve">比较与评价采用综合评分法。</w:t>
      </w:r>
      <w:r/>
    </w:p>
    <w:p>
      <w:pPr>
        <w:pStyle w:val="76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对小型和微型企业产品的</w:t>
      </w:r>
      <w:r>
        <w:rPr>
          <w:rFonts w:hint="eastAsia" w:ascii="宋体" w:hAnsi="宋体"/>
          <w:bCs/>
          <w:sz w:val="24"/>
          <w:szCs w:val="24"/>
        </w:rPr>
        <w:t xml:space="preserve">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ascii="宋体" w:hAnsi="宋体"/>
          <w:shd w:val="clear" w:color="ffffff" w:fill="d9d9d9"/>
        </w:rPr>
        <w:br w:type="page" w:clear="all"/>
      </w:r>
      <w:r/>
    </w:p>
    <w:p>
      <w:pPr>
        <w:pStyle w:val="765"/>
        <w:spacing w:before="0" w:after="0" w:line="500" w:lineRule="exact"/>
        <w:rPr>
          <w:rFonts w:hint="eastAsia" w:ascii="宋体" w:hAnsi="宋体"/>
          <w:color w:val="auto"/>
          <w:highlight w:val="none"/>
          <w:shd w:val="clear" w:color="ffffff" w:fill="d9d9d9"/>
        </w:rPr>
      </w:pPr>
      <w:r>
        <w:rPr>
          <w:rFonts w:hint="eastAsia" w:ascii="宋体" w:hAnsi="宋体"/>
          <w:b/>
          <w:color w:val="auto"/>
          <w:sz w:val="28"/>
          <w:szCs w:val="28"/>
          <w:highlight w:val="none"/>
        </w:rPr>
        <w:t xml:space="preserve">二、评分标准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lang w:val="en-US" w:eastAsia="zh-CN"/>
        </w:rPr>
        <w:t xml:space="preserve">25</w:t>
      </w:r>
      <w:r>
        <w:rPr>
          <w:rFonts w:hint="eastAsia" w:ascii="宋体" w:hAnsi="宋体"/>
          <w:b/>
          <w:bCs/>
          <w:color w:val="auto"/>
          <w:sz w:val="24"/>
          <w:szCs w:val="24"/>
          <w:highlight w:val="none"/>
        </w:rPr>
        <w:t xml:space="preserve">分）：</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人员配置情况（</w:t>
      </w:r>
      <w:r>
        <w:rPr>
          <w:rFonts w:hint="eastAsia" w:ascii="宋体" w:hAnsi="宋体"/>
          <w:b/>
          <w:bCs/>
          <w:color w:val="auto"/>
          <w:sz w:val="24"/>
          <w:szCs w:val="24"/>
          <w:highlight w:val="none"/>
          <w:lang w:val="en-US" w:eastAsia="zh-CN"/>
        </w:rPr>
        <w:t xml:space="preserve">16</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（1）拟配项目经理（4分）：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1.具有本科及以上学历的得1分：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2.具有行政主管部门颁发的中级及以上建（构）筑物消防员证或消防设施操作员证书的得1分：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3具有行政主管部门颁发的特种设备安全管理人员证书（A证）的得1分，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highlight w:val="none"/>
        </w:rPr>
        <w:t xml:space="preserve">4.</w:t>
      </w:r>
      <w:r>
        <w:rPr>
          <w:rFonts w:hint="eastAsia" w:asciiTheme="minorEastAsia" w:hAnsiTheme="minorEastAsia" w:eastAsiaTheme="minorEastAsia" w:cstheme="minorEastAsia"/>
          <w:bCs/>
          <w:color w:val="auto"/>
          <w:sz w:val="24"/>
          <w:highlight w:val="none"/>
        </w:rPr>
        <w:t xml:space="preserve">具有有效期内的物业管理师职业资格证书（技能等级证书）</w:t>
      </w:r>
      <w:r>
        <w:rPr>
          <w:rFonts w:hint="eastAsia" w:asciiTheme="minorEastAsia" w:hAnsiTheme="minorEastAsia" w:eastAsiaTheme="minorEastAsia" w:cstheme="minorEastAsia"/>
          <w:color w:val="auto"/>
          <w:sz w:val="24"/>
          <w:szCs w:val="24"/>
          <w:highlight w:val="none"/>
        </w:rPr>
        <w:t xml:space="preserve">得1分；本项最高</w:t>
      </w:r>
      <w:r>
        <w:rPr>
          <w:rFonts w:hint="eastAsia" w:asciiTheme="minorEastAsia" w:hAnsiTheme="minorEastAsia" w:eastAsiaTheme="minorEastAsia" w:cstheme="minorEastAsia"/>
          <w:sz w:val="24"/>
          <w:szCs w:val="24"/>
        </w:rPr>
        <w:t xml:space="preserve">得4分。【提供物业经理相关证明材料扫描件及投标人近一年中任意一个月份（不含投标当月）为其缴纳社保的缴费证明（需带有清晰二维码的官网扫描件）上传系统，并加盖投标人公章，未按要求提供不得分】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（2）保安队长（</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具有行政主管部门颁发的中级及以上建（构）筑物消防员证或消防设施操作员证书的，得1分；具有行政主管部门颁发的特种设备安全管理人员证书（A证）的得1分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具有公安部门颁发的保安员证的，得1分；</w:t>
      </w:r>
      <w:r>
        <w:rPr>
          <w:rFonts w:hint="eastAsia" w:asciiTheme="minorEastAsia" w:hAnsiTheme="minorEastAsia" w:eastAsiaTheme="minorEastAsia" w:cstheme="minorEastAsia"/>
          <w:sz w:val="24"/>
          <w:szCs w:val="24"/>
          <w:lang w:val="en-US" w:eastAsia="zh-CN"/>
        </w:rPr>
        <w:t xml:space="preserve">本项有一张得1分，本项最高得2分。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【本项最多得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保安队长须提供相关职称或技能证书原件扫描件（加盖投标人公章）及投标人近一年中任意一月（不含投标当月）为其缴纳社保的缴费证明（需提供带有清晰二维码的官网扫描件）上传系统，未按要求提供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（3）保洁主管（2分）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①具有大专及以上学历的，得1分；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②年龄在40周岁（含）以下的，得1分；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多得2分，保洁主管须提供身份证、学历证书原件扫描件（加盖投标人公章）及投标人近一年中任意一月（不含投标当月）为其缴纳社保的缴费证明（需提供带有清晰二维码的官网扫描件）上传系统，未按要求提供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（4）其他人员（除项目经理、保安队长、保洁主管）（8分）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1）具有行政主管部门颁发的高级（三级）及以上保安员证的，得2分，最多得2分；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2）具有行政主管部门颁发的焊接与热切割作业证，有一个得2分，最多得2分；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3)具有特种作业操作证（高压或低压电工）的，得2分，最多得2分；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4)具有行政主管部门颁发的高处作业证或高空作业证的得1分，最高得1分；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val="en-US" w:eastAsia="zh-CN"/>
        </w:rPr>
        <w:t xml:space="preserve">具有人力资源和社会保障局颁发的园林绿化专业技术资格证书</w:t>
      </w:r>
      <w:r>
        <w:rPr>
          <w:rFonts w:hint="eastAsia" w:asciiTheme="minorEastAsia" w:hAnsiTheme="minorEastAsia" w:eastAsiaTheme="minorEastAsia" w:cstheme="minorEastAsia"/>
          <w:sz w:val="24"/>
          <w:szCs w:val="24"/>
        </w:rPr>
        <w:t xml:space="preserve">的得1分，最多得1分；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最多得8分，以上人员不包括项目经理、保安队长、保洁主管，一人多证可重复计分。投标文件须提供上述人员证书扫描件（加盖投标人公章）及投标人近一年任意一月（不含投标当月）为其缴纳社保的缴费证明（需提供带有清晰二维码的官网扫描件）上传系统，未按要求提供不得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p>
    <w:p>
      <w:pPr>
        <w:pStyle w:val="688"/>
        <w:ind w:firstLine="480"/>
        <w:keepLines w:val="0"/>
        <w:keepNext w:val="0"/>
        <w:pageBreakBefore w:val="0"/>
        <w:spacing w:line="360" w:lineRule="auto"/>
        <w:widowControl w:val="off"/>
        <w:rPr>
          <w:rFonts w:hint="eastAsia"/>
          <w:sz w:val="24"/>
          <w:szCs w:val="24"/>
        </w:rPr>
      </w:pPr>
      <w:r>
        <w:rPr>
          <w:rFonts w:hint="eastAsia"/>
          <w:sz w:val="24"/>
          <w:szCs w:val="24"/>
        </w:rPr>
        <w:t xml:space="preserve">（1）认证体系（3分）：投标人具备质量管理体系认证证书、环境管理体系认证证书、职业安全健康管理体系认证证书，有一项得1分，最多得3分。【提供证书原件的扫描件加盖公章上传系统，否则不得分，未按要求提供不得分】</w:t>
      </w:r>
      <w:r/>
    </w:p>
    <w:p>
      <w:pPr>
        <w:pStyle w:val="688"/>
        <w:ind w:firstLine="480"/>
        <w:keepLines w:val="0"/>
        <w:keepNext w:val="0"/>
        <w:pageBreakBefore w:val="0"/>
        <w:spacing w:line="360" w:lineRule="auto"/>
        <w:widowControl w:val="off"/>
        <w:rPr>
          <w:rFonts w:hint="eastAsia"/>
          <w:sz w:val="24"/>
          <w:szCs w:val="24"/>
        </w:rPr>
      </w:pPr>
      <w:r>
        <w:rPr>
          <w:rFonts w:hint="eastAsia"/>
          <w:sz w:val="24"/>
          <w:szCs w:val="24"/>
        </w:rPr>
        <w:t xml:space="preserve">（2）业绩（3分）：投标人自2021年1月1日以来承接过与本项目类似的物业管理服务项目的，有1个得1分，最多得3分。【业绩提供合同（协议）原件的扫描件加盖公章上传系统，时间以合同签订时间为准，未按要求提供不得分】</w:t>
      </w:r>
      <w:r/>
    </w:p>
    <w:p>
      <w:pPr>
        <w:pStyle w:val="688"/>
        <w:ind w:firstLine="480"/>
        <w:keepLines w:val="0"/>
        <w:keepNext w:val="0"/>
        <w:pageBreakBefore w:val="0"/>
        <w:spacing w:line="360" w:lineRule="auto"/>
        <w:widowControl w:val="off"/>
        <w:rPr>
          <w:rFonts w:hint="eastAsia"/>
          <w:sz w:val="24"/>
          <w:szCs w:val="24"/>
        </w:rPr>
      </w:pPr>
      <w:r>
        <w:rPr>
          <w:rFonts w:hint="eastAsia"/>
          <w:sz w:val="24"/>
          <w:szCs w:val="24"/>
        </w:rPr>
        <w:t xml:space="preserve">（2）车辆（3分）：投标人具有电动扫地车的，有一辆得1分，本项最高得3分。【</w:t>
      </w:r>
      <w:r>
        <w:rPr>
          <w:rFonts w:hint="eastAsia" w:ascii="Calibri" w:hAnsi="Calibri" w:eastAsia="宋体" w:cs="Times New Roman"/>
          <w:sz w:val="24"/>
          <w:szCs w:val="24"/>
          <w:lang w:val="en-US" w:eastAsia="zh-CN" w:bidi="ar-SA"/>
        </w:rPr>
        <w:t xml:space="preserve">提供承诺说明并加盖投标单位公章。中标后提供证明材料：若车辆为自有，提供发票扫描件；若设备为租赁，另需提供租赁协议扫描件</w:t>
      </w:r>
      <w:r>
        <w:rPr>
          <w:rFonts w:hint="eastAsia"/>
          <w:sz w:val="24"/>
          <w:szCs w:val="24"/>
        </w:rPr>
        <w:t xml:space="preserve">】</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方案完整、科学合理，设计清晰详细，完全符合本项目需求，且能够提供上述5项全部方案的，得7分；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方案较完整，科学合理性较强，设计较清晰详细，能够符合本项目需求，能够提供上述4-5项方案的，得5分；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方案完整性一般，科学合理性一般，设计清晰详细程度一般，能够符合本项目需求，能够提供上述3-5项方案的，得3分；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方案完整性、科学合理性、设计的清晰详细程度等只能基本满足要求，能够提供上述2-5项方案的，得1分；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提供方案不足2项或无方案的，不得分。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管理服务体系（8分）：内容包括：①针对本项目的物业管理服务运作模式；②公共区域秩序维护服务体系；③公共区域清洁管理服务体系；④公用设施设备日常运行、保养、维修管理服务体系。⑤物资装备的配备及维保使用方案。</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方案完整、科学合理，设计清晰详细，完全符合本项目需求，且能够提供上述5项全部方案的，得8分；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方案较完整，科学合理性较强，设计较清晰详细，能够符合本项目需求，能够提供上述4-5项方案的，得6分；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方案完整性一般，科学合理性一般，设计清晰详细程度一般，能够符合本项目需求，能够提供上述3-5项方案的，得4分；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方案完整性、科学合理性、设计的清晰详细程度等只能基本满足要求，能够提供上述2-5项方案的，得2分；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提供方案不足2项或无方案的，不得分。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培训及日常管理标准和措施（7分）：内容包括：①物业管理服务的岗前培训目标、方案、计划、内容等；②物业管理服务的阶段性培训管理；③综合管理的日常管理标准及措施；④物业服务管理的日常管理标准及措施；⑤物资装备的配备及维保使用方案。</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方案完整、科学合理，设计清晰详细，完全符合本项目需求，且能够提供上述5项全部方案的，得7分；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方案较完整，科学合理性较强，设计较清晰详细，能够符合本项目需求，能够提供上述4-5项方案的，得5分；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方案完整性一般，科学合理性一般，设计清晰详细程度一般，能够符合本项目需求，能够提供上述3-5项方案的，得3分；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方案完整性、科学合理性、设计的清晰详细程度等只能基本满足要求，能够提供上述2-5项方案的，得1分；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提供方案不足2项或无方案的，不得分。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（4）管理规章制度（7分）：内容包括：①管理运作制度；②安全管理制度；③日常巡检制度；④客户服务制度；⑤档案资料的建立、分类管理等制度。</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方案完整、科学合理，设计清晰详细，完全符合本项目需求，且能够提供上述5项全部方案的，得7分；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方案较完整，科学合理性较强，设计较清晰详细，能够符合本项目需求，能够提供上述4-5项方案的，得5分；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方案完整性一般，科学合理性一般，设计清晰详细程度一般，能够符合本项目需求，能够提供上述3-5项方案的，得3分；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方案完整性、科学合理性、设计的清晰详细程度等只能基本满足要求，能够提供上述2-5项方案的，得1分；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提供方案不足2项或无方案的，不得分。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方案完整、科学合理，设计清晰详细，完全符合本项目需求，且能够提供上述5项全部方案的，得7分；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方案较完整，科学合理性较强，设计较清晰详细，能够符合本项目需求，能够提供上述4-5项方案的，得5分；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方案完整性一般，科学合理性一般，设计清晰详细程度一般，能够符合本项目需求，能够提供上述3-5项方案的，得3分；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方案完整性、科学合理性、设计的清晰详细程度等只能基本满足要求，能够提供上述2-5项方案的，得1分；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提供方案不足2项或无方案的，不得分。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方案完整、科学合理，设计清晰详细，完全符合本项目需求，且能够提供上述5项全部方案的，得7分；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方案较完整，科学合理性较强，设计较清晰详细，能够符合本项目需求，能够提供上述4-5项方案的，得5分；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方案完整性一般，科学合理性一般，设计清晰详细程度一般，能够符合本项目需求，能够提供上述3-5项方案的，得3分；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方案完整性、科学合理性、设计的清晰详细程度等只能基本满足要求，能够提供上述2-5项方案的，得1分；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提供方案不足2项或无方案的，不得分。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服务响应、特色与创新（7分）：内容包括：①完整的服务响应时间措施及方案；②针对本项目各种情况的服务响应时间；③针对本项目提出有针对性、可落地、可执行的物业管理服务特色与创新举措；④针对本项目重点难点运作方法的创新方案；⑤其他有关服务响应、特色与创新的承诺。</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方案完整、科学合理，设计清晰详细，完全符合本项目需求，且能够提供上述5项全部方案的，得7分；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方案较完整，科学合理性较强，设计较清晰详细，能够符合本项目需求，能够提供上述4-5项方案的，得5分；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方案完整性一般，科学合理性一般，设计清晰详细程度一般，能够符合本项目需求，能够提供上述3-5项方案的，得3分；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方案完整性、科学合理性、设计的清晰详细程度等只能基本满足要求，能够提供上述2-5项方案的，得1分；</w:t>
      </w:r>
      <w:r/>
    </w:p>
    <w:p>
      <w:pPr>
        <w:pStyle w:val="68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5"/>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cs="Arial"/>
          <w:b/>
          <w:sz w:val="30"/>
          <w:szCs w:val="30"/>
        </w:rPr>
        <w:t xml:space="preserve">第一部分  投标文件内容</w:t>
      </w:r>
      <w:r/>
    </w:p>
    <w:p>
      <w:pPr>
        <w:pStyle w:val="76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7"/>
                <w:rFonts w:hint="eastAsia" w:ascii="宋体" w:hAnsi="宋体" w:cs="宋体"/>
                <w:sz w:val="24"/>
                <w:szCs w:val="24"/>
              </w:rPr>
              <w:t xml:space="preserve">。</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5"/>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5"/>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auto"/>
          <w:sz w:val="30"/>
          <w:szCs w:val="30"/>
        </w:rPr>
        <w:t xml:space="preserve">：</w:t>
      </w:r>
      <w:r>
        <w:rPr>
          <w:rFonts w:hint="eastAsia" w:ascii="黑体" w:hAnsi="华文中宋" w:eastAsia="黑体"/>
          <w:bCs/>
          <w:color w:val="auto"/>
          <w:sz w:val="30"/>
          <w:szCs w:val="30"/>
          <w:lang w:eastAsia="zh-CN"/>
        </w:rPr>
        <w:t xml:space="preserve">JSZC-320214-JZCG-G2026-0018</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无锡市新洲小学2026年物业管理服务项目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3"/>
        <w:ind w:firstLine="480"/>
        <w:rPr>
          <w:rFonts w:hint="eastAsia"/>
          <w:color w:val="auto"/>
          <w:sz w:val="24"/>
          <w:szCs w:val="24"/>
        </w:rPr>
      </w:pPr>
      <w:r>
        <w:rPr>
          <w:rFonts w:hint="eastAsia"/>
          <w:sz w:val="24"/>
          <w:szCs w:val="24"/>
        </w:rPr>
        <w:t xml:space="preserve">我公司（单位、联合体）针</w:t>
      </w:r>
      <w:r>
        <w:rPr>
          <w:rFonts w:hint="eastAsia"/>
          <w:color w:val="auto"/>
          <w:sz w:val="24"/>
          <w:szCs w:val="24"/>
        </w:rPr>
        <w:t xml:space="preserve">对</w:t>
      </w:r>
      <w:r>
        <w:rPr>
          <w:rFonts w:hint="eastAsia" w:ascii="宋体" w:hAnsi="宋体"/>
          <w:bCs/>
          <w:color w:val="auto"/>
          <w:sz w:val="24"/>
          <w:szCs w:val="24"/>
          <w:lang w:eastAsia="zh-CN"/>
        </w:rPr>
        <w:t xml:space="preserve">JSZC-320214-JZCG-G2026-0018</w:t>
      </w:r>
      <w:r>
        <w:rPr>
          <w:rFonts w:hint="eastAsia" w:ascii="宋体" w:hAnsi="宋体"/>
          <w:bCs/>
          <w:color w:val="auto"/>
          <w:sz w:val="24"/>
          <w:szCs w:val="24"/>
        </w:rPr>
        <w:t xml:space="preserve">项目，兹授权：</w:t>
      </w:r>
      <w:r/>
    </w:p>
    <w:p>
      <w:pPr>
        <w:pStyle w:val="763"/>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63"/>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63"/>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63"/>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63"/>
        <w:ind w:firstLine="480"/>
        <w:rPr>
          <w:rFonts w:hint="eastAsia"/>
          <w:color w:val="auto"/>
          <w:sz w:val="24"/>
          <w:szCs w:val="24"/>
        </w:rPr>
      </w:pPr>
      <w:r>
        <w:rPr>
          <w:rFonts w:hint="eastAsia"/>
          <w:color w:val="auto"/>
          <w:sz w:val="24"/>
          <w:szCs w:val="24"/>
        </w:rPr>
        <w:t xml:space="preserve">特此授权委托。</w:t>
      </w:r>
      <w:r/>
    </w:p>
    <w:p>
      <w:pPr>
        <w:pStyle w:val="763"/>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63"/>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63"/>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3"/>
        <w:ind w:firstLine="0"/>
        <w:rPr>
          <w:rFonts w:hint="eastAsia"/>
          <w:color w:val="auto"/>
          <w:sz w:val="21"/>
          <w:szCs w:val="21"/>
        </w:rPr>
      </w:pPr>
      <w:r>
        <w:rPr>
          <w:rFonts w:hint="eastAsia"/>
          <w:color w:val="auto"/>
          <w:sz w:val="21"/>
          <w:szCs w:val="21"/>
        </w:rPr>
      </w:r>
      <w:r/>
    </w:p>
    <w:p>
      <w:pPr>
        <w:pStyle w:val="763"/>
        <w:ind w:firstLine="0"/>
        <w:spacing w:line="360" w:lineRule="auto"/>
        <w:rPr>
          <w:rFonts w:hint="eastAsia"/>
          <w:color w:val="auto"/>
          <w:sz w:val="21"/>
          <w:szCs w:val="21"/>
        </w:rPr>
      </w:pPr>
      <w:r>
        <w:rPr>
          <w:rFonts w:hint="eastAsia"/>
          <w:color w:val="auto"/>
          <w:sz w:val="21"/>
          <w:szCs w:val="21"/>
        </w:rPr>
        <w:t xml:space="preserve">说明：</w:t>
      </w:r>
      <w:r/>
    </w:p>
    <w:p>
      <w:pPr>
        <w:pStyle w:val="763"/>
        <w:numPr>
          <w:ilvl w:val="0"/>
          <w:numId w:val="15"/>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763"/>
        <w:numPr>
          <w:ilvl w:val="0"/>
          <w:numId w:val="15"/>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3"/>
        <w:numPr>
          <w:ilvl w:val="0"/>
          <w:numId w:val="15"/>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763"/>
        <w:numPr>
          <w:ilvl w:val="0"/>
          <w:numId w:val="15"/>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3"/>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JSZC-320214-JZCG-G2026-0018</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w:t>
      </w:r>
      <w:r>
        <w:rPr>
          <w:rFonts w:hint="eastAsia" w:ascii="宋体" w:hAnsi="宋体"/>
          <w:bCs/>
          <w:color w:val="000000"/>
          <w:sz w:val="24"/>
          <w:szCs w:val="24"/>
        </w:rPr>
        <w:t xml:space="preserve">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ind w:firstLine="480"/>
        <w:spacing w:line="360" w:lineRule="auto"/>
        <w:rPr>
          <w:rFonts w:hint="eastAsia"/>
          <w:highlight w:val="none"/>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物业管理服务（不含消防系统维保</w:t>
      </w:r>
      <w:r>
        <w:rPr>
          <w:rFonts w:hint="eastAsia" w:ascii="宋体" w:hAnsi="宋体"/>
          <w:bCs/>
          <w:color w:val="auto"/>
          <w:sz w:val="24"/>
          <w:szCs w:val="24"/>
          <w:highlight w:val="none"/>
          <w:u w:val="single"/>
          <w:lang w:eastAsia="zh-CN"/>
        </w:rPr>
        <w:t xml:space="preserve">、强弱电系统维保</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消防系统维保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强弱电系统维保</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pStyle w:val="688"/>
        <w:rPr>
          <w:color w:val="auto"/>
          <w:highlight w:val="none"/>
        </w:rPr>
      </w:pPr>
      <w:r>
        <w:rPr>
          <w:color w:val="auto"/>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auto"/>
          <w:highlight w:val="none"/>
          <w:u w:val="single"/>
        </w:rPr>
        <w:t xml:space="preserve">“企业名称”应填报为提供该项服务的承建（承接）商，“企业名称（盖章）”处须盖有相应承建（承接）商企业公章（即消防系统维保、强弱电系统维保如中标后由分包供应商承建（承接）的，则“企业名称（盖章）”处还须盖有该分包供应商单位公章）。</w:t>
      </w:r>
      <w:r>
        <w:rPr>
          <w:rFonts w:hint="eastAsia"/>
          <w:color w:val="auto"/>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highlight w:val="none"/>
        </w:rPr>
      </w:pPr>
      <w:r>
        <w:rPr>
          <w:rFonts w:hint="eastAsia"/>
          <w:highlight w:val="none"/>
        </w:rPr>
        <w:t xml:space="preserve">（3）中标供应商的《</w:t>
      </w:r>
      <w:r>
        <w:rPr>
          <w:highlight w:val="none"/>
        </w:rPr>
        <w:t xml:space="preserve">中小企业声明函</w:t>
      </w:r>
      <w:r>
        <w:rPr>
          <w:rFonts w:hint="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highlight w:val="none"/>
        </w:rPr>
      </w:pPr>
      <w:r>
        <w:rPr>
          <w:rFonts w:ascii="宋体" w:hAnsi="宋体"/>
          <w:bCs/>
          <w:color w:val="ff0000"/>
          <w:sz w:val="24"/>
          <w:szCs w:val="24"/>
          <w:highlight w:val="none"/>
        </w:rPr>
      </w:r>
      <w:r/>
    </w:p>
    <w:p>
      <w:pPr>
        <w:ind w:firstLine="420"/>
        <w:spacing w:line="360" w:lineRule="auto"/>
        <w:rPr>
          <w:highlight w:val="none"/>
        </w:rPr>
      </w:pPr>
      <w:r>
        <w:rPr>
          <w:highlight w:val="none"/>
        </w:rPr>
      </w:r>
      <w:r/>
    </w:p>
    <w:p>
      <w:pPr>
        <w:ind w:firstLine="482"/>
        <w:jc w:val="left"/>
        <w:spacing w:line="360" w:lineRule="auto"/>
        <w:shd w:val="clear" w:color="auto" w:fill="ffffff"/>
        <w:widowControl/>
        <w:rPr>
          <w:color w:val="00b050"/>
          <w:highlight w:val="none"/>
        </w:rPr>
      </w:pPr>
      <w:r>
        <w:rPr>
          <w:color w:val="00b050"/>
          <w:highlight w:val="none"/>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000000"/>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JSZC-320214-JZCG-G2026-0018</w:t>
      </w:r>
      <w:r>
        <w:rPr>
          <w:rFonts w:hint="eastAsia" w:ascii="宋体" w:hAnsi="宋体"/>
          <w:bCs/>
          <w:color w:val="auto"/>
          <w:sz w:val="24"/>
          <w:szCs w:val="24"/>
        </w:rPr>
        <w:t xml:space="preserve">招标文</w:t>
      </w:r>
      <w:r>
        <w:rPr>
          <w:rFonts w:hint="eastAsia" w:ascii="宋体" w:hAnsi="宋体"/>
          <w:bCs/>
          <w:color w:val="000000"/>
          <w:sz w:val="24"/>
          <w:szCs w:val="24"/>
        </w:rPr>
        <w:t xml:space="preserve">件，经仔细阅读和研究，我方决定参加此项目的投标。</w:t>
      </w:r>
      <w:r/>
    </w:p>
    <w:p>
      <w:pPr>
        <w:numPr>
          <w:ilvl w:val="0"/>
          <w:numId w:val="1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ind w:firstLine="3720"/>
        <w:spacing w:line="480" w:lineRule="auto"/>
        <w:rPr>
          <w:rFonts w:ascii="宋体" w:hAnsi="宋体"/>
          <w:bCs/>
          <w:color w:val="000000"/>
          <w:sz w:val="24"/>
          <w:szCs w:val="24"/>
        </w:rPr>
      </w:pPr>
      <w:r>
        <w:rPr>
          <w:rFonts w:hint="eastAsia" w:ascii="宋体" w:hAnsi="宋体"/>
          <w:bCs/>
          <w:color w:val="000000"/>
          <w:sz w:val="24"/>
          <w:szCs w:val="24"/>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JSZC-320214-JZCG-G2026-0018</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JSZC-320214-JZCG-G2026-0018</w:t>
      </w:r>
      <w:r/>
    </w:p>
    <w:tbl>
      <w:tblPr>
        <w:tblStyle w:val="68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791"/>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无锡市新洲小学2026年物业管理服务项目</w:t>
            </w:r>
            <w:r/>
          </w:p>
        </w:tc>
        <w:tc>
          <w:tcPr>
            <w:tcW w:w="3188" w:type="dxa"/>
            <w:vAlign w:val="center"/>
            <w:textDirection w:val="lrTb"/>
            <w:noWrap w:val="false"/>
          </w:tcPr>
          <w:p>
            <w:pPr>
              <w:pStyle w:val="791"/>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JSZC-320214-JZCG-G2026-0018</w:t>
      </w:r>
      <w:r/>
    </w:p>
    <w:tbl>
      <w:tblPr>
        <w:tblStyle w:val="687"/>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auto"/>
          <w:sz w:val="24"/>
          <w:szCs w:val="24"/>
          <w:highlight w:val="none"/>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项目名称</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人数配置</w:t>
            </w:r>
            <w:r/>
          </w:p>
        </w:tc>
        <w:tc>
          <w:tcPr>
            <w:tcW w:w="141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人员费用标准</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8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68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1</w:t>
            </w:r>
            <w:r/>
          </w:p>
        </w:tc>
        <w:tc>
          <w:tcPr>
            <w:tcW w:w="1985"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员工工资及福利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项目经理</w:t>
            </w:r>
            <w:r/>
          </w:p>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（项目负责人）</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XX人员</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t xml:space="preserve">自行添行明确</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法定节假日加班工资</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color w:val="auto"/>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2</w:t>
            </w:r>
            <w:r/>
          </w:p>
        </w:tc>
        <w:tc>
          <w:tcPr>
            <w:tcW w:w="198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法定计提费用</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养老保险</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（2）</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医疗统筹</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（3）</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失业</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（4）</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工伤</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（5）</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生育</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top"/>
            <w:textDirection w:val="lrTb"/>
            <w:noWrap w:val="false"/>
          </w:tcPr>
          <w:p>
            <w:pPr>
              <w:rPr>
                <w:color w:val="auto"/>
                <w:highlight w:val="none"/>
              </w:rPr>
            </w:pPr>
            <w:r>
              <w:rPr>
                <w:rFonts w:hint="eastAsia" w:ascii="宋体" w:hAnsi="宋体"/>
                <w:color w:val="auto"/>
                <w:sz w:val="18"/>
                <w:szCs w:val="18"/>
                <w:highlight w:val="none"/>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（6）</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tcW w:w="68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198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jc w:val="center"/>
        </w:trPr>
        <w:tc>
          <w:tcPr>
            <w:gridSpan w:val="2"/>
            <w:tcW w:w="266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41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84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注：1、以上人员费用须包括工资、社保等内容，须符合国家、省、市相关政策规定；本项目如有允许配置</w:t>
      </w:r>
      <w:r>
        <w:rPr>
          <w:rFonts w:ascii="宋体" w:hAnsi="宋体"/>
          <w:bCs/>
          <w:color w:val="auto"/>
          <w:highlight w:val="none"/>
        </w:rPr>
        <w:t xml:space="preserve">按国家规定可不缴纳社保的人员</w:t>
      </w:r>
      <w:r>
        <w:rPr>
          <w:rFonts w:hint="eastAsia" w:ascii="宋体" w:hAnsi="宋体"/>
          <w:bCs/>
          <w:color w:val="auto"/>
          <w:highlight w:val="none"/>
        </w:rPr>
        <w:t xml:space="preserve">（详见第四章《采购需求》），上表“法定计提费用”中的人员配置总数可扣除上述人员，但须</w:t>
      </w:r>
      <w:r>
        <w:rPr>
          <w:rFonts w:ascii="宋体" w:hAnsi="宋体"/>
          <w:bCs/>
          <w:color w:val="auto"/>
          <w:highlight w:val="none"/>
        </w:rPr>
        <w:t xml:space="preserve">提供</w:t>
      </w:r>
      <w:r>
        <w:rPr>
          <w:rFonts w:hint="eastAsia" w:ascii="宋体" w:hAnsi="宋体"/>
          <w:bCs/>
          <w:color w:val="auto"/>
          <w:highlight w:val="none"/>
        </w:rPr>
        <w:t xml:space="preserve">该人员</w:t>
      </w:r>
      <w:r>
        <w:rPr>
          <w:rFonts w:ascii="宋体" w:hAnsi="宋体"/>
          <w:bCs/>
          <w:color w:val="auto"/>
          <w:highlight w:val="none"/>
        </w:rPr>
        <w:t xml:space="preserve">相关证明材料</w:t>
      </w:r>
      <w:r>
        <w:rPr>
          <w:rFonts w:hint="eastAsia" w:ascii="宋体" w:hAnsi="宋体"/>
          <w:bCs/>
          <w:color w:val="auto"/>
          <w:highlight w:val="none"/>
          <w:lang w:val="en-US" w:eastAsia="zh-CN"/>
        </w:rPr>
        <w:t xml:space="preserve">扫描</w:t>
      </w:r>
      <w:r>
        <w:rPr>
          <w:rFonts w:ascii="宋体" w:hAnsi="宋体"/>
          <w:bCs/>
          <w:color w:val="auto"/>
          <w:highlight w:val="none"/>
        </w:rPr>
        <w:t xml:space="preserve">件</w:t>
      </w:r>
      <w:r>
        <w:rPr>
          <w:rFonts w:hint="eastAsia" w:ascii="宋体" w:hAnsi="宋体"/>
          <w:bCs/>
          <w:color w:val="auto"/>
          <w:highlight w:val="none"/>
        </w:rPr>
        <w:t xml:space="preserve">，否则投标文件无效。</w:t>
      </w:r>
      <w:r/>
    </w:p>
    <w:p>
      <w:pPr>
        <w:ind w:firstLine="405"/>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68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992"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物品名称</w:t>
            </w:r>
            <w:r/>
          </w:p>
        </w:tc>
        <w:tc>
          <w:tcPr>
            <w:tcW w:w="709"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p>
            <w:pPr>
              <w:rPr>
                <w:rFonts w:hint="eastAsia" w:ascii="宋体" w:hAnsi="宋体"/>
                <w:b/>
                <w:color w:val="auto"/>
                <w:sz w:val="18"/>
                <w:szCs w:val="18"/>
                <w:highlight w:val="none"/>
              </w:rPr>
            </w:pPr>
            <w:r>
              <w:rPr>
                <w:rFonts w:hint="eastAsia" w:ascii="宋体" w:hAnsi="宋体"/>
                <w:b/>
                <w:color w:val="auto"/>
                <w:sz w:val="18"/>
                <w:szCs w:val="18"/>
                <w:highlight w:val="none"/>
              </w:rPr>
              <w:t xml:space="preserve">型号</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数量</w:t>
            </w:r>
            <w:r/>
          </w:p>
        </w:tc>
        <w:tc>
          <w:tcPr>
            <w:tcW w:w="85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276"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1134" w:type="dxa"/>
            <w:vAlign w:val="center"/>
            <w:textDirection w:val="lrTb"/>
            <w:noWrap w:val="false"/>
          </w:tcPr>
          <w:p>
            <w:pP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85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tc>
          <w:tcPr>
            <w:gridSpan w:val="6"/>
            <w:tcW w:w="521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6"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68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851"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名称</w:t>
            </w:r>
            <w:r/>
          </w:p>
        </w:tc>
        <w:tc>
          <w:tcPr>
            <w:tcW w:w="708"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品牌</w:t>
            </w:r>
            <w:r/>
          </w:p>
        </w:tc>
        <w:tc>
          <w:tcPr>
            <w:tcW w:w="99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99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每年用量</w:t>
            </w:r>
            <w:r/>
          </w:p>
        </w:tc>
        <w:tc>
          <w:tcPr>
            <w:tcW w:w="709"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1275"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金额（元/月）</w:t>
            </w:r>
            <w:r/>
          </w:p>
        </w:tc>
        <w:tc>
          <w:tcPr>
            <w:tcW w:w="1560"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金额（元/年）</w:t>
            </w:r>
            <w:r/>
          </w:p>
        </w:tc>
        <w:tc>
          <w:tcPr>
            <w:tcW w:w="1134"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产地</w:t>
            </w:r>
            <w:r/>
          </w:p>
        </w:tc>
      </w:tr>
      <w:tr>
        <w:trPr/>
        <w:tc>
          <w:tcPr>
            <w:tcW w:w="81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1</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tc>
          <w:tcPr>
            <w:tcW w:w="817" w:type="dxa"/>
            <w:vAlign w:val="center"/>
            <w:textDirection w:val="lrTb"/>
            <w:noWrap w:val="false"/>
          </w:tcPr>
          <w:p>
            <w:pPr>
              <w:jc w:val="center"/>
              <w:rPr>
                <w:rFonts w:hint="eastAsia" w:ascii="宋体" w:hAnsi="宋体"/>
                <w:color w:val="auto"/>
                <w:sz w:val="18"/>
                <w:szCs w:val="18"/>
                <w:highlight w:val="none"/>
              </w:rPr>
            </w:pPr>
            <w:r>
              <w:rPr>
                <w:rFonts w:ascii="宋体" w:hAnsi="宋体"/>
                <w:color w:val="auto"/>
                <w:sz w:val="18"/>
                <w:szCs w:val="18"/>
                <w:highlight w:val="none"/>
              </w:rPr>
              <w:t xml:space="preserve">…</w:t>
            </w:r>
            <w:r>
              <w:rPr>
                <w:rFonts w:hint="eastAsia" w:ascii="宋体" w:hAnsi="宋体"/>
                <w:color w:val="auto"/>
                <w:sz w:val="18"/>
                <w:szCs w:val="18"/>
                <w:highlight w:val="none"/>
              </w:rPr>
              <w:t xml:space="preserve"> </w:t>
            </w:r>
            <w:r>
              <w:rPr>
                <w:rFonts w:ascii="宋体" w:hAnsi="宋体"/>
                <w:color w:val="auto"/>
                <w:sz w:val="18"/>
                <w:szCs w:val="18"/>
                <w:highlight w:val="none"/>
              </w:rPr>
              <w:t xml:space="preserve">…</w:t>
            </w:r>
            <w:r/>
          </w:p>
        </w:tc>
        <w:tc>
          <w:tcPr>
            <w:tcW w:w="851"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8"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3"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992"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709"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r>
        <w:trPr/>
        <w:tc>
          <w:tcPr>
            <w:gridSpan w:val="6"/>
            <w:tcW w:w="507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合计：</w:t>
            </w:r>
            <w:r/>
          </w:p>
        </w:tc>
        <w:tc>
          <w:tcPr>
            <w:tcW w:w="1275"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560"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c>
          <w:tcPr>
            <w:tcW w:w="1134"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r>
            <w:r/>
          </w:p>
        </w:tc>
      </w:tr>
    </w:tbl>
    <w:p>
      <w:pPr>
        <w:jc w:val="left"/>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687"/>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序号</w:t>
            </w:r>
            <w:r/>
          </w:p>
        </w:tc>
        <w:tc>
          <w:tcPr>
            <w:tcW w:w="3023"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维保内容</w:t>
            </w:r>
            <w:r/>
          </w:p>
        </w:tc>
        <w:tc>
          <w:tcPr>
            <w:tcW w:w="1214"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单价（元）</w:t>
            </w:r>
            <w:r/>
          </w:p>
        </w:tc>
        <w:tc>
          <w:tcPr>
            <w:tcW w:w="1442"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（元/月）</w:t>
            </w:r>
            <w:r/>
          </w:p>
        </w:tc>
        <w:tc>
          <w:tcPr>
            <w:tcW w:w="1413" w:type="dxa"/>
            <w:vAlign w:val="center"/>
            <w:textDirection w:val="lrTb"/>
            <w:noWrap w:val="false"/>
          </w:tcPr>
          <w:p>
            <w:pPr>
              <w:jc w:val="center"/>
              <w:rPr>
                <w:rFonts w:hint="eastAsia" w:ascii="宋体" w:hAnsi="宋体"/>
                <w:b/>
                <w:color w:val="auto"/>
                <w:sz w:val="18"/>
                <w:szCs w:val="18"/>
                <w:highlight w:val="none"/>
              </w:rPr>
            </w:pPr>
            <w:r>
              <w:rPr>
                <w:rFonts w:hint="eastAsia" w:ascii="宋体" w:hAnsi="宋体"/>
                <w:b/>
                <w:color w:val="auto"/>
                <w:sz w:val="18"/>
                <w:szCs w:val="18"/>
                <w:highlight w:val="none"/>
              </w:rPr>
              <w:t xml:space="preserve">合计费用</w:t>
            </w:r>
            <w:r/>
          </w:p>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（元/年）</w:t>
            </w:r>
            <w:r/>
          </w:p>
        </w:tc>
        <w:tc>
          <w:tcPr>
            <w:tcW w:w="988" w:type="dxa"/>
            <w:vAlign w:val="center"/>
            <w:textDirection w:val="lrTb"/>
            <w:noWrap w:val="false"/>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备注</w:t>
            </w:r>
            <w:r/>
          </w:p>
        </w:tc>
      </w:tr>
      <w:tr>
        <w:trPr>
          <w:jc w:val="center"/>
        </w:trPr>
        <w:tc>
          <w:tcPr>
            <w:tcW w:w="867"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3023" w:type="dxa"/>
            <w:vAlign w:val="center"/>
            <w:textDirection w:val="lrTb"/>
            <w:noWrap w:val="false"/>
          </w:tcPr>
          <w:p>
            <w:pPr>
              <w:jc w:val="center"/>
              <w:rPr>
                <w:rFonts w:ascii="宋体" w:hAnsi="宋体"/>
                <w:b/>
                <w:color w:val="auto"/>
                <w:sz w:val="18"/>
                <w:szCs w:val="18"/>
                <w:highlight w:val="none"/>
              </w:rPr>
            </w:pPr>
            <w:r>
              <w:rPr>
                <w:rFonts w:ascii="宋体" w:hAnsi="宋体"/>
                <w:b/>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tcW w:w="867" w:type="dxa"/>
            <w:vAlign w:val="center"/>
            <w:textDirection w:val="lrTb"/>
            <w:noWrap w:val="false"/>
          </w:tcPr>
          <w:p>
            <w:pPr>
              <w:jc w:val="center"/>
              <w:rPr>
                <w:rFonts w:hint="eastAsia" w:ascii="宋体" w:hAnsi="宋体"/>
                <w:color w:val="auto"/>
                <w:sz w:val="18"/>
                <w:szCs w:val="18"/>
                <w:highlight w:val="none"/>
              </w:rPr>
            </w:pPr>
            <w:r>
              <w:rPr>
                <w:rFonts w:hint="eastAsia" w:ascii="宋体" w:hAnsi="宋体"/>
                <w:color w:val="auto"/>
                <w:sz w:val="18"/>
                <w:szCs w:val="18"/>
                <w:highlight w:val="none"/>
              </w:rPr>
              <w:t xml:space="preserve">……</w:t>
            </w:r>
            <w:r/>
          </w:p>
        </w:tc>
        <w:tc>
          <w:tcPr>
            <w:tcW w:w="3023" w:type="dxa"/>
            <w:vAlign w:val="center"/>
            <w:textDirection w:val="lrTb"/>
            <w:noWrap w:val="false"/>
          </w:tcPr>
          <w:p>
            <w:pPr>
              <w:jc w:val="center"/>
              <w:rPr>
                <w:rFonts w:hint="eastAsia" w:ascii="宋体" w:hAnsi="宋体" w:cs="宋体"/>
                <w:bCs/>
                <w:color w:val="auto"/>
                <w:sz w:val="18"/>
                <w:szCs w:val="18"/>
                <w:highlight w:val="none"/>
              </w:rPr>
            </w:pPr>
            <w:r>
              <w:rPr>
                <w:rFonts w:hint="eastAsia" w:ascii="宋体" w:hAnsi="宋体" w:cs="宋体"/>
                <w:bCs/>
                <w:color w:val="auto"/>
                <w:sz w:val="18"/>
                <w:szCs w:val="18"/>
                <w:highlight w:val="none"/>
              </w:rPr>
            </w:r>
            <w:r/>
          </w:p>
        </w:tc>
        <w:tc>
          <w:tcPr>
            <w:tcW w:w="1214"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r>
        <w:trPr>
          <w:jc w:val="center"/>
        </w:trPr>
        <w:tc>
          <w:tcPr>
            <w:gridSpan w:val="3"/>
            <w:tcW w:w="5104" w:type="dxa"/>
            <w:vAlign w:val="center"/>
            <w:textDirection w:val="lrTb"/>
            <w:noWrap w:val="false"/>
          </w:tcPr>
          <w:p>
            <w:pPr>
              <w:jc w:val="center"/>
              <w:rPr>
                <w:rFonts w:ascii="宋体" w:hAnsi="宋体"/>
                <w:color w:val="auto"/>
                <w:sz w:val="18"/>
                <w:szCs w:val="18"/>
                <w:highlight w:val="none"/>
              </w:rPr>
            </w:pPr>
            <w:r>
              <w:rPr>
                <w:rFonts w:hint="eastAsia" w:ascii="宋体" w:hAnsi="宋体"/>
                <w:color w:val="auto"/>
                <w:sz w:val="18"/>
                <w:szCs w:val="18"/>
                <w:highlight w:val="none"/>
              </w:rPr>
              <w:t xml:space="preserve">合计：</w:t>
            </w:r>
            <w:r/>
          </w:p>
        </w:tc>
        <w:tc>
          <w:tcPr>
            <w:tcW w:w="1442"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1413"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c>
          <w:tcPr>
            <w:tcW w:w="988" w:type="dxa"/>
            <w:vAlign w:val="center"/>
            <w:textDirection w:val="lrTb"/>
            <w:noWrap w:val="false"/>
          </w:tcPr>
          <w:p>
            <w:pPr>
              <w:jc w:val="center"/>
              <w:rPr>
                <w:rFonts w:ascii="宋体" w:hAnsi="宋体"/>
                <w:color w:val="auto"/>
                <w:sz w:val="18"/>
                <w:szCs w:val="18"/>
                <w:highlight w:val="none"/>
              </w:rPr>
            </w:pPr>
            <w:r>
              <w:rPr>
                <w:rFonts w:ascii="宋体" w:hAnsi="宋体"/>
                <w:color w:val="auto"/>
                <w:sz w:val="18"/>
                <w:szCs w:val="18"/>
                <w:highlight w:val="none"/>
              </w:rPr>
            </w:r>
            <w:r/>
          </w:p>
        </w:tc>
      </w:tr>
    </w:tbl>
    <w:p>
      <w:pPr>
        <w:rPr>
          <w:rFonts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rFonts w:hint="eastAsia"/>
          <w:b/>
          <w:color w:val="auto"/>
          <w:sz w:val="28"/>
          <w:szCs w:val="28"/>
          <w:highlight w:val="none"/>
        </w:rPr>
      </w:pPr>
      <w:r>
        <w:rPr>
          <w:rFonts w:hint="eastAsia" w:ascii="宋体" w:hAnsi="宋体"/>
          <w:bCs/>
          <w:color w:val="auto"/>
          <w:highlight w:val="none"/>
        </w:rPr>
        <w:br w:type="page" w:clear="all"/>
      </w: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JSZC-320214-JZCG-G2026-0018</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bookmarkEnd w:id="189"/>
      <w:bookmarkEnd w:id="190"/>
      <w:bookmarkEnd w:id="202"/>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JSZC-320214-JZCG-G2026-0018</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Fonts w:ascii="宋体" w:hAnsi="宋体"/>
      </w:rPr>
      <w:framePr w:wrap="around" w:vAnchor="text" w:hAnchor="margin" w:xAlign="center" w:y="1"/>
    </w:pPr>
    <w:r>
      <w:rPr>
        <w:rFonts w:ascii="宋体" w:hAnsi="宋体"/>
      </w:rPr>
      <w:fldChar w:fldCharType="begin"/>
    </w:r>
    <w:r>
      <w:rPr>
        <w:rStyle w:val="723"/>
        <w:rFonts w:ascii="宋体" w:hAnsi="宋体"/>
      </w:rPr>
      <w:instrText xml:space="preserve">PAGE  </w:instrText>
    </w:r>
    <w:r>
      <w:rPr>
        <w:rFonts w:ascii="宋体" w:hAnsi="宋体"/>
      </w:rPr>
      <w:fldChar w:fldCharType="separate"/>
    </w:r>
    <w:r>
      <w:rPr>
        <w:rStyle w:val="723"/>
        <w:rFonts w:ascii="宋体" w:hAnsi="宋体"/>
      </w:rPr>
      <w:t xml:space="preserve">１５</w:t>
    </w:r>
    <w:r>
      <w:rPr>
        <w:rFonts w:ascii="宋体" w:hAnsi="宋体"/>
      </w:rPr>
      <w:fldChar w:fldCharType="end"/>
    </w:r>
    <w:r/>
  </w:p>
  <w:p>
    <w:pPr>
      <w:pStyle w:val="70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Pr>
      <w:framePr w:wrap="around" w:vAnchor="text" w:hAnchor="margin" w:xAlign="center" w:y="1"/>
    </w:pPr>
    <w:r>
      <w:fldChar w:fldCharType="begin"/>
    </w:r>
    <w:r>
      <w:rPr>
        <w:rStyle w:val="723"/>
      </w:rPr>
      <w:instrText xml:space="preserve">PAGE  </w:instrText>
    </w:r>
    <w:r>
      <w:fldChar w:fldCharType="separate"/>
    </w:r>
    <w:r>
      <w:rPr>
        <w:rStyle w:val="723"/>
      </w:rPr>
      <w:t xml:space="preserve">1</w:t>
    </w:r>
    <w:r>
      <w:fldChar w:fldCharType="end"/>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2"/>
      <w:isLgl w:val="false"/>
      <w:suff w:val="nothing"/>
      <w:lvlText w:val=""/>
      <w:lvlJc w:val="left"/>
      <w:pPr>
        <w:ind w:left="0" w:firstLine="0"/>
      </w:pPr>
      <w:rPr>
        <w:rFonts w:hint="eastAsia"/>
      </w:rPr>
    </w:lvl>
    <w:lvl w:ilvl="6">
      <w:start w:val="1"/>
      <w:numFmt w:val="none"/>
      <w:pStyle w:val="683"/>
      <w:isLgl w:val="false"/>
      <w:suff w:val="nothing"/>
      <w:lvlText w:val=""/>
      <w:lvlJc w:val="left"/>
      <w:pPr>
        <w:ind w:left="0" w:firstLine="0"/>
      </w:pPr>
      <w:rPr>
        <w:rFonts w:hint="eastAsia"/>
      </w:rPr>
    </w:lvl>
    <w:lvl w:ilvl="7">
      <w:start w:val="1"/>
      <w:numFmt w:val="none"/>
      <w:pStyle w:val="684"/>
      <w:isLgl w:val="false"/>
      <w:suff w:val="nothing"/>
      <w:lvlText w:val=""/>
      <w:lvlJc w:val="left"/>
      <w:pPr>
        <w:ind w:left="0" w:firstLine="0"/>
      </w:pPr>
      <w:rPr>
        <w:rFonts w:hint="eastAsia"/>
      </w:rPr>
    </w:lvl>
    <w:lvl w:ilvl="8">
      <w:start w:val="1"/>
      <w:numFmt w:val="none"/>
      <w:pStyle w:val="685"/>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5"/>
  </w:num>
  <w:num w:numId="3">
    <w:abstractNumId w:val="9"/>
  </w:num>
  <w:num w:numId="4">
    <w:abstractNumId w:val="15"/>
  </w:num>
  <w:num w:numId="5">
    <w:abstractNumId w:val="10"/>
  </w:num>
  <w:num w:numId="6">
    <w:abstractNumId w:val="8"/>
  </w:num>
  <w:num w:numId="7">
    <w:abstractNumId w:val="3"/>
  </w:num>
  <w:num w:numId="8">
    <w:abstractNumId w:val="2"/>
  </w:num>
  <w:num w:numId="9">
    <w:abstractNumId w:val="6"/>
  </w:num>
  <w:num w:numId="10">
    <w:abstractNumId w:val="11"/>
  </w:num>
  <w:num w:numId="11">
    <w:abstractNumId w:val="1"/>
  </w:num>
  <w:num w:numId="12">
    <w:abstractNumId w:val="7"/>
  </w:num>
  <w:num w:numId="13">
    <w:abstractNumId w:val="4"/>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6"/>
    <w:uiPriority w:val="99"/>
  </w:style>
  <w:style w:type="character" w:styleId="44">
    <w:name w:val="Footer Char"/>
    <w:basedOn w:val="686"/>
    <w:link w:val="70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link w:val="729"/>
    <w:uiPriority w:val="0"/>
    <w:qFormat/>
    <w:pPr>
      <w:jc w:val="center"/>
      <w:keepNext/>
      <w:outlineLvl w:val="0"/>
    </w:pPr>
    <w:rPr>
      <w:rFonts w:ascii="楷体_GB2312" w:eastAsia="楷体_GB2312"/>
      <w:sz w:val="28"/>
      <w:szCs w:val="28"/>
    </w:rPr>
  </w:style>
  <w:style w:type="paragraph" w:styleId="678">
    <w:name w:val="Heading 2"/>
    <w:basedOn w:val="676"/>
    <w:next w:val="689"/>
    <w:link w:val="730"/>
    <w:uiPriority w:val="0"/>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89"/>
    <w:link w:val="732"/>
    <w:uiPriority w:val="0"/>
    <w:qFormat/>
    <w:pPr>
      <w:keepLines/>
      <w:keepNext/>
      <w:spacing w:before="260" w:after="260" w:line="416" w:lineRule="auto"/>
      <w:outlineLvl w:val="2"/>
    </w:pPr>
    <w:rPr>
      <w:b/>
      <w:bCs/>
      <w:sz w:val="32"/>
      <w:szCs w:val="32"/>
    </w:rPr>
  </w:style>
  <w:style w:type="paragraph" w:styleId="680">
    <w:name w:val="Heading 4"/>
    <w:basedOn w:val="676"/>
    <w:next w:val="689"/>
    <w:link w:val="733"/>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9"/>
    <w:link w:val="734"/>
    <w:uiPriority w:val="0"/>
    <w:qFormat/>
    <w:pPr>
      <w:keepNext/>
      <w:outlineLvl w:val="4"/>
    </w:pPr>
    <w:rPr>
      <w:rFonts w:ascii="宋体"/>
      <w:color w:val="000000"/>
      <w:sz w:val="28"/>
      <w:szCs w:val="28"/>
    </w:rPr>
  </w:style>
  <w:style w:type="paragraph" w:styleId="682">
    <w:name w:val="Heading 6"/>
    <w:basedOn w:val="676"/>
    <w:next w:val="676"/>
    <w:link w:val="7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736"/>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7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738"/>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unhideWhenUsed/>
    <w:qFormat/>
  </w:style>
  <w:style w:type="table" w:styleId="687" w:default="1">
    <w:name w:val="Normal Table"/>
    <w:uiPriority w:val="99"/>
    <w:unhideWhenUsed/>
    <w:qFormat/>
    <w:tblPr>
      <w:tblCellMar>
        <w:left w:w="108" w:type="dxa"/>
        <w:top w:w="0" w:type="dxa"/>
        <w:right w:w="108" w:type="dxa"/>
        <w:bottom w:w="0" w:type="dxa"/>
      </w:tblCellMar>
    </w:tblPr>
  </w:style>
  <w:style w:type="paragraph" w:styleId="688" w:customStyle="1">
    <w:name w:val="正文文本11"/>
    <w:basedOn w:val="676"/>
    <w:uiPriority w:val="0"/>
    <w:qFormat/>
    <w:rPr>
      <w:rFonts w:ascii="Times New Roman" w:hAnsi="Times New Roman"/>
      <w:sz w:val="18"/>
      <w:szCs w:val="20"/>
    </w:rPr>
  </w:style>
  <w:style w:type="paragraph" w:styleId="689">
    <w:name w:val="Normal Indent"/>
    <w:basedOn w:val="676"/>
    <w:link w:val="731"/>
    <w:uiPriority w:val="0"/>
    <w:qFormat/>
    <w:pPr>
      <w:ind w:firstLine="420"/>
    </w:pPr>
    <w:rPr>
      <w:sz w:val="20"/>
    </w:rPr>
  </w:style>
  <w:style w:type="paragraph" w:styleId="690">
    <w:name w:val="List 3"/>
    <w:basedOn w:val="676"/>
    <w:uiPriority w:val="0"/>
    <w:qFormat/>
    <w:pPr>
      <w:ind w:left="100" w:hanging="200"/>
    </w:pPr>
  </w:style>
  <w:style w:type="paragraph" w:styleId="691">
    <w:name w:val="toc 7"/>
    <w:basedOn w:val="676"/>
    <w:next w:val="676"/>
    <w:uiPriority w:val="0"/>
    <w:semiHidden/>
    <w:qFormat/>
    <w:pPr>
      <w:ind w:left="1260"/>
      <w:jc w:val="left"/>
    </w:pPr>
  </w:style>
  <w:style w:type="paragraph" w:styleId="692">
    <w:name w:val="Document Map"/>
    <w:basedOn w:val="676"/>
    <w:link w:val="739"/>
    <w:uiPriority w:val="0"/>
    <w:semiHidden/>
    <w:qFormat/>
    <w:pPr>
      <w:shd w:val="clear" w:color="auto" w:fill="000080"/>
    </w:pPr>
    <w:rPr>
      <w:sz w:val="20"/>
    </w:rPr>
  </w:style>
  <w:style w:type="paragraph" w:styleId="693">
    <w:name w:val="annotation text"/>
    <w:basedOn w:val="676"/>
    <w:link w:val="740"/>
    <w:uiPriority w:val="0"/>
    <w:semiHidden/>
    <w:qFormat/>
    <w:pPr>
      <w:jc w:val="left"/>
    </w:pPr>
    <w:rPr>
      <w:sz w:val="20"/>
    </w:rPr>
  </w:style>
  <w:style w:type="paragraph" w:styleId="694">
    <w:name w:val="Body Text 3"/>
    <w:basedOn w:val="676"/>
    <w:link w:val="741"/>
    <w:uiPriority w:val="0"/>
    <w:qFormat/>
    <w:rPr>
      <w:rFonts w:ascii="仿宋_GB2312" w:hAnsi="Arial" w:eastAsia="仿宋_GB2312"/>
      <w:sz w:val="32"/>
      <w:szCs w:val="32"/>
    </w:rPr>
  </w:style>
  <w:style w:type="paragraph" w:styleId="695">
    <w:name w:val="Body Text"/>
    <w:basedOn w:val="676"/>
    <w:link w:val="742"/>
    <w:uiPriority w:val="0"/>
    <w:qFormat/>
    <w:rPr>
      <w:rFonts w:ascii="楷体_GB2312" w:hAnsi="Arial" w:eastAsia="楷体_GB2312"/>
      <w:sz w:val="28"/>
      <w:szCs w:val="28"/>
    </w:rPr>
  </w:style>
  <w:style w:type="paragraph" w:styleId="696">
    <w:name w:val="Body Text Indent"/>
    <w:basedOn w:val="676"/>
    <w:link w:val="743"/>
    <w:uiPriority w:val="0"/>
    <w:qFormat/>
    <w:pPr>
      <w:ind w:firstLine="645"/>
    </w:pPr>
    <w:rPr>
      <w:rFonts w:ascii="楷体_GB2312" w:eastAsia="楷体_GB2312"/>
      <w:sz w:val="32"/>
      <w:szCs w:val="32"/>
    </w:rPr>
  </w:style>
  <w:style w:type="paragraph" w:styleId="697">
    <w:name w:val="List 2"/>
    <w:basedOn w:val="676"/>
    <w:uiPriority w:val="0"/>
    <w:qFormat/>
    <w:pPr>
      <w:ind w:left="100" w:hanging="200"/>
    </w:pPr>
  </w:style>
  <w:style w:type="paragraph" w:styleId="698">
    <w:name w:val="toc 5"/>
    <w:basedOn w:val="676"/>
    <w:next w:val="676"/>
    <w:uiPriority w:val="0"/>
    <w:semiHidden/>
    <w:qFormat/>
    <w:pPr>
      <w:ind w:left="840"/>
      <w:jc w:val="left"/>
    </w:pPr>
  </w:style>
  <w:style w:type="paragraph" w:styleId="699">
    <w:name w:val="toc 3"/>
    <w:basedOn w:val="676"/>
    <w:next w:val="676"/>
    <w:uiPriority w:val="0"/>
    <w:semiHidden/>
    <w:qFormat/>
    <w:pPr>
      <w:ind w:left="420"/>
      <w:jc w:val="left"/>
    </w:pPr>
    <w:rPr>
      <w:i/>
      <w:iCs/>
      <w:szCs w:val="24"/>
    </w:rPr>
  </w:style>
  <w:style w:type="paragraph" w:styleId="700">
    <w:name w:val="Plain Text"/>
    <w:basedOn w:val="676"/>
    <w:link w:val="744"/>
    <w:uiPriority w:val="0"/>
    <w:qFormat/>
    <w:rPr>
      <w:rFonts w:ascii="宋体" w:hAnsi="Courier New"/>
      <w:sz w:val="20"/>
    </w:rPr>
  </w:style>
  <w:style w:type="paragraph" w:styleId="701">
    <w:name w:val="toc 8"/>
    <w:basedOn w:val="676"/>
    <w:next w:val="676"/>
    <w:uiPriority w:val="0"/>
    <w:semiHidden/>
    <w:qFormat/>
    <w:pPr>
      <w:ind w:left="1470"/>
      <w:jc w:val="left"/>
    </w:pPr>
  </w:style>
  <w:style w:type="paragraph" w:styleId="702">
    <w:name w:val="Date"/>
    <w:basedOn w:val="676"/>
    <w:next w:val="676"/>
    <w:link w:val="745"/>
    <w:uiPriority w:val="0"/>
    <w:qFormat/>
    <w:rPr>
      <w:sz w:val="24"/>
      <w:szCs w:val="24"/>
    </w:rPr>
  </w:style>
  <w:style w:type="paragraph" w:styleId="703">
    <w:name w:val="Body Text Indent 2"/>
    <w:basedOn w:val="676"/>
    <w:link w:val="746"/>
    <w:uiPriority w:val="0"/>
    <w:qFormat/>
    <w:pPr>
      <w:ind w:left="630" w:firstLine="645"/>
    </w:pPr>
    <w:rPr>
      <w:rFonts w:ascii="Arial" w:hAnsi="Arial" w:eastAsia="仿宋_GB2312"/>
      <w:sz w:val="32"/>
      <w:szCs w:val="32"/>
    </w:rPr>
  </w:style>
  <w:style w:type="paragraph" w:styleId="704">
    <w:name w:val="Balloon Text"/>
    <w:basedOn w:val="676"/>
    <w:link w:val="747"/>
    <w:uiPriority w:val="0"/>
    <w:semiHidden/>
    <w:qFormat/>
    <w:rPr>
      <w:sz w:val="18"/>
      <w:szCs w:val="18"/>
    </w:rPr>
  </w:style>
  <w:style w:type="paragraph" w:styleId="705">
    <w:name w:val="Footer"/>
    <w:basedOn w:val="676"/>
    <w:link w:val="748"/>
    <w:uiPriority w:val="0"/>
    <w:qFormat/>
    <w:pPr>
      <w:jc w:val="left"/>
      <w:tabs>
        <w:tab w:val="center" w:pos="4153" w:leader="none"/>
        <w:tab w:val="right" w:pos="8306" w:leader="none"/>
      </w:tabs>
    </w:pPr>
    <w:rPr>
      <w:sz w:val="18"/>
      <w:szCs w:val="18"/>
    </w:rPr>
  </w:style>
  <w:style w:type="paragraph" w:styleId="706">
    <w:name w:val="Header"/>
    <w:basedOn w:val="676"/>
    <w:link w:val="749"/>
    <w:uiPriority w:val="99"/>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6"/>
    <w:next w:val="676"/>
    <w:uiPriority w:val="0"/>
    <w:semiHidden/>
    <w:qFormat/>
    <w:pPr>
      <w:jc w:val="left"/>
      <w:spacing w:before="120" w:after="120" w:line="400" w:lineRule="exact"/>
      <w:tabs>
        <w:tab w:val="right" w:pos="8720" w:leader="dot"/>
      </w:tabs>
    </w:pPr>
    <w:rPr>
      <w:rFonts w:ascii="宋体" w:hAnsi="宋体"/>
      <w:caps/>
      <w:sz w:val="24"/>
      <w:szCs w:val="24"/>
    </w:rPr>
  </w:style>
  <w:style w:type="paragraph" w:styleId="708">
    <w:name w:val="toc 4"/>
    <w:basedOn w:val="676"/>
    <w:next w:val="676"/>
    <w:uiPriority w:val="0"/>
    <w:semiHidden/>
    <w:qFormat/>
    <w:pPr>
      <w:ind w:left="630"/>
      <w:jc w:val="left"/>
    </w:pPr>
  </w:style>
  <w:style w:type="paragraph" w:styleId="709">
    <w:name w:val="List"/>
    <w:basedOn w:val="676"/>
    <w:uiPriority w:val="0"/>
    <w:qFormat/>
    <w:pPr>
      <w:ind w:left="200" w:hanging="200"/>
    </w:pPr>
  </w:style>
  <w:style w:type="paragraph" w:styleId="710">
    <w:name w:val="toc 6"/>
    <w:basedOn w:val="676"/>
    <w:next w:val="676"/>
    <w:uiPriority w:val="0"/>
    <w:semiHidden/>
    <w:qFormat/>
    <w:pPr>
      <w:ind w:left="1050"/>
      <w:jc w:val="left"/>
    </w:pPr>
  </w:style>
  <w:style w:type="paragraph" w:styleId="711">
    <w:name w:val="Body Text Indent 3"/>
    <w:basedOn w:val="676"/>
    <w:link w:val="750"/>
    <w:uiPriority w:val="0"/>
    <w:qFormat/>
    <w:pPr>
      <w:ind w:left="645" w:firstLine="645"/>
    </w:pPr>
    <w:rPr>
      <w:rFonts w:ascii="Arial" w:hAnsi="Arial" w:eastAsia="仿宋_GB2312"/>
      <w:color w:val="ffff00"/>
      <w:sz w:val="32"/>
      <w:szCs w:val="32"/>
    </w:rPr>
  </w:style>
  <w:style w:type="paragraph" w:styleId="712">
    <w:name w:val="table of figures"/>
    <w:basedOn w:val="676"/>
    <w:next w:val="676"/>
    <w:uiPriority w:val="0"/>
    <w:semiHidden/>
    <w:qFormat/>
    <w:pPr>
      <w:ind w:left="840" w:hanging="420"/>
    </w:pPr>
  </w:style>
  <w:style w:type="paragraph" w:styleId="713">
    <w:name w:val="toc 2"/>
    <w:basedOn w:val="676"/>
    <w:next w:val="676"/>
    <w:uiPriority w:val="0"/>
    <w:semiHidden/>
    <w:qFormat/>
    <w:pPr>
      <w:ind w:left="210"/>
      <w:jc w:val="left"/>
    </w:pPr>
    <w:rPr>
      <w:smallCaps/>
      <w:szCs w:val="24"/>
    </w:rPr>
  </w:style>
  <w:style w:type="paragraph" w:styleId="714">
    <w:name w:val="toc 9"/>
    <w:basedOn w:val="676"/>
    <w:next w:val="676"/>
    <w:uiPriority w:val="0"/>
    <w:semiHidden/>
    <w:qFormat/>
    <w:pPr>
      <w:ind w:left="1680"/>
      <w:jc w:val="left"/>
    </w:pPr>
  </w:style>
  <w:style w:type="paragraph" w:styleId="715">
    <w:name w:val="Body Text 2"/>
    <w:basedOn w:val="676"/>
    <w:link w:val="751"/>
    <w:uiPriority w:val="0"/>
    <w:qFormat/>
    <w:pPr>
      <w:jc w:val="center"/>
      <w:widowControl/>
    </w:pPr>
    <w:rPr>
      <w:rFonts w:ascii="楷体_GB2312" w:eastAsia="楷体_GB2312"/>
      <w:sz w:val="28"/>
      <w:szCs w:val="28"/>
    </w:rPr>
  </w:style>
  <w:style w:type="paragraph" w:styleId="716">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717">
    <w:name w:val="index 1"/>
    <w:basedOn w:val="676"/>
    <w:next w:val="676"/>
    <w:uiPriority w:val="0"/>
    <w:semiHidden/>
    <w:qFormat/>
    <w:pPr>
      <w:spacing w:line="240" w:lineRule="atLeast"/>
    </w:pPr>
    <w:rPr>
      <w:b/>
      <w:bCs/>
    </w:rPr>
  </w:style>
  <w:style w:type="paragraph" w:styleId="718">
    <w:name w:val="annotation subject"/>
    <w:basedOn w:val="693"/>
    <w:next w:val="693"/>
    <w:link w:val="752"/>
    <w:uiPriority w:val="0"/>
    <w:semiHidden/>
    <w:qFormat/>
    <w:rPr>
      <w:b/>
      <w:bCs/>
    </w:rPr>
  </w:style>
  <w:style w:type="paragraph" w:styleId="719">
    <w:name w:val="Body Text First Indent"/>
    <w:basedOn w:val="695"/>
    <w:link w:val="753"/>
    <w:uiPriority w:val="0"/>
    <w:qFormat/>
    <w:pPr>
      <w:ind w:firstLine="200"/>
      <w:spacing w:line="360" w:lineRule="auto"/>
    </w:pPr>
    <w:rPr>
      <w:rFonts w:ascii="仿宋_GB2312" w:eastAsia="仿宋_GB2312"/>
      <w:sz w:val="30"/>
      <w:szCs w:val="30"/>
    </w:rPr>
  </w:style>
  <w:style w:type="paragraph" w:styleId="720">
    <w:name w:val="Body Text First Indent 2"/>
    <w:basedOn w:val="696"/>
    <w:link w:val="754"/>
    <w:uiPriority w:val="0"/>
    <w:qFormat/>
    <w:pPr>
      <w:ind w:firstLine="420"/>
      <w:spacing w:line="360" w:lineRule="auto"/>
    </w:pPr>
    <w:rPr>
      <w:rFonts w:ascii="宋体" w:hAnsi="宋体" w:eastAsia="宋体"/>
      <w:szCs w:val="20"/>
    </w:rPr>
  </w:style>
  <w:style w:type="table" w:styleId="721">
    <w:name w:val="Table Grid"/>
    <w:basedOn w:val="68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uiPriority w:val="0"/>
    <w:qFormat/>
    <w:rPr>
      <w:b/>
      <w:bCs/>
    </w:rPr>
  </w:style>
  <w:style w:type="character" w:styleId="723">
    <w:name w:val="page number"/>
    <w:uiPriority w:val="0"/>
    <w:qFormat/>
  </w:style>
  <w:style w:type="character" w:styleId="724">
    <w:name w:val="FollowedHyperlink"/>
    <w:uiPriority w:val="0"/>
    <w:qFormat/>
    <w:rPr>
      <w:color w:val="800080"/>
      <w:u w:val="single"/>
    </w:rPr>
  </w:style>
  <w:style w:type="character" w:styleId="725">
    <w:name w:val="HTML Typewriter"/>
    <w:uiPriority w:val="99"/>
    <w:qFormat/>
    <w:rPr>
      <w:rFonts w:ascii="宋体" w:hAnsi="宋体" w:eastAsia="宋体" w:cs="宋体"/>
      <w:sz w:val="24"/>
      <w:szCs w:val="24"/>
    </w:rPr>
  </w:style>
  <w:style w:type="character" w:styleId="726">
    <w:name w:val="Hyperlink"/>
    <w:uiPriority w:val="0"/>
    <w:qFormat/>
    <w:rPr>
      <w:color w:val="0000ff"/>
      <w:u w:val="single"/>
    </w:rPr>
  </w:style>
  <w:style w:type="character" w:styleId="727">
    <w:name w:val="annotation reference"/>
    <w:uiPriority w:val="0"/>
    <w:semiHidden/>
    <w:qFormat/>
    <w:rPr>
      <w:sz w:val="21"/>
      <w:szCs w:val="21"/>
    </w:rPr>
  </w:style>
  <w:style w:type="paragraph" w:styleId="728" w:customStyle="1">
    <w:name w:val="正文文本1"/>
    <w:basedOn w:val="676"/>
    <w:uiPriority w:val="0"/>
    <w:qFormat/>
    <w:rPr>
      <w:rFonts w:ascii="楷体_GB2312" w:hAnsi="Arial" w:eastAsia="楷体_GB2312"/>
      <w:sz w:val="28"/>
      <w:szCs w:val="28"/>
    </w:rPr>
  </w:style>
  <w:style w:type="character" w:styleId="729" w:customStyle="1">
    <w:name w:val="标题 1 Char"/>
    <w:link w:val="677"/>
    <w:uiPriority w:val="0"/>
    <w:qFormat/>
    <w:rPr>
      <w:rFonts w:ascii="楷体_GB2312" w:hAnsi="Times New Roman" w:eastAsia="楷体_GB2312" w:cs="Times New Roman"/>
      <w:sz w:val="28"/>
      <w:szCs w:val="28"/>
    </w:rPr>
  </w:style>
  <w:style w:type="character" w:styleId="730" w:customStyle="1">
    <w:name w:val="标题 2 Char"/>
    <w:link w:val="678"/>
    <w:uiPriority w:val="0"/>
    <w:qFormat/>
    <w:rPr>
      <w:rFonts w:ascii="Arial" w:hAnsi="Arial" w:eastAsia="幼圆" w:cs="Arial"/>
      <w:b/>
      <w:bCs/>
      <w:sz w:val="44"/>
      <w:szCs w:val="44"/>
    </w:rPr>
  </w:style>
  <w:style w:type="character" w:styleId="731" w:customStyle="1">
    <w:name w:val="正文缩进 Char"/>
    <w:link w:val="689"/>
    <w:uiPriority w:val="0"/>
    <w:qFormat/>
    <w:rPr>
      <w:rFonts w:ascii="Times New Roman" w:hAnsi="Times New Roman" w:eastAsia="宋体" w:cs="Times New Roman"/>
      <w:szCs w:val="21"/>
    </w:rPr>
  </w:style>
  <w:style w:type="character" w:styleId="732" w:customStyle="1">
    <w:name w:val="标题 3 Char"/>
    <w:link w:val="679"/>
    <w:uiPriority w:val="0"/>
    <w:qFormat/>
    <w:rPr>
      <w:rFonts w:ascii="Times New Roman" w:hAnsi="Times New Roman" w:eastAsia="宋体" w:cs="Times New Roman"/>
      <w:b/>
      <w:bCs/>
      <w:sz w:val="32"/>
      <w:szCs w:val="32"/>
    </w:rPr>
  </w:style>
  <w:style w:type="character" w:styleId="733" w:customStyle="1">
    <w:name w:val="标题 4 Char"/>
    <w:link w:val="680"/>
    <w:uiPriority w:val="0"/>
    <w:qFormat/>
    <w:rPr>
      <w:rFonts w:ascii="Arial" w:hAnsi="Arial" w:eastAsia="黑体" w:cs="Arial"/>
      <w:b/>
      <w:bCs/>
      <w:sz w:val="28"/>
      <w:szCs w:val="28"/>
    </w:rPr>
  </w:style>
  <w:style w:type="character" w:styleId="734" w:customStyle="1">
    <w:name w:val="标题 5 Char"/>
    <w:link w:val="681"/>
    <w:uiPriority w:val="0"/>
    <w:qFormat/>
    <w:rPr>
      <w:rFonts w:ascii="宋体" w:hAnsi="Times New Roman" w:eastAsia="宋体" w:cs="Times New Roman"/>
      <w:color w:val="000000"/>
      <w:sz w:val="28"/>
      <w:szCs w:val="28"/>
    </w:rPr>
  </w:style>
  <w:style w:type="character" w:styleId="735" w:customStyle="1">
    <w:name w:val="标题 6 Char"/>
    <w:link w:val="682"/>
    <w:uiPriority w:val="0"/>
    <w:qFormat/>
    <w:rPr>
      <w:rFonts w:ascii="Arial" w:hAnsi="Arial" w:eastAsia="黑体" w:cs="Times New Roman"/>
      <w:b/>
      <w:bCs/>
      <w:sz w:val="24"/>
      <w:szCs w:val="24"/>
    </w:rPr>
  </w:style>
  <w:style w:type="character" w:styleId="736" w:customStyle="1">
    <w:name w:val="标题 7 Char"/>
    <w:link w:val="683"/>
    <w:uiPriority w:val="0"/>
    <w:qFormat/>
    <w:rPr>
      <w:rFonts w:ascii="Times New Roman" w:hAnsi="Times New Roman" w:eastAsia="宋体" w:cs="Times New Roman"/>
      <w:b/>
      <w:bCs/>
      <w:sz w:val="24"/>
      <w:szCs w:val="24"/>
    </w:rPr>
  </w:style>
  <w:style w:type="character" w:styleId="737" w:customStyle="1">
    <w:name w:val="标题 8 Char"/>
    <w:link w:val="684"/>
    <w:uiPriority w:val="0"/>
    <w:qFormat/>
    <w:rPr>
      <w:rFonts w:ascii="Arial" w:hAnsi="Arial" w:eastAsia="黑体" w:cs="Times New Roman"/>
      <w:sz w:val="24"/>
      <w:szCs w:val="24"/>
    </w:rPr>
  </w:style>
  <w:style w:type="character" w:styleId="738" w:customStyle="1">
    <w:name w:val="标题 9 Char"/>
    <w:link w:val="685"/>
    <w:uiPriority w:val="0"/>
    <w:qFormat/>
    <w:rPr>
      <w:rFonts w:ascii="Arial" w:hAnsi="Arial" w:eastAsia="黑体" w:cs="Times New Roman"/>
      <w:szCs w:val="21"/>
    </w:rPr>
  </w:style>
  <w:style w:type="character" w:styleId="739" w:customStyle="1">
    <w:name w:val="文档结构图 Char"/>
    <w:link w:val="692"/>
    <w:uiPriority w:val="0"/>
    <w:semiHidden/>
    <w:qFormat/>
    <w:rPr>
      <w:rFonts w:ascii="Times New Roman" w:hAnsi="Times New Roman" w:eastAsia="宋体" w:cs="Times New Roman"/>
      <w:szCs w:val="21"/>
      <w:shd w:val="clear" w:color="auto" w:fill="000080"/>
    </w:rPr>
  </w:style>
  <w:style w:type="character" w:styleId="740" w:customStyle="1">
    <w:name w:val="批注文字 Char"/>
    <w:link w:val="693"/>
    <w:uiPriority w:val="0"/>
    <w:semiHidden/>
    <w:qFormat/>
    <w:rPr>
      <w:rFonts w:ascii="Times New Roman" w:hAnsi="Times New Roman" w:eastAsia="宋体" w:cs="Times New Roman"/>
      <w:szCs w:val="21"/>
    </w:rPr>
  </w:style>
  <w:style w:type="character" w:styleId="741" w:customStyle="1">
    <w:name w:val="正文文本 3 Char"/>
    <w:link w:val="694"/>
    <w:uiPriority w:val="0"/>
    <w:qFormat/>
    <w:rPr>
      <w:rFonts w:ascii="仿宋_GB2312" w:hAnsi="Arial" w:eastAsia="仿宋_GB2312" w:cs="Times New Roman"/>
      <w:sz w:val="32"/>
      <w:szCs w:val="32"/>
    </w:rPr>
  </w:style>
  <w:style w:type="character" w:styleId="742" w:customStyle="1">
    <w:name w:val="正文文本 Char"/>
    <w:link w:val="695"/>
    <w:uiPriority w:val="0"/>
    <w:qFormat/>
    <w:rPr>
      <w:rFonts w:ascii="楷体_GB2312" w:hAnsi="Arial" w:eastAsia="楷体_GB2312" w:cs="Times New Roman"/>
      <w:sz w:val="28"/>
      <w:szCs w:val="28"/>
    </w:rPr>
  </w:style>
  <w:style w:type="character" w:styleId="743" w:customStyle="1">
    <w:name w:val="正文文本缩进 Char"/>
    <w:link w:val="696"/>
    <w:uiPriority w:val="0"/>
    <w:qFormat/>
    <w:rPr>
      <w:rFonts w:ascii="楷体_GB2312" w:hAnsi="Times New Roman" w:eastAsia="楷体_GB2312" w:cs="Times New Roman"/>
      <w:sz w:val="32"/>
      <w:szCs w:val="32"/>
    </w:rPr>
  </w:style>
  <w:style w:type="character" w:styleId="744" w:customStyle="1">
    <w:name w:val="纯文本 Char"/>
    <w:link w:val="700"/>
    <w:uiPriority w:val="0"/>
    <w:qFormat/>
    <w:rPr>
      <w:rFonts w:ascii="宋体" w:hAnsi="Courier New" w:eastAsia="宋体" w:cs="Courier New"/>
      <w:szCs w:val="21"/>
    </w:rPr>
  </w:style>
  <w:style w:type="character" w:styleId="745" w:customStyle="1">
    <w:name w:val="日期 Char"/>
    <w:link w:val="702"/>
    <w:uiPriority w:val="0"/>
    <w:qFormat/>
    <w:rPr>
      <w:rFonts w:ascii="Times New Roman" w:hAnsi="Times New Roman" w:eastAsia="宋体" w:cs="Times New Roman"/>
      <w:sz w:val="24"/>
      <w:szCs w:val="24"/>
    </w:rPr>
  </w:style>
  <w:style w:type="character" w:styleId="746" w:customStyle="1">
    <w:name w:val="正文文本缩进 2 Char"/>
    <w:link w:val="703"/>
    <w:uiPriority w:val="0"/>
    <w:qFormat/>
    <w:rPr>
      <w:rFonts w:ascii="Arial" w:hAnsi="Arial" w:eastAsia="仿宋_GB2312" w:cs="Arial"/>
      <w:sz w:val="32"/>
      <w:szCs w:val="32"/>
    </w:rPr>
  </w:style>
  <w:style w:type="character" w:styleId="747" w:customStyle="1">
    <w:name w:val="批注框文本 Char"/>
    <w:link w:val="704"/>
    <w:uiPriority w:val="0"/>
    <w:semiHidden/>
    <w:qFormat/>
    <w:rPr>
      <w:rFonts w:ascii="Times New Roman" w:hAnsi="Times New Roman" w:eastAsia="宋体" w:cs="Times New Roman"/>
      <w:sz w:val="18"/>
      <w:szCs w:val="18"/>
    </w:rPr>
  </w:style>
  <w:style w:type="character" w:styleId="748" w:customStyle="1">
    <w:name w:val="页脚 Char"/>
    <w:link w:val="705"/>
    <w:uiPriority w:val="0"/>
    <w:qFormat/>
    <w:rPr>
      <w:rFonts w:ascii="Times New Roman" w:hAnsi="Times New Roman" w:eastAsia="宋体" w:cs="Times New Roman"/>
      <w:sz w:val="18"/>
      <w:szCs w:val="18"/>
    </w:rPr>
  </w:style>
  <w:style w:type="character" w:styleId="749" w:customStyle="1">
    <w:name w:val="页眉 Char"/>
    <w:link w:val="706"/>
    <w:uiPriority w:val="99"/>
    <w:qFormat/>
    <w:rPr>
      <w:rFonts w:ascii="Times New Roman" w:hAnsi="Times New Roman" w:eastAsia="宋体" w:cs="Times New Roman"/>
      <w:sz w:val="18"/>
      <w:szCs w:val="18"/>
    </w:rPr>
  </w:style>
  <w:style w:type="character" w:styleId="750" w:customStyle="1">
    <w:name w:val="正文文本缩进 3 Char"/>
    <w:link w:val="711"/>
    <w:uiPriority w:val="0"/>
    <w:qFormat/>
    <w:rPr>
      <w:rFonts w:ascii="Arial" w:hAnsi="Arial" w:eastAsia="仿宋_GB2312" w:cs="Arial"/>
      <w:color w:val="ffff00"/>
      <w:sz w:val="32"/>
      <w:szCs w:val="32"/>
    </w:rPr>
  </w:style>
  <w:style w:type="character" w:styleId="751" w:customStyle="1">
    <w:name w:val="正文文本 2 Char"/>
    <w:link w:val="715"/>
    <w:uiPriority w:val="0"/>
    <w:qFormat/>
    <w:rPr>
      <w:rFonts w:ascii="楷体_GB2312" w:hAnsi="Times New Roman" w:eastAsia="楷体_GB2312" w:cs="Times New Roman"/>
      <w:sz w:val="28"/>
      <w:szCs w:val="28"/>
    </w:rPr>
  </w:style>
  <w:style w:type="character" w:styleId="752" w:customStyle="1">
    <w:name w:val="批注主题 Char"/>
    <w:link w:val="718"/>
    <w:uiPriority w:val="0"/>
    <w:semiHidden/>
    <w:qFormat/>
    <w:rPr>
      <w:rFonts w:ascii="Times New Roman" w:hAnsi="Times New Roman" w:eastAsia="宋体" w:cs="Times New Roman"/>
      <w:b/>
      <w:bCs/>
      <w:szCs w:val="21"/>
    </w:rPr>
  </w:style>
  <w:style w:type="character" w:styleId="753" w:customStyle="1">
    <w:name w:val="正文首行缩进 Char"/>
    <w:link w:val="719"/>
    <w:uiPriority w:val="0"/>
    <w:qFormat/>
    <w:rPr>
      <w:rFonts w:ascii="仿宋_GB2312" w:hAnsi="Times New Roman" w:eastAsia="仿宋_GB2312" w:cs="Times New Roman"/>
      <w:sz w:val="30"/>
      <w:szCs w:val="30"/>
    </w:rPr>
  </w:style>
  <w:style w:type="character" w:styleId="754" w:customStyle="1">
    <w:name w:val="正文首行缩进 2 Char"/>
    <w:link w:val="720"/>
    <w:uiPriority w:val="0"/>
    <w:qFormat/>
    <w:rPr>
      <w:rFonts w:ascii="宋体" w:hAnsi="宋体" w:eastAsia="宋体" w:cs="Times New Roman"/>
      <w:sz w:val="32"/>
      <w:szCs w:val="20"/>
    </w:rPr>
  </w:style>
  <w:style w:type="character" w:styleId="755" w:customStyle="1">
    <w:name w:val="font5 Char"/>
    <w:uiPriority w:val="0"/>
    <w:qFormat/>
    <w:rPr>
      <w:rFonts w:ascii="宋体" w:hAnsi="宋体" w:eastAsia="宋体"/>
      <w:sz w:val="28"/>
      <w:szCs w:val="28"/>
      <w:lang w:val="en-US" w:eastAsia="zh-CN" w:bidi="ar-SA"/>
    </w:rPr>
  </w:style>
  <w:style w:type="character" w:styleId="756" w:customStyle="1">
    <w:name w:val="二级目录 Char"/>
    <w:link w:val="757"/>
    <w:uiPriority w:val="0"/>
    <w:qFormat/>
    <w:rPr>
      <w:b/>
      <w:sz w:val="30"/>
      <w:szCs w:val="28"/>
      <w:lang w:val="en-US" w:eastAsia="zh-CN" w:bidi="ar-SA"/>
    </w:rPr>
  </w:style>
  <w:style w:type="paragraph" w:styleId="757" w:customStyle="1">
    <w:name w:val="二级目录"/>
    <w:next w:val="676"/>
    <w:link w:val="75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8" w:customStyle="1">
    <w:name w:val="列出段落 Char"/>
    <w:link w:val="759"/>
    <w:uiPriority w:val="0"/>
    <w:qFormat/>
    <w:rPr>
      <w:rFonts w:ascii="Calibri" w:hAnsi="Calibri"/>
      <w:sz w:val="24"/>
      <w:szCs w:val="24"/>
      <w:lang w:eastAsia="en-US" w:bidi="en-US"/>
    </w:rPr>
  </w:style>
  <w:style w:type="paragraph" w:styleId="759" w:customStyle="1">
    <w:name w:val="列出段落1"/>
    <w:basedOn w:val="676"/>
    <w:link w:val="758"/>
    <w:uiPriority w:val="0"/>
    <w:qFormat/>
    <w:pPr>
      <w:contextualSpacing/>
      <w:ind w:left="720"/>
      <w:jc w:val="left"/>
      <w:widowControl/>
    </w:pPr>
    <w:rPr>
      <w:rFonts w:ascii="Calibri" w:hAnsi="Calibri"/>
      <w:sz w:val="24"/>
      <w:szCs w:val="24"/>
      <w:lang w:eastAsia="en-US" w:bidi="en-US"/>
    </w:rPr>
  </w:style>
  <w:style w:type="paragraph" w:styleId="760" w:customStyle="1">
    <w:name w:val="Body Text(ch)"/>
    <w:basedOn w:val="676"/>
    <w:next w:val="695"/>
    <w:uiPriority w:val="0"/>
    <w:qFormat/>
    <w:pPr>
      <w:spacing w:after="120"/>
    </w:pPr>
    <w:rPr>
      <w:rFonts w:ascii="宋体" w:hAnsi="Arial"/>
      <w:bCs/>
      <w:iCs/>
      <w:szCs w:val="24"/>
    </w:rPr>
  </w:style>
  <w:style w:type="paragraph" w:styleId="761" w:customStyle="1">
    <w:name w:val="xl2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2" w:customStyle="1">
    <w:name w:val="xl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3" w:customStyle="1">
    <w:name w:val="Char"/>
    <w:basedOn w:val="676"/>
    <w:uiPriority w:val="0"/>
    <w:qFormat/>
    <w:pPr>
      <w:ind w:firstLine="200"/>
      <w:tabs>
        <w:tab w:val="left" w:pos="360" w:leader="none"/>
      </w:tabs>
    </w:pPr>
    <w:rPr>
      <w:sz w:val="28"/>
      <w:szCs w:val="30"/>
    </w:rPr>
  </w:style>
  <w:style w:type="paragraph" w:styleId="764" w:customStyle="1">
    <w:name w:val=" Char"/>
    <w:basedOn w:val="692"/>
    <w:uiPriority w:val="0"/>
    <w:qFormat/>
    <w:rPr>
      <w:rFonts w:ascii="Tahoma" w:hAnsi="Tahoma"/>
      <w:sz w:val="24"/>
      <w:szCs w:val="24"/>
    </w:rPr>
  </w:style>
  <w:style w:type="paragraph" w:styleId="765"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66" w:customStyle="1">
    <w:name w:val="table_lines"/>
    <w:basedOn w:val="676"/>
    <w:uiPriority w:val="0"/>
    <w:qFormat/>
    <w:pPr>
      <w:jc w:val="left"/>
      <w:widowControl/>
    </w:pPr>
    <w:rPr>
      <w:sz w:val="20"/>
      <w:szCs w:val="20"/>
      <w:lang w:val="de-DE" w:eastAsia="de-DE"/>
    </w:rPr>
  </w:style>
  <w:style w:type="paragraph" w:styleId="76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8"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769" w:customStyle="1">
    <w:name w:val=" Char Char Char Char"/>
    <w:basedOn w:val="692"/>
    <w:uiPriority w:val="0"/>
    <w:qFormat/>
    <w:pPr>
      <w:spacing w:line="360" w:lineRule="auto"/>
    </w:pPr>
    <w:rPr>
      <w:rFonts w:ascii="Tahoma" w:hAnsi="Tahoma"/>
      <w:sz w:val="24"/>
      <w:szCs w:val="24"/>
    </w:rPr>
  </w:style>
  <w:style w:type="paragraph" w:styleId="770">
    <w:name w:val="List Paragraph"/>
    <w:basedOn w:val="676"/>
    <w:uiPriority w:val="99"/>
    <w:qFormat/>
    <w:pPr>
      <w:contextualSpacing/>
      <w:ind w:left="720"/>
      <w:jc w:val="left"/>
      <w:widowControl/>
    </w:pPr>
    <w:rPr>
      <w:rFonts w:ascii="Calibri" w:hAnsi="Calibri"/>
      <w:sz w:val="24"/>
      <w:szCs w:val="24"/>
      <w:lang w:eastAsia="en-US" w:bidi="en-US"/>
    </w:rPr>
  </w:style>
  <w:style w:type="paragraph" w:styleId="771" w:customStyle="1">
    <w:name w:val="4"/>
    <w:basedOn w:val="676"/>
    <w:next w:val="711"/>
    <w:uiPriority w:val="0"/>
    <w:qFormat/>
    <w:pPr>
      <w:ind w:firstLine="420"/>
      <w:spacing w:line="360" w:lineRule="auto"/>
    </w:pPr>
    <w:rPr>
      <w:color w:val="ff0000"/>
      <w:sz w:val="24"/>
      <w:szCs w:val="24"/>
    </w:rPr>
  </w:style>
  <w:style w:type="paragraph" w:styleId="772"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773" w:customStyle="1">
    <w:name w:val=" Char Char Char Char Char Char Char Char Char Char"/>
    <w:basedOn w:val="676"/>
    <w:uiPriority w:val="0"/>
    <w:qFormat/>
    <w:pPr>
      <w:spacing w:line="360" w:lineRule="auto"/>
    </w:pPr>
    <w:rPr>
      <w:sz w:val="24"/>
      <w:szCs w:val="20"/>
    </w:rPr>
  </w:style>
  <w:style w:type="paragraph" w:styleId="774" w:customStyle="1">
    <w:name w:val="样式1"/>
    <w:basedOn w:val="676"/>
    <w:uiPriority w:val="0"/>
    <w:qFormat/>
    <w:pPr>
      <w:numPr>
        <w:ilvl w:val="0"/>
        <w:numId w:val="3"/>
      </w:numPr>
    </w:pPr>
    <w:rPr>
      <w:rFonts w:ascii="宋体" w:hAnsi="宋体"/>
    </w:rPr>
  </w:style>
  <w:style w:type="paragraph" w:styleId="775"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776"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8"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779" w:customStyle="1">
    <w:name w:val="xl2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0" w:customStyle="1">
    <w:name w:val="xl29"/>
    <w:basedOn w:val="67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1"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2"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3" w:customStyle="1">
    <w:name w:val=" 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4"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785" w:customStyle="1">
    <w:name w:val="Char Char Char Char"/>
    <w:basedOn w:val="692"/>
    <w:uiPriority w:val="0"/>
    <w:qFormat/>
    <w:pPr>
      <w:spacing w:line="360" w:lineRule="auto"/>
    </w:pPr>
    <w:rPr>
      <w:rFonts w:ascii="Tahoma" w:hAnsi="Tahoma"/>
      <w:sz w:val="24"/>
      <w:szCs w:val="24"/>
    </w:rPr>
  </w:style>
  <w:style w:type="paragraph" w:styleId="786" w:customStyle="1">
    <w:name w:val="table_1stline"/>
    <w:basedOn w:val="676"/>
    <w:uiPriority w:val="0"/>
    <w:qFormat/>
    <w:pPr>
      <w:jc w:val="left"/>
      <w:spacing w:before="120"/>
      <w:widowControl/>
    </w:pPr>
    <w:rPr>
      <w:bCs/>
      <w:sz w:val="20"/>
      <w:szCs w:val="20"/>
      <w:lang w:val="de-DE" w:eastAsia="de-DE"/>
    </w:rPr>
  </w:style>
  <w:style w:type="paragraph" w:styleId="787"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788"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9" w:customStyle="1">
    <w:name w:val="_Style 113"/>
    <w:uiPriority w:val="99"/>
    <w:semiHidden/>
    <w:qFormat/>
    <w:rPr>
      <w:rFonts w:ascii="Times New Roman" w:hAnsi="Times New Roman" w:eastAsia="宋体" w:cs="Times New Roman"/>
      <w:sz w:val="21"/>
      <w:szCs w:val="21"/>
      <w:lang w:val="en-US" w:eastAsia="zh-CN" w:bidi="ar-SA"/>
    </w:rPr>
  </w:style>
  <w:style w:type="paragraph" w:styleId="79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1" w:customStyle="1">
    <w:name w:val="普通文字"/>
    <w:basedOn w:val="676"/>
    <w:next w:val="676"/>
    <w:uiPriority w:val="99"/>
    <w:qFormat/>
    <w:rPr>
      <w:rFonts w:ascii="宋体" w:hAnsi="Times New Roman" w:eastAsia="宋体" w:cs="Times New Roman"/>
      <w:sz w:val="24"/>
      <w:szCs w:val="20"/>
      <w:u w:val="none"/>
    </w:rPr>
  </w:style>
  <w:style w:type="paragraph" w:styleId="792" w:customStyle="1">
    <w:name w:val="目录 111"/>
    <w:basedOn w:val="676"/>
    <w:next w:val="676"/>
    <w:uiPriority w:val="39"/>
    <w:unhideWhenUsed/>
    <w:qFormat/>
    <w:pPr>
      <w:jc w:val="left"/>
      <w:spacing w:after="100" w:line="259" w:lineRule="auto"/>
      <w:widowControl/>
    </w:pPr>
    <w:rPr>
      <w:rFonts w:ascii="Calibri" w:hAnsi="Calibri" w:eastAsia="宋体"/>
      <w:sz w:val="22"/>
      <w:szCs w:val="22"/>
    </w:rPr>
  </w:style>
  <w:style w:type="paragraph" w:styleId="793" w:customStyle="1">
    <w:name w:val="Table Text"/>
    <w:basedOn w:val="676"/>
    <w:uiPriority w:val="0"/>
    <w:qFormat/>
    <w:pPr>
      <w:jc w:val="left"/>
      <w:widowControl/>
    </w:pPr>
    <w:rPr>
      <w:rFonts w:ascii="宋体" w:hAnsi="宋体" w:eastAsia="宋体" w:cs="宋体"/>
      <w:color w:val="000000"/>
      <w:szCs w:val="21"/>
      <w:lang w:eastAsia="en-US"/>
    </w:rPr>
  </w:style>
  <w:style w:type="numbering" w:styleId="13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629</cp:revision>
  <dcterms:created xsi:type="dcterms:W3CDTF">2023-03-16T02:16:00Z</dcterms:created>
  <dcterms:modified xsi:type="dcterms:W3CDTF">2026-04-20T02:26:19Z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C520EBA96FEE4FCAB3C378D754E91FE3_13</vt:lpwstr>
  </property>
  <property fmtid="{D5CDD505-2E9C-101B-9397-08002B2CF9AE}" pid="4" name="KSOTemplateDocerSaveRecord">
    <vt:lpwstr>eyJoZGlkIjoiZDNlZWU0NjdiZWMxZjQzMGU3OTA0OTQ2MDA1OTFiMGYiLCJ1c2VySWQiOiI2NDEzMTczMjkifQ==</vt:lpwstr>
  </property>
</Properties>
</file>