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rPr>
          <w:rFonts w:hint="eastAsia" w:ascii="黑体" w:hAnsi="宋体" w:eastAsia="黑体"/>
          <w:color w:val="000000"/>
          <w:sz w:val="64"/>
          <w:szCs w:val="64"/>
          <w:highlight w:val="none"/>
        </w:rPr>
      </w:r>
      <w:r/>
    </w:p>
    <w:p>
      <w:pPr>
        <w:pStyle w:val="1035"/>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rPr>
          <w:rFonts w:hint="eastAsia" w:ascii="黑体" w:hAnsi="宋体" w:eastAsia="黑体"/>
          <w:color w:val="000000"/>
          <w:sz w:val="64"/>
          <w:szCs w:val="64"/>
          <w:highlight w:val="none"/>
        </w:rPr>
      </w:r>
      <w:r/>
    </w:p>
    <w:p>
      <w:pPr>
        <w:pStyle w:val="1035"/>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1035"/>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W w:w="84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trHeight w:val="1523"/>
        </w:trPr>
        <w:tc>
          <w:tcPr>
            <w:tcW w:w="8446" w:type="dxa"/>
            <w:vAlign w:val="top"/>
            <w:textDirection w:val="lrTb"/>
            <w:noWrap w:val="false"/>
          </w:tcPr>
          <w:p>
            <w:pPr>
              <w:pStyle w:val="1035"/>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lang w:val="en-US" w:eastAsia="zh-CN"/>
              </w:rPr>
              <w:t xml:space="preserve">JSZC-320100-HXZC-G2026-0021</w:t>
            </w:r>
            <w:r>
              <w:rPr>
                <w:rFonts w:hint="eastAsia" w:ascii="黑体" w:eastAsia="黑体"/>
                <w:color w:val="000000"/>
                <w:sz w:val="36"/>
                <w:szCs w:val="36"/>
                <w:highlight w:val="none"/>
                <w:lang w:eastAsia="zh-CN"/>
              </w:rPr>
            </w:r>
            <w:r/>
          </w:p>
          <w:p>
            <w:pPr>
              <w:pStyle w:val="1035"/>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rPr>
              <w:t xml:space="preserve">南京市食品药品监督检验院食品药品检测设备采购一批</w:t>
            </w:r>
            <w:r>
              <w:rPr>
                <w:rFonts w:hint="eastAsia" w:ascii="黑体" w:eastAsia="黑体"/>
                <w:color w:val="000000"/>
                <w:sz w:val="36"/>
                <w:szCs w:val="36"/>
                <w:highlight w:val="none"/>
              </w:rPr>
            </w:r>
            <w:r/>
          </w:p>
          <w:p>
            <w:pPr>
              <w:pStyle w:val="1035"/>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rPr>
              <w:t xml:space="preserve">南京市食品药品监督检验院</w:t>
            </w:r>
            <w:r>
              <w:rPr>
                <w:rFonts w:hint="eastAsia" w:ascii="黑体" w:eastAsia="黑体"/>
                <w:color w:val="000000"/>
                <w:sz w:val="36"/>
                <w:szCs w:val="36"/>
                <w:highlight w:val="none"/>
              </w:rPr>
            </w:r>
            <w:r/>
          </w:p>
          <w:p>
            <w:pPr>
              <w:pStyle w:val="1035"/>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货物类</w:t>
            </w:r>
            <w:r>
              <w:rPr>
                <w:rFonts w:hint="eastAsia" w:ascii="黑体" w:eastAsia="黑体"/>
                <w:color w:val="000000"/>
                <w:sz w:val="36"/>
                <w:szCs w:val="36"/>
                <w:highlight w:val="none"/>
              </w:rPr>
            </w:r>
            <w:r/>
          </w:p>
        </w:tc>
      </w:tr>
    </w:tbl>
    <w:p>
      <w:pPr>
        <w:pStyle w:val="1035"/>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35"/>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35"/>
        <w:jc w:val="center"/>
        <w:shd w:val="clear" w:color="auto" w:fill="auto"/>
        <w:rPr>
          <w:rFonts w:hint="eastAsia" w:ascii="黑体" w:hAnsi="宋体" w:eastAsia="黑体"/>
          <w:color w:val="000000"/>
          <w:sz w:val="32"/>
          <w:highlight w:val="none"/>
        </w:rPr>
      </w:pPr>
      <w:r>
        <w:rPr>
          <w:rFonts w:hint="eastAsia" w:ascii="黑体" w:eastAsia="黑体"/>
          <w:color w:val="000000"/>
          <w:sz w:val="100"/>
          <w:szCs w:val="100"/>
          <w:highlight w:val="none"/>
        </w:rPr>
        <mc:AlternateContent>
          <mc:Choice Requires="wpg">
            <w:drawing>
              <wp:inline xmlns:wp="http://schemas.openxmlformats.org/drawingml/2006/wordprocessingDrawing" distT="0" distB="0" distL="0" distR="0">
                <wp:extent cx="2403221" cy="255299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403221"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9.2pt;height:201.0pt;mso-wrap-distance-left:0.0pt;mso-wrap-distance-top:0.0pt;mso-wrap-distance-right:0.0pt;mso-wrap-distance-bottom:0.0pt;" stroked="f">
                <v:path textboxrect="0,0,0,0"/>
                <v:imagedata r:id="rId18" o:title=""/>
              </v:shape>
            </w:pict>
          </mc:Fallback>
        </mc:AlternateContent>
      </w:r>
      <w:r>
        <w:rPr>
          <w:rFonts w:hint="eastAsia" w:ascii="黑体" w:hAnsi="宋体" w:eastAsia="黑体"/>
          <w:color w:val="000000"/>
          <w:sz w:val="32"/>
          <w:highlight w:val="none"/>
        </w:rPr>
      </w:r>
      <w:r/>
    </w:p>
    <w:p>
      <w:pPr>
        <w:pStyle w:val="1035"/>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35"/>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35"/>
        <w:jc w:val="center"/>
        <w:spacing w:line="360" w:lineRule="auto"/>
        <w:shd w:val="clear" w:color="auto" w:fill="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江苏省华厦工程项目管理有限公司</w:t>
      </w:r>
      <w:r>
        <w:rPr>
          <w:rFonts w:hint="eastAsia" w:ascii="黑体" w:hAnsi="黑体" w:eastAsia="黑体" w:cs="黑体"/>
          <w:color w:val="000000"/>
          <w:sz w:val="36"/>
          <w:szCs w:val="36"/>
          <w:highlight w:val="none"/>
        </w:rPr>
      </w:r>
      <w:r/>
    </w:p>
    <w:p>
      <w:pPr>
        <w:pStyle w:val="1035"/>
        <w:jc w:val="center"/>
        <w:spacing w:line="360" w:lineRule="auto"/>
        <w:shd w:val="clear" w:color="auto" w:fill="auto"/>
        <w:rPr>
          <w:rFonts w:hint="eastAsia" w:ascii="宋体" w:hAnsi="宋体"/>
          <w:b/>
          <w:bCs/>
          <w:color w:val="000000"/>
          <w:sz w:val="36"/>
          <w:szCs w:val="36"/>
          <w:highlight w:val="none"/>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rPr>
        <w:t xml:space="preserve">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rPr>
        <w:t xml:space="preserve">四</w:t>
      </w:r>
      <w:r>
        <w:rPr>
          <w:rFonts w:hint="eastAsia" w:ascii="黑体" w:hAnsi="黑体" w:eastAsia="黑体" w:cs="黑体"/>
          <w:color w:val="000000"/>
          <w:sz w:val="36"/>
          <w:szCs w:val="36"/>
          <w:highlight w:val="none"/>
        </w:rPr>
        <w:t xml:space="preserve">月</w:t>
      </w:r>
      <w:r>
        <w:rPr>
          <w:rFonts w:hint="eastAsia" w:ascii="宋体" w:hAnsi="宋体"/>
          <w:b/>
          <w:bCs/>
          <w:color w:val="000000"/>
          <w:sz w:val="36"/>
          <w:szCs w:val="36"/>
          <w:highlight w:val="none"/>
        </w:rPr>
      </w:r>
      <w:r/>
    </w:p>
    <w:p>
      <w:pPr>
        <w:pStyle w:val="1035"/>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_Toc24910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第一章  招标公告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PAGEREF _Toc24910 \h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_Toc5791 </w:instrText>
      </w:r>
      <w:r>
        <w:rPr>
          <w:rFonts w:hint="eastAsia" w:ascii="宋体" w:hAnsi="宋体" w:eastAsia="宋体"/>
          <w:color w:val="000000"/>
          <w:sz w:val="21"/>
          <w:szCs w:val="21"/>
          <w:highlight w:val="none"/>
        </w:rPr>
        <w:fldChar w:fldCharType="separate"/>
      </w:r>
      <w:r>
        <w:rPr>
          <w:rFonts w:hint="eastAsia" w:ascii="宋体" w:hAnsi="宋体" w:eastAsia="宋体"/>
          <w:bCs/>
          <w:color w:val="000000"/>
          <w:sz w:val="21"/>
          <w:szCs w:val="21"/>
          <w:highlight w:val="none"/>
        </w:rPr>
        <w:t xml:space="preserve">第二章  供应商须知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PAGEREF _Toc5791 \h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5</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_Toc1203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第三章  纪律和职责</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PAGEREF _Toc1203 \h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20</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_Toc5653 </w:instrText>
      </w:r>
      <w:r>
        <w:rPr>
          <w:rFonts w:hint="eastAsia" w:ascii="宋体" w:hAnsi="宋体" w:eastAsia="宋体"/>
          <w:color w:val="000000"/>
          <w:sz w:val="21"/>
          <w:szCs w:val="21"/>
          <w:highlight w:val="none"/>
        </w:rPr>
        <w:fldChar w:fldCharType="separate"/>
      </w:r>
      <w:r>
        <w:rPr>
          <w:rFonts w:hint="eastAsia" w:ascii="宋体" w:hAnsi="宋体" w:eastAsia="宋体"/>
          <w:bCs/>
          <w:color w:val="000000"/>
          <w:sz w:val="21"/>
          <w:szCs w:val="21"/>
          <w:highlight w:val="none"/>
        </w:rPr>
        <w:t xml:space="preserve">第四章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评标标准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PAGEREF _Toc5653 \h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_Toc32256 </w:instrText>
      </w:r>
      <w:r>
        <w:rPr>
          <w:rFonts w:hint="eastAsia" w:ascii="宋体" w:hAnsi="宋体" w:eastAsia="宋体"/>
          <w:color w:val="000000"/>
          <w:sz w:val="21"/>
          <w:szCs w:val="21"/>
          <w:highlight w:val="none"/>
        </w:rPr>
        <w:fldChar w:fldCharType="separate"/>
      </w:r>
      <w:r>
        <w:rPr>
          <w:rFonts w:hint="eastAsia" w:ascii="宋体" w:hAnsi="宋体" w:eastAsia="宋体"/>
          <w:bCs/>
          <w:color w:val="000000"/>
          <w:sz w:val="21"/>
          <w:szCs w:val="21"/>
          <w:highlight w:val="none"/>
        </w:rPr>
        <w:t xml:space="preserve">第五章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PAGEREF _Toc32256 \h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24</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_Toc9528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第六章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_Toc14619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第七章 附  件</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eastAsia="zh-CN"/>
        </w:rPr>
      </w:r>
      <w:r/>
    </w:p>
    <w:p>
      <w:pPr>
        <w:pStyle w:val="1090"/>
        <w:spacing w:line="360" w:lineRule="auto"/>
        <w:shd w:val="clear" w:color="auto" w:fill="auto"/>
        <w:tabs>
          <w:tab w:val="right" w:pos="9394" w:leader="dot"/>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HYPERLINK \l _Toc11648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第八章  投标文件格式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p>
      <w:pPr>
        <w:pStyle w:val="1035"/>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rPr>
          <w:rFonts w:hint="eastAsia" w:ascii="宋体" w:hAnsi="宋体" w:eastAsia="宋体"/>
          <w:color w:val="000000"/>
          <w:sz w:val="24"/>
          <w:szCs w:val="24"/>
          <w:highlight w:val="none"/>
        </w:rPr>
      </w:r>
      <w:r/>
    </w:p>
    <w:p>
      <w:pPr>
        <w:pStyle w:val="1035"/>
        <w:jc w:val="center"/>
        <w:spacing w:line="360" w:lineRule="auto"/>
        <w:shd w:val="clear" w:color="auto" w:fill="auto"/>
        <w:rPr>
          <w:rFonts w:hint="eastAsia" w:ascii="黑体" w:hAnsi="黑体" w:eastAsia="黑体" w:cs="黑体"/>
          <w:color w:val="000000"/>
          <w:sz w:val="32"/>
          <w:szCs w:val="32"/>
          <w:highlight w:val="none"/>
        </w:rPr>
        <w:sectPr>
          <w:footerReference w:type="default" r:id="rId13"/>
          <w:footerReference w:type="first" r:id="rId14"/>
          <w:footnotePr/>
          <w:endnotePr/>
          <w:type w:val="nextPage"/>
          <w:pgSz w:w="11900" w:h="16840" w:orient="portrait"/>
          <w:pgMar w:top="1157" w:right="1253" w:bottom="1157" w:left="1253" w:header="850" w:footer="737" w:gutter="0"/>
          <w:cols w:num="1" w:sep="0" w:space="1701" w:equalWidth="1"/>
          <w:docGrid w:linePitch="360"/>
          <w:titlePg/>
        </w:sectPr>
      </w:pPr>
      <w:r>
        <w:rPr>
          <w:rFonts w:hint="eastAsia" w:ascii="黑体" w:hAnsi="黑体" w:eastAsia="黑体" w:cs="黑体"/>
          <w:color w:val="000000"/>
          <w:sz w:val="32"/>
          <w:szCs w:val="32"/>
          <w:highlight w:val="none"/>
        </w:rPr>
      </w:r>
      <w:r/>
    </w:p>
    <w:p>
      <w:pPr>
        <w:pStyle w:val="1035"/>
        <w:jc w:val="center"/>
        <w:spacing w:line="360" w:lineRule="auto"/>
        <w:shd w:val="clear" w:color="auto" w:fill="auto"/>
        <w:rPr>
          <w:rFonts w:hint="eastAsia" w:ascii="黑体" w:hAnsi="黑体" w:eastAsia="黑体" w:cs="黑体"/>
          <w:color w:val="000000"/>
          <w:sz w:val="32"/>
          <w:szCs w:val="32"/>
          <w:highlight w:val="none"/>
        </w:rPr>
        <w:outlineLvl w:val="0"/>
      </w:pPr>
      <w:r/>
      <w:bookmarkStart w:id="0" w:name="_Toc24910"/>
      <w:r>
        <w:rPr>
          <w:rFonts w:hint="eastAsia" w:ascii="黑体" w:hAnsi="黑体" w:eastAsia="黑体" w:cs="黑体"/>
          <w:color w:val="000000"/>
          <w:sz w:val="32"/>
          <w:szCs w:val="32"/>
          <w:highlight w:val="none"/>
        </w:rPr>
        <w:t xml:space="preserve">第一章  招标公告</w:t>
      </w:r>
      <w:bookmarkEnd w:id="0"/>
      <w:r>
        <w:rPr>
          <w:rFonts w:hint="eastAsia" w:ascii="黑体" w:hAnsi="黑体" w:eastAsia="黑体" w:cs="黑体"/>
          <w:color w:val="000000"/>
          <w:sz w:val="32"/>
          <w:szCs w:val="32"/>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rPr>
          <w:rFonts w:hint="eastAsia" w:ascii="宋体" w:hAnsi="宋体" w:eastAsia="宋体"/>
          <w:b/>
          <w:bCs/>
          <w:color w:val="000000"/>
          <w:sz w:val="21"/>
          <w:szCs w:val="21"/>
          <w:highlight w:val="none"/>
        </w:rPr>
      </w:r>
      <w:r/>
    </w:p>
    <w:p>
      <w:pPr>
        <w:pStyle w:val="1065"/>
        <w:ind w:firstLine="422"/>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南京市食品药品监督检验院食品药品检测设备采购一批</w:t>
      </w:r>
      <w:r>
        <w:rPr>
          <w:rFonts w:hint="eastAsia" w:ascii="宋体" w:hAnsi="宋体" w:cs="宋体"/>
          <w:color w:val="000000"/>
          <w:szCs w:val="21"/>
          <w:highlight w:val="none"/>
        </w:rPr>
        <w:t xml:space="preserve">（项目名称）招标项目的潜在供应商应在</w:t>
      </w:r>
      <w:r>
        <w:rPr>
          <w:rFonts w:hint="eastAsia" w:ascii="宋体" w:hAnsi="宋体" w:cs="宋体"/>
          <w:b/>
          <w:bCs/>
          <w:color w:val="000000"/>
          <w:szCs w:val="21"/>
          <w:highlight w:val="none"/>
          <w:u w:val="single"/>
        </w:rPr>
        <w:t xml:space="preserve">江苏政府采购网“苏采云”系统</w:t>
      </w:r>
      <w:r>
        <w:rPr>
          <w:rFonts w:hint="eastAsia" w:ascii="宋体" w:hAnsi="宋体" w:cs="宋体"/>
          <w:color w:val="000000"/>
          <w:szCs w:val="21"/>
          <w:highlight w:val="none"/>
        </w:rPr>
        <w:t xml:space="preserve">获取招标文件，并于</w:t>
      </w:r>
      <w:r>
        <w:rPr>
          <w:rFonts w:hint="eastAsia" w:ascii="宋体" w:hAnsi="宋体" w:cs="宋体"/>
          <w:b/>
          <w:bCs/>
          <w:color w:val="000000"/>
          <w:szCs w:val="21"/>
          <w:highlight w:val="none"/>
          <w:u w:val="single"/>
        </w:rPr>
        <w:t xml:space="preserve">2026年05月21日09</w:t>
      </w:r>
      <w:r>
        <w:rPr>
          <w:rFonts w:hint="eastAsia" w:ascii="宋体" w:hAnsi="宋体" w:cs="宋体"/>
          <w:b/>
          <w:bCs/>
          <w:color w:val="000000"/>
          <w:szCs w:val="21"/>
          <w:highlight w:val="none"/>
        </w:rPr>
        <w:t xml:space="preserve">时</w:t>
      </w:r>
      <w:r>
        <w:rPr>
          <w:rFonts w:hint="eastAsia" w:ascii="宋体" w:hAnsi="宋体" w:cs="宋体"/>
          <w:b/>
          <w:bCs/>
          <w:color w:val="000000"/>
          <w:szCs w:val="21"/>
          <w:highlight w:val="none"/>
          <w:u w:val="single"/>
        </w:rPr>
        <w:t xml:space="preserve">30</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（北京时间）前递交投标文件。</w:t>
      </w:r>
      <w:r>
        <w:rPr>
          <w:rFonts w:hint="eastAsia" w:ascii="宋体" w:hAnsi="宋体" w:cs="宋体"/>
          <w:color w:val="000000"/>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bookmarkStart w:id="1" w:name="_Toc28359079"/>
      <w:r/>
      <w:bookmarkStart w:id="2" w:name="_Toc35393790"/>
      <w:r/>
      <w:bookmarkStart w:id="3" w:name="_Toc35393621"/>
      <w:r/>
      <w:bookmarkStart w:id="4" w:name="_Toc28359002"/>
      <w:r/>
      <w:bookmarkStart w:id="5" w:name="_Hlk24379207"/>
      <w:r>
        <w:rPr>
          <w:rFonts w:hint="eastAsia" w:ascii="宋体" w:hAnsi="宋体" w:eastAsia="宋体"/>
          <w:b/>
          <w:bCs/>
          <w:color w:val="000000"/>
          <w:sz w:val="21"/>
          <w:szCs w:val="21"/>
          <w:highlight w:val="none"/>
        </w:rPr>
        <w:t xml:space="preserve">一、项目基本情况</w:t>
      </w:r>
      <w:bookmarkEnd w:id="1"/>
      <w:r/>
      <w:bookmarkEnd w:id="2"/>
      <w:r/>
      <w:bookmarkEnd w:id="3"/>
      <w:r/>
      <w:bookmarkEnd w:id="4"/>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eastAsia="zh-CN"/>
        </w:rPr>
        <w:t xml:space="preserve">JSZC-320100-HXZC-G2026-0021</w:t>
      </w:r>
      <w:r>
        <w:rPr>
          <w:rFonts w:hint="eastAsia" w:ascii="宋体" w:hAnsi="宋体" w:eastAsia="宋体"/>
          <w:color w:val="000000"/>
          <w:sz w:val="21"/>
          <w:szCs w:val="21"/>
          <w:highlight w:val="none"/>
          <w:lang w:eastAsia="zh-CN"/>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项目名称：南京市食品药品监督检验院食品药品检测设备采购一批</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ascii="宋体" w:hAnsi="宋体" w:eastAsia="宋体"/>
          <w:color w:val="000000"/>
          <w:sz w:val="21"/>
          <w:szCs w:val="21"/>
          <w:highlight w:val="none"/>
          <w:u w:val="single"/>
          <w:lang w:val="en-US"/>
        </w:rPr>
      </w:pPr>
      <w:r/>
      <w:bookmarkEnd w:id="5"/>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u w:val="singl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项目预算：</w:t>
      </w:r>
      <w:r>
        <w:rPr>
          <w:rFonts w:hint="eastAsia" w:ascii="宋体" w:hAnsi="宋体" w:eastAsia="宋体"/>
          <w:color w:val="000000"/>
          <w:sz w:val="21"/>
          <w:szCs w:val="21"/>
          <w:highlight w:val="none"/>
          <w:lang w:val="en-US"/>
        </w:rPr>
        <w:t xml:space="preserve">9</w:t>
      </w:r>
      <w:r>
        <w:rPr>
          <w:rFonts w:ascii="宋体" w:hAnsi="宋体" w:eastAsia="宋体"/>
          <w:color w:val="000000"/>
          <w:sz w:val="21"/>
          <w:szCs w:val="21"/>
          <w:highlight w:val="none"/>
          <w:lang w:val="en-US"/>
        </w:rPr>
        <w:t xml:space="preserve">57.11</w:t>
      </w:r>
      <w:r>
        <w:rPr>
          <w:rFonts w:hint="eastAsia" w:ascii="宋体" w:hAnsi="宋体" w:eastAsia="宋体"/>
          <w:color w:val="000000"/>
          <w:sz w:val="21"/>
          <w:szCs w:val="21"/>
          <w:highlight w:val="none"/>
          <w:lang w:val="en-US"/>
        </w:rPr>
        <w:t xml:space="preserve">万元（采购包</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：南京市食品药品监督检验院数控加热型四通道圆盘磁力搅拌器等检测设备采购一批</w:t>
      </w:r>
      <w:r>
        <w:rPr>
          <w:rFonts w:ascii="宋体" w:hAnsi="宋体" w:eastAsia="宋体"/>
          <w:color w:val="000000"/>
          <w:sz w:val="21"/>
          <w:szCs w:val="21"/>
          <w:highlight w:val="none"/>
          <w:lang w:val="en-US"/>
        </w:rPr>
        <w:t xml:space="preserve">209.98</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采购包2：南京市食品药品监督检验院液相四元梯度泵系统等检测设备采购一批</w:t>
      </w:r>
      <w:r>
        <w:rPr>
          <w:rFonts w:ascii="宋体" w:hAnsi="宋体" w:eastAsia="宋体"/>
          <w:color w:val="000000"/>
          <w:sz w:val="21"/>
          <w:szCs w:val="21"/>
          <w:highlight w:val="none"/>
          <w:lang w:val="en-US"/>
        </w:rPr>
        <w:t xml:space="preserve">239.4</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采购包</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：南京市食品药品监督检验院生物安全柜等检测设备采购一批</w:t>
      </w:r>
      <w:r>
        <w:rPr>
          <w:rFonts w:ascii="宋体" w:hAnsi="宋体" w:eastAsia="宋体"/>
          <w:color w:val="000000"/>
          <w:sz w:val="21"/>
          <w:szCs w:val="21"/>
          <w:highlight w:val="none"/>
          <w:lang w:val="en-US"/>
        </w:rPr>
        <w:t xml:space="preserve">507.73</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1035"/>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rPr>
        <w:t xml:space="preserve">9</w:t>
      </w:r>
      <w:r>
        <w:rPr>
          <w:rFonts w:ascii="宋体" w:hAnsi="宋体" w:eastAsia="宋体"/>
          <w:color w:val="000000"/>
          <w:sz w:val="21"/>
          <w:szCs w:val="21"/>
          <w:highlight w:val="none"/>
          <w:lang w:val="en-US"/>
        </w:rPr>
        <w:t xml:space="preserve">57.11</w:t>
      </w:r>
      <w:r>
        <w:rPr>
          <w:rFonts w:hint="eastAsia" w:ascii="宋体" w:hAnsi="宋体" w:eastAsia="宋体"/>
          <w:color w:val="000000"/>
          <w:sz w:val="21"/>
          <w:szCs w:val="21"/>
          <w:highlight w:val="none"/>
          <w:lang w:val="en-US"/>
        </w:rPr>
        <w:t xml:space="preserve">万元（采购包</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：南京市食品药品监督检验院数控加热型四通道圆盘磁力搅拌器等检测设备采购一批</w:t>
      </w:r>
      <w:r>
        <w:rPr>
          <w:rFonts w:ascii="宋体" w:hAnsi="宋体" w:eastAsia="宋体"/>
          <w:color w:val="000000"/>
          <w:sz w:val="21"/>
          <w:szCs w:val="21"/>
          <w:highlight w:val="none"/>
          <w:lang w:val="en-US"/>
        </w:rPr>
        <w:t xml:space="preserve">209.98</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采购包2：南京市食品药品监督检验院液相四元梯度泵系统等检测设备采购一批</w:t>
      </w:r>
      <w:r>
        <w:rPr>
          <w:rFonts w:ascii="宋体" w:hAnsi="宋体" w:eastAsia="宋体"/>
          <w:color w:val="000000"/>
          <w:sz w:val="21"/>
          <w:szCs w:val="21"/>
          <w:highlight w:val="none"/>
          <w:lang w:val="en-US"/>
        </w:rPr>
        <w:t xml:space="preserve">239.4</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采购包</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：南京市食品药品监督检验院生物安全柜等检测设备采购一批</w:t>
      </w:r>
      <w:r>
        <w:rPr>
          <w:rFonts w:ascii="宋体" w:hAnsi="宋体" w:eastAsia="宋体"/>
          <w:color w:val="000000"/>
          <w:sz w:val="21"/>
          <w:szCs w:val="21"/>
          <w:highlight w:val="none"/>
          <w:lang w:val="en-US"/>
        </w:rPr>
        <w:t xml:space="preserve">507.73</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1035"/>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w:t>
      </w:r>
      <w:r>
        <w:rPr>
          <w:rFonts w:hint="eastAsia" w:ascii="宋体" w:hAnsi="宋体" w:eastAsia="宋体"/>
          <w:color w:val="000000"/>
          <w:sz w:val="21"/>
          <w:szCs w:val="21"/>
          <w:highlight w:val="none"/>
        </w:rPr>
        <w:t xml:space="preserve">采购需求：</w:t>
      </w:r>
      <w:r>
        <w:rPr>
          <w:rFonts w:hint="eastAsia" w:ascii="宋体" w:hAnsi="宋体" w:eastAsia="宋体"/>
          <w:color w:val="000000"/>
          <w:sz w:val="21"/>
          <w:szCs w:val="21"/>
          <w:highlight w:val="none"/>
          <w:lang w:val="en-US"/>
        </w:rPr>
        <w:t xml:space="preserve">本项目为南京市食品药品监督检验院食品药品检测设备采购一批采购（具体采购产品清单详见招标文件采购项目需求部分），项目内容包括但不限于产品设备采购、运输、安装、调试、提供备品备件、专业安装工具直至交付使用通过验收、售后服务等。</w:t>
      </w:r>
      <w:r>
        <w:rPr>
          <w:rFonts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rPr>
        <w:t xml:space="preserve">自合同签订之日起90个工作日内完成供货、安装及相关调试工作，通过验收，交付使用。</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w:t>
      </w:r>
      <w:r>
        <w:rPr>
          <w:rFonts w:hint="eastAsia" w:ascii="宋体" w:hAnsi="宋体" w:eastAsia="宋体"/>
          <w:color w:val="000000"/>
          <w:sz w:val="21"/>
          <w:szCs w:val="21"/>
          <w:highlight w:val="none"/>
        </w:rPr>
        <w:t xml:space="preserve">本项目是否属专门面向中小企业采购项目：否。</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bookmarkStart w:id="6" w:name="_Toc35393791"/>
      <w:r/>
      <w:bookmarkStart w:id="7" w:name="_Toc35393622"/>
      <w:r/>
      <w:bookmarkStart w:id="8" w:name="_Toc28359080"/>
      <w:r/>
      <w:bookmarkStart w:id="9" w:name="_Toc28359003"/>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本项目是否接受联合体投标：否。</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1.10</w:t>
      </w:r>
      <w:r>
        <w:rPr>
          <w:rFonts w:hint="eastAsia" w:ascii="宋体" w:hAnsi="宋体" w:eastAsia="宋体"/>
          <w:color w:val="000000"/>
          <w:sz w:val="21"/>
          <w:szCs w:val="21"/>
          <w:highlight w:val="none"/>
        </w:rPr>
        <w:t xml:space="preserve">本项目是否接受进口产品：</w:t>
      </w:r>
      <w:r>
        <w:rPr>
          <w:rFonts w:hint="eastAsia" w:ascii="宋体" w:hAnsi="宋体" w:eastAsia="宋体"/>
          <w:color w:val="000000"/>
          <w:sz w:val="21"/>
          <w:szCs w:val="21"/>
          <w:highlight w:val="none"/>
          <w:lang w:val="en-US"/>
        </w:rPr>
        <w:t xml:space="preserve">部分产品接受。</w:t>
      </w: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rPr>
        <w:t xml:space="preserve">1本项目共划分为三个分包，评标顺序依次为分包一、分包二、分包三，各供应商可以参与一个或多个分包的投标，但最多只能中标一个分包，已经中标的供应商可以参加后续分包的评审，但不再被推荐为中标候选人。</w:t>
      </w:r>
      <w:r>
        <w:rPr>
          <w:rFonts w:hint="eastAsia" w:ascii="宋体" w:hAnsi="宋体" w:eastAsia="宋体"/>
          <w:b/>
          <w:bCs/>
          <w:color w:val="000000"/>
          <w:sz w:val="21"/>
          <w:szCs w:val="21"/>
          <w:highlight w:val="none"/>
          <w:lang w:val="en-US"/>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二、供应商的资格要求</w:t>
      </w:r>
      <w:bookmarkEnd w:id="6"/>
      <w:r/>
      <w:bookmarkEnd w:id="7"/>
      <w:r/>
      <w:bookmarkEnd w:id="8"/>
      <w:r/>
      <w:bookmarkEnd w:id="9"/>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w:t>
      </w:r>
      <w:r>
        <w:rPr>
          <w:rFonts w:hint="eastAsia" w:ascii="宋体" w:hAnsi="宋体" w:eastAsia="宋体"/>
          <w:color w:val="000000"/>
          <w:sz w:val="21"/>
          <w:szCs w:val="21"/>
          <w:highlight w:val="none"/>
        </w:rPr>
        <w:t xml:space="preserve">满足《中华人民共和国政府采购法》第二十二条规定，即：</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bookmarkStart w:id="10" w:name="_Toc28359004"/>
      <w:r/>
      <w:bookmarkStart w:id="11" w:name="_Toc28359081"/>
      <w:r>
        <w:rPr>
          <w:rFonts w:hint="eastAsia" w:ascii="宋体" w:hAnsi="宋体" w:eastAsia="宋体"/>
          <w:color w:val="000000"/>
          <w:sz w:val="21"/>
          <w:szCs w:val="21"/>
          <w:highlight w:val="none"/>
          <w:lang w:val="en-US"/>
        </w:rPr>
        <w:t xml:space="preserve">（1）具有独立承担民事责任的能力（提供法人或者其他组织的营业执照等证明材料，自然人的身份证明）；</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w:t>
      </w:r>
      <w:r>
        <w:rPr>
          <w:rFonts w:hint="eastAsia" w:ascii="宋体" w:hAnsi="宋体" w:eastAsia="宋体"/>
          <w:color w:val="000000"/>
          <w:sz w:val="21"/>
          <w:szCs w:val="21"/>
          <w:highlight w:val="none"/>
        </w:rPr>
        <w:t xml:space="preserve">落实政府采购政策需满足的资格要求：无。</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w:t>
      </w:r>
      <w:r>
        <w:rPr>
          <w:rFonts w:hint="eastAsia" w:ascii="宋体" w:hAnsi="宋体" w:eastAsia="宋体"/>
          <w:color w:val="000000"/>
          <w:sz w:val="21"/>
          <w:szCs w:val="21"/>
          <w:highlight w:val="none"/>
        </w:rPr>
        <w:t xml:space="preserve">采购人根据采购项目的特殊要求规定的特定条件：</w:t>
      </w:r>
      <w:r>
        <w:rPr>
          <w:rFonts w:hint="eastAsia" w:ascii="宋体" w:hAnsi="宋体" w:eastAsia="宋体"/>
          <w:color w:val="000000"/>
          <w:sz w:val="21"/>
          <w:szCs w:val="21"/>
          <w:highlight w:val="none"/>
          <w:lang w:val="en-US"/>
        </w:rPr>
        <w:t xml:space="preserve">无。</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ascii="宋体" w:hAnsi="宋体" w:eastAsia="宋体"/>
          <w:color w:val="000000"/>
          <w:sz w:val="21"/>
          <w:szCs w:val="21"/>
          <w:highlight w:val="none"/>
          <w:lang w:val="en-US"/>
        </w:rPr>
      </w:pPr>
      <w:r/>
      <w:bookmarkStart w:id="12" w:name="_Toc35393792"/>
      <w:r/>
      <w:bookmarkStart w:id="13" w:name="_Toc35393623"/>
      <w:r>
        <w:rPr>
          <w:rFonts w:hint="eastAsia" w:ascii="宋体" w:hAnsi="宋体" w:eastAsia="宋体"/>
          <w:color w:val="000000"/>
          <w:sz w:val="21"/>
          <w:szCs w:val="21"/>
          <w:highlight w:val="none"/>
          <w:lang w:val="en-US"/>
        </w:rPr>
        <w:t xml:space="preserve">2.4本章2.1第（5）条所称重大违法记录，是指供应商因违法经营受到刑事处罚或者责令停产停业、吊销许可证或者执照、较大数额罚款等行政处罚。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2.5</w:t>
      </w:r>
      <w:r>
        <w:rPr>
          <w:rFonts w:hint="eastAsia" w:ascii="宋体" w:hAnsi="宋体" w:eastAsia="宋体"/>
          <w:color w:val="000000"/>
          <w:sz w:val="21"/>
          <w:szCs w:val="21"/>
          <w:highlight w:val="none"/>
        </w:rPr>
        <w:t xml:space="preserve">供应商单位负责人为同一人或者存在直接控股、管理关系的不同供应商，不得参加本项目的采购活动。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w:t>
      </w:r>
      <w:r>
        <w:rPr>
          <w:rFonts w:hint="eastAsia" w:ascii="宋体" w:hAnsi="宋体" w:eastAsia="宋体"/>
          <w:color w:val="000000"/>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三、获取</w:t>
      </w:r>
      <w:bookmarkEnd w:id="10"/>
      <w:r/>
      <w:bookmarkEnd w:id="11"/>
      <w:r/>
      <w:bookmarkEnd w:id="12"/>
      <w:r/>
      <w:bookmarkEnd w:id="13"/>
      <w:r>
        <w:rPr>
          <w:rFonts w:hint="eastAsia" w:ascii="宋体" w:hAnsi="宋体" w:eastAsia="宋体"/>
          <w:b/>
          <w:bCs/>
          <w:color w:val="000000"/>
          <w:sz w:val="21"/>
          <w:szCs w:val="21"/>
          <w:highlight w:val="none"/>
        </w:rPr>
        <w:t xml:space="preserve">招标文件：</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bookmarkStart w:id="14" w:name="_Toc28359082"/>
      <w:r/>
      <w:bookmarkStart w:id="15" w:name="_Toc28359005"/>
      <w:r/>
      <w:bookmarkStart w:id="16" w:name="_Toc35393624"/>
      <w:r/>
      <w:bookmarkStart w:id="17" w:name="_Toc35393793"/>
      <w:r>
        <w:rPr>
          <w:rFonts w:hint="eastAsia" w:ascii="宋体" w:hAnsi="宋体" w:eastAsia="宋体"/>
          <w:color w:val="000000"/>
          <w:sz w:val="21"/>
          <w:szCs w:val="21"/>
          <w:highlight w:val="none"/>
          <w:lang w:val="en-US"/>
        </w:rPr>
        <w:t xml:space="preserve">3.1时间：自招标文件公告发布之日起5个工作日。</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3.2地点：江苏省政府采购交易系统（苏采云）。</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3.3方式：网上下载。</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highlight w:val="none"/>
          <w:lang w:val="en-US"/>
        </w:rPr>
      </w:pPr>
      <w:r>
        <w:rPr>
          <w:rFonts w:hint="eastAsia" w:ascii="宋体" w:hAnsi="宋体" w:eastAsia="宋体"/>
          <w:color w:val="000000"/>
          <w:sz w:val="21"/>
          <w:szCs w:val="21"/>
          <w:highlight w:val="none"/>
          <w:lang w:val="en-US"/>
        </w:rPr>
        <w:t xml:space="preserve">3.4售价：0.00元。</w:t>
      </w:r>
      <w:r>
        <w:rPr>
          <w:rFonts w:hint="eastAsia" w:ascii="宋体" w:hAnsi="宋体" w:eastAsia="宋体"/>
          <w:color w:val="000000"/>
          <w:highlight w:val="none"/>
          <w:lang w:val="en-US"/>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四、投标</w:t>
      </w:r>
      <w:bookmarkEnd w:id="14"/>
      <w:r/>
      <w:bookmarkEnd w:id="15"/>
      <w:r/>
      <w:bookmarkEnd w:id="16"/>
      <w:r/>
      <w:bookmarkEnd w:id="17"/>
      <w:r>
        <w:rPr>
          <w:rFonts w:hint="eastAsia" w:ascii="宋体" w:hAnsi="宋体" w:eastAsia="宋体"/>
          <w:b/>
          <w:bCs/>
          <w:color w:val="000000"/>
          <w:sz w:val="21"/>
          <w:szCs w:val="21"/>
          <w:highlight w:val="none"/>
        </w:rPr>
        <w:t xml:space="preserve">、开标信息：</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bookmarkStart w:id="18" w:name="_Toc28359084"/>
      <w:r/>
      <w:bookmarkStart w:id="19" w:name="_Toc35393794"/>
      <w:r/>
      <w:bookmarkStart w:id="20" w:name="_Toc35393625"/>
      <w:r/>
      <w:bookmarkStart w:id="21" w:name="_Toc28359007"/>
      <w:r>
        <w:rPr>
          <w:rFonts w:hint="eastAsia" w:ascii="宋体" w:hAnsi="宋体" w:eastAsia="宋体"/>
          <w:color w:val="000000"/>
          <w:sz w:val="21"/>
          <w:szCs w:val="21"/>
          <w:highlight w:val="none"/>
          <w:lang w:val="en-US"/>
        </w:rPr>
        <w:t xml:space="preserve">4.1开标时间：2026年05月21日09时30分（北京时间）。</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4.2开标地点：“苏采云”政府采购交易系统网上开标大厅。</w:t>
      </w:r>
      <w:r>
        <w:rPr>
          <w:rFonts w:hint="eastAsia" w:ascii="宋体" w:hAnsi="宋体" w:eastAsia="宋体"/>
          <w:color w:val="000000"/>
          <w:sz w:val="21"/>
          <w:szCs w:val="21"/>
          <w:highlight w:val="none"/>
          <w:lang w:val="en-US"/>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五、公告期限</w:t>
      </w:r>
      <w:bookmarkEnd w:id="18"/>
      <w:r/>
      <w:bookmarkEnd w:id="19"/>
      <w:r/>
      <w:bookmarkEnd w:id="20"/>
      <w:r/>
      <w:bookmarkEnd w:id="21"/>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自本公告发布之日起5个工作日。</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bookmarkStart w:id="22" w:name="_Toc35393795"/>
      <w:r/>
      <w:bookmarkStart w:id="23" w:name="_Toc35393626"/>
      <w:r>
        <w:rPr>
          <w:rFonts w:hint="eastAsia" w:ascii="宋体" w:hAnsi="宋体" w:eastAsia="宋体"/>
          <w:b/>
          <w:bCs/>
          <w:color w:val="000000"/>
          <w:sz w:val="21"/>
          <w:szCs w:val="21"/>
          <w:highlight w:val="none"/>
        </w:rPr>
        <w:t xml:space="preserve">六、其他补充事宜</w:t>
      </w:r>
      <w:bookmarkEnd w:id="22"/>
      <w:r/>
      <w:bookmarkEnd w:id="23"/>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bookmarkStart w:id="24" w:name="_Toc35393627"/>
      <w:r/>
      <w:bookmarkStart w:id="25" w:name="_Toc35393796"/>
      <w:r/>
      <w:bookmarkStart w:id="26" w:name="_Toc28359085"/>
      <w:r/>
      <w:bookmarkStart w:id="27" w:name="_Toc28359008"/>
      <w:r>
        <w:rPr>
          <w:rFonts w:hint="eastAsia" w:ascii="宋体" w:hAnsi="宋体" w:eastAsia="宋体"/>
          <w:color w:val="000000"/>
          <w:sz w:val="21"/>
          <w:szCs w:val="21"/>
          <w:highlight w:val="none"/>
          <w:lang w:val="en-US"/>
        </w:rPr>
        <w:t xml:space="preserve">6.1潜在供应商访问政府采购管理交易系统（苏采云）的网络地址和方法：</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6.3供应商如确定参加投标，可自行下载采购文件及有关资料，按照《操作手册》进行注册，领取CA和办理电子签章，并按《操作手册》要求制作、上传电子投标文件。</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6.4政府采购信用承诺：“根据《关于在政府采购活动中推行信用承诺制的通知》宁财购通〔2021〕5号规定，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eastAsia="宋体"/>
          <w:color w:val="000000"/>
          <w:sz w:val="21"/>
          <w:szCs w:val="21"/>
          <w:highlight w:val="none"/>
          <w:lang w:val="en-US"/>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（1）符合国家相关规定的财务状况报告；</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（2）依法缴纳税收的证明材料；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（3）依法缴纳社会保障资金的证明材料；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（4）具备履行政府采购合同所必需的设备和专业技术能力的证明材料；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（6）未被列入失信被执行人、重大税收违法失信主体、政府采购严重违法失信行为记录名单的证明材料。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供应商在中标（成交）后，应上述由信用承诺书替代的证明材料（一式贰份），加盖公章按采购文件要求胶装提交招标人或采购代理机构核验。经核验无误后，由招标人或采购代理机构发出中标（成交）通知书。</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供应商涉及以下情形的，不适用信用承诺，仍须提供上述证明材料：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6.5</w:t>
      </w:r>
      <w:r>
        <w:rPr>
          <w:rFonts w:hint="eastAsia" w:ascii="宋体" w:hAnsi="宋体" w:eastAsia="宋体"/>
          <w:color w:val="000000"/>
          <w:sz w:val="21"/>
          <w:szCs w:val="21"/>
          <w:highlight w:val="none"/>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6.6</w:t>
      </w:r>
      <w:r>
        <w:rPr>
          <w:rFonts w:hint="eastAsia" w:ascii="宋体" w:hAnsi="宋体" w:eastAsia="宋体"/>
          <w:color w:val="000000"/>
          <w:sz w:val="21"/>
          <w:szCs w:val="21"/>
          <w:highlight w:val="none"/>
        </w:rPr>
        <w:t xml:space="preserve">投标保证金数额及交纳办法：本项目不收取投标保证金。</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6.7公告媒体：江苏政府采购网（http://www.ccgp-jiangsu.gov.cn/）、南京公共采购信息网（https://njgc.jfh.com/）。</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七、对本次招标提出询问，请按以下方式联系</w:t>
      </w:r>
      <w:bookmarkEnd w:id="24"/>
      <w:r/>
      <w:bookmarkEnd w:id="25"/>
      <w:r/>
      <w:bookmarkEnd w:id="26"/>
      <w:r/>
      <w:bookmarkEnd w:id="27"/>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rPr>
        <w:t xml:space="preserve">采购人信息：</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名称：南京市食品药品监督检验院</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地址：南京市江宁区文芳路199号</w:t>
      </w:r>
      <w:r>
        <w:rPr>
          <w:rFonts w:ascii="宋体" w:hAnsi="宋体" w:eastAsia="宋体"/>
          <w:color w:val="000000"/>
          <w:sz w:val="21"/>
          <w:szCs w:val="21"/>
          <w:highlight w:val="none"/>
          <w:lang w:val="en-US"/>
        </w:rPr>
      </w:r>
      <w:r/>
    </w:p>
    <w:p>
      <w:pPr>
        <w:pStyle w:val="1035"/>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rPr>
        <w:t xml:space="preserve">胡先生</w:t>
      </w:r>
      <w:r>
        <w:rPr>
          <w:rFonts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联系方式：</w:t>
      </w:r>
      <w:bookmarkStart w:id="28" w:name="_Toc28359009"/>
      <w:r/>
      <w:bookmarkStart w:id="29" w:name="_Toc28359086"/>
      <w:r>
        <w:rPr>
          <w:rFonts w:hint="eastAsia" w:ascii="宋体" w:hAnsi="宋体" w:eastAsia="宋体"/>
          <w:color w:val="000000"/>
          <w:sz w:val="21"/>
          <w:szCs w:val="21"/>
          <w:highlight w:val="none"/>
        </w:rPr>
        <w:t xml:space="preserve">025-89636123</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rPr>
        <w:t xml:space="preserve">采购代理机构信息</w:t>
      </w:r>
      <w:bookmarkEnd w:id="28"/>
      <w:r/>
      <w:bookmarkEnd w:id="29"/>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地址：南京市鼓楼区汉中门大街309号港湾中心B座6层</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rPr>
        <w:t xml:space="preserve">宗工</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联系方式：</w:t>
      </w:r>
      <w:bookmarkStart w:id="30" w:name="_Toc28359010"/>
      <w:r/>
      <w:bookmarkStart w:id="31" w:name="_Toc28359087"/>
      <w:r>
        <w:rPr>
          <w:rFonts w:hint="eastAsia" w:ascii="宋体" w:hAnsi="宋体" w:eastAsia="宋体"/>
          <w:color w:val="000000"/>
          <w:sz w:val="21"/>
          <w:szCs w:val="21"/>
          <w:highlight w:val="none"/>
        </w:rPr>
        <w:t xml:space="preserve">15951894337</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rPr>
        <w:t xml:space="preserve">项目联系方式</w:t>
      </w:r>
      <w:bookmarkEnd w:id="30"/>
      <w:r/>
      <w:bookmarkEnd w:id="31"/>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rPr>
        <w:t xml:space="preserve">宗工</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电话：15951894337</w:t>
      </w:r>
      <w:r>
        <w:rPr>
          <w:rFonts w:hint="eastAsia" w:ascii="宋体" w:hAnsi="宋体" w:eastAsia="宋体"/>
          <w:color w:val="000000"/>
          <w:sz w:val="21"/>
          <w:szCs w:val="21"/>
          <w:highlight w:val="none"/>
          <w:lang w:val="en-US"/>
        </w:rPr>
      </w:r>
      <w:r/>
    </w:p>
    <w:p>
      <w:pPr>
        <w:pStyle w:val="1035"/>
        <w:jc w:val="center"/>
        <w:spacing w:line="360" w:lineRule="auto"/>
        <w:shd w:val="clear" w:color="auto" w:fill="auto"/>
        <w:rPr>
          <w:rFonts w:hint="eastAsia" w:ascii="黑体" w:hAnsi="黑体" w:eastAsia="黑体" w:cs="黑体"/>
          <w:bCs/>
          <w:color w:val="000000"/>
          <w:sz w:val="32"/>
          <w:szCs w:val="36"/>
          <w:highlight w:val="none"/>
        </w:rPr>
        <w:outlineLvl w:val="0"/>
      </w:pPr>
      <w:r>
        <w:rPr>
          <w:rFonts w:ascii="宋体" w:hAnsi="宋体"/>
          <w:color w:val="000000"/>
          <w:szCs w:val="21"/>
          <w:highlight w:val="none"/>
        </w:rPr>
        <w:br w:type="page" w:clear="all"/>
      </w:r>
      <w:bookmarkStart w:id="32" w:name="_Toc5791"/>
      <w:r>
        <w:rPr>
          <w:rFonts w:hint="eastAsia" w:ascii="黑体" w:hAnsi="黑体" w:eastAsia="黑体" w:cs="黑体"/>
          <w:bCs/>
          <w:color w:val="000000"/>
          <w:sz w:val="32"/>
          <w:szCs w:val="36"/>
          <w:highlight w:val="none"/>
        </w:rPr>
        <w:t xml:space="preserve">第二章  供应商须知</w:t>
      </w:r>
      <w:bookmarkEnd w:id="32"/>
      <w:r>
        <w:rPr>
          <w:rFonts w:hint="eastAsia" w:ascii="黑体" w:hAnsi="黑体" w:eastAsia="黑体" w:cs="黑体"/>
          <w:bCs/>
          <w:color w:val="000000"/>
          <w:sz w:val="32"/>
          <w:szCs w:val="36"/>
          <w:highlight w:val="none"/>
        </w:rPr>
      </w:r>
      <w:r/>
    </w:p>
    <w:p>
      <w:pPr>
        <w:pStyle w:val="1035"/>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rPr>
          <w:rFonts w:hint="eastAsia" w:ascii="宋体" w:hAnsi="宋体" w:eastAsia="宋体"/>
          <w:b/>
          <w:bCs/>
          <w:color w:val="000000"/>
          <w:sz w:val="21"/>
          <w:szCs w:val="21"/>
          <w:highlight w:val="none"/>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val="false"/>
          </w:tcPr>
          <w:p>
            <w:pPr>
              <w:pStyle w:val="1035"/>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rPr>
                <w:rFonts w:hint="eastAsia" w:ascii="宋体" w:hAnsi="宋体" w:eastAsia="宋体"/>
                <w:b/>
                <w:color w:val="000000"/>
                <w:sz w:val="21"/>
                <w:szCs w:val="21"/>
                <w:highlight w:val="none"/>
              </w:rPr>
            </w:r>
            <w:r/>
          </w:p>
        </w:tc>
        <w:tc>
          <w:tcPr>
            <w:tcW w:w="6960" w:type="dxa"/>
            <w:vAlign w:val="center"/>
            <w:textDirection w:val="lrTb"/>
            <w:noWrap w:val="false"/>
          </w:tcPr>
          <w:p>
            <w:pPr>
              <w:pStyle w:val="1035"/>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696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名称：南京市食品药品监督检验院</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地址：南京市江宁区文芳路199号</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rPr>
              <w:t xml:space="preserve">胡先生</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rPr>
              <w:t xml:space="preserve">025-89636123</w:t>
            </w:r>
            <w:r>
              <w:rPr>
                <w:rFonts w:hint="eastAsia" w:ascii="宋体" w:hAnsi="宋体" w:eastAsia="宋体"/>
                <w:color w:val="000000"/>
                <w:sz w:val="21"/>
                <w:szCs w:val="21"/>
                <w:highlight w:val="none"/>
                <w:lang w:val="en-US"/>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地址：南京市鼓楼区汉中门大街309号港湾中心B座6层</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rPr>
              <w:t xml:space="preserve">宗工</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联系方式：15951894337</w:t>
            </w:r>
            <w:r>
              <w:rPr>
                <w:rFonts w:hint="eastAsia" w:ascii="宋体" w:hAnsi="宋体" w:eastAsia="宋体"/>
                <w:color w:val="000000"/>
                <w:sz w:val="21"/>
                <w:szCs w:val="21"/>
                <w:highlight w:val="none"/>
                <w:lang w:val="en-US"/>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南京市食品药品监督检验院食品药品检测设备采购一批</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南京市</w:t>
            </w:r>
            <w:r>
              <w:rPr>
                <w:rFonts w:hint="eastAsia" w:ascii="宋体" w:hAnsi="宋体" w:eastAsia="宋体"/>
                <w:b/>
                <w:color w:val="000000"/>
                <w:sz w:val="21"/>
                <w:szCs w:val="21"/>
                <w:highlight w:val="none"/>
                <w:lang w:val="en-US"/>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评审方法</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综合评分法</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90日</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）查询人：采购代理机构；</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）查询渠道：“信用中国”网站（www.creditchina.gov.cn）、“中国政府采购网”网站（www.ccgp.gov.cn）；</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）查询时间：开标结束后；</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）查询记录留存方式：由采购代理机构负责将供应商各网站信用记录截图打印保存，并作为本项目档案资料留存；</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）查询结果处理：</w:t>
            </w:r>
            <w:r>
              <w:rPr>
                <w:rFonts w:hint="eastAsia" w:ascii="仿宋" w:hAnsi="仿宋" w:eastAsia="仿宋" w:cs="仿宋"/>
                <w:color w:val="000000"/>
                <w:sz w:val="21"/>
                <w:szCs w:val="21"/>
                <w:highlight w:val="none"/>
              </w:rPr>
              <w:t xml:space="preserve">对具有违法失信记录的供应商作无效投标处理。</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投标文件拒收情形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采购代理机构拒绝接收投标截止时间后上传的任何投标文件。</w:t>
            </w:r>
            <w:r>
              <w:rPr>
                <w:rFonts w:hint="eastAsia" w:ascii="仿宋" w:hAnsi="仿宋" w:eastAsia="仿宋" w:cs="仿宋"/>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rPr>
                <w:rFonts w:ascii="宋体" w:hAnsi="宋体" w:eastAsia="宋体"/>
                <w:color w:val="000000"/>
                <w:sz w:val="21"/>
                <w:szCs w:val="21"/>
                <w:highlight w:val="none"/>
                <w:lang w:val="en-US"/>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投标无效情形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（1）供应商在苏采云系统规定的时间内未成功解密电子投标文件；</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2</w:t>
            </w:r>
            <w:r>
              <w:rPr>
                <w:rFonts w:hint="eastAsia" w:ascii="仿宋" w:hAnsi="仿宋" w:eastAsia="仿宋" w:cs="仿宋"/>
                <w:color w:val="000000"/>
                <w:sz w:val="21"/>
                <w:szCs w:val="21"/>
                <w:highlight w:val="none"/>
              </w:rPr>
              <w:t xml:space="preserve">）供应商未按照招标文件要求上传电子投标文件；</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3</w:t>
            </w:r>
            <w:r>
              <w:rPr>
                <w:rFonts w:hint="eastAsia" w:ascii="仿宋" w:hAnsi="仿宋" w:eastAsia="仿宋" w:cs="仿宋"/>
                <w:color w:val="000000"/>
                <w:sz w:val="21"/>
                <w:szCs w:val="21"/>
                <w:highlight w:val="none"/>
              </w:rPr>
              <w:t xml:space="preserve">）投标文件未按照招标文件要求加盖电子公章；</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4</w:t>
            </w:r>
            <w:r>
              <w:rPr>
                <w:rFonts w:hint="eastAsia" w:ascii="仿宋" w:hAnsi="仿宋" w:eastAsia="仿宋" w:cs="仿宋"/>
                <w:color w:val="000000"/>
                <w:sz w:val="21"/>
                <w:szCs w:val="21"/>
                <w:highlight w:val="none"/>
              </w:rPr>
              <w:t xml:space="preserve">）投标文件中未逐一说明投标产品名称、品牌、规格型号、产地、技术参数和服务响应，而是直接拷贝招标文件采购项目需求的；</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5</w:t>
            </w:r>
            <w:r>
              <w:rPr>
                <w:rFonts w:hint="eastAsia" w:ascii="仿宋" w:hAnsi="仿宋" w:eastAsia="仿宋" w:cs="仿宋"/>
                <w:color w:val="000000"/>
                <w:sz w:val="21"/>
                <w:szCs w:val="21"/>
                <w:highlight w:val="none"/>
              </w:rPr>
              <w:t xml:space="preserve">）不同供应商的投标文件由同一单位或者个人编制；</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6</w:t>
            </w:r>
            <w:r>
              <w:rPr>
                <w:rFonts w:hint="eastAsia" w:ascii="仿宋" w:hAnsi="仿宋" w:eastAsia="仿宋" w:cs="仿宋"/>
                <w:color w:val="000000"/>
                <w:sz w:val="21"/>
                <w:szCs w:val="21"/>
                <w:highlight w:val="none"/>
              </w:rPr>
              <w:t xml:space="preserve">）不同供应商委托同一单位或者个人办理投标事宜；</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7</w:t>
            </w:r>
            <w:r>
              <w:rPr>
                <w:rFonts w:hint="eastAsia" w:ascii="仿宋" w:hAnsi="仿宋" w:eastAsia="仿宋" w:cs="仿宋"/>
                <w:color w:val="000000"/>
                <w:sz w:val="21"/>
                <w:szCs w:val="21"/>
                <w:highlight w:val="none"/>
              </w:rPr>
              <w:t xml:space="preserve">）不同供应商的投标文件载明的项目管理成员或者联系人员为同一人；</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8</w:t>
            </w:r>
            <w:r>
              <w:rPr>
                <w:rFonts w:hint="eastAsia" w:ascii="仿宋" w:hAnsi="仿宋" w:eastAsia="仿宋" w:cs="仿宋"/>
                <w:color w:val="000000"/>
                <w:sz w:val="21"/>
                <w:szCs w:val="21"/>
                <w:highlight w:val="none"/>
              </w:rPr>
              <w:t xml:space="preserve">）不同供应商的投标文件异常一致或者投标报价呈规律性差异；</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t xml:space="preserve">9</w:t>
            </w:r>
            <w:r>
              <w:rPr>
                <w:rFonts w:hint="eastAsia" w:ascii="仿宋" w:hAnsi="仿宋" w:eastAsia="仿宋" w:cs="仿宋"/>
                <w:color w:val="000000"/>
                <w:sz w:val="21"/>
                <w:szCs w:val="21"/>
                <w:highlight w:val="none"/>
              </w:rPr>
              <w:t xml:space="preserve">）不同供应商的单位负责人为同一人或者供应商之间存在直接控股、管理关系的；</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rPr>
              <w:t xml:space="preserve">0</w:t>
            </w:r>
            <w:r>
              <w:rPr>
                <w:rFonts w:hint="eastAsia" w:ascii="仿宋" w:hAnsi="仿宋" w:eastAsia="仿宋" w:cs="仿宋"/>
                <w:color w:val="000000"/>
                <w:sz w:val="21"/>
                <w:szCs w:val="21"/>
                <w:highlight w:val="none"/>
              </w:rPr>
              <w:t xml:space="preserve">）报价超过招标文件中规定的预算金额或者最高限价的；</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rPr>
              <w:t xml:space="preserve">1</w:t>
            </w:r>
            <w:r>
              <w:rPr>
                <w:rFonts w:hint="eastAsia" w:ascii="仿宋" w:hAnsi="仿宋" w:eastAsia="仿宋" w:cs="仿宋"/>
                <w:color w:val="000000"/>
                <w:sz w:val="21"/>
                <w:szCs w:val="21"/>
                <w:highlight w:val="none"/>
              </w:rPr>
              <w:t xml:space="preserve">）投标文件含有采购人不能接受的附加条件的；</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rPr>
              <w:t xml:space="preserve">2</w:t>
            </w:r>
            <w:r>
              <w:rPr>
                <w:rFonts w:hint="eastAsia" w:ascii="仿宋" w:hAnsi="仿宋" w:eastAsia="仿宋" w:cs="仿宋"/>
                <w:color w:val="000000"/>
                <w:sz w:val="21"/>
                <w:szCs w:val="21"/>
                <w:highlight w:val="none"/>
              </w:rPr>
              <w:t xml:space="preserve">）投标文件不符合招标文件规定的其他实质性要求的；</w:t>
            </w:r>
            <w:r>
              <w:rPr>
                <w:rFonts w:hint="eastAsia" w:ascii="仿宋" w:hAnsi="仿宋" w:eastAsia="仿宋" w:cs="仿宋"/>
                <w:color w:val="000000"/>
                <w:sz w:val="21"/>
                <w:szCs w:val="21"/>
                <w:highlight w:val="none"/>
              </w:rPr>
            </w:r>
            <w:r/>
          </w:p>
          <w:p>
            <w:pPr>
              <w:pStyle w:val="1035"/>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rPr>
              <w:t xml:space="preserve">3</w:t>
            </w:r>
            <w:r>
              <w:rPr>
                <w:rFonts w:hint="eastAsia" w:ascii="仿宋" w:hAnsi="仿宋" w:eastAsia="仿宋" w:cs="仿宋"/>
                <w:color w:val="000000"/>
                <w:sz w:val="21"/>
                <w:szCs w:val="21"/>
                <w:highlight w:val="none"/>
              </w:rPr>
              <w:t xml:space="preserve">）法律、法规和招标文件规定的其他无效情形。</w:t>
            </w:r>
            <w:r>
              <w:rPr>
                <w:rFonts w:hint="eastAsia" w:ascii="仿宋" w:hAnsi="仿宋" w:eastAsia="仿宋" w:cs="仿宋"/>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w:t>
            </w:r>
            <w:r>
              <w:rPr>
                <w:rFonts w:ascii="宋体" w:hAnsi="宋体" w:eastAsia="宋体"/>
                <w:color w:val="000000"/>
                <w:sz w:val="21"/>
                <w:szCs w:val="21"/>
                <w:highlight w:val="none"/>
                <w:lang w:val="en-US"/>
              </w:rPr>
            </w:r>
            <w:r/>
          </w:p>
        </w:tc>
        <w:tc>
          <w:tcPr>
            <w:tcW w:w="21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废标情形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（1）符合资格条件的供应商或者对招标文件作实质性响应的供应商不足三家的；</w:t>
            </w:r>
            <w:r>
              <w:rPr>
                <w:rFonts w:hint="eastAsia" w:ascii="仿宋" w:hAnsi="仿宋" w:eastAsia="仿宋" w:cs="仿宋"/>
                <w:color w:val="000000"/>
                <w:sz w:val="21"/>
                <w:szCs w:val="21"/>
                <w:highlight w:val="none"/>
              </w:rPr>
            </w:r>
            <w:r/>
          </w:p>
          <w:p>
            <w:pPr>
              <w:pStyle w:val="1035"/>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（2）出现影响采购公正的违法、违规行为的；</w:t>
            </w:r>
            <w:r>
              <w:rPr>
                <w:rFonts w:hint="eastAsia" w:ascii="仿宋" w:hAnsi="仿宋" w:eastAsia="仿宋" w:cs="仿宋"/>
                <w:color w:val="000000"/>
                <w:sz w:val="21"/>
                <w:szCs w:val="21"/>
                <w:highlight w:val="none"/>
              </w:rPr>
            </w:r>
            <w:r/>
          </w:p>
          <w:p>
            <w:pPr>
              <w:pStyle w:val="1035"/>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（3）因重大变故，采购任务取消的；</w:t>
            </w:r>
            <w:r>
              <w:rPr>
                <w:rFonts w:hint="eastAsia" w:ascii="仿宋" w:hAnsi="仿宋" w:eastAsia="仿宋" w:cs="仿宋"/>
                <w:color w:val="000000"/>
                <w:sz w:val="21"/>
                <w:szCs w:val="21"/>
                <w:highlight w:val="none"/>
              </w:rPr>
            </w:r>
            <w:r/>
          </w:p>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仿宋" w:hAnsi="仿宋" w:eastAsia="仿宋" w:cs="仿宋"/>
                <w:color w:val="000000"/>
                <w:sz w:val="21"/>
                <w:szCs w:val="21"/>
                <w:highlight w:val="none"/>
              </w:rPr>
              <w:t xml:space="preserve">（4）因苏采云系统故障造成开标不成功。</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lang w:val="en-US"/>
              </w:rPr>
            </w:r>
            <w:r/>
          </w:p>
        </w:tc>
        <w:tc>
          <w:tcPr>
            <w:tcW w:w="2151"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相同品牌产品</w:t>
            </w:r>
            <w:r>
              <w:rPr>
                <w:rFonts w:hint="eastAsia" w:ascii="宋体" w:hAnsi="宋体" w:eastAsia="宋体"/>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投标要求</w:t>
            </w:r>
            <w:r>
              <w:rPr>
                <w:rFonts w:hint="eastAsia" w:ascii="宋体" w:hAnsi="宋体" w:eastAsia="宋体"/>
                <w:color w:val="000000"/>
                <w:sz w:val="21"/>
                <w:szCs w:val="21"/>
                <w:highlight w:val="none"/>
              </w:rPr>
            </w:r>
            <w:r/>
          </w:p>
        </w:tc>
        <w:tc>
          <w:tcPr>
            <w:tcW w:w="6960" w:type="dxa"/>
            <w:vAlign w:val="center"/>
            <w:textDirection w:val="lrTb"/>
            <w:noWrap w:val="false"/>
          </w:tcPr>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highlight w:val="none"/>
              </w:rPr>
              <w:t xml:space="preserve">按照随机抽取的方式</w:t>
            </w:r>
            <w:r>
              <w:rPr>
                <w:rFonts w:hint="eastAsia" w:ascii="宋体" w:hAnsi="宋体" w:eastAsia="宋体"/>
                <w:color w:val="000000"/>
                <w:sz w:val="21"/>
                <w:szCs w:val="21"/>
                <w:highlight w:val="none"/>
                <w:lang w:val="en-US"/>
              </w:rPr>
              <w:t xml:space="preserve">确定一个参加评标的供应商，其他投标无效；</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（3）非单一产品采购项目，以提供的核心产品品牌为准，核心产品详见第五章采购项目需求。多家供应商提供的核心产品品牌相同的，按前两款规定处理；</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（4）如有四家</w:t>
            </w:r>
            <w:r>
              <w:rPr>
                <w:rFonts w:hint="eastAsia" w:ascii="宋体" w:hAnsi="宋体" w:eastAsia="宋体"/>
                <w:color w:val="000000"/>
                <w:sz w:val="21"/>
                <w:szCs w:val="21"/>
                <w:highlight w:val="none"/>
              </w:rPr>
              <w:t xml:space="preserve">通过资格性审查、符合性审查的不同</w:t>
            </w:r>
            <w:r>
              <w:rPr>
                <w:rFonts w:hint="eastAsia" w:ascii="宋体" w:hAnsi="宋体" w:eastAsia="宋体"/>
                <w:color w:val="000000"/>
                <w:sz w:val="21"/>
                <w:szCs w:val="21"/>
                <w:highlight w:val="none"/>
                <w:lang w:val="en-US"/>
              </w:rPr>
              <w:t xml:space="preserve">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eastAsia="宋体"/>
                <w:color w:val="000000"/>
                <w:sz w:val="21"/>
                <w:szCs w:val="21"/>
                <w:highlight w:val="none"/>
              </w:rPr>
            </w:r>
            <w:r/>
          </w:p>
        </w:tc>
      </w:tr>
    </w:tbl>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一、总   则</w:t>
      </w:r>
      <w:r>
        <w:rPr>
          <w:rFonts w:hint="eastAsia" w:ascii="宋体" w:hAnsi="宋体" w:eastAsia="宋体"/>
          <w:b/>
          <w:bCs/>
          <w:color w:val="000000"/>
          <w:sz w:val="21"/>
          <w:szCs w:val="21"/>
          <w:highlight w:val="none"/>
        </w:rPr>
      </w:r>
      <w:r/>
    </w:p>
    <w:p>
      <w:pPr>
        <w:pStyle w:val="1035"/>
        <w:ind w:firstLine="21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1、适用法律</w:t>
      </w:r>
      <w:r>
        <w:rPr>
          <w:rFonts w:hint="eastAsia" w:ascii="宋体" w:hAnsi="宋体" w:eastAsia="宋体"/>
          <w:b/>
          <w:bCs/>
          <w:color w:val="000000"/>
          <w:sz w:val="21"/>
          <w:szCs w:val="21"/>
          <w:highlight w:val="none"/>
        </w:rPr>
      </w:r>
      <w:r/>
    </w:p>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1.1本次招标适用《中华人民共和国政府采购法》、《中华人民共和国政府采购法实施条例》、《政府采购货物和服务招标投标管理办法》等法律、行政法规、部门规章和规范性文件。</w:t>
      </w:r>
      <w:r>
        <w:rPr>
          <w:rFonts w:hint="eastAsia" w:ascii="宋体" w:hAnsi="宋体" w:eastAsia="宋体"/>
          <w:color w:val="000000"/>
          <w:sz w:val="21"/>
          <w:szCs w:val="21"/>
          <w:highlight w:val="none"/>
        </w:rPr>
      </w:r>
      <w:r/>
    </w:p>
    <w:p>
      <w:pPr>
        <w:pStyle w:val="1035"/>
        <w:ind w:firstLine="211"/>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2、定义</w:t>
      </w:r>
      <w:r>
        <w:rPr>
          <w:rFonts w:hint="eastAsia" w:ascii="宋体" w:hAnsi="宋体" w:eastAsia="宋体"/>
          <w:b/>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2.1“采购人”是指依法进行政府采购的国家机关、事业单位、团体组织。</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2.2“供应商”是指参加投标竞争，并符合招标文件规定资格条件的法人、其他组织或者自然人。</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2.4“货物”指本招标文件中所述产品。</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2.5“用户或使用单位”是指使用货物的单位。</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3、政策功能</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中小企业政策</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3.4</w:t>
      </w:r>
      <w:r>
        <w:rPr>
          <w:rFonts w:hint="eastAsia" w:ascii="宋体" w:hAnsi="宋体" w:eastAsia="宋体"/>
          <w:bCs/>
          <w:color w:val="000000"/>
          <w:sz w:val="21"/>
          <w:szCs w:val="21"/>
          <w:highlight w:val="none"/>
        </w:rPr>
        <w:t xml:space="preserve">节能产品政策</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）供应商提供的产品属于《节能产品政府采购品目清单》所列非政府强制采购产品的，在性能、技术、服务等指标同等条件下，实行优先采购，优先采购的评审标准详见本招标文件第四章评标说明。</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4</w:t>
      </w:r>
      <w:r>
        <w:rPr>
          <w:rFonts w:hint="eastAsia" w:ascii="宋体" w:hAnsi="宋体" w:eastAsia="宋体"/>
          <w:bCs/>
          <w:color w:val="000000"/>
          <w:sz w:val="21"/>
          <w:szCs w:val="21"/>
          <w:highlight w:val="none"/>
        </w:rPr>
        <w:t xml:space="preserve">）采购人拟采购的产品属于《节能产品政府采购品目清单》所列政府强制采购产品的，供应商提供的产品则必须为列入《节能产品政府采购品目清单》的政府强制采购产品，实行强制采购，否则投标无效。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bCs/>
          <w:color w:val="000000"/>
          <w:sz w:val="21"/>
          <w:szCs w:val="21"/>
          <w:highlight w:val="none"/>
        </w:rPr>
      </w:r>
      <w:r/>
    </w:p>
    <w:p>
      <w:pPr>
        <w:pStyle w:val="1035"/>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    3.5</w:t>
      </w:r>
      <w:r>
        <w:rPr>
          <w:rFonts w:hint="eastAsia" w:ascii="宋体" w:hAnsi="宋体" w:eastAsia="宋体"/>
          <w:bCs/>
          <w:color w:val="000000"/>
          <w:sz w:val="21"/>
          <w:szCs w:val="21"/>
          <w:highlight w:val="none"/>
        </w:rPr>
        <w:t xml:space="preserve">环境标志产品政策</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）供应商提供的产品属于《环境标志产品政府采购品目清单》所列产品的，在性能、技术、服务等指标同等条件下，实行优先采购，优先采购的评审标准详见本招标文件第四章评标说明。</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3.6信息安全产品政策</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（1）信息安全产品是指列入国家质检总局、国家认监委《信息安全产品强制性认证目录》，并获得强制性产品认证证书的产品。</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（2）供应商提供的产品属于信息安全产品的，应当选择经国家认证的信息安全产品投标，并提供由国家信息安全认证中心按国家标准认证颁发的有效认证证书。</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3.7</w:t>
      </w:r>
      <w:r>
        <w:rPr>
          <w:rFonts w:hint="eastAsia" w:ascii="宋体" w:hAnsi="宋体" w:eastAsia="宋体"/>
          <w:bCs/>
          <w:color w:val="000000"/>
          <w:sz w:val="21"/>
          <w:szCs w:val="21"/>
          <w:highlight w:val="none"/>
        </w:rPr>
        <w:t xml:space="preserve">进口产品政策</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（2）允许进口产品参加的，满足需求的国内产品可以参加。</w:t>
      </w:r>
      <w:r>
        <w:rPr>
          <w:rFonts w:hint="eastAsia" w:ascii="宋体" w:hAnsi="宋体" w:eastAsia="宋体"/>
          <w:bCs/>
          <w:color w:val="000000"/>
          <w:sz w:val="21"/>
          <w:szCs w:val="21"/>
          <w:highlight w:val="none"/>
        </w:rPr>
      </w:r>
      <w:r/>
    </w:p>
    <w:p>
      <w:pPr>
        <w:pStyle w:val="1035"/>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（3）允许进口产品参加的，优先采购向我国企业转让技术、与我国企业签订消化吸收再创新方案的供应商的进口产品。</w:t>
      </w:r>
      <w:r>
        <w:rPr>
          <w:rFonts w:hint="eastAsia" w:ascii="宋体" w:hAnsi="宋体" w:eastAsia="宋体"/>
          <w:bCs/>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3.8支持本国产品的政策</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3.9未按要求提供相关材料的，不享受相关政策。</w:t>
      </w:r>
      <w:r>
        <w:rPr>
          <w:rFonts w:hint="eastAsia" w:ascii="宋体" w:hAnsi="宋体" w:eastAsia="宋体"/>
          <w:bCs/>
          <w:color w:val="000000"/>
          <w:sz w:val="21"/>
          <w:szCs w:val="21"/>
          <w:highlight w:val="none"/>
          <w:lang w:val="en-US"/>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4、招标文件的约束力</w:t>
      </w:r>
      <w:r>
        <w:rPr>
          <w:rFonts w:hint="eastAsia" w:ascii="宋体" w:hAnsi="宋体" w:eastAsia="宋体"/>
          <w:b/>
          <w:color w:val="000000"/>
          <w:sz w:val="21"/>
          <w:szCs w:val="21"/>
          <w:highlight w:val="none"/>
        </w:rPr>
      </w:r>
      <w:r/>
    </w:p>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4.1供应商一旦</w:t>
      </w:r>
      <w:r>
        <w:rPr>
          <w:rFonts w:hint="eastAsia" w:ascii="宋体" w:hAnsi="宋体" w:eastAsia="宋体"/>
          <w:color w:val="000000"/>
          <w:sz w:val="21"/>
          <w:szCs w:val="21"/>
          <w:highlight w:val="none"/>
          <w:lang w:val="en-US"/>
        </w:rPr>
        <w:t xml:space="preserve">下载</w:t>
      </w:r>
      <w:r>
        <w:rPr>
          <w:rFonts w:hint="eastAsia" w:ascii="宋体" w:hAnsi="宋体" w:eastAsia="宋体"/>
          <w:color w:val="000000"/>
          <w:sz w:val="21"/>
          <w:szCs w:val="21"/>
          <w:highlight w:val="none"/>
        </w:rPr>
        <w:t xml:space="preserve">了本招标文件并参加投标，即被认为接受了本招标文件中的所有条件和规定。</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4.2</w:t>
      </w:r>
      <w:r>
        <w:rPr>
          <w:rFonts w:hint="eastAsia" w:ascii="宋体" w:hAnsi="宋体" w:eastAsia="宋体"/>
          <w:color w:val="000000"/>
          <w:sz w:val="21"/>
          <w:szCs w:val="21"/>
          <w:highlight w:val="none"/>
        </w:rPr>
        <w:t xml:space="preserve">招标文件中要求的产品品牌或型号，是采购人根据项目所要实现的功能推荐的品牌或型号，仅供供应商参考，并不是限制条件。</w:t>
      </w:r>
      <w:r>
        <w:rPr>
          <w:rFonts w:hint="eastAsia" w:ascii="宋体" w:hAnsi="宋体" w:eastAsia="宋体"/>
          <w:color w:val="000000"/>
          <w:sz w:val="21"/>
          <w:szCs w:val="21"/>
          <w:highlight w:val="none"/>
        </w:rPr>
      </w:r>
      <w:r/>
    </w:p>
    <w:p>
      <w:pPr>
        <w:pStyle w:val="1035"/>
        <w:ind w:firstLine="42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二、招标文件构成</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5、招标文件组成</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5.1招标公告</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5.2</w:t>
      </w:r>
      <w:r>
        <w:rPr>
          <w:rFonts w:hint="eastAsia" w:ascii="宋体" w:hAnsi="宋体" w:eastAsia="宋体"/>
          <w:color w:val="000000"/>
          <w:sz w:val="21"/>
          <w:szCs w:val="21"/>
          <w:highlight w:val="none"/>
        </w:rPr>
        <w:t xml:space="preserve">供应商须知</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5.3</w:t>
      </w:r>
      <w:r>
        <w:rPr>
          <w:rFonts w:hint="eastAsia" w:ascii="宋体" w:hAnsi="宋体" w:eastAsia="宋体"/>
          <w:color w:val="000000"/>
          <w:sz w:val="21"/>
          <w:szCs w:val="21"/>
          <w:highlight w:val="none"/>
        </w:rPr>
        <w:t xml:space="preserve">评标标准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5.4纪律和职责</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5.5</w:t>
      </w:r>
      <w:r>
        <w:rPr>
          <w:rFonts w:hint="eastAsia" w:ascii="宋体" w:hAnsi="宋体" w:eastAsia="宋体"/>
          <w:color w:val="000000"/>
          <w:sz w:val="21"/>
          <w:szCs w:val="21"/>
          <w:highlight w:val="none"/>
        </w:rPr>
        <w:t xml:space="preserve">采购项目需求</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5.6</w:t>
      </w:r>
      <w:r>
        <w:rPr>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5.7</w:t>
      </w:r>
      <w:r>
        <w:rPr>
          <w:rFonts w:hint="eastAsia" w:ascii="宋体" w:hAnsi="宋体" w:eastAsia="宋体"/>
          <w:color w:val="000000"/>
          <w:sz w:val="21"/>
          <w:szCs w:val="21"/>
          <w:highlight w:val="none"/>
        </w:rPr>
        <w:t xml:space="preserve">附件</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5.8</w:t>
      </w:r>
      <w:r>
        <w:rPr>
          <w:rFonts w:hint="eastAsia" w:ascii="宋体" w:hAnsi="宋体" w:eastAsia="宋体"/>
          <w:color w:val="000000"/>
          <w:sz w:val="21"/>
          <w:szCs w:val="21"/>
          <w:highlight w:val="none"/>
        </w:rPr>
        <w:t xml:space="preserve">投标文件格式</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6、招标文件的澄清或者修改</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6.1采购人或者采购代理机构可以对已发出的招标文件、招标公告进行必要的澄清或者修改，但不得改变采购标的和资格条件。澄清或者修改应当在原公告发布媒体上发布更正公告。更正内容将作为招标文件的组成部分，并对供应商具有约束力。</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6.2供应商应在提交投标文件截止时间前，关注原公告媒体有关本项目的更正公告，根据更正公告内容自行决定是否需要重新制作和提交投标文件，并承担由此产生的相应责任。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6.3采购代理机构有权按照法律法规的要求推迟投标截止日期和开标日期，并在原公告媒体发布更正公告。</w:t>
      </w:r>
      <w:r>
        <w:rPr>
          <w:rFonts w:hint="eastAsia" w:ascii="宋体" w:hAnsi="宋体" w:eastAsia="宋体"/>
          <w:color w:val="000000"/>
          <w:sz w:val="21"/>
          <w:szCs w:val="21"/>
          <w:highlight w:val="none"/>
          <w:lang w:val="en-US"/>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三、投标</w:t>
      </w:r>
      <w:r>
        <w:rPr>
          <w:rFonts w:hint="eastAsia" w:ascii="宋体" w:hAnsi="宋体" w:eastAsia="宋体"/>
          <w:b/>
          <w:bCs/>
          <w:color w:val="000000"/>
          <w:sz w:val="21"/>
          <w:szCs w:val="21"/>
          <w:highlight w:val="none"/>
        </w:rPr>
      </w:r>
      <w:r/>
    </w:p>
    <w:p>
      <w:pPr>
        <w:pStyle w:val="1035"/>
        <w:ind w:firstLine="211"/>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7、投标文件的语言、计量单位、货币</w:t>
      </w:r>
      <w:r>
        <w:rPr>
          <w:rFonts w:hint="eastAsia" w:ascii="宋体" w:hAnsi="宋体" w:eastAsia="宋体"/>
          <w:b/>
          <w:bCs/>
          <w:color w:val="000000"/>
          <w:sz w:val="21"/>
          <w:szCs w:val="21"/>
          <w:highlight w:val="none"/>
        </w:rPr>
      </w:r>
      <w:r/>
    </w:p>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olor w:val="000000"/>
          <w:sz w:val="21"/>
          <w:szCs w:val="21"/>
          <w:highlight w:val="none"/>
        </w:rPr>
      </w:r>
      <w:r/>
    </w:p>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7.2供应商所使用的计量单位应为国家法定计量单位。</w:t>
      </w:r>
      <w:r>
        <w:rPr>
          <w:rFonts w:hint="eastAsia" w:ascii="宋体" w:hAnsi="宋体" w:eastAsia="宋体"/>
          <w:color w:val="000000"/>
          <w:sz w:val="21"/>
          <w:szCs w:val="21"/>
          <w:highlight w:val="none"/>
        </w:rPr>
      </w:r>
      <w:r/>
    </w:p>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7.3供应商应用人民币报价，招标文件另有约定的除外。</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7.4供应商</w:t>
      </w:r>
      <w:r>
        <w:rPr>
          <w:rFonts w:hint="eastAsia" w:ascii="宋体" w:hAnsi="宋体" w:eastAsia="宋体"/>
          <w:bCs/>
          <w:color w:val="000000"/>
          <w:sz w:val="21"/>
          <w:szCs w:val="21"/>
          <w:highlight w:val="none"/>
        </w:rPr>
        <w:t xml:space="preserve">投标产品如果是进口产品的，应提供人民币与外币之间的汇率</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21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8、联合体投标（如本项目接受联合体投标的，联合体各方须满足以下要求）</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联合体各方之间应当签订联合体协议，明确约定联合体各方承担的工作和相应的责任，并将联合体协议连同投标文件一同提交。</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8.4</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9、投标费用</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9.1供应商应承担所有与准备和参加投标有关的费用，无论采购结果如何，采购代理机构和采购人在任何情况下均无义务和责任承担这些费用。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.2本次采购招标代理服务费由</w:t>
      </w:r>
      <w:r>
        <w:rPr>
          <w:rFonts w:hint="eastAsia" w:ascii="宋体" w:hAnsi="宋体" w:eastAsia="宋体"/>
          <w:color w:val="000000"/>
          <w:sz w:val="21"/>
          <w:szCs w:val="21"/>
          <w:highlight w:val="none"/>
          <w:lang w:val="en-US"/>
        </w:rPr>
        <w:t xml:space="preserve">各分包</w:t>
      </w:r>
      <w:r>
        <w:rPr>
          <w:rFonts w:hint="eastAsia" w:ascii="宋体" w:hAnsi="宋体" w:eastAsia="宋体"/>
          <w:color w:val="000000"/>
          <w:sz w:val="21"/>
          <w:szCs w:val="21"/>
          <w:highlight w:val="none"/>
        </w:rPr>
        <w:t xml:space="preserve">中标供应商参照计价格【2002】1980号文件规定的基准费率的</w:t>
      </w:r>
      <w:r>
        <w:rPr>
          <w:rFonts w:hint="eastAsia" w:ascii="宋体" w:hAnsi="宋体" w:eastAsia="宋体"/>
          <w:color w:val="000000"/>
          <w:sz w:val="21"/>
          <w:szCs w:val="21"/>
          <w:highlight w:val="none"/>
          <w:lang w:val="en-US"/>
        </w:rPr>
        <w:t xml:space="preserve">45</w:t>
      </w:r>
      <w:r>
        <w:rPr>
          <w:rFonts w:hint="eastAsia" w:ascii="宋体" w:hAnsi="宋体" w:eastAsia="宋体"/>
          <w:color w:val="000000"/>
          <w:sz w:val="21"/>
          <w:szCs w:val="21"/>
          <w:highlight w:val="none"/>
        </w:rPr>
        <w:t xml:space="preserve">%计算支付给采购代理机构，请供应商予以关注并核算到总报价中。</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9</w:t>
      </w:r>
      <w:r>
        <w:rPr>
          <w:rFonts w:hint="eastAsia" w:ascii="宋体" w:hAnsi="宋体" w:eastAsia="宋体"/>
          <w:color w:val="000000"/>
          <w:sz w:val="21"/>
          <w:szCs w:val="21"/>
          <w:highlight w:val="none"/>
        </w:rPr>
        <w:t xml:space="preserve">.3本次采购招标代理服务费由中标供应商在领取中标通知书时结算。</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    9.4本次采购专家评审费按实际发生收取。</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10</w:t>
      </w:r>
      <w:r>
        <w:rPr>
          <w:rFonts w:hint="eastAsia" w:ascii="宋体" w:hAnsi="宋体" w:eastAsia="宋体"/>
          <w:b/>
          <w:bCs/>
          <w:color w:val="000000"/>
          <w:sz w:val="21"/>
          <w:szCs w:val="21"/>
          <w:highlight w:val="none"/>
        </w:rPr>
        <w:t xml:space="preserve">、投标文件组成</w:t>
      </w:r>
      <w:r>
        <w:rPr>
          <w:rFonts w:hint="eastAsia" w:ascii="宋体" w:hAnsi="宋体" w:eastAsia="宋体"/>
          <w:b/>
          <w:bCs/>
          <w:color w:val="000000"/>
          <w:sz w:val="21"/>
          <w:szCs w:val="21"/>
          <w:highlight w:val="none"/>
        </w:rPr>
      </w:r>
      <w:r/>
    </w:p>
    <w:p>
      <w:pPr>
        <w:pStyle w:val="1035"/>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10.1供应商应当根据招标文件要求编制投标文件，投标文件应对招标文件提出的要求和条件作出实质性响应，并在《商务条款偏离表》和《技术条款偏离表》等处逐条标明满足与否。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 10.2</w:t>
      </w:r>
      <w:r>
        <w:rPr>
          <w:rFonts w:hint="eastAsia" w:ascii="宋体" w:hAnsi="宋体" w:eastAsia="宋体"/>
          <w:color w:val="000000"/>
          <w:sz w:val="21"/>
          <w:szCs w:val="21"/>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10.3投标文件由商务部分、技术部分、价格部分以及其他部分组成。</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10</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4</w:t>
      </w:r>
      <w:r>
        <w:rPr>
          <w:rFonts w:hint="eastAsia" w:ascii="宋体" w:hAnsi="宋体" w:eastAsia="宋体"/>
          <w:bCs/>
          <w:color w:val="000000"/>
          <w:sz w:val="21"/>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bCs/>
          <w:color w:val="000000"/>
          <w:sz w:val="21"/>
          <w:szCs w:val="21"/>
          <w:highlight w:val="none"/>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11、投标文件的商务部分</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highlight w:val="none"/>
        </w:rPr>
        <w:t xml:space="preserve">（加“※”项不得有缺失或无效）：</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（1）※投标函（投标申请及声明）；</w:t>
      </w:r>
      <w:r>
        <w:rPr>
          <w:rFonts w:hint="eastAsia" w:ascii="仿宋" w:hAnsi="仿宋" w:eastAsia="仿宋" w:cs="仿宋"/>
          <w:b/>
          <w:bCs/>
          <w:color w:val="000000"/>
          <w:sz w:val="21"/>
          <w:szCs w:val="21"/>
          <w:highlight w:val="none"/>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（2）※法定代表人授权委托书及委托代理人的身份证明文件的复印件；</w:t>
      </w:r>
      <w:r>
        <w:rPr>
          <w:rFonts w:hint="eastAsia" w:ascii="宋体" w:hAnsi="宋体" w:eastAsia="宋体"/>
          <w:b/>
          <w:bCs/>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仿宋" w:hAnsi="仿宋" w:eastAsia="仿宋" w:cs="仿宋"/>
          <w:b/>
          <w:bCs/>
          <w:color w:val="000000"/>
          <w:sz w:val="21"/>
          <w:szCs w:val="21"/>
          <w:highlight w:val="none"/>
        </w:rPr>
        <w:t xml:space="preserve">（3）※《南京市政府采购供应商信用记录表暨信用承诺书》；</w:t>
      </w:r>
      <w:r>
        <w:rPr>
          <w:rFonts w:hint="eastAsia" w:ascii="宋体" w:hAnsi="宋体" w:eastAsia="宋体"/>
          <w:b/>
          <w:bCs/>
          <w:color w:val="000000"/>
          <w:sz w:val="21"/>
          <w:szCs w:val="21"/>
          <w:highlight w:val="none"/>
        </w:rPr>
      </w:r>
      <w:r/>
    </w:p>
    <w:p>
      <w:pPr>
        <w:pStyle w:val="1035"/>
        <w:jc w:val="left"/>
        <w:spacing w:line="360" w:lineRule="auto"/>
        <w:shd w:val="clear" w:color="auto" w:fill="auto"/>
        <w:widowControl/>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）※“不存在与参加本项目的其他供应商单位负责人为同一人或者存在直接控股、管理关系”的承诺函；</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5</w:t>
      </w:r>
      <w:r>
        <w:rPr>
          <w:rFonts w:hint="eastAsia" w:ascii="仿宋" w:hAnsi="仿宋" w:eastAsia="仿宋" w:cs="仿宋"/>
          <w:b/>
          <w:bCs/>
          <w:color w:val="000000"/>
          <w:sz w:val="21"/>
          <w:szCs w:val="21"/>
          <w:highlight w:val="none"/>
        </w:rPr>
        <w:t xml:space="preserve">）※第一章招标公告中</w:t>
      </w:r>
      <w:r>
        <w:rPr>
          <w:rFonts w:hint="eastAsia" w:ascii="仿宋" w:hAnsi="仿宋" w:eastAsia="仿宋" w:cs="仿宋"/>
          <w:b/>
          <w:bCs/>
          <w:color w:val="000000"/>
          <w:sz w:val="21"/>
          <w:szCs w:val="21"/>
          <w:highlight w:val="none"/>
          <w:lang w:val="en-US"/>
        </w:rPr>
        <w:t xml:space="preserve">2.1</w:t>
      </w:r>
      <w:r>
        <w:rPr>
          <w:rFonts w:hint="eastAsia" w:ascii="仿宋" w:hAnsi="仿宋" w:eastAsia="仿宋" w:cs="仿宋"/>
          <w:b/>
          <w:bCs/>
          <w:color w:val="000000"/>
          <w:sz w:val="21"/>
          <w:szCs w:val="21"/>
          <w:highlight w:val="none"/>
        </w:rPr>
        <w:t xml:space="preserve">《中华人民共和国政府采购法》第二十二条规定的资格条件证明文件；</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6</w:t>
      </w:r>
      <w:r>
        <w:rPr>
          <w:rFonts w:hint="eastAsia" w:ascii="仿宋" w:hAnsi="仿宋" w:eastAsia="仿宋" w:cs="仿宋"/>
          <w:b/>
          <w:bCs/>
          <w:color w:val="000000"/>
          <w:sz w:val="21"/>
          <w:szCs w:val="21"/>
          <w:highlight w:val="none"/>
        </w:rPr>
        <w:t xml:space="preserve">）※第一章招标公告中2</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2落实政府采购政策需满足的资格要求的证明文件；</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7</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t xml:space="preserve">第一章招标公告中</w:t>
      </w:r>
      <w:r>
        <w:rPr>
          <w:rFonts w:hint="eastAsia" w:ascii="仿宋" w:hAnsi="仿宋" w:eastAsia="仿宋" w:cs="仿宋"/>
          <w:b/>
          <w:color w:val="000000"/>
          <w:sz w:val="21"/>
          <w:szCs w:val="21"/>
          <w:highlight w:val="none"/>
          <w:lang w:val="en-US"/>
        </w:rPr>
        <w:t xml:space="preserve">2</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rPr>
        <w:t xml:space="preserve">3</w:t>
      </w:r>
      <w:r>
        <w:rPr>
          <w:rFonts w:hint="eastAsia" w:ascii="仿宋" w:hAnsi="仿宋" w:eastAsia="仿宋" w:cs="仿宋"/>
          <w:b/>
          <w:color w:val="000000"/>
          <w:sz w:val="21"/>
          <w:szCs w:val="21"/>
          <w:highlight w:val="none"/>
        </w:rPr>
        <w:t xml:space="preserve">采购人根据采购项目的特殊要求规定的特定条件的证明文件； </w:t>
      </w:r>
      <w:r>
        <w:rPr>
          <w:rFonts w:hint="eastAsia" w:ascii="仿宋" w:hAnsi="仿宋" w:eastAsia="仿宋" w:cs="仿宋"/>
          <w:b/>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）供应商认为需要提供的其他资格证明文件和商务资料；</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12、投标文件的技术部分</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.1技术部分是证明供应商提供的货物和服务是合格的、并符合招标文件要求的证明文件，以及对货物和服务的详细说明，这些文件可以是文字资料、图纸（表）和数据等。</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若技术性能无特殊说明，则按国家有关部门最新颁布的标准及规范为准。</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提供的货物和服务如与招标文件要求有不符之处，应说明其差别之所在，并在《技术条款偏离表》中逐条予以说明。</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仿宋" w:hAnsi="仿宋" w:eastAsia="仿宋" w:cs="仿宋"/>
          <w:b/>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12.4投标文件应按照招标文件要求提供技术资料、文件和有关证明，包括但不限于下列文件</w:t>
      </w:r>
      <w:r>
        <w:rPr>
          <w:rFonts w:hint="eastAsia" w:ascii="仿宋" w:hAnsi="仿宋" w:eastAsia="仿宋" w:cs="仿宋"/>
          <w:b/>
          <w:bCs/>
          <w:color w:val="000000"/>
          <w:sz w:val="21"/>
          <w:szCs w:val="21"/>
          <w:highlight w:val="none"/>
        </w:rPr>
        <w:t xml:space="preserve">（加“※”项不得有缺失或无效）：</w:t>
      </w:r>
      <w:r>
        <w:rPr>
          <w:rFonts w:hint="eastAsia" w:ascii="仿宋" w:hAnsi="仿宋" w:eastAsia="仿宋" w:cs="仿宋"/>
          <w:b/>
          <w:color w:val="000000"/>
          <w:sz w:val="21"/>
          <w:szCs w:val="21"/>
          <w:highlight w:val="none"/>
        </w:rPr>
      </w:r>
      <w:r/>
    </w:p>
    <w:p>
      <w:pPr>
        <w:pStyle w:val="1035"/>
        <w:spacing w:line="360" w:lineRule="auto"/>
        <w:shd w:val="clear" w:color="auto" w:fill="auto"/>
        <w:widowControl/>
        <w:rPr>
          <w:rFonts w:hint="eastAsia" w:ascii="仿宋" w:hAnsi="仿宋" w:eastAsia="仿宋" w:cs="仿宋"/>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仿宋" w:hAnsi="仿宋" w:eastAsia="仿宋" w:cs="仿宋"/>
          <w:b/>
          <w:bCs/>
          <w:color w:val="000000"/>
          <w:sz w:val="21"/>
          <w:szCs w:val="21"/>
          <w:highlight w:val="none"/>
        </w:rPr>
        <w:t xml:space="preserve">（1）※货物品牌、型号、材质、主要技术（服务）指标和性能、制造商、生产企业名称等详细说明；</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）※《投标项目主要产品一览表》；</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）※《供货一览表》；</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）货物安装验收标准；</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）项目实施方案；</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）服务承诺；</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）供应商认为需要提供的其他技术资料等；</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13、投标文件的价格部分</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.1价格部分是对投标货物和服务价格构成的说明，每一项货物及服务仅接受一个价格。</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.2报价应包含本次招标标的有关的所有费用，以及技术资料、支付给员工的工资和国家强制缴纳的各种社会保障资金，以及供应商认为需要的其他费用等。</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.3供应商的任何错漏、优惠、竞争性报价不得作为减轻责任、减少服务、增加收费、降低质量的理由。</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供应商应按照招标文件规定格式完整、正确填报投标函、开标一览表。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对于采用货币报价的项目，开标一览表中的投标总价应与分项报价表中的投标总价一致，如不一致不作为无效投标处理，评标时以开标一览表中价格为准。</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14、投标文件的其他部分</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14.1其他部分由供应商根据编制投标文件需要提供的其他相关文件。</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15、投标保证金</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15.1本项目不收取投标保证金。</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16、投标有效期</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16.1自提交投标文件截止之日起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rPr>
          <w:rFonts w:hint="eastAsia" w:ascii="宋体" w:hAnsi="宋体" w:eastAsia="宋体"/>
          <w:color w:val="000000"/>
          <w:sz w:val="21"/>
          <w:szCs w:val="21"/>
          <w:highlight w:val="none"/>
        </w:rPr>
      </w:r>
      <w:r/>
    </w:p>
    <w:p>
      <w:pPr>
        <w:pStyle w:val="1035"/>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17、投标文件</w:t>
      </w:r>
      <w:r>
        <w:rPr>
          <w:rFonts w:hint="eastAsia" w:ascii="宋体" w:hAnsi="宋体" w:eastAsia="宋体"/>
          <w:b/>
          <w:bCs/>
          <w:color w:val="000000"/>
          <w:sz w:val="21"/>
          <w:szCs w:val="21"/>
          <w:highlight w:val="none"/>
          <w:lang w:val="en-US"/>
        </w:rPr>
        <w:t xml:space="preserve">的提交</w:t>
      </w:r>
      <w:r>
        <w:rPr>
          <w:rFonts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17.1供应商应当按照《操作手册》规定，在招标公告规定的投标截止时间前制作并上传电子投标文件。</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17.2供应商应充分考虑网络环境、网络带宽等因素可能对投标产生的影响，如因供应商自身原因造成的电子投标文件上传不成功的，按照本招标文件第二章第21.2.2.3条规定做无效投标处理。</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17.3采购代理机构可以按照规定，通过修改招标文件酌情延长投标截止时间，在此情况下，供应商的所有权利和义务均以延长后新的截止时间为准。</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18、投标文件的拒收</w:t>
      </w:r>
      <w:r>
        <w:rPr>
          <w:rFonts w:hint="eastAsia"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18.1</w:t>
      </w:r>
      <w:bookmarkStart w:id="33" w:name="OLE_LINK16"/>
      <w:r>
        <w:rPr>
          <w:rFonts w:hint="eastAsia" w:ascii="宋体" w:hAnsi="宋体" w:eastAsia="宋体"/>
          <w:color w:val="000000"/>
          <w:sz w:val="21"/>
          <w:szCs w:val="21"/>
          <w:highlight w:val="none"/>
          <w:lang w:val="en-US"/>
        </w:rPr>
        <w:t xml:space="preserve">采购代理机构拒绝接收投标截止时间后上传的任何投标文件。</w:t>
      </w:r>
      <w:bookmarkEnd w:id="33"/>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19、</w:t>
      </w:r>
      <w:r>
        <w:rPr>
          <w:rFonts w:hint="eastAsia" w:ascii="宋体" w:hAnsi="宋体" w:eastAsia="宋体"/>
          <w:b/>
          <w:bCs/>
          <w:color w:val="000000"/>
          <w:sz w:val="21"/>
          <w:szCs w:val="21"/>
          <w:highlight w:val="none"/>
        </w:rPr>
        <w:t xml:space="preserve">投标文件的撤回和修改</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.1投标文件的撤回</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.1.1供应商可在投标截止时间前撤回其电子投标文件，具体操作方法见《操作手册》。</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.1.2供应商撤回电子投标文件，则认为其不再参与本项目投标活动。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.2投标文件的修改</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.2.1供应商可在投标截止时间前对其电子投标文件进行修改，具体操作方法见《操作手册》。</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.2.2投标截止时间之后，供应商不得对其电子投标文件作任何修改。</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.3在投标截止时间至招标文件中规定的投标有效期满之间的这段时间内，供应商不得撤回其投标。</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w:t>
      </w:r>
      <w:bookmarkStart w:id="34" w:name="OLE_LINK28"/>
      <w:r>
        <w:rPr>
          <w:rFonts w:hint="eastAsia" w:ascii="宋体" w:hAnsi="宋体" w:eastAsia="宋体"/>
          <w:b/>
          <w:bCs/>
          <w:color w:val="000000"/>
          <w:sz w:val="21"/>
          <w:szCs w:val="21"/>
          <w:highlight w:val="none"/>
        </w:rPr>
        <w:t xml:space="preserve">开标、评标与定标</w:t>
      </w:r>
      <w:bookmarkEnd w:id="34"/>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0</w:t>
      </w:r>
      <w:r>
        <w:rPr>
          <w:rFonts w:hint="eastAsia" w:ascii="宋体" w:hAnsi="宋体" w:eastAsia="宋体"/>
          <w:b/>
          <w:bCs/>
          <w:color w:val="000000"/>
          <w:sz w:val="21"/>
          <w:szCs w:val="21"/>
          <w:highlight w:val="none"/>
        </w:rPr>
        <w:t xml:space="preserve">、开标</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20.1</w:t>
      </w:r>
      <w:r>
        <w:rPr>
          <w:rFonts w:hint="eastAsia" w:ascii="宋体" w:hAnsi="宋体" w:eastAsia="宋体"/>
          <w:color w:val="000000"/>
          <w:sz w:val="21"/>
          <w:szCs w:val="21"/>
          <w:highlight w:val="none"/>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20.2</w:t>
      </w:r>
      <w:r>
        <w:rPr>
          <w:rFonts w:hint="eastAsia" w:ascii="宋体" w:hAnsi="宋体" w:eastAsia="宋体"/>
          <w:color w:val="000000"/>
          <w:sz w:val="21"/>
          <w:szCs w:val="21"/>
          <w:highlight w:val="none"/>
        </w:rPr>
        <w:t xml:space="preserve">供应商在开标过程中涉及到的投标文件解密、开标结果确认等工作，应按照《操作手册》规定执行。</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20.3</w:t>
      </w:r>
      <w:r>
        <w:rPr>
          <w:rFonts w:hint="eastAsia" w:ascii="宋体" w:hAnsi="宋体" w:eastAsia="宋体"/>
          <w:color w:val="000000"/>
          <w:sz w:val="21"/>
          <w:szCs w:val="21"/>
          <w:highlight w:val="none"/>
        </w:rPr>
        <w:t xml:space="preserve">供应商如果对开标过程和开标结果有疑义，应当根据《操作手册》规定提出，苏采云系统中《开标一览表》公布后5分钟内未提出的，视同认可开标结果。</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、评标</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.1评标组织</w:t>
      </w:r>
      <w:r>
        <w:rPr>
          <w:rFonts w:hint="eastAsia" w:ascii="宋体" w:hAnsi="宋体" w:eastAsia="宋体"/>
          <w:b/>
          <w:bCs/>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.1.1评标工作由采购代理机构负责组织，具体评标事务由依法组建的评标委员会负责，并独立履行下列职责：</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）审查、评价投标文件是否符合招标文件的商务、技术等实质性要求；</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）要求供应商对投标文件有关事项作出澄清或者说明；</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）对投标文件进行比较和评价；</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）确定中标候选人名单，以及根据采购人委托直接确定中标供应商；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）向采购人、采购代理机构或者有关部门报告评标中发现的违法行为。</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.1.2评标委员会由采购人代表及财政部门设立的政府采购评审专家库中随机方式抽取的评审专家组成，独立开展评审工作。</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.2评标程序</w:t>
      </w:r>
      <w:r>
        <w:rPr>
          <w:rFonts w:hint="eastAsia" w:ascii="宋体" w:hAnsi="宋体" w:eastAsia="宋体"/>
          <w:b/>
          <w:bCs/>
          <w:color w:val="000000"/>
          <w:sz w:val="21"/>
          <w:szCs w:val="21"/>
          <w:highlight w:val="none"/>
        </w:rPr>
      </w:r>
      <w:r/>
    </w:p>
    <w:p>
      <w:pPr>
        <w:pStyle w:val="1035"/>
        <w:ind w:firstLine="421"/>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rPr>
        <w:t xml:space="preserve">1</w:t>
      </w:r>
      <w:r>
        <w:rPr>
          <w:rFonts w:hint="eastAsia" w:ascii="宋体" w:hAnsi="宋体" w:eastAsia="宋体"/>
          <w:b/>
          <w:color w:val="000000"/>
          <w:sz w:val="21"/>
          <w:szCs w:val="21"/>
          <w:highlight w:val="none"/>
        </w:rPr>
        <w:t xml:space="preserve">.2.1投标文件的资格性审查</w:t>
      </w:r>
      <w:r>
        <w:rPr>
          <w:rFonts w:hint="eastAsia" w:ascii="宋体" w:hAnsi="宋体" w:eastAsia="宋体"/>
          <w:b/>
          <w:color w:val="000000"/>
          <w:sz w:val="21"/>
          <w:szCs w:val="21"/>
          <w:highlight w:val="none"/>
        </w:rPr>
      </w:r>
      <w:r/>
    </w:p>
    <w:p>
      <w:pPr>
        <w:pStyle w:val="1035"/>
        <w:ind w:firstLine="421"/>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.2.1</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开标结束后，由采购人或者采购代理机构根据法律法规和招标文件的规定依法对供应商</w:t>
      </w:r>
      <w:r>
        <w:rPr>
          <w:rFonts w:hint="eastAsia" w:ascii="宋体" w:hAnsi="宋体" w:eastAsia="宋体"/>
          <w:bCs/>
          <w:color w:val="000000"/>
          <w:sz w:val="21"/>
          <w:szCs w:val="21"/>
          <w:highlight w:val="none"/>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21.2.1.2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rPr>
          <w:rFonts w:hint="eastAsia" w:ascii="宋体" w:hAnsi="宋体" w:eastAsia="宋体"/>
          <w:bCs/>
          <w:color w:val="000000"/>
          <w:sz w:val="21"/>
          <w:szCs w:val="21"/>
          <w:highlight w:val="none"/>
          <w:lang w:val="en-US"/>
        </w:rPr>
      </w:r>
      <w:r/>
    </w:p>
    <w:p>
      <w:pPr>
        <w:pStyle w:val="1035"/>
        <w:ind w:firstLine="422"/>
        <w:spacing w:line="360" w:lineRule="auto"/>
        <w:shd w:val="clear" w:color="auto" w:fill="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rPr>
        <w:t xml:space="preserve">21.2.1.3</w:t>
      </w:r>
      <w:r>
        <w:rPr>
          <w:rFonts w:hint="eastAsia" w:ascii="仿宋" w:hAnsi="仿宋" w:eastAsia="仿宋" w:cs="仿宋"/>
          <w:b/>
          <w:bCs/>
          <w:color w:val="000000"/>
          <w:sz w:val="21"/>
          <w:szCs w:val="21"/>
          <w:highlight w:val="none"/>
        </w:rPr>
        <w:t xml:space="preserve">投标文件有下列情况之一的，在资格性审查时按照投标无效处理：</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lang w:val="en-US"/>
        </w:rPr>
      </w:pPr>
      <w:r>
        <w:rPr>
          <w:rFonts w:hint="eastAsia" w:ascii="宋体" w:hAnsi="宋体" w:eastAsia="宋体"/>
          <w:color w:val="000000"/>
          <w:sz w:val="21"/>
          <w:szCs w:val="21"/>
          <w:highlight w:val="none"/>
          <w:lang w:val="en-US"/>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11</w:t>
      </w:r>
      <w:r>
        <w:rPr>
          <w:rFonts w:hint="eastAsia" w:ascii="仿宋" w:hAnsi="仿宋" w:eastAsia="仿宋" w:cs="仿宋"/>
          <w:b/>
          <w:bCs/>
          <w:color w:val="000000"/>
          <w:sz w:val="21"/>
          <w:szCs w:val="21"/>
          <w:highlight w:val="none"/>
          <w:lang w:val="en-US"/>
        </w:rPr>
        <w:t xml:space="preserve">.1加“※”项要求提供的证明材料缺失或无效的；</w:t>
      </w:r>
      <w:r>
        <w:rPr>
          <w:rFonts w:hint="eastAsia" w:ascii="仿宋" w:hAnsi="仿宋" w:eastAsia="仿宋" w:cs="仿宋"/>
          <w:b/>
          <w:bCs/>
          <w:color w:val="000000"/>
          <w:sz w:val="21"/>
          <w:szCs w:val="21"/>
          <w:highlight w:val="none"/>
          <w:lang w:val="en-US"/>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bCs/>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21.2.1.4</w:t>
      </w:r>
      <w:r>
        <w:rPr>
          <w:rFonts w:hint="eastAsia" w:ascii="宋体" w:hAnsi="宋体" w:eastAsia="宋体"/>
          <w:color w:val="000000"/>
          <w:sz w:val="21"/>
          <w:szCs w:val="21"/>
          <w:highlight w:val="none"/>
        </w:rPr>
        <w:t xml:space="preserve">合格供应商不足3家的，不得评标。</w:t>
      </w:r>
      <w:r>
        <w:rPr>
          <w:rFonts w:hint="eastAsia" w:ascii="宋体" w:hAnsi="宋体" w:eastAsia="宋体"/>
          <w:color w:val="000000"/>
          <w:sz w:val="21"/>
          <w:szCs w:val="21"/>
          <w:highlight w:val="none"/>
        </w:rPr>
      </w:r>
      <w:r/>
    </w:p>
    <w:p>
      <w:pPr>
        <w:pStyle w:val="1035"/>
        <w:ind w:firstLine="421"/>
        <w:spacing w:line="360" w:lineRule="auto"/>
        <w:shd w:val="clear" w:color="auto" w:fill="auto"/>
        <w:widowControl/>
        <w:rPr>
          <w:rFonts w:hint="eastAsia" w:ascii="宋体" w:hAnsi="宋体" w:eastAsia="宋体"/>
          <w:b/>
          <w:color w:val="000000"/>
          <w:sz w:val="21"/>
          <w:szCs w:val="21"/>
          <w:highlight w:val="none"/>
        </w:rPr>
      </w:pPr>
      <w:r/>
      <w:bookmarkStart w:id="35" w:name="OLE_LINK13"/>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rPr>
        <w:t xml:space="preserve">1</w:t>
      </w:r>
      <w:r>
        <w:rPr>
          <w:rFonts w:hint="eastAsia" w:ascii="宋体" w:hAnsi="宋体" w:eastAsia="宋体"/>
          <w:b/>
          <w:color w:val="000000"/>
          <w:sz w:val="21"/>
          <w:szCs w:val="21"/>
          <w:highlight w:val="none"/>
        </w:rPr>
        <w:t xml:space="preserve">.2.2</w:t>
      </w:r>
      <w:bookmarkEnd w:id="35"/>
      <w:r>
        <w:rPr>
          <w:rFonts w:hint="eastAsia" w:ascii="宋体" w:hAnsi="宋体" w:eastAsia="宋体"/>
          <w:b/>
          <w:color w:val="000000"/>
          <w:sz w:val="21"/>
          <w:szCs w:val="21"/>
          <w:highlight w:val="none"/>
        </w:rPr>
        <w:t xml:space="preserve">投标文件的符合性审查</w:t>
      </w:r>
      <w:r>
        <w:rPr>
          <w:rFonts w:hint="eastAsia" w:ascii="宋体" w:hAnsi="宋体" w:eastAsia="宋体"/>
          <w:b/>
          <w:color w:val="000000"/>
          <w:sz w:val="21"/>
          <w:szCs w:val="21"/>
          <w:highlight w:val="none"/>
        </w:rPr>
      </w:r>
      <w:r/>
    </w:p>
    <w:p>
      <w:pPr>
        <w:pStyle w:val="1035"/>
        <w:ind w:firstLine="421"/>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21.2.2.1</w:t>
      </w:r>
      <w:r>
        <w:rPr>
          <w:rFonts w:hint="eastAsia" w:ascii="宋体" w:hAnsi="宋体" w:eastAsia="宋体"/>
          <w:color w:val="000000"/>
          <w:sz w:val="21"/>
          <w:szCs w:val="21"/>
          <w:highlight w:val="none"/>
        </w:rPr>
        <w:t xml:space="preserve">评标委员会应当对符合资格的供应商的投标文件进行符合性审查，以确定其是否满足招标文件的实质性要求。</w:t>
      </w:r>
      <w:r>
        <w:rPr>
          <w:rFonts w:hint="eastAsia" w:ascii="宋体" w:hAnsi="宋体" w:eastAsia="宋体"/>
          <w:color w:val="000000"/>
          <w:sz w:val="21"/>
          <w:szCs w:val="21"/>
          <w:highlight w:val="none"/>
        </w:rPr>
      </w:r>
      <w:r/>
    </w:p>
    <w:p>
      <w:pPr>
        <w:pStyle w:val="1035"/>
        <w:ind w:firstLine="421"/>
        <w:spacing w:line="360" w:lineRule="auto"/>
        <w:shd w:val="clear" w:color="auto" w:fill="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rPr>
        <w:t xml:space="preserve">21.2.2.2</w:t>
      </w:r>
      <w:r>
        <w:rPr>
          <w:rFonts w:hint="eastAsia" w:ascii="仿宋" w:hAnsi="仿宋" w:eastAsia="仿宋" w:cs="仿宋"/>
          <w:b/>
          <w:bCs/>
          <w:color w:val="000000"/>
          <w:sz w:val="21"/>
          <w:szCs w:val="21"/>
          <w:highlight w:val="none"/>
        </w:rPr>
        <w:t xml:space="preserve">实质性要求是指：本招标文件第二章供应商须知中</w:t>
      </w:r>
      <w:r>
        <w:rPr>
          <w:rFonts w:hint="eastAsia" w:ascii="仿宋" w:hAnsi="仿宋" w:eastAsia="仿宋" w:cs="仿宋"/>
          <w:b/>
          <w:bCs/>
          <w:color w:val="000000"/>
          <w:sz w:val="21"/>
          <w:szCs w:val="21"/>
          <w:highlight w:val="none"/>
          <w:u w:val="single"/>
        </w:rPr>
        <w:t xml:space="preserve">加</w:t>
      </w:r>
      <w:r>
        <w:rPr>
          <w:rFonts w:hint="eastAsia" w:ascii="仿宋" w:hAnsi="仿宋" w:eastAsia="仿宋" w:cs="仿宋"/>
          <w:b/>
          <w:bCs/>
          <w:color w:val="000000"/>
          <w:sz w:val="21"/>
          <w:szCs w:val="21"/>
          <w:highlight w:val="none"/>
          <w:u w:val="single"/>
          <w:lang w:val="en-US"/>
        </w:rPr>
        <w:t xml:space="preserve">“※”项要求</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第五章采购项目需求中</w:t>
      </w:r>
      <w:r>
        <w:rPr>
          <w:rFonts w:hint="eastAsia" w:ascii="仿宋" w:hAnsi="仿宋" w:eastAsia="仿宋" w:cs="仿宋"/>
          <w:b/>
          <w:bCs/>
          <w:color w:val="000000"/>
          <w:sz w:val="21"/>
          <w:szCs w:val="21"/>
          <w:highlight w:val="none"/>
          <w:u w:val="single"/>
        </w:rPr>
        <w:t xml:space="preserve">加“★”项技术要求以及商务要求</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widowControl/>
        <w:rPr>
          <w:rFonts w:hint="eastAsia" w:ascii="仿宋" w:hAnsi="仿宋" w:eastAsia="仿宋" w:cs="仿宋"/>
          <w:b/>
          <w:bCs/>
          <w:color w:val="000000"/>
          <w:sz w:val="21"/>
          <w:szCs w:val="21"/>
          <w:highlight w:val="none"/>
        </w:rPr>
      </w:pPr>
      <w:r/>
      <w:bookmarkStart w:id="36" w:name="OLE_LINK14"/>
      <w:r>
        <w:rPr>
          <w:rFonts w:hint="eastAsia" w:ascii="仿宋" w:hAnsi="仿宋" w:eastAsia="仿宋" w:cs="仿宋"/>
          <w:b/>
          <w:bCs/>
          <w:color w:val="000000"/>
          <w:sz w:val="21"/>
          <w:szCs w:val="21"/>
          <w:highlight w:val="none"/>
          <w:lang w:val="en-US"/>
        </w:rPr>
        <w:t xml:space="preserve">21.2.2.3</w:t>
      </w:r>
      <w:bookmarkEnd w:id="36"/>
      <w:r>
        <w:rPr>
          <w:rFonts w:hint="eastAsia" w:ascii="仿宋" w:hAnsi="仿宋" w:eastAsia="仿宋" w:cs="仿宋"/>
          <w:b/>
          <w:bCs/>
          <w:color w:val="000000"/>
          <w:sz w:val="21"/>
          <w:szCs w:val="21"/>
          <w:highlight w:val="none"/>
        </w:rPr>
        <w:t xml:space="preserve">投标文件有下列情况之一的，在符合性审查时按照投标无效处理：</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    </w:t>
      </w:r>
      <w:bookmarkStart w:id="37" w:name="OLE_LINK17"/>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2.4加“※”项要求提供的证明材料缺失或无效的；</w:t>
      </w:r>
      <w:r>
        <w:rPr>
          <w:rFonts w:hint="eastAsia" w:ascii="仿宋" w:hAnsi="仿宋" w:eastAsia="仿宋" w:cs="仿宋"/>
          <w:b/>
          <w:bCs/>
          <w:color w:val="000000"/>
          <w:sz w:val="21"/>
          <w:szCs w:val="21"/>
          <w:highlight w:val="none"/>
          <w:lang w:val="en-US"/>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供应商</w:t>
      </w:r>
      <w:r>
        <w:rPr>
          <w:rFonts w:hint="eastAsia" w:ascii="仿宋" w:hAnsi="仿宋" w:eastAsia="仿宋" w:cs="仿宋"/>
          <w:b/>
          <w:bCs/>
          <w:color w:val="000000"/>
          <w:sz w:val="21"/>
          <w:szCs w:val="21"/>
          <w:highlight w:val="none"/>
        </w:rPr>
        <w:t xml:space="preserve">在苏采云系统规定的时间内未成功解密电子投标文件；</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供应商</w:t>
      </w:r>
      <w:r>
        <w:rPr>
          <w:rFonts w:hint="eastAsia" w:ascii="仿宋" w:hAnsi="仿宋" w:eastAsia="仿宋" w:cs="仿宋"/>
          <w:b/>
          <w:bCs/>
          <w:color w:val="000000"/>
          <w:sz w:val="21"/>
          <w:szCs w:val="21"/>
          <w:highlight w:val="none"/>
        </w:rPr>
        <w:t xml:space="preserve">未按照招标文件要求上传电子投标文件；</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宋体" w:hAnsi="宋体" w:eastAsia="仿宋"/>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）投标文件未按照招标文件要求加盖电子公章；</w:t>
      </w:r>
      <w:r>
        <w:rPr>
          <w:rFonts w:hint="eastAsia" w:ascii="宋体" w:hAnsi="宋体" w:eastAsia="仿宋"/>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    （5）投标文件中未逐一说明投标产品名称、品牌、规格型号、产地、技术参数和服务响应，而是直接拷贝招标文件采购项目需求的；</w:t>
      </w:r>
      <w:r>
        <w:rPr>
          <w:rFonts w:hint="eastAsia" w:ascii="仿宋" w:hAnsi="仿宋" w:eastAsia="仿宋" w:cs="仿宋"/>
          <w:b/>
          <w:bCs/>
          <w:color w:val="000000"/>
          <w:sz w:val="21"/>
          <w:szCs w:val="21"/>
          <w:highlight w:val="none"/>
          <w:lang w:val="en-US"/>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6</w:t>
      </w:r>
      <w:r>
        <w:rPr>
          <w:rFonts w:hint="eastAsia" w:ascii="仿宋" w:hAnsi="仿宋" w:eastAsia="仿宋" w:cs="仿宋"/>
          <w:b/>
          <w:bCs/>
          <w:color w:val="000000"/>
          <w:sz w:val="21"/>
          <w:szCs w:val="21"/>
          <w:highlight w:val="none"/>
        </w:rPr>
        <w:t xml:space="preserve">）不同供应商的投标文件由同一单位或者个人编制；</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7</w:t>
      </w:r>
      <w:r>
        <w:rPr>
          <w:rFonts w:hint="eastAsia" w:ascii="仿宋" w:hAnsi="仿宋" w:eastAsia="仿宋" w:cs="仿宋"/>
          <w:b/>
          <w:bCs/>
          <w:color w:val="000000"/>
          <w:sz w:val="21"/>
          <w:szCs w:val="21"/>
          <w:highlight w:val="none"/>
        </w:rPr>
        <w:t xml:space="preserve">）不同供应商委托同一单位或者个人办理投标事宜；</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8</w:t>
      </w:r>
      <w:r>
        <w:rPr>
          <w:rFonts w:hint="eastAsia" w:ascii="仿宋" w:hAnsi="仿宋" w:eastAsia="仿宋" w:cs="仿宋"/>
          <w:b/>
          <w:bCs/>
          <w:color w:val="000000"/>
          <w:sz w:val="21"/>
          <w:szCs w:val="21"/>
          <w:highlight w:val="none"/>
        </w:rPr>
        <w:t xml:space="preserve">）不同供应商的投标文件载明的项目管理成员或者联系人员为同一人；</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9</w:t>
      </w:r>
      <w:r>
        <w:rPr>
          <w:rFonts w:hint="eastAsia" w:ascii="仿宋" w:hAnsi="仿宋" w:eastAsia="仿宋" w:cs="仿宋"/>
          <w:b/>
          <w:bCs/>
          <w:color w:val="000000"/>
          <w:sz w:val="21"/>
          <w:szCs w:val="21"/>
          <w:highlight w:val="none"/>
        </w:rPr>
        <w:t xml:space="preserve">）不同供应商的投标文件异常一致或者投标报价呈规律性差异；</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10</w:t>
      </w:r>
      <w:r>
        <w:rPr>
          <w:rFonts w:hint="eastAsia" w:ascii="仿宋" w:hAnsi="仿宋" w:eastAsia="仿宋" w:cs="仿宋"/>
          <w:b/>
          <w:bCs/>
          <w:color w:val="000000"/>
          <w:sz w:val="21"/>
          <w:szCs w:val="21"/>
          <w:highlight w:val="none"/>
        </w:rPr>
        <w:t xml:space="preserve">）不同供应商的单位负责人为同一人或者供应商之间存在直接控股、管理关系的；</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11</w:t>
      </w:r>
      <w:r>
        <w:rPr>
          <w:rFonts w:hint="eastAsia" w:ascii="仿宋" w:hAnsi="仿宋" w:eastAsia="仿宋" w:cs="仿宋"/>
          <w:b/>
          <w:bCs/>
          <w:color w:val="000000"/>
          <w:sz w:val="21"/>
          <w:szCs w:val="21"/>
          <w:highlight w:val="none"/>
        </w:rPr>
        <w:t xml:space="preserve">）报价超过招标文件中规定的预算金额或者最高限价的；</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12</w:t>
      </w:r>
      <w:r>
        <w:rPr>
          <w:rFonts w:hint="eastAsia" w:ascii="仿宋" w:hAnsi="仿宋" w:eastAsia="仿宋" w:cs="仿宋"/>
          <w:b/>
          <w:bCs/>
          <w:color w:val="000000"/>
          <w:sz w:val="21"/>
          <w:szCs w:val="21"/>
          <w:highlight w:val="none"/>
        </w:rPr>
        <w:t xml:space="preserve">）投标文件含有采购人不能接受的附加条件的；</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）属于第一章招标公告中2.6所列情形的；</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14</w:t>
      </w:r>
      <w:r>
        <w:rPr>
          <w:rFonts w:hint="eastAsia" w:ascii="仿宋" w:hAnsi="仿宋" w:eastAsia="仿宋" w:cs="仿宋"/>
          <w:b/>
          <w:bCs/>
          <w:color w:val="000000"/>
          <w:sz w:val="21"/>
          <w:szCs w:val="21"/>
          <w:highlight w:val="none"/>
        </w:rPr>
        <w:t xml:space="preserve">）投标文件不符合招标文件规定的其他实质性要求的；</w:t>
      </w:r>
      <w:r>
        <w:rPr>
          <w:rFonts w:hint="eastAsia" w:ascii="仿宋" w:hAnsi="仿宋" w:eastAsia="仿宋" w:cs="仿宋"/>
          <w:b/>
          <w:bCs/>
          <w:color w:val="000000"/>
          <w:sz w:val="21"/>
          <w:szCs w:val="21"/>
          <w:highlight w:val="none"/>
        </w:rPr>
      </w:r>
      <w:r/>
    </w:p>
    <w:p>
      <w:pPr>
        <w:pStyle w:val="1035"/>
        <w:ind w:firstLine="422"/>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15</w:t>
      </w:r>
      <w:r>
        <w:rPr>
          <w:rFonts w:hint="eastAsia" w:ascii="仿宋" w:hAnsi="仿宋" w:eastAsia="仿宋" w:cs="仿宋"/>
          <w:b/>
          <w:bCs/>
          <w:color w:val="000000"/>
          <w:sz w:val="21"/>
          <w:szCs w:val="21"/>
          <w:highlight w:val="none"/>
        </w:rPr>
        <w:t xml:space="preserve">）法律、法规和招标文件规定的其他无效情形。</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bookmarkEnd w:id="37"/>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21.2.2.4</w:t>
      </w:r>
      <w:r>
        <w:rPr>
          <w:rFonts w:hint="eastAsia" w:ascii="仿宋" w:hAnsi="仿宋" w:eastAsia="仿宋" w:cs="仿宋"/>
          <w:b/>
          <w:bCs/>
          <w:color w:val="000000"/>
          <w:sz w:val="21"/>
          <w:szCs w:val="21"/>
          <w:highlight w:val="none"/>
        </w:rPr>
        <w:t xml:space="preserve">有下列情形之一的予以废标，同时将废标理由通知所有供应商：</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bookmarkStart w:id="38" w:name="OLE_LINK20"/>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（1）符合资格条件的供应商或者对招标文件作实质性响应的供应商不足三家的；</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（2）出现影响采购公正的违法、违规行为的；</w:t>
      </w:r>
      <w:r>
        <w:rPr>
          <w:rFonts w:hint="eastAsia" w:ascii="仿宋" w:hAnsi="仿宋" w:eastAsia="仿宋" w:cs="仿宋"/>
          <w:b/>
          <w:bCs/>
          <w:color w:val="000000"/>
          <w:sz w:val="21"/>
          <w:szCs w:val="21"/>
          <w:highlight w:val="none"/>
        </w:rPr>
      </w:r>
      <w:r/>
    </w:p>
    <w:p>
      <w:pPr>
        <w:pStyle w:val="1035"/>
        <w:ind w:firstLine="421"/>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（3）因重大变故，采购任务取消的；</w:t>
      </w:r>
      <w:r>
        <w:rPr>
          <w:rFonts w:hint="eastAsia" w:ascii="仿宋" w:hAnsi="仿宋" w:eastAsia="仿宋" w:cs="仿宋"/>
          <w:b/>
          <w:bCs/>
          <w:color w:val="000000"/>
          <w:sz w:val="21"/>
          <w:szCs w:val="21"/>
          <w:highlight w:val="none"/>
        </w:rPr>
      </w:r>
      <w:r/>
    </w:p>
    <w:p>
      <w:pPr>
        <w:pStyle w:val="1035"/>
        <w:spacing w:line="360" w:lineRule="auto"/>
        <w:shd w:val="clear" w:color="auto" w:fil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（4）因苏采云系统故障造成开标不成功。</w:t>
      </w:r>
      <w:r>
        <w:rPr>
          <w:rFonts w:hint="eastAsia" w:ascii="仿宋" w:hAnsi="仿宋" w:eastAsia="仿宋" w:cs="仿宋"/>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bookmarkEnd w:id="38"/>
      <w:r>
        <w:rPr>
          <w:rFonts w:hint="eastAsia" w:ascii="宋体" w:hAnsi="宋体" w:eastAsia="宋体"/>
          <w:color w:val="000000"/>
          <w:sz w:val="21"/>
          <w:szCs w:val="21"/>
          <w:highlight w:val="none"/>
          <w:lang w:val="en-US"/>
        </w:rPr>
        <w:t xml:space="preserve">21.2.3未通过资格审查或符合性审查的供应商，采购代理机构将通过苏采云系统告知其具体原因，评标结束后不再接受有关询问。</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21.2.4如出现投标截止时间后参加的供应商或者对招标文件作出实质性响应的供应商不足三家的情况，按政府采购相关规定执行。</w:t>
      </w:r>
      <w:r>
        <w:rPr>
          <w:rFonts w:hint="eastAsia" w:ascii="宋体" w:hAnsi="宋体" w:eastAsia="宋体"/>
          <w:color w:val="000000"/>
          <w:sz w:val="21"/>
          <w:szCs w:val="21"/>
          <w:highlight w:val="none"/>
          <w:lang w:val="en-US"/>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21</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5</w:t>
      </w:r>
      <w:r>
        <w:rPr>
          <w:rFonts w:hint="eastAsia" w:ascii="宋体" w:hAnsi="宋体" w:eastAsia="宋体"/>
          <w:b/>
          <w:bCs/>
          <w:color w:val="000000"/>
          <w:sz w:val="21"/>
          <w:szCs w:val="21"/>
          <w:highlight w:val="none"/>
        </w:rPr>
        <w:t xml:space="preserve">投标文件的进一步评审</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bookmarkStart w:id="39" w:name="OLE_LINK21"/>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.1</w:t>
      </w:r>
      <w:bookmarkEnd w:id="39"/>
      <w:r>
        <w:rPr>
          <w:rFonts w:hint="eastAsia" w:ascii="宋体" w:hAnsi="宋体" w:eastAsia="宋体"/>
          <w:color w:val="000000"/>
          <w:sz w:val="21"/>
          <w:szCs w:val="21"/>
          <w:highlight w:val="none"/>
        </w:rPr>
        <w:t xml:space="preserve">评标委员会将对确定为实质性响应的投标文件进行进一步评审，其中投标文件报价出现前后不一致的，除招标文件另有规定外，按照下列规定修正：</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（1）《开标一览表》内容与投标文件中相应内容不一致的，以《开标一览表》为准；</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（2）大写金额和小写金额不一致的，以大写金额为准；</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（3）单价金额小数点或者百分比有明显错位的，以《开标一览表》的总价为准，并修改单价；</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（4）总价金额与按单价汇总金额不一致的，以单价金额计算结果为准；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，调整后的价格对</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具有约束力。如果</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不接受修正后的价格，则其投标将被拒绝。</w:t>
      </w:r>
      <w:r>
        <w:rPr>
          <w:rFonts w:hint="eastAsia" w:ascii="宋体" w:hAnsi="宋体" w:eastAsia="宋体"/>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bookmarkStart w:id="40" w:name="OLE_LINK15"/>
      <w:r>
        <w:rPr>
          <w:rFonts w:hint="eastAsia" w:ascii="仿宋" w:hAnsi="仿宋" w:eastAsia="仿宋" w:cs="仿宋"/>
          <w:b/>
          <w:bCs/>
          <w:color w:val="000000"/>
          <w:sz w:val="21"/>
          <w:szCs w:val="21"/>
          <w:highlight w:val="none"/>
          <w:lang w:val="en-US"/>
        </w:rPr>
        <w:t xml:space="preserve">21.2.5.2异常低价处理</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采购评审中出现下列情形之一的，评审委员会应当启动异常低价投标（响应）审查程序： </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（3）投标（响应）报价低于采购项目最高限价45%的，即投标（响应）报价&lt;采购项目最高限价×45%（未设定最高限价的采购项目，以采购项目预算金额作为最高限价）；</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（4）评审委员会基于专业判断，认为供应商报价过低，有可能影响产品质量或者不能诚信履约的其他情形。 </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评审委员会启动异常低价投标（响应）审查后，属于前述第（1）项至第（4）项情形的，将要求相关供应商在评审现场合理的时间内对投标（响应）价格作出解释，提供 项目具体成本测算等与报价合理性相关的书面说明及必要的证明材料，包括但不限于原材料成本、人工成本、制造费用等。其中，属于第 3 项情形，供应商已随投标（响应）文件一并提交相关书面说明及必要的证明材料的，在评审现场可不再重复提交。 </w:t>
      </w:r>
      <w:r>
        <w:rPr>
          <w:rFonts w:hint="eastAsia" w:ascii="仿宋" w:hAnsi="仿宋" w:eastAsia="仿宋" w:cs="仿宋"/>
          <w:b/>
          <w:bCs/>
          <w:color w:val="000000"/>
          <w:sz w:val="21"/>
          <w:szCs w:val="21"/>
          <w:highlight w:val="none"/>
          <w:lang w:val="en-US"/>
        </w:rPr>
      </w:r>
      <w:r/>
    </w:p>
    <w:p>
      <w:pPr>
        <w:pStyle w:val="103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bCs/>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bookmarkEnd w:id="40"/>
      <w:r>
        <w:rPr>
          <w:rFonts w:hint="eastAsia" w:ascii="宋体" w:hAnsi="宋体" w:eastAsia="宋体"/>
          <w:color w:val="000000"/>
          <w:sz w:val="21"/>
          <w:szCs w:val="21"/>
          <w:highlight w:val="none"/>
          <w:lang w:val="en-US"/>
        </w:rPr>
        <w:t xml:space="preserve">21.2.5.3</w:t>
      </w:r>
      <w:r>
        <w:rPr>
          <w:rFonts w:hint="eastAsia" w:ascii="宋体" w:hAnsi="宋体" w:eastAsia="宋体"/>
          <w:color w:val="000000"/>
          <w:sz w:val="21"/>
          <w:szCs w:val="21"/>
          <w:highlight w:val="none"/>
        </w:rPr>
        <w:t xml:space="preserve">澄清有关问题</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）对于投标文件中含义不明确、同类问题表述不一致或者有明显文字和计算错误的内容，评标委员有权要求</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作出必要的澄清、说明或者补正。</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（2）供应商</w:t>
      </w:r>
      <w:r>
        <w:rPr>
          <w:rFonts w:hint="eastAsia" w:ascii="宋体" w:hAnsi="宋体" w:eastAsia="宋体"/>
          <w:color w:val="000000"/>
          <w:sz w:val="21"/>
          <w:szCs w:val="21"/>
          <w:highlight w:val="none"/>
        </w:rPr>
        <w:t xml:space="preserve">的澄清、说明或者补正不得超出投标文件的范围或者改变投标文件的实质性内容。</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）评标委员会并非对每个</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都做澄清要求。</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（5）接到评标委员会澄清、说明和补正要求的，供应商如未按规定作出澄清、说明和补正，其风险由供应商自行承担。</w:t>
      </w:r>
      <w:r>
        <w:rPr>
          <w:rFonts w:hint="eastAsia" w:ascii="宋体" w:hAnsi="宋体" w:eastAsia="宋体"/>
          <w:color w:val="000000"/>
          <w:sz w:val="21"/>
          <w:szCs w:val="21"/>
          <w:highlight w:val="none"/>
          <w:lang w:val="en-US"/>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21.2.5.4供应商在开、评标全过程中应保持通讯畅通，及时登录苏采云系统查阅、答复相关信息，并安排专人与采购代理机构及评标委员会联系。</w:t>
      </w:r>
      <w:r>
        <w:rPr>
          <w:rFonts w:hint="eastAsia" w:ascii="宋体" w:hAnsi="宋体" w:eastAsia="宋体"/>
          <w:b/>
          <w:bCs/>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21.2.5.5</w:t>
      </w:r>
      <w:r>
        <w:rPr>
          <w:rFonts w:hint="eastAsia" w:ascii="宋体" w:hAnsi="宋体" w:eastAsia="宋体"/>
          <w:color w:val="000000"/>
          <w:sz w:val="21"/>
          <w:szCs w:val="21"/>
          <w:highlight w:val="none"/>
        </w:rPr>
        <w:t xml:space="preserve">比较与评价。评标委员会将按照招标文件中规定的评标方法和标准，对资格性审查和符合性审查合格的投标文件进行商务和技术评估，综合比较与评价。</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21.2.5.6</w:t>
      </w:r>
      <w:r>
        <w:rPr>
          <w:rFonts w:hint="eastAsia" w:ascii="宋体" w:hAnsi="宋体" w:eastAsia="宋体"/>
          <w:color w:val="000000"/>
          <w:sz w:val="21"/>
          <w:szCs w:val="21"/>
          <w:highlight w:val="none"/>
        </w:rPr>
        <w:t xml:space="preserve">相同品牌产品投标要求</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（3）非单一产品采购项目，以提供的核心产品品牌为准，核心产品详见第五章采购项目需求。多家供应商提供的核心产品品牌相同的，按前两款规定处理；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eastAsia="宋体"/>
          <w:b/>
          <w:bCs/>
          <w:color w:val="000000"/>
          <w:sz w:val="21"/>
          <w:szCs w:val="21"/>
          <w:highlight w:val="none"/>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.3评标方法和标准</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评标方法分为综合评分法和最低评标价法。本次招标采用的评标方法和标准详见本招标文件第四章。</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tabs>
          <w:tab w:val="left" w:pos="3011" w:leader="none"/>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综合评分法</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）综合评分法是指投标文件满足招标文件全部实质性要求，且按照评审因素的量化指标评审得分最高的供应商为中标候选人的评标方法。</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采用</w:t>
      </w:r>
      <w:r>
        <w:rPr>
          <w:rFonts w:hint="eastAsia" w:ascii="宋体" w:hAnsi="宋体" w:eastAsia="宋体"/>
          <w:color w:val="000000"/>
          <w:sz w:val="21"/>
          <w:szCs w:val="21"/>
          <w:highlight w:val="none"/>
        </w:rPr>
        <w:t xml:space="preserve">综合评分法评标时，评标委员会各成员将独立对每个供应商的投标文件进行评价，并汇总每个供应商的得分。</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（3）评标过程中，不得去掉报价中的最高报价和最低报价。因落实政府采购政策进行价格调整的，以调整后的价格计算评标基准价和投标报价。</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21.3.3</w:t>
      </w:r>
      <w:r>
        <w:rPr>
          <w:rFonts w:hint="eastAsia" w:ascii="宋体" w:hAnsi="宋体" w:eastAsia="宋体"/>
          <w:color w:val="000000"/>
          <w:sz w:val="21"/>
          <w:szCs w:val="21"/>
          <w:highlight w:val="none"/>
        </w:rPr>
        <w:t xml:space="preserve">最低评标价法</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）最低评标价法是指投标文件满足招标文件全部实质性要求，且投标报价最低的供应商为中标候选人的评标方法。</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）采用最低评标价法评标时，除了算术修正和落实政府采购政策需进行的价格扣除外，不对供应商的投标价格进行任何调整。</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lang w:val="en-US"/>
        </w:rPr>
        <w:t xml:space="preserve">22、确定中标供应商</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22.1</w:t>
      </w:r>
      <w:r>
        <w:rPr>
          <w:rFonts w:hint="eastAsia"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22.2</w:t>
      </w:r>
      <w:r>
        <w:rPr>
          <w:rFonts w:hint="eastAsia" w:ascii="宋体" w:hAnsi="宋体" w:eastAsia="宋体"/>
          <w:color w:val="000000"/>
          <w:sz w:val="21"/>
          <w:szCs w:val="21"/>
          <w:highlight w:val="none"/>
        </w:rPr>
        <w:t xml:space="preserve">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3中标候选人确定后，默认</w:t>
      </w:r>
      <w:r>
        <w:rPr>
          <w:rFonts w:hint="eastAsia" w:ascii="宋体" w:hAnsi="宋体" w:eastAsia="宋体"/>
          <w:b/>
          <w:bCs/>
          <w:color w:val="000000"/>
          <w:sz w:val="21"/>
          <w:szCs w:val="21"/>
          <w:highlight w:val="none"/>
        </w:rPr>
        <w:t xml:space="preserve">按照以下第（1）种方式确定中标供应商：</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（1）评标委员会直接确定排名第一的中标候选人为中标供应商；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（2）采购人</w:t>
      </w:r>
      <w:r>
        <w:rPr>
          <w:rFonts w:hint="eastAsia" w:ascii="宋体" w:hAnsi="宋体" w:eastAsia="宋体"/>
          <w:color w:val="000000"/>
          <w:sz w:val="21"/>
          <w:szCs w:val="21"/>
          <w:highlight w:val="none"/>
          <w:lang w:val="en-US"/>
        </w:rPr>
        <w:t xml:space="preserve">在评标报告确定的中标候选人名单中按顺序确定中标供应商。</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）种方式确定中标供应商的，</w:t>
      </w:r>
      <w:r>
        <w:rPr>
          <w:rFonts w:hint="eastAsia" w:ascii="宋体" w:hAnsi="宋体" w:eastAsia="宋体"/>
          <w:color w:val="000000"/>
          <w:sz w:val="21"/>
          <w:szCs w:val="21"/>
          <w:highlight w:val="none"/>
          <w:lang w:val="en-US"/>
        </w:rPr>
        <w:t xml:space="preserve">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2.4采购代理机构自</w:t>
      </w:r>
      <w:r>
        <w:rPr>
          <w:rFonts w:hint="eastAsia" w:ascii="宋体" w:hAnsi="宋体" w:eastAsia="宋体"/>
          <w:color w:val="000000"/>
          <w:sz w:val="21"/>
          <w:szCs w:val="21"/>
          <w:highlight w:val="none"/>
        </w:rPr>
        <w:t xml:space="preserve">中标供应商确定之日起2个工作日内，在财政部门指定的媒体上公告中标结果，中标公告期限为1个工作日，公告的同时向中标供应商发出中标通知书。</w:t>
      </w:r>
      <w:r>
        <w:rPr>
          <w:rFonts w:hint="eastAsia" w:ascii="宋体" w:hAnsi="宋体" w:eastAsia="宋体"/>
          <w:color w:val="000000"/>
          <w:sz w:val="21"/>
          <w:szCs w:val="21"/>
          <w:highlight w:val="none"/>
        </w:rPr>
      </w:r>
      <w:r/>
    </w:p>
    <w:p>
      <w:pPr>
        <w:pStyle w:val="1035"/>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22.5中标通知书对采购人和中标供应商具有同等法律效力。</w:t>
      </w:r>
      <w:r>
        <w:rPr>
          <w:rFonts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.6中标通知书发出后，中标供应商无正当理由不与采购人签订合同的，视情节严重，由财政部门将其列入不良行为记录名单，在一至三年内禁止参加政府采购活动，并予以通报。</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22.7采用综合评分法评审的，评审结束后，采购代理机构将告知未中标供应商本人的评审得分与排序，但无义务向其解释未中标的原因。</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2</w:t>
      </w: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、评标过程的保密性</w:t>
      </w:r>
      <w:r>
        <w:rPr>
          <w:rFonts w:hint="eastAsia" w:ascii="宋体" w:hAnsi="宋体" w:eastAsia="宋体"/>
          <w:b/>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.1采购代理机构将采取必要措施，保证评标在严格保密的情况下进行。</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23.2</w:t>
      </w:r>
      <w:r>
        <w:rPr>
          <w:rFonts w:hint="eastAsia" w:ascii="宋体" w:hAnsi="宋体" w:eastAsia="宋体"/>
          <w:color w:val="000000"/>
          <w:sz w:val="21"/>
          <w:szCs w:val="21"/>
          <w:highlight w:val="none"/>
        </w:rPr>
        <w:t xml:space="preserve">任何单位和个人不得非法干预、影响评标办法的确定，以及评标过程和结果。</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23.3</w:t>
      </w:r>
      <w:r>
        <w:rPr>
          <w:rFonts w:hint="eastAsia" w:ascii="宋体" w:hAnsi="宋体" w:eastAsia="宋体"/>
          <w:color w:val="000000"/>
          <w:sz w:val="21"/>
          <w:szCs w:val="21"/>
          <w:highlight w:val="none"/>
        </w:rPr>
        <w:t xml:space="preserve">凡是与审查、澄清、评价和比较投标的有关资料等，均不向供应商及与评标无关的人员透露。</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五、签订合同</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rPr>
        <w:t xml:space="preserve">、签订合同</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24.1</w:t>
      </w:r>
      <w:r>
        <w:rPr>
          <w:rFonts w:hint="eastAsia" w:ascii="宋体" w:hAnsi="宋体" w:eastAsia="宋体"/>
          <w:color w:val="000000"/>
          <w:sz w:val="21"/>
          <w:szCs w:val="21"/>
          <w:highlight w:val="none"/>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24.2</w:t>
      </w:r>
      <w:r>
        <w:rPr>
          <w:rFonts w:hint="eastAsia" w:ascii="宋体" w:hAnsi="宋体" w:eastAsia="宋体"/>
          <w:color w:val="000000"/>
          <w:sz w:val="21"/>
          <w:szCs w:val="21"/>
          <w:highlight w:val="none"/>
        </w:rPr>
        <w:t xml:space="preserve">采购人不得向中标供应商提出任何不合理的要求作为签订合同的条件，不得与中标供应商私下订立背离合同实质性内容的协议。</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政府采购合同履行中，采购人需追加与合同标的相同货物的，在不改变合同其他条款的前提下，可以与供应商协商签订补充合同，但所有补充合同的采购金额不得超过原合同采购金额的百分之十。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.5采购人与中标供应商应当根据合同的约定依法履行政府采购合同义务。</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六、询问、质疑、投诉和诚实信用</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5、</w:t>
      </w:r>
      <w:r>
        <w:rPr>
          <w:rFonts w:hint="eastAsia" w:ascii="宋体" w:hAnsi="宋体" w:eastAsia="宋体"/>
          <w:b/>
          <w:bCs/>
          <w:color w:val="000000"/>
          <w:sz w:val="21"/>
          <w:szCs w:val="21"/>
          <w:highlight w:val="none"/>
        </w:rPr>
        <w:t xml:space="preserve">询问</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t xml:space="preserve">、质疑</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.1供应商认为招标文件、采购过程、中标结果使自己的权益受到损害的，可以在知道或者应知其权益受到损害之日起七个工作日内，以书面形式向采购人、采购代理机构提出质疑。</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26.2供应商的质疑行为应符合《政府采购质疑和投诉办法》（财政部令第94号）相关规定，提出质疑的供应商应当是参与项目采购活动的供应商，潜在供应商已依法获取招标文件的，可以对招标文件提出质疑。</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26.3供应商应知其权益受到损害之日，是指：</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（1）对招标文件提出质疑的，自获取招标文件或招标文件公告期限届满之日起计算；</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（2）对采购过程提出质疑的，自各采购程序环节结束之日起计算；</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（3）对中标结果提出质疑的，自中标结果公告期限届满之日起计算。  </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26.4</w:t>
      </w:r>
      <w:r>
        <w:rPr>
          <w:rFonts w:hint="eastAsia" w:ascii="宋体" w:hAnsi="宋体" w:eastAsia="宋体"/>
          <w:color w:val="000000"/>
          <w:sz w:val="21"/>
          <w:szCs w:val="21"/>
          <w:highlight w:val="none"/>
        </w:rPr>
        <w:t xml:space="preserve">供应商应在法定质疑期内一次性提出针对同一采购程序环节的质疑。</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供应商提出质疑应当提交质疑函和必要的证明材料。质疑函应当包括下列内容：</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）供应商的姓名或者名称、地址、邮编、联系人及联系电话；</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）质疑项目的名称、编号；</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）具体、明确的质疑事项和与质疑事项相关的请求（具体条款）；</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）事实依据（具体条款）；</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）必要的法律依据（具体条款）；</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）提出质疑的日期。</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26.7质疑材料接收信息：</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（1）接收单位：采购代理机构</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（2）联 系 人：宗工</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（3）联系电话：</w:t>
      </w:r>
      <w:r>
        <w:rPr>
          <w:rFonts w:hint="eastAsia" w:ascii="宋体" w:hAnsi="宋体" w:eastAsia="宋体"/>
          <w:color w:val="000000"/>
          <w:sz w:val="21"/>
          <w:szCs w:val="21"/>
          <w:highlight w:val="none"/>
        </w:rPr>
        <w:t xml:space="preserve">15951894337</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（4）联系邮箱：307256142@qq.com</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（5）接收地址：南京市鼓楼区汉中门大街309号港湾中心B座6层</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8采购</w:t>
      </w:r>
      <w:r>
        <w:rPr>
          <w:rFonts w:hint="eastAsia" w:ascii="宋体" w:hAnsi="宋体" w:eastAsia="宋体"/>
          <w:color w:val="000000"/>
          <w:sz w:val="21"/>
          <w:szCs w:val="21"/>
          <w:highlight w:val="none"/>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27</w:t>
      </w:r>
      <w:r>
        <w:rPr>
          <w:rFonts w:hint="eastAsia" w:ascii="宋体" w:hAnsi="宋体" w:eastAsia="宋体"/>
          <w:b/>
          <w:bCs/>
          <w:color w:val="000000"/>
          <w:sz w:val="21"/>
          <w:szCs w:val="21"/>
          <w:highlight w:val="none"/>
        </w:rPr>
        <w:t xml:space="preserve">、投诉</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rPr>
        <w:t xml:space="preserve">.1质疑供应商对采购代理机构的答复不满意或者采购代理机构未在规定的时间内作出答复的，可以在答复期满后十五个工作日内向同级政府采购监督管理部门投诉。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27.2质疑</w:t>
      </w:r>
      <w:r>
        <w:rPr>
          <w:rFonts w:hint="eastAsia" w:ascii="宋体" w:hAnsi="宋体" w:eastAsia="宋体"/>
          <w:color w:val="000000"/>
          <w:sz w:val="21"/>
          <w:szCs w:val="21"/>
          <w:highlight w:val="none"/>
        </w:rPr>
        <w:t xml:space="preserve">供应商的投诉应当有明确的请求和必要的证明材料，其投诉的事项不得超出已质疑事项的范围。</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27.4投诉人在全国范围12个月内3次以上投诉查无实据的，由财政部门列入不良行为记录名单。</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27.5投诉人有下列行为之一的，属于虚假、恶意投诉，由财政部门列入不良行为记录名单，禁止其1至3年内参加政府采购活动：</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（1）捏造事实；</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（2）提供虚假材料；</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28</w:t>
      </w:r>
      <w:r>
        <w:rPr>
          <w:rFonts w:hint="eastAsia" w:ascii="宋体" w:hAnsi="宋体" w:eastAsia="宋体"/>
          <w:b/>
          <w:bCs/>
          <w:color w:val="000000"/>
          <w:sz w:val="21"/>
          <w:szCs w:val="21"/>
          <w:highlight w:val="none"/>
        </w:rPr>
        <w:t xml:space="preserve">、诚实信用</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28</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28</w:t>
      </w:r>
      <w:r>
        <w:rPr>
          <w:rFonts w:hint="eastAsia" w:ascii="宋体" w:hAnsi="宋体" w:eastAsia="宋体"/>
          <w:color w:val="000000"/>
          <w:sz w:val="21"/>
          <w:szCs w:val="21"/>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hint="eastAsia" w:ascii="宋体" w:hAnsi="宋体" w:eastAsia="宋体"/>
          <w:color w:val="000000"/>
          <w:sz w:val="21"/>
          <w:szCs w:val="21"/>
          <w:highlight w:val="none"/>
        </w:rPr>
      </w:r>
      <w:r/>
    </w:p>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供应商不得虚假承诺，否则，按照提供虚假材料谋取中标成交处理。</w:t>
      </w:r>
      <w:r>
        <w:rPr>
          <w:rFonts w:hint="eastAsia" w:ascii="宋体" w:hAnsi="宋体" w:eastAsia="宋体"/>
          <w:color w:val="000000"/>
          <w:sz w:val="21"/>
          <w:szCs w:val="21"/>
          <w:highlight w:val="none"/>
        </w:rPr>
      </w:r>
      <w:r/>
    </w:p>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rPr>
          <w:rFonts w:hint="eastAsia" w:ascii="宋体" w:hAnsi="宋体" w:eastAsia="宋体"/>
          <w:color w:val="000000"/>
          <w:sz w:val="21"/>
          <w:szCs w:val="21"/>
          <w:highlight w:val="none"/>
        </w:rPr>
      </w:r>
      <w:r/>
    </w:p>
    <w:p>
      <w:pPr>
        <w:pStyle w:val="1035"/>
        <w:jc w:val="center"/>
        <w:spacing w:line="360" w:lineRule="auto"/>
        <w:shd w:val="clear" w:color="auto" w:fill="auto"/>
        <w:rPr>
          <w:rFonts w:ascii="黑体" w:hAnsi="宋体" w:eastAsia="黑体"/>
          <w:color w:val="000000"/>
          <w:sz w:val="32"/>
          <w:szCs w:val="32"/>
          <w:highlight w:val="none"/>
        </w:rPr>
        <w:outlineLvl w:val="0"/>
      </w:pPr>
      <w:r>
        <w:rPr>
          <w:rFonts w:hint="eastAsia" w:ascii="宋体" w:hAnsi="宋体"/>
          <w:b/>
          <w:color w:val="000000"/>
          <w:sz w:val="32"/>
          <w:szCs w:val="44"/>
          <w:highlight w:val="none"/>
        </w:rPr>
        <w:br w:type="page" w:clear="all"/>
      </w:r>
      <w:bookmarkStart w:id="41" w:name="_Toc1203"/>
      <w:r>
        <w:rPr>
          <w:rFonts w:hint="eastAsia" w:ascii="黑体" w:hAnsi="宋体" w:eastAsia="黑体"/>
          <w:color w:val="000000"/>
          <w:sz w:val="32"/>
          <w:szCs w:val="32"/>
          <w:highlight w:val="none"/>
        </w:rPr>
        <w:t xml:space="preserve">第三章  纪律和职责</w:t>
      </w:r>
      <w:bookmarkEnd w:id="41"/>
      <w:r>
        <w:rPr>
          <w:rFonts w:ascii="黑体" w:hAnsi="宋体" w:eastAsia="黑体"/>
          <w:color w:val="000000"/>
          <w:sz w:val="32"/>
          <w:szCs w:val="32"/>
          <w:highlight w:val="none"/>
        </w:rPr>
      </w:r>
      <w:r/>
    </w:p>
    <w:p>
      <w:pPr>
        <w:pStyle w:val="1035"/>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一、采购代理机构负责组织评标工作，并履行下列职责：</w:t>
      </w:r>
      <w:r>
        <w:rPr>
          <w:rFonts w:hint="eastAsia" w:ascii="宋体" w:hAnsi="宋体" w:eastAsia="宋体"/>
          <w:b/>
          <w:bCs/>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（二）宣布评标纪律。</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（三）公布供应商名单，告知评审专家应当回避的情形。</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（四）组织评标委员会推选评标组长，采购人代表不得担任组长。</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（五）在评标期间采取必要的通讯管理措施，保证评标活动不受外界干扰。</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（六）根据评标委员会的要求介绍政府采购相关政策法规、招标文件。</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（八）核对评标结果，如出现《政府采购货物和服务招标投标管理办法》第六十四条关于评标结果修正情形的，要求评标委员会复核或者说明理由，评标委员会拒绝的，应予记录并向财政部门报告。</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（九）评审工作完成后，按照规定向评审专家支付劳务报酬和异地评审差旅费，不得向评审专家以外的其他人员支付评审劳务报酬。</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（十）处理与评标有关的其他事项。</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（十一）采购人可以在评标前说明项目背景和采购需求，说明内容不得含有歧视性、倾向性意见，不得超出招标文件所述范围。</w:t>
      </w:r>
      <w:r>
        <w:rPr>
          <w:rFonts w:hint="eastAsia" w:ascii="宋体" w:hAnsi="宋体" w:eastAsia="宋体"/>
          <w:color w:val="000000"/>
          <w:sz w:val="21"/>
          <w:szCs w:val="21"/>
          <w:highlight w:val="none"/>
        </w:rPr>
      </w:r>
      <w:r/>
    </w:p>
    <w:p>
      <w:pPr>
        <w:pStyle w:val="1035"/>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二、评标委员会及其成员不得有下列行为：</w:t>
      </w:r>
      <w:r>
        <w:rPr>
          <w:rFonts w:hint="eastAsia" w:ascii="宋体" w:hAnsi="宋体" w:eastAsia="宋体"/>
          <w:b/>
          <w:bCs/>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（一）确定参与评标至评标结束前私自接触供应商。</w:t>
      </w: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（二）接受供应商提出的与投标文件不一致的澄清或者说明，第二章21.2.5.1规定的情形除外。</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（三）违反评标纪律发表倾向性意见或者征询采购人的倾向性意见。</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（四）对需要专业判断的主观评审因素协商评分。</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（五）在评标过程中擅离职守，影响评标程序正常进行的。</w:t>
      </w:r>
      <w:r>
        <w:rPr>
          <w:rFonts w:hint="eastAsia" w:ascii="宋体" w:hAnsi="宋体" w:eastAsia="宋体"/>
          <w:color w:val="000000"/>
          <w:sz w:val="21"/>
          <w:szCs w:val="21"/>
          <w:highlight w:val="none"/>
        </w:rPr>
      </w:r>
      <w:r/>
    </w:p>
    <w:p>
      <w:pPr>
        <w:pStyle w:val="1035"/>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（六）记录、复制或者带走任何评标资料。</w:t>
      </w:r>
      <w:r>
        <w:rPr>
          <w:rFonts w:hint="eastAsia" w:ascii="宋体" w:hAnsi="宋体" w:eastAsia="宋体"/>
          <w:color w:val="000000"/>
          <w:sz w:val="21"/>
          <w:szCs w:val="21"/>
          <w:highlight w:val="none"/>
        </w:rPr>
      </w:r>
      <w:r/>
    </w:p>
    <w:p>
      <w:pPr>
        <w:pStyle w:val="1035"/>
        <w:ind w:firstLine="21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（七）其他不遵守评标纪律的行为。</w:t>
      </w:r>
      <w:r>
        <w:rPr>
          <w:rFonts w:hint="eastAsia" w:ascii="宋体" w:hAnsi="宋体" w:eastAsia="宋体"/>
          <w:color w:val="000000"/>
          <w:sz w:val="21"/>
          <w:szCs w:val="21"/>
          <w:highlight w:val="none"/>
        </w:rPr>
      </w:r>
      <w:r/>
    </w:p>
    <w:p>
      <w:pPr>
        <w:pStyle w:val="1035"/>
        <w:ind w:firstLine="240"/>
        <w:jc w:val="center"/>
        <w:spacing w:line="360" w:lineRule="auto"/>
        <w:shd w:val="clear" w:color="auto" w:fill="auto"/>
        <w:rPr>
          <w:rFonts w:hint="eastAsia" w:ascii="黑体" w:hAnsi="黑体" w:eastAsia="黑体" w:cs="黑体"/>
          <w:bCs/>
          <w:color w:val="000000"/>
          <w:sz w:val="32"/>
          <w:szCs w:val="44"/>
          <w:highlight w:val="none"/>
        </w:rPr>
        <w:outlineLvl w:val="0"/>
      </w:pPr>
      <w:r>
        <w:rPr>
          <w:rFonts w:hint="eastAsia" w:ascii="宋体" w:hAnsi="宋体" w:eastAsia="宋体"/>
          <w:color w:val="000000"/>
          <w:sz w:val="24"/>
          <w:szCs w:val="24"/>
          <w:highlight w:val="none"/>
        </w:rPr>
        <w:br w:type="page" w:clear="all"/>
      </w:r>
      <w:bookmarkStart w:id="42" w:name="_Toc5653"/>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bookmarkEnd w:id="42"/>
      <w:r>
        <w:rPr>
          <w:rFonts w:hint="eastAsia" w:ascii="黑体" w:hAnsi="黑体" w:eastAsia="黑体" w:cs="黑体"/>
          <w:bCs/>
          <w:color w:val="000000"/>
          <w:sz w:val="32"/>
          <w:szCs w:val="44"/>
          <w:highlight w:val="none"/>
        </w:rPr>
      </w:r>
      <w:r/>
    </w:p>
    <w:p>
      <w:pPr>
        <w:pStyle w:val="1035"/>
        <w:ind w:firstLine="422"/>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一、评标方法：</w:t>
      </w:r>
      <w:r>
        <w:rPr>
          <w:rFonts w:hint="eastAsia" w:ascii="宋体" w:hAnsi="宋体" w:eastAsia="宋体"/>
          <w:bCs/>
          <w:color w:val="000000"/>
          <w:sz w:val="21"/>
          <w:szCs w:val="21"/>
          <w:highlight w:val="none"/>
          <w:lang w:val="en-US"/>
        </w:rPr>
        <w:t xml:space="preserve">本项目评标方法采用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bCs/>
          <w:color w:val="000000"/>
          <w:sz w:val="21"/>
          <w:szCs w:val="21"/>
          <w:highlight w:val="none"/>
        </w:rPr>
      </w:r>
      <w:r/>
    </w:p>
    <w:p>
      <w:pPr>
        <w:pStyle w:val="1035"/>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二、评标标准</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r>
      <w:r/>
    </w:p>
    <w:tbl>
      <w:tblPr>
        <w:tblW w:w="104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20"/>
        <w:gridCol w:w="7039"/>
        <w:gridCol w:w="650"/>
        <w:gridCol w:w="916"/>
      </w:tblGrid>
      <w:tr>
        <w:trPr>
          <w:trHeight w:val="628"/>
        </w:trPr>
        <w:tc>
          <w:tcPr>
            <w:tcW w:w="700"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1120"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评审因素</w:t>
            </w:r>
            <w:r>
              <w:rPr>
                <w:rFonts w:hint="eastAsia" w:ascii="宋体" w:hAnsi="宋体" w:eastAsia="宋体"/>
                <w:b/>
                <w:color w:val="000000"/>
                <w:sz w:val="21"/>
                <w:szCs w:val="21"/>
                <w:highlight w:val="none"/>
              </w:rPr>
            </w:r>
            <w:r/>
          </w:p>
        </w:tc>
        <w:tc>
          <w:tcPr>
            <w:tcW w:w="7039"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评审标准</w:t>
            </w:r>
            <w:r>
              <w:rPr>
                <w:rFonts w:hint="eastAsia" w:ascii="宋体" w:hAnsi="宋体" w:eastAsia="宋体"/>
                <w:b/>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分值</w:t>
            </w:r>
            <w:r>
              <w:rPr>
                <w:rFonts w:hint="eastAsia" w:ascii="宋体" w:hAnsi="宋体" w:eastAsia="宋体"/>
                <w:b/>
                <w:color w:val="000000"/>
                <w:sz w:val="21"/>
                <w:szCs w:val="21"/>
                <w:highlight w:val="none"/>
              </w:rPr>
            </w:r>
            <w:r/>
          </w:p>
        </w:tc>
        <w:tc>
          <w:tcPr>
            <w:tcW w:w="916"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类型</w:t>
            </w:r>
            <w:r>
              <w:rPr>
                <w:rFonts w:hint="eastAsia" w:ascii="宋体" w:hAnsi="宋体" w:eastAsia="宋体"/>
                <w:b/>
                <w:color w:val="000000"/>
                <w:sz w:val="21"/>
                <w:szCs w:val="21"/>
                <w:highlight w:val="none"/>
                <w:lang w:val="en-US"/>
              </w:rPr>
            </w:r>
            <w:r/>
          </w:p>
        </w:tc>
      </w:tr>
      <w:tr>
        <w:trPr/>
        <w:tc>
          <w:tcPr>
            <w:gridSpan w:val="5"/>
            <w:tcW w:w="10425" w:type="dxa"/>
            <w:vAlign w:val="center"/>
            <w:textDirection w:val="lrTb"/>
            <w:noWrap w:val="false"/>
          </w:tcPr>
          <w:p>
            <w:pPr>
              <w:pStyle w:val="1035"/>
              <w:jc w:val="center"/>
              <w:spacing w:line="360" w:lineRule="auto"/>
              <w:shd w:val="clear" w:color="auto" w:fill="auto"/>
              <w:widowControl/>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一、价格（30分）</w:t>
            </w:r>
            <w:r>
              <w:rPr>
                <w:rFonts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w:t>
            </w:r>
            <w:r>
              <w:rPr>
                <w:rFonts w:hint="eastAsia" w:ascii="宋体" w:hAnsi="宋体" w:eastAsia="宋体"/>
                <w:b/>
                <w:color w:val="000000"/>
                <w:sz w:val="21"/>
                <w:szCs w:val="21"/>
                <w:highlight w:val="none"/>
              </w:rPr>
            </w:r>
            <w:r/>
          </w:p>
        </w:tc>
        <w:tc>
          <w:tcPr>
            <w:tcW w:w="1120" w:type="dxa"/>
            <w:vAlign w:val="center"/>
            <w:textDirection w:val="lrTb"/>
            <w:noWrap w:val="false"/>
          </w:tcPr>
          <w:p>
            <w:pPr>
              <w:pStyle w:val="1035"/>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价格</w:t>
            </w:r>
            <w:r>
              <w:rPr>
                <w:rFonts w:hint="eastAsia" w:ascii="宋体" w:hAnsi="宋体" w:eastAsia="宋体"/>
                <w:b/>
                <w:color w:val="000000"/>
                <w:sz w:val="21"/>
                <w:szCs w:val="21"/>
                <w:highlight w:val="none"/>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价格分采用低价优先法计算，即满足招标文件要求且投标价格最低的投标报价为评标基准价，其价格分为满分。</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其他供应商的价格分统一按照下列公式计算</w:t>
            </w:r>
            <w:r>
              <w:rPr>
                <w:rFonts w:hint="eastAsia" w:ascii="宋体" w:hAnsi="宋体" w:eastAsia="宋体"/>
                <w:color w:val="000000"/>
                <w:sz w:val="21"/>
                <w:szCs w:val="21"/>
                <w:highlight w:val="none"/>
              </w:rPr>
              <w:t xml:space="preserve">（小数点保留两位）</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1035"/>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投标报价得分=(评标基准价／投标报价)×30。</w:t>
            </w:r>
            <w:r>
              <w:rPr>
                <w:rFonts w:hint="eastAsia" w:ascii="宋体" w:hAnsi="宋体" w:eastAsia="宋体"/>
                <w:color w:val="000000"/>
                <w:sz w:val="21"/>
                <w:szCs w:val="21"/>
                <w:highlight w:val="none"/>
                <w:lang w:val="en-US"/>
              </w:rPr>
            </w:r>
            <w:r/>
          </w:p>
        </w:tc>
        <w:tc>
          <w:tcPr>
            <w:tcW w:w="650" w:type="dxa"/>
            <w:vAlign w:val="center"/>
            <w:textDirection w:val="lrTb"/>
            <w:noWrap w:val="false"/>
          </w:tcPr>
          <w:p>
            <w:pPr>
              <w:pStyle w:val="1035"/>
              <w:jc w:val="center"/>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30</w:t>
            </w:r>
            <w:r>
              <w:rPr>
                <w:rFonts w:hint="eastAsia" w:ascii="宋体" w:hAnsi="宋体" w:eastAsia="宋体"/>
                <w:b/>
                <w:bCs/>
                <w:color w:val="000000"/>
                <w:sz w:val="21"/>
                <w:szCs w:val="21"/>
                <w:highlight w:val="none"/>
                <w:lang w:val="en-US"/>
              </w:rPr>
            </w:r>
            <w:r/>
          </w:p>
        </w:tc>
        <w:tc>
          <w:tcPr>
            <w:tcW w:w="916" w:type="dxa"/>
            <w:vAlign w:val="center"/>
            <w:textDirection w:val="lrTb"/>
            <w:noWrap w:val="false"/>
          </w:tcPr>
          <w:p>
            <w:pPr>
              <w:pStyle w:val="1035"/>
              <w:jc w:val="center"/>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价格分</w:t>
            </w:r>
            <w:r>
              <w:rPr>
                <w:rFonts w:hint="eastAsia" w:ascii="宋体" w:hAnsi="宋体" w:eastAsia="宋体"/>
                <w:b/>
                <w:bCs/>
                <w:color w:val="000000"/>
                <w:sz w:val="21"/>
                <w:szCs w:val="21"/>
                <w:highlight w:val="none"/>
                <w:lang w:val="en-US"/>
              </w:rPr>
            </w:r>
            <w:r/>
          </w:p>
        </w:tc>
      </w:tr>
      <w:tr>
        <w:trPr/>
        <w:tc>
          <w:tcPr>
            <w:gridSpan w:val="5"/>
            <w:tcW w:w="10425" w:type="dxa"/>
            <w:vAlign w:val="center"/>
            <w:textDirection w:val="lrTb"/>
            <w:noWrap w:val="false"/>
          </w:tcPr>
          <w:p>
            <w:pPr>
              <w:pStyle w:val="1035"/>
              <w:jc w:val="center"/>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二、技术（50分）</w:t>
            </w:r>
            <w:r>
              <w:rPr>
                <w:rFonts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jc w:val="center"/>
              <w:spacing w:line="360" w:lineRule="auto"/>
              <w:shd w:val="clear" w:color="auto" w:fill="auto"/>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rPr>
              <w:t xml:space="preserve">1</w:t>
            </w:r>
            <w:r>
              <w:rPr>
                <w:rFonts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技术</w:t>
            </w:r>
            <w:r>
              <w:rPr>
                <w:rFonts w:hint="eastAsia" w:ascii="宋体" w:hAnsi="宋体" w:eastAsia="宋体"/>
                <w:b/>
                <w:color w:val="000000"/>
                <w:sz w:val="21"/>
                <w:szCs w:val="21"/>
                <w:highlight w:val="none"/>
                <w:lang w:val="en-US"/>
              </w:rPr>
              <w:t xml:space="preserve">响应</w:t>
            </w:r>
            <w:r>
              <w:rPr>
                <w:rFonts w:hint="eastAsia" w:ascii="宋体" w:hAnsi="宋体" w:eastAsia="宋体"/>
                <w:b/>
                <w:color w:val="000000"/>
                <w:sz w:val="21"/>
                <w:szCs w:val="21"/>
                <w:highlight w:val="none"/>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评委根据投标文件中对第</w:t>
            </w:r>
            <w:r>
              <w:rPr>
                <w:rFonts w:hint="eastAsia" w:ascii="宋体" w:hAnsi="宋体" w:eastAsia="宋体"/>
                <w:bCs/>
                <w:color w:val="000000"/>
                <w:sz w:val="21"/>
                <w:szCs w:val="21"/>
                <w:highlight w:val="none"/>
                <w:lang w:val="en-US"/>
              </w:rPr>
              <w:t xml:space="preserve">五</w:t>
            </w:r>
            <w:r>
              <w:rPr>
                <w:rFonts w:hint="eastAsia" w:ascii="宋体" w:hAnsi="宋体" w:eastAsia="宋体"/>
                <w:bCs/>
                <w:color w:val="000000"/>
                <w:sz w:val="21"/>
                <w:szCs w:val="21"/>
                <w:highlight w:val="none"/>
              </w:rPr>
              <w:t xml:space="preserve">章“</w:t>
            </w:r>
            <w:r>
              <w:rPr>
                <w:rFonts w:hint="eastAsia" w:ascii="宋体" w:hAnsi="宋体" w:eastAsia="宋体"/>
                <w:bCs/>
                <w:color w:val="000000"/>
                <w:sz w:val="21"/>
                <w:szCs w:val="21"/>
                <w:highlight w:val="none"/>
                <w:lang w:val="en-US"/>
              </w:rPr>
              <w:t xml:space="preserve">四、</w:t>
            </w:r>
            <w:r>
              <w:rPr>
                <w:rFonts w:hint="eastAsia" w:ascii="宋体" w:hAnsi="宋体" w:eastAsia="宋体"/>
                <w:bCs/>
                <w:color w:val="000000"/>
                <w:sz w:val="21"/>
                <w:szCs w:val="21"/>
                <w:highlight w:val="none"/>
              </w:rPr>
              <w:t xml:space="preserve">采购设备技术</w:t>
            </w:r>
            <w:r>
              <w:rPr>
                <w:rFonts w:hint="eastAsia" w:ascii="宋体" w:hAnsi="宋体" w:eastAsia="宋体"/>
                <w:bCs/>
                <w:color w:val="000000"/>
                <w:sz w:val="21"/>
                <w:szCs w:val="21"/>
                <w:highlight w:val="none"/>
                <w:lang w:val="en-US"/>
              </w:rPr>
              <w:t xml:space="preserve">指标等</w:t>
            </w:r>
            <w:r>
              <w:rPr>
                <w:rFonts w:hint="eastAsia" w:ascii="宋体" w:hAnsi="宋体" w:eastAsia="宋体"/>
                <w:bCs/>
                <w:color w:val="000000"/>
                <w:sz w:val="21"/>
                <w:szCs w:val="21"/>
                <w:highlight w:val="none"/>
              </w:rPr>
              <w:t xml:space="preserve">要求”中响应情况进行打分。完全满足招标文件要求的得</w:t>
            </w:r>
            <w:r>
              <w:rPr>
                <w:rFonts w:hint="eastAsia" w:ascii="宋体" w:hAnsi="宋体" w:eastAsia="宋体"/>
                <w:bCs/>
                <w:color w:val="000000"/>
                <w:sz w:val="21"/>
                <w:szCs w:val="21"/>
                <w:highlight w:val="none"/>
                <w:lang w:val="en-US"/>
              </w:rPr>
              <w:t xml:space="preserve">42</w:t>
            </w:r>
            <w:r>
              <w:rPr>
                <w:rFonts w:hint="eastAsia" w:ascii="宋体" w:hAnsi="宋体" w:eastAsia="宋体"/>
                <w:bCs/>
                <w:color w:val="000000"/>
                <w:sz w:val="21"/>
                <w:szCs w:val="21"/>
                <w:highlight w:val="none"/>
              </w:rPr>
              <w:t xml:space="preserve">分。其中标注“★”的参数为实质性要求，有一项负偏离作无效投标处理；标注“▲”的内容为重要参数，每有一项负偏离扣</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分；其他普通参数，每有一项负偏离扣</w:t>
            </w:r>
            <w:r>
              <w:rPr>
                <w:rFonts w:hint="eastAsia" w:ascii="宋体" w:hAnsi="宋体" w:eastAsia="宋体"/>
                <w:bCs/>
                <w:color w:val="000000"/>
                <w:sz w:val="21"/>
                <w:szCs w:val="21"/>
                <w:highlight w:val="none"/>
                <w:lang w:val="en-US"/>
              </w:rPr>
              <w:t xml:space="preserve">0.5</w:t>
            </w:r>
            <w:r>
              <w:rPr>
                <w:rFonts w:hint="eastAsia" w:ascii="宋体" w:hAnsi="宋体" w:eastAsia="宋体"/>
                <w:bCs/>
                <w:color w:val="000000"/>
                <w:sz w:val="21"/>
                <w:szCs w:val="21"/>
                <w:highlight w:val="none"/>
              </w:rPr>
              <w:t xml:space="preserve">分，扣完为止。</w:t>
            </w:r>
            <w:r>
              <w:rPr>
                <w:rFonts w:hint="eastAsia" w:ascii="宋体" w:hAnsi="宋体" w:eastAsia="宋体"/>
                <w:bCs/>
                <w:color w:val="000000"/>
                <w:sz w:val="21"/>
                <w:szCs w:val="21"/>
                <w:highlight w:val="none"/>
              </w:rPr>
            </w:r>
            <w:r/>
          </w:p>
          <w:p>
            <w:pPr>
              <w:pStyle w:val="1035"/>
              <w:ind w:firstLine="21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备注：</w:t>
            </w:r>
            <w:r>
              <w:rPr>
                <w:rFonts w:hint="eastAsia" w:ascii="宋体" w:hAnsi="宋体" w:eastAsia="宋体"/>
                <w:color w:val="000000"/>
                <w:sz w:val="21"/>
                <w:szCs w:val="21"/>
                <w:highlight w:val="none"/>
              </w:rPr>
              <w:t xml:space="preserve">供应商需在</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zh-TW"/>
              </w:rPr>
              <w:t xml:space="preserve">技术</w:t>
            </w:r>
            <w:r>
              <w:rPr>
                <w:rFonts w:hint="eastAsia" w:ascii="宋体" w:hAnsi="宋体" w:eastAsia="宋体"/>
                <w:bCs/>
                <w:color w:val="000000"/>
                <w:sz w:val="21"/>
                <w:szCs w:val="21"/>
                <w:highlight w:val="none"/>
                <w:lang w:val="en-US"/>
              </w:rPr>
              <w:t xml:space="preserve">条款</w:t>
            </w:r>
            <w:r>
              <w:rPr>
                <w:rFonts w:hint="eastAsia" w:ascii="宋体" w:hAnsi="宋体" w:eastAsia="宋体"/>
                <w:bCs/>
                <w:color w:val="000000"/>
                <w:sz w:val="21"/>
                <w:szCs w:val="21"/>
                <w:highlight w:val="none"/>
                <w:lang w:val="zh-TW"/>
              </w:rPr>
              <w:t xml:space="preserve">偏离表</w:t>
            </w:r>
            <w:r>
              <w:rPr>
                <w:rFonts w:hint="eastAsia" w:ascii="宋体" w:hAnsi="宋体" w:eastAsia="宋体"/>
                <w:bCs/>
                <w:color w:val="000000"/>
                <w:sz w:val="21"/>
                <w:szCs w:val="21"/>
                <w:highlight w:val="none"/>
              </w:rPr>
              <w:t xml:space="preserve">》</w:t>
            </w:r>
            <w:r>
              <w:rPr>
                <w:rFonts w:hint="eastAsia" w:ascii="宋体" w:hAnsi="宋体" w:eastAsia="宋体"/>
                <w:color w:val="000000"/>
                <w:sz w:val="21"/>
                <w:szCs w:val="21"/>
                <w:highlight w:val="none"/>
              </w:rPr>
              <w:t xml:space="preserve">中逐条进行应答，列明所投产品详细技术特性，并说明偏离情况。</w:t>
            </w:r>
            <w:r>
              <w:rPr>
                <w:rFonts w:hint="eastAsia" w:ascii="宋体" w:hAnsi="宋体" w:eastAsia="宋体"/>
                <w:bCs/>
                <w:color w:val="000000"/>
                <w:sz w:val="21"/>
                <w:szCs w:val="21"/>
                <w:highlight w:val="none"/>
              </w:rPr>
              <w:t xml:space="preserve">标注“★”和“▲”的参数提供相应技术支持资料(如彩页或白皮书或</w:t>
            </w:r>
            <w:r>
              <w:rPr>
                <w:rFonts w:hint="eastAsia" w:ascii="宋体" w:hAnsi="宋体" w:eastAsia="宋体"/>
                <w:bCs/>
                <w:color w:val="000000"/>
                <w:sz w:val="21"/>
                <w:szCs w:val="21"/>
                <w:highlight w:val="none"/>
                <w:lang w:val="en-US"/>
              </w:rPr>
              <w:t xml:space="preserve">产品手册或官网/仪器操作界面截图</w:t>
            </w:r>
            <w:r>
              <w:rPr>
                <w:rFonts w:hint="eastAsia" w:ascii="宋体" w:hAnsi="宋体" w:eastAsia="宋体"/>
                <w:bCs/>
                <w:color w:val="000000"/>
                <w:sz w:val="21"/>
                <w:szCs w:val="21"/>
                <w:highlight w:val="none"/>
              </w:rPr>
              <w:t xml:space="preserve">等。</w:t>
            </w:r>
            <w:r>
              <w:rPr>
                <w:rFonts w:hint="eastAsia" w:ascii="宋体" w:hAnsi="宋体" w:eastAsia="宋体"/>
                <w:bCs/>
                <w:color w:val="000000"/>
                <w:sz w:val="21"/>
                <w:szCs w:val="21"/>
                <w:highlight w:val="none"/>
                <w:lang w:val="en-US"/>
              </w:rPr>
              <w:t xml:space="preserve">如技术指标要求中另有要求的，则从其要求</w:t>
            </w:r>
            <w:r>
              <w:rPr>
                <w:rFonts w:hint="eastAsia" w:ascii="宋体" w:hAnsi="宋体" w:eastAsia="宋体"/>
                <w:bCs/>
                <w:color w:val="000000"/>
                <w:sz w:val="21"/>
                <w:szCs w:val="21"/>
                <w:highlight w:val="none"/>
              </w:rPr>
              <w:t xml:space="preserve">)，并在《</w:t>
            </w:r>
            <w:r>
              <w:rPr>
                <w:rFonts w:hint="eastAsia" w:ascii="宋体" w:hAnsi="宋体" w:eastAsia="宋体"/>
                <w:bCs/>
                <w:color w:val="000000"/>
                <w:sz w:val="21"/>
                <w:szCs w:val="21"/>
                <w:highlight w:val="none"/>
                <w:lang w:val="zh-TW"/>
              </w:rPr>
              <w:t xml:space="preserve">技术</w:t>
            </w:r>
            <w:r>
              <w:rPr>
                <w:rFonts w:hint="eastAsia" w:ascii="宋体" w:hAnsi="宋体" w:eastAsia="宋体"/>
                <w:bCs/>
                <w:color w:val="000000"/>
                <w:sz w:val="21"/>
                <w:szCs w:val="21"/>
                <w:highlight w:val="none"/>
                <w:lang w:val="en-US"/>
              </w:rPr>
              <w:t xml:space="preserve">条款</w:t>
            </w:r>
            <w:r>
              <w:rPr>
                <w:rFonts w:hint="eastAsia" w:ascii="宋体" w:hAnsi="宋体" w:eastAsia="宋体"/>
                <w:bCs/>
                <w:color w:val="000000"/>
                <w:sz w:val="21"/>
                <w:szCs w:val="21"/>
                <w:highlight w:val="none"/>
                <w:lang w:val="zh-TW"/>
              </w:rPr>
              <w:t xml:space="preserve">偏离表</w:t>
            </w:r>
            <w:r>
              <w:rPr>
                <w:rFonts w:hint="eastAsia" w:ascii="宋体" w:hAnsi="宋体" w:eastAsia="宋体"/>
                <w:bCs/>
                <w:color w:val="000000"/>
                <w:sz w:val="21"/>
                <w:szCs w:val="21"/>
                <w:highlight w:val="none"/>
              </w:rPr>
              <w:t xml:space="preserve">》中详细标明技术支持资料在投标文件中的页码和位置。未提供技术支持资料的作负偏离处理，如因未在《</w:t>
            </w:r>
            <w:r>
              <w:rPr>
                <w:rFonts w:hint="eastAsia" w:ascii="宋体" w:hAnsi="宋体" w:eastAsia="宋体"/>
                <w:bCs/>
                <w:color w:val="000000"/>
                <w:sz w:val="21"/>
                <w:szCs w:val="21"/>
                <w:highlight w:val="none"/>
                <w:lang w:val="zh-TW"/>
              </w:rPr>
              <w:t xml:space="preserve">技术规格偏离表</w:t>
            </w:r>
            <w:r>
              <w:rPr>
                <w:rFonts w:hint="eastAsia" w:ascii="宋体" w:hAnsi="宋体" w:eastAsia="宋体"/>
                <w:bCs/>
                <w:color w:val="000000"/>
                <w:sz w:val="21"/>
                <w:szCs w:val="21"/>
                <w:highlight w:val="none"/>
              </w:rPr>
              <w:t xml:space="preserve">》中注明支持资料具体页码和位置导致本项不得分的，由此产生的后果由供应商自行承担。</w:t>
            </w:r>
            <w:r>
              <w:rPr>
                <w:rFonts w:hint="eastAsia" w:ascii="宋体" w:hAnsi="宋体" w:eastAsia="宋体"/>
                <w:color w:val="000000"/>
                <w:sz w:val="21"/>
                <w:szCs w:val="21"/>
                <w:highlight w:val="none"/>
              </w:rPr>
              <w:t xml:space="preserve">其他技术参数以技术条款偏离表响应为准。</w:t>
            </w:r>
            <w:r>
              <w:rPr>
                <w:rFonts w:hint="eastAsia" w:ascii="宋体" w:hAnsi="宋体" w:eastAsia="宋体"/>
                <w:b/>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rPr>
            </w:pPr>
            <w:r>
              <w:rPr>
                <w:rFonts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rPr>
            </w:r>
            <w:r/>
          </w:p>
        </w:tc>
        <w:tc>
          <w:tcPr>
            <w:tcW w:w="916"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客观分</w:t>
            </w:r>
            <w:r>
              <w:rPr>
                <w:rFonts w:hint="eastAsia"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ind w:right="-24"/>
              <w:jc w:val="center"/>
              <w:spacing w:line="360" w:lineRule="auto"/>
              <w:shd w:val="clear" w:color="auto" w:fill="auto"/>
              <w:widowControl/>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2.2</w:t>
            </w:r>
            <w:r>
              <w:rPr>
                <w:rFonts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实施方案</w:t>
            </w:r>
            <w:r>
              <w:rPr>
                <w:rFonts w:ascii="宋体" w:hAnsi="宋体" w:eastAsia="宋体"/>
                <w:b/>
                <w:color w:val="000000"/>
                <w:sz w:val="21"/>
                <w:szCs w:val="21"/>
                <w:highlight w:val="none"/>
                <w:lang w:val="en-US"/>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评委根据供应商提供的项目</w:t>
            </w:r>
            <w:r>
              <w:rPr>
                <w:rFonts w:hint="eastAsia" w:ascii="宋体" w:hAnsi="宋体" w:eastAsia="宋体"/>
                <w:color w:val="000000"/>
                <w:sz w:val="21"/>
                <w:szCs w:val="21"/>
                <w:highlight w:val="none"/>
                <w:lang w:val="en-US"/>
              </w:rPr>
              <w:t xml:space="preserve">实施</w:t>
            </w:r>
            <w:r>
              <w:rPr>
                <w:rFonts w:hint="eastAsia" w:ascii="宋体" w:hAnsi="宋体" w:eastAsia="宋体"/>
                <w:color w:val="000000"/>
                <w:sz w:val="21"/>
                <w:szCs w:val="21"/>
                <w:highlight w:val="none"/>
              </w:rPr>
              <w:t xml:space="preserve">方案（</w:t>
            </w:r>
            <w:r>
              <w:rPr>
                <w:rFonts w:hint="eastAsia" w:ascii="宋体" w:hAnsi="宋体" w:eastAsia="宋体"/>
                <w:color w:val="000000"/>
                <w:sz w:val="21"/>
                <w:szCs w:val="21"/>
                <w:highlight w:val="none"/>
                <w:lang w:val="en-US"/>
              </w:rPr>
              <w:t xml:space="preserve">包括设备安装调试、</w:t>
            </w:r>
            <w:r>
              <w:rPr>
                <w:rFonts w:hint="eastAsia" w:ascii="宋体" w:hAnsi="宋体" w:eastAsia="宋体"/>
                <w:color w:val="000000"/>
                <w:sz w:val="21"/>
                <w:szCs w:val="21"/>
                <w:highlight w:val="none"/>
                <w:lang w:val="en-US" w:eastAsia="zh-CN"/>
              </w:rPr>
              <w:t xml:space="preserve">进度计划安排、</w:t>
            </w:r>
            <w:r>
              <w:rPr>
                <w:rFonts w:hint="eastAsia" w:ascii="宋体" w:hAnsi="宋体" w:eastAsia="宋体"/>
                <w:color w:val="000000"/>
                <w:sz w:val="21"/>
                <w:szCs w:val="21"/>
                <w:highlight w:val="none"/>
                <w:lang w:val="en-US"/>
              </w:rPr>
              <w:t xml:space="preserve">质量控制等</w:t>
            </w:r>
            <w:r>
              <w:rPr>
                <w:rFonts w:hint="eastAsia" w:ascii="宋体" w:hAnsi="宋体" w:eastAsia="宋体"/>
                <w:color w:val="000000"/>
                <w:sz w:val="21"/>
                <w:szCs w:val="21"/>
                <w:highlight w:val="none"/>
              </w:rPr>
              <w:t xml:space="preserve">）进行综合评分：方案贴合实际、内容全面、合理性、可行性强的得</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分；方案较为贴合实际，完整性、合理性、可行性较强得</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分；方案基本满足项目需求得</w:t>
            </w:r>
            <w:r>
              <w:rPr>
                <w:rFonts w:hint="eastAsia" w:ascii="宋体" w:hAnsi="宋体" w:eastAsia="宋体"/>
                <w:color w:val="000000"/>
                <w:sz w:val="21"/>
                <w:szCs w:val="21"/>
                <w:highlight w:val="none"/>
                <w:lang w:val="en-US"/>
              </w:rPr>
              <w:t xml:space="preserve">3分；</w:t>
            </w:r>
            <w:r>
              <w:rPr>
                <w:rFonts w:hint="eastAsia" w:ascii="宋体" w:hAnsi="宋体" w:eastAsia="宋体"/>
                <w:color w:val="000000"/>
                <w:sz w:val="21"/>
                <w:szCs w:val="21"/>
                <w:highlight w:val="none"/>
              </w:rPr>
              <w:t xml:space="preserve">未提供的本项不得分。</w:t>
            </w:r>
            <w:r>
              <w:rPr>
                <w:rFonts w:hint="eastAsia" w:ascii="宋体" w:hAnsi="宋体" w:eastAsia="宋体"/>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8</w:t>
            </w:r>
            <w:r>
              <w:rPr>
                <w:rFonts w:hint="eastAsia" w:ascii="宋体" w:hAnsi="宋体" w:eastAsia="宋体"/>
                <w:b/>
                <w:bCs/>
                <w:color w:val="000000"/>
                <w:sz w:val="21"/>
                <w:szCs w:val="21"/>
                <w:highlight w:val="none"/>
                <w:lang w:val="en-US"/>
              </w:rPr>
            </w:r>
            <w:r/>
          </w:p>
        </w:tc>
        <w:tc>
          <w:tcPr>
            <w:tcW w:w="916"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主观分</w:t>
            </w:r>
            <w:r>
              <w:rPr>
                <w:rFonts w:hint="eastAsia" w:ascii="宋体" w:hAnsi="宋体" w:eastAsia="宋体"/>
                <w:b/>
                <w:bCs/>
                <w:color w:val="000000"/>
                <w:sz w:val="21"/>
                <w:szCs w:val="21"/>
                <w:highlight w:val="none"/>
                <w:lang w:val="en-US"/>
              </w:rPr>
            </w:r>
            <w:r/>
          </w:p>
        </w:tc>
      </w:tr>
      <w:tr>
        <w:trPr/>
        <w:tc>
          <w:tcPr>
            <w:gridSpan w:val="5"/>
            <w:tcW w:w="10425" w:type="dxa"/>
            <w:vAlign w:val="center"/>
            <w:textDirection w:val="lrTb"/>
            <w:noWrap w:val="false"/>
          </w:tcPr>
          <w:p>
            <w:pPr>
              <w:pStyle w:val="1035"/>
              <w:jc w:val="center"/>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三、商务（20分）</w:t>
            </w:r>
            <w:r>
              <w:rPr>
                <w:rFonts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ind w:right="-24"/>
              <w:jc w:val="cente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3.1</w:t>
            </w:r>
            <w:r>
              <w:rPr>
                <w:rFonts w:hint="eastAsia"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售后服务方案</w:t>
            </w:r>
            <w:r>
              <w:rPr>
                <w:rFonts w:hint="eastAsia" w:ascii="宋体" w:hAnsi="宋体" w:eastAsia="宋体"/>
                <w:color w:val="000000"/>
                <w:sz w:val="21"/>
                <w:szCs w:val="21"/>
                <w:highlight w:val="none"/>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评委根据供应商提供的</w:t>
            </w:r>
            <w:bookmarkStart w:id="43" w:name="OLE_LINK12"/>
            <w:r>
              <w:rPr>
                <w:rFonts w:hint="eastAsia" w:ascii="宋体" w:hAnsi="宋体" w:eastAsia="宋体"/>
                <w:color w:val="000000"/>
                <w:sz w:val="21"/>
                <w:szCs w:val="21"/>
                <w:highlight w:val="none"/>
              </w:rPr>
              <w:t xml:space="preserve">售后服务方案</w:t>
            </w:r>
            <w:bookmarkEnd w:id="43"/>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包括但不限于</w:t>
            </w:r>
            <w:r>
              <w:rPr>
                <w:rFonts w:hint="eastAsia" w:ascii="宋体" w:hAnsi="宋体" w:eastAsia="宋体"/>
                <w:color w:val="000000"/>
                <w:sz w:val="21"/>
                <w:szCs w:val="21"/>
                <w:highlight w:val="none"/>
              </w:rPr>
              <w:t xml:space="preserve">售后服务体系、服务内容、故障解决方案、专业技术人员保障及响应时间</w:t>
            </w:r>
            <w:r>
              <w:rPr>
                <w:rFonts w:hint="eastAsia" w:ascii="宋体" w:hAnsi="宋体" w:eastAsia="宋体"/>
                <w:color w:val="000000"/>
                <w:sz w:val="21"/>
                <w:szCs w:val="21"/>
                <w:highlight w:val="none"/>
                <w:lang w:val="en-US"/>
              </w:rPr>
              <w:t xml:space="preserve">等方面</w:t>
            </w:r>
            <w:r>
              <w:rPr>
                <w:rFonts w:hint="eastAsia" w:ascii="宋体" w:hAnsi="宋体" w:eastAsia="宋体"/>
                <w:color w:val="000000"/>
                <w:sz w:val="21"/>
                <w:szCs w:val="21"/>
                <w:highlight w:val="none"/>
              </w:rPr>
              <w:t xml:space="preserve">）进行综合评分：售后服务方案针对性、可实施性强的得</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分；售后服务方案针对性、可实施性较强</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分；售后服务方案针对性、可实施性强一般得</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分；未提供的本项不得分。</w:t>
            </w:r>
            <w:r>
              <w:rPr>
                <w:rFonts w:hint="eastAsia" w:ascii="宋体" w:hAnsi="宋体" w:eastAsia="宋体"/>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8</w:t>
            </w:r>
            <w:r>
              <w:rPr>
                <w:rFonts w:hint="eastAsia" w:ascii="宋体" w:hAnsi="宋体" w:eastAsia="宋体"/>
                <w:b/>
                <w:bCs/>
                <w:color w:val="000000"/>
                <w:sz w:val="21"/>
                <w:szCs w:val="21"/>
                <w:highlight w:val="none"/>
                <w:lang w:val="en-US"/>
              </w:rPr>
            </w:r>
            <w:r/>
          </w:p>
        </w:tc>
        <w:tc>
          <w:tcPr>
            <w:tcW w:w="916"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主观分</w:t>
            </w:r>
            <w:r>
              <w:rPr>
                <w:rFonts w:hint="eastAsia"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ind w:right="-24"/>
              <w:jc w:val="cente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3.2</w:t>
            </w:r>
            <w:r>
              <w:rPr>
                <w:rFonts w:hint="eastAsia"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培训方案</w:t>
            </w:r>
            <w:r>
              <w:rPr>
                <w:rFonts w:ascii="宋体" w:hAnsi="宋体" w:eastAsia="宋体"/>
                <w:b/>
                <w:color w:val="000000"/>
                <w:sz w:val="21"/>
                <w:szCs w:val="21"/>
                <w:highlight w:val="none"/>
                <w:lang w:val="en-US"/>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评委根据供应商提供的人员培训方案（</w:t>
            </w:r>
            <w:r>
              <w:rPr>
                <w:rFonts w:hint="eastAsia" w:ascii="宋体" w:hAnsi="宋体" w:eastAsia="宋体"/>
                <w:color w:val="000000"/>
                <w:sz w:val="21"/>
                <w:szCs w:val="21"/>
                <w:highlight w:val="none"/>
                <w:lang w:val="en-US"/>
              </w:rPr>
              <w:t xml:space="preserve">包括但不限于</w:t>
            </w:r>
            <w:r>
              <w:rPr>
                <w:rFonts w:hint="eastAsia" w:ascii="宋体" w:hAnsi="宋体" w:eastAsia="宋体"/>
                <w:color w:val="000000"/>
                <w:sz w:val="21"/>
                <w:szCs w:val="21"/>
                <w:highlight w:val="none"/>
              </w:rPr>
              <w:t xml:space="preserve">使用操作、常规检查、保养内容、日常使用注意事项等</w:t>
            </w:r>
            <w:r>
              <w:rPr>
                <w:rFonts w:hint="eastAsia" w:ascii="宋体" w:hAnsi="宋体" w:eastAsia="宋体"/>
                <w:color w:val="000000"/>
                <w:sz w:val="21"/>
                <w:szCs w:val="21"/>
                <w:highlight w:val="none"/>
                <w:lang w:val="en-US"/>
              </w:rPr>
              <w:t xml:space="preserve">方面</w:t>
            </w:r>
            <w:r>
              <w:rPr>
                <w:rFonts w:hint="eastAsia" w:ascii="宋体" w:hAnsi="宋体" w:eastAsia="宋体"/>
                <w:color w:val="000000"/>
                <w:sz w:val="21"/>
                <w:szCs w:val="21"/>
                <w:highlight w:val="none"/>
              </w:rPr>
              <w:t xml:space="preserve">）进行综合评分：方案全面</w:t>
            </w:r>
            <w:r>
              <w:rPr>
                <w:rFonts w:hint="eastAsia" w:ascii="宋体" w:hAnsi="宋体" w:eastAsia="宋体"/>
                <w:color w:val="000000"/>
                <w:sz w:val="21"/>
                <w:szCs w:val="21"/>
                <w:highlight w:val="none"/>
                <w:lang w:val="en-US"/>
              </w:rPr>
              <w:t xml:space="preserve">具体</w:t>
            </w:r>
            <w:r>
              <w:rPr>
                <w:rFonts w:hint="eastAsia" w:ascii="宋体" w:hAnsi="宋体" w:eastAsia="宋体"/>
                <w:color w:val="000000"/>
                <w:sz w:val="21"/>
                <w:szCs w:val="21"/>
                <w:highlight w:val="none"/>
              </w:rPr>
              <w:t xml:space="preserve">、科学合理、操作可行的得</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分；方案较为全面完整、科学合理的得</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分；方案完整性、合理性、可行性一般的得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rPr>
              <w:t xml:space="preserve">未提供不得分。</w:t>
            </w:r>
            <w:r>
              <w:rPr>
                <w:rFonts w:hint="eastAsia" w:ascii="宋体" w:hAnsi="宋体" w:eastAsia="宋体"/>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lang w:val="en-US"/>
              </w:rPr>
            </w:r>
            <w:r/>
          </w:p>
        </w:tc>
        <w:tc>
          <w:tcPr>
            <w:tcW w:w="916"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主观分</w:t>
            </w:r>
            <w:r>
              <w:rPr>
                <w:rFonts w:hint="eastAsia"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ind w:right="-24"/>
              <w:jc w:val="cente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3.3</w:t>
            </w:r>
            <w:r>
              <w:rPr>
                <w:rFonts w:hint="eastAsia"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增值服务</w:t>
            </w:r>
            <w:r>
              <w:rPr>
                <w:rFonts w:ascii="宋体" w:hAnsi="宋体" w:eastAsia="宋体"/>
                <w:b/>
                <w:color w:val="000000"/>
                <w:sz w:val="21"/>
                <w:szCs w:val="21"/>
                <w:highlight w:val="none"/>
                <w:lang w:val="en-US"/>
              </w:rPr>
            </w:r>
            <w:r/>
          </w:p>
        </w:tc>
        <w:tc>
          <w:tcPr>
            <w:tcW w:w="7039" w:type="dxa"/>
            <w:vAlign w:val="center"/>
            <w:textDirection w:val="lrTb"/>
            <w:noWrap w:val="false"/>
          </w:tcPr>
          <w:p>
            <w:pPr>
              <w:pStyle w:val="1035"/>
              <w:ind w:firstLine="21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评委根据供应商</w:t>
            </w:r>
            <w:r>
              <w:rPr>
                <w:rFonts w:hint="eastAsia" w:ascii="宋体" w:hAnsi="宋体" w:eastAsia="宋体"/>
                <w:color w:val="000000"/>
                <w:sz w:val="21"/>
                <w:szCs w:val="21"/>
                <w:highlight w:val="none"/>
              </w:rPr>
              <w:t xml:space="preserve">提供采购文件要求范围以外具体的、</w:t>
            </w:r>
            <w:r>
              <w:rPr>
                <w:rFonts w:hint="eastAsia" w:ascii="宋体" w:hAnsi="宋体" w:eastAsia="宋体"/>
                <w:color w:val="000000"/>
                <w:sz w:val="21"/>
                <w:szCs w:val="21"/>
                <w:highlight w:val="none"/>
                <w:lang w:val="en-US"/>
              </w:rPr>
              <w:t xml:space="preserve">切实可行的增值服务或优惠措施</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且</w:t>
            </w:r>
            <w:r>
              <w:rPr>
                <w:rFonts w:hint="eastAsia" w:ascii="宋体" w:hAnsi="宋体" w:eastAsia="宋体"/>
                <w:color w:val="000000"/>
                <w:sz w:val="21"/>
                <w:szCs w:val="21"/>
                <w:highlight w:val="none"/>
              </w:rPr>
              <w:t xml:space="preserve">经评标委员会认可的</w:t>
            </w:r>
            <w:r>
              <w:rPr>
                <w:rFonts w:hint="eastAsia" w:ascii="宋体" w:hAnsi="宋体" w:eastAsia="宋体"/>
                <w:color w:val="000000"/>
                <w:sz w:val="21"/>
                <w:szCs w:val="21"/>
                <w:highlight w:val="none"/>
                <w:lang w:val="en-US"/>
              </w:rPr>
              <w:t xml:space="preserve">进行评分</w:t>
            </w:r>
            <w:r>
              <w:rPr>
                <w:rFonts w:hint="eastAsia" w:ascii="宋体" w:hAnsi="宋体" w:eastAsia="宋体"/>
                <w:color w:val="000000"/>
                <w:sz w:val="21"/>
                <w:szCs w:val="21"/>
                <w:highlight w:val="none"/>
              </w:rPr>
              <w:t xml:space="preserve">：每</w:t>
            </w:r>
            <w:r>
              <w:rPr>
                <w:rFonts w:hint="eastAsia" w:ascii="宋体" w:hAnsi="宋体" w:eastAsia="宋体"/>
                <w:color w:val="000000"/>
                <w:sz w:val="21"/>
                <w:szCs w:val="21"/>
                <w:highlight w:val="none"/>
                <w:lang w:val="en-US"/>
              </w:rPr>
              <w:t xml:space="preserve">提供</w:t>
            </w:r>
            <w:r>
              <w:rPr>
                <w:rFonts w:hint="eastAsia" w:ascii="宋体" w:hAnsi="宋体" w:eastAsia="宋体"/>
                <w:color w:val="000000"/>
                <w:sz w:val="21"/>
                <w:szCs w:val="21"/>
                <w:highlight w:val="none"/>
              </w:rPr>
              <w:t xml:space="preserve">一</w:t>
            </w:r>
            <w:r>
              <w:rPr>
                <w:rFonts w:hint="eastAsia" w:ascii="宋体" w:hAnsi="宋体" w:eastAsia="宋体"/>
                <w:color w:val="000000"/>
                <w:sz w:val="21"/>
                <w:szCs w:val="21"/>
                <w:highlight w:val="none"/>
                <w:lang w:val="en-US"/>
              </w:rPr>
              <w:t xml:space="preserve">项</w:t>
            </w:r>
            <w:r>
              <w:rPr>
                <w:rFonts w:hint="eastAsia" w:ascii="宋体" w:hAnsi="宋体" w:eastAsia="宋体"/>
                <w:color w:val="000000"/>
                <w:sz w:val="21"/>
                <w:szCs w:val="21"/>
                <w:highlight w:val="none"/>
              </w:rPr>
              <w:t xml:space="preserve">得</w:t>
            </w:r>
            <w:r>
              <w:rPr>
                <w:rFonts w:hint="eastAsia" w:ascii="宋体" w:hAnsi="宋体" w:eastAsia="宋体"/>
                <w:color w:val="000000"/>
                <w:sz w:val="21"/>
                <w:szCs w:val="21"/>
                <w:highlight w:val="none"/>
                <w:lang w:val="en-US"/>
              </w:rPr>
              <w:t xml:space="preserve">1分，最多得2分（投标文件中提供相关承诺函并加盖公章，格式自拟）。</w:t>
            </w:r>
            <w:r>
              <w:rPr>
                <w:rFonts w:hint="eastAsia" w:ascii="宋体" w:hAnsi="宋体" w:eastAsia="宋体"/>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rPr>
            </w:r>
            <w:r/>
          </w:p>
        </w:tc>
        <w:tc>
          <w:tcPr>
            <w:tcW w:w="916" w:type="dxa"/>
            <w:vAlign w:val="center"/>
            <w:textDirection w:val="lrTb"/>
            <w:noWrap w:val="false"/>
          </w:tcPr>
          <w:p>
            <w:pPr>
              <w:pStyle w:val="1035"/>
              <w:jc w:val="cente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客观分</w:t>
            </w:r>
            <w:r>
              <w:rPr>
                <w:rFonts w:hint="eastAsia" w:ascii="宋体" w:hAnsi="宋体" w:eastAsia="宋体"/>
                <w:b/>
                <w:bCs/>
                <w:color w:val="000000"/>
                <w:sz w:val="21"/>
                <w:szCs w:val="21"/>
                <w:highlight w:val="none"/>
                <w:lang w:val="en-US"/>
              </w:rPr>
            </w:r>
            <w:r/>
          </w:p>
        </w:tc>
      </w:tr>
      <w:tr>
        <w:trPr/>
        <w:tc>
          <w:tcPr>
            <w:tcW w:w="700" w:type="dxa"/>
            <w:vAlign w:val="center"/>
            <w:textDirection w:val="lrTb"/>
            <w:noWrap w:val="false"/>
          </w:tcPr>
          <w:p>
            <w:pPr>
              <w:pStyle w:val="1035"/>
              <w:ind w:right="-24"/>
              <w:jc w:val="center"/>
              <w:spacing w:line="360" w:lineRule="auto"/>
              <w:shd w:val="clear" w:color="auto" w:fill="auto"/>
              <w:widowControl/>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3.4</w:t>
            </w:r>
            <w:r>
              <w:rPr>
                <w:rFonts w:ascii="宋体" w:hAnsi="宋体" w:eastAsia="宋体"/>
                <w:b/>
                <w:color w:val="000000"/>
                <w:sz w:val="21"/>
                <w:szCs w:val="21"/>
                <w:highlight w:val="none"/>
                <w:lang w:val="en-US"/>
              </w:rPr>
            </w:r>
            <w:r/>
          </w:p>
        </w:tc>
        <w:tc>
          <w:tcPr>
            <w:tcW w:w="1120" w:type="dxa"/>
            <w:vAlign w:val="center"/>
            <w:textDirection w:val="lrTb"/>
            <w:noWrap w:val="false"/>
          </w:tcPr>
          <w:p>
            <w:pPr>
              <w:pStyle w:val="1035"/>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业绩</w:t>
            </w:r>
            <w:r>
              <w:rPr>
                <w:rFonts w:hint="eastAsia" w:ascii="宋体" w:hAnsi="宋体" w:eastAsia="宋体"/>
                <w:b/>
                <w:color w:val="000000"/>
                <w:sz w:val="21"/>
                <w:szCs w:val="21"/>
                <w:highlight w:val="none"/>
              </w:rPr>
            </w:r>
            <w:r/>
          </w:p>
        </w:tc>
        <w:tc>
          <w:tcPr>
            <w:tcW w:w="7039" w:type="dxa"/>
            <w:vAlign w:val="center"/>
            <w:textDirection w:val="lrTb"/>
            <w:noWrap w:val="false"/>
          </w:tcPr>
          <w:p>
            <w:pPr>
              <w:pStyle w:val="1035"/>
              <w:ind w:firstLine="210"/>
              <w:spacing w:line="360" w:lineRule="auto"/>
              <w:shd w:val="clear" w:color="auto" w:fill="auto"/>
              <w:tabs>
                <w:tab w:val="left" w:pos="287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评委根据供应商提供20</w:t>
            </w:r>
            <w:r>
              <w:rPr>
                <w:rFonts w:hint="eastAsia" w:ascii="宋体" w:hAnsi="宋体" w:eastAsia="宋体"/>
                <w:color w:val="000000"/>
                <w:sz w:val="21"/>
                <w:szCs w:val="21"/>
                <w:highlight w:val="none"/>
                <w:lang w:val="en-US"/>
              </w:rPr>
              <w:t xml:space="preserve">23</w:t>
            </w:r>
            <w:r>
              <w:rPr>
                <w:rFonts w:hint="eastAsia" w:ascii="宋体" w:hAnsi="宋体" w:eastAsia="宋体"/>
                <w:color w:val="000000"/>
                <w:sz w:val="21"/>
                <w:szCs w:val="21"/>
                <w:highlight w:val="none"/>
              </w:rPr>
              <w:t xml:space="preserve">年1月1日（</w:t>
            </w:r>
            <w:r>
              <w:rPr>
                <w:rFonts w:hint="eastAsia" w:ascii="宋体" w:hAnsi="宋体" w:eastAsia="宋体"/>
                <w:color w:val="000000"/>
                <w:sz w:val="21"/>
                <w:szCs w:val="21"/>
                <w:highlight w:val="none"/>
                <w:lang w:val="en-US"/>
              </w:rPr>
              <w:t xml:space="preserve">含，时间以合同签订时间为准</w:t>
            </w:r>
            <w:r>
              <w:rPr>
                <w:rFonts w:hint="eastAsia" w:ascii="宋体" w:hAnsi="宋体" w:eastAsia="宋体"/>
                <w:color w:val="000000"/>
                <w:sz w:val="21"/>
                <w:szCs w:val="21"/>
                <w:highlight w:val="none"/>
              </w:rPr>
              <w:t xml:space="preserve">）以来相关或类似项目业绩（</w:t>
            </w:r>
            <w:r>
              <w:rPr>
                <w:rFonts w:hint="eastAsia" w:ascii="宋体" w:hAnsi="宋体" w:eastAsia="宋体"/>
                <w:color w:val="000000"/>
                <w:sz w:val="21"/>
                <w:szCs w:val="21"/>
                <w:highlight w:val="none"/>
                <w:lang w:val="en-US"/>
              </w:rPr>
              <w:t xml:space="preserve">至少包含产品清单中2个设备</w:t>
            </w:r>
            <w:r>
              <w:rPr>
                <w:rFonts w:hint="eastAsia" w:ascii="宋体" w:hAnsi="宋体" w:eastAsia="宋体"/>
                <w:color w:val="000000"/>
                <w:sz w:val="21"/>
                <w:szCs w:val="21"/>
                <w:highlight w:val="none"/>
              </w:rPr>
              <w:t xml:space="preserve">）进行评分：每提供一个得</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分，最多得</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rPr>
              <w:t xml:space="preserve">投标文件中</w:t>
            </w:r>
            <w:r>
              <w:rPr>
                <w:rFonts w:hint="eastAsia" w:ascii="宋体" w:hAnsi="宋体" w:eastAsia="宋体"/>
                <w:color w:val="000000"/>
                <w:sz w:val="21"/>
                <w:szCs w:val="21"/>
                <w:highlight w:val="none"/>
              </w:rPr>
              <w:t xml:space="preserve">提供合同复印件</w:t>
            </w:r>
            <w:r>
              <w:rPr>
                <w:rFonts w:hint="eastAsia" w:ascii="宋体" w:hAnsi="宋体" w:eastAsia="宋体"/>
                <w:color w:val="000000"/>
                <w:sz w:val="21"/>
                <w:szCs w:val="21"/>
                <w:highlight w:val="none"/>
                <w:lang w:val="en-US"/>
              </w:rPr>
              <w:t xml:space="preserve">并</w:t>
            </w:r>
            <w:r>
              <w:rPr>
                <w:rFonts w:hint="eastAsia" w:ascii="宋体" w:hAnsi="宋体" w:eastAsia="宋体"/>
                <w:color w:val="000000"/>
                <w:sz w:val="21"/>
                <w:szCs w:val="21"/>
                <w:highlight w:val="none"/>
              </w:rPr>
              <w:t xml:space="preserve">加盖公章，且含有清晰可见的标的物、合同价以及签字盖章部分所在页，并提供联系人及联系方式，提供不全或者没有提供不得分）。</w:t>
            </w:r>
            <w:r>
              <w:rPr>
                <w:rFonts w:hint="eastAsia" w:ascii="宋体" w:hAnsi="宋体" w:eastAsia="宋体"/>
                <w:color w:val="000000"/>
                <w:sz w:val="21"/>
                <w:szCs w:val="21"/>
                <w:highlight w:val="none"/>
              </w:rPr>
            </w:r>
            <w:r/>
          </w:p>
        </w:tc>
        <w:tc>
          <w:tcPr>
            <w:tcW w:w="650" w:type="dxa"/>
            <w:vAlign w:val="center"/>
            <w:textDirection w:val="lrTb"/>
            <w:noWrap w:val="false"/>
          </w:tcPr>
          <w:p>
            <w:pPr>
              <w:pStyle w:val="1035"/>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r>
            <w:r/>
          </w:p>
        </w:tc>
        <w:tc>
          <w:tcPr>
            <w:tcW w:w="916" w:type="dxa"/>
            <w:vAlign w:val="center"/>
            <w:textDirection w:val="lrTb"/>
            <w:noWrap w:val="false"/>
          </w:tcPr>
          <w:p>
            <w:pPr>
              <w:pStyle w:val="1035"/>
              <w:jc w:val="center"/>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客观分</w:t>
            </w:r>
            <w:r>
              <w:rPr>
                <w:rFonts w:hint="eastAsia" w:ascii="宋体" w:hAnsi="宋体" w:eastAsia="宋体"/>
                <w:b/>
                <w:bCs/>
                <w:color w:val="000000"/>
                <w:sz w:val="21"/>
                <w:szCs w:val="21"/>
                <w:highlight w:val="none"/>
                <w:lang w:val="en-US"/>
              </w:rPr>
            </w:r>
            <w:r/>
          </w:p>
        </w:tc>
      </w:tr>
    </w:tbl>
    <w:p>
      <w:pPr>
        <w:pStyle w:val="1035"/>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三、评标</w:t>
      </w: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1、小微企业的价格扣除</w:t>
      </w:r>
      <w:r>
        <w:rPr>
          <w:rFonts w:hint="eastAsia"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（1）对于非专门面向中小企业的采购项目，给予小微企业报价10%的价格扣除，用扣除后的价格参与评审。</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（2）对于非专门面向中小企业的</w:t>
      </w:r>
      <w:r>
        <w:rPr>
          <w:rFonts w:hint="eastAsia" w:ascii="宋体" w:hAnsi="宋体" w:eastAsia="宋体"/>
          <w:bCs/>
          <w:color w:val="000000"/>
          <w:sz w:val="21"/>
          <w:szCs w:val="21"/>
          <w:highlight w:val="none"/>
          <w:lang w:val="en-US"/>
        </w:rPr>
        <w:t xml:space="preserve">货物</w:t>
      </w:r>
      <w:r>
        <w:rPr>
          <w:rFonts w:hint="eastAsia" w:ascii="宋体" w:hAnsi="宋体" w:eastAsia="宋体"/>
          <w:color w:val="000000"/>
          <w:sz w:val="21"/>
          <w:szCs w:val="21"/>
          <w:highlight w:val="none"/>
          <w:lang w:val="en-US"/>
        </w:rPr>
        <w:t xml:space="preserve">采购项目</w:t>
      </w:r>
      <w:r>
        <w:rPr>
          <w:rFonts w:hint="eastAsia" w:ascii="宋体" w:hAnsi="宋体" w:eastAsia="宋体"/>
          <w:bCs/>
          <w:color w:val="000000"/>
          <w:sz w:val="21"/>
          <w:szCs w:val="21"/>
          <w:highlight w:val="none"/>
          <w:lang w:val="en-US"/>
        </w:rPr>
        <w:t xml:space="preserve">，供应商（无论为大型企业、中型企业或小微企业）提供的货物均为小微企业制造的货物，即可享受上述价格评审优惠政策，除此之外的情形，不享受小微企业价格评审优惠政策。</w:t>
      </w:r>
      <w:r>
        <w:rPr>
          <w:rFonts w:hint="eastAsia" w:ascii="宋体" w:hAnsi="宋体" w:eastAsia="宋体"/>
          <w:color w:val="000000"/>
          <w:sz w:val="21"/>
          <w:szCs w:val="21"/>
          <w:highlight w:val="none"/>
          <w:lang w:val="en-US"/>
        </w:rPr>
      </w:r>
      <w:r/>
    </w:p>
    <w:p>
      <w:pPr>
        <w:pStyle w:val="1035"/>
        <w:ind w:firstLine="421"/>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2、监狱和戒毒企业的价格扣除</w:t>
      </w:r>
      <w:r>
        <w:rPr>
          <w:rFonts w:hint="eastAsia" w:ascii="宋体" w:hAnsi="宋体" w:eastAsia="宋体"/>
          <w:b/>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）本项目对监狱和戒毒企业（简称监狱企业），给予报价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）监狱企业需提供由省级以上监狱管理局、戒毒管理局（含新疆生产建设兵团）出具的属于监狱企业的证明文件。</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）监狱企业标准请参照《关于政府采购支持监狱企业发展有关问题的通知》（财库〔2014〕68号）。</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残疾人福利性单位的价格扣除</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）本项目对残疾人福利性单位，给予报价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）残疾人福利单位需按照招标文件的要求提供《残疾人福利性单位声明函》。</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）残疾人福利单位标准请参照《关于促进残疾人就业政府采购政策的通知》（财库〔2017〕141号）。</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rPr>
        <w:t xml:space="preserve">监狱企业、残疾人福利性单位属于小微企业的，不重复享受政策。</w:t>
      </w:r>
      <w:r>
        <w:rPr>
          <w:rFonts w:hint="eastAsia" w:ascii="宋体" w:hAnsi="宋体" w:eastAsia="宋体"/>
          <w:b/>
          <w:bCs/>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5、节能产品、环境标志产品优先采购政策</w:t>
      </w:r>
      <w:r>
        <w:rPr>
          <w:rFonts w:hint="eastAsia"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bCs/>
          <w:color w:val="000000"/>
          <w:sz w:val="21"/>
          <w:szCs w:val="21"/>
          <w:highlight w:val="none"/>
        </w:rPr>
        <w:t xml:space="preserve">在性能、技术、服务等指标同等条件下</w:t>
      </w:r>
      <w:r>
        <w:rPr>
          <w:rFonts w:hint="eastAsia" w:ascii="宋体" w:hAnsi="宋体" w:eastAsia="宋体"/>
          <w:color w:val="000000"/>
          <w:sz w:val="21"/>
          <w:szCs w:val="21"/>
          <w:highlight w:val="none"/>
        </w:rPr>
        <w:t xml:space="preserve">，对属于国家认定的节能产品（</w:t>
      </w:r>
      <w:r>
        <w:rPr>
          <w:rFonts w:hint="eastAsia" w:ascii="宋体" w:hAnsi="宋体" w:eastAsia="宋体"/>
          <w:bCs/>
          <w:color w:val="000000"/>
          <w:sz w:val="21"/>
          <w:szCs w:val="21"/>
          <w:highlight w:val="none"/>
        </w:rPr>
        <w:t xml:space="preserve">列入《节能产品政府采购品目清单》中的非政府强制采购产品</w:t>
      </w:r>
      <w:r>
        <w:rPr>
          <w:rFonts w:hint="eastAsia" w:ascii="宋体" w:hAnsi="宋体" w:eastAsia="宋体"/>
          <w:color w:val="000000"/>
          <w:sz w:val="21"/>
          <w:szCs w:val="21"/>
          <w:highlight w:val="none"/>
        </w:rPr>
        <w:t xml:space="preserve">）和</w:t>
      </w:r>
      <w:r>
        <w:rPr>
          <w:rFonts w:hint="eastAsia" w:ascii="宋体" w:hAnsi="宋体" w:eastAsia="宋体"/>
          <w:bCs/>
          <w:color w:val="000000"/>
          <w:sz w:val="21"/>
          <w:szCs w:val="21"/>
          <w:highlight w:val="none"/>
        </w:rPr>
        <w:t xml:space="preserve">环境标志产品（列入《环境标志产品政府采购品目清单》中的所有产品）实行优先采购，即</w:t>
      </w:r>
      <w:r>
        <w:rPr>
          <w:rFonts w:hint="eastAsia" w:ascii="宋体" w:hAnsi="宋体" w:eastAsia="宋体"/>
          <w:color w:val="000000"/>
          <w:sz w:val="21"/>
          <w:szCs w:val="21"/>
          <w:highlight w:val="none"/>
        </w:rPr>
        <w:t xml:space="preserve">在评审时分别给予其对应的投标产品报价5%的价格扣除，</w:t>
      </w:r>
      <w:r>
        <w:rPr>
          <w:rFonts w:hint="eastAsia" w:ascii="宋体" w:hAnsi="宋体" w:eastAsia="宋体"/>
          <w:bCs/>
          <w:color w:val="000000"/>
          <w:sz w:val="21"/>
          <w:szCs w:val="21"/>
          <w:highlight w:val="none"/>
          <w:lang w:val="en-US"/>
        </w:rPr>
        <w:t xml:space="preserve">用扣除后的价格参与评审。</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）节能产品、环境标志产品必须纳入“中国政府采购网”（www.ccgp.gov.cn）的“节能产品查询系统”、“</w:t>
      </w:r>
      <w:r>
        <w:rPr>
          <w:rFonts w:hint="eastAsia" w:ascii="宋体" w:hAnsi="宋体" w:eastAsia="宋体"/>
          <w:bCs/>
          <w:color w:val="000000"/>
          <w:sz w:val="21"/>
          <w:szCs w:val="21"/>
          <w:highlight w:val="none"/>
        </w:rPr>
        <w:t xml:space="preserve">环境标志产品</w:t>
      </w:r>
      <w:r>
        <w:rPr>
          <w:rFonts w:hint="eastAsia" w:ascii="宋体" w:hAnsi="宋体" w:eastAsia="宋体"/>
          <w:color w:val="000000"/>
          <w:sz w:val="21"/>
          <w:szCs w:val="21"/>
          <w:highlight w:val="none"/>
        </w:rPr>
        <w:t xml:space="preserve">查询系统”，评审时以供应商提供经</w:t>
      </w:r>
      <w:r>
        <w:rPr>
          <w:rFonts w:hint="eastAsia" w:ascii="宋体" w:hAnsi="宋体" w:eastAsia="宋体"/>
          <w:bCs/>
          <w:color w:val="000000"/>
          <w:sz w:val="21"/>
          <w:szCs w:val="21"/>
          <w:highlight w:val="none"/>
        </w:rPr>
        <w:t xml:space="preserve">国家确定的认证机构出具的、处于有效期之内的产品认证证书复印件</w:t>
      </w:r>
      <w:r>
        <w:rPr>
          <w:rFonts w:hint="eastAsia" w:ascii="宋体" w:hAnsi="宋体" w:eastAsia="宋体"/>
          <w:color w:val="000000"/>
          <w:sz w:val="21"/>
          <w:szCs w:val="21"/>
          <w:highlight w:val="none"/>
        </w:rPr>
        <w:t xml:space="preserve">为准，否则不予认可。</w:t>
      </w:r>
      <w:r>
        <w:rPr>
          <w:rFonts w:hint="eastAsia" w:ascii="宋体" w:hAnsi="宋体" w:eastAsia="宋体"/>
          <w:b/>
          <w:color w:val="000000"/>
          <w:sz w:val="21"/>
          <w:szCs w:val="21"/>
          <w:highlight w:val="none"/>
          <w:lang w:val="en-US"/>
        </w:rPr>
      </w:r>
      <w:r/>
    </w:p>
    <w:p>
      <w:pPr>
        <w:pStyle w:val="1035"/>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6、采购本国产品的支持政策</w:t>
      </w:r>
      <w:r>
        <w:rPr>
          <w:rFonts w:hint="eastAsia" w:ascii="宋体" w:hAnsi="宋体" w:eastAsia="宋体"/>
          <w:b/>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（1）政府采购活动中既有本国产品又有非本国产品参与竞争的，依法对本国产品给予价格评审优惠，对本国产品的报价给予20%的价格扣除，用扣除后的价格参与评审。 </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rPr>
          <w:rFonts w:hint="eastAsia" w:ascii="宋体" w:hAnsi="宋体" w:eastAsia="宋体"/>
          <w:bCs/>
          <w:color w:val="000000"/>
          <w:sz w:val="21"/>
          <w:szCs w:val="21"/>
          <w:highlight w:val="none"/>
          <w:lang w:val="en-US"/>
        </w:rPr>
      </w:r>
      <w:r/>
    </w:p>
    <w:p>
      <w:pPr>
        <w:pStyle w:val="1035"/>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7、除本章另有说明外，所有认证、证明和业绩均以清晰有效的证明文件的复印件为依据。</w:t>
      </w:r>
      <w:r>
        <w:rPr>
          <w:rFonts w:hint="eastAsia" w:ascii="宋体" w:hAnsi="宋体" w:eastAsia="宋体"/>
          <w:b/>
          <w:color w:val="000000"/>
          <w:sz w:val="21"/>
          <w:szCs w:val="21"/>
          <w:highlight w:val="none"/>
          <w:lang w:val="en-US"/>
        </w:rPr>
      </w:r>
      <w:r/>
    </w:p>
    <w:p>
      <w:pPr>
        <w:pStyle w:val="1035"/>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8、上表评标标准适用于本项目所有分包。</w:t>
      </w:r>
      <w:r>
        <w:rPr>
          <w:rFonts w:hint="eastAsia" w:ascii="宋体" w:hAnsi="宋体" w:eastAsia="宋体"/>
          <w:b/>
          <w:color w:val="000000"/>
          <w:sz w:val="21"/>
          <w:szCs w:val="21"/>
          <w:highlight w:val="none"/>
          <w:lang w:val="en-US"/>
        </w:rPr>
      </w:r>
      <w:r/>
    </w:p>
    <w:p>
      <w:pPr>
        <w:pStyle w:val="1035"/>
        <w:jc w:val="center"/>
        <w:spacing w:line="360" w:lineRule="auto"/>
        <w:shd w:val="clear" w:color="auto" w:fill="auto"/>
        <w:tabs>
          <w:tab w:val="left" w:pos="321" w:leader="none"/>
        </w:tabs>
        <w:rPr>
          <w:rFonts w:hint="eastAsia" w:ascii="黑体" w:hAnsi="黑体" w:eastAsia="黑体" w:cs="黑体"/>
          <w:bCs/>
          <w:color w:val="000000"/>
          <w:sz w:val="32"/>
          <w:szCs w:val="32"/>
          <w:highlight w:val="none"/>
        </w:rPr>
        <w:outlineLvl w:val="0"/>
      </w:pPr>
      <w:r>
        <w:rPr>
          <w:rFonts w:ascii="宋体" w:hAnsi="宋体"/>
          <w:b/>
          <w:color w:val="000000"/>
          <w:szCs w:val="21"/>
          <w:highlight w:val="none"/>
        </w:rPr>
        <w:br w:type="page" w:clear="all"/>
      </w:r>
      <w:bookmarkStart w:id="44" w:name="_Toc32256"/>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bookmarkEnd w:id="44"/>
      <w:r>
        <w:rPr>
          <w:rFonts w:hint="eastAsia" w:ascii="黑体" w:hAnsi="黑体" w:eastAsia="黑体" w:cs="黑体"/>
          <w:bCs/>
          <w:color w:val="000000"/>
          <w:sz w:val="32"/>
          <w:szCs w:val="32"/>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color w:val="000000"/>
          <w:sz w:val="21"/>
          <w:szCs w:val="21"/>
          <w:highlight w:val="none"/>
          <w:lang w:val="en-US"/>
        </w:rPr>
        <w:t xml:space="preserve">    </w:t>
      </w:r>
      <w:r>
        <w:rPr>
          <w:rFonts w:hint="eastAsia" w:ascii="宋体" w:hAnsi="宋体" w:eastAsia="宋体"/>
          <w:b/>
          <w:bCs/>
          <w:color w:val="000000"/>
          <w:sz w:val="21"/>
          <w:szCs w:val="21"/>
          <w:highlight w:val="none"/>
        </w:rPr>
        <w:t xml:space="preserve">一、项目名称：</w:t>
      </w:r>
      <w:r>
        <w:rPr>
          <w:rFonts w:hint="eastAsia" w:ascii="宋体" w:hAnsi="宋体" w:eastAsia="宋体"/>
          <w:color w:val="000000"/>
          <w:sz w:val="21"/>
          <w:szCs w:val="21"/>
          <w:highlight w:val="none"/>
        </w:rPr>
        <w:t xml:space="preserve">南京市食品药品监督检验院食品药品检测设备采购一批</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二、项目概况</w:t>
      </w:r>
      <w:r>
        <w:rPr>
          <w:rFonts w:hint="eastAsia"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本项目为南京市食品药品监督检验院食品药品检测设备采购一批采购，项目内容包括但不限于产品设备采购、运输、安装、调试、提供备品备件、专业安装工具直至交付使用通过验收、售后服务等。本项目包括三个分包（采购包1：南京市食品药品监督检验院数控加热型四通道圆盘磁力搅拌器等检测设备采购一批，项目预算及最高限价为</w:t>
      </w:r>
      <w:r>
        <w:rPr>
          <w:rFonts w:ascii="宋体" w:hAnsi="宋体" w:eastAsia="宋体"/>
          <w:color w:val="000000"/>
          <w:sz w:val="21"/>
          <w:szCs w:val="21"/>
          <w:highlight w:val="none"/>
          <w:lang w:val="en-US"/>
        </w:rPr>
        <w:t xml:space="preserve">209.98</w:t>
      </w:r>
      <w:r>
        <w:rPr>
          <w:rFonts w:hint="eastAsia" w:ascii="宋体" w:hAnsi="宋体" w:eastAsia="宋体"/>
          <w:color w:val="000000"/>
          <w:sz w:val="21"/>
          <w:szCs w:val="21"/>
          <w:highlight w:val="none"/>
          <w:lang w:val="en-US"/>
        </w:rPr>
        <w:t xml:space="preserve">万元；采购包2：南京市食品药品监督检验院液相四元梯度泵系统等检测设备采购一批，项目预算及最高限价为</w:t>
      </w:r>
      <w:r>
        <w:rPr>
          <w:rFonts w:ascii="宋体" w:hAnsi="宋体" w:eastAsia="宋体"/>
          <w:color w:val="000000"/>
          <w:sz w:val="21"/>
          <w:szCs w:val="21"/>
          <w:highlight w:val="none"/>
          <w:lang w:val="en-US"/>
        </w:rPr>
        <w:t xml:space="preserve">239.4</w:t>
      </w:r>
      <w:r>
        <w:rPr>
          <w:rFonts w:hint="eastAsia" w:ascii="宋体" w:hAnsi="宋体" w:eastAsia="宋体"/>
          <w:color w:val="000000"/>
          <w:sz w:val="21"/>
          <w:szCs w:val="21"/>
          <w:highlight w:val="none"/>
          <w:lang w:val="en-US"/>
        </w:rPr>
        <w:t xml:space="preserve">万元；采购包3：南京市食品药品监督检验院生物安全柜等检测设备采购一批，项目预算及最高限价为</w:t>
      </w:r>
      <w:r>
        <w:rPr>
          <w:rFonts w:ascii="宋体" w:hAnsi="宋体" w:eastAsia="宋体"/>
          <w:color w:val="000000"/>
          <w:sz w:val="21"/>
          <w:szCs w:val="21"/>
          <w:highlight w:val="none"/>
          <w:lang w:val="en-US"/>
        </w:rPr>
        <w:t xml:space="preserve">507.73</w:t>
      </w:r>
      <w:r>
        <w:rPr>
          <w:rFonts w:hint="eastAsia" w:ascii="宋体" w:hAnsi="宋体" w:eastAsia="宋体"/>
          <w:color w:val="000000"/>
          <w:sz w:val="21"/>
          <w:szCs w:val="21"/>
          <w:highlight w:val="none"/>
          <w:lang w:val="en-US"/>
        </w:rPr>
        <w:t xml:space="preserve">万元），具体采购产品清单如下：</w:t>
      </w:r>
      <w:r>
        <w:rPr>
          <w:rFonts w:hint="eastAsia" w:ascii="宋体" w:hAnsi="宋体" w:eastAsia="宋体"/>
          <w:color w:val="000000"/>
          <w:sz w:val="21"/>
          <w:szCs w:val="21"/>
          <w:highlight w:val="none"/>
          <w:lang w:val="en-US"/>
        </w:rPr>
      </w:r>
      <w:r/>
    </w:p>
    <w:p>
      <w:pPr>
        <w:pStyle w:val="1039"/>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一</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u w:val="single"/>
        </w:rPr>
        <w:t xml:space="preserve">采购包1：南京市食品药品监督检验院数控加热型四通道圆盘磁力搅拌器等检测设备采购一批，项目预算及最高限价为209.98万元</w:t>
      </w:r>
      <w:r>
        <w:rPr>
          <w:rFonts w:hint="eastAsia" w:ascii="宋体" w:hAnsi="宋体" w:eastAsia="宋体"/>
          <w:color w:val="000000"/>
          <w:sz w:val="21"/>
          <w:szCs w:val="21"/>
          <w:highlight w:val="none"/>
          <w:u w:val="single"/>
        </w:rPr>
      </w:r>
      <w:r/>
    </w:p>
    <w:tbl>
      <w:tblPr>
        <w:tblW w:w="10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3556"/>
        <w:gridCol w:w="753"/>
        <w:gridCol w:w="723"/>
        <w:gridCol w:w="2008"/>
        <w:gridCol w:w="1179"/>
        <w:gridCol w:w="1633"/>
      </w:tblGrid>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序号</w:t>
            </w:r>
            <w:r>
              <w:rPr>
                <w:rFonts w:hint="eastAsia" w:ascii="宋体" w:hAnsi="宋体" w:eastAsia="宋体"/>
                <w:color w:val="000000"/>
                <w:sz w:val="21"/>
                <w:szCs w:val="21"/>
                <w:highlight w:val="none"/>
              </w:rPr>
            </w:r>
            <w:r/>
          </w:p>
        </w:tc>
        <w:tc>
          <w:tcPr>
            <w:tcW w:w="3556"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采购产品名称</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单位</w:t>
            </w:r>
            <w:r>
              <w:rPr>
                <w:rFonts w:hint="eastAsia" w:ascii="宋体" w:hAnsi="宋体" w:eastAsia="宋体"/>
                <w:color w:val="000000"/>
                <w:sz w:val="21"/>
                <w:szCs w:val="21"/>
                <w:highlight w:val="none"/>
              </w:rPr>
            </w:r>
            <w:r/>
          </w:p>
        </w:tc>
        <w:tc>
          <w:tcPr>
            <w:tcW w:w="72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数量</w:t>
            </w:r>
            <w:r>
              <w:rPr>
                <w:rFonts w:hint="eastAsia" w:ascii="宋体" w:hAnsi="宋体" w:eastAsia="宋体"/>
                <w:color w:val="000000"/>
                <w:sz w:val="21"/>
                <w:szCs w:val="21"/>
                <w:highlight w:val="none"/>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是否接受进口产品</w:t>
            </w: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产品属性</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所属行业类型</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数控加热型四通道圆盘磁力搅拌器</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冰箱</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冷藏冰箱</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冷藏冷冻箱</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电子天平（0.001g）</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电子天平（0.01g）</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便携式pH计</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恒温混匀仪</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手提式紫外分析仪</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67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lang w:val="en-US"/>
              </w:rPr>
            </w:r>
            <w:r/>
          </w:p>
        </w:tc>
        <w:tc>
          <w:tcPr>
            <w:tcW w:w="3556"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基质辅助激光解吸附电离飞行时间质谱仪</w:t>
            </w:r>
            <w:r>
              <w:rPr>
                <w:rFonts w:hint="eastAsia" w:ascii="宋体" w:hAnsi="宋体" w:eastAsia="宋体"/>
                <w:color w:val="000000"/>
                <w:sz w:val="21"/>
                <w:szCs w:val="21"/>
                <w:highlight w:val="none"/>
              </w:rPr>
            </w:r>
            <w:r/>
          </w:p>
        </w:tc>
        <w:tc>
          <w:tcPr>
            <w:tcW w:w="75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0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79"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63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bl>
    <w:p>
      <w:pPr>
        <w:pStyle w:val="1039"/>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9"/>
        <w:shd w:val="clear" w:color="auto" w:fill="auto"/>
        <w:rPr>
          <w:rFonts w:eastAsia="宋体"/>
          <w:color w:val="000000"/>
          <w:highlight w:val="none"/>
          <w:u w:val="single"/>
        </w:rPr>
      </w:pPr>
      <w:r>
        <w:rPr>
          <w:rFonts w:hint="eastAsia" w:ascii="宋体" w:hAnsi="宋体" w:eastAsia="宋体"/>
          <w:color w:val="000000"/>
          <w:sz w:val="21"/>
          <w:szCs w:val="21"/>
          <w:highlight w:val="none"/>
        </w:rPr>
        <w:t xml:space="preserve">（二）</w:t>
      </w:r>
      <w:r>
        <w:rPr>
          <w:rFonts w:hint="eastAsia" w:ascii="宋体" w:hAnsi="宋体" w:eastAsia="宋体"/>
          <w:color w:val="000000"/>
          <w:sz w:val="21"/>
          <w:szCs w:val="21"/>
          <w:highlight w:val="none"/>
          <w:u w:val="single"/>
        </w:rPr>
        <w:t xml:space="preserve">采购包2：南京市食品药品监督检验院液相四元梯度泵系统等检测设备采购一批，项目预算及最高限价239.4万元</w:t>
      </w:r>
      <w:r>
        <w:rPr>
          <w:rFonts w:eastAsia="宋体"/>
          <w:color w:val="000000"/>
          <w:highlight w:val="none"/>
          <w:u w:val="single"/>
        </w:rPr>
      </w:r>
      <w:r/>
    </w:p>
    <w:tbl>
      <w:tblPr>
        <w:tblW w:w="10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082"/>
        <w:gridCol w:w="868"/>
        <w:gridCol w:w="720"/>
        <w:gridCol w:w="2103"/>
        <w:gridCol w:w="1157"/>
        <w:gridCol w:w="1536"/>
      </w:tblGrid>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序号</w:t>
            </w:r>
            <w:r>
              <w:rPr>
                <w:rFonts w:hint="eastAsia" w:ascii="宋体" w:hAnsi="宋体" w:eastAsia="宋体"/>
                <w:color w:val="000000"/>
                <w:sz w:val="21"/>
                <w:szCs w:val="21"/>
                <w:highlight w:val="none"/>
              </w:rPr>
            </w:r>
            <w:r/>
          </w:p>
        </w:tc>
        <w:tc>
          <w:tcPr>
            <w:tcW w:w="3082"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采购产品名称</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单位</w:t>
            </w:r>
            <w:r>
              <w:rPr>
                <w:rFonts w:hint="eastAsia" w:ascii="宋体" w:hAnsi="宋体" w:eastAsia="宋体"/>
                <w:color w:val="000000"/>
                <w:sz w:val="21"/>
                <w:szCs w:val="21"/>
                <w:highlight w:val="none"/>
              </w:rPr>
            </w:r>
            <w:r/>
          </w:p>
        </w:tc>
        <w:tc>
          <w:tcPr>
            <w:tcW w:w="720"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数量</w:t>
            </w:r>
            <w:r>
              <w:rPr>
                <w:rFonts w:hint="eastAsia" w:ascii="宋体" w:hAnsi="宋体" w:eastAsia="宋体"/>
                <w:color w:val="000000"/>
                <w:sz w:val="21"/>
                <w:szCs w:val="21"/>
                <w:highlight w:val="none"/>
              </w:rPr>
            </w:r>
            <w:r/>
          </w:p>
        </w:tc>
        <w:tc>
          <w:tcPr>
            <w:tcW w:w="21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是否接受进口产品</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产品属性</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所属行业类型</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液相四元梯度泵系统</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套</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10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原子荧光分光光度计</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10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气相程序升温进样口</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个</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10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氢气发生器</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阴离子合成洗涤剂专用萃取仪</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智能水浴冷凝回流提取仪</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薄层扫描仪</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11"/>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高效液相色谱仪</w:t>
            </w:r>
            <w:r>
              <w:rPr>
                <w:rFonts w:hint="eastAsia" w:ascii="宋体" w:hAnsi="宋体" w:eastAsia="宋体"/>
                <w:color w:val="000000"/>
                <w:sz w:val="21"/>
                <w:szCs w:val="21"/>
                <w:highlight w:val="none"/>
                <w:lang w:val="en-US"/>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val="en-US" w:eastAsia="zh-CN"/>
              </w:rPr>
            </w:r>
            <w:r/>
          </w:p>
        </w:tc>
        <w:tc>
          <w:tcPr>
            <w:tcW w:w="210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20"/>
        </w:trPr>
        <w:tc>
          <w:tcPr>
            <w:tcW w:w="70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r>
            <w:r/>
          </w:p>
        </w:tc>
        <w:tc>
          <w:tcPr>
            <w:tcW w:w="3082"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磁力搅拌器</w:t>
            </w:r>
            <w:r>
              <w:rPr>
                <w:rFonts w:hint="eastAsia" w:ascii="宋体" w:hAnsi="宋体" w:eastAsia="宋体"/>
                <w:color w:val="000000"/>
                <w:sz w:val="21"/>
                <w:szCs w:val="21"/>
                <w:highlight w:val="none"/>
              </w:rPr>
            </w:r>
            <w:r/>
          </w:p>
        </w:tc>
        <w:tc>
          <w:tcPr>
            <w:tcW w:w="868"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3</w:t>
            </w:r>
            <w:r>
              <w:rPr>
                <w:rFonts w:hint="eastAsia" w:ascii="宋体" w:hAnsi="宋体" w:eastAsia="宋体"/>
                <w:color w:val="000000"/>
                <w:sz w:val="21"/>
                <w:szCs w:val="21"/>
                <w:highlight w:val="none"/>
                <w:lang w:val="en-US"/>
              </w:rPr>
            </w:r>
            <w:r/>
          </w:p>
        </w:tc>
        <w:tc>
          <w:tcPr>
            <w:tcW w:w="2103" w:type="dxa"/>
            <w:vAlign w:val="center"/>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03" w:type="dxa"/>
            <w:vAlign w:val="center"/>
            <w:textDirection w:val="lrTb"/>
            <w:noWrap w:val="false"/>
          </w:tcPr>
          <w:p>
            <w:pPr>
              <w:pStyle w:val="1035"/>
              <w:jc w:val="center"/>
              <w:spacing w:line="360" w:lineRule="auto"/>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3082"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高速离心机</w:t>
            </w:r>
            <w:r>
              <w:rPr>
                <w:rFonts w:hint="eastAsia" w:ascii="宋体" w:hAnsi="宋体" w:eastAsia="宋体"/>
                <w:color w:val="000000"/>
                <w:sz w:val="21"/>
                <w:szCs w:val="21"/>
                <w:highlight w:val="none"/>
              </w:rPr>
            </w:r>
            <w:r/>
          </w:p>
        </w:tc>
        <w:tc>
          <w:tcPr>
            <w:tcW w:w="868"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103"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03" w:type="dxa"/>
            <w:vAlign w:val="center"/>
            <w:textDirection w:val="lrTb"/>
            <w:noWrap w:val="false"/>
          </w:tcPr>
          <w:p>
            <w:pPr>
              <w:pStyle w:val="1035"/>
              <w:jc w:val="center"/>
              <w:spacing w:line="360" w:lineRule="auto"/>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11</w:t>
            </w:r>
            <w:r>
              <w:rPr>
                <w:rFonts w:ascii="宋体" w:hAnsi="宋体" w:eastAsia="宋体"/>
                <w:color w:val="000000"/>
                <w:sz w:val="21"/>
                <w:szCs w:val="21"/>
                <w:highlight w:val="none"/>
                <w:lang w:val="en-US" w:eastAsia="zh-CN"/>
              </w:rPr>
            </w:r>
            <w:r/>
          </w:p>
        </w:tc>
        <w:tc>
          <w:tcPr>
            <w:tcW w:w="3082"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数控高速切条机</w:t>
            </w:r>
            <w:r>
              <w:rPr>
                <w:rFonts w:hint="eastAsia" w:ascii="宋体" w:hAnsi="宋体" w:eastAsia="宋体"/>
                <w:color w:val="000000"/>
                <w:sz w:val="21"/>
                <w:szCs w:val="21"/>
                <w:highlight w:val="none"/>
              </w:rPr>
            </w:r>
            <w:r/>
          </w:p>
        </w:tc>
        <w:tc>
          <w:tcPr>
            <w:tcW w:w="868"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03" w:type="dxa"/>
            <w:vAlign w:val="center"/>
            <w:textDirection w:val="lrTb"/>
            <w:noWrap w:val="false"/>
          </w:tcPr>
          <w:p>
            <w:pPr>
              <w:pStyle w:val="1035"/>
              <w:jc w:val="center"/>
              <w:spacing w:line="360" w:lineRule="auto"/>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12</w:t>
            </w:r>
            <w:r>
              <w:rPr>
                <w:rFonts w:ascii="宋体" w:hAnsi="宋体" w:eastAsia="宋体"/>
                <w:color w:val="000000"/>
                <w:sz w:val="21"/>
                <w:szCs w:val="21"/>
                <w:highlight w:val="none"/>
                <w:lang w:val="en-US" w:eastAsia="zh-CN"/>
              </w:rPr>
            </w:r>
            <w:r/>
          </w:p>
        </w:tc>
        <w:tc>
          <w:tcPr>
            <w:tcW w:w="3082"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荧光定量快速检测仪</w:t>
            </w:r>
            <w:r>
              <w:rPr>
                <w:rFonts w:hint="eastAsia" w:ascii="宋体" w:hAnsi="宋体" w:eastAsia="宋体"/>
                <w:color w:val="000000"/>
                <w:sz w:val="21"/>
                <w:szCs w:val="21"/>
                <w:highlight w:val="none"/>
              </w:rPr>
            </w:r>
            <w:r/>
          </w:p>
        </w:tc>
        <w:tc>
          <w:tcPr>
            <w:tcW w:w="868"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7"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36"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rHeight w:val="420"/>
        </w:trPr>
        <w:tc>
          <w:tcPr>
            <w:tcW w:w="703" w:type="dxa"/>
            <w:vAlign w:val="center"/>
            <w:textDirection w:val="lrTb"/>
            <w:noWrap w:val="false"/>
          </w:tcPr>
          <w:p>
            <w:pPr>
              <w:pStyle w:val="1035"/>
              <w:jc w:val="center"/>
              <w:spacing w:line="360" w:lineRule="auto"/>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13</w:t>
            </w:r>
            <w:r>
              <w:rPr>
                <w:rFonts w:ascii="宋体" w:hAnsi="宋体" w:eastAsia="宋体"/>
                <w:color w:val="000000"/>
                <w:sz w:val="21"/>
                <w:szCs w:val="21"/>
                <w:highlight w:val="none"/>
                <w:lang w:val="en-US" w:eastAsia="zh-CN"/>
              </w:rPr>
            </w:r>
            <w:r/>
          </w:p>
        </w:tc>
        <w:tc>
          <w:tcPr>
            <w:tcW w:w="3082"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烘箱</w:t>
            </w:r>
            <w:r>
              <w:rPr>
                <w:rFonts w:hint="eastAsia" w:ascii="宋体" w:hAnsi="宋体" w:eastAsia="宋体"/>
                <w:color w:val="000000"/>
                <w:sz w:val="21"/>
                <w:szCs w:val="21"/>
                <w:highlight w:val="none"/>
              </w:rPr>
            </w:r>
            <w:r/>
          </w:p>
        </w:tc>
        <w:tc>
          <w:tcPr>
            <w:tcW w:w="868"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20"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103"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7"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36"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bl>
    <w:p>
      <w:pPr>
        <w:pStyle w:val="1039"/>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9"/>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三</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采购包</w:t>
      </w:r>
      <w:r>
        <w:rPr>
          <w:rFonts w:hint="eastAsia" w:ascii="宋体" w:hAnsi="宋体" w:eastAsia="宋体"/>
          <w:color w:val="000000"/>
          <w:sz w:val="21"/>
          <w:szCs w:val="21"/>
          <w:highlight w:val="none"/>
          <w:u w:val="single"/>
          <w:lang w:val="en-US" w:eastAsia="zh-CN"/>
        </w:rPr>
        <w:t xml:space="preserve">3</w:t>
      </w:r>
      <w:r>
        <w:rPr>
          <w:rFonts w:hint="eastAsia" w:ascii="宋体" w:hAnsi="宋体" w:eastAsia="宋体"/>
          <w:color w:val="000000"/>
          <w:sz w:val="21"/>
          <w:szCs w:val="21"/>
          <w:highlight w:val="none"/>
          <w:u w:val="single"/>
        </w:rPr>
        <w:t xml:space="preserve">：南京市食品药品监督检验院生物安全柜等检测设备采购一批，项目预算及最高限价</w:t>
      </w:r>
      <w:r>
        <w:rPr>
          <w:rFonts w:ascii="宋体" w:hAnsi="宋体" w:eastAsia="宋体"/>
          <w:color w:val="000000"/>
          <w:sz w:val="21"/>
          <w:szCs w:val="21"/>
          <w:highlight w:val="none"/>
          <w:u w:val="single"/>
        </w:rPr>
        <w:t xml:space="preserve">507.73</w:t>
      </w:r>
      <w:r>
        <w:rPr>
          <w:rFonts w:hint="eastAsia" w:ascii="宋体" w:hAnsi="宋体" w:eastAsia="宋体"/>
          <w:color w:val="000000"/>
          <w:sz w:val="21"/>
          <w:szCs w:val="21"/>
          <w:highlight w:val="none"/>
          <w:u w:val="single"/>
        </w:rPr>
        <w:t xml:space="preserve">万元</w:t>
      </w:r>
      <w:r>
        <w:rPr>
          <w:rFonts w:hint="eastAsia" w:ascii="宋体" w:hAnsi="宋体" w:eastAsia="宋体"/>
          <w:color w:val="000000"/>
          <w:sz w:val="21"/>
          <w:szCs w:val="21"/>
          <w:highlight w:val="none"/>
        </w:rPr>
      </w:r>
      <w:r/>
    </w:p>
    <w:tbl>
      <w:tblPr>
        <w:tblW w:w="10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3039"/>
        <w:gridCol w:w="934"/>
        <w:gridCol w:w="767"/>
        <w:gridCol w:w="2084"/>
        <w:gridCol w:w="1152"/>
        <w:gridCol w:w="1573"/>
      </w:tblGrid>
      <w:tr>
        <w:trPr>
          <w:trHeight w:val="469"/>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序号</w:t>
            </w:r>
            <w:r>
              <w:rPr>
                <w:rFonts w:hint="eastAsia" w:ascii="宋体" w:hAnsi="宋体" w:eastAsia="宋体"/>
                <w:color w:val="000000"/>
                <w:sz w:val="21"/>
                <w:szCs w:val="21"/>
                <w:highlight w:val="none"/>
              </w:rPr>
            </w:r>
            <w:r/>
          </w:p>
        </w:tc>
        <w:tc>
          <w:tcPr>
            <w:tcW w:w="3039"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采购产品名称</w:t>
            </w:r>
            <w:r>
              <w:rPr>
                <w:rFonts w:hint="eastAsia" w:ascii="宋体" w:hAnsi="宋体" w:eastAsia="宋体"/>
                <w:color w:val="000000"/>
                <w:sz w:val="21"/>
                <w:szCs w:val="21"/>
                <w:highlight w:val="none"/>
              </w:rPr>
            </w:r>
            <w:r/>
          </w:p>
        </w:tc>
        <w:tc>
          <w:tcPr>
            <w:tcW w:w="93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单位</w:t>
            </w:r>
            <w:r>
              <w:rPr>
                <w:rFonts w:hint="eastAsia" w:ascii="宋体" w:hAnsi="宋体" w:eastAsia="宋体"/>
                <w:color w:val="000000"/>
                <w:sz w:val="21"/>
                <w:szCs w:val="21"/>
                <w:highlight w:val="none"/>
              </w:rPr>
            </w:r>
            <w:r/>
          </w:p>
        </w:tc>
        <w:tc>
          <w:tcPr>
            <w:tcW w:w="767"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数量</w:t>
            </w:r>
            <w:r>
              <w:rPr>
                <w:rFonts w:hint="eastAsia" w:ascii="宋体" w:hAnsi="宋体" w:eastAsia="宋体"/>
                <w:color w:val="000000"/>
                <w:sz w:val="21"/>
                <w:szCs w:val="21"/>
                <w:highlight w:val="none"/>
              </w:rPr>
            </w:r>
            <w:r/>
          </w:p>
        </w:tc>
        <w:tc>
          <w:tcPr>
            <w:tcW w:w="2084"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是否接受进口产品</w:t>
            </w: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产品属性</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所属行业类型</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生物安全柜</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两孔位干式细胞复苏仪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多腔室微球制备仪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活细胞实时监测分析系统软件</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套</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tabs>
                <w:tab w:val="center" w:pos="535" w:leader="none"/>
                <w:tab w:val="right" w:pos="1191" w:leader="none"/>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微生物快速富集系统</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单细胞测序建库系统</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微生物培养摇床</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超微量分光光度计</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加热制冷振荡恒温金属浴</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固定转速混匀仪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迷你金属浴</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移动式的紫外消毒车</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数控型圆盘旋转混匀仪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核酸自动提取仪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生信分析系统</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高压灭菌锅</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半导体低温恒温培养箱</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18</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组织破碎仪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荧光分光光度计</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液相色谱仪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高效液相色谱仪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傅利叶变换红外光谱仪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智能高纯石墨精密电热板</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3</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超声仪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三用暗箱式紫外分析仪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紫外分光光度计</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电热板</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28</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冻干机</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29</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手提式便捷紫外分析仪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30</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磁力搅拌器</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台</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电动移液枪</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把</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12</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单道移液器</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把</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14</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jc w:val="center"/>
              <w:shd w:val="clear" w:color="auto" w:fill="auto"/>
              <w:widowControl/>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接受</w:t>
            </w: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color w:val="000000"/>
                <w:sz w:val="21"/>
                <w:szCs w:val="21"/>
                <w:highlight w:val="none"/>
                <w:lang w:val="en-US"/>
              </w:rPr>
            </w:r>
            <w:r/>
          </w:p>
        </w:tc>
        <w:tc>
          <w:tcPr>
            <w:tcW w:w="1573" w:type="dxa"/>
            <w:vAlign w:val="center"/>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lang w:val="en-US"/>
              </w:rPr>
            </w:r>
            <w:r/>
          </w:p>
        </w:tc>
      </w:tr>
      <w:tr>
        <w:trPr/>
        <w:tc>
          <w:tcPr>
            <w:tcW w:w="71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r>
            <w:r/>
          </w:p>
        </w:tc>
        <w:tc>
          <w:tcPr>
            <w:tcW w:w="3039"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电动铝塑压盖器</w:t>
            </w:r>
            <w:r>
              <w:rPr>
                <w:rFonts w:hint="eastAsia" w:ascii="宋体" w:hAnsi="宋体" w:eastAsia="宋体"/>
                <w:color w:val="000000"/>
                <w:sz w:val="21"/>
                <w:szCs w:val="21"/>
                <w:highlight w:val="none"/>
              </w:rPr>
            </w:r>
            <w:r/>
          </w:p>
        </w:tc>
        <w:tc>
          <w:tcPr>
            <w:tcW w:w="934"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个</w:t>
            </w:r>
            <w:r>
              <w:rPr>
                <w:rFonts w:hint="eastAsia" w:ascii="宋体" w:hAnsi="宋体" w:eastAsia="宋体"/>
                <w:color w:val="000000"/>
                <w:sz w:val="21"/>
                <w:szCs w:val="21"/>
                <w:highlight w:val="none"/>
                <w:lang w:val="en-US"/>
              </w:rPr>
            </w:r>
            <w:r/>
          </w:p>
        </w:tc>
        <w:tc>
          <w:tcPr>
            <w:tcW w:w="767" w:type="dxa"/>
            <w:vAlign w:val="bottom"/>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1</w:t>
            </w:r>
            <w:r>
              <w:rPr>
                <w:rFonts w:hint="eastAsia" w:ascii="宋体" w:hAnsi="宋体" w:eastAsia="宋体"/>
                <w:color w:val="000000"/>
                <w:sz w:val="21"/>
                <w:szCs w:val="21"/>
                <w:highlight w:val="none"/>
                <w:lang w:val="en-US"/>
              </w:rPr>
            </w:r>
            <w:r/>
          </w:p>
        </w:tc>
        <w:tc>
          <w:tcPr>
            <w:tcW w:w="2084" w:type="dxa"/>
            <w:vAlign w:val="bottom"/>
            <w:textDirection w:val="lrTb"/>
            <w:noWrap w:val="false"/>
          </w:tcPr>
          <w:p>
            <w:pPr>
              <w:pStyle w:val="1035"/>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u w:val="single"/>
                <w:lang w:val="en-US"/>
              </w:rPr>
            </w:r>
            <w:r/>
          </w:p>
        </w:tc>
        <w:tc>
          <w:tcPr>
            <w:tcW w:w="1152"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货物类</w:t>
            </w:r>
            <w:r>
              <w:rPr>
                <w:rFonts w:hint="eastAsia" w:ascii="宋体" w:hAnsi="宋体" w:eastAsia="宋体"/>
                <w:b/>
                <w:bCs/>
                <w:color w:val="000000"/>
                <w:sz w:val="21"/>
                <w:szCs w:val="21"/>
                <w:highlight w:val="none"/>
                <w:u w:val="single"/>
                <w:lang w:val="en-US"/>
              </w:rPr>
            </w:r>
            <w:r/>
          </w:p>
        </w:tc>
        <w:tc>
          <w:tcPr>
            <w:tcW w:w="1573"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color w:val="000000"/>
                <w:sz w:val="21"/>
                <w:szCs w:val="21"/>
                <w:highlight w:val="none"/>
                <w:lang w:val="en-US"/>
              </w:rPr>
              <w:t xml:space="preserve">工业</w:t>
            </w:r>
            <w:r>
              <w:rPr>
                <w:rFonts w:hint="eastAsia" w:ascii="宋体" w:hAnsi="宋体" w:eastAsia="宋体"/>
                <w:b/>
                <w:bCs/>
                <w:color w:val="000000"/>
                <w:sz w:val="21"/>
                <w:szCs w:val="21"/>
                <w:highlight w:val="none"/>
                <w:u w:val="single"/>
                <w:lang w:val="en-US"/>
              </w:rPr>
            </w:r>
            <w:r/>
          </w:p>
        </w:tc>
      </w:tr>
    </w:tbl>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35"/>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说明：</w:t>
      </w:r>
      <w:r>
        <w:rPr>
          <w:rFonts w:hint="eastAsia" w:ascii="宋体" w:hAnsi="宋体" w:eastAsia="宋体"/>
          <w:b/>
          <w:color w:val="000000"/>
          <w:sz w:val="21"/>
          <w:szCs w:val="21"/>
          <w:highlight w:val="none"/>
          <w:lang w:val="en-US"/>
        </w:rPr>
      </w:r>
      <w:r/>
    </w:p>
    <w:p>
      <w:pPr>
        <w:pStyle w:val="1065"/>
        <w:ind w:firstLine="422"/>
        <w:spacing w:line="360" w:lineRule="auto"/>
        <w:shd w:val="clear" w:color="auto" w:fill="auto"/>
        <w:rPr>
          <w:rFonts w:hint="eastAsia"/>
          <w:b/>
          <w:color w:val="000000"/>
          <w:highlight w:val="none"/>
        </w:rPr>
      </w:pPr>
      <w:r>
        <w:rPr>
          <w:rFonts w:hint="eastAsia" w:ascii="宋体" w:hAnsi="宋体"/>
          <w:b/>
          <w:color w:val="000000"/>
          <w:szCs w:val="21"/>
          <w:highlight w:val="none"/>
        </w:rPr>
        <w:t xml:space="preserve">1、采购设备清单中的“</w:t>
      </w:r>
      <w:r>
        <w:rPr>
          <w:rFonts w:hint="eastAsia" w:ascii="宋体" w:hAnsi="宋体"/>
          <w:b/>
          <w:color w:val="000000"/>
          <w:szCs w:val="21"/>
          <w:highlight w:val="none"/>
          <w:u w:val="single"/>
        </w:rPr>
        <w:t xml:space="preserve">（采购包</w:t>
      </w:r>
      <w:r>
        <w:rPr>
          <w:rFonts w:hint="eastAsia" w:ascii="宋体" w:hAnsi="宋体"/>
          <w:b/>
          <w:color w:val="000000"/>
          <w:szCs w:val="21"/>
          <w:highlight w:val="none"/>
          <w:u w:val="single"/>
          <w:lang w:val="en-US" w:eastAsia="zh-CN"/>
        </w:rPr>
        <w:t xml:space="preserve">1</w:t>
      </w:r>
      <w:r>
        <w:rPr>
          <w:rFonts w:hint="eastAsia" w:ascii="宋体" w:hAnsi="宋体"/>
          <w:b/>
          <w:color w:val="000000"/>
          <w:szCs w:val="21"/>
          <w:highlight w:val="none"/>
          <w:u w:val="single"/>
        </w:rPr>
        <w:t xml:space="preserve">）</w:t>
      </w:r>
      <w:r>
        <w:rPr>
          <w:rFonts w:ascii="宋体" w:hAnsi="宋体"/>
          <w:b/>
          <w:color w:val="000000"/>
          <w:szCs w:val="21"/>
          <w:highlight w:val="none"/>
          <w:u w:val="single"/>
        </w:rPr>
        <w:t xml:space="preserve">基质辅助激光解吸附电离飞行时间质谱仪</w:t>
      </w:r>
      <w:r>
        <w:rPr>
          <w:rFonts w:hint="eastAsia" w:ascii="宋体" w:hAnsi="宋体"/>
          <w:b/>
          <w:color w:val="000000"/>
          <w:szCs w:val="21"/>
          <w:highlight w:val="none"/>
          <w:u w:val="none"/>
          <w:lang w:eastAsia="zh-CN"/>
        </w:rPr>
        <w:t xml:space="preserve">、</w:t>
      </w:r>
      <w:r>
        <w:rPr>
          <w:rFonts w:hint="eastAsia" w:ascii="宋体" w:hAnsi="宋体"/>
          <w:b/>
          <w:color w:val="000000"/>
          <w:szCs w:val="21"/>
          <w:highlight w:val="none"/>
          <w:u w:val="single"/>
        </w:rPr>
        <w:t xml:space="preserve">（</w:t>
      </w:r>
      <w:r>
        <w:rPr>
          <w:rFonts w:hint="eastAsia" w:ascii="宋体" w:hAnsi="宋体" w:cs="宋体"/>
          <w:b/>
          <w:color w:val="000000"/>
          <w:szCs w:val="21"/>
          <w:highlight w:val="none"/>
          <w:u w:val="single"/>
        </w:rPr>
        <w:t xml:space="preserve">采购包2）</w:t>
      </w:r>
      <w:r>
        <w:rPr>
          <w:rFonts w:hint="eastAsia" w:ascii="宋体" w:hAnsi="宋体" w:cs="宋体"/>
          <w:b/>
          <w:color w:val="000000"/>
          <w:highlight w:val="none"/>
          <w:u w:val="single"/>
        </w:rPr>
        <w:t xml:space="preserve">高效液相色谱仪</w:t>
      </w:r>
      <w:r>
        <w:rPr>
          <w:rFonts w:hint="eastAsia" w:ascii="宋体" w:hAnsi="宋体" w:cs="宋体"/>
          <w:b/>
          <w:color w:val="000000"/>
          <w:highlight w:val="none"/>
          <w:u w:val="none"/>
          <w:lang w:eastAsia="zh-CN"/>
        </w:rPr>
        <w:t xml:space="preserve">、</w:t>
      </w:r>
      <w:r>
        <w:rPr>
          <w:rFonts w:hint="eastAsia" w:ascii="宋体" w:hAnsi="宋体"/>
          <w:b/>
          <w:color w:val="000000"/>
          <w:szCs w:val="21"/>
          <w:highlight w:val="none"/>
          <w:u w:val="single"/>
        </w:rPr>
        <w:t xml:space="preserve">（采购包</w:t>
      </w:r>
      <w:r>
        <w:rPr>
          <w:rFonts w:hint="eastAsia" w:ascii="宋体" w:hAnsi="宋体"/>
          <w:b/>
          <w:color w:val="000000"/>
          <w:szCs w:val="21"/>
          <w:highlight w:val="none"/>
          <w:u w:val="single"/>
          <w:lang w:val="en-US" w:eastAsia="zh-CN"/>
        </w:rPr>
        <w:t xml:space="preserve">3</w:t>
      </w:r>
      <w:r>
        <w:rPr>
          <w:rFonts w:hint="eastAsia" w:ascii="宋体" w:hAnsi="宋体"/>
          <w:b/>
          <w:color w:val="000000"/>
          <w:szCs w:val="21"/>
          <w:highlight w:val="none"/>
          <w:u w:val="single"/>
        </w:rPr>
        <w:t xml:space="preserve">）</w:t>
      </w:r>
      <w:r>
        <w:rPr>
          <w:rFonts w:ascii="宋体" w:hAnsi="宋体"/>
          <w:b/>
          <w:color w:val="000000"/>
          <w:szCs w:val="21"/>
          <w:highlight w:val="none"/>
          <w:u w:val="single"/>
        </w:rPr>
        <w:t xml:space="preserve">单细胞测序建库系统</w:t>
      </w:r>
      <w:r>
        <w:rPr>
          <w:rFonts w:hint="eastAsia" w:ascii="宋体" w:hAnsi="宋体"/>
          <w:b/>
          <w:color w:val="000000"/>
          <w:szCs w:val="21"/>
          <w:highlight w:val="none"/>
        </w:rPr>
        <w:t xml:space="preserve">”为本项目核心产品。</w:t>
      </w:r>
      <w:r>
        <w:rPr>
          <w:rFonts w:hint="eastAsia"/>
          <w:b/>
          <w:color w:val="000000"/>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lang w:val="en-US"/>
        </w:rPr>
        <w:t xml:space="preserve">2、核心产品评审说明：多家供应商提供的核心产品品牌相同的，按一家供应商计算，</w:t>
      </w:r>
      <w:r>
        <w:rPr>
          <w:rFonts w:hint="eastAsia" w:ascii="宋体" w:hAnsi="宋体" w:eastAsia="宋体"/>
          <w:color w:val="000000"/>
          <w:sz w:val="21"/>
          <w:szCs w:val="21"/>
          <w:highlight w:val="none"/>
        </w:rPr>
        <w:t xml:space="preserve">评审后得分最高的同品牌供应商获得中标人推荐资格。</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color w:val="000000"/>
          <w:sz w:val="21"/>
          <w:szCs w:val="21"/>
          <w:highlight w:val="none"/>
          <w:lang w:val="en-US"/>
        </w:rPr>
        <w:t xml:space="preserve">3、如某分包有四家</w:t>
      </w:r>
      <w:r>
        <w:rPr>
          <w:rFonts w:hint="eastAsia" w:ascii="宋体" w:hAnsi="宋体" w:eastAsia="宋体"/>
          <w:color w:val="000000"/>
          <w:sz w:val="21"/>
          <w:szCs w:val="21"/>
          <w:highlight w:val="none"/>
        </w:rPr>
        <w:t xml:space="preserve">通过资格性审查、符合性审查的不同</w:t>
      </w:r>
      <w:r>
        <w:rPr>
          <w:rFonts w:hint="eastAsia" w:ascii="宋体" w:hAnsi="宋体" w:eastAsia="宋体"/>
          <w:color w:val="000000"/>
          <w:sz w:val="21"/>
          <w:szCs w:val="21"/>
          <w:highlight w:val="none"/>
          <w:lang w:val="en-US"/>
        </w:rPr>
        <w:t xml:space="preserve">供应商参与投标，有三家供应商所投核心产品均为同一品牌的，则实际投标产品品牌仅有两个，故有效供应商仅有两家，即实质性响应招标文件的供应商不足三家，该分包废标。</w:t>
      </w:r>
      <w:r>
        <w:rPr>
          <w:rFonts w:hint="eastAsia" w:ascii="宋体" w:hAnsi="宋体" w:eastAsia="宋体"/>
          <w:bCs/>
          <w:color w:val="000000"/>
          <w:sz w:val="21"/>
          <w:szCs w:val="21"/>
          <w:highlight w:val="none"/>
          <w:lang w:val="en-US"/>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color w:val="000000"/>
          <w:sz w:val="21"/>
          <w:szCs w:val="21"/>
          <w:highlight w:val="none"/>
        </w:rPr>
        <w:t xml:space="preserve">三、采购标的需实现的功能及标准、规范：</w:t>
      </w:r>
      <w:r>
        <w:rPr>
          <w:rFonts w:hint="eastAsia" w:ascii="宋体" w:hAnsi="宋体" w:eastAsia="宋体"/>
          <w:color w:val="000000"/>
          <w:sz w:val="21"/>
          <w:szCs w:val="21"/>
          <w:highlight w:val="none"/>
        </w:rPr>
        <w:t xml:space="preserve">采购标的需执行国家标准、行业标准、地方标准或者其他标准、规范。</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四、采购设备技术</w:t>
      </w:r>
      <w:r>
        <w:rPr>
          <w:rFonts w:hint="eastAsia" w:ascii="宋体" w:hAnsi="宋体" w:eastAsia="宋体"/>
          <w:b/>
          <w:color w:val="000000"/>
          <w:sz w:val="21"/>
          <w:szCs w:val="21"/>
          <w:highlight w:val="none"/>
          <w:lang w:val="en-US"/>
        </w:rPr>
        <w:t xml:space="preserve">指标等</w:t>
      </w:r>
      <w:r>
        <w:rPr>
          <w:rFonts w:hint="eastAsia" w:ascii="宋体" w:hAnsi="宋体" w:eastAsia="宋体"/>
          <w:b/>
          <w:color w:val="000000"/>
          <w:sz w:val="21"/>
          <w:szCs w:val="21"/>
          <w:highlight w:val="none"/>
        </w:rPr>
        <w:t xml:space="preserve">要求</w:t>
      </w:r>
      <w:r>
        <w:rPr>
          <w:rFonts w:hint="eastAsia" w:ascii="宋体" w:hAnsi="宋体" w:eastAsia="宋体"/>
          <w:b/>
          <w:color w:val="000000"/>
          <w:sz w:val="21"/>
          <w:szCs w:val="21"/>
          <w:highlight w:val="none"/>
        </w:rPr>
      </w:r>
      <w:r/>
    </w:p>
    <w:p>
      <w:pPr>
        <w:pStyle w:val="1035"/>
        <w:ind w:firstLine="211"/>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lang w:val="en-US" w:eastAsia="zh-CN"/>
        </w:rPr>
        <w:t xml:space="preserve">一</w:t>
      </w:r>
      <w:r>
        <w:rPr>
          <w:rFonts w:hint="eastAsia" w:ascii="宋体" w:hAnsi="宋体" w:eastAsia="宋体"/>
          <w:b/>
          <w:bCs/>
          <w:color w:val="000000"/>
          <w:sz w:val="21"/>
          <w:szCs w:val="21"/>
          <w:highlight w:val="none"/>
          <w:lang w:val="en-US"/>
        </w:rPr>
        <w:t xml:space="preserve">）采购包</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lang w:val="en-US"/>
        </w:rPr>
        <w:t xml:space="preserve">：南京市食品药品监督检验院数控加热型四通道圆盘磁力搅拌器等检测设备采购一批</w:t>
      </w:r>
      <w:r>
        <w:rPr>
          <w:rFonts w:hint="eastAsia" w:ascii="宋体" w:hAnsi="宋体" w:eastAsia="宋体"/>
          <w:b/>
          <w:bCs/>
          <w:color w:val="000000"/>
          <w:sz w:val="21"/>
          <w:szCs w:val="21"/>
          <w:highlight w:val="none"/>
          <w:lang w:val="en-US"/>
        </w:rPr>
      </w:r>
      <w:r/>
    </w:p>
    <w:tbl>
      <w:tblPr>
        <w:tblW w:w="99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491"/>
        <w:gridCol w:w="7854"/>
      </w:tblGrid>
      <w:tr>
        <w:trPr/>
        <w:tc>
          <w:tcPr>
            <w:tcW w:w="645"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序号</w:t>
            </w:r>
            <w:r>
              <w:rPr>
                <w:rFonts w:hint="eastAsia" w:ascii="宋体" w:hAnsi="宋体" w:eastAsia="宋体"/>
                <w:b/>
                <w:bCs/>
                <w:color w:val="000000"/>
                <w:sz w:val="21"/>
                <w:szCs w:val="21"/>
                <w:highlight w:val="none"/>
                <w:lang w:val="en-US"/>
              </w:rPr>
            </w:r>
            <w:r/>
          </w:p>
        </w:tc>
        <w:tc>
          <w:tcPr>
            <w:tcW w:w="1491" w:type="dxa"/>
            <w:vAlign w:val="center"/>
            <w:textDirection w:val="lrTb"/>
            <w:noWrap w:val="false"/>
          </w:tcPr>
          <w:p>
            <w:pPr>
              <w:pStyle w:val="1035"/>
              <w:jc w:val="center"/>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采购产品名称</w:t>
            </w:r>
            <w:r>
              <w:rPr>
                <w:rFonts w:hint="eastAsia" w:ascii="宋体" w:hAnsi="宋体" w:eastAsia="宋体"/>
                <w:b/>
                <w:bCs/>
                <w:color w:val="000000"/>
                <w:sz w:val="21"/>
                <w:szCs w:val="21"/>
                <w:highlight w:val="none"/>
              </w:rPr>
            </w:r>
            <w:r/>
          </w:p>
        </w:tc>
        <w:tc>
          <w:tcPr>
            <w:tcW w:w="7854" w:type="dxa"/>
            <w:vAlign w:val="center"/>
            <w:textDirection w:val="lrTb"/>
            <w:noWrap w:val="false"/>
          </w:tcPr>
          <w:p>
            <w:pPr>
              <w:pStyle w:val="1035"/>
              <w:jc w:val="center"/>
              <w:spacing w:before="120" w:after="120"/>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技术指标</w:t>
            </w:r>
            <w:r>
              <w:rPr>
                <w:rFonts w:hint="eastAsia" w:ascii="宋体" w:hAnsi="宋体" w:eastAsia="宋体"/>
                <w:b/>
                <w:bCs/>
                <w:color w:val="000000"/>
                <w:sz w:val="21"/>
                <w:szCs w:val="21"/>
                <w:highlight w:val="none"/>
                <w:lang w:val="en-US"/>
              </w:rPr>
              <w:t xml:space="preserve">等</w:t>
            </w:r>
            <w:r>
              <w:rPr>
                <w:rFonts w:hint="eastAsia" w:ascii="宋体" w:hAnsi="宋体" w:eastAsia="宋体"/>
                <w:b/>
                <w:bCs/>
                <w:color w:val="000000"/>
                <w:sz w:val="21"/>
                <w:szCs w:val="21"/>
                <w:highlight w:val="none"/>
              </w:rPr>
              <w:t xml:space="preserve">要求</w:t>
            </w:r>
            <w:r>
              <w:rPr>
                <w:rFonts w:hint="eastAsia" w:ascii="宋体" w:hAnsi="宋体" w:eastAsia="宋体"/>
                <w:color w:val="000000"/>
                <w:sz w:val="21"/>
                <w:szCs w:val="21"/>
                <w:highlight w:val="none"/>
              </w:rPr>
            </w:r>
            <w:r/>
          </w:p>
        </w:tc>
      </w:tr>
      <w:tr>
        <w:trPr/>
        <w:tc>
          <w:tcPr>
            <w:tcW w:w="64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数控加热型四通道圆盘磁力搅拌器</w:t>
            </w:r>
            <w:r>
              <w:rPr>
                <w:rFonts w:hint="eastAsia" w:ascii="宋体" w:hAnsi="宋体" w:eastAsia="宋体"/>
                <w:color w:val="000000"/>
                <w:sz w:val="21"/>
                <w:szCs w:val="21"/>
                <w:highlight w:val="none"/>
              </w:rPr>
            </w:r>
            <w:r/>
          </w:p>
        </w:tc>
        <w:tc>
          <w:tcPr>
            <w:tcW w:w="7854" w:type="dxa"/>
            <w:vAlign w:val="top"/>
            <w:textDirection w:val="lrTb"/>
            <w:noWrap w:val="false"/>
          </w:tcPr>
          <w:p>
            <w:pPr>
              <w:pStyle w:val="1362"/>
              <w:ind w:left="0"/>
              <w:shd w:val="clear" w:color="auto" w:fill="auto"/>
              <w:rPr>
                <w:rFonts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1、技术要求：</w:t>
            </w:r>
            <w:r>
              <w:rPr>
                <w:rFonts w:ascii="宋体" w:hAnsi="宋体" w:eastAsia="宋体"/>
                <w:b/>
                <w:bCs/>
                <w:color w:val="000000"/>
                <w:sz w:val="21"/>
                <w:szCs w:val="21"/>
                <w:highlight w:val="none"/>
                <w:lang w:val="en-US" w:eastAsia="zh-CN"/>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（1）四个加热盘面独立控温控速，独立显示；</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（2）精准控制加热过程，最高温度≥340℃；</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（3）可外接温度传感器，精度≤±0.2℃；</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（4）防爆直流无刷电机；</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（5）具备余热保护功能；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过温保护，当盘面温度超过4</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0℃时，自动停止加热；</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（7）LCD显示屏同时显示实际温度和转速；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（8）不锈钢陶瓷涂层工作盘；</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（9）全封闭铝合金外壳；</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（10）盘面尺寸：≥Φ135mm（5寸）×4；</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（11）盘面材质：不锈钢陶瓷涂层；</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（12）电机类型：直流无刷；</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（13）电机输出功率：≥1.8W×4；</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（14）总功率：≥515W×4；</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（15）加热功率：≥500W×4；</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（16）单头最大搅拌量（H2O）：≥10L×4；</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（17）最大搅拌子：≥40mm；</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（18）转速范围：200-1500rpm；</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（19）转速控制精度：≤±20rpm；</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（20）温度控制范围：25-340℃；</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（21）温度显示精度：≤±0.1。</w:t>
            </w:r>
            <w:r>
              <w:rPr>
                <w:rFonts w:hint="eastAsia" w:ascii="宋体" w:hAnsi="宋体" w:eastAsia="宋体"/>
                <w:color w:val="000000"/>
                <w:sz w:val="21"/>
                <w:szCs w:val="21"/>
                <w:highlight w:val="none"/>
                <w:lang w:val="en-US"/>
              </w:rPr>
            </w:r>
            <w:r/>
          </w:p>
        </w:tc>
      </w:tr>
      <w:tr>
        <w:trPr>
          <w:trHeight w:val="596"/>
        </w:trPr>
        <w:tc>
          <w:tcPr>
            <w:tcW w:w="645" w:type="dxa"/>
            <w:vAlign w:val="center"/>
            <w:vMerge w:val="continue"/>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b/>
                <w:bCs/>
                <w:color w:val="000000"/>
                <w:sz w:val="21"/>
                <w:szCs w:val="21"/>
                <w:highlight w:val="none"/>
                <w:lang w:val="en-US" w:eastAsia="zh-CN"/>
              </w:rPr>
            </w:r>
            <w:r/>
          </w:p>
          <w:p>
            <w:pPr>
              <w:pStyle w:val="1035"/>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主机 1台</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362"/>
              <w:ind w:left="0"/>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质保及备件供应：保证产品为全新原厂设备；合同签订后30天内到货；仪器在调试通过后提供保修服务，保修期一年；在保修期内，非人为损坏所有服务及配件全部免费，保修期外，能更及时地为用户提供备品备件。</w:t>
            </w:r>
            <w:r>
              <w:rPr>
                <w:rFonts w:hint="eastAsia" w:ascii="宋体" w:hAnsi="宋体" w:eastAsia="宋体"/>
                <w:color w:val="000000"/>
                <w:sz w:val="21"/>
                <w:szCs w:val="21"/>
                <w:highlight w:val="none"/>
                <w:lang w:val="en-US" w:eastAsia="zh-CN"/>
              </w:rPr>
            </w:r>
            <w:r/>
          </w:p>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（2）技术服务：提供快捷、周到、规范的技术服务，仪器出现故障时，供货或服务商维修人员在接到通知后24小时内响应，48小时内到现场维修。</w:t>
            </w:r>
            <w:r>
              <w:rPr>
                <w:rFonts w:hint="eastAsia" w:ascii="宋体" w:hAnsi="宋体" w:eastAsia="宋体"/>
                <w:b/>
                <w:bCs/>
                <w:color w:val="000000"/>
                <w:sz w:val="21"/>
                <w:szCs w:val="21"/>
                <w:highlight w:val="none"/>
                <w:lang w:val="en-US" w:eastAsia="zh-CN"/>
              </w:rPr>
            </w:r>
            <w:r/>
          </w:p>
        </w:tc>
      </w:tr>
      <w:tr>
        <w:trPr/>
        <w:tc>
          <w:tcPr>
            <w:tcW w:w="64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2</w:t>
            </w:r>
            <w:r>
              <w:rPr>
                <w:rFonts w:hint="eastAsia" w:ascii="宋体" w:hAnsi="宋体" w:eastAsia="宋体"/>
                <w:color w:val="000000"/>
                <w:sz w:val="21"/>
                <w:szCs w:val="21"/>
                <w:highlight w:val="none"/>
                <w:lang w:val="en-US" w:bidi="ar"/>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冰箱</w:t>
            </w:r>
            <w:r>
              <w:rPr>
                <w:rFonts w:hint="eastAsia" w:ascii="宋体" w:hAnsi="宋体" w:eastAsia="宋体"/>
                <w:color w:val="000000"/>
                <w:sz w:val="21"/>
                <w:szCs w:val="21"/>
                <w:highlight w:val="none"/>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技术要求：</w:t>
            </w:r>
            <w:r>
              <w:rPr>
                <w:rFonts w:hint="eastAsia" w:ascii="宋体" w:hAnsi="宋体" w:eastAsia="宋体"/>
                <w:b/>
                <w:bCs/>
                <w:color w:val="000000"/>
                <w:sz w:val="21"/>
                <w:szCs w:val="21"/>
                <w:highlight w:val="none"/>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）基本要求：用于低温保存实验试剂</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显示类型：LED显示</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综合耗电量：</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0.</w:t>
            </w:r>
            <w:r>
              <w:rPr>
                <w:rFonts w:ascii="宋体" w:hAnsi="宋体" w:eastAsia="宋体"/>
                <w:color w:val="000000"/>
                <w:sz w:val="21"/>
                <w:szCs w:val="21"/>
                <w:highlight w:val="none"/>
                <w:lang w:eastAsia="zh-CN"/>
              </w:rPr>
              <w:t xml:space="preserve">9</w:t>
            </w:r>
            <w:r>
              <w:rPr>
                <w:rFonts w:hint="eastAsia" w:ascii="宋体" w:hAnsi="宋体" w:eastAsia="宋体"/>
                <w:color w:val="000000"/>
                <w:sz w:val="21"/>
                <w:szCs w:val="21"/>
                <w:highlight w:val="none"/>
                <w:lang w:eastAsia="zh-CN"/>
              </w:rPr>
              <w:t xml:space="preserve">kW·h/24h</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静音程度：</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37dB(A)</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冷藏室除菌净味：净味</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散热方式：两侧散热</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制冷剂：R600a</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电压：220V</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冷冻能力：</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7(kg/12h)</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容积：</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总容积5</w:t>
            </w:r>
            <w:r>
              <w:rPr>
                <w:rFonts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lang w:eastAsia="zh-CN"/>
              </w:rPr>
              <w:t xml:space="preserve">L，冷藏</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3</w:t>
            </w:r>
            <w:r>
              <w:rPr>
                <w:rFonts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lang w:eastAsia="zh-CN"/>
              </w:rPr>
              <w:t xml:space="preserve">L，冷冻</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19</w:t>
            </w:r>
            <w:r>
              <w:rPr>
                <w:rFonts w:ascii="宋体" w:hAnsi="宋体" w:eastAsia="宋体"/>
                <w:color w:val="000000"/>
                <w:sz w:val="21"/>
                <w:szCs w:val="21"/>
                <w:highlight w:val="none"/>
                <w:lang w:eastAsia="zh-CN"/>
              </w:rPr>
              <w:t xml:space="preserve">0</w:t>
            </w:r>
            <w:r>
              <w:rPr>
                <w:rFonts w:hint="eastAsia" w:ascii="宋体" w:hAnsi="宋体" w:eastAsia="宋体"/>
                <w:color w:val="000000"/>
                <w:sz w:val="21"/>
                <w:szCs w:val="21"/>
                <w:highlight w:val="none"/>
                <w:lang w:eastAsia="zh-CN"/>
              </w:rPr>
              <w:t xml:space="preserve">L</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变频/定频：变频</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门款式：对开门</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控温方式：电脑控温</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制冷方式：风冷</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能效等级：一级能效</w:t>
            </w:r>
            <w:r>
              <w:rPr>
                <w:rFonts w:hint="eastAsia" w:ascii="宋体" w:hAnsi="宋体" w:eastAsia="宋体"/>
                <w:color w:val="000000"/>
                <w:sz w:val="21"/>
                <w:szCs w:val="21"/>
                <w:highlight w:val="none"/>
                <w:lang w:val="en-US" w:eastAsia="zh-CN"/>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54" w:type="dxa"/>
            <w:vAlign w:val="top"/>
            <w:textDirection w:val="lrTb"/>
            <w:noWrap w:val="false"/>
          </w:tcPr>
          <w:p>
            <w:pPr>
              <w:pStyle w:val="1362"/>
              <w:ind w:left="0"/>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color w:val="000000"/>
                <w:sz w:val="21"/>
                <w:szCs w:val="21"/>
                <w:highlight w:val="none"/>
                <w:lang w:val="en-US" w:eastAsia="zh-CN"/>
              </w:rPr>
            </w:r>
            <w:r/>
          </w:p>
          <w:p>
            <w:pPr>
              <w:pStyle w:val="1362"/>
              <w:ind w:left="0"/>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冰箱</w:t>
            </w:r>
            <w:r>
              <w:rPr>
                <w:rFonts w:ascii="宋体" w:hAnsi="宋体" w:eastAsia="宋体"/>
                <w:color w:val="000000"/>
                <w:sz w:val="21"/>
                <w:szCs w:val="21"/>
                <w:highlight w:val="none"/>
                <w:lang w:val="en-US" w:eastAsia="zh-CN"/>
              </w:rPr>
              <w:t xml:space="preserve"> 1台</w:t>
            </w:r>
            <w:r>
              <w:rPr>
                <w:rFonts w:ascii="宋体" w:hAnsi="宋体" w:eastAsia="宋体"/>
                <w:color w:val="000000"/>
                <w:sz w:val="21"/>
                <w:szCs w:val="21"/>
                <w:highlight w:val="none"/>
                <w:lang w:val="en-US" w:eastAsia="zh-CN"/>
              </w:rPr>
            </w:r>
            <w:r/>
          </w:p>
          <w:p>
            <w:pPr>
              <w:pStyle w:val="1362"/>
              <w:ind w:left="0"/>
              <w:shd w:val="clear" w:color="auto" w:fil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说明书</w:t>
            </w:r>
            <w:r>
              <w:rPr>
                <w:rFonts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t xml:space="preserve">份</w:t>
            </w:r>
            <w:r>
              <w:rPr>
                <w:rFonts w:ascii="宋体" w:hAnsi="宋体" w:eastAsia="宋体"/>
                <w:color w:val="000000"/>
                <w:sz w:val="21"/>
                <w:szCs w:val="21"/>
                <w:highlight w:val="none"/>
                <w:lang w:val="en-US" w:eastAsia="zh-CN"/>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54" w:type="dxa"/>
            <w:vAlign w:val="top"/>
            <w:textDirection w:val="lrTb"/>
            <w:noWrap w:val="false"/>
          </w:tcPr>
          <w:p>
            <w:pPr>
              <w:pStyle w:val="1362"/>
              <w:ind w:left="0"/>
              <w:shd w:val="clear" w:color="auto" w:fill="auto"/>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3、售后要求：</w:t>
            </w:r>
            <w:r>
              <w:rPr>
                <w:rFonts w:hint="eastAsia" w:ascii="宋体" w:hAnsi="宋体" w:eastAsia="宋体"/>
                <w:color w:val="000000"/>
                <w:sz w:val="21"/>
                <w:szCs w:val="21"/>
                <w:highlight w:val="none"/>
                <w:lang w:eastAsia="zh-CN"/>
              </w:rPr>
            </w:r>
            <w:r/>
          </w:p>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冰箱整机保修1年，主要零部件保修3年，全国联保。</w:t>
            </w:r>
            <w:r>
              <w:rPr>
                <w:rFonts w:hint="eastAsia" w:ascii="宋体" w:hAnsi="宋体" w:eastAsia="宋体"/>
                <w:b/>
                <w:bCs/>
                <w:color w:val="000000"/>
                <w:sz w:val="21"/>
                <w:szCs w:val="21"/>
                <w:highlight w:val="none"/>
                <w:lang w:val="en-US" w:eastAsia="zh-CN"/>
              </w:rPr>
            </w:r>
            <w:r/>
          </w:p>
        </w:tc>
      </w:tr>
      <w:tr>
        <w:trPr>
          <w:trHeight w:val="156"/>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bidi="ar"/>
              </w:rPr>
              <w:t xml:space="preserve">冷藏冰箱</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1、技术要求：</w:t>
            </w:r>
            <w:r>
              <w:rPr>
                <w:rFonts w:hint="eastAsia" w:ascii="宋体" w:hAnsi="宋体" w:eastAsia="宋体"/>
                <w:b/>
                <w:bCs/>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（1）有效容积：箱内有效容积≥700L；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（2）温度控制：电脑控温，箱内控温范围2-10℃，LED 数码显示屏；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（3）整体结构：立式，双开中空玻璃门体，抗菌内胆；</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（4）核心组件：采用压缩机及风机；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（5）制冷系统：采用板式蒸发器设计，全铜管蒸发器设计，全柜防凝露；</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（6）温度均匀性：采用保温材料，及风冷系统；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（7）箱内配置：多层搁架设计，搁架间距可调，≥8个搁架；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（8）节能降噪：低噪音，噪音≤60分贝；</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（9）柜内照明：内设LED照明灯；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（10）固定移动：配备2个万向脚轮、2个定向脚轮、2个止动底脚。</w:t>
            </w:r>
            <w:r>
              <w:rPr>
                <w:rFonts w:hint="eastAsia" w:ascii="宋体" w:hAnsi="宋体" w:eastAsia="宋体"/>
                <w:color w:val="000000"/>
                <w:sz w:val="21"/>
                <w:szCs w:val="21"/>
                <w:highlight w:val="none"/>
                <w:lang w:val="en-US"/>
              </w:rPr>
            </w:r>
            <w:r/>
          </w:p>
        </w:tc>
      </w:tr>
      <w:tr>
        <w:trPr>
          <w:trHeight w:val="569"/>
        </w:trPr>
        <w:tc>
          <w:tcPr>
            <w:tcW w:w="64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1491"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854" w:type="dxa"/>
            <w:vAlign w:val="top"/>
            <w:textDirection w:val="lrTb"/>
            <w:noWrap w:val="false"/>
          </w:tcPr>
          <w:p>
            <w:pPr>
              <w:pStyle w:val="1362"/>
              <w:ind w:left="0"/>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color w:val="000000"/>
                <w:sz w:val="21"/>
                <w:szCs w:val="21"/>
                <w:highlight w:val="none"/>
                <w:lang w:val="en-US" w:eastAsia="zh-CN"/>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冷藏冰箱1台</w:t>
            </w:r>
            <w:r>
              <w:rPr>
                <w:rFonts w:hint="eastAsia" w:ascii="宋体" w:hAnsi="宋体" w:eastAsia="宋体"/>
                <w:b/>
                <w:bCs/>
                <w:color w:val="000000"/>
                <w:sz w:val="21"/>
                <w:szCs w:val="21"/>
                <w:highlight w:val="none"/>
                <w:lang w:val="en-US"/>
              </w:rPr>
            </w:r>
            <w:r/>
          </w:p>
        </w:tc>
      </w:tr>
      <w:tr>
        <w:trPr>
          <w:trHeight w:val="90"/>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冷藏冷冻箱</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1、技术要求：</w:t>
            </w:r>
            <w:r>
              <w:rPr>
                <w:rFonts w:hint="eastAsia" w:ascii="宋体" w:hAnsi="宋体" w:eastAsia="宋体"/>
                <w:b/>
                <w:bCs/>
                <w:color w:val="000000"/>
                <w:sz w:val="21"/>
                <w:szCs w:val="21"/>
                <w:highlight w:val="none"/>
                <w:lang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（1）有效容积：有效容积≥450L；冷藏室容积≥250L，冷冻室容积≥200L；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（2）整体结构：立式双门设计；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（3）材质：箱体采用喷涂钢板材质，内胆采用304不锈钢材质，防菌防腐蚀；</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（4）温度控制:冷藏室温度范围2～8℃，冷冻室温度范围-10~-40 ℃，可自行调节温度；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w:t>
            </w:r>
            <w:r>
              <w:rPr>
                <w:rFonts w:hint="eastAsia" w:ascii="宋体" w:hAnsi="宋体" w:eastAsia="宋体"/>
                <w:bCs/>
                <w:color w:val="000000"/>
                <w:sz w:val="21"/>
                <w:szCs w:val="21"/>
                <w:highlight w:val="none"/>
              </w:rPr>
              <w:t xml:space="preserve">▲</w:t>
            </w:r>
            <w:r>
              <w:rPr>
                <w:rFonts w:hint="eastAsia" w:ascii="宋体" w:hAnsi="宋体" w:eastAsia="宋体"/>
                <w:color w:val="000000"/>
                <w:sz w:val="21"/>
                <w:szCs w:val="21"/>
                <w:highlight w:val="none"/>
                <w:lang w:val="en-US"/>
              </w:rPr>
              <w:t xml:space="preserve">采用变频压缩机，碳氢制冷剂；</w:t>
            </w:r>
            <w:r>
              <w:rPr>
                <w:rFonts w:hint="eastAsia"/>
                <w:color w:val="000000"/>
                <w:highlight w:val="none"/>
              </w:rPr>
              <w:t xml:space="preserve">（提供铭牌证明</w:t>
            </w:r>
            <w:r>
              <w:rPr>
                <w:rFonts w:hint="eastAsia"/>
                <w:color w:val="000000"/>
                <w:highlight w:val="none"/>
                <w:lang w:val="en-US"/>
              </w:rPr>
              <w:t xml:space="preserve">材料</w:t>
            </w:r>
            <w:r>
              <w:rPr>
                <w:rFonts w:hint="eastAsia"/>
                <w:color w:val="000000"/>
                <w:highlight w:val="none"/>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（6）门体结构：发泡门设计，；门体采用低于90°自关，90°以上悬停设计；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（7）双压缩机、双制冷系统，上冷藏室和下冷冻室可独立控制运行；</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（8）★温度均匀性：冷藏室均匀性≤3℃，波动性≤3℃；</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安全系统：具有蜂鸣报警和灯光闪烁两种报警方式，标配远程报警接口；多重故障报警类型，可实现高温报警、低温报警、传感器故障报警、断电报警、开门报警、环温高报警、电池电量低报警，可以选配485接口；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（10）数据存储：自带数据存储模块，自带温度数据存储≥十年.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（11）温度监控：产品配有测试孔，方便接入温度监控设备；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（12）柜内照明：内设LED照明灯；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（13）★安全保障：冷藏室、冷冻室各配置一个锁扣，每个锁扣均可外挂锁，满足多人管理的安全要求；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（14）停电报警：内置大容量电池，满足产品断电后继续显示箱内的实时温度，持续时间至少48小时；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（15）冷藏室配置自动化霜功能，不必人工除霜；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（16）当门打开，冷藏内灯亮，内风机停；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（17）换热设计：冷冻室为隐藏蒸发器设计。</w:t>
            </w:r>
            <w:r>
              <w:rPr>
                <w:rFonts w:hint="eastAsia" w:ascii="宋体" w:hAnsi="宋体" w:eastAsia="宋体"/>
                <w:color w:val="000000"/>
                <w:sz w:val="21"/>
                <w:szCs w:val="21"/>
                <w:highlight w:val="none"/>
                <w:lang w:val="en-US"/>
              </w:rPr>
            </w:r>
            <w:r/>
          </w:p>
        </w:tc>
      </w:tr>
      <w:tr>
        <w:trPr>
          <w:trHeight w:val="538"/>
        </w:trPr>
        <w:tc>
          <w:tcPr>
            <w:tcW w:w="64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1491"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854" w:type="dxa"/>
            <w:vAlign w:val="top"/>
            <w:textDirection w:val="lrTb"/>
            <w:noWrap w:val="false"/>
          </w:tcPr>
          <w:p>
            <w:pPr>
              <w:pStyle w:val="1362"/>
              <w:ind w:left="0"/>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w:t>
            </w:r>
            <w:r>
              <w:rPr>
                <w:rFonts w:hint="eastAsia" w:ascii="宋体" w:hAnsi="宋体" w:eastAsia="宋体"/>
                <w:color w:val="000000"/>
                <w:sz w:val="21"/>
                <w:szCs w:val="21"/>
                <w:highlight w:val="none"/>
                <w:lang w:val="en-US"/>
              </w:rPr>
            </w:r>
            <w:r/>
          </w:p>
        </w:tc>
      </w:tr>
      <w:tr>
        <w:trPr>
          <w:trHeight w:val="318"/>
        </w:trPr>
        <w:tc>
          <w:tcPr>
            <w:tcW w:w="64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1491"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60天内到货；仪器在调试通过后提供保修服务，保修期一年；在保修期内，非人为损坏所有服务及配件全部免费,保修期外，能更及时地为用户提供备品备件。</w:t>
            </w:r>
            <w:r>
              <w:rPr>
                <w:rFonts w:hint="eastAsia" w:ascii="宋体" w:hAnsi="宋体" w:eastAsia="宋体"/>
                <w:color w:val="000000"/>
                <w:sz w:val="21"/>
                <w:szCs w:val="21"/>
                <w:highlight w:val="none"/>
                <w:lang w:val="en-US"/>
              </w:rPr>
            </w:r>
            <w:r/>
          </w:p>
        </w:tc>
      </w:tr>
      <w:tr>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电子天平（0.001g）</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1、技术要求：</w:t>
            </w:r>
            <w:r>
              <w:rPr>
                <w:rFonts w:hint="eastAsia" w:ascii="宋体" w:hAnsi="宋体" w:eastAsia="宋体"/>
                <w:b/>
                <w:bCs/>
                <w:color w:val="000000"/>
                <w:sz w:val="21"/>
                <w:szCs w:val="21"/>
                <w:highlight w:val="none"/>
                <w:lang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（1）‌最大称量：≥1000g；</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（2）分辨率（d）：1mg（即0.001g）；</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（3）检定分度值（e）：10d，即10mg，符合国家计量检定标准；</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（4）去皮范围：支持全量程去皮操作；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（5）校准重量：1000g（外校砝码）；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（6）供电方式：AC 220V ±10%，50Hz/60Hz，适配国内标准电源；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（7）数据接口：配备RS232串口，可连接打印机或计算机进行数据传输与采集。</w:t>
            </w:r>
            <w:r>
              <w:rPr>
                <w:rFonts w:hint="eastAsia" w:ascii="宋体" w:hAnsi="宋体" w:eastAsia="宋体"/>
                <w:b/>
                <w:bCs/>
                <w:color w:val="000000"/>
                <w:sz w:val="21"/>
                <w:szCs w:val="21"/>
                <w:highlight w:val="none"/>
                <w:lang w:val="en-US"/>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numPr>
                <w:ilvl w:val="0"/>
                <w:numId w:val="5"/>
              </w:numPr>
              <w:jc w:val="left"/>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配置要求：</w:t>
            </w:r>
            <w:r>
              <w:rPr>
                <w:rFonts w:hint="eastAsia" w:ascii="宋体" w:hAnsi="宋体" w:eastAsia="宋体"/>
                <w:b/>
                <w:bCs/>
                <w:color w:val="000000"/>
                <w:sz w:val="21"/>
                <w:szCs w:val="21"/>
                <w:highlight w:val="none"/>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主机一台。</w:t>
            </w:r>
            <w:r>
              <w:rPr>
                <w:rFonts w:hint="eastAsia" w:ascii="宋体" w:hAnsi="宋体" w:eastAsia="宋体"/>
                <w:b/>
                <w:bCs/>
                <w:color w:val="000000"/>
                <w:sz w:val="21"/>
                <w:szCs w:val="21"/>
                <w:highlight w:val="none"/>
                <w:lang w:val="en-US"/>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numPr>
                <w:ilvl w:val="0"/>
                <w:numId w:val="5"/>
              </w:numPr>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60天内到货；仪器在调试通过后提供保修服务，保修期一年；在保修期内，非人为损坏所有服务及配件全部免费，保修期外，能更及时地为用户提供备品备件。</w:t>
            </w:r>
            <w:r>
              <w:rPr>
                <w:rFonts w:hint="eastAsia" w:ascii="宋体" w:hAnsi="宋体" w:eastAsia="宋体"/>
                <w:b/>
                <w:bCs/>
                <w:color w:val="000000"/>
                <w:sz w:val="21"/>
                <w:szCs w:val="21"/>
                <w:highlight w:val="none"/>
                <w:lang w:val="en-US"/>
              </w:rPr>
            </w:r>
            <w:r/>
          </w:p>
        </w:tc>
      </w:tr>
      <w:tr>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电子天平（0.01g）</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（1）‌最大称量：≥1000g‌；</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（2）分辨率（d）：10mg‌（即0.01g）；</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（3）检定分度值（e）：10d‌，即10mg，符合国家计量检定标准；</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（4）去皮范围：支持全量程去皮操作；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（5）‌校准重量：1000g‌（外校砝码）；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（6）‌供电方式：AC 220V ±10%，50Hz/60Hz‌，适配国内标准电源；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（7）数据接口：配备RS232串口，可连接打印机或计算机进行数据传输与采集。</w:t>
            </w:r>
            <w:r>
              <w:rPr>
                <w:rFonts w:hint="eastAsia" w:ascii="宋体" w:hAnsi="宋体" w:eastAsia="宋体"/>
                <w:color w:val="000000"/>
                <w:sz w:val="21"/>
                <w:szCs w:val="21"/>
                <w:highlight w:val="none"/>
                <w:lang w:val="en-US"/>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r>
            <w:r/>
          </w:p>
          <w:p>
            <w:pPr>
              <w:pStyle w:val="1362"/>
              <w:ind w:left="0"/>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主机一台</w:t>
            </w:r>
            <w:r>
              <w:rPr>
                <w:rFonts w:hint="eastAsia" w:ascii="宋体" w:hAnsi="宋体" w:eastAsia="宋体"/>
                <w:b/>
                <w:bCs/>
                <w:color w:val="000000"/>
                <w:sz w:val="21"/>
                <w:szCs w:val="21"/>
                <w:highlight w:val="none"/>
                <w:lang w:val="en-US" w:eastAsia="zh-CN"/>
              </w:rPr>
            </w:r>
            <w:r/>
          </w:p>
        </w:tc>
      </w:tr>
      <w:tr>
        <w:trPr/>
        <w:tc>
          <w:tcPr>
            <w:tcW w:w="645"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60天内到货；仪器在调试通过后提供保修服务，保修期一年；在保修期内，非人为损坏所有服务及配件全部免费，保修期外，能更及时地为用户提供备品备件。</w:t>
            </w:r>
            <w:r>
              <w:rPr>
                <w:rFonts w:hint="eastAsia" w:ascii="宋体" w:hAnsi="宋体" w:eastAsia="宋体"/>
                <w:b/>
                <w:bCs/>
                <w:color w:val="000000"/>
                <w:sz w:val="21"/>
                <w:szCs w:val="21"/>
                <w:highlight w:val="none"/>
                <w:lang w:val="en-US"/>
              </w:rPr>
            </w:r>
            <w:r/>
          </w:p>
        </w:tc>
      </w:tr>
      <w:tr>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便携式pH计</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（1）pH测量范围：(-2.000～20.000) pH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（2）pH分辨率：0.001pH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（3）pH精度：±0.002pH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（4）电导率测量范围：(-2000.00～2000.00) mV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（5）电导率最小分辨率：0.01mV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（6）温度范围：-10.0～135.0 ℃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（7）校准功能：支持最多8点校准，自动识别GB、USA、DIN、NIST等多种缓冲溶液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（8）电源：内置大容量锂电池，支持移动电源充电，续航时间长 </w:t>
            </w:r>
            <w:r>
              <w:rPr>
                <w:rFonts w:hint="eastAsia" w:ascii="宋体" w:hAnsi="宋体" w:eastAsia="宋体"/>
                <w:b/>
                <w:bCs/>
                <w:color w:val="000000"/>
                <w:sz w:val="21"/>
                <w:szCs w:val="21"/>
                <w:highlight w:val="none"/>
                <w:lang w:val="en-US"/>
              </w:rPr>
            </w:r>
            <w:r/>
          </w:p>
        </w:tc>
      </w:tr>
      <w:tr>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362"/>
              <w:ind w:left="0"/>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eastAsia="zh-CN"/>
              </w:rPr>
              <w:t xml:space="preserve">、配置要求：</w:t>
            </w:r>
            <w:r>
              <w:rPr>
                <w:rFonts w:hint="eastAsia" w:ascii="宋体" w:hAnsi="宋体" w:eastAsia="宋体"/>
                <w:b/>
                <w:bCs/>
                <w:color w:val="000000"/>
                <w:sz w:val="21"/>
                <w:szCs w:val="21"/>
                <w:highlight w:val="none"/>
                <w:lang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便携式pH计1台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pH三复合电极1支</w:t>
            </w:r>
            <w:r>
              <w:rPr>
                <w:rFonts w:hint="eastAsia" w:ascii="宋体" w:hAnsi="宋体" w:eastAsia="宋体"/>
                <w:b/>
                <w:bCs/>
                <w:color w:val="000000"/>
                <w:sz w:val="21"/>
                <w:szCs w:val="21"/>
                <w:highlight w:val="none"/>
                <w:lang w:val="en-US"/>
              </w:rPr>
            </w:r>
            <w:r/>
          </w:p>
        </w:tc>
      </w:tr>
      <w:tr>
        <w:trPr>
          <w:trHeight w:val="2218"/>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恒温混匀仪</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（1）温度控制范围：0-100℃，具备制冷功能；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（2）转速范围：300-1500rpm；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（3）温度稳定性：≤±0.5℃；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（4）温度均匀性：≤±0.3℃；</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（5）升温速度：≤20min（20-100℃）；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（6）具有断电恢复功能，断电后仪器可按照原设定程序自动恢复运行；</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（7）直流无刷电机驱动</w:t>
            </w:r>
            <w:r>
              <w:rPr>
                <w:rFonts w:hint="eastAsia" w:ascii="宋体" w:hAnsi="宋体" w:eastAsia="宋体"/>
                <w:color w:val="000000"/>
                <w:sz w:val="21"/>
                <w:szCs w:val="21"/>
                <w:highlight w:val="none"/>
                <w:lang w:val="en-US"/>
              </w:rPr>
            </w:r>
            <w:r/>
          </w:p>
        </w:tc>
      </w:tr>
      <w:tr>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主机一台；并配有4种不同规格的模块，分别适用于1.5mL、2.0 mL、15 mL、50 mL离心管。</w:t>
            </w:r>
            <w:r>
              <w:rPr>
                <w:rFonts w:hint="eastAsia" w:ascii="宋体" w:hAnsi="宋体" w:eastAsia="宋体"/>
                <w:color w:val="000000"/>
                <w:sz w:val="21"/>
                <w:szCs w:val="21"/>
                <w:highlight w:val="none"/>
                <w:lang w:val="en-US"/>
              </w:rPr>
            </w:r>
            <w:r/>
          </w:p>
        </w:tc>
      </w:tr>
      <w:tr>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质保及备件供应：保证产品为全新原厂设备；合同签订后60天内到货；仪器在调试通过后提供保修服务，保修期一年；在保修期内，非人为造成所有服务及配件全部免费,保修期外，能更及时地为用户提供备品备件。</w:t>
            </w:r>
            <w:r>
              <w:rPr>
                <w:rFonts w:hint="eastAsia" w:ascii="宋体" w:hAnsi="宋体" w:eastAsia="宋体"/>
                <w:b/>
                <w:bCs/>
                <w:color w:val="000000"/>
                <w:sz w:val="21"/>
                <w:szCs w:val="21"/>
                <w:highlight w:val="none"/>
                <w:lang w:val="en-US"/>
              </w:rPr>
            </w:r>
            <w:r/>
          </w:p>
        </w:tc>
      </w:tr>
      <w:tr>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手提式紫外分析仪</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keepLines/>
              <w:keepNex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（1）波长配置：254nm 和 365nm 双波长，可单独使用或同时混合使用 </w:t>
            </w:r>
            <w:r>
              <w:rPr>
                <w:rFonts w:hint="eastAsia" w:ascii="宋体" w:hAnsi="宋体" w:eastAsia="宋体"/>
                <w:color w:val="000000"/>
                <w:sz w:val="21"/>
                <w:szCs w:val="21"/>
                <w:highlight w:val="none"/>
                <w:lang w:val="en-US"/>
              </w:rPr>
            </w:r>
            <w:r/>
          </w:p>
          <w:p>
            <w:pPr>
              <w:pStyle w:val="1035"/>
              <w:keepLines/>
              <w:keepNex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（2）紫外灯管：</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W×2支 </w:t>
            </w:r>
            <w:r>
              <w:rPr>
                <w:rFonts w:hint="eastAsia" w:ascii="宋体" w:hAnsi="宋体" w:eastAsia="宋体"/>
                <w:color w:val="000000"/>
                <w:sz w:val="21"/>
                <w:szCs w:val="21"/>
                <w:highlight w:val="none"/>
                <w:lang w:val="en-US"/>
              </w:rPr>
            </w:r>
            <w:r/>
          </w:p>
          <w:p>
            <w:pPr>
              <w:pStyle w:val="1035"/>
              <w:keepLines/>
              <w:keepNex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（3）滤光片尺寸：</w:t>
            </w:r>
            <w:r>
              <w:rPr>
                <w:rFonts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lang w:val="en-US"/>
              </w:rPr>
              <w:t xml:space="preserve">0×50mm，确保大范围均匀照射</w:t>
            </w:r>
            <w:r>
              <w:rPr>
                <w:rFonts w:hint="eastAsia" w:ascii="宋体" w:hAnsi="宋体" w:eastAsia="宋体"/>
                <w:color w:val="000000"/>
                <w:sz w:val="21"/>
                <w:szCs w:val="21"/>
                <w:highlight w:val="none"/>
                <w:lang w:val="en-US"/>
              </w:rPr>
            </w:r>
            <w:r/>
          </w:p>
          <w:p>
            <w:pPr>
              <w:pStyle w:val="1035"/>
              <w:keepLines/>
              <w:keepNex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）输入电源：AC 220V, 50/60Hz</w:t>
            </w:r>
            <w:r>
              <w:rPr>
                <w:rFonts w:hint="eastAsia" w:ascii="宋体" w:hAnsi="宋体" w:eastAsia="宋体"/>
                <w:color w:val="000000"/>
                <w:sz w:val="21"/>
                <w:szCs w:val="21"/>
                <w:highlight w:val="none"/>
              </w:rPr>
            </w:r>
            <w:r/>
          </w:p>
        </w:tc>
      </w:tr>
      <w:tr>
        <w:trPr>
          <w:trHeight w:val="496"/>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 </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主机1台</w:t>
            </w:r>
            <w:r>
              <w:rPr>
                <w:rFonts w:hint="eastAsia" w:ascii="宋体" w:hAnsi="宋体" w:eastAsia="宋体"/>
                <w:color w:val="000000"/>
                <w:sz w:val="21"/>
                <w:szCs w:val="21"/>
                <w:highlight w:val="none"/>
                <w:lang w:val="en-US"/>
              </w:rPr>
            </w:r>
            <w:r/>
          </w:p>
        </w:tc>
      </w:tr>
      <w:tr>
        <w:trPr/>
        <w:tc>
          <w:tcPr>
            <w:tcW w:w="645" w:type="dxa"/>
            <w:vAlign w:val="center"/>
            <w:vMerge w:val="restart"/>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lang w:val="en-US"/>
              </w:rPr>
            </w:r>
            <w:r/>
          </w:p>
        </w:tc>
        <w:tc>
          <w:tcPr>
            <w:tcW w:w="1491"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基质辅助激光解吸附电离飞行时间质谱仪</w:t>
            </w: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（1）工作条件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电源：100-240 V，50/60 Hz，1000 VA单相</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温度：环境温度为18℃-28℃</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湿度：小于70％，无冷凝</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（2）进样单元和样品观察系统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用于快速进样的加载锁定系统，带有XY坐标系样品台(10 μm重现性)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可重复用不锈钢样品靶板，，每个靶板可点≥48个样品，可选聚焦增敏靶板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前面板LED：用于仪器状态指示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软件控制的彩色CCD相机（10μm分辨率）</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ascii="宋体" w:hAnsi="宋体" w:eastAsia="宋体"/>
                <w:color w:val="000000"/>
                <w:sz w:val="21"/>
                <w:szCs w:val="21"/>
                <w:highlight w:val="none"/>
                <w:lang w:val="en-US"/>
              </w:rPr>
              <w:t xml:space="preserve">离子源</w:t>
            </w:r>
            <w:r>
              <w:rPr>
                <w:rFonts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正离子/负离子采集模式</w:t>
            </w:r>
            <w:r>
              <w:rPr>
                <w:rFonts w:ascii="宋体" w:hAnsi="宋体" w:eastAsia="宋体"/>
                <w:color w:val="000000"/>
                <w:sz w:val="21"/>
                <w:szCs w:val="21"/>
                <w:highlight w:val="none"/>
                <w:lang w:val="en-US"/>
              </w:rPr>
            </w:r>
            <w:r/>
          </w:p>
          <w:p>
            <w:pPr>
              <w:pStyle w:val="1065"/>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fldChar w:fldCharType="begin"/>
            </w:r>
            <w:r>
              <w:rPr>
                <w:rFonts w:hint="eastAsia" w:ascii="宋体" w:hAnsi="宋体"/>
                <w:color w:val="000000"/>
                <w:szCs w:val="21"/>
                <w:highlight w:val="none"/>
              </w:rPr>
              <w:instrText xml:space="preserve"> EQ \o\ac(○,</w:instrText>
            </w:r>
            <w:r>
              <w:rPr>
                <w:rFonts w:hint="eastAsia" w:ascii="宋体" w:hAnsi="宋体"/>
                <w:color w:val="000000"/>
                <w:position w:val="2"/>
                <w:sz w:val="14"/>
                <w:szCs w:val="21"/>
                <w:highlight w:val="none"/>
              </w:rPr>
              <w:instrText xml:space="preserve">2</w:instrText>
            </w:r>
            <w:r>
              <w:rPr>
                <w:rFonts w:hint="eastAsia" w:ascii="宋体" w:hAnsi="宋体"/>
                <w:color w:val="000000"/>
                <w:szCs w:val="21"/>
                <w:highlight w:val="none"/>
              </w:rPr>
              <w:instrText xml:space="preserve">)</w:instrText>
            </w:r>
            <w:r>
              <w:rPr>
                <w:rFonts w:hint="eastAsia" w:ascii="宋体" w:hAnsi="宋体"/>
                <w:color w:val="000000"/>
                <w:szCs w:val="21"/>
                <w:highlight w:val="none"/>
              </w:rPr>
              <w:fldChar w:fldCharType="end"/>
            </w:r>
            <w:r>
              <w:rPr>
                <w:rFonts w:ascii="宋体" w:hAnsi="宋体"/>
                <w:color w:val="000000"/>
                <w:szCs w:val="21"/>
                <w:highlight w:val="none"/>
              </w:rPr>
              <w:t xml:space="preserve">软件控制下的脉冲提取功能，用于提高目标分子量范围质量准确度（提供此功能的软件截图证明）</w:t>
            </w:r>
            <w:r>
              <w:rPr>
                <w:rFonts w:hint="eastAsia" w:ascii="宋体" w:hAnsi="宋体"/>
                <w:color w:val="000000"/>
                <w:szCs w:val="21"/>
                <w:highlight w:val="none"/>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大口径离子透镜技术，可提高灵敏度并减少源污染</w:t>
            </w:r>
            <w:r>
              <w:rPr>
                <w:rFonts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自动离子源清洁技术：软件驱动的UV激光的源清洗技术</w:t>
            </w:r>
            <w:r>
              <w:rPr>
                <w:rFonts w:hint="eastAsia"/>
                <w:color w:val="000000"/>
                <w:highlight w:val="none"/>
              </w:rPr>
              <w:t xml:space="preserve">（提供此功能的软件截图证明）</w:t>
            </w:r>
            <w:r>
              <w:rPr>
                <w:rFonts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（4）激光器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★355nm 长寿命固态激光器，固定聚焦，1.5 nS 脉冲宽度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★激光最长使用寿命：≥2 x 10</w:t>
            </w:r>
            <w:r>
              <w:rPr>
                <w:rFonts w:hint="eastAsia" w:ascii="宋体" w:hAnsi="宋体" w:eastAsia="宋体"/>
                <w:color w:val="000000"/>
                <w:sz w:val="21"/>
                <w:szCs w:val="21"/>
                <w:highlight w:val="none"/>
                <w:vertAlign w:val="superscript"/>
                <w:lang w:val="en-US"/>
              </w:rPr>
              <w:t xml:space="preserve">9</w:t>
            </w:r>
            <w:r>
              <w:rPr>
                <w:rFonts w:hint="eastAsia" w:ascii="宋体" w:hAnsi="宋体" w:eastAsia="宋体"/>
                <w:color w:val="000000"/>
                <w:sz w:val="21"/>
                <w:szCs w:val="21"/>
                <w:highlight w:val="none"/>
                <w:lang w:val="en-US"/>
              </w:rPr>
              <w:t xml:space="preserve"> shots</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激光束能量：每激光束≥80 µJ 能量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最大激光频率 ：≥200 Hz（可通过软件控制调节激光频率）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激光束以近垂直入射角度轰击样品，激光能量和激光轰击目标可软件控制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（5）质量分析器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静音（≤60 dB）</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无油真空系统由一个涡轮分子泵和一个集成的无油背压泵维持，且集成在仪器内部，无需外置机械泵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离子束消隐：偏转不需要的高强度信号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（6）检测器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电子倍增器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1.6 GHz，12 bit快速瞬态记录仪，32 bit 累加器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（7）软件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仪器控制软件支持多用户环境，数据保存在数据库中，登录由用户密码控制，保障数据安全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数据可以导出为通用格式（mzML和</w:t>
            </w:r>
            <w:bookmarkStart w:id="45" w:name="OLE_LINK1"/>
            <w:r>
              <w:rPr>
                <w:rFonts w:hint="eastAsia" w:ascii="宋体" w:hAnsi="宋体" w:eastAsia="宋体"/>
                <w:color w:val="000000"/>
                <w:sz w:val="21"/>
                <w:szCs w:val="21"/>
                <w:highlight w:val="none"/>
                <w:lang w:val="en-US"/>
              </w:rPr>
              <w:t xml:space="preserve">ASCII</w:t>
            </w:r>
            <w:bookmarkEnd w:id="45"/>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配备统计学分析软件</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A、</w:t>
            </w:r>
            <w:r>
              <w:rPr>
                <w:rFonts w:ascii="宋体" w:hAnsi="宋体" w:eastAsia="宋体"/>
                <w:color w:val="000000"/>
                <w:sz w:val="21"/>
                <w:szCs w:val="21"/>
                <w:highlight w:val="none"/>
                <w:lang w:val="en-US"/>
              </w:rPr>
              <w:t xml:space="preserve">统计学分析软件可识别多种质谱峰列表数据格式，如mzML、ASCII和JACMP格式</w:t>
            </w:r>
            <w:r>
              <w:rPr>
                <w:rFonts w:ascii="宋体" w:hAnsi="宋体" w:eastAsia="宋体"/>
                <w:color w:val="000000"/>
                <w:sz w:val="21"/>
                <w:szCs w:val="21"/>
                <w:highlight w:val="none"/>
                <w:lang w:val="en-US"/>
              </w:rPr>
            </w:r>
            <w:r/>
          </w:p>
          <w:p>
            <w:pPr>
              <w:pStyle w:val="1065"/>
              <w:shd w:val="clear" w:color="auto" w:fill="auto"/>
              <w:rPr>
                <w:rFonts w:ascii="宋体" w:hAnsi="宋体"/>
                <w:color w:val="000000"/>
                <w:szCs w:val="21"/>
                <w:highlight w:val="none"/>
              </w:rPr>
            </w:pPr>
            <w:r>
              <w:rPr>
                <w:rFonts w:hint="eastAsia" w:ascii="宋体" w:hAnsi="宋体"/>
                <w:color w:val="000000"/>
                <w:szCs w:val="21"/>
                <w:highlight w:val="none"/>
              </w:rPr>
              <w:t xml:space="preserve">▲B、</w:t>
            </w:r>
            <w:r>
              <w:rPr>
                <w:rFonts w:ascii="宋体" w:hAnsi="宋体"/>
                <w:color w:val="000000"/>
                <w:szCs w:val="21"/>
                <w:highlight w:val="none"/>
              </w:rPr>
              <w:t xml:space="preserve">统计学分析软件包含基础统计分析功能（t检验、方差分析、曼-惠特尼U检验）、高级统计分析功能（主成分分析（PCA）、偏最小二乘判别分析（PLS-DA）、支持向量机（SVM）、随机森林（Random Forest, RF））</w:t>
            </w:r>
            <w:r>
              <w:rPr>
                <w:rFonts w:hint="eastAsia"/>
                <w:color w:val="000000"/>
                <w:highlight w:val="none"/>
              </w:rPr>
              <w:t xml:space="preserve">（提供这些分析功能的软件截图证明或使用说明书证明）</w:t>
            </w:r>
            <w:r>
              <w:rPr>
                <w:rFonts w:ascii="宋体" w:hAnsi="宋体"/>
                <w:color w:val="000000"/>
                <w:szCs w:val="21"/>
                <w:highlight w:val="none"/>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▲C、</w:t>
            </w:r>
            <w:r>
              <w:rPr>
                <w:rFonts w:ascii="宋体" w:hAnsi="宋体" w:eastAsia="宋体"/>
                <w:color w:val="000000"/>
                <w:sz w:val="21"/>
                <w:szCs w:val="21"/>
                <w:highlight w:val="none"/>
                <w:lang w:val="en-US"/>
              </w:rPr>
              <w:t xml:space="preserve">统计学分析软件具备可视化功能：包含箱线图（Box Plot）、得分图/载荷图（Score/Loading Plot）、树状图（Dendrogram）、ROC曲线（ROC）与AUC值（AUC）计算、峰值矩阵（Peak Matrix）。</w:t>
            </w:r>
            <w:r>
              <w:rPr>
                <w:rFonts w:hint="eastAsia"/>
                <w:color w:val="000000"/>
                <w:highlight w:val="none"/>
              </w:rPr>
              <w:t xml:space="preserve">（提供这些分析功能的软件截图证明或使用说明书证明）</w:t>
            </w:r>
            <w:r>
              <w:rPr>
                <w:rFonts w:ascii="宋体" w:hAnsi="宋体" w:eastAsia="宋体"/>
                <w:color w:val="000000"/>
                <w:sz w:val="21"/>
                <w:szCs w:val="21"/>
                <w:highlight w:val="none"/>
                <w:lang w:val="en-US"/>
              </w:rPr>
            </w:r>
            <w:r/>
          </w:p>
          <w:p>
            <w:pPr>
              <w:pStyle w:val="1065"/>
              <w:shd w:val="clear" w:color="auto" w:fill="auto"/>
              <w:rPr>
                <w:rFonts w:ascii="宋体" w:hAnsi="宋体"/>
                <w:color w:val="000000"/>
                <w:szCs w:val="21"/>
                <w:highlight w:val="none"/>
              </w:rPr>
            </w:pPr>
            <w:r>
              <w:rPr>
                <w:rFonts w:hint="eastAsia" w:ascii="宋体" w:hAnsi="宋体"/>
                <w:color w:val="000000"/>
                <w:szCs w:val="21"/>
                <w:highlight w:val="none"/>
              </w:rPr>
              <w:t xml:space="preserve">▲D、</w:t>
            </w:r>
            <w:r>
              <w:rPr>
                <w:rFonts w:ascii="宋体" w:hAnsi="宋体"/>
                <w:color w:val="000000"/>
                <w:szCs w:val="21"/>
                <w:highlight w:val="none"/>
              </w:rPr>
              <w:t xml:space="preserve">统计学分析软件支持峰值列表导出为 TXT 格式、分析结果导出为 XLSM 格式（可编辑，保留公式与数据关联），支持图表截图功能，满足数据存档、成果展示需求。</w:t>
            </w:r>
            <w:r>
              <w:rPr>
                <w:rFonts w:hint="eastAsia"/>
                <w:color w:val="000000"/>
                <w:highlight w:val="none"/>
              </w:rPr>
              <w:t xml:space="preserve">（提供这些分析功能的软件截图证明或使用说明书证明）</w:t>
            </w:r>
            <w:r>
              <w:rPr>
                <w:rFonts w:ascii="宋体" w:hAnsi="宋体"/>
                <w:color w:val="000000"/>
                <w:szCs w:val="21"/>
                <w:highlight w:val="none"/>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可通过软件许可证升级，升级为质谱成像系统。</w:t>
            </w:r>
            <w:r>
              <w:rPr>
                <w:rFonts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（8）质量范围：m/z 1-480,000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▲（9）质量分辨率: &gt;4800 FWHM -ACTH18-39 m/z 2465 </w:t>
            </w:r>
            <w:r>
              <w:rPr>
                <w:rFonts w:hint="eastAsia"/>
                <w:color w:val="000000"/>
                <w:highlight w:val="none"/>
              </w:rPr>
              <w:t xml:space="preserve">（提供实测数据结果截图）</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（10）★质量准确度: 内标法： &lt;25 ppm； 外标法： &lt;180 ppm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（11）灵敏度: 250 fmol 牛血清白蛋白，S/N＞2:1；250 amol 纤维蛋白肽B，S/N＞2:1</w:t>
            </w:r>
            <w:r>
              <w:rPr>
                <w:rFonts w:hint="eastAsia" w:ascii="宋体" w:hAnsi="宋体" w:eastAsia="宋体"/>
                <w:b/>
                <w:bCs/>
                <w:color w:val="000000"/>
                <w:sz w:val="21"/>
                <w:szCs w:val="21"/>
                <w:highlight w:val="none"/>
                <w:lang w:val="en-US"/>
              </w:rPr>
            </w:r>
            <w:r/>
          </w:p>
        </w:tc>
      </w:tr>
      <w:tr>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MALDI-TOF主机一台，含进样系统和观察系统、离子源、激光器、质量分析器、检测器等。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操作软件系统一套，含电脑。电脑配置：不低于32 GB RAM、SSD存储（1 TB和2 TB M.2），Microsoft®Windows®11操作系统，23.8英寸显示器。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不锈钢可重复使用样品靶板4个。</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b w:val="0"/>
                <w:bCs w:val="0"/>
                <w:color w:val="000000"/>
                <w:sz w:val="21"/>
                <w:szCs w:val="21"/>
                <w:highlight w:val="none"/>
                <w:lang w:val="en-US"/>
              </w:rPr>
            </w:pPr>
            <w:r>
              <w:rPr>
                <w:rFonts w:hint="eastAsia" w:ascii="宋体" w:hAnsi="宋体" w:eastAsia="宋体"/>
                <w:b w:val="0"/>
                <w:bCs w:val="0"/>
                <w:color w:val="000000"/>
                <w:sz w:val="21"/>
                <w:szCs w:val="21"/>
                <w:highlight w:val="none"/>
                <w:lang w:val="en-US" w:eastAsia="zh-CN"/>
              </w:rPr>
              <w:t xml:space="preserve">（3）</w:t>
            </w:r>
            <w:r>
              <w:rPr>
                <w:rFonts w:hint="eastAsia" w:ascii="宋体" w:hAnsi="宋体" w:eastAsia="宋体"/>
                <w:b w:val="0"/>
                <w:bCs w:val="0"/>
                <w:color w:val="000000"/>
                <w:sz w:val="21"/>
                <w:szCs w:val="21"/>
                <w:highlight w:val="none"/>
                <w:lang w:val="en-US"/>
              </w:rPr>
              <w:t xml:space="preserve">校正试剂1套。</w:t>
            </w:r>
            <w:r>
              <w:rPr>
                <w:rFonts w:ascii="宋体" w:hAnsi="宋体" w:eastAsia="宋体"/>
                <w:b w:val="0"/>
                <w:bCs w:val="0"/>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val="0"/>
                <w:bCs w:val="0"/>
                <w:color w:val="000000"/>
                <w:sz w:val="21"/>
                <w:szCs w:val="21"/>
                <w:highlight w:val="none"/>
                <w:lang w:val="en-US" w:eastAsia="zh-CN"/>
              </w:rPr>
              <w:t xml:space="preserve">（4）</w:t>
            </w:r>
            <w:r>
              <w:rPr>
                <w:rFonts w:ascii="宋体" w:hAnsi="宋体" w:eastAsia="宋体"/>
                <w:b w:val="0"/>
                <w:bCs w:val="0"/>
                <w:color w:val="000000"/>
                <w:sz w:val="21"/>
                <w:szCs w:val="21"/>
                <w:highlight w:val="none"/>
                <w:lang w:val="en-US"/>
              </w:rPr>
              <w:t xml:space="preserve">11KW空压机及冷干机</w:t>
            </w:r>
            <w:r>
              <w:rPr>
                <w:rFonts w:hint="eastAsia" w:ascii="宋体" w:hAnsi="宋体" w:eastAsia="宋体"/>
                <w:b w:val="0"/>
                <w:bCs w:val="0"/>
                <w:color w:val="000000"/>
                <w:sz w:val="21"/>
                <w:szCs w:val="21"/>
                <w:highlight w:val="none"/>
                <w:lang w:val="en-US"/>
              </w:rPr>
              <w:t xml:space="preserve">各一套</w:t>
            </w:r>
            <w:r>
              <w:rPr>
                <w:rFonts w:hint="eastAsia" w:ascii="宋体" w:hAnsi="宋体" w:eastAsia="宋体"/>
                <w:b w:val="0"/>
                <w:bCs w:val="0"/>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r>
            <w:r/>
          </w:p>
        </w:tc>
      </w:tr>
      <w:tr>
        <w:trPr>
          <w:trHeight w:val="1334"/>
        </w:trPr>
        <w:tc>
          <w:tcPr>
            <w:tcW w:w="645"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1491" w:type="dxa"/>
            <w:vAlign w:val="center"/>
            <w:vMerge w:val="continue"/>
            <w:textDirection w:val="lrTb"/>
            <w:noWrap w:val="false"/>
          </w:tcPr>
          <w:p>
            <w:pPr>
              <w:pStyle w:val="1035"/>
              <w:jc w:val="center"/>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7854" w:type="dxa"/>
            <w:vAlign w:val="top"/>
            <w:textDirection w:val="lrTb"/>
            <w:noWrap w:val="false"/>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（1）卖方须到买方提供的现场免费安装、调试设备，进行操作试验，直至运行正常并验收，为2名以上仪器操作人员提供免费的上机操作及日常维护培训。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（2）仪器故障响应时间不超过1个工作日，专职技术服务人员 2 个工作日内到场维修。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（3）零配件应保证 10 年以上的供应期。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（4）自测试验收合格起，整机设备免费保修≥1年。</w:t>
            </w:r>
            <w:r>
              <w:rPr>
                <w:rFonts w:hint="eastAsia" w:ascii="宋体" w:hAnsi="宋体" w:eastAsia="宋体"/>
                <w:b/>
                <w:bCs/>
                <w:color w:val="000000"/>
                <w:sz w:val="21"/>
                <w:szCs w:val="21"/>
                <w:highlight w:val="none"/>
                <w:lang w:val="en-US"/>
              </w:rPr>
            </w:r>
            <w:r/>
          </w:p>
        </w:tc>
      </w:tr>
    </w:tbl>
    <w:p>
      <w:pPr>
        <w:pStyle w:val="1427"/>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427"/>
        <w:ind w:left="0" w:firstLine="422"/>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（二）采购包2：南京市食品药品监督检验院液相四元梯度泵系统等检测设备采购一批 </w:t>
      </w:r>
      <w:r>
        <w:rPr>
          <w:rFonts w:ascii="宋体" w:hAnsi="宋体" w:eastAsia="宋体"/>
          <w:b/>
          <w:bCs/>
          <w:color w:val="000000"/>
          <w:sz w:val="21"/>
          <w:szCs w:val="21"/>
          <w:highlight w:val="none"/>
          <w:lang w:val="en-US"/>
        </w:rPr>
      </w:r>
      <w:r/>
    </w:p>
    <w:tbl>
      <w:tblPr>
        <w:tblW w:w="100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755"/>
        <w:gridCol w:w="7680"/>
      </w:tblGrid>
      <w:tr>
        <w:trPr/>
        <w:tc>
          <w:tcPr>
            <w:tcW w:w="600"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bidi="ar"/>
              </w:rPr>
              <w:t xml:space="preserve">序号</w:t>
            </w:r>
            <w:r>
              <w:rPr>
                <w:rFonts w:hint="eastAsia" w:ascii="宋体" w:hAnsi="宋体" w:eastAsia="宋体"/>
                <w:b/>
                <w:bCs/>
                <w:color w:val="000000"/>
                <w:sz w:val="21"/>
                <w:szCs w:val="21"/>
                <w:highlight w:val="none"/>
              </w:rPr>
            </w:r>
            <w:r/>
          </w:p>
        </w:tc>
        <w:tc>
          <w:tcPr>
            <w:tcW w:w="1755"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bidi="ar"/>
              </w:rPr>
              <w:t xml:space="preserve">采购产品名称</w:t>
            </w:r>
            <w:r>
              <w:rPr>
                <w:rFonts w:hint="eastAsia" w:ascii="宋体" w:hAnsi="宋体" w:eastAsia="宋体"/>
                <w:b/>
                <w:bCs/>
                <w:color w:val="000000"/>
                <w:sz w:val="21"/>
                <w:szCs w:val="21"/>
                <w:highlight w:val="none"/>
              </w:rPr>
            </w:r>
            <w:r/>
          </w:p>
        </w:tc>
        <w:tc>
          <w:tcPr>
            <w:tcW w:w="7680"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技术指标</w:t>
            </w:r>
            <w:r>
              <w:rPr>
                <w:rFonts w:hint="eastAsia" w:ascii="宋体" w:hAnsi="宋体" w:eastAsia="宋体"/>
                <w:b/>
                <w:bCs/>
                <w:color w:val="000000"/>
                <w:sz w:val="21"/>
                <w:szCs w:val="21"/>
                <w:highlight w:val="none"/>
                <w:lang w:val="en-US"/>
              </w:rPr>
              <w:t xml:space="preserve">等</w:t>
            </w:r>
            <w:r>
              <w:rPr>
                <w:rFonts w:hint="eastAsia" w:ascii="宋体" w:hAnsi="宋体" w:eastAsia="宋体"/>
                <w:b/>
                <w:bCs/>
                <w:color w:val="000000"/>
                <w:sz w:val="21"/>
                <w:szCs w:val="21"/>
                <w:highlight w:val="none"/>
              </w:rPr>
              <w:t xml:space="preserve">要求</w:t>
            </w:r>
            <w:r>
              <w:rPr>
                <w:rFonts w:hint="eastAsia" w:ascii="宋体" w:hAnsi="宋体" w:eastAsia="宋体"/>
                <w:b/>
                <w:bCs/>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液相四元梯度泵系统</w:t>
            </w:r>
            <w:r>
              <w:rPr>
                <w:rFonts w:hint="eastAsia" w:ascii="宋体" w:hAnsi="宋体" w:eastAsia="宋体"/>
                <w:color w:val="000000"/>
                <w:sz w:val="21"/>
                <w:szCs w:val="21"/>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bookmarkStart w:id="46" w:name="OLE_LINK11"/>
            <w:r>
              <w:rPr>
                <w:rFonts w:ascii="宋体" w:hAnsi="宋体" w:eastAsia="宋体"/>
                <w:color w:val="000000"/>
                <w:sz w:val="21"/>
                <w:szCs w:val="21"/>
                <w:highlight w:val="none"/>
                <w:lang w:val="en-US"/>
              </w:rPr>
              <w:t xml:space="preserve">▲</w:t>
            </w:r>
            <w:bookmarkEnd w:id="46"/>
            <w:r>
              <w:rPr>
                <w:rFonts w:hint="eastAsia" w:ascii="宋体" w:hAnsi="宋体" w:eastAsia="宋体"/>
                <w:color w:val="000000"/>
                <w:sz w:val="21"/>
                <w:szCs w:val="21"/>
                <w:highlight w:val="none"/>
                <w:lang w:val="en-US"/>
              </w:rPr>
              <w:t xml:space="preserve">可适配用户现有的安捷伦6470、6495液质联用仪使用。</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（2）★最高操作压力:≥1300 bar。</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（3）流速准确度:±1%或10uL/min。</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（4）压力脉动:&lt;1%。</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（5）pH范围:1.0-12.5或更宽。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（6）流速范围:0.001-5mL/min，以0.001mL/min增量(按300pL/步长增量执行)。</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（7）流速精密度:&lt;0.07%RSD。</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（8）梯度洗脱：1–99%或更宽。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（9）梯度延迟体积:&lt;350ul。</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（10）内置脱气机:4个通路，每一通路内部体积1.5ml。</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w:t>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具备混合助手功能，可在线稀释缓冲液，实现仅配置1个缓冲液储备液即可通过在线稀释获得任意浓度的缓冲液。</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w:t>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具备智能模拟技术，可以模拟行业内主流型号液相方法，实现不同仪器间的方法转移。</w:t>
            </w:r>
            <w:r>
              <w:rPr>
                <w:rFonts w:hint="eastAsia" w:ascii="宋体" w:hAnsi="宋体" w:eastAsia="宋体"/>
                <w:color w:val="000000"/>
                <w:sz w:val="21"/>
                <w:szCs w:val="21"/>
                <w:highlight w:val="none"/>
                <w:lang w:val="en-US"/>
              </w:rPr>
            </w:r>
            <w:r/>
          </w:p>
        </w:tc>
      </w:tr>
      <w:tr>
        <w:trPr/>
        <w:tc>
          <w:tcPr>
            <w:tcW w:w="600" w:type="dxa"/>
            <w:vAlign w:val="center"/>
            <w:vMerge w:val="continue"/>
            <w:textDirection w:val="lrTb"/>
            <w:noWrap/>
          </w:tcPr>
          <w:p>
            <w:pPr>
              <w:pStyle w:val="1035"/>
              <w:jc w:val="center"/>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center"/>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四元梯度泵系统1个。</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混合器1个。</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center"/>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center"/>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（1）质保期不低于1年。</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（2）包含安装和现场培训。</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2</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原子荧光分光光度计</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1、原子荧光光技术要求：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（1）双通道设计，可实现双元素同时测定，或任选元素检测，并具有通道增强功能。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（2）免调光源45度光路（原子化器与元素灯），光源自动对焦，无需手动调节光斑，无需专用的调灯结构，普通元素灯即插即用。</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（3）全自动内置式双进样系统，包含注射泵进样系统和蠕动泵进样系统两种进样方式，两种进样方式均可独自进样完成检测工作。软件选择进样系统，自动切换。</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（4）具有光源漂移扣除功能，光源实时连续监测，自动校正汞灯漂移。</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（5）汞灯自动激发，无需使用辅助工具激发起辉。</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（6）原子化器：免调式屏蔽式低温点火石英炉原子化器，具有氩氢火焰观察窗。</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（7）石英原子化系统，提高原子化效率，抗干扰防淬灭。</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（8）在线自动定量加还原剂、掩蔽剂等试剂。</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（9）具有气液分离装置。</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进样针液面探测技术一体化，随量跟踪，控制进样针下探高度。进样针采用耐腐蚀、疏水不沾液的特殊材质，强度高，克服了传统玻璃进样针易断易挂液的缺点，同时也减少了交叉污染。（提供公示的技术文件和软件截图）</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（11）气路系统：采用质量流量计控制载气和屏蔽气，气流量精度1ml，能实时显示气体流量和流量异常提示及无载气安全保护；具有自动待机功能，测试结束后自动关断气体，进入省气模式。</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（12）极坐标大转盘自动进样系统，设有200个以上的样品位，具有实时补液功能，具有专用补液泵，同时载流槽采用小体积设计。（提供补液泵及小载流槽实物图）</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（13）标准的LAN通讯口，适用于Windows系统的中文操作软件。可在线更新升级仪器内部嵌入式软件，无需打开机箱，无需借助其他工具。开机自检、自动系统诊断、故障点自动检测。</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（14）具有可升级元素形态测试接口，升级后可检测砷(As)、汞(Hg)、硒(Se) 、 锑（Sb）等元素的价态，总量、形态自动切换，无需手工切换管路。</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独立蠕动泵设计的清洗装置，清洗液从进样针进入，充满一及气液分离器和二级气液分离器，经二级气液分离器排出清洗液，在清洗过程中，整套氢化物发生系统管路都侵泡在清洗液中，气液分离器成本低，维护简单，可实现自动清洗，无残留。（提供补液泵实物图）</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（16）软件可编辑，在工作过程中随时添加样品，编辑样品信息，编辑报告，软件可实时体现每个样品检测的状态及曲线，同时可实现批量样品导入方式，支持LIMS系统。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（17）保证汞性能及减少汞残留，需要满足以上技术参数提供多个泵的实物图，并指出泵的数量和功能。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（18）所有检测数据对应的峰形图能实时保存。（提供检测过程中样品的峰形图）</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（19）检出限As、Hg&lt;0.01μg/L；Hg&lt;0.001μg/L。</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（20）样品分析速度：总汞、总砷&lt;1分钟。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（21）精密度≤0.5%。</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（22）</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Hg稳定性：≤5.0%（提供0.5ppb汞元素连续200次测定数据图）。</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（23）线性范围：大于三个数量级。</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2、液相色谱分析单位技术要求：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（1）可联机AFS和PE ICPMS用于样品中As、Se、Hg等元素的不同形态的分析，满足国标两种方法（提供设备检测数据图谱）。</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（2）全PEEK流路(泵头、单向阀、压力传感器、管路等), 防止酸/碱/缓冲盐流动相的腐蚀。（以全PEEK实物图为准）</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（3）流量范围0.1-5.0mL/min连续可调。</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（4）最大耐压：&gt;25MPa。</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（5）控制方式：自带控制面板，可兼容现有实验室ICPMS，并且软件可以控制ICPMS设备。</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柱箱：可容纳至少2根250mm的色谱柱。</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可实现梯度分析，满足复杂样品海产品等样品的检测。</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自动进样器采用X Y Z三维电机驱动的自动进样器，进样器位数大于100位。</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提供“只需水”无机砷分析包：包括但不限于无机砷分析的专用色谱柱和试剂盒，只需加水即可完成无机砷分析。</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柱后氢化物发生装置：可以有效的把柱后流出液中的目标元素转化为氢化物。包括紫外消解装置、氢化物试剂混合装置、气液分离器、连接管路等。</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液相部分可配套原子荧光和采购方现有的PE ICP-MS配套使用。液相部分和原子荧光仪和ICPMS联机，包括但不限于流路的连接、信号触发、信号采集等。</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色谱工作站：必须兼容AFS和ICPMS可以实时采集数据并显示色谱图，采集完成后自动计算各组分的浓度（例如三价砷和五价砷）和总浓度（例如无机砷）。可运行于Win XP/7/8/10操作系统。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技术指标：As(Ⅲ) &lt;0.02，DMA、MMA &lt;0.02，As(V) &lt;0.02，Hg(II)、MeHg、EtHg&lt;0.005 PhHg&lt;0.1</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样品分析速度：无机砷&lt;6.5分钟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稳定性： RSD&lt;3%   </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center"/>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center"/>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3、配置要求：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双系统双通道原子荧光光度计主机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光源漂移扣除装置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汞灯自动激发起辉装置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双质量流量计气路控制模块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160位以上液面探测全自动进样器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独立蠕动泵氢化物发生系统清洗装置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免调元素灯                               2只</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液相色谱分析单元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控制ICPMS液相分析软件                     1套</w:t>
            </w:r>
            <w:r>
              <w:rPr>
                <w:rFonts w:hint="eastAsia" w:ascii="宋体" w:hAnsi="宋体" w:eastAsia="宋体"/>
                <w:color w:val="000000"/>
                <w:sz w:val="21"/>
                <w:szCs w:val="21"/>
                <w:highlight w:val="none"/>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10）工作站</w:t>
            </w:r>
            <w:r>
              <w:rPr>
                <w:rFonts w:hint="eastAsia" w:ascii="宋体" w:hAnsi="宋体" w:eastAsia="宋体"/>
                <w:color w:val="000000"/>
                <w:sz w:val="21"/>
                <w:szCs w:val="21"/>
                <w:highlight w:val="none"/>
              </w:rPr>
              <w:t xml:space="preserve">（配置不低于i5-14400处理器，8G以上内存，256GSSD，独立显卡、22寸液晶显示屏、win10及以上正版操作系统）  1套</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center"/>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center"/>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4、售后要求：</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（1）卖方须到买方提供的现场免费安装、调试设备，进行操作试验，直至运行正常并验收，为2名以上仪器操作人员提供免费的上机操作及日常维护培训。</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（2）免费提供2名仪器操作人员到国内生产商或销售商组织的操作及维护技术培训。</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（3）仪器故障响应时间不超过1个工作日，专职技术服务人员 2 个工作日内到场维修。</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（4）零配件应保证 10 年以上的供应期。</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（5）自测试验收合格起，整机设备免费保修≥1年。</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3</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气相程序升温进样口</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（1）提供标准分流/不分流进样口以及支持大体积进样的程序升温功能。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最高升温速率 ≥900 ℃/min。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进样模式至少包含热分流/不分流或冷分流/不分流、脉冲分流/不分流、溶剂排空、直接进样。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分流比不低于 12000:1。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具备扳转式进样口密封系统，有助于快速、简便地更换进样口衬管。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★可与用户现有的安捷伦串联四极杆气质联用仪（intuvo9000-7000E）配套使用。</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程序升温进样口1个</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（1）进样口质保期不低于1年。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（2）包含安装和现场培训。</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4</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氢气发生器</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（1）氢气流速范围：0-450 cc/min。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氢气纯度最高可达99.9995 %，CO&lt;0.1x10-6, CH4&lt;0.1x10-6，总杂质含量&lt;5.5x10-6（提供国家计量单位检测报告）。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氢气出气压力：0-100 psi，输出氢气压力可手动调节。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模块化设计，可以和氮气发生器、零级空气发生器、空压机任意叠放。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制取氢气原理：质子交换膜纯水电解技术。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具有低水位报警、压力报警、漏气报警装置，配备自动进水泵，自动进纯水，无需加碱液。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具有液晶面板，可在线显示压力和流速以及纯化装置的使用寿命，有两种压力单位显示：psi、bar。</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具有LCD模块的人机交互菜单，仪器正面具有指示灯显示运行、待机或故障等不同状态。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具有开机自检功能。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具有水质在线监测，水箱反应过程可视。</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氢气发生器主机，一台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电源线，一根</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标配水瓶，一个</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仪器到货后，由厂家工程师同采购人共同开箱验货，之后进行免费安装调试，验收合格签字后，设备进入质保期。无论质保期内外，2小时内响应，24小时上门，排除故障、修复或更换零部件，为仪器提供终身维修服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（2）厂家工程师在采购人现场安装调试完毕后，进行现场讲解培训，保证采购人掌握仪器的基本技能，可正确使用仪器的操作培训。</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5</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阴离子合成洗涤剂专用萃取仪</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（1）工作条件：环境温度：15– 40</w:t>
            </w:r>
            <w:r>
              <w:rPr>
                <w:rFonts w:hint="eastAsia" w:ascii="宋体" w:hAnsi="宋体" w:eastAsia="宋体"/>
                <w:color w:val="000000"/>
                <w:sz w:val="21"/>
                <w:szCs w:val="21"/>
                <w:highlight w:val="none"/>
                <w:lang w:val="en-US" w:eastAsia="ja-JP"/>
              </w:rPr>
              <w:t xml:space="preserve">℃</w:t>
            </w:r>
            <w:r>
              <w:rPr>
                <w:rFonts w:hint="eastAsia" w:ascii="宋体" w:hAnsi="宋体" w:eastAsia="宋体"/>
                <w:color w:val="000000"/>
                <w:sz w:val="21"/>
                <w:szCs w:val="21"/>
                <w:highlight w:val="none"/>
                <w:lang w:val="en-US"/>
              </w:rPr>
              <w:t xml:space="preserve">；相对湿度：15-80%。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（2）同时处理样品数量≥16个。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（3）萃取模式要求：采用立体磁力搅拌方式进行萃取。</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（4）分液漏斗规格要求：容积≥120mL,底部具备PTFE放液阀。</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（5）时间设定范围：0-9999min。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（6）搅拌速度设置范围：0-1000rpm。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（7）触摸屏规格：</w:t>
            </w:r>
            <w:r>
              <w:rPr>
                <w:rFonts w:hint="eastAsia"/>
                <w:color w:val="000000"/>
                <w:highlight w:val="none"/>
              </w:rPr>
              <w:t xml:space="preserve">≥</w:t>
            </w:r>
            <w:r>
              <w:rPr>
                <w:rFonts w:hint="eastAsia" w:ascii="宋体" w:hAnsi="宋体" w:eastAsia="宋体"/>
                <w:color w:val="000000"/>
                <w:sz w:val="21"/>
                <w:szCs w:val="21"/>
                <w:highlight w:val="none"/>
                <w:lang w:val="en-US"/>
              </w:rPr>
              <w:t xml:space="preserve">7吋彩色液晶触摸屏。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（8）外形尺寸：宽度≤42cm，进深≤50cm、高≤45cm。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（9）输入电源：AC220V ，输入功率≤100W。</w:t>
            </w:r>
            <w:r>
              <w:rPr>
                <w:rFonts w:hint="eastAsia" w:ascii="宋体" w:hAnsi="宋体" w:eastAsia="宋体"/>
                <w:color w:val="000000"/>
                <w:sz w:val="21"/>
                <w:szCs w:val="21"/>
                <w:highlight w:val="none"/>
                <w:lang w:val="en-US"/>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阴离子合成洗涤剂专用萃取仪1台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专用分液漏斗32只</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分液漏斗支架2只</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圆片形搅拌子32个</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搅拌子放置器1个</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（1）质保期1年，终身维修。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（2）卖方须在交货后到买方现场免费安装、调试设备并验收。直至技术指标与标书符合。</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（3）除了现场安装培训，另提供至少两名人员免费的操作培训。</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6</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智能水浴冷凝回流提取仪</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（1）工作条件：环境温度：15– 40</w:t>
            </w:r>
            <w:r>
              <w:rPr>
                <w:rFonts w:hint="eastAsia" w:ascii="宋体" w:hAnsi="宋体" w:eastAsia="宋体"/>
                <w:color w:val="000000"/>
                <w:sz w:val="21"/>
                <w:szCs w:val="21"/>
                <w:highlight w:val="none"/>
                <w:lang w:val="en-US" w:eastAsia="ja-JP"/>
              </w:rPr>
              <w:t xml:space="preserve">℃</w:t>
            </w:r>
            <w:r>
              <w:rPr>
                <w:rFonts w:hint="eastAsia" w:ascii="宋体" w:hAnsi="宋体" w:eastAsia="宋体"/>
                <w:color w:val="000000"/>
                <w:sz w:val="21"/>
                <w:szCs w:val="21"/>
                <w:highlight w:val="none"/>
                <w:lang w:val="en-US"/>
              </w:rPr>
              <w:t xml:space="preserve">；相对湿度：15-80%。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（2）同时处理样品数≥12个。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（3）热水浴控温范围：Rt+5℃至100℃；热水浴控温精度：±1℃。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（4）应具备热水浴防干烧保护功能：热水浴中至少具备三层防干烧保护措施，应具备自动补水功能，可满足长时间无人值守工作需求。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（5）热水浴槽材质：SUS304不锈钢，表面进行疏水防腐涂层处理。</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（6）磁力搅拌位数：≥12位。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（7）仪器软件支持热水浴温度校准功能。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（8）需采用彩色触摸屏控制，能够进行温度、时长、磁力搅拌速度控制。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（9）外形尺寸：长度≤80cm，宽≤59cm，高≤85cm。</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智能水浴冷凝回流提取仪主机1台；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智能水浴冷凝回流提取玻璃组件12套。</w:t>
            </w:r>
            <w:r>
              <w:rPr>
                <w:rFonts w:hint="eastAsia" w:ascii="宋体" w:hAnsi="宋体" w:eastAsia="宋体"/>
                <w:color w:val="000000"/>
                <w:sz w:val="21"/>
                <w:szCs w:val="21"/>
                <w:highlight w:val="none"/>
              </w:rPr>
            </w:r>
            <w:r/>
          </w:p>
        </w:tc>
      </w:tr>
      <w:tr>
        <w:trPr>
          <w:trHeight w:val="90"/>
        </w:trPr>
        <w:tc>
          <w:tcPr>
            <w:tcW w:w="600"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（1）质保期1年，终身维修。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（2）卖方须在交货后到买方现场免费安装、调试设备并验收。直至技术指标与标书符合。</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（3）除了现场安装培训，另提供至少两名人员免费的操作培训。</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7</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薄层扫描仪</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（1）配件规格符合2020版《中国药典》及2025版《中国药典》相关要求，可进行2025版《中国药典》四部通则0502 薄层色谱法相关要求。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测量方式：反射吸收法、透射吸收法、荧光法；多波长扫描，光谱范围：190nm~900nm（连续可调）。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光源：卤钨灯、氘灯、汞灯（自动切换）。</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单色器：全息光栅（1200线/mm）。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光谱带宽：5nm、10nm、20nm可选，标配（10nm）。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波长准确度：±0.5nm。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波长重现性：</w:t>
            </w:r>
            <w:r>
              <w:rPr>
                <w:rFonts w:hint="eastAsia"/>
                <w:color w:val="000000"/>
                <w:highlight w:val="none"/>
              </w:rPr>
              <w:t xml:space="preserve">≤</w:t>
            </w:r>
            <w:r>
              <w:rPr>
                <w:rFonts w:hint="eastAsia" w:ascii="宋体" w:hAnsi="宋体" w:eastAsia="宋体"/>
                <w:color w:val="000000"/>
                <w:sz w:val="21"/>
                <w:szCs w:val="21"/>
                <w:highlight w:val="none"/>
                <w:lang w:val="en-US"/>
              </w:rPr>
              <w:t xml:space="preserve">0.1nm；最小位移分辨率为：10~50μm。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测量平台：可放200mm×200mm色谱板（可定制300×200mm色谱板）。</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扫描速度：0~120mm/s；狭缝尺寸：长0-8mm、宽度0-4mm。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数据采集：数据采集速度30000DPS，数据传输：2000000baud。</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扫描方式：线性扫描；操作系统：WIN 7/8/10及以上。</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配制有专业色谱扫描软件。</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扫描仪主机一台。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专业扫描工作站软件一套。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配套电脑主机一台, 配置不低于i5 14600处理器，1TB固态硬盘，16G内存，22寸液晶显示器，正版windows操作系统。</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8</w:t>
            </w:r>
            <w:r>
              <w:rPr>
                <w:rFonts w:hint="eastAsia" w:ascii="宋体" w:hAnsi="宋体" w:eastAsia="宋体"/>
                <w:color w:val="000000"/>
                <w:sz w:val="22"/>
                <w:szCs w:val="22"/>
                <w:highlight w:val="none"/>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高效液相色谱仪</w:t>
            </w:r>
            <w:r>
              <w:rPr>
                <w:rFonts w:hint="eastAsia" w:ascii="宋体" w:hAnsi="宋体" w:eastAsia="宋体"/>
                <w:color w:val="000000"/>
                <w:sz w:val="21"/>
                <w:szCs w:val="21"/>
                <w:highlight w:val="none"/>
                <w:lang w:val="en-US"/>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（1）低压四元梯度泵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四元梯度泵（非单泵或二元高压泵），内置真空脱气机，在线柱塞清洗装置。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串联式双柱塞往复泵，20-100 uL自动连续可变冲程，齿轮传动，非皮带传动（提供软件冲程20ul和100ul截图证明）。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流量范围：0.1 mL/min – 10.0 mL/min，递增率0.001 mL/min。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流量精度：≤ 0.07 %RSD。</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★压力范围：0 – 600bar或更宽。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压力脉动：在整个压力范围内，&lt; 1 %。</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具备主动入口阀设计，须配置清单体现该附件。</w:t>
            </w:r>
            <w:r>
              <w:rPr>
                <w:rFonts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18"/>
                <w:szCs w:val="18"/>
                <w:highlight w:val="none"/>
                <w:lang w:val="en-US"/>
              </w:rPr>
              <w:fldChar w:fldCharType="begin"/>
            </w:r>
            <w:r>
              <w:rPr>
                <w:rFonts w:hint="eastAsia" w:ascii="宋体" w:hAnsi="宋体" w:eastAsia="宋体"/>
                <w:color w:val="000000"/>
                <w:sz w:val="18"/>
                <w:szCs w:val="18"/>
                <w:highlight w:val="none"/>
                <w:lang w:val="en-US"/>
              </w:rPr>
              <w:instrText xml:space="preserve"> = 8 \* GB3 </w:instrText>
            </w:r>
            <w:r>
              <w:rPr>
                <w:rFonts w:hint="eastAsia" w:ascii="宋体" w:hAnsi="宋体" w:eastAsia="宋体"/>
                <w:color w:val="000000"/>
                <w:sz w:val="18"/>
                <w:szCs w:val="18"/>
                <w:highlight w:val="none"/>
                <w:lang w:val="en-US"/>
              </w:rPr>
              <w:fldChar w:fldCharType="separate"/>
            </w:r>
            <w:r>
              <w:rPr>
                <w:rFonts w:hint="eastAsia" w:ascii="宋体" w:hAnsi="宋体" w:eastAsia="宋体"/>
                <w:color w:val="000000"/>
                <w:sz w:val="18"/>
                <w:szCs w:val="18"/>
                <w:highlight w:val="none"/>
                <w:lang w:val="en-US"/>
              </w:rPr>
              <w:t xml:space="preserve">⑧</w:t>
            </w:r>
            <w:r>
              <w:rPr>
                <w:rFonts w:hint="eastAsia" w:ascii="宋体" w:hAnsi="宋体" w:eastAsia="宋体"/>
                <w:color w:val="000000"/>
                <w:sz w:val="18"/>
                <w:szCs w:val="18"/>
                <w:highlight w:val="none"/>
                <w:lang w:val="en-US"/>
              </w:rPr>
              <w:fldChar w:fldCharType="end"/>
            </w:r>
            <w:r>
              <w:rPr>
                <w:rFonts w:ascii="宋体" w:hAnsi="宋体" w:eastAsia="宋体"/>
                <w:color w:val="000000"/>
                <w:sz w:val="21"/>
                <w:szCs w:val="21"/>
                <w:highlight w:val="none"/>
                <w:lang w:val="en-US"/>
              </w:rPr>
              <w:t xml:space="preserve">智能脱气：可自动完成流动相置换、气泡移除、系统冲洗和色谱柱平衡，并智能判断系统是否准备就绪，节省大量样品分析前的仪器准备工作。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rPr>
              <w:t xml:space="preserve">（2）自动进样器</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样品容量：130位及以上2 mL样品瓶位。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★样品温控范围：4-40℃。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交叉污染度：&lt; 0.004 %。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控制功能：进样体积，自动洗针程序，柱前自动衍生程序，柱前样品自动稀释， 自动混合，取样及进样速率。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★耐压范围：0-600bar或更宽。</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（3）柱温箱</w:t>
            </w:r>
            <w:r>
              <w:rPr>
                <w:rFonts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柱温范围：室温以下10℃（最低到4℃）-85℃，具有半导体加热和制冷。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温度精度：±0.05℃。（提供官网可查询截图证明）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柱容量：可拓展支持放置不低于4根30cm色谱柱或8根10cm色谱柱，两侧可放置预柱。</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★内置可控温的2位6通色谱柱切换阀。</w:t>
            </w:r>
            <w:r>
              <w:rPr>
                <w:rFonts w:hint="eastAsia" w:ascii="宋体" w:hAnsi="宋体" w:eastAsia="宋体"/>
                <w:color w:val="000000"/>
                <w:sz w:val="21"/>
                <w:szCs w:val="21"/>
                <w:highlight w:val="none"/>
                <w:lang w:val="en-US"/>
              </w:rPr>
            </w:r>
            <w:r/>
          </w:p>
          <w:p>
            <w:pPr>
              <w:pStyle w:val="1035"/>
              <w:jc w:val="lef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（4）蒸发光散射检测器</w:t>
            </w:r>
            <w:r>
              <w:rPr>
                <w:rFonts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光源：LED 480nm。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检测器：PMT, 含数字信号处理功能。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雾化器温度：25~90℃。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蒸发器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A、气体流量控制范围：0.9~3.25SLM(可控气体关闭)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B、基线噪音：＜0.2Mv</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C、漂移：＜1Mv/h</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D、操作压力：4.1~6.7bar</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E、洗脱液流量范围：0.2~5.0mL/min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F、检测输出频率：10, 40或80Hz</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（5）二极管阵列检测器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二极管对数：1024对；</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灯源：钨灯和氘灯双灯源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波长范围：190-950nm或更宽（提供官网可查询截图证明）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短期噪音：&lt; ±7x 10-6 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漂移：&lt; 0.9 x 10-6 AU/hr</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采集速率：≥120Hz（提供官网可查询截图证明）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（6）工作站</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 单点控制所有的色谱模块部分。可以实现数据采集，数据分析，液相和质谱同步控制，在线监测，反馈显示和序列采集。</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四元低压梯度泵（含在线真空脱气机），</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自动进样器（含样品温控模块），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高性能柱温箱（含2柱切换阀），</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二极管阵列检测器，</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蒸发光散射检测器，</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色谱工作站软件，</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电脑，</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套，不低于i5 CPU, 16GB内存, 512G固态硬盘+1T机械硬盘, Microsoft windows 11专业版或者企业版操作系统，23英寸液晶显示器。</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（1）自测试验收合格起，整机设备免费保修≥1年。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（2）卖方须到买方提供的现场免费安装、调试设备，进行操作试验，直至运行正常并验收，为2名以上仪器操作人员提供免费的上机操作及日常维护培训。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质量及验收标准：技术指标符合买方要求和厂家规定的出厂要求。同时按厂家标准验收程序和中国国家计量标准部门的有关规程验收并在30天内出具计量单位检定证书，如未通过验收，应视情节更换部件或主机，直至退货。</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（4）免费提供2名仪器操作人员到国内生产商或销售商组织的操作及维护技术培训。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（5）仪器故障响应时间不超过1个工作日，专职技术服务人员 2 个工作日内到场维修。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（6）零配件应保证 10 年以上的供应期。</w:t>
            </w:r>
            <w:r>
              <w:rPr>
                <w:rFonts w:hint="eastAsia" w:ascii="宋体" w:hAnsi="宋体" w:eastAsia="宋体"/>
                <w:color w:val="000000"/>
                <w:sz w:val="21"/>
                <w:szCs w:val="21"/>
                <w:highlight w:val="none"/>
              </w:rPr>
            </w:r>
            <w:r/>
          </w:p>
        </w:tc>
      </w:tr>
      <w:tr>
        <w:trPr>
          <w:trHeight w:val="5152"/>
        </w:trPr>
        <w:tc>
          <w:tcPr>
            <w:tcW w:w="600"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lang w:eastAsia="zh-CN"/>
              </w:rPr>
            </w:pPr>
            <w:r>
              <w:rPr>
                <w:rFonts w:hint="eastAsia" w:ascii="宋体" w:hAnsi="宋体" w:eastAsia="宋体"/>
                <w:color w:val="000000"/>
                <w:sz w:val="22"/>
                <w:szCs w:val="22"/>
                <w:highlight w:val="none"/>
                <w:lang w:val="en-US" w:eastAsia="zh-CN" w:bidi="ar"/>
              </w:rPr>
              <w:t xml:space="preserve">9</w:t>
            </w:r>
            <w:r>
              <w:rPr>
                <w:rFonts w:hint="eastAsia" w:ascii="宋体" w:hAnsi="宋体" w:eastAsia="宋体"/>
                <w:color w:val="000000"/>
                <w:sz w:val="22"/>
                <w:szCs w:val="22"/>
                <w:highlight w:val="none"/>
                <w:lang w:eastAsia="zh-CN"/>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磁力搅拌器</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（1）工作盘尺寸：≥184x184mm（7寸）</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（2）盘面材质：玻璃陶瓷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（3）最大搅拌量（水）：≥10L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（4）转速范围：0-1500rpm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（5）转速显示：刻度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（6）温度显示：LED</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（7）加热温度范围：室温-550℃，步长5℃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（8）加热液体控温精度：≤±10℃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（9）温度显示精度：≤±1°C</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（10）外置温度传感器精度：≤±0.2°C</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（11）具备余热警告功能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（12）具备过热保护</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（13）电机类型：罩极电机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（14）搅拌点位数量：1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（15）搅拌子最大尺寸长度：≥80mm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（16）外壳防护等级：IP21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lang w:val="en-US"/>
              </w:rPr>
              <w:t xml:space="preserve">）热输出功率：1000W</w:t>
            </w:r>
            <w:r>
              <w:rPr>
                <w:rFonts w:hint="eastAsia" w:ascii="宋体" w:hAnsi="宋体" w:eastAsia="宋体"/>
                <w:color w:val="000000"/>
                <w:sz w:val="21"/>
                <w:szCs w:val="21"/>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主机1台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温度探头1个</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支架1套</w:t>
            </w:r>
            <w:r>
              <w:rPr>
                <w:rFonts w:hint="eastAsia" w:ascii="宋体" w:hAnsi="宋体" w:eastAsia="宋体"/>
                <w:color w:val="000000"/>
                <w:sz w:val="21"/>
                <w:szCs w:val="21"/>
                <w:highlight w:val="none"/>
              </w:rPr>
            </w:r>
            <w:r/>
          </w:p>
        </w:tc>
      </w:tr>
      <w:tr>
        <w:trPr/>
        <w:tc>
          <w:tcPr>
            <w:tcW w:w="600"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eastAsia="zh-CN"/>
              </w:rPr>
            </w:pPr>
            <w:r>
              <w:rPr>
                <w:rFonts w:hint="eastAsia" w:ascii="宋体" w:hAnsi="宋体" w:eastAsia="宋体"/>
                <w:color w:val="000000"/>
                <w:sz w:val="22"/>
                <w:szCs w:val="22"/>
                <w:highlight w:val="none"/>
                <w:lang w:val="en-US" w:eastAsia="zh-CN" w:bidi="ar"/>
              </w:rPr>
              <w:t xml:space="preserve">10</w:t>
            </w:r>
            <w:r>
              <w:rPr>
                <w:rFonts w:ascii="宋体" w:hAnsi="宋体" w:eastAsia="宋体"/>
                <w:color w:val="000000"/>
                <w:sz w:val="22"/>
                <w:szCs w:val="22"/>
                <w:highlight w:val="none"/>
                <w:lang w:val="en-US" w:eastAsia="zh-CN"/>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高速离心机</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（1）微机控制，数字显示，触摸式按键操作。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生物安全性定角转头离心，1.5mL/2.0mL离心管最大处理容量≥24个/24个。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生物安全水平转头离心，15mL/50mL离心管最大处理容量≥20个/12个</w:t>
            </w:r>
            <w:r>
              <w:rPr>
                <w:rFonts w:hint="eastAsia" w:eastAsia="宋体"/>
                <w:color w:val="000000"/>
                <w:highlight w:val="none"/>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（4）定角转头最高转速：≥17,</w:t>
            </w:r>
            <w:r>
              <w:rPr>
                <w:rFonts w:ascii="宋体" w:hAnsi="宋体" w:eastAsia="宋体"/>
                <w:color w:val="000000"/>
                <w:sz w:val="21"/>
                <w:szCs w:val="21"/>
                <w:highlight w:val="none"/>
                <w:lang w:val="en-US"/>
              </w:rPr>
              <w:t xml:space="preserve">000</w:t>
            </w:r>
            <w:r>
              <w:rPr>
                <w:rFonts w:hint="eastAsia" w:ascii="宋体" w:hAnsi="宋体" w:eastAsia="宋体"/>
                <w:color w:val="000000"/>
                <w:sz w:val="21"/>
                <w:szCs w:val="21"/>
                <w:highlight w:val="none"/>
                <w:lang w:val="en-US"/>
              </w:rPr>
              <w:t xml:space="preserve"> rpm。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（5）最大容量： ≥1600mL/次。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（6）水平转头最高转速：≥14,000 rpm。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最低制冷温度：≤-20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（8）驱动系统：无碳刷变频感应电机。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（9）优良的温度控制性能：可在10min内降温至4℃，此条需要提供彩页资料证明。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（10）显示功能：数字显示；实时RPM/RCF互换读数显示。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（11）升/降速率选择：10个/10个（提供彩页资料证明）。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（12）时间设定范围: 0至9 小时59分钟，另有连续时间运行 (HOLD) 选择。</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（13）安全功能：转头不平衡检测，超速/超温保护，自动安全门锁及机身精钢设计。</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主机1台。</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1.5ml定角转头1个。</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15ml锥形定角转头1个。</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50ml锥形定角转头1个。</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酶标板转头1个。</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（1）质保期2年。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（2）卖方须在交货后到买方现场免费安装、调试设备并验收。直至技术指标与标书符合。</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（3）另提供每年1次上门检修服务。</w:t>
            </w:r>
            <w:r>
              <w:rPr>
                <w:rFonts w:hint="eastAsia" w:ascii="宋体" w:hAnsi="宋体" w:eastAsia="宋体"/>
                <w:color w:val="000000"/>
                <w:sz w:val="22"/>
                <w:szCs w:val="22"/>
                <w:highlight w:val="none"/>
              </w:rPr>
            </w:r>
            <w:r/>
          </w:p>
        </w:tc>
      </w:tr>
      <w:tr>
        <w:trPr/>
        <w:tc>
          <w:tcPr>
            <w:tcW w:w="600"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eastAsia="zh-CN"/>
              </w:rPr>
            </w:pPr>
            <w:r>
              <w:rPr>
                <w:rFonts w:hint="eastAsia" w:ascii="宋体" w:hAnsi="宋体" w:eastAsia="宋体"/>
                <w:color w:val="000000"/>
                <w:sz w:val="22"/>
                <w:szCs w:val="22"/>
                <w:highlight w:val="none"/>
                <w:lang w:val="en-US" w:eastAsia="zh-CN" w:bidi="ar"/>
              </w:rPr>
              <w:t xml:space="preserve">11</w:t>
            </w:r>
            <w:r>
              <w:rPr>
                <w:rFonts w:ascii="宋体" w:hAnsi="宋体" w:eastAsia="宋体"/>
                <w:color w:val="000000"/>
                <w:sz w:val="22"/>
                <w:szCs w:val="22"/>
                <w:highlight w:val="none"/>
                <w:lang w:val="en-US" w:eastAsia="zh-CN"/>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数控高速切条机</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（1）通过参数设置可以任意改变切割的速度和试纸条的宽度。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可实现中英文切换。</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（3）在切条过程就可以完成计数,检验等过程。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（4）通过限位调节装置可导入不同宽度的片材材料。</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（5）刀片零间隙结构。</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（6）刀片方便拆卸,调整和安装。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设备具有计数功能，通过操作可轻松实现清零等功能。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t xml:space="preserve">）刀具使用寿命检测。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具有自动送料功能。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t xml:space="preserve">）具有连续切割和单切功能。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）切割精度：≤±0.05㎜。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）切割尺寸：2㎜~300㎜。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）切割速度：≥600下/分钟。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）进料片材宽度：0.5mm-110mm。</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主机一台。</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说明书一份。</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755"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质保及备件供应：保证产品为全新原厂设备；合同签订后7天内到货；仪器在调试通过后提供保修服务，保修期一年（刀片除外）；在保修期内，所有服务及配件全部免费,保修期外，能更及时地为用户提供备品备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2）</w:t>
            </w:r>
            <w:r>
              <w:rPr>
                <w:rFonts w:hint="eastAsia" w:ascii="宋体" w:hAnsi="宋体" w:eastAsia="宋体"/>
                <w:color w:val="000000"/>
                <w:sz w:val="22"/>
                <w:szCs w:val="22"/>
                <w:highlight w:val="none"/>
              </w:rPr>
              <w:t xml:space="preserve">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2"/>
                <w:szCs w:val="22"/>
                <w:highlight w:val="none"/>
              </w:rPr>
            </w:r>
            <w:r/>
          </w:p>
        </w:tc>
      </w:tr>
      <w:tr>
        <w:trPr/>
        <w:tc>
          <w:tcPr>
            <w:tcW w:w="600"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eastAsia="zh-CN"/>
              </w:rPr>
            </w:pPr>
            <w:r>
              <w:rPr>
                <w:rFonts w:hint="eastAsia" w:ascii="宋体" w:hAnsi="宋体" w:eastAsia="宋体"/>
                <w:color w:val="000000"/>
                <w:sz w:val="22"/>
                <w:szCs w:val="22"/>
                <w:highlight w:val="none"/>
                <w:lang w:val="en-US" w:eastAsia="zh-CN" w:bidi="ar"/>
              </w:rPr>
              <w:t xml:space="preserve">12</w:t>
            </w:r>
            <w:r>
              <w:rPr>
                <w:rFonts w:ascii="宋体" w:hAnsi="宋体" w:eastAsia="宋体"/>
                <w:color w:val="000000"/>
                <w:sz w:val="22"/>
                <w:szCs w:val="22"/>
                <w:highlight w:val="none"/>
                <w:lang w:val="en-US" w:eastAsia="zh-CN"/>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荧光定量快速检测仪</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（1）仪器最低检测限：满量程信号值的0.05%。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（2）仪器稳定性：10次测量，TC比值CV小于0.5%。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（3）仪器信噪比：≤0.01%(1:10000)。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荧光检测波段：365/610、470/540、525/610、610/690（nm）。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（5）支持数据连接：LAN、GPRS、COM。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（6）检测数据自动上传云平台。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（7）故障自动报警，远程诊断。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（8）操作系统和标准曲线自动更新下载。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触摸液晶屏 ≥7寸，电容触摸屏</w:t>
            </w:r>
            <w:r>
              <w:rPr>
                <w:rFonts w:hint="eastAsia" w:eastAsia="宋体"/>
                <w:color w:val="000000"/>
                <w:highlight w:val="none"/>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t xml:space="preserve">）液晶分辨率 ：≥800×480像素。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）仪器接口 ：USB，GPRS，COM。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）存储结果：≥100000条。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）项目识别：智能识别≥1200种项目和批次</w:t>
            </w:r>
            <w:r>
              <w:rPr>
                <w:rFonts w:hint="eastAsia" w:eastAsia="宋体"/>
                <w:color w:val="000000"/>
                <w:highlight w:val="none"/>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）测试通道数：单通道。</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）单通道测试线数：最大支持4线。</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）质控校准：内部质控标准。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）检测波段：荧光和可见光均可定制。</w:t>
            </w:r>
            <w:r>
              <w:rPr>
                <w:rFonts w:hint="eastAsia" w:ascii="宋体" w:hAnsi="宋体" w:eastAsia="宋体"/>
                <w:color w:val="000000"/>
                <w:sz w:val="22"/>
                <w:szCs w:val="22"/>
                <w:highlight w:val="none"/>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eastAsia="zh-CN"/>
              </w:rPr>
            </w:pPr>
            <w:r>
              <w:rPr>
                <w:rFonts w:hint="eastAsia" w:ascii="宋体" w:hAnsi="宋体" w:eastAsia="宋体"/>
                <w:color w:val="000000"/>
                <w:sz w:val="22"/>
                <w:szCs w:val="22"/>
                <w:highlight w:val="none"/>
              </w:rPr>
              <w:t xml:space="preserve">荧光定量分析仪1台</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tc>
      </w:tr>
      <w:tr>
        <w:trPr/>
        <w:tc>
          <w:tcPr>
            <w:tcW w:w="600"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755"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1）质保及备件供应：保证产品为全新原厂设备；合同签订且款到后30天内到货；仪器在调试通过后提供保修服务，设备产品1年整机免费保修，人为因素导致的损坏除外。保修期外仪器维修仅收取零部件成本费用；以上期限自</w:t>
            </w:r>
            <w:r>
              <w:rPr>
                <w:rFonts w:hint="eastAsia" w:ascii="宋体" w:hAnsi="宋体" w:eastAsia="宋体"/>
                <w:color w:val="000000"/>
                <w:sz w:val="22"/>
                <w:szCs w:val="22"/>
                <w:highlight w:val="none"/>
                <w:lang w:val="en-US" w:eastAsia="zh-CN"/>
              </w:rPr>
              <w:t xml:space="preserve">采购人</w:t>
            </w:r>
            <w:r>
              <w:rPr>
                <w:rFonts w:hint="eastAsia" w:ascii="宋体" w:hAnsi="宋体" w:eastAsia="宋体"/>
                <w:color w:val="000000"/>
                <w:sz w:val="22"/>
                <w:szCs w:val="22"/>
                <w:highlight w:val="none"/>
                <w:lang w:val="en-US"/>
              </w:rPr>
              <w:t xml:space="preserve">验收合格之日起计算。如产品出现任何质量问题，</w:t>
            </w:r>
            <w:r>
              <w:rPr>
                <w:rFonts w:hint="eastAsia" w:ascii="宋体" w:hAnsi="宋体" w:eastAsia="宋体"/>
                <w:color w:val="000000"/>
                <w:sz w:val="22"/>
                <w:szCs w:val="22"/>
                <w:highlight w:val="none"/>
                <w:lang w:val="en-US" w:eastAsia="zh-CN"/>
              </w:rPr>
              <w:t xml:space="preserve">供应商</w:t>
            </w:r>
            <w:r>
              <w:rPr>
                <w:rFonts w:hint="eastAsia" w:ascii="宋体" w:hAnsi="宋体" w:eastAsia="宋体"/>
                <w:color w:val="000000"/>
                <w:sz w:val="22"/>
                <w:szCs w:val="22"/>
                <w:highlight w:val="none"/>
                <w:lang w:val="en-US"/>
              </w:rPr>
              <w:t xml:space="preserve">负责退换货；但由于</w:t>
            </w:r>
            <w:r>
              <w:rPr>
                <w:rFonts w:hint="eastAsia" w:ascii="宋体" w:hAnsi="宋体" w:eastAsia="宋体"/>
                <w:color w:val="000000"/>
                <w:sz w:val="22"/>
                <w:szCs w:val="22"/>
                <w:highlight w:val="none"/>
                <w:lang w:val="en-US" w:eastAsia="zh-CN"/>
              </w:rPr>
              <w:t xml:space="preserve">采购人</w:t>
            </w:r>
            <w:r>
              <w:rPr>
                <w:rFonts w:hint="eastAsia" w:ascii="宋体" w:hAnsi="宋体" w:eastAsia="宋体"/>
                <w:color w:val="000000"/>
                <w:sz w:val="22"/>
                <w:szCs w:val="22"/>
                <w:highlight w:val="none"/>
                <w:lang w:val="en-US"/>
              </w:rPr>
              <w:t xml:space="preserve">操作不当、保存不当、人为损坏等非</w:t>
            </w:r>
            <w:r>
              <w:rPr>
                <w:rFonts w:hint="eastAsia" w:ascii="宋体" w:hAnsi="宋体" w:eastAsia="宋体"/>
                <w:color w:val="000000"/>
                <w:sz w:val="22"/>
                <w:szCs w:val="22"/>
                <w:highlight w:val="none"/>
                <w:lang w:val="en-US" w:eastAsia="zh-CN"/>
              </w:rPr>
              <w:t xml:space="preserve">供应商</w:t>
            </w:r>
            <w:r>
              <w:rPr>
                <w:rFonts w:hint="eastAsia" w:ascii="宋体" w:hAnsi="宋体" w:eastAsia="宋体"/>
                <w:color w:val="000000"/>
                <w:sz w:val="22"/>
                <w:szCs w:val="22"/>
                <w:highlight w:val="none"/>
                <w:lang w:val="en-US"/>
              </w:rPr>
              <w:t xml:space="preserve">责任导致的货损，相关费用及损失应由</w:t>
            </w:r>
            <w:r>
              <w:rPr>
                <w:rFonts w:hint="eastAsia" w:ascii="宋体" w:hAnsi="宋体" w:eastAsia="宋体"/>
                <w:color w:val="000000"/>
                <w:sz w:val="22"/>
                <w:szCs w:val="22"/>
                <w:highlight w:val="none"/>
                <w:lang w:val="en-US" w:eastAsia="zh-CN"/>
              </w:rPr>
              <w:t xml:space="preserve">采购人</w:t>
            </w:r>
            <w:r>
              <w:rPr>
                <w:rFonts w:hint="eastAsia" w:ascii="宋体" w:hAnsi="宋体" w:eastAsia="宋体"/>
                <w:color w:val="000000"/>
                <w:sz w:val="22"/>
                <w:szCs w:val="22"/>
                <w:highlight w:val="none"/>
                <w:lang w:val="en-US"/>
              </w:rPr>
              <w:t xml:space="preserve">自行承担。</w:t>
            </w:r>
            <w:r>
              <w:rPr>
                <w:rFonts w:hint="eastAsia" w:ascii="宋体" w:hAnsi="宋体" w:eastAsia="宋体"/>
                <w:color w:val="000000"/>
                <w:sz w:val="22"/>
                <w:szCs w:val="22"/>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rPr>
              <w:t xml:space="preserve">（2）技术服务：</w:t>
            </w:r>
            <w:r>
              <w:rPr>
                <w:rFonts w:hint="eastAsia" w:ascii="宋体" w:hAnsi="宋体" w:eastAsia="宋体"/>
                <w:color w:val="000000"/>
                <w:sz w:val="22"/>
                <w:szCs w:val="22"/>
                <w:highlight w:val="none"/>
                <w:lang w:val="en-US" w:eastAsia="zh-CN"/>
              </w:rPr>
              <w:t xml:space="preserve">供应商</w:t>
            </w:r>
            <w:r>
              <w:rPr>
                <w:rFonts w:hint="eastAsia" w:ascii="宋体" w:hAnsi="宋体" w:eastAsia="宋体"/>
                <w:color w:val="000000"/>
                <w:sz w:val="22"/>
                <w:szCs w:val="22"/>
                <w:highlight w:val="none"/>
                <w:lang w:val="en-US"/>
              </w:rPr>
              <w:t xml:space="preserve">可按照</w:t>
            </w:r>
            <w:r>
              <w:rPr>
                <w:rFonts w:hint="eastAsia" w:ascii="宋体" w:hAnsi="宋体" w:eastAsia="宋体"/>
                <w:color w:val="000000"/>
                <w:sz w:val="22"/>
                <w:szCs w:val="22"/>
                <w:highlight w:val="none"/>
                <w:lang w:val="en-US" w:eastAsia="zh-CN"/>
              </w:rPr>
              <w:t xml:space="preserve">采购人</w:t>
            </w:r>
            <w:r>
              <w:rPr>
                <w:rFonts w:hint="eastAsia" w:ascii="宋体" w:hAnsi="宋体" w:eastAsia="宋体"/>
                <w:color w:val="000000"/>
                <w:sz w:val="22"/>
                <w:szCs w:val="22"/>
                <w:highlight w:val="none"/>
                <w:lang w:val="en-US"/>
              </w:rPr>
              <w:t xml:space="preserve">需求对化验员提供培训服务。提供仪器设备详细的中文操作手册。</w:t>
            </w:r>
            <w:r>
              <w:rPr>
                <w:rFonts w:hint="eastAsia" w:ascii="宋体" w:hAnsi="宋体" w:eastAsia="宋体"/>
                <w:color w:val="000000"/>
                <w:sz w:val="22"/>
                <w:szCs w:val="22"/>
                <w:highlight w:val="none"/>
              </w:rPr>
            </w:r>
            <w:r/>
          </w:p>
        </w:tc>
      </w:tr>
      <w:tr>
        <w:trPr/>
        <w:tc>
          <w:tcPr>
            <w:tcW w:w="600"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eastAsia="zh-CN" w:bidi="ar"/>
              </w:rPr>
            </w:pPr>
            <w:r>
              <w:rPr>
                <w:rFonts w:hint="eastAsia" w:ascii="宋体" w:hAnsi="宋体" w:eastAsia="宋体"/>
                <w:color w:val="000000"/>
                <w:sz w:val="22"/>
                <w:szCs w:val="22"/>
                <w:highlight w:val="none"/>
                <w:lang w:val="en-US" w:eastAsia="zh-CN" w:bidi="ar"/>
              </w:rPr>
              <w:t xml:space="preserve">13</w:t>
            </w:r>
            <w:r>
              <w:rPr>
                <w:rFonts w:ascii="宋体" w:hAnsi="宋体" w:eastAsia="宋体"/>
                <w:color w:val="000000"/>
                <w:sz w:val="22"/>
                <w:szCs w:val="22"/>
                <w:highlight w:val="none"/>
                <w:lang w:val="en-US" w:eastAsia="zh-CN" w:bidi="ar"/>
              </w:rPr>
            </w:r>
            <w:r/>
          </w:p>
        </w:tc>
        <w:tc>
          <w:tcPr>
            <w:tcW w:w="1755"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烘箱</w:t>
            </w:r>
            <w:r>
              <w:rPr>
                <w:rFonts w:hint="eastAsia" w:ascii="宋体" w:hAnsi="宋体" w:eastAsia="宋体"/>
                <w:color w:val="000000"/>
                <w:sz w:val="21"/>
                <w:szCs w:val="21"/>
                <w:highlight w:val="none"/>
              </w:rPr>
            </w:r>
            <w:r/>
          </w:p>
        </w:tc>
        <w:tc>
          <w:tcPr>
            <w:tcW w:w="7680" w:type="dxa"/>
            <w:vAlign w:val="center"/>
            <w:textDirection w:val="lrTb"/>
            <w:noWrap/>
          </w:tcPr>
          <w:p>
            <w:pPr>
              <w:pStyle w:val="1035"/>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（1）体积：≧150L。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（2）外形尺寸（mm）：≧W600*D650*H900；内胆尺寸（mm）：≧W500*D400*H750。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（3）对流方式为强制对流。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（4）控制方式：智能模糊PID控制系统。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（5）控温范围为RT+5℃～250℃。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（6）温度显示精度为0.1℃。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温度均匀度（℃）：±0.5℃（100℃）。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t xml:space="preserve">）内胆材料为不锈钢（非镀锌板）。</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t xml:space="preserve">）具有顶部排气和测试孔。</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t xml:space="preserve">）采用pt100三芯高精度传感器。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）托盘（标配）2层，最多可选配至4层。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设备具有超温保护功能，标配超温保护器和漏电保护器。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w:t>
            </w:r>
            <w:r>
              <w:rPr>
                <w:rFonts w:ascii="宋体" w:hAnsi="宋体"/>
                <w:color w:val="000000"/>
                <w:sz w:val="24"/>
                <w:szCs w:val="24"/>
                <w:highlight w:val="none"/>
              </w:rPr>
              <w:t xml:space="preserve">▲</w:t>
            </w:r>
            <w:r>
              <w:rPr>
                <w:rFonts w:hint="eastAsia" w:ascii="宋体" w:hAnsi="宋体" w:eastAsia="宋体"/>
                <w:color w:val="000000"/>
                <w:sz w:val="21"/>
                <w:szCs w:val="21"/>
                <w:highlight w:val="none"/>
                <w:lang w:val="en-US"/>
              </w:rPr>
              <w:t xml:space="preserve">设备具有温度校准功能。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）具有四向分散风道系统。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）具有新鲜风进入系统。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）加热功率：2300W。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）出厂标配16A插头。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t xml:space="preserve">）提供打印功能选配选项，满足用户对数据留存、报告输出的个性化需求。</w:t>
            </w:r>
            <w:r>
              <w:rPr>
                <w:rFonts w:hint="eastAsia" w:ascii="宋体" w:hAnsi="宋体" w:eastAsia="宋体"/>
                <w:color w:val="000000"/>
                <w:sz w:val="21"/>
                <w:szCs w:val="21"/>
                <w:highlight w:val="none"/>
                <w:lang w:val="en-US"/>
              </w:rPr>
            </w:r>
            <w:r/>
          </w:p>
        </w:tc>
      </w:tr>
      <w:tr>
        <w:trPr/>
        <w:tc>
          <w:tcPr>
            <w:tcW w:w="600"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755"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680"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质保期为自安装调试后二年内。</w:t>
            </w:r>
            <w:r>
              <w:rPr>
                <w:rFonts w:hint="eastAsia" w:ascii="宋体" w:hAnsi="宋体" w:eastAsia="宋体"/>
                <w:color w:val="000000"/>
                <w:sz w:val="21"/>
                <w:szCs w:val="21"/>
                <w:highlight w:val="none"/>
                <w:lang w:val="en-US"/>
              </w:rPr>
            </w:r>
            <w:r/>
          </w:p>
        </w:tc>
      </w:tr>
    </w:tbl>
    <w:p>
      <w:pPr>
        <w:pStyle w:val="1427"/>
        <w:ind w:left="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35"/>
        <w:keepLines/>
        <w:keepNext/>
        <w:spacing w:line="360" w:lineRule="auto"/>
        <w:shd w:val="clear" w:color="auto" w:fill="auto"/>
        <w:rPr>
          <w:rFonts w:eastAsia="宋体"/>
          <w:b/>
          <w:bCs w:val="0"/>
          <w:color w:val="000000"/>
          <w:highlight w:val="none"/>
          <w:lang w:val="en-US"/>
        </w:rPr>
      </w:pPr>
      <w:r>
        <w:rPr>
          <w:rFonts w:hint="eastAsia" w:ascii="宋体" w:hAnsi="宋体" w:eastAsia="宋体"/>
          <w:b/>
          <w:bCs w:val="0"/>
          <w:color w:val="000000"/>
          <w:sz w:val="21"/>
          <w:szCs w:val="21"/>
          <w:highlight w:val="none"/>
        </w:rPr>
        <w:t xml:space="preserve">（</w:t>
      </w:r>
      <w:r>
        <w:rPr>
          <w:rFonts w:hint="eastAsia" w:ascii="宋体" w:hAnsi="宋体" w:eastAsia="宋体"/>
          <w:b/>
          <w:bCs w:val="0"/>
          <w:color w:val="000000"/>
          <w:sz w:val="21"/>
          <w:szCs w:val="21"/>
          <w:highlight w:val="none"/>
          <w:lang w:val="en-US" w:eastAsia="zh-CN"/>
        </w:rPr>
        <w:t xml:space="preserve">三</w:t>
      </w:r>
      <w:r>
        <w:rPr>
          <w:rFonts w:hint="eastAsia" w:ascii="宋体" w:hAnsi="宋体" w:eastAsia="宋体"/>
          <w:b/>
          <w:bCs w:val="0"/>
          <w:color w:val="000000"/>
          <w:sz w:val="21"/>
          <w:szCs w:val="21"/>
          <w:highlight w:val="none"/>
          <w:lang w:val="en-US"/>
        </w:rPr>
        <w:t xml:space="preserve">）采购包</w:t>
      </w:r>
      <w:r>
        <w:rPr>
          <w:rFonts w:hint="eastAsia" w:ascii="宋体" w:hAnsi="宋体" w:eastAsia="宋体"/>
          <w:b/>
          <w:bCs w:val="0"/>
          <w:color w:val="000000"/>
          <w:sz w:val="21"/>
          <w:szCs w:val="21"/>
          <w:highlight w:val="none"/>
          <w:lang w:val="en-US" w:eastAsia="zh-CN"/>
        </w:rPr>
        <w:t xml:space="preserve">3</w:t>
      </w:r>
      <w:r>
        <w:rPr>
          <w:rFonts w:hint="eastAsia" w:ascii="宋体" w:hAnsi="宋体" w:eastAsia="宋体"/>
          <w:b/>
          <w:bCs w:val="0"/>
          <w:color w:val="000000"/>
          <w:sz w:val="21"/>
          <w:szCs w:val="21"/>
          <w:highlight w:val="none"/>
          <w:lang w:val="en-US"/>
        </w:rPr>
        <w:t xml:space="preserve">：南京市食品药品监督检验院生物安全柜等检测设备采购一批 </w:t>
      </w:r>
      <w:r>
        <w:rPr>
          <w:rFonts w:eastAsia="宋体"/>
          <w:b/>
          <w:bCs w:val="0"/>
          <w:color w:val="000000"/>
          <w:highlight w:val="none"/>
          <w:lang w:val="en-US"/>
        </w:rPr>
      </w:r>
      <w:r/>
    </w:p>
    <w:tbl>
      <w:tblPr>
        <w:tblW w:w="100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416"/>
        <w:gridCol w:w="8016"/>
      </w:tblGrid>
      <w:tr>
        <w:trPr/>
        <w:tc>
          <w:tcPr>
            <w:tcW w:w="585"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bidi="ar"/>
              </w:rPr>
              <w:t xml:space="preserve">序号</w:t>
            </w:r>
            <w:r>
              <w:rPr>
                <w:rFonts w:hint="eastAsia" w:ascii="宋体" w:hAnsi="宋体" w:eastAsia="宋体"/>
                <w:b/>
                <w:bCs/>
                <w:color w:val="000000"/>
                <w:sz w:val="21"/>
                <w:szCs w:val="21"/>
                <w:highlight w:val="none"/>
              </w:rPr>
            </w:r>
            <w:r/>
          </w:p>
        </w:tc>
        <w:tc>
          <w:tcPr>
            <w:tcW w:w="1416"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bidi="ar"/>
              </w:rPr>
              <w:t xml:space="preserve">采购产品名称</w:t>
            </w:r>
            <w:r>
              <w:rPr>
                <w:rFonts w:hint="eastAsia" w:ascii="宋体" w:hAnsi="宋体" w:eastAsia="宋体"/>
                <w:b/>
                <w:bCs/>
                <w:color w:val="000000"/>
                <w:sz w:val="21"/>
                <w:szCs w:val="21"/>
                <w:highlight w:val="none"/>
              </w:rPr>
            </w:r>
            <w:r/>
          </w:p>
        </w:tc>
        <w:tc>
          <w:tcPr>
            <w:tcW w:w="8016" w:type="dxa"/>
            <w:vAlign w:val="center"/>
            <w:textDirection w:val="lrTb"/>
            <w:noWrap w:val="false"/>
          </w:tcPr>
          <w:p>
            <w:pPr>
              <w:pStyle w:val="1035"/>
              <w:jc w:val="center"/>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技术指标</w:t>
            </w:r>
            <w:r>
              <w:rPr>
                <w:rFonts w:hint="eastAsia" w:ascii="宋体" w:hAnsi="宋体" w:eastAsia="宋体"/>
                <w:b/>
                <w:bCs/>
                <w:color w:val="000000"/>
                <w:sz w:val="21"/>
                <w:szCs w:val="21"/>
                <w:highlight w:val="none"/>
                <w:lang w:val="en-US"/>
              </w:rPr>
              <w:t xml:space="preserve">等</w:t>
            </w:r>
            <w:r>
              <w:rPr>
                <w:rFonts w:hint="eastAsia" w:ascii="宋体" w:hAnsi="宋体" w:eastAsia="宋体"/>
                <w:b/>
                <w:bCs/>
                <w:color w:val="000000"/>
                <w:sz w:val="21"/>
                <w:szCs w:val="21"/>
                <w:highlight w:val="none"/>
              </w:rPr>
              <w:t xml:space="preserve">要求</w:t>
            </w:r>
            <w:r>
              <w:rPr>
                <w:rFonts w:hint="eastAsia" w:ascii="宋体" w:hAnsi="宋体" w:eastAsia="宋体"/>
                <w:b/>
                <w:bCs/>
                <w:color w:val="000000"/>
                <w:sz w:val="21"/>
                <w:szCs w:val="21"/>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生物安全柜</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（1）▲A2型生物安全柜。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（2）▲仪器尺寸：外部宽度：≤1900mm，内部宽度：≥1800mm。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（3）设备配置可提供带脚轮的固定高度支架。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（4）采用前窗10°倾角人体工程学设计及下拉式前窗设计。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（5）安全柜含有一个外排和一个下降风的HEPA过滤器，过滤器符合EN1822标准H14级别。HEPA过滤器在最大穿透粒径 (MPPS) 下的整体过滤效率≥ 99.995%，且局部穿透≤ 0.025%。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（6）安全柜配有双无碳刷直流风机，可实时监控和控制排风速度。无需机械阻尼器即可调节排气气流。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（7）安全柜具有待机模式，当前窗关闭时，点击转速自动降低。如安全柜不使用时，样品也可以在无菌的工作环境中保存。</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（8）安全柜有两个压力感应器来检测排气和下降风的压力变化，支持智能风速平衡调节</w:t>
            </w:r>
            <w:r>
              <w:rPr>
                <w:rFonts w:hint="eastAsia" w:eastAsia="宋体"/>
                <w:color w:val="000000"/>
                <w:highlight w:val="none"/>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（9）安全柜具有≥6.5英寸彩色触摸屏，图形用户界面，实时显示风速和流入风速。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（10）安全柜为其性能提供颜色编码指示器。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（11）设备采用LED照明，设备配置254nm紫外灯。紫外消毒可编程，时间从0至23小时可调，步进≤15分钟。</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主机1台。</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紫外灯 1 套。</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LED 照明组件 1 套。</w:t>
            </w:r>
            <w:r>
              <w:rPr>
                <w:rFonts w:hint="eastAsia" w:ascii="宋体" w:hAnsi="宋体" w:eastAsia="宋体"/>
                <w:color w:val="000000"/>
                <w:sz w:val="21"/>
                <w:szCs w:val="21"/>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（1）质保期1年。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（2）卖方须在交货后到买方现场免费安装、调试设备并验收。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1"/>
                <w:szCs w:val="21"/>
                <w:highlight w:val="none"/>
                <w:lang w:val="en-US"/>
              </w:rPr>
              <w:t xml:space="preserve">（3）除了现场安装培训，另提供至少两名人员免费的操作培训。</w:t>
            </w:r>
            <w:r>
              <w:rPr>
                <w:rFonts w:hint="eastAsia" w:ascii="宋体" w:hAnsi="宋体" w:eastAsia="宋体"/>
                <w:color w:val="000000"/>
                <w:sz w:val="22"/>
                <w:szCs w:val="22"/>
                <w:highlight w:val="none"/>
                <w:lang w:val="en-US"/>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2</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两孔位干式细胞复苏仪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（1）▲通量2孔，且每孔可以单独使用。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（2）无水干式解冻复苏。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（3）操作标准化，可高度重复。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（4）应用2ml规格的标准冻存管，对标签标记过的冻存管依然有效。</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（5）灌装量</w:t>
            </w:r>
            <w:r>
              <w:rPr>
                <w:rFonts w:hint="eastAsia" w:ascii="宋体" w:hAnsi="宋体" w:eastAsia="宋体"/>
                <w:color w:val="000000"/>
                <w:sz w:val="21"/>
                <w:szCs w:val="21"/>
                <w:highlight w:val="none"/>
                <w:lang w:val="en-US"/>
              </w:rPr>
              <w:tab/>
            </w:r>
            <w:r>
              <w:rPr>
                <w:rFonts w:hint="eastAsia" w:ascii="宋体" w:hAnsi="宋体" w:eastAsia="宋体"/>
                <w:color w:val="000000"/>
                <w:sz w:val="21"/>
                <w:szCs w:val="21"/>
                <w:highlight w:val="none"/>
                <w:lang w:val="en-US"/>
              </w:rPr>
              <w:t xml:space="preserve">0.8-1.5mL。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（6）工作时间3分钟内。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（7）低温不足报警、错误操作报警。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（8）各阶段提示鸣音：预热结束提示、复苏倒计时提示、复苏结束提示。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（9）解冻复苏结束，直接弹出冻存管。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（10）具有LCD屏可显示各阶段状态，实时显示样品温度。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（11）具有数据导出功能。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（12）可提供3Q及验证服务。</w:t>
            </w:r>
            <w:r>
              <w:rPr>
                <w:rFonts w:hint="eastAsia" w:ascii="宋体" w:hAnsi="宋体" w:eastAsia="宋体"/>
                <w:color w:val="000000"/>
                <w:sz w:val="21"/>
                <w:szCs w:val="21"/>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主机。</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电源。</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冻存管转移小室。</w:t>
            </w:r>
            <w:r>
              <w:rPr>
                <w:rFonts w:hint="eastAsia" w:ascii="宋体" w:hAnsi="宋体" w:eastAsia="宋体"/>
                <w:color w:val="000000"/>
                <w:sz w:val="21"/>
                <w:szCs w:val="21"/>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1"/>
                <w:szCs w:val="21"/>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3</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多腔室微球制备仪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1、工作条件：</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（1）环境温度：0 – 40</w:t>
            </w:r>
            <w:r>
              <w:rPr>
                <w:rFonts w:hint="eastAsia" w:ascii="宋体" w:hAnsi="宋体" w:eastAsia="宋体"/>
                <w:color w:val="000000"/>
                <w:sz w:val="21"/>
                <w:szCs w:val="21"/>
                <w:highlight w:val="none"/>
                <w:lang w:val="en-US" w:eastAsia="ja-JP"/>
              </w:rPr>
              <w:t xml:space="preserve">℃</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（2）相对湿度：20-80%。</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2、技术规格：</w:t>
            </w:r>
            <w:r>
              <w:rPr>
                <w:rFonts w:hint="eastAsia" w:ascii="宋体" w:hAnsi="宋体" w:eastAsia="宋体"/>
                <w:b/>
                <w:bCs/>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（1）▲微流控芯片：通道≤500µm。</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（2）通过微流控芯片实现凝胶微球上6个腔室的分隔制备。</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（3）可采用空气或惰性气体进行制备，减少制备成本。</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（4）气体流量可调节：0.6~6L/min。</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（5）注射器可根据不同实验需求进行更换不同容量注射器（500µL~2mL）。</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（6）微球制备仪可一键设置多次自动完成冲洗。</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（7）可手动和自动连续制备切换。</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（8）▲微流控芯片材料：PMMA材质</w:t>
            </w:r>
            <w:r>
              <w:rPr>
                <w:rFonts w:hint="eastAsia" w:eastAsia="宋体"/>
                <w:color w:val="000000"/>
                <w:highlight w:val="none"/>
              </w:rPr>
              <w:t xml:space="preserve">。</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（9）微流控芯片安装清洗方便。</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（10）人机交互功能：触摸屏可参数设定、程序运行、程序停止、自动校准等功能。</w:t>
            </w:r>
            <w:r>
              <w:rPr>
                <w:rFonts w:hint="eastAsia" w:ascii="宋体" w:hAnsi="宋体" w:eastAsia="宋体"/>
                <w:color w:val="000000"/>
                <w:sz w:val="21"/>
                <w:szCs w:val="21"/>
                <w:highlight w:val="none"/>
                <w:lang w:val="en-US"/>
              </w:rPr>
            </w:r>
            <w:r/>
          </w:p>
          <w:p>
            <w:pPr>
              <w:pStyle w:val="1035"/>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（11）▲可对制备仪的进样抽样速度进行调节。</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主机1台。</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进样器6根。</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六通道微流控芯片1套。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控制系统1套。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航空箱1个。</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4、售后要求：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质保期1年，非人为原因终身维修。</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2）</w:t>
            </w:r>
            <w:r>
              <w:rPr>
                <w:rFonts w:hint="eastAsia" w:ascii="宋体" w:hAnsi="宋体" w:eastAsia="宋体"/>
                <w:color w:val="000000"/>
                <w:sz w:val="22"/>
                <w:szCs w:val="22"/>
                <w:highlight w:val="none"/>
              </w:rPr>
              <w:t xml:space="preserve">卖方须在交货后到买方现场免费安装、调试设备并验收。直至技术指标与标书符合。</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3）</w:t>
            </w:r>
            <w:r>
              <w:rPr>
                <w:rFonts w:hint="eastAsia" w:ascii="宋体" w:hAnsi="宋体" w:eastAsia="宋体"/>
                <w:color w:val="000000"/>
                <w:sz w:val="22"/>
                <w:szCs w:val="22"/>
                <w:highlight w:val="none"/>
              </w:rPr>
              <w:t xml:space="preserve">除了现场安装培训，另提供两名人员免费的操作培训。</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4</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活细胞实时监测分析系统软件</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bookmarkStart w:id="47" w:name="_Hlk49697011"/>
            <w:r>
              <w:rPr>
                <w:rFonts w:hint="eastAsia" w:ascii="宋体" w:hAnsi="宋体" w:eastAsia="宋体"/>
                <w:color w:val="000000"/>
                <w:sz w:val="21"/>
                <w:szCs w:val="21"/>
                <w:highlight w:val="none"/>
                <w:lang w:val="en-US"/>
              </w:rPr>
              <w:t xml:space="preserve">激发波长：495-555nm，发射滤光片：595长通。</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（2）明场与荧光可同时操作。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（3）▲必须能与采购方现有的活细胞成像系统（Cyto-Mini FL）匹配使用，兼容现有系统硬件和软件系统。</w:t>
            </w:r>
            <w:bookmarkEnd w:id="47"/>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软件升级密钥1个。</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（1）提供终身的技术支持。有专门的应用工程师对客户提供专业的应用技术支持。在客户遇到困难，可及时提供应用支持的指导。</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（2）保修一年。</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5</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微生物快速富集系统</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（1）适用范围：病毒、细菌、寄生虫、霉菌、真菌、支原体、全细胞、外泌体等；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（2）处理体积：可满足不同体积样本浓缩处理的需要：0.5mL~5L；（3）流体泵头采用可移动设计高低可调，方便浓缩柱取放，运行指示灯会对设备运行是否正常进行提示；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（4）浓缩过滤面积：90~100cm2，确保捕获效率与样本洗脱效率；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（5）★最小浓缩：≦200μL，得到高浓度样本，用于保证后续PCR、测序、培养等检测结果准确；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（6）显示界面：LED液晶屏显示；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（7）▲全自动浓缩，洗脱，无需人工移液，无需铝盐沉淀及其他辅助设备；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（8）控制程序：≥12个程序，密码保护，自定义程序≥9种；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（9）▲洗脱液：提供高达液体7倍以上的体积，有效保护生物样本且无抑制剂残留；洗脱液类型≥2种；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（10）富集和洗脱步骤在同一封闭的浓缩柱中进行，避免样本转移造成损失或污染；</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（11）病原回收率：≥85%；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（12）滤膜截留率：99.99%；</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（13）可升级大体积浓缩装置，可完成≥95L样本的浓缩，可实现20s快速洗脱至70mL，再进一步浓缩至≤200μL实现极大倍数；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（14）生物安全：仪器整机置于安全柜里面使用（无需安置废液管至安全柜外-保障严格生物安全，实验室和人员生物安全）；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（15）可以供0.05、0.2、0.45μm孔径范围的浓缩柱，≥6种耗材可选；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（16）机器自带USB接口，可以通过计算机连接到仪器，方便定期进行软件更新升级；</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）检出限：可达1CFU/250mL可培养。</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微生物富集系统主机，1套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电源线，1套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流体适配器，</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浓缩移液器，</w:t>
            </w:r>
            <w:r>
              <w:rPr>
                <w:rFonts w:hint="eastAsia" w:ascii="宋体" w:hAnsi="宋体" w:eastAsia="宋体"/>
                <w:color w:val="000000"/>
                <w:sz w:val="22"/>
                <w:szCs w:val="22"/>
                <w:highlight w:val="none"/>
                <w:lang w:val="en-US"/>
              </w:rPr>
              <w:t xml:space="preserve">10</w:t>
            </w:r>
            <w:r>
              <w:rPr>
                <w:rFonts w:hint="eastAsia" w:ascii="宋体" w:hAnsi="宋体" w:eastAsia="宋体"/>
                <w:color w:val="000000"/>
                <w:sz w:val="22"/>
                <w:szCs w:val="22"/>
                <w:highlight w:val="none"/>
              </w:rPr>
              <w:t xml:space="preserve">根</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PBS洗脱液，</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储存液，</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移动便携箱，1套</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（1）卖方须到买方提供的现场免费安装、调试设备，进行操作试验，直至运行正常并验收，为2名以上仪器操作人员提供免费的上机操作及日常维护培训。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（2）免费提供2名仪器操作人员到国内生产商或销售商组织的操作及维护技术培训。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（3）仪器故障响应时间不超过1个工作日，专职技术服务人员2个工作日内到场维修。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（4）零配件应保证10年以上的供应期。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（5）自测试验收合格起，整机设备免费保修1年。</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6</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单细胞测序建库系统</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（1）支持单细胞转录组、单细胞免疫组、单细胞CITE-seq、单细胞表观组及微生物单细胞转录组实验；</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（2）单细胞分离技术：微流控自动化技术；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（3）细胞悬液进样至形成稳定悬液时间≤6分钟；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（4）最高细胞捕获效率≥70%；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（5）测序结果中，双细胞比率≤5%/10000个细胞；</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（6）★支持单细胞ChIP-seq实验，在单细胞分辨率下实现全基因组水平蛋白质-DNA相互作用异质性研究；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（7）使用编码微球进行细胞标记；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（8）★微流控芯片中细胞孔和试剂孔分区设计，减少对细胞的干扰；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（9）▲微球分离方法：光激发分离；</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（10）每个通道细胞捕获数≥10000细胞/通道；</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（11）有效液滴数：系统可以产生≥10万个独立的纳升级液滴反应体系；</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（12）条码扫描芯片上具有标识二维码，并可提示用户芯片是否正确；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（13）自检功能：仪器在开机和运行过程中会自动检测，遇到异常会发出报警提示；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（14）兼容样本类型：纯菌样本、PBMC、组织解离细胞、常规培养细胞等。</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单细胞建库系统主机1台。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液滴预处理机1台。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分析软件1套。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服务器工作站1套（配置不低于CPU：2</w:t>
            </w:r>
            <w:r>
              <w:rPr>
                <w:rFonts w:ascii="Wingdings 2" w:hAnsi="Wingdings 2" w:eastAsia="Wingdings 2" w:cs="Wingdings 2"/>
                <w:color w:val="000000"/>
                <w:sz w:val="21"/>
                <w:szCs w:val="21"/>
                <w:highlight w:val="none"/>
                <w:lang w:val="en-US"/>
              </w:rPr>
              <w:t xml:space="preserve">Î</w:t>
            </w:r>
            <w:r>
              <w:rPr>
                <w:rFonts w:hint="eastAsia" w:ascii="宋体" w:hAnsi="宋体" w:eastAsia="宋体"/>
                <w:color w:val="000000"/>
                <w:sz w:val="21"/>
                <w:szCs w:val="21"/>
                <w:highlight w:val="none"/>
                <w:lang w:val="en-US"/>
              </w:rPr>
              <w:t xml:space="preserve">EPYC9534 64C/128T、内存：8</w:t>
            </w:r>
            <w:r>
              <w:rPr>
                <w:rFonts w:ascii="Wingdings 2" w:hAnsi="Wingdings 2" w:eastAsia="Wingdings 2" w:cs="Wingdings 2"/>
                <w:color w:val="000000"/>
                <w:sz w:val="21"/>
                <w:szCs w:val="21"/>
                <w:highlight w:val="none"/>
                <w:lang w:val="en-US"/>
              </w:rPr>
              <w:t xml:space="preserve">Î</w:t>
            </w:r>
            <w:r>
              <w:rPr>
                <w:rFonts w:hint="eastAsia" w:ascii="宋体" w:hAnsi="宋体" w:eastAsia="宋体"/>
                <w:color w:val="000000"/>
                <w:sz w:val="21"/>
                <w:szCs w:val="21"/>
                <w:highlight w:val="none"/>
                <w:lang w:val="en-US"/>
              </w:rPr>
              <w:t xml:space="preserve">64GB DDR5（512GB）、存储（系统盘+数据盘）：2</w:t>
            </w:r>
            <w:r>
              <w:rPr>
                <w:rFonts w:ascii="Wingdings 2" w:hAnsi="Wingdings 2" w:eastAsia="Wingdings 2" w:cs="Wingdings 2"/>
                <w:color w:val="000000"/>
                <w:sz w:val="21"/>
                <w:szCs w:val="21"/>
                <w:highlight w:val="none"/>
                <w:lang w:val="en-US"/>
              </w:rPr>
              <w:t xml:space="preserve">Î</w:t>
            </w:r>
            <w:r>
              <w:rPr>
                <w:rFonts w:hint="eastAsia" w:ascii="宋体" w:hAnsi="宋体" w:eastAsia="宋体"/>
                <w:color w:val="000000"/>
                <w:sz w:val="21"/>
                <w:szCs w:val="21"/>
                <w:highlight w:val="none"/>
                <w:lang w:val="en-US"/>
              </w:rPr>
              <w:t xml:space="preserve">960G+ 6</w:t>
            </w:r>
            <w:r>
              <w:rPr>
                <w:rFonts w:ascii="Wingdings 2" w:hAnsi="Wingdings 2" w:eastAsia="Wingdings 2" w:cs="Wingdings 2"/>
                <w:color w:val="000000"/>
                <w:sz w:val="21"/>
                <w:szCs w:val="21"/>
                <w:highlight w:val="none"/>
                <w:lang w:val="en-US"/>
              </w:rPr>
              <w:t xml:space="preserve">Î</w:t>
            </w:r>
            <w:r>
              <w:rPr>
                <w:rFonts w:hint="eastAsia" w:ascii="宋体" w:hAnsi="宋体" w:eastAsia="宋体"/>
                <w:color w:val="000000"/>
                <w:sz w:val="21"/>
                <w:szCs w:val="21"/>
                <w:highlight w:val="none"/>
                <w:lang w:val="en-US"/>
              </w:rPr>
              <w:t xml:space="preserve">16TSAS）。</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启动试剂盒1套。</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（1）质保期：自该仪器设备安装调试验收合格，且双方签字日起，卖方对该仪器设备实行整机一年免费保修。保修期内，卖方负责处理并解决故障，所发生的所有费用由卖方承担。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培训：由卖方组织安装、调试及培训。卖方应在买方指定的现场完成安装、调试后，根据买方的需求，及时安排技术培训(培训次数根据买方的实际情况而定)，内容包括仪器设备构造、工作原理、硬件安装、软件安装，仪器设备操作使用、样品分析、日常维护保养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保养维护：卖方每年对该仪器设备进行1次免费预防性保养维护。质保期内故障维修时间超过3周的，经双方协商卖方需免费提供备用机。保修期后，卖方仍将继续对该仪器设备免费提供各类技术支持和有偿的维修服务，若需更换部件，费用由买方承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（4）响应时间：卖方提供4小时维修响应时间服务，接买方报修后，12小时内提出处理意见，若不能解决问题，卖方应在3个工作日内派工程师到买方现场进行维修或寄回原厂维修。</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7</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微生物培养摇床</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（1）温控范围：室温以下18℃～60℃(最低4℃)。</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（2）温控设置精度：≤0.1℃。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（3）▲温度均匀性：≤±0.3℃ (@37℃)。</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（4）摇板尺寸：≥550x470mm。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（5）容  量：≥20</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t xml:space="preserve">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（6）最大负载：≥10kg。</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（7）旋转转速：0(停止)，30～300rpm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（8）转速设置精度：≤1rpm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（9）振  幅：≥φ26mm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（10）开门30s重启后温度恢复时间：≤6min (@37℃)</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（11）▲可编程段数：≥12段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（12）照 明：双向照明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（13）灭 菌：紫外杀菌</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（14）开门方式：左开</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（15）设置参数保护：密码保护</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（16）曲线显示类型：温度曲线、速度曲线</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（17）显示方式：电容式，彩色触控屏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（18）定时范围：0～999小时59分钟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（19）支持U盘导出数据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（20）屏上可查运行参数天数：≥7天</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（21）运行数据贮存周期：≥9</w:t>
            </w:r>
            <w:r>
              <w:rPr>
                <w:rFonts w:ascii="宋体" w:hAnsi="宋体" w:eastAsia="宋体"/>
                <w:color w:val="000000"/>
                <w:sz w:val="21"/>
                <w:szCs w:val="21"/>
                <w:highlight w:val="none"/>
                <w:lang w:val="en-US"/>
              </w:rPr>
              <w:t xml:space="preserve">00</w:t>
            </w:r>
            <w:r>
              <w:rPr>
                <w:rFonts w:hint="eastAsia" w:ascii="宋体" w:hAnsi="宋体" w:eastAsia="宋体"/>
                <w:color w:val="000000"/>
                <w:sz w:val="21"/>
                <w:szCs w:val="21"/>
                <w:highlight w:val="none"/>
                <w:lang w:val="en-US"/>
              </w:rPr>
              <w:t xml:space="preserve">天</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（22）运行数据贮存时间间隔：≤1分钟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（23）数据贮存内容包括运行时间、温度参数、速度参数、运行状态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（24）无霜设计，无需定时除霜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（25）支持自动关闭屏显</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（26）支持自动锁屏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（27）摇板带导轨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（28）噪音等级：≤55dB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（29）界面可切换中文、英文显示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（30）支持来电自动恢复功能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（31）加热功率：≤450W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（32）制冷功率：70～230W（变频制冷）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（33）支持WiFi 手机监控</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（34）支持电脑监控</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主机1件。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万能弹簧夹1件。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积水盘1件。</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（2）技术服务：提供快捷、周到、规范的技术服务，仪器出现故障时，供货或服务商维修人员在接到通知后24小时内响应，48小时内到现场维修。提供仪器设备详细的中文操作手册。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8</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超微量分光光度计</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（1）检测单元：2048像素CCD阵列光谱仪。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（2）光源：闪烁氙灯 寿命≧10</w:t>
            </w:r>
            <w:r>
              <w:rPr>
                <w:rFonts w:hint="eastAsia" w:ascii="宋体" w:hAnsi="宋体" w:eastAsia="宋体"/>
                <w:color w:val="000000"/>
                <w:sz w:val="21"/>
                <w:szCs w:val="21"/>
                <w:highlight w:val="none"/>
                <w:vertAlign w:val="superscript"/>
                <w:lang w:val="en-US"/>
              </w:rPr>
              <w:t xml:space="preserve">9</w:t>
            </w:r>
            <w:r>
              <w:rPr>
                <w:rFonts w:hint="eastAsia" w:ascii="宋体" w:hAnsi="宋体" w:eastAsia="宋体"/>
                <w:color w:val="000000"/>
                <w:sz w:val="21"/>
                <w:szCs w:val="21"/>
                <w:highlight w:val="none"/>
                <w:lang w:val="en-US"/>
              </w:rPr>
              <w:t xml:space="preserve">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（3）彩色显示屏≧7英寸，电容触摸屏，同时有微量检测和比色皿检测功能。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（4）检测波长范围190-850nm。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（5）最小检测光程≤0.05mm。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（6）内置比色皿，可检测OD600菌液。</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（7）检测浓度范围2ng/μl~15000ng/μl 双链DNA。</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（8）检测时间≤5秒。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（9）波长准确度≤±0.2nm。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（10）可自主选择保存检测中所有波长数据，可随时读取结果中各波长的吸光值，可以保存光谱图。</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（11）远程U盘升级软件。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（12）最小样品量：≤0.5μL。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（13）检测臂闭合可自动检测。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（14）▲内置自动校准功能。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（15）▲1、0.2、0.05mm，3个光程自动切换，根据样品的浓度，自动选择最合适的光程。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（16）寡核苷酸的序列自动计算其转换因子(μg/ml)，分子量，理论吸光度 (AU/μmol) 和理论Tm值。</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（17）多肽检测。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（18）蛋白标记，基因芯片功能。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（19）荧光检测：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激发波长460nm发射波长525nm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线性度：R2&gt;0.995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重复性&lt;1.5%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稳定性&lt;1.5%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（20）主要功能：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DNA 和 RNA (260 nm)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纯化蛋白质 (280 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计算样品纯度比值（A260/A280 nm 及 A260/A230 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光密度测量 (600 nm)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比色法蛋白质测定（BCA 562 nm、Bradford 595 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毒理学测定和工业染料(490nm)　　金纳米粒(520nm)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紫外可见扫描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）样品无需稀释。</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）▲具备数据打印功能，可通过内置打印机直接打印报告。</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）氙闪光灯,寿命为≥10年。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）荧光检测功能，可以兼容常见的商业化荧光定量试剂。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）电压范围：适配器全球宽电压设计AC110V-220V 50HZ/60HZ。</w:t>
            </w:r>
            <w:r>
              <w:rPr>
                <w:rFonts w:hint="eastAsia" w:ascii="宋体" w:hAnsi="宋体" w:eastAsia="宋体"/>
                <w:color w:val="000000"/>
                <w:sz w:val="21"/>
                <w:szCs w:val="21"/>
                <w:highlight w:val="none"/>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主机一台、软件一套、U盘一个、比色皿一盒。</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1"/>
                <w:szCs w:val="21"/>
                <w:highlight w:val="none"/>
              </w:rPr>
            </w:r>
            <w:r/>
          </w:p>
          <w:p>
            <w:pPr>
              <w:pStyle w:val="1035"/>
              <w:jc w:val="left"/>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应用支持： 厂家有应用研发实验室，能够为用户在方法开发及优化方面提供支持及协助。</w:t>
            </w:r>
            <w:r>
              <w:rPr>
                <w:rFonts w:hint="eastAsia" w:ascii="宋体" w:hAnsi="宋体" w:eastAsia="宋体"/>
                <w:color w:val="000000"/>
                <w:sz w:val="21"/>
                <w:szCs w:val="21"/>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ascii="宋体" w:hAnsi="宋体" w:eastAsia="宋体"/>
                <w:color w:val="000000"/>
                <w:sz w:val="22"/>
                <w:szCs w:val="22"/>
                <w:highlight w:val="none"/>
                <w:lang w:val="en-US" w:bidi="ar"/>
              </w:rPr>
              <w:t xml:space="preserve">9</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加热制冷振荡恒温金属浴</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（1）功能：加热、制冷、震荡。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（2）▲采用磁吸附技术。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（3）温度控制范围：室温-15~100℃；温度设定范围：0-100℃。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（4）温度精准度@[20–45℃] ：≤±0.5℃。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（5）温度均一性@[20–45℃] ：≤±0.5℃。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（6）变温速率：最大加热速率：≥5.5℃/min；最大制冷速率 ：≥5℃/min（100℃-室温），≥0.5℃/min（室温以下）。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（7）屏幕规格：TFT。</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（8）震荡速率 ：200-1500rpm。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（9）周转直径：3mm。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（10）最大编程数量：≥6段9个程序。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）加热功率：150w。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）过温保护：150℃。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）时间设置范围：0min~99h59min。</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主机1台。</w:t>
            </w:r>
            <w:r>
              <w:rPr>
                <w:rFonts w:hint="eastAsia" w:ascii="宋体" w:hAnsi="宋体" w:eastAsia="宋体"/>
                <w:color w:val="000000"/>
                <w:sz w:val="22"/>
                <w:szCs w:val="22"/>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离心管模块1个。</w:t>
            </w:r>
            <w:r>
              <w:rPr>
                <w:rFonts w:hint="eastAsia" w:ascii="宋体" w:hAnsi="宋体" w:eastAsia="宋体"/>
                <w:color w:val="000000"/>
                <w:sz w:val="22"/>
                <w:szCs w:val="22"/>
                <w:highlight w:val="none"/>
                <w:lang w:val="en-US"/>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（1）质保及备件供应：保证产品为全新原厂设备；合同签订后30天内到货；仪器在调试通过后提供保修服务，保修期一年；在保修期内，所有服务及配件全部免费，保修期外，能更及时地为用户提供备品备件。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2"/>
                <w:szCs w:val="22"/>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（2）技术服务：提供快捷、周到、规范的技术服务，仪器出现故障时，供货或服务商维修人员在接到通知后24小时内响应，48小时内到现场维修。</w:t>
            </w:r>
            <w:r>
              <w:rPr>
                <w:rFonts w:hint="eastAsia" w:ascii="宋体" w:hAnsi="宋体" w:eastAsia="宋体"/>
                <w:color w:val="000000"/>
                <w:sz w:val="22"/>
                <w:szCs w:val="22"/>
                <w:highlight w:val="none"/>
                <w:lang w:val="en-US"/>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0</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固定转速混匀仪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振荡方式：圆周。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2</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周转直径：≥4.8mm。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3</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电机类型：直流无刷电机。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4</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电机输出功率：≥10W。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5</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转速范围：≥3000rpm。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6</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运行方式：点动。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lang w:val="en-US"/>
              </w:rPr>
              <w:t xml:space="preserve">7</w:t>
            </w:r>
            <w:r>
              <w:rPr>
                <w:rFonts w:hint="eastAsia" w:ascii="宋体" w:hAnsi="宋体" w:eastAsia="宋体"/>
                <w:color w:val="000000"/>
                <w:sz w:val="22"/>
                <w:szCs w:val="22"/>
                <w:highlight w:val="none"/>
              </w:rPr>
              <w:t xml:space="preserve">）</w:t>
            </w:r>
            <w:r>
              <w:rPr>
                <w:rFonts w:hint="eastAsia" w:ascii="宋体" w:hAnsi="宋体" w:eastAsia="宋体"/>
                <w:color w:val="000000"/>
                <w:sz w:val="21"/>
                <w:szCs w:val="21"/>
                <w:highlight w:val="none"/>
                <w:lang w:val="en-US"/>
              </w:rPr>
              <w:t xml:space="preserve">外壳防护等级：IP21</w:t>
            </w:r>
            <w:r>
              <w:rPr>
                <w:rFonts w:hint="eastAsia" w:eastAsia="宋体"/>
                <w:color w:val="000000"/>
                <w:highlight w:val="none"/>
              </w:rPr>
              <w:t xml:space="preserve">。</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主机1台。</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2）</w:t>
            </w:r>
            <w:r>
              <w:rPr>
                <w:rFonts w:hint="eastAsia" w:ascii="宋体" w:hAnsi="宋体" w:eastAsia="宋体"/>
                <w:color w:val="000000"/>
                <w:sz w:val="22"/>
                <w:szCs w:val="22"/>
                <w:highlight w:val="none"/>
              </w:rPr>
              <w:t xml:space="preserve">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1</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迷你金属浴</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（1）控温范围：-10℃~100℃。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（2）最大降温幅度：室温下降≥25℃。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）模块温度稳定性@100℃：±0.5℃，模块温度稳定性@40℃：±0.3℃。</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）模块温度均匀性：≤±0.3℃。</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）温度显示精度：≤0.1℃。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）升温速度：≤15min(20℃至100℃)。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）降温方式/速度：≤30min(室温下降20℃)。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t xml:space="preserve">）支持热盖功能。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lang w:val="en-US"/>
              </w:rPr>
              <w:t xml:space="preserve">）定时范围：1sec~999sec或1min~999min。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rPr>
              <w:t xml:space="preserve">）功率：≥120W。</w:t>
            </w:r>
            <w:r>
              <w:rPr>
                <w:rFonts w:hint="eastAsia" w:ascii="宋体" w:hAnsi="宋体" w:eastAsia="宋体"/>
                <w:color w:val="000000"/>
                <w:sz w:val="22"/>
                <w:szCs w:val="22"/>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主机一台、1.5ml模块一个。</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2</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移动式的紫外消毒车</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（1）铝合金车架。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（2）数字屏显。</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（3）无极旋转，九档定时。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（4）至少双灯管，整机功率≥65w。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（5）杀菌率≥99.9%。</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rPr>
              <w:t xml:space="preserve">主机1台</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1）</w:t>
            </w:r>
            <w:r>
              <w:rPr>
                <w:rFonts w:hint="eastAsia" w:ascii="宋体" w:hAnsi="宋体" w:eastAsia="宋体"/>
                <w:color w:val="000000"/>
                <w:sz w:val="22"/>
                <w:szCs w:val="22"/>
                <w:highlight w:val="none"/>
              </w:rPr>
              <w:t xml:space="preserve">质保及备件供应：保证产品为全新原厂设备；合同签订后</w:t>
            </w:r>
            <w:r>
              <w:rPr>
                <w:rFonts w:hint="eastAsia" w:ascii="宋体" w:hAnsi="宋体" w:eastAsia="宋体"/>
                <w:color w:val="000000"/>
                <w:sz w:val="22"/>
                <w:szCs w:val="22"/>
                <w:highlight w:val="none"/>
                <w:lang w:val="en-US"/>
              </w:rPr>
              <w:t xml:space="preserve">3</w:t>
            </w:r>
            <w:r>
              <w:rPr>
                <w:rFonts w:hint="eastAsia" w:ascii="宋体" w:hAnsi="宋体" w:eastAsia="宋体"/>
                <w:color w:val="000000"/>
                <w:sz w:val="22"/>
                <w:szCs w:val="22"/>
                <w:highlight w:val="none"/>
              </w:rPr>
              <w:t xml:space="preserve">0天内到货；仪器在调试通过后提供保修服务，保修期一年；在保修期内，所有服务及配件全部免费，保修期外，能更及时地为用户提供备品备件。</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hint="eastAsia" w:ascii="宋体" w:hAnsi="宋体" w:eastAsia="宋体"/>
                <w:color w:val="000000"/>
                <w:sz w:val="22"/>
                <w:szCs w:val="22"/>
                <w:highlight w:val="none"/>
                <w:lang w:val="en-US"/>
              </w:rPr>
              <w:t xml:space="preserve">2）</w:t>
            </w:r>
            <w:r>
              <w:rPr>
                <w:rFonts w:hint="eastAsia" w:ascii="宋体" w:hAnsi="宋体" w:eastAsia="宋体"/>
                <w:color w:val="000000"/>
                <w:sz w:val="22"/>
                <w:szCs w:val="22"/>
                <w:highlight w:val="none"/>
              </w:rPr>
              <w:t xml:space="preserve">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3</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数控型圆盘旋转混匀仪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（1）电压：100-240V，50/60Hz</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（2）功率：≥40W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（3）主机可调角度：0-90°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（4）电机：直流无刷电机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（5）速度范围：10-70rpm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（6）LCD速度显示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（7）支持定时功能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（8）LCD时间显示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（9）时间设置范围：1-1199min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（10）运行方式：定时 / 连续运转</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（11）外壳防护等级：IP21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1"/>
                <w:szCs w:val="21"/>
                <w:highlight w:val="none"/>
                <w:lang w:val="en-US"/>
              </w:rPr>
              <w:t xml:space="preserve">（12）圆盘夹具，最多可累加四层圆盘</w:t>
            </w:r>
            <w:r>
              <w:rPr>
                <w:rFonts w:hint="eastAsia" w:ascii="宋体" w:hAnsi="宋体" w:eastAsia="宋体"/>
                <w:color w:val="000000"/>
                <w:sz w:val="22"/>
                <w:szCs w:val="22"/>
                <w:highlight w:val="none"/>
                <w:lang w:val="en-US"/>
              </w:rPr>
            </w:r>
            <w:r/>
          </w:p>
        </w:tc>
      </w:tr>
      <w:tr>
        <w:trPr/>
        <w:tc>
          <w:tcPr>
            <w:tcW w:w="585" w:type="dxa"/>
            <w:vAlign w:val="center"/>
            <w:vMerge w:val="continue"/>
            <w:textDirection w:val="lrTb"/>
            <w:noWrap/>
          </w:tcPr>
          <w:p>
            <w:pPr>
              <w:pStyle w:val="1035"/>
              <w:jc w:val="left"/>
              <w:shd w:val="clear" w:color="auto" w:fill="auto"/>
              <w:rPr>
                <w:color w:val="000000"/>
                <w:highlight w:val="none"/>
                <w:lang w:val="en-US"/>
              </w:rPr>
            </w:pPr>
            <w:r>
              <w:rPr>
                <w:color w:val="000000"/>
                <w:highlight w:val="none"/>
                <w:lang w:val="en-US"/>
              </w:rPr>
            </w:r>
            <w:r/>
          </w:p>
        </w:tc>
        <w:tc>
          <w:tcPr>
            <w:tcW w:w="1416" w:type="dxa"/>
            <w:vAlign w:val="center"/>
            <w:vMerge w:val="continue"/>
            <w:textDirection w:val="lrTb"/>
            <w:noWrap w:val="false"/>
          </w:tcPr>
          <w:p>
            <w:pPr>
              <w:pStyle w:val="1035"/>
              <w:jc w:val="left"/>
              <w:shd w:val="clear" w:color="auto" w:fill="auto"/>
              <w:rPr>
                <w:color w:val="000000"/>
                <w:highlight w:val="none"/>
                <w:lang w:val="en-US"/>
              </w:rPr>
            </w:pPr>
            <w:r>
              <w:rPr>
                <w:color w:val="000000"/>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主机1台</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圆盘50ml离心管夹具1套</w:t>
            </w:r>
            <w:r>
              <w:rPr>
                <w:rFonts w:hint="eastAsia" w:ascii="宋体" w:hAnsi="宋体" w:eastAsia="宋体"/>
                <w:color w:val="000000"/>
                <w:sz w:val="22"/>
                <w:szCs w:val="22"/>
                <w:highlight w:val="none"/>
              </w:rPr>
              <w:tab/>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圆盘15ml离心管夹具1套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圆盘1.5ml离心管夹具1套</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lang w:val="en-US"/>
              </w:rPr>
            </w:pPr>
            <w:r>
              <w:rPr>
                <w:color w:val="000000"/>
                <w:highlight w:val="none"/>
                <w:lang w:val="en-US"/>
              </w:rPr>
            </w:r>
            <w:r/>
          </w:p>
        </w:tc>
        <w:tc>
          <w:tcPr>
            <w:tcW w:w="1416" w:type="dxa"/>
            <w:vAlign w:val="center"/>
            <w:vMerge w:val="continue"/>
            <w:textDirection w:val="lrTb"/>
            <w:noWrap w:val="false"/>
          </w:tcPr>
          <w:p>
            <w:pPr>
              <w:pStyle w:val="1035"/>
              <w:jc w:val="left"/>
              <w:shd w:val="clear" w:color="auto" w:fill="auto"/>
              <w:rPr>
                <w:color w:val="000000"/>
                <w:highlight w:val="none"/>
                <w:lang w:val="en-US"/>
              </w:rPr>
            </w:pPr>
            <w:r>
              <w:rPr>
                <w:color w:val="000000"/>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（1）质保及备件供应：保证产品为全新原厂设备；合同签订后30天内到货；仪器在调试通过后提供保修服务，保修期一年；在保修期内，所有服务及配件全部免费，保修期外，能更及时地为用户提供备品备件。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（2）技术服务：提供快捷、周到、规范的技术服务，仪器出现故障时，供货或服务商维修人员在接到通知后24小时内响应，48小时内到现场维修。</w:t>
            </w:r>
            <w:r>
              <w:rPr>
                <w:rFonts w:hint="eastAsia" w:ascii="宋体" w:hAnsi="宋体" w:eastAsia="宋体"/>
                <w:color w:val="000000"/>
                <w:sz w:val="22"/>
                <w:szCs w:val="22"/>
                <w:highlight w:val="none"/>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4</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核酸自动提取仪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（1）工作条件：环境温度：18-25℃；相对湿度：20%-80%。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（2）可自动化实现DNA、RNA、蛋白纯化以及PCR产物纯化回收等功能。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（3）▲可纯化样本种类：血清、血浆、全血、体液、细胞、动植物组织、粪便、细菌、土壤、FFPE组织、食品等样本。</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（4）样品数：1-12。</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（5）▲样本纯化技术为离心柱硅胶膜技术。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（6）机内配备机械臂，使用一次性带滤芯枪头全自动进行液体转移。</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（7）▲仪器内整合离心机，最高转速可达12,000 x g；运行过程中，离心步骤通过机械臂全自动转移样本，全自动开关盖，无需任何人工操作。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（8）机内整合加热模块和振荡模块，运行过程中，通过机械臂全自动转移样本，无需任何人工操作。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（9）▲仪器配备光学感应器和超声液面探测器，能够自动感应检查样品数目、移液枪头数目、移液枪头类型、离心管数目及摆放状态、试剂液面高度等。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（10）仪器具有原厂试剂盒同品牌数量≥70个。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（11）原厂具有同品牌专门进行深加工食品、新鲜组织和植物样本提取试剂盒。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（12）仪器内预装优化好的提取程序≥2000个，可直接调用。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（13）纯化工作体积（每孔）：100-800ul液体样本，不同应用根据程序上样；洗脱体积：20ul-200ul；可根据需求自动选择洗脱体积。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）仪器通过触摸屏操作，无需外接电脑。</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）配备紫外灯灭菌，且紫外灯可随机械臂移动。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）配备手持式扫描枪。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）带有安全保护门和透明外罩，全封闭运行。</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起始装机包一个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电源线一根</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（1）免费质保期1年。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（2）在保修期内，技术人员前往用户所在地进行维修时一切费用（包括部件费用）由公司负担。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（3）应急维修服务：在接到用户故障通知后，2小时之内响应，48小时内派工程师到达用户现场。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（4）免费提供给用户指定的有关人员进行技术培训（包括：基本原理，仪器操作，日常维修等内容）。用户将定期获得公司应用通讯及技术资料。</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5</w:t>
            </w:r>
            <w:r>
              <w:rPr>
                <w:rFonts w:hint="eastAsia" w:ascii="宋体" w:hAnsi="宋体" w:eastAsia="宋体"/>
                <w:color w:val="000000"/>
                <w:sz w:val="22"/>
                <w:szCs w:val="22"/>
                <w:highlight w:val="none"/>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生信分析系统</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（1）软件提供图形操作界面，无需编写代码，选中测序数据后一键完成分析，兼容二代测序、三代测序数据，支持单样本、多样本自动化导入分析。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（2）支持菌株基因组测序全流程分析、宏基因组分析、基于reads的未知病原识别分析。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（3）支持一键完成：数据质控、基因组拼接、物种鉴定、血清型分型、MLST分型、cgMLST分型、SNP分析、耐药注释、毒力注释。支持生成可视化监测和预警图形。</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（4）病原参比数据库：物种≥550种；MLST分型支持物种≥200种；自建cgMLST分型支持物种≥110种。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（5）血清型覆盖沙门氏菌、肺炎克雷伯菌、大肠杆菌、肺炎链球菌、副溶血性弧菌、霍乱弧菌、志贺菌、猪链球菌、流感嗜血杆菌、布鲁氏菌等10个物种。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（6）支持物种溯源，支持多组数据同时进行cgMLST、cgSNP、wgSNP分析，自动构建系统发育进化树，可视化方式≥4种。</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（7）★细菌物种鉴定参考基因组与国家致病菌识别网一致，可批量导出.cpin格式加密文件上传至国家致病菌识别网。</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（8）未知病原模块分析结果按细菌、真菌、DNA病毒、RNA病毒、其他病毒、寄生虫分类，计算各属相对丰度、序列数，各物种序列数、相对丰度、基因组覆盖度。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（9）基于至少两个数据库注释耐药基因，至少一个数据库注释毒力基因。系统自动生成不同症候群的病原谱、抗生素谱、耐药谱，对高危病原进行预警，图形包括地图、树图、饼图、桑基图、热图等。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（10）病原监测预警系统支持全国各省份序列数据实时监测。支持中国地图、省份地图、市级地图显示监测数据。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（11）每个分析模块均配有样本数据管理模块，支持样本信息录入、编辑、删除、批量导入。支持基因组文件批量导入，不限测序平台，自动关联样本信息。支持根据不同筛选条件批量导出样本数据及分析结果。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（12）★PFGE分析模块支持条带图谱在线分析，包括泳道识别、泳道确认、校正、条带标定、分型结果生成。</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color w:val="000000"/>
                <w:highlight w:val="none"/>
              </w:rPr>
            </w:pPr>
            <w:r>
              <w:rPr>
                <w:color w:val="000000"/>
                <w:highlight w:val="none"/>
              </w:rPr>
            </w:r>
            <w:r/>
          </w:p>
        </w:tc>
        <w:tc>
          <w:tcPr>
            <w:tcW w:w="1416" w:type="dxa"/>
            <w:vAlign w:val="center"/>
            <w:vMerge w:val="continue"/>
            <w:textDirection w:val="lrTb"/>
            <w:noWrap w:val="false"/>
          </w:tcPr>
          <w:p>
            <w:pPr>
              <w:pStyle w:val="1035"/>
              <w:jc w:val="left"/>
              <w:shd w:val="clear" w:color="auto" w:fill="auto"/>
              <w:rPr>
                <w:color w:val="000000"/>
                <w:highlight w:val="none"/>
              </w:rPr>
            </w:pPr>
            <w:r>
              <w:rPr>
                <w:color w:val="000000"/>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病原微生物分析服务器：1台，配置不低于CPU：20核/40线程；内存：≥256G；硬盘：≥8TB固态硬盘；≥20TB机械硬盘；其它：高清显示器≥32英寸、键鼠套装等。</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细菌基因组分析与监测系统：1 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未知病原分析与监测系统（mNGS）：1套。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病原基因组监测预警可视化系统：1套。</w:t>
            </w:r>
            <w:r>
              <w:rPr>
                <w:rFonts w:hint="eastAsia" w:ascii="宋体" w:hAnsi="宋体" w:eastAsia="宋体"/>
                <w:color w:val="000000"/>
                <w:sz w:val="22"/>
                <w:szCs w:val="22"/>
                <w:highlight w:val="none"/>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 PFGE分析系统：1套。</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1416" w:type="dxa"/>
            <w:vAlign w:val="center"/>
            <w:vMerge w:val="continue"/>
            <w:textDirection w:val="lrTb"/>
            <w:noWrap w:val="false"/>
          </w:tcPr>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（1）保修期：主机及相关配套设备保修期3年，软件及数据库免费维护及升级3年。自设备验收合格之日起计算。保修期内应提供免费保修。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（2）供应商应提供全套、完整的技术资料，包括产品应用说明书、操作手册、维护保养说明等。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设备安装、调试和验收要求：设备到达最终用户现场并且实验室条件合格后，在接到用户通知后需安排有经验的工程技术人员到用户现场安装、调试设备，设备安装调试需在10日内完成。安装前，提供安装条件、用水、用电条件说明；</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lang w:val="en-US"/>
              </w:rPr>
            </w:pPr>
            <w:r>
              <w:rPr>
                <w:rFonts w:hint="eastAsia" w:ascii="宋体" w:hAnsi="宋体" w:eastAsia="宋体"/>
                <w:color w:val="000000"/>
                <w:sz w:val="21"/>
                <w:szCs w:val="21"/>
                <w:highlight w:val="none"/>
                <w:lang w:val="en-US"/>
              </w:rPr>
              <w:t xml:space="preserve">（4）培训要求：安装验收后，厂家在用户所在地或用户指定在线会议方式对用户进行设备操作和日常维护的培训。包括设备使用方法和维护方法等；</w:t>
            </w:r>
            <w:r>
              <w:rPr>
                <w:rFonts w:hint="eastAsia" w:ascii="宋体" w:hAnsi="宋体" w:eastAsia="宋体"/>
                <w:color w:val="000000"/>
                <w:sz w:val="22"/>
                <w:szCs w:val="22"/>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t xml:space="preserve">6</w:t>
            </w:r>
            <w:r>
              <w:rPr>
                <w:rFonts w:ascii="宋体" w:hAnsi="宋体" w:eastAsia="宋体"/>
                <w:color w:val="000000"/>
                <w:sz w:val="22"/>
                <w:szCs w:val="22"/>
                <w:highlight w:val="none"/>
                <w:lang w:val="en-US"/>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高压灭菌锅</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（1）▲罐体部分拥有国家市场监督管理总局颁发的特种设备制造许可证；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（2）随机附带压力容器质量证明书（包括压力容器产品合格证、特种设备制造监督检验证书、设计蓝图等）；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（3）配备冷却风扇；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（4）翻盖式高性能高压蒸汽灭菌器，最高使用温度≥135℃，可以作为蛋白改质之用；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（5）数码式操作控制面设置在盖子的前侧；</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（6）槽内温度及推移过程通过LED实时显示监测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（7）设有三重压力盖开启保护锁；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（8）搭载定时开始和预热功能；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（9）灭菌器内腔采用3mm厚不锈钢制作，表面经镜面抛光、防腐处理；</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（10）温度控制、显示精度：≤0.1℃；使用温度范围：45--135℃、45-80℃（预热温度）、45-60℃（保温工程）、65-100℃（溶解工程）、105-135℃（灭菌工程）；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（11）最高使用压力：≥0.26MPa，压力表和压力安全阀都可方便拆卸；</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（12）包含其他配置用接口：样品传感器用（1/4），记录仪用（1/4），压力表用（电磁阀配管分支）；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（13）冷却风扇：轴流风扇马达；</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（14）加热器：220V，≤2000W×2；</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（15）控制器：微电脑PID控制，对话型输入型式，避免重复输入；上下键数码设定显示；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（16）运行模式：器具灭菌模式，液体灭菌模式，灭菌保温模式，溶解保温模式，手动操作模式；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（17）其他功能：键盘锁定功能、预约功能、记忆功能、预热功能、强制冷却功能、程序锁功能、警报发生记录功能、时间积算显示、时间显示、操作音ON/OFF设定功能；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（18）安全装置：传感器异常、SSR短路、加热器断线、防止空烧（液胀式温控器）、冷却水箱异常警告、排水箱未设置警告、压力盖锁定异常、内存异常、压力安全阀（0.26MPa）；</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2"/>
                <w:szCs w:val="22"/>
                <w:highlight w:val="none"/>
              </w:rPr>
            </w:pPr>
            <w:r>
              <w:rPr>
                <w:rFonts w:hint="eastAsia" w:ascii="宋体" w:hAnsi="宋体" w:eastAsia="宋体"/>
                <w:color w:val="000000"/>
                <w:sz w:val="21"/>
                <w:szCs w:val="21"/>
                <w:highlight w:val="none"/>
                <w:lang w:val="en-US"/>
              </w:rPr>
              <w:t xml:space="preserve">（19）▲罐体有效容积：≥110L。</w:t>
            </w:r>
            <w:r>
              <w:rPr>
                <w:rFonts w:hint="eastAsia" w:ascii="宋体" w:hAnsi="宋体" w:eastAsia="宋体"/>
                <w:color w:val="000000"/>
                <w:sz w:val="22"/>
                <w:szCs w:val="22"/>
                <w:highlight w:val="none"/>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附属品：提篮3个（412×196mm）, 蒸汽接收杯1个，冷却水壶1个，加热器挡板1个，过滤器1个，排水管1根，抱箍1个，灭菌效果测试卡30片，长臂夹。</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质保及备件供应：保证产品为全新原厂设备；合同签订后60天内到货；仪器在调试通过后提供保修服务，保修期一年；在保修期内，所有服务及配件全部免费,保修期外，能更及时地为用户提供备品备件。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17</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半导体低温恒温培养箱</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（1）容积≥200L；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（2）温度控制范围：0~70℃；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（3）温度均匀性≤±0.2℃@22℃；</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（4）温度波动度≤±0.1℃；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（5）最大功率≤400W；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（6）内胆与搁板采用304镜面不锈钢材质，一体式搁架；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（7）双温度传感器，聚氨酯发泡和独特的风道设计，实现高精度温度控制保温方式；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（8）独立的环境温度检测器，可根据环境温度变化自动调节加热系统，防止箱内温度过冲；</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（9）风机转速可调，满足不同微生物培养环境的需求；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（10）半导体制冷和加热系统，实现无制冷剂；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）高度≤900mm，主机自带堆叠部件，方便堆叠；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）节能环保，能耗更低，温度设定22℃，24小时耗电量小于1.5度；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）多种报警（超温报警、高低温报警、开门报警、传感器错误报警等）和多重安全防护（过热防护、过流防护、传感器错误检测、独立限温等）；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）独立PT100限温控制，设置精度0.1℃，限温温度范围0-100℃可调（提供限温范围照片证明）。</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主机1台，搁板3块。</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（1）质保及备件供应：保证产品为全新原厂设备；合同签订后60天内到货；仪器在调试通过后提供保修服务，保修期一年；在保修期内，所有服务及配件全部免费,保修期外，能更及时地为用户提供备品备件。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（2）技术服务：提供快捷、周到、规范的技术服务，仪器出现故障时，供货或服务商维修人员在接到通知后24小时内响应，48小时内到现场维修。提供仪器设备详细的中文操作手册。</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18</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组织破碎仪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（1）工作条件：环境温度：18-25℃；相对湿度：20%-80%。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（2）每次处理最大样本数≥48个。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（3）可提供不同规格的研磨珠预装管，包括不同规格的陶瓷珠、玻璃珠和金属珠，以及混合大小的含锆珠等，可适用于不同样品的破碎应用。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（4）可提供预装研磨珠的96孔研磨板，用来处理大批量样本。</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（5）可提供研磨珠分配器，96孔珠分配器将研磨珠分配到每个样品容器中。</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（6）震荡时间：10秒～99分钟可调；震荡频率：3～30Hz，以1Hz为单位调节。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（7）具备安全外罩设置，仅在防护罩安全关闭情况下运行；噪音指数：≤75 dB。</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▲（8）可以设置循环次数、时间和频率，可在半个周期后，进行强制暂停，用于适配器的翻转。</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（9）程序储存：≥5个预保存程序，≥3个定制程序。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（10）具有带触摸屏及旋钮，用于程序的选择与设置。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（11）可提供同品牌预装研磨管的DNA和RNA提取试剂盒。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（12）具有同品牌下游核酸提取设备。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（13）提供处理动物组织，植物组织，细菌，酵母的标准操作流程，并有对应的研磨程序。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（14）可选配多种适配器：（包括2×24（2ml）、2×96孔板（1.2ml） 和2×16（5ml）），满足不同通量的要求，并且可放入-80℃预冷。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（15）适用于动物组织、细菌、真菌、酵母及单细胞动物等样品的全自动破碎。</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主机一台。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5ml适配器2个。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电源线一根。</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（1）免费质保期1年。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在保修期内，技术人员前往用户所在地进行维修时一切费用（包括部件费用）由公司负担。保修期外的维修可按两种方式进行；其一，按实际更换的零部件收取部件费用，并收取维修服务费（包括工时费与差旅费）；其二，由用户先行购买维修合同，然后享受保修期内同样的维修服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（3）应急维修服务：在接到用户故障通知后，2 小时之内响应，48 小时内派工程师到达用户现场。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（4）免费提供给用户指定的有关人员进行技术培训（包括：基本原理，仪器操作，日常维修等内容）。户将定期获得公司应用通讯及技术资料。</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19</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荧光分光光度计</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（1）主机功能要求：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▲磷光、最低至1毫秒级别的磷光寿命，三维时间扫描功能（激发波段/发射波段随时间变化的维度谱）。</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可测荧光、化学/生物发光；三维扫描；波长扫描；时间扫描测量；定量分析；可连接积分球进行绝对量子产率测试。</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（2）测量波长范围（EX/EM）：200到900nm。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（3）光源：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▲150W 的连续氙灯。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自带斩波器套件，可以将连续氙灯斩成脉冲光源，以完成三重态发光如磷光以及最低至1毫秒级别的磷光寿命的测试。</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（4）灵敏度：S/N ≥15000（使用水的拉曼峰，激发波长350nm）。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（5）光谱分辨率：1.0nm。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（6）▲波长扫描速度：30到60000nm/min可调。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（7）★水平狭缝：标准荧光池最小样品用量≤0.6mL（使用标准10mm方形样品池）。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线性动态范围：≥6个数量级，可测试高达六个数量级浓度范围的样品（所有测试条件固定，不改变任何测试条件（包含检测器电压灵敏度等）），包括强散射光和弱荧光样品在相同条件下的量子产率测试。</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（9）光谱通带：激发侧&amp;发射侧：1/2.5/5/10/20nm。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（10）▲检测器：具有自增益功能的光电倍增管（PMT），即PMT外加电压0-1000V连续任意可调，未知样品可不经稀释浓缩等复杂前处理直接测试。</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（11）▲主机预留外接激发源接口，无需任何改造即可接入外部激发源，如激光器等等。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（12）磁力搅拌水浴温控支架：温控范围5℃~60℃，带有磁力搅拌功能，配有热源。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（13）控制软件：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主机由软件控制，在Windows环境工作。发光强度、激发和发射波长、光谱带宽均可由监视窗口实时显示。光谱或时间数据均实时显示并可自动存盘。有对储存数据的算术运算功能，包括四则运算，平滑功能，1－4阶导数，求面积，求峰值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▲内滤效应校正功能，可一键自动校正由于荧光体或共存吸光物质对激发光或发射光的吸收，导致荧光强度减弱的内滤效应现象。</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（1）荧光磷光分光光度计主机（200-900nm）    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（2）150W连续氙灯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（3）磷光&amp;磷光寿命测试附件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（4）外部激发源接入口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（5）标准液体池支架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（6）0-1000V电压连续可调光电倍增管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（7）软件（含内滤效应校正功能）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（8）200微升荧光微量石英比色皿             2套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（9）循环水浴热源（国产）用于恒温池支架热源提供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（10）磁力搅拌功能水浴控温支架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（11）标准10mm矩形荧光石英比色皿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（12）电脑1台，配置不低于i5 14600处理器，1TB固态硬盘，16G内存，22寸液晶显示器，正版windows操作系统</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自测试验收合格起，整机设备免费保修1年。</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0</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液相色谱仪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（1）操作环境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工作电压：220V ±10%，单相</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工作温度：4-35℃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相对湿度：小于80%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（2）系统控制器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可连接单元：溶剂输送单元：≥4个，自动进样器：≥1个，柱温箱：≥4个，检测器：≥2个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最多可连接单元： ≥8</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操作温度范围：4~35℃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（3）输液泵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泵类型：并联双柱塞(固定冲程，体积不大于10μL)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流速范围：0.0001-10.0000mL/min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★耐压：≥42Mpa</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流速精确度：≤0.062％RSD</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梯度类型：四元高压梯度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自我诊断/自我恢复：自动检测到批处理分析过程中意外混入的气泡，自动执行Purge，快速恢复至正常分析状态。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智能流量控制功能：防止瞬间高压损害色谱柱。</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（4）脱气机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流路数目：≥5路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脱气流路体积：≥400µL/每流路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（5）自动进样器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线性：&gt;0.9999%</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进样周期：≦6.7秒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样品数量：≥160位(1.5mL/2mL样品瓶)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样品数量扩展：最多可扩展至16000个样品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交叉污染： &lt;0.0005%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支持多种自动前处理功能：样品稀释、添加、混合、自动衍生等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智能化样品冷却机制，智能控制样品仓内气流走向，充分保持其内部温度，防止样品仓门打开时外部热空气侵入影响样品仓内温度，并防止冷凝的发生。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▲样品控温设定范围：4~45℃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（6）柱温箱</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温度控制类型：强制空气循环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▲温度控制范围：室温-10℃~85℃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色谱柱容量：单个柱温箱内可放置100mm×6根；300mm×3根</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双重漏液传感器：含气体和液体双重传感器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（7）二极管阵列检测器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光源：氘灯和钨灯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二极管数量：1024</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波长范围：190~750nm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漂移：＜0.4×10-3AU/h</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噪音：＜4.5×10-6AU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线性：＞2.4AU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温度系数：＜0.3×10-3AU/℃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控温单元：光源，光路系统，流通池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（8）色谱工作站</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可将报告、分析结果以及所有操作日志全部汇总到一个PDF文件（报告集）中。制作简单，在安全管理到位的数据库内生成、保管，具有数据完整性功能。另外具有自动峰识别功能、智能峰解卷积功能、动态范围扩展功能。</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（1）四元低压梯度泵1套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（2）独立脱气机1套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（3）自动进样器(含样品控温模块)1套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（4）柱温箱1套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（5）二极管阵列检测器1套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（6）控制器1套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（7）色谱工作站软件1套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（8）电脑1套，配置不低于i5 14600处理器，1TB固态硬盘，16G内存，22寸液晶显示器，正版windows操作系统</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自测试验收合格起，整机设备免费保修1年。</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高效液相色谱仪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（1）操作环境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工作电压：220V ±10%，单相</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工作温度：4-35℃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相对湿度：小于80%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（2）系统控制器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可连接单元：溶剂输送单元：≥4个，自动进样器：≥1个，柱温箱：≥4个，检测器：≥2个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最多可连接单元：≥8</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操作温度范围：4~35℃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（3）输液泵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泵类型：并联双柱塞(固定冲程，体积不大于10μL)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流速范围：0.0001-10.0000mL/min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★耐压：≥42Mpa</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流速精确度：≤0.062％RSD</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梯度类型：四元高压梯度</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自我诊断/自我恢复：自动检测到批处理分析过程中意外混入的气泡，自动执行排气，快速恢复至正常分析状态。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智能流量控制功能：防止瞬间高压损害色谱柱，延长色谱柱使用寿命。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（4）脱气机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流路数目：≥5路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脱气流路体积：≥400µL/每流路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（5）自动进样器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线性：&gt;0.9999%</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进样周期：≦6.7秒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样品数量：≥160位(1.5mL/2mL样品瓶)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样品数量扩展：最多可扩展至16000个样品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交叉污染： &lt;0.0005%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支持多种自动前处理功能：样品稀释、添加、混合、自动衍生等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智能化样品冷却机制，智能控制样品仓内气流走向，充分保持其内部温度，防止样品仓门打开时外部热空气侵入影响样品仓内温度，并防止冷凝的发生。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▲样品控温设定范围：4~45℃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（6）柱温箱</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温度控制类型：强制空气循环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▲温度控制范围：室温-10℃~85℃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色谱柱容量：单个柱温箱内可放置100mm×6根；300mm×3根</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双重漏液传感器：含气体和液体双重传感器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（7）二极管阵列检测器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光源：氘灯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双波长功能：支持</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波长范围：190~700nm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漂移：＜0.1×10-3AU/h</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噪音：＜5.0×10-6AU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线性：＞2.5AU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温度系数：＜0.3×10-3AU/℃</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紫外截止功能：内置UV截止滤光片(开/关可选)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（8）色谱工作站</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可将报告、分析结果以及所有操作日志全部汇总到一个PDF文件（报告集）中。制作简单，在安全管理到位的数据库内生成、保管，具有数据完整性功能。另外具有自动峰识别功能、智能峰解卷积功能、动态范围扩展功能</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（1）四元低压梯度泵1套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（2）独立脱气机1套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（3）自动进样器(含样品控温模块)1套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（4）柱温箱1套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（5）紫外检测器1套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（6）控制器1套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（7）色谱工作站软件1套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（8）电脑1套，不低于i5 CPU, 16GB内存, 512G固态硬盘+1T机械硬盘, Microsoft windows 11专业版或者企业版操作系统，23英寸液晶显示器。</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自测试验收合格起，整机设备免费保修1年。</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傅利叶变换红外光谱仪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（1）★光谱分辨率：≤0.1 cm-1。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（2）信噪比：≥65000:1（4 cm-1分辨率, 1 min扫描, 峰-峰值）。</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（3）光谱范围：7800 - 350 cm-1；可扩展控制五个检测器自动转换和三个分束器同时自动转换系统，实现可见、近红外、中红外和远红外全光谱范围自动切换精确检测。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（4）全光谱范围线性度：≤0.07%T。</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（5）波数准确度：≤0.005 cm-1。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（6）波数精度：≤0.0008 cm-1。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（7）★干涉仪：研究级磁浮式或空气轴承式干涉仪，配置高速自动准直的数字化连续动态调整技术。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（8）光源：配置高能量超长寿命中\远红外光源；可选配可见\近红外光源、傅里叶拉曼光源以及多光源自动切换系统，扩展各种检测功能。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（9）光阑：200档以上精度连续可变自动控制光阑，实现高分辨精确测量。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（10）检测器：高性能DLaTGS检测器，采用24位500KHz高精、高速数据采集A/D转换器。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（11）操作软件：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包括各种常规红外操作处理应用及仪器认证测试系统功能，具有光谱采集自动光谱质量检查和判断提示，自动谱峰查找定量分析、智能模型编辑、高精确物质鉴别等独到先进应用功能。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具备高精度质量检查功能：配置两级检查级别，不仅能对含有不同成分的样品进行快速鉴别，更可对相同成分不同含量的样品进行高精度快速鉴别，实现对原料或产品质量的快速和精确控制。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具备多组分混合物鉴别软件，包含多组分检索功能，具有独到的自动光谱分离解谱领先技术、可对混合物样品红外光谱进行采集自动搜索分离鉴别、给出混合物不同物质相对含量的信息。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bookmarkStart w:id="48" w:name="_Hlk165119667"/>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▲提供不少于20万张具有自主知识产权的、永久离线安装在用户电脑上的标准红外光谱数据库，或提供20万张以上的萨特勒谱图集的红外光谱数据库十年以上的年费。</w:t>
            </w:r>
            <w:bookmarkEnd w:id="48"/>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（1）傅里叶红外光谱仪主机1台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（2）DLaTGS检测器1套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（3）标准操作软件1套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（4）高级材料混合物自动分离和鉴别分析软件1套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（5）智能透射测试附件1套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（6）可拆卸液体池1套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（7）微型压片机1套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（8）配套电脑1套：Dell PRO QCT1250, i5-14500, 8G, 固态512G, DVDRW, WIN11专业版，E2423H显示器。</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（1）安装和培训：仪器到达所在地，并接到用户通知后7个工作日内安排工程师上门进行安装调试，以及现场的基本培训，包括仪器结构介绍、仪器使用操作、基本制样方法、日常保养及维护等。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质量保证：自货物验收后12个月，或自货物交运之日起15个月，以先到日期为准。质保期内如有质量问题、质量缺陷或运输、安装及调试原因造成的零部件损坏，将免费无偿予以更换；质保期外，负责对设备提供终身维修服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服务响应：在线技术服务团队接到用户的技术需求后，将会在2小时内响应。用户有其他需求时，如上门服务、询价等，在线工程师将根据用户需求转交到相应的支持团队。在线服务无法解决的，将在48小时内派维修工程师到达用户现场检修仪器。如因外界交通或其它非可控之原因而无法及时到达用户现场的，应通知用户说明这些原因并将计划达到的日期通知用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（4）零配件供应：在国内设有备件仓库，备有大部分常用维修用零备件。备件库存达到90%满足率，备件物流响应时间：24小时到达率80%，48小时到达率98%。</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智能高纯石墨精密电热板</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（1）板面材质：高纯石墨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（2）加热尺寸：400mm×280mm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（3）控温范围：室温+5～420℃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（4）温度均匀性：≤3%</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（5）可恒温定时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（6）显示方式：LCD液晶显示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（7）板面厚度：≥10mm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（8）承重：≥5Kg</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主机1台</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4</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超声仪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（1）▲单槽容量: ≥22.5升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（2）清洗器主体材质为304不锈钢，且带不锈钢网架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（3）带加热装置，温控范围：常温～80℃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（4）可调超声工作时间范围： 1～480分钟，可长时间工作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（5）可调超声功率：40～100%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（6）数显温度、水位、超声功率、时间</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（7）有超温度、超电压、超电流、低水位、无溶液保护指示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（8）超声频率: 40 KHz，超声功率600～700W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（9）加热功率 ：≥800W</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主机（含降音盖、不锈钢网架、不锈钢托架、电源）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排水软管</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5</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三用暗箱式紫外分析仪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（1）暗箱式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（2）可选波长：254nm和365nm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（3）滤光片尺寸：≥200mm×80mm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（4）紫外功率：≥32w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（5）操作台尺寸：≥280mm*260mm*140mm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（6）带拍照口</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（7）灯光角度可调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（8）操作口紫外灯管数量：≥4个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（9）紫外强度可调</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主机1台（含紫外灯管）</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t xml:space="preserve">6</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紫外分光光度计</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（1）工作环境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使用温度范围：15°C to 35°C； 使用湿度范围：30% to 80%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（2）分光系统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光学系统: 双光束</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分光器: 单单色器，象差校正型切尼尔一特纳装置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设定波长范围: 185~900nm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衍射光栅刻线数: 1300 lines/mm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波长准确性: ≤0.1nm（656.1nm）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≤0.3nm（全波段）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波长重复精度: ≤0.05nm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波长扫描速度: 波长移动速度: ≥14000nm/min;  最大扫描速度：4000nm/min;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光源切换波长: 和波长同步自动切换290.0 nm~370.0 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9</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谱带宽度: 0.1/ 0.2/ 0.5/ 1/ 2/ 5nm  L2/L5（低杂散光模式）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10</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分辨率:≤ 0.1nm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杂散光:     KCI      &lt; 1%T　   （198nm）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NaI      &lt; 0.005%T　（220nm)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NaNO2   &lt; 0.005%T　（340nm)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测光方式: 双光束测光方式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13</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测光类型: 吸光度（Abs），透射率（%），反射率（%），能量（E）</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14</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测光范围: 吸光度：-5~5 Abs</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15</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光度准确性</w:t>
            </w:r>
            <w:r>
              <w:rPr>
                <w:rFonts w:hint="eastAsia" w:ascii="宋体" w:hAnsi="宋体" w:eastAsia="宋体"/>
                <w:color w:val="000000"/>
                <w:sz w:val="21"/>
                <w:szCs w:val="21"/>
                <w:highlight w:val="none"/>
                <w:lang w:val="en-US"/>
              </w:rPr>
              <w:tab/>
            </w:r>
            <w:r>
              <w:rPr>
                <w:rFonts w:hint="eastAsia" w:ascii="宋体" w:hAnsi="宋体" w:eastAsia="宋体"/>
                <w:color w:val="000000"/>
                <w:sz w:val="21"/>
                <w:szCs w:val="21"/>
                <w:highlight w:val="none"/>
                <w:lang w:val="en-US"/>
              </w:rPr>
              <w:t xml:space="preserve">≤0.002Abs(0-0.5Abs范围内)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≤0.003Abs(0.5-1Abs范围内)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≤0.006Abs(1.0-2.0Abs范围内)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16</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光度重现性  ≤0.001Abs(0.5Abs范围内)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≤0.001Abs(1Abs范围内)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≤0.003Abs(2Abs范围内)</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17</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噪音</w:t>
            </w:r>
            <w:r>
              <w:rPr>
                <w:rFonts w:hint="eastAsia" w:ascii="宋体" w:hAnsi="宋体" w:eastAsia="宋体"/>
                <w:color w:val="000000"/>
                <w:sz w:val="21"/>
                <w:szCs w:val="21"/>
                <w:highlight w:val="none"/>
                <w:lang w:val="en-US"/>
              </w:rPr>
              <w:tab/>
            </w:r>
            <w:r>
              <w:rPr>
                <w:rFonts w:hint="eastAsia" w:ascii="宋体" w:hAnsi="宋体" w:eastAsia="宋体"/>
                <w:color w:val="000000"/>
                <w:sz w:val="21"/>
                <w:szCs w:val="21"/>
                <w:highlight w:val="none"/>
                <w:lang w:val="en-US"/>
              </w:rPr>
              <w:t xml:space="preserve">≤0.00003Abs (500nm)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18</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基线稳定性</w:t>
            </w:r>
            <w:r>
              <w:rPr>
                <w:rFonts w:hint="eastAsia" w:ascii="宋体" w:hAnsi="宋体" w:eastAsia="宋体"/>
                <w:color w:val="000000"/>
                <w:sz w:val="21"/>
                <w:szCs w:val="21"/>
                <w:highlight w:val="none"/>
                <w:lang w:val="en-US"/>
              </w:rPr>
              <w:tab/>
            </w:r>
            <w:r>
              <w:rPr>
                <w:rFonts w:hint="eastAsia" w:ascii="宋体" w:hAnsi="宋体" w:eastAsia="宋体"/>
                <w:color w:val="000000"/>
                <w:sz w:val="21"/>
                <w:szCs w:val="21"/>
                <w:highlight w:val="none"/>
                <w:lang w:val="en-US"/>
              </w:rPr>
              <w:t xml:space="preserve">&lt; 0.0002Abs/hour</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19</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基线平直度</w:t>
            </w:r>
            <w:r>
              <w:rPr>
                <w:rFonts w:hint="eastAsia" w:ascii="宋体" w:hAnsi="宋体" w:eastAsia="宋体"/>
                <w:color w:val="000000"/>
                <w:sz w:val="21"/>
                <w:szCs w:val="21"/>
                <w:highlight w:val="none"/>
                <w:lang w:val="en-US"/>
              </w:rPr>
              <w:tab/>
            </w:r>
            <w:r>
              <w:rPr>
                <w:rFonts w:hint="eastAsia" w:ascii="宋体" w:hAnsi="宋体" w:eastAsia="宋体"/>
                <w:color w:val="000000"/>
                <w:sz w:val="21"/>
                <w:szCs w:val="21"/>
                <w:highlight w:val="none"/>
                <w:lang w:val="en-US"/>
              </w:rPr>
              <w:t xml:space="preserve">≤0.0003Abs(200-860nm)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20</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记录范围: 吸光度-10~10 Abs</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21</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漂移：＜0.0002Abs/h</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fldChar w:fldCharType="begin"/>
            </w:r>
            <w:r>
              <w:rPr>
                <w:rFonts w:hint="eastAsia" w:ascii="宋体" w:hAnsi="宋体" w:eastAsia="宋体"/>
                <w:color w:val="000000"/>
                <w:sz w:val="21"/>
                <w:szCs w:val="21"/>
                <w:highlight w:val="none"/>
                <w:lang w:val="en-US"/>
              </w:rPr>
              <w:instrText xml:space="preserve"> EQ \o\ac(○,</w:instrText>
            </w:r>
            <w:r>
              <w:rPr>
                <w:rFonts w:hint="eastAsia" w:ascii="宋体" w:hAnsi="宋体" w:eastAsia="宋体"/>
                <w:color w:val="000000"/>
                <w:position w:val="2"/>
                <w:sz w:val="14"/>
                <w:szCs w:val="21"/>
                <w:highlight w:val="none"/>
                <w:lang w:val="en-US"/>
              </w:rPr>
              <w:instrText xml:space="preserve">22</w:instrText>
            </w:r>
            <w:r>
              <w:rPr>
                <w:rFonts w:hint="eastAsia" w:ascii="宋体" w:hAnsi="宋体" w:eastAsia="宋体"/>
                <w:color w:val="000000"/>
                <w:sz w:val="21"/>
                <w:szCs w:val="21"/>
                <w:highlight w:val="none"/>
                <w:lang w:val="en-US"/>
              </w:rPr>
              <w:instrText xml:space="preserve">)</w:instrText>
            </w:r>
            <w:r>
              <w:rPr>
                <w:rFonts w:hint="eastAsia" w:ascii="宋体" w:hAnsi="宋体" w:eastAsia="宋体"/>
                <w:color w:val="000000"/>
                <w:sz w:val="21"/>
                <w:szCs w:val="21"/>
                <w:highlight w:val="none"/>
                <w:lang w:val="en-US"/>
              </w:rPr>
              <w:fldChar w:fldCharType="end"/>
            </w:r>
            <w:r>
              <w:rPr>
                <w:rFonts w:hint="eastAsia" w:ascii="宋体" w:hAnsi="宋体" w:eastAsia="宋体"/>
                <w:color w:val="000000"/>
                <w:sz w:val="21"/>
                <w:szCs w:val="21"/>
                <w:highlight w:val="none"/>
                <w:lang w:val="en-US"/>
              </w:rPr>
              <w:t xml:space="preserve">基线校正：计算机自动校正（电源启动时，自动存储备份的基线，可以再校正）</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（3）光源：≥ 50W卤素灯和氘灯（插座型）</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（4）检测器：光电倍增管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bookmarkStart w:id="49" w:name="_Hlk38371782"/>
            <w:r>
              <w:rPr>
                <w:rFonts w:hint="eastAsia" w:ascii="宋体" w:hAnsi="宋体" w:eastAsia="宋体"/>
                <w:color w:val="000000"/>
                <w:sz w:val="21"/>
                <w:szCs w:val="21"/>
                <w:highlight w:val="none"/>
                <w:lang w:val="en-US"/>
              </w:rPr>
              <w:t xml:space="preserve">（5）软件：可执行自动光谱评价，实时导出Excel数据。</w:t>
            </w:r>
            <w:bookmarkEnd w:id="49"/>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（1）紫外可见分光光度计 (包含原厂软件)</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（2）恒温四联池架 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（3）恒温循环水装置(含变压器，规格：将220V电压转变为100V)1套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（4）10mm方形石英比色皿4个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（5）原厂工作站软件1套</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（6）电脑，1套，配置不低于i5 CPU, 16GB内存, 512G固态硬盘+1T机械硬盘, Microsoft windows 11专业版或者企业版操作系统，23英寸液晶显示器。</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27</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电热板</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（1）最大处理量: ≥ 15 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（2）搅拌转速范围: 100 - 1500 rpm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（3）热输出功率：≥1500 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（4）控温范围 (盘面）：50 - 500℃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（5）配置外置温度计控温精度：±0.5℃</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（6）加热盘材质: 一体成形的玻璃陶瓷</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（7）盘面尺寸: ≥250×250mm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（8）IP保护等级：不低于 21</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（9）玻璃陶瓷盘面具有耐化学腐蚀性能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（10）搅拌量≥15升</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（11）固定安全温度550℃</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（12）热警提示，当盘面高于50℃会闪烁显示HOT，以防烫伤</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（13）控制面板设置在高处，可防止溶液溅射</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主机1台</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28</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冻干机</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（1）冻干面积(m</w:t>
            </w:r>
            <w:r>
              <w:rPr>
                <w:rFonts w:hint="eastAsia" w:ascii="宋体" w:hAnsi="宋体" w:eastAsia="宋体"/>
                <w:color w:val="000000"/>
                <w:sz w:val="21"/>
                <w:szCs w:val="21"/>
                <w:highlight w:val="none"/>
                <w:vertAlign w:val="superscript"/>
                <w:lang w:val="en-US"/>
              </w:rPr>
              <w:t xml:space="preserve">2</w:t>
            </w:r>
            <w:r>
              <w:rPr>
                <w:rFonts w:hint="eastAsia" w:ascii="宋体" w:hAnsi="宋体" w:eastAsia="宋体"/>
                <w:color w:val="000000"/>
                <w:sz w:val="21"/>
                <w:szCs w:val="21"/>
                <w:highlight w:val="none"/>
                <w:lang w:val="en-US"/>
              </w:rPr>
              <w:t xml:space="preserve">):≥0.08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（2）捕水容量(kg/批): ≥3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（3）西林瓶装瓶量: φ12mm:560 、φ16mm: 28 、φ22mm:165；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（4）压塞方式手动下旋式；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（5）多歧管数量: ≥8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（6）茄形瓶数量: ≥8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（7）盘装溶液(L): ≥1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（8）板层尺(mm): ≥φ180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（9）板层间距(mm): ≥70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（10）板层数量(块): ≥3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（11）冷阱尺寸(mm): ≥φ250×150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（12）冷阱最低温度(℃):≤-56(空载)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（13）极限真空度(Pa):≤5(空载)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（14）动压盖手柄</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（1）冻干机主机                  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（2）真空泵                      1 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（3）多歧管玻璃桶（含多歧管阀）  1 个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（4）电源线                      1根</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（5）保温盖                      1个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（6）干燥架                      1个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（7）预冻架                      1个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（8）物料盘（φ180）             3个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（9）抽真空管(ψ25)              1根</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（10）卡箍(KF25)                 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（11）真空硅脂                   1盒</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（12）合格证(SCIENTZ-10N)       1张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（13）保修卡                    1张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（14）茄型瓶（100ml）           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（15）茄型瓶（250ml）           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（16）茄型瓶（500ml）           2个</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（17）茄型瓶（1000ml）          2个</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ascii="宋体" w:hAnsi="宋体" w:eastAsia="宋体"/>
                <w:color w:val="000000"/>
                <w:sz w:val="22"/>
                <w:szCs w:val="22"/>
                <w:highlight w:val="none"/>
                <w:lang w:val="en-US" w:bidi="ar"/>
              </w:rPr>
              <w:t xml:space="preserve">29</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手提式便捷紫外分析仪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（1）波长：254、365nm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（2）滤色片尺寸：≥150×50mm</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（3）电源：AC220V±10% 50HZ</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（1）手提式紫外灯     1台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（2）254nm灯管       2 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（3）365nm灯管       2 支 </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t xml:space="preserve">0</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磁力搅拌器</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（1）最大处理量: ≥20 L。</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（2）搅拌转速范围:  50 - 1500 rpm，并可根据实际需要设定最佳上下限。</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（3）加热温度范围（盘面）：（RT+盘面自热）- 310℃，并可根据实际需要设定最佳上下限。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（4）支持电子接触式温度计探头和温度探头校准功能，温度探头误差≤1K。</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（5）热输出功率： 600 W-1000W，加热速率6-15K/min。</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（6）▲具备热警提示，当盘面高于50℃报警提示以及显示实际温度，以防烫伤。</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（7）具备锁屏保护功能，LED高清显示屏，并且有指示加热状态、传感器连接状态及设定温度等参数。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（8）具有检测温度传感器是否正确浸入介质的功能，如未正确放入不会运行，杜绝安全隐患。</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（9）有5种操作模式可选择，A(出厂设置模式)、B（断电记忆模式）、C(固定设定值模式)、D（自定义模式）、R（断电自动恢复运行模式）。</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（10）操作面板采用防爆钢化玻璃。</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（11）左右各1个固定支杆插孔。</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（1）磁力搅拌器         2台</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（2）电子接触式温度计    2个</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3、售后要求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自验收合格起，整机设备免费保修3年。</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t xml:space="preserve">1</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电动移液枪</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（1）功能在选项盘上，功能模式可直接通过选项盘选择，彩色液晶屏显示。</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（2）具备弹性吸嘴功能。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（3）整个下半支可高温高压灭菌，且下半支可徒手拆卸。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（4）具备编程功能及固定体积功能，量程锁定可防止误操作引起的液量改变。</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（5）人体工程学设计。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（6）可根据实际情况调整移液器，如海拔高度、液体属性等。</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（7）锂聚合物电池，可通过充电器或在充电支架上充电。</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（8）具备密码保护和维护校准提醒功能。</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（9）内置RFID 芯片，可读取或添加数据。</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（10）误差: 量程0.5-10µL，增量0.01µL，10µL时随机误差≤±0.4%，系统误差≤±1%；量程5-100µL，增量0.1µL，100µL时随机误差≤±0.2%，系统误差≤±0.8%；量程15-300µL，增量0.1µL，300µL时随机误差≤±0.2%，系统误差≤±0.6%；量程50-1000µL，增量1µL，1000µL时随机误差≤±0.2%，系统误差≤±0.6%；量程0.2-5 mL，增量5µL，5000µL时随机误差≤±0.15%，系统误差≤±0.6%</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（1）0.5-10µL  单道电动移液器，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（2）5-100µL  单道电动移液器，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（3）15-300µL 单道电动移液器，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（4）50-1000µL 单道电动移液器，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（5）0.2-5 mL 单道电动移液器，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（6）旋转充电支架               2支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（7）0.1-100 mL 1-通道电动移液器,2支</w:t>
            </w:r>
            <w:r>
              <w:rPr>
                <w:rFonts w:hint="eastAsia" w:ascii="宋体" w:hAnsi="宋体" w:eastAsia="宋体"/>
                <w:color w:val="000000"/>
                <w:sz w:val="21"/>
                <w:szCs w:val="21"/>
                <w:highlight w:val="none"/>
                <w:lang w:val="en-US"/>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t xml:space="preserve">2</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单道移液器</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（1）采用耐高温抗腐蚀材质。</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（2）可整支高温高压灭菌和紫外线灭菌。</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（3）人体工程学设计。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（4）下半只可徒手拆卸，便于清洁保养。</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（5）伸缩式弹性吸嘴设计，确保吸头装配的气密性和移液均一性。</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（6）四位数字放大体积显示，可精准设置移液体积。</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（7）体积视窗位置在移液器前面，便于移液观察，可单手设定体积及操作。</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（8）具有密度调节窗口，适用于不同密度的液体。  </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（9）0.1μL－10mL 不同量程选择，满足不同使用需求。</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（10）颜色标识移液器量程。</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0.5-5ml 4支，1-10ml 1支，20-200ul 1支，2-20ul 1支，10-100ul 2支，100-1000ul 5支</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tc>
      </w:tr>
      <w:tr>
        <w:trPr/>
        <w:tc>
          <w:tcPr>
            <w:tcW w:w="585" w:type="dxa"/>
            <w:vAlign w:val="center"/>
            <w:vMerge w:val="restart"/>
            <w:textDirection w:val="lrTb"/>
            <w:noWrap/>
          </w:tcPr>
          <w:p>
            <w:pPr>
              <w:pStyle w:val="1035"/>
              <w:jc w:val="center"/>
              <w:shd w:val="clear" w:color="auto" w:fill="auto"/>
              <w:widowControl/>
              <w:rPr>
                <w:rFonts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t xml:space="preserve">3</w:t>
            </w:r>
            <w:r>
              <w:rPr>
                <w:rFonts w:ascii="宋体" w:hAnsi="宋体" w:eastAsia="宋体"/>
                <w:color w:val="000000"/>
                <w:sz w:val="22"/>
                <w:szCs w:val="22"/>
                <w:highlight w:val="none"/>
                <w:lang w:val="en-US" w:bidi="ar"/>
              </w:rPr>
            </w:r>
            <w:r/>
          </w:p>
        </w:tc>
        <w:tc>
          <w:tcPr>
            <w:tcW w:w="1416" w:type="dxa"/>
            <w:vAlign w:val="center"/>
            <w:vMerge w:val="restart"/>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电动铝塑压盖器</w:t>
            </w:r>
            <w:r>
              <w:rPr>
                <w:rFonts w:hint="eastAsia" w:ascii="宋体" w:hAnsi="宋体" w:eastAsia="宋体"/>
                <w:color w:val="000000"/>
                <w:sz w:val="21"/>
                <w:szCs w:val="21"/>
                <w:highlight w:val="none"/>
              </w:rPr>
            </w:r>
            <w:r/>
          </w:p>
        </w:tc>
        <w:tc>
          <w:tcPr>
            <w:tcW w:w="8016" w:type="dxa"/>
            <w:vAlign w:val="center"/>
            <w:textDirection w:val="lrTb"/>
            <w:noWrap/>
          </w:tcPr>
          <w:p>
            <w:pPr>
              <w:pStyle w:val="1035"/>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2"/>
                <w:szCs w:val="22"/>
                <w:highlight w:val="none"/>
                <w:lang w:val="en-US"/>
              </w:rPr>
              <w:t xml:space="preserve">1、</w:t>
            </w:r>
            <w:r>
              <w:rPr>
                <w:rFonts w:hint="eastAsia" w:ascii="宋体" w:hAnsi="宋体" w:eastAsia="宋体"/>
                <w:b/>
                <w:bCs/>
                <w:color w:val="000000"/>
                <w:sz w:val="21"/>
                <w:szCs w:val="21"/>
                <w:highlight w:val="none"/>
                <w:lang w:val="en-US"/>
              </w:rPr>
              <w:t xml:space="preserve">技术要求：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）电池类型18500锂电池。</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）功率≥10W。</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）单次充满电工作次数：≥700次（以50％行程计）。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rPr>
              <w:t xml:space="preserve">）工作总寿命≥80000次。</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rPr>
              <w:t xml:space="preserve">）待机时长≥7天。</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t xml:space="preserve">）压盖／启盖速度≤2s。</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rPr>
              <w:t xml:space="preserve">）10秒噪音等级≤70db。</w:t>
            </w:r>
            <w:r>
              <w:rPr>
                <w:rFonts w:hint="eastAsia" w:ascii="宋体" w:hAnsi="宋体" w:eastAsia="宋体"/>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lang w:val="en-US"/>
              </w:rPr>
              <w:t xml:space="preserve">）▲适用大小：20mm铝塑盖。</w:t>
            </w:r>
            <w:r>
              <w:rPr>
                <w:rFonts w:hint="eastAsia" w:ascii="宋体" w:hAnsi="宋体" w:eastAsia="宋体"/>
                <w:color w:val="000000"/>
                <w:sz w:val="21"/>
                <w:szCs w:val="21"/>
                <w:highlight w:val="none"/>
                <w:lang w:val="en-US"/>
              </w:rPr>
            </w:r>
            <w:r/>
          </w:p>
        </w:tc>
      </w:tr>
      <w:tr>
        <w:trPr/>
        <w:tc>
          <w:tcPr>
            <w:tcW w:w="585" w:type="dxa"/>
            <w:vAlign w:val="center"/>
            <w:vMerge w:val="continue"/>
            <w:textDirection w:val="lrTb"/>
            <w:noWrap/>
          </w:tcPr>
          <w:p>
            <w:pPr>
              <w:pStyle w:val="1035"/>
              <w:jc w:val="center"/>
              <w:shd w:val="clear" w:color="auto" w:fill="auto"/>
              <w:widowControl/>
              <w:rPr>
                <w:rFonts w:hint="eastAsia" w:ascii="宋体" w:hAnsi="宋体" w:eastAsia="宋体"/>
                <w:color w:val="000000"/>
                <w:sz w:val="22"/>
                <w:szCs w:val="22"/>
                <w:highlight w:val="none"/>
                <w:lang w:val="en-US" w:bidi="ar"/>
              </w:rPr>
            </w:pPr>
            <w:r>
              <w:rPr>
                <w:rFonts w:hint="eastAsia" w:ascii="宋体" w:hAnsi="宋体" w:eastAsia="宋体"/>
                <w:color w:val="000000"/>
                <w:sz w:val="22"/>
                <w:szCs w:val="22"/>
                <w:highlight w:val="none"/>
                <w:lang w:val="en-US" w:bidi="ar"/>
              </w:rPr>
            </w:r>
            <w:r/>
          </w:p>
        </w:tc>
        <w:tc>
          <w:tcPr>
            <w:tcW w:w="1416" w:type="dxa"/>
            <w:vAlign w:val="center"/>
            <w:vMerge w:val="continue"/>
            <w:textDirection w:val="lrTb"/>
            <w:noWrap w:val="false"/>
          </w:tcPr>
          <w:p>
            <w:pPr>
              <w:pStyle w:val="1035"/>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016" w:type="dxa"/>
            <w:vAlign w:val="center"/>
            <w:textDirection w:val="lrTb"/>
            <w:noWrap/>
          </w:tcPr>
          <w:p>
            <w:pPr>
              <w:pStyle w:val="1035"/>
              <w:jc w:val="left"/>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2、配置要求：</w:t>
            </w:r>
            <w:r>
              <w:rPr>
                <w:rFonts w:hint="eastAsia" w:ascii="宋体" w:hAnsi="宋体" w:eastAsia="宋体"/>
                <w:b/>
                <w:bCs/>
                <w:color w:val="000000"/>
                <w:sz w:val="21"/>
                <w:szCs w:val="21"/>
                <w:highlight w:val="none"/>
                <w:lang w:val="en-US"/>
              </w:rPr>
            </w:r>
            <w:r/>
          </w:p>
          <w:p>
            <w:pPr>
              <w:pStyle w:val="1035"/>
              <w:jc w:val="lef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电动铝塑压盖器1个</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tc>
      </w:tr>
    </w:tbl>
    <w:p>
      <w:pPr>
        <w:pStyle w:val="1427"/>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427"/>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备注：</w:t>
      </w:r>
      <w:r>
        <w:rPr>
          <w:rFonts w:hint="eastAsia" w:ascii="宋体" w:hAnsi="宋体" w:eastAsia="宋体"/>
          <w:b/>
          <w:bCs/>
          <w:color w:val="000000"/>
          <w:sz w:val="21"/>
          <w:szCs w:val="21"/>
          <w:highlight w:val="none"/>
          <w:lang w:val="en-US"/>
        </w:rPr>
      </w:r>
      <w:r/>
    </w:p>
    <w:p>
      <w:pPr>
        <w:pStyle w:val="1427"/>
        <w:ind w:left="0" w:firstLine="422"/>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1、上表所列采购设备技术指标、配置等均为单台（套）设备要求</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t xml:space="preserve">采购包3序号</w:t>
      </w:r>
      <w:r>
        <w:rPr>
          <w:rFonts w:hint="eastAsia" w:ascii="宋体" w:hAnsi="宋体" w:eastAsia="宋体"/>
          <w:b/>
          <w:bCs/>
          <w:color w:val="000000"/>
          <w:sz w:val="21"/>
          <w:szCs w:val="21"/>
          <w:highlight w:val="none"/>
          <w:lang w:val="en-US" w:eastAsia="zh-CN"/>
        </w:rPr>
        <w:t xml:space="preserve">31</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t xml:space="preserve">电动移液枪、</w:t>
      </w:r>
      <w:r>
        <w:rPr>
          <w:rFonts w:hint="eastAsia" w:ascii="宋体" w:hAnsi="宋体" w:eastAsia="宋体"/>
          <w:b/>
          <w:bCs/>
          <w:color w:val="000000"/>
          <w:sz w:val="21"/>
          <w:szCs w:val="21"/>
          <w:highlight w:val="none"/>
          <w:lang w:val="en-US" w:eastAsia="zh-CN"/>
        </w:rPr>
        <w:t xml:space="preserve">序号</w:t>
      </w:r>
      <w:r>
        <w:rPr>
          <w:rFonts w:hint="eastAsia" w:ascii="宋体" w:hAnsi="宋体" w:eastAsia="宋体"/>
          <w:b/>
          <w:bCs/>
          <w:color w:val="000000"/>
          <w:sz w:val="21"/>
          <w:szCs w:val="21"/>
          <w:highlight w:val="none"/>
          <w:lang w:val="en-US" w:eastAsia="zh-CN"/>
        </w:rPr>
        <w:t xml:space="preserve">32</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eastAsia="zh-CN"/>
        </w:rPr>
        <w:t xml:space="preserve">单道移液器</w:t>
      </w:r>
      <w:r>
        <w:rPr>
          <w:rFonts w:hint="eastAsia" w:ascii="宋体" w:hAnsi="宋体" w:eastAsia="宋体"/>
          <w:b/>
          <w:bCs/>
          <w:color w:val="000000"/>
          <w:sz w:val="21"/>
          <w:szCs w:val="21"/>
          <w:highlight w:val="none"/>
          <w:lang w:val="en-US" w:eastAsia="zh-CN"/>
        </w:rPr>
        <w:t xml:space="preserve">设备除外，以其配置要求中的数量为准</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rPr>
        <w:t xml:space="preserve">，中标后须按照采购文件规定的实际数量进行供货安装。</w:t>
      </w:r>
      <w:r>
        <w:rPr>
          <w:rFonts w:ascii="宋体" w:hAnsi="宋体" w:eastAsia="宋体"/>
          <w:b/>
          <w:bCs/>
          <w:color w:val="000000"/>
          <w:sz w:val="21"/>
          <w:szCs w:val="21"/>
          <w:highlight w:val="none"/>
          <w:lang w:val="en-US"/>
        </w:rPr>
      </w:r>
      <w:r/>
    </w:p>
    <w:p>
      <w:pPr>
        <w:pStyle w:val="1427"/>
        <w:ind w:left="0" w:firstLine="422"/>
        <w:spacing w:line="360" w:lineRule="auto"/>
        <w:shd w:val="clear" w:color="auto" w:fill="auto"/>
        <w:rPr>
          <w:rFonts w:hint="eastAsia" w:ascii="宋体" w:hAnsi="宋体" w:eastAsia="宋体"/>
          <w:b/>
          <w:bCs/>
          <w:color w:val="000000"/>
          <w:sz w:val="21"/>
          <w:szCs w:val="21"/>
          <w:highlight w:val="none"/>
          <w:u w:val="single"/>
          <w:lang w:val="en-US"/>
        </w:rPr>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u w:val="single"/>
          <w:lang w:val="en-US"/>
        </w:rPr>
        <w:t xml:space="preserve">供应商需在《技术条款偏离表》中逐条响应所投分包上述技术指标等要求，列明所投产品详细技术特性，并说明偏离情况。标注“★”和“▲”的参数提供相应技术支持资料(如彩页或白皮书或产品手册或官网/仪器操作界面截图等。如技术指标要求中另有要求的，则从其要求)，并在《技术条款偏离表》中详细标明技术支持资料在投标文件中的页码和位置。未提供技术支持资料的作负偏离处理，如因未在《技术规格偏离表》中注明支持资料具体页码和位置导致本项不得分的，由此产生的后果由供应商自行承担。其他技术参数以技术条款偏离表响应为准。</w:t>
      </w:r>
      <w:r>
        <w:rPr>
          <w:rFonts w:hint="eastAsia" w:ascii="宋体" w:hAnsi="宋体" w:eastAsia="宋体"/>
          <w:b/>
          <w:bCs/>
          <w:color w:val="000000"/>
          <w:sz w:val="21"/>
          <w:szCs w:val="21"/>
          <w:highlight w:val="none"/>
          <w:u w:val="single"/>
          <w:lang w:val="en-US"/>
        </w:rPr>
      </w:r>
      <w:r/>
    </w:p>
    <w:p>
      <w:pPr>
        <w:pStyle w:val="1427"/>
        <w:ind w:left="0"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五</w:t>
      </w:r>
      <w:r>
        <w:rPr>
          <w:rFonts w:hint="eastAsia" w:ascii="宋体" w:hAnsi="宋体" w:eastAsia="宋体"/>
          <w:b/>
          <w:bCs/>
          <w:color w:val="000000"/>
          <w:sz w:val="21"/>
          <w:szCs w:val="21"/>
          <w:highlight w:val="none"/>
        </w:rPr>
        <w:t xml:space="preserve">、项目实施要求</w:t>
      </w:r>
      <w:r>
        <w:rPr>
          <w:rFonts w:hint="eastAsia" w:ascii="宋体" w:hAnsi="宋体" w:eastAsia="宋体"/>
          <w:b/>
          <w:bCs/>
          <w:color w:val="000000"/>
          <w:sz w:val="21"/>
          <w:szCs w:val="21"/>
          <w:highlight w:val="none"/>
        </w:rPr>
      </w:r>
      <w:r/>
    </w:p>
    <w:p>
      <w:pPr>
        <w:pStyle w:val="1035"/>
        <w:ind w:firstLine="422"/>
        <w:jc w:val="left"/>
        <w:spacing w:line="360" w:lineRule="auto"/>
        <w:shd w:val="clear" w:color="auto" w:fill="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★（一）特别说明</w:t>
      </w:r>
      <w:r>
        <w:rPr>
          <w:rFonts w:ascii="宋体" w:hAnsi="宋体" w:eastAsia="宋体"/>
          <w:b/>
          <w:bCs/>
          <w:color w:val="000000"/>
          <w:sz w:val="21"/>
          <w:szCs w:val="21"/>
          <w:highlight w:val="none"/>
          <w:lang w:val="en-US"/>
        </w:rPr>
      </w:r>
      <w:r/>
    </w:p>
    <w:p>
      <w:pPr>
        <w:pStyle w:val="1035"/>
        <w:ind w:firstLine="422"/>
        <w:jc w:val="left"/>
        <w:spacing w:line="360" w:lineRule="auto"/>
        <w:shd w:val="clear" w:color="auto" w:fill="auto"/>
        <w:rPr>
          <w:rFonts w:ascii="宋体" w:hAnsi="宋体" w:eastAsia="宋体"/>
          <w:b/>
          <w:bCs/>
          <w:color w:val="000000"/>
          <w:sz w:val="21"/>
          <w:szCs w:val="21"/>
          <w:highlight w:val="none"/>
          <w:u w:val="none"/>
          <w:lang w:eastAsia="en-US"/>
        </w:rPr>
      </w:pPr>
      <w:r>
        <w:rPr>
          <w:rFonts w:hint="eastAsia" w:ascii="宋体" w:hAnsi="宋体" w:eastAsia="宋体"/>
          <w:b/>
          <w:bCs/>
          <w:color w:val="000000"/>
          <w:sz w:val="21"/>
          <w:szCs w:val="21"/>
          <w:highlight w:val="none"/>
          <w:u w:val="none"/>
          <w:lang w:val="en-US"/>
        </w:rPr>
        <w:t xml:space="preserve">1、供应商所投产品若为进口设备，投标文件中须提供原厂或授权代理商（授权代理商需提供与原厂的证明材料）出具的针对此次项目名称、项目编号、报价产品型号授权证明资料。若为国产设备，须承诺交货时提供原厂出具的针对此次项目名称、项目编号、报价产品型号的售后服务承诺函原件（投标文件中提供相关承诺书）。</w:t>
      </w:r>
      <w:r>
        <w:rPr>
          <w:rFonts w:ascii="宋体" w:hAnsi="宋体" w:eastAsia="宋体"/>
          <w:b/>
          <w:bCs/>
          <w:color w:val="000000"/>
          <w:sz w:val="21"/>
          <w:szCs w:val="21"/>
          <w:highlight w:val="none"/>
          <w:u w:val="none"/>
          <w:lang w:eastAsia="en-US"/>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2、因本项目包含进口检验检测设备，采购人前期已通过询价方式确定</w:t>
      </w:r>
      <w:r>
        <w:rPr>
          <w:rFonts w:hint="eastAsia" w:ascii="宋体" w:hAnsi="宋体" w:eastAsia="宋体"/>
          <w:b/>
          <w:bCs/>
          <w:color w:val="000000"/>
          <w:sz w:val="21"/>
          <w:szCs w:val="21"/>
          <w:highlight w:val="none"/>
          <w:lang w:val="en-US" w:eastAsia="zh-CN"/>
        </w:rPr>
        <w:t xml:space="preserve">了</w:t>
      </w:r>
      <w:r>
        <w:rPr>
          <w:rFonts w:hint="eastAsia" w:ascii="宋体" w:hAnsi="宋体" w:eastAsia="宋体"/>
          <w:b/>
          <w:bCs/>
          <w:color w:val="000000"/>
          <w:sz w:val="21"/>
          <w:szCs w:val="21"/>
          <w:highlight w:val="none"/>
          <w:lang w:val="en-US" w:eastAsia="zh-CN"/>
        </w:rPr>
        <w:t xml:space="preserve">一家</w:t>
      </w:r>
      <w:r>
        <w:rPr>
          <w:rFonts w:hint="eastAsia" w:ascii="宋体" w:hAnsi="宋体" w:eastAsia="宋体"/>
          <w:b/>
          <w:bCs/>
          <w:color w:val="000000"/>
          <w:sz w:val="21"/>
          <w:szCs w:val="21"/>
          <w:highlight w:val="none"/>
          <w:lang w:val="en-US"/>
        </w:rPr>
        <w:t xml:space="preserve">具备进出口代理资质</w:t>
      </w:r>
      <w:r>
        <w:rPr>
          <w:rFonts w:hint="eastAsia" w:ascii="宋体" w:hAnsi="宋体" w:eastAsia="宋体"/>
          <w:b/>
          <w:bCs/>
          <w:color w:val="000000"/>
          <w:sz w:val="21"/>
          <w:szCs w:val="21"/>
          <w:highlight w:val="none"/>
          <w:lang w:val="en-US" w:eastAsia="zh-CN"/>
        </w:rPr>
        <w:t xml:space="preserve">的第三方单位</w:t>
      </w:r>
      <w:r>
        <w:rPr>
          <w:rFonts w:hint="eastAsia" w:ascii="宋体" w:hAnsi="宋体" w:eastAsia="宋体"/>
          <w:b/>
          <w:bCs/>
          <w:color w:val="000000"/>
          <w:sz w:val="21"/>
          <w:szCs w:val="21"/>
          <w:highlight w:val="none"/>
          <w:lang w:val="en-US"/>
        </w:rPr>
        <w:t xml:space="preserve">作为本项目唯一外贸代理，方便进口设备采购流程；中标供应商须与采购人、</w:t>
      </w:r>
      <w:r>
        <w:rPr>
          <w:rFonts w:hint="eastAsia" w:ascii="宋体" w:hAnsi="宋体" w:eastAsia="宋体"/>
          <w:b/>
          <w:bCs/>
          <w:color w:val="000000"/>
          <w:sz w:val="21"/>
          <w:szCs w:val="21"/>
          <w:highlight w:val="none"/>
          <w:lang w:val="en-US" w:eastAsia="zh-CN"/>
        </w:rPr>
        <w:t xml:space="preserve">第三方</w:t>
      </w:r>
      <w:r>
        <w:rPr>
          <w:rFonts w:hint="eastAsia" w:ascii="宋体" w:hAnsi="宋体" w:eastAsia="宋体"/>
          <w:b/>
          <w:bCs/>
          <w:color w:val="000000"/>
          <w:sz w:val="21"/>
          <w:szCs w:val="21"/>
          <w:highlight w:val="none"/>
          <w:lang w:val="en-US" w:eastAsia="zh-CN"/>
        </w:rPr>
        <w:t xml:space="preserve">单位</w:t>
      </w:r>
      <w:r>
        <w:rPr>
          <w:rFonts w:hint="eastAsia" w:ascii="宋体" w:hAnsi="宋体" w:eastAsia="宋体"/>
          <w:b/>
          <w:bCs/>
          <w:color w:val="000000"/>
          <w:sz w:val="21"/>
          <w:szCs w:val="21"/>
          <w:highlight w:val="none"/>
          <w:lang w:val="en-US"/>
        </w:rPr>
        <w:t xml:space="preserve">签订三方采购及代理合同，配合采购人完成报关、付汇、免税等进口手续，请各投标供应商予以考虑并知悉。</w:t>
      </w:r>
      <w:r>
        <w:rPr>
          <w:rFonts w:hint="eastAsia" w:ascii="宋体" w:hAnsi="宋体" w:eastAsia="宋体"/>
          <w:b/>
          <w:bCs/>
          <w:color w:val="000000"/>
          <w:sz w:val="21"/>
          <w:szCs w:val="21"/>
          <w:highlight w:val="none"/>
          <w:lang w:val="en-US"/>
        </w:rPr>
      </w:r>
      <w:r/>
    </w:p>
    <w:p>
      <w:pPr>
        <w:pStyle w:val="1035"/>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（二）质量要求</w:t>
      </w:r>
      <w:r>
        <w:rPr>
          <w:rFonts w:hint="eastAsia" w:ascii="宋体" w:hAnsi="宋体" w:eastAsia="宋体"/>
          <w:b/>
          <w:bCs/>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应严格按照采购文件的要求和有关标准，提供全新的、未经使用的、技术先进的产品。</w:t>
      </w:r>
      <w:r>
        <w:rPr>
          <w:rFonts w:hint="eastAsia" w:ascii="宋体" w:hAnsi="宋体" w:eastAsia="宋体"/>
          <w:color w:val="000000"/>
          <w:sz w:val="21"/>
          <w:szCs w:val="21"/>
          <w:highlight w:val="none"/>
          <w:lang w:val="en-US"/>
        </w:rPr>
        <w:t xml:space="preserve">且负责将所有产品运至采购人指定的地点，并安装调试等。</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产品包装均应有良好的防湿、防锈、防潮、防雨、防腐及防碰撞的措施，凡由于包装不良好造成的损失和由此产生的费用均由中标供应商承担。</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投标供应商应确保设备及所有配套件的完整性。对于招标文件没有列出，而对设备的正常运行和维护必不可少的且应属于设备配带的部件、配件等，投标供应商有责任给予补充。</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中标供应商保证向采购人提供的设备或设备的任何一部分，免受第三方提出的侵犯其专利权、商标权或知识产权等的起诉，任何由此引起的法律责任和经济责任均由供应商承担。</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（三）</w:t>
      </w:r>
      <w:r>
        <w:rPr>
          <w:rFonts w:hint="eastAsia" w:ascii="宋体" w:hAnsi="宋体" w:eastAsia="宋体"/>
          <w:b/>
          <w:bCs/>
          <w:color w:val="000000"/>
          <w:sz w:val="21"/>
          <w:szCs w:val="21"/>
          <w:highlight w:val="none"/>
          <w:lang w:val="en-US"/>
        </w:rPr>
        <w:t xml:space="preserve">安装要求</w:t>
      </w:r>
      <w:r>
        <w:rPr>
          <w:rFonts w:hint="eastAsia" w:ascii="宋体" w:hAnsi="宋体" w:eastAsia="宋体"/>
          <w:b/>
          <w:bCs/>
          <w:color w:val="000000"/>
          <w:sz w:val="21"/>
          <w:szCs w:val="21"/>
          <w:highlight w:val="none"/>
          <w:lang w:val="en-US"/>
        </w:rPr>
      </w:r>
      <w:r/>
    </w:p>
    <w:p>
      <w:pPr>
        <w:pStyle w:val="1401"/>
        <w:ind w:firstLine="420"/>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中标供应商应按采购人现场实际情况进行设备布局及安装，不得以不完全了解现场情况为理由而向采购人提出任何索赔或其他要求，对此采购人不承担任何责任并不会支付由此带来的其他费用。</w:t>
      </w:r>
      <w:r>
        <w:rPr>
          <w:rFonts w:hint="eastAsia" w:ascii="宋体" w:hAnsi="宋体" w:eastAsia="宋体"/>
          <w:color w:val="000000"/>
          <w:sz w:val="21"/>
          <w:szCs w:val="21"/>
          <w:highlight w:val="none"/>
        </w:rPr>
      </w:r>
      <w:r/>
    </w:p>
    <w:p>
      <w:pPr>
        <w:pStyle w:val="1401"/>
        <w:ind w:firstLine="480"/>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本章所提供的项目设备技术参数中如未明确说明，但可以推断是整个设备安装和运行时不可缺少或必需的配套材料和工作，供应商应在投标文件中列出，并计入总价，采购人将不再支付任何费用。</w:t>
      </w:r>
      <w:r>
        <w:rPr>
          <w:rFonts w:hint="eastAsia" w:ascii="宋体" w:hAnsi="宋体" w:eastAsia="宋体"/>
          <w:color w:val="000000"/>
          <w:sz w:val="21"/>
          <w:szCs w:val="21"/>
          <w:highlight w:val="none"/>
        </w:rPr>
      </w:r>
      <w:r/>
    </w:p>
    <w:p>
      <w:pPr>
        <w:pStyle w:val="1401"/>
        <w:ind w:firstLine="420"/>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在项目实施期间所发生的一切安全责任事故均由中标供应商负责承担，中标供应商应做好相关安全教育工作及现场安全保护措施，并配备相关安全管理人员负责现场安全施工工作。</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lang w:val="en-US"/>
        </w:rPr>
        <w:t xml:space="preserve">   （四）</w:t>
      </w:r>
      <w:r>
        <w:rPr>
          <w:rFonts w:hint="eastAsia" w:ascii="宋体" w:hAnsi="宋体" w:eastAsia="宋体"/>
          <w:b/>
          <w:bCs/>
          <w:color w:val="000000"/>
          <w:sz w:val="21"/>
          <w:szCs w:val="21"/>
          <w:highlight w:val="none"/>
        </w:rPr>
        <w:t xml:space="preserve">验收要求</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产品到达现场后，中标供应商应在采购人在场情况下当面开箱，共同清点、检查外观，</w:t>
      </w:r>
      <w:r>
        <w:rPr>
          <w:rFonts w:hint="eastAsia" w:ascii="宋体" w:hAnsi="宋体" w:eastAsia="宋体"/>
          <w:color w:val="000000"/>
          <w:sz w:val="21"/>
          <w:szCs w:val="21"/>
          <w:highlight w:val="none"/>
          <w:lang w:val="en-US"/>
        </w:rPr>
        <w:t xml:space="preserve">对全部产品、型号、规格、数量、外型、外观、包装及资料、文件（如装箱单、保修单、随箱介质等）等验收，</w:t>
      </w:r>
      <w:r>
        <w:rPr>
          <w:rFonts w:hint="eastAsia" w:ascii="宋体" w:hAnsi="宋体" w:eastAsia="宋体"/>
          <w:color w:val="000000"/>
          <w:sz w:val="21"/>
          <w:szCs w:val="21"/>
          <w:highlight w:val="none"/>
        </w:rPr>
        <w:t xml:space="preserve">作出开箱记录，双方签字确认；对采购软件产品按要求进行安装调试。供应商</w:t>
      </w:r>
      <w:r>
        <w:rPr>
          <w:rFonts w:hint="eastAsia" w:ascii="宋体" w:hAnsi="宋体" w:eastAsia="宋体"/>
          <w:color w:val="000000"/>
          <w:sz w:val="21"/>
          <w:szCs w:val="21"/>
          <w:highlight w:val="none"/>
          <w:lang w:val="en-US"/>
        </w:rPr>
        <w:t xml:space="preserve">应为使用方安装、调试、维修、使用等提供足够的技术资料和技术保障。</w:t>
      </w:r>
      <w:r>
        <w:rPr>
          <w:rFonts w:hint="eastAsia" w:ascii="宋体" w:hAnsi="宋体" w:eastAsia="宋体"/>
          <w:color w:val="000000"/>
          <w:sz w:val="21"/>
          <w:szCs w:val="21"/>
          <w:highlight w:val="none"/>
        </w:rPr>
        <w:t xml:space="preserve">如有货物短缺、质次、损坏等问题，应作详细记录，并由供应商立即、无条件调换补齐。</w:t>
      </w:r>
      <w:r>
        <w:rPr>
          <w:rFonts w:hint="eastAsia" w:ascii="宋体" w:hAnsi="宋体" w:eastAsia="宋体"/>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2、中标供应商应保证产品到达采购人所在地完好无损，如有缺漏、损坏，由供应商负责调换、补齐或赔偿。</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3、中标供应商应提供完备的技术资料、原厂真货证明、装箱单和合格证等。验收合格条件如下：</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货物性能考核指标：不得低于上述货物验收标准中的指标，同时应符合本项目招标文件和投标文件中明确的指标（验收方式以采购人要求为准）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（2）设备技术资料、原厂真货证明、装箱单、合格证等资料齐全。</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（3）在规定时间内完成交货并由双方组织验收小组进行验收，并经验收小组签字确认。</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4、供应商提供的产品设备未达到招标文件规定要求，且对采购人造成损失的，由供应商承担一切责任，并赔偿所造成的损失。</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5、设备安装</w:t>
      </w:r>
      <w:r>
        <w:rPr>
          <w:rFonts w:hint="eastAsia" w:ascii="宋体" w:hAnsi="宋体" w:eastAsia="宋体"/>
          <w:color w:val="000000"/>
          <w:sz w:val="21"/>
          <w:szCs w:val="21"/>
          <w:highlight w:val="none"/>
        </w:rPr>
        <w:t xml:space="preserve">完成后，</w:t>
      </w:r>
      <w:r>
        <w:rPr>
          <w:rFonts w:hint="eastAsia" w:ascii="宋体" w:hAnsi="宋体" w:eastAsia="宋体"/>
          <w:color w:val="000000"/>
          <w:sz w:val="21"/>
          <w:szCs w:val="21"/>
          <w:highlight w:val="none"/>
          <w:lang w:val="en-US"/>
        </w:rPr>
        <w:t xml:space="preserve">中标</w:t>
      </w:r>
      <w:r>
        <w:rPr>
          <w:rFonts w:hint="eastAsia" w:ascii="宋体" w:hAnsi="宋体" w:eastAsia="宋体"/>
          <w:color w:val="000000"/>
          <w:sz w:val="21"/>
          <w:szCs w:val="21"/>
          <w:highlight w:val="none"/>
        </w:rPr>
        <w:t xml:space="preserve">供应商须负责全部设备的保护和清洁工作，直至设备验收合格交付采购人之日为止。</w:t>
      </w:r>
      <w:r>
        <w:rPr>
          <w:rFonts w:hint="eastAsia" w:ascii="宋体" w:hAnsi="宋体" w:eastAsia="宋体"/>
          <w:color w:val="000000"/>
          <w:sz w:val="21"/>
          <w:szCs w:val="21"/>
          <w:highlight w:val="none"/>
          <w:lang w:val="en-US"/>
        </w:rPr>
        <w:t xml:space="preserve">中标</w:t>
      </w:r>
      <w:r>
        <w:rPr>
          <w:rFonts w:hint="eastAsia" w:ascii="宋体" w:hAnsi="宋体" w:eastAsia="宋体"/>
          <w:color w:val="000000"/>
          <w:sz w:val="21"/>
          <w:szCs w:val="21"/>
          <w:highlight w:val="none"/>
        </w:rPr>
        <w:t xml:space="preserve">供应商应免费提供成品保护。如需临时拆装，</w:t>
      </w:r>
      <w:r>
        <w:rPr>
          <w:rFonts w:hint="eastAsia" w:ascii="宋体" w:hAnsi="宋体" w:eastAsia="宋体"/>
          <w:color w:val="000000"/>
          <w:sz w:val="21"/>
          <w:szCs w:val="21"/>
          <w:highlight w:val="none"/>
          <w:lang w:val="en-US"/>
        </w:rPr>
        <w:t xml:space="preserve">中标</w:t>
      </w:r>
      <w:r>
        <w:rPr>
          <w:rFonts w:hint="eastAsia" w:ascii="宋体" w:hAnsi="宋体" w:eastAsia="宋体"/>
          <w:color w:val="000000"/>
          <w:sz w:val="21"/>
          <w:szCs w:val="21"/>
          <w:highlight w:val="none"/>
        </w:rPr>
        <w:t xml:space="preserve">供应商不收取临时拆装费。</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中标供应商须在安装、调试、培训结束后，向采购人提交详细的竣工验收资料，包括但不限于以下部分：交付清单、系统试运行报告、竣工验收报告、项目实施过程照片、技术文件、操作手册、培训记录等。</w:t>
      </w:r>
      <w:r>
        <w:rPr>
          <w:rFonts w:hint="eastAsia" w:ascii="宋体" w:hAnsi="宋体" w:eastAsia="宋体"/>
          <w:color w:val="000000"/>
          <w:sz w:val="21"/>
          <w:szCs w:val="21"/>
          <w:highlight w:val="none"/>
        </w:rPr>
      </w:r>
      <w:r/>
    </w:p>
    <w:p>
      <w:pPr>
        <w:pStyle w:val="1035"/>
        <w:jc w:val="left"/>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    六、商务部分要求</w:t>
      </w:r>
      <w:r>
        <w:rPr>
          <w:rFonts w:hint="eastAsia" w:ascii="宋体" w:hAnsi="宋体" w:eastAsia="宋体"/>
          <w:b/>
          <w:color w:val="000000"/>
          <w:sz w:val="21"/>
          <w:szCs w:val="21"/>
          <w:highlight w:val="none"/>
          <w:lang w:val="en-US"/>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（一）质保要求</w:t>
      </w:r>
      <w:r>
        <w:rPr>
          <w:rFonts w:hint="eastAsia" w:ascii="宋体" w:hAnsi="宋体" w:eastAsia="宋体"/>
          <w:b/>
          <w:bCs/>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供应商报价时须承诺</w:t>
      </w:r>
      <w:r>
        <w:rPr>
          <w:rFonts w:hint="eastAsia" w:ascii="宋体" w:hAnsi="宋体" w:eastAsia="宋体"/>
          <w:color w:val="000000"/>
          <w:sz w:val="21"/>
          <w:szCs w:val="21"/>
          <w:highlight w:val="none"/>
          <w:lang w:val="en-US" w:bidi="ar"/>
        </w:rPr>
        <w:t xml:space="preserve">所有</w:t>
      </w:r>
      <w:r>
        <w:rPr>
          <w:rFonts w:hint="eastAsia" w:ascii="宋体" w:hAnsi="宋体" w:eastAsia="宋体"/>
          <w:color w:val="000000"/>
          <w:sz w:val="21"/>
          <w:szCs w:val="21"/>
          <w:highlight w:val="none"/>
        </w:rPr>
        <w:t xml:space="preserve">设备免费质保期</w:t>
      </w:r>
      <w:r>
        <w:rPr>
          <w:rFonts w:hint="eastAsia" w:ascii="宋体" w:hAnsi="宋体" w:eastAsia="宋体"/>
          <w:color w:val="000000"/>
          <w:sz w:val="21"/>
          <w:szCs w:val="21"/>
          <w:highlight w:val="none"/>
          <w:lang w:val="en-US"/>
        </w:rPr>
        <w:t xml:space="preserve">满足技术指标等要求中的规定（如未明确的则质保期为至少一年）</w:t>
      </w:r>
      <w:r>
        <w:rPr>
          <w:rFonts w:hint="eastAsia" w:ascii="宋体" w:hAnsi="宋体" w:eastAsia="宋体"/>
          <w:color w:val="000000"/>
          <w:sz w:val="21"/>
          <w:szCs w:val="21"/>
          <w:highlight w:val="none"/>
        </w:rPr>
        <w:t xml:space="preserve">（自验收报告签字确认日起，开始进入质保期）。质保期内定期进行维护保养，免费更新和维护软件。</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2、供应商须</w:t>
      </w:r>
      <w:r>
        <w:rPr>
          <w:rFonts w:hint="eastAsia" w:ascii="宋体" w:hAnsi="宋体" w:eastAsia="宋体"/>
          <w:color w:val="000000"/>
          <w:sz w:val="21"/>
          <w:szCs w:val="21"/>
          <w:highlight w:val="none"/>
        </w:rPr>
        <w:t xml:space="preserve">保证所供产品为原厂全新设备；在质保期内，所有服务及配件全部免费，负责处理并解决故障，并免费更换有故障的零、部件，消耗品除外。</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（二）售后服务要求（</w:t>
      </w:r>
      <w:r>
        <w:rPr>
          <w:rFonts w:hint="eastAsia" w:ascii="宋体" w:hAnsi="宋体" w:eastAsia="宋体"/>
          <w:b/>
          <w:bCs/>
          <w:color w:val="000000"/>
          <w:sz w:val="21"/>
          <w:szCs w:val="21"/>
          <w:highlight w:val="none"/>
          <w:lang w:val="en-US"/>
        </w:rPr>
        <w:t xml:space="preserve">如技术指标要求中另有约定的，则从其约定</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中标供应商应具备完善的售后服务体系</w:t>
      </w:r>
      <w:r>
        <w:rPr>
          <w:rFonts w:hint="eastAsia" w:ascii="宋体" w:hAnsi="宋体" w:eastAsia="宋体"/>
          <w:color w:val="000000"/>
          <w:sz w:val="21"/>
          <w:szCs w:val="21"/>
          <w:highlight w:val="none"/>
          <w:lang w:val="en-US" w:eastAsia="en-US"/>
        </w:rPr>
        <w:t xml:space="preserve">之外</w:t>
      </w:r>
      <w:r>
        <w:rPr>
          <w:rFonts w:hint="eastAsia" w:ascii="宋体" w:hAnsi="宋体" w:eastAsia="宋体"/>
          <w:color w:val="000000"/>
          <w:sz w:val="21"/>
          <w:szCs w:val="21"/>
          <w:highlight w:val="none"/>
        </w:rPr>
        <w:t xml:space="preserve">，在项目实施及质保期间应具有固定的维修人员并有能力及时处理所有可能发生的故障；中标供应商在质量保证期内应当为采购人提供以下技术支持和服务：</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）电话咨询：中标供应商应当为采购人提供技术援助电话，解答采购人在使用中遇到的问题，及时为采购人提出解决问题的建议。</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现场响应：</w:t>
      </w:r>
      <w:r>
        <w:rPr>
          <w:rFonts w:hint="eastAsia" w:ascii="宋体" w:hAnsi="宋体" w:eastAsia="宋体"/>
          <w:color w:val="000000"/>
          <w:sz w:val="21"/>
          <w:szCs w:val="21"/>
          <w:highlight w:val="none"/>
        </w:rPr>
      </w:r>
      <w:r/>
    </w:p>
    <w:p>
      <w:pPr>
        <w:pStyle w:val="1035"/>
        <w:ind w:firstLine="63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）当系统或设备发生故障时，供应商在保修期内须免费向采购人提供所有设备、材料和劳工维修处理，供应商须承诺报修时及时到达现场、若无法修复须提供备件保障系统设备正常运行。</w:t>
      </w:r>
      <w:r>
        <w:rPr>
          <w:rFonts w:hint="eastAsia" w:ascii="宋体" w:hAnsi="宋体" w:eastAsia="宋体"/>
          <w:color w:val="000000"/>
          <w:sz w:val="21"/>
          <w:szCs w:val="21"/>
          <w:highlight w:val="none"/>
        </w:rPr>
      </w:r>
      <w:r/>
    </w:p>
    <w:p>
      <w:pPr>
        <w:pStyle w:val="1035"/>
        <w:ind w:firstLine="63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）质保期内定期到现场进行设备的安全性、操作检查、软件更新、系统连接和其他的关键项目以维持系统处于最佳使用效果。</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）人员培训：</w:t>
      </w:r>
      <w:r>
        <w:rPr>
          <w:rFonts w:hint="eastAsia" w:ascii="宋体" w:hAnsi="宋体" w:eastAsia="宋体"/>
          <w:color w:val="000000"/>
          <w:sz w:val="21"/>
          <w:szCs w:val="21"/>
          <w:highlight w:val="none"/>
          <w:lang w:val="en-US"/>
        </w:rPr>
        <w:t xml:space="preserve">供应商应</w:t>
      </w:r>
      <w:r>
        <w:rPr>
          <w:rFonts w:hint="eastAsia" w:ascii="宋体" w:hAnsi="宋体" w:eastAsia="宋体"/>
          <w:color w:val="000000"/>
          <w:sz w:val="21"/>
          <w:szCs w:val="21"/>
          <w:highlight w:val="none"/>
        </w:rPr>
        <w:t xml:space="preserve">到</w:t>
      </w:r>
      <w:r>
        <w:rPr>
          <w:rFonts w:hint="eastAsia" w:ascii="宋体" w:hAnsi="宋体" w:eastAsia="宋体"/>
          <w:color w:val="000000"/>
          <w:sz w:val="21"/>
          <w:szCs w:val="21"/>
          <w:highlight w:val="none"/>
          <w:lang w:val="en-US"/>
        </w:rPr>
        <w:t xml:space="preserve">采购人</w:t>
      </w:r>
      <w:r>
        <w:rPr>
          <w:rFonts w:hint="eastAsia" w:ascii="宋体" w:hAnsi="宋体" w:eastAsia="宋体"/>
          <w:color w:val="000000"/>
          <w:sz w:val="21"/>
          <w:szCs w:val="21"/>
          <w:highlight w:val="none"/>
        </w:rPr>
        <w:t xml:space="preserve">提供的现场免费安装、调试设备，进行操作试验，直至运行正常并验收，为仪器操作人员提供免费的上机操作及日常维护培训，</w:t>
      </w:r>
      <w:r>
        <w:rPr>
          <w:rFonts w:hint="eastAsia" w:ascii="宋体" w:hAnsi="宋体" w:eastAsia="宋体"/>
          <w:color w:val="000000"/>
          <w:sz w:val="21"/>
          <w:szCs w:val="21"/>
          <w:highlight w:val="none"/>
          <w:lang w:val="en-US"/>
        </w:rPr>
        <w:t xml:space="preserve">内容包括仪器原理，使用方法和维护方法等。</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质保期满后服务要求</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）质量保证期满后，中标供应商应同样提供免费电话咨询服务，并应承诺提供产品上门维护服务。</w:t>
      </w: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）质量保证期满后，采购人需要继续由中标供应商提供售后服务的，中标供应商应以优惠价格提供售后服务。保修期外的维护保养，中标供应商应承诺只收取成本费并提供终身免费技术支持服务。</w:t>
      </w:r>
      <w:r>
        <w:rPr>
          <w:rFonts w:hint="eastAsia" w:ascii="宋体" w:hAnsi="宋体" w:eastAsia="宋体"/>
          <w:b/>
          <w:bCs/>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3、提供终身的维护及技术支持。有专门的应用工程师对采购人提供专业的应用技术支持。在采购人遇到困难，可及时提供方法开发和应用支持的指导。</w:t>
      </w:r>
      <w:r>
        <w:rPr>
          <w:rFonts w:hint="eastAsia" w:ascii="宋体" w:hAnsi="宋体" w:eastAsia="宋体"/>
          <w:color w:val="000000"/>
          <w:sz w:val="21"/>
          <w:szCs w:val="21"/>
          <w:highlight w:val="none"/>
          <w:lang w:val="en-US"/>
        </w:rPr>
      </w:r>
      <w:r/>
    </w:p>
    <w:p>
      <w:pPr>
        <w:pStyle w:val="1035"/>
        <w:ind w:firstLine="42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（三）</w:t>
      </w:r>
      <w:r>
        <w:rPr>
          <w:rFonts w:hint="eastAsia" w:ascii="宋体" w:hAnsi="宋体" w:eastAsia="宋体"/>
          <w:b/>
          <w:color w:val="000000"/>
          <w:sz w:val="21"/>
          <w:szCs w:val="21"/>
          <w:highlight w:val="none"/>
        </w:rPr>
        <w:t xml:space="preserve">交付要求</w:t>
      </w:r>
      <w:r>
        <w:rPr>
          <w:rFonts w:hint="eastAsia" w:ascii="宋体" w:hAnsi="宋体" w:eastAsia="宋体"/>
          <w:b/>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1、交付地点：</w:t>
      </w:r>
      <w:r>
        <w:rPr>
          <w:rFonts w:hint="eastAsia" w:ascii="宋体" w:hAnsi="宋体" w:eastAsia="宋体"/>
          <w:bCs/>
          <w:color w:val="000000"/>
          <w:sz w:val="21"/>
          <w:szCs w:val="21"/>
          <w:highlight w:val="none"/>
          <w:lang w:val="en-US"/>
        </w:rPr>
        <w:t xml:space="preserve">供应商负责将货物运到采购人指定地点，由供应商负责办理运输、装卸及安装调试等，费用由供应商负责，由采购人组织验收，检验不合格或不符合质量要求，供应商除无条件退货、返工外，还应承担采购人的一切损失</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1035"/>
        <w:jc w:val="left"/>
        <w:spacing w:line="36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lang w:val="en-US"/>
        </w:rPr>
        <w:t xml:space="preserve"> 2</w:t>
      </w:r>
      <w:r>
        <w:rPr>
          <w:rFonts w:hint="eastAsia" w:ascii="宋体" w:hAnsi="宋体" w:eastAsia="宋体"/>
          <w:b/>
          <w:bCs/>
          <w:color w:val="000000"/>
          <w:sz w:val="21"/>
          <w:szCs w:val="21"/>
          <w:highlight w:val="none"/>
        </w:rPr>
        <w:t xml:space="preserve">、交付时间：</w:t>
      </w:r>
      <w:r>
        <w:rPr>
          <w:rFonts w:hint="eastAsia" w:ascii="宋体" w:hAnsi="宋体" w:eastAsia="宋体"/>
          <w:color w:val="000000"/>
          <w:sz w:val="21"/>
          <w:szCs w:val="21"/>
          <w:highlight w:val="none"/>
        </w:rPr>
        <w:t xml:space="preserve">自合同签订之日起</w:t>
      </w:r>
      <w:r>
        <w:rPr>
          <w:rFonts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lang w:val="en-US"/>
        </w:rPr>
        <w:t xml:space="preserve">个工作日</w:t>
      </w:r>
      <w:r>
        <w:rPr>
          <w:rFonts w:hint="eastAsia" w:ascii="宋体" w:hAnsi="宋体" w:eastAsia="宋体"/>
          <w:color w:val="000000"/>
          <w:sz w:val="21"/>
          <w:szCs w:val="21"/>
          <w:highlight w:val="none"/>
        </w:rPr>
        <w:t xml:space="preserve">内完成供货、安装及相关调试工作，通过验收，交付使用（如技术指标要求中另有约定的，则从其约定）</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1035"/>
        <w:ind w:firstLine="480"/>
        <w:jc w:val="left"/>
        <w:spacing w:line="36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、交货方式：</w:t>
      </w:r>
      <w:r>
        <w:rPr>
          <w:rFonts w:hint="eastAsia" w:ascii="宋体" w:hAnsi="宋体" w:eastAsia="宋体"/>
          <w:bCs/>
          <w:color w:val="000000"/>
          <w:sz w:val="21"/>
          <w:szCs w:val="21"/>
          <w:highlight w:val="none"/>
        </w:rPr>
        <w:t xml:space="preserve">供应商送货并安装、调试、培训。</w:t>
      </w:r>
      <w:r>
        <w:rPr>
          <w:rFonts w:hint="eastAsia" w:ascii="宋体" w:hAnsi="宋体" w:eastAsia="宋体"/>
          <w:bCs/>
          <w:color w:val="000000"/>
          <w:sz w:val="21"/>
          <w:szCs w:val="21"/>
          <w:highlight w:val="none"/>
        </w:rPr>
      </w:r>
      <w:r/>
    </w:p>
    <w:p>
      <w:pPr>
        <w:pStyle w:val="1035"/>
        <w:jc w:val="left"/>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 </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四</w:t>
      </w:r>
      <w:r>
        <w:rPr>
          <w:rFonts w:hint="eastAsia" w:ascii="宋体" w:hAnsi="宋体" w:eastAsia="宋体"/>
          <w:b/>
          <w:color w:val="000000"/>
          <w:sz w:val="21"/>
          <w:szCs w:val="21"/>
          <w:highlight w:val="none"/>
        </w:rPr>
        <w:t xml:space="preserve">）付款条件</w:t>
      </w:r>
      <w:r>
        <w:rPr>
          <w:rFonts w:hint="eastAsia" w:ascii="宋体" w:hAnsi="宋体" w:eastAsia="宋体"/>
          <w:b/>
          <w:color w:val="000000"/>
          <w:sz w:val="21"/>
          <w:szCs w:val="21"/>
          <w:highlight w:val="none"/>
        </w:rPr>
      </w:r>
      <w:r/>
    </w:p>
    <w:p>
      <w:pPr>
        <w:pStyle w:val="1035"/>
        <w:ind w:firstLine="420"/>
        <w:jc w:val="left"/>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合同签订后</w:t>
      </w:r>
      <w:r>
        <w:rPr>
          <w:rFonts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lang w:val="en-US"/>
        </w:rPr>
        <w:t xml:space="preserve">0个工作日内支付合同总额的50%；所有产品交付、安装及调试完成并验收合格并</w:t>
      </w:r>
      <w:r>
        <w:rPr>
          <w:rFonts w:ascii="宋体" w:hAnsi="宋体" w:eastAsia="宋体"/>
          <w:bCs/>
          <w:color w:val="000000"/>
          <w:sz w:val="21"/>
          <w:szCs w:val="21"/>
          <w:highlight w:val="none"/>
          <w:lang w:val="en-US"/>
        </w:rPr>
        <w:t xml:space="preserve">开具发票</w:t>
      </w:r>
      <w:r>
        <w:rPr>
          <w:rFonts w:hint="eastAsia" w:ascii="宋体" w:hAnsi="宋体" w:eastAsia="宋体"/>
          <w:bCs/>
          <w:color w:val="000000"/>
          <w:sz w:val="21"/>
          <w:szCs w:val="21"/>
          <w:highlight w:val="none"/>
          <w:lang w:val="en-US"/>
        </w:rPr>
        <w:t xml:space="preserve">后</w:t>
      </w:r>
      <w:r>
        <w:rPr>
          <w:rFonts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lang w:val="en-US"/>
        </w:rPr>
        <w:t xml:space="preserve">0个工作日内支付合同总额的50%。</w:t>
      </w:r>
      <w:r>
        <w:rPr>
          <w:rFonts w:hint="eastAsia" w:ascii="宋体" w:hAnsi="宋体" w:eastAsia="宋体"/>
          <w:bCs/>
          <w:color w:val="000000"/>
          <w:sz w:val="21"/>
          <w:szCs w:val="21"/>
          <w:highlight w:val="none"/>
          <w:lang w:val="en-US"/>
        </w:rPr>
      </w:r>
      <w:r/>
    </w:p>
    <w:p>
      <w:pPr>
        <w:pStyle w:val="1035"/>
        <w:spacing w:line="360" w:lineRule="auto"/>
        <w:shd w:val="clear" w:color="auto" w:fill="auto"/>
        <w:widowControl/>
        <w:rPr>
          <w:rFonts w:ascii="宋体" w:hAnsi="宋体" w:eastAsia="宋体"/>
          <w:b/>
          <w:bCs/>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lang w:val="en-US"/>
        </w:rPr>
        <w:t xml:space="preserve">（五）报价要求及说明</w:t>
      </w:r>
      <w:r>
        <w:rPr>
          <w:rFonts w:ascii="宋体" w:hAnsi="宋体" w:eastAsia="宋体"/>
          <w:b/>
          <w:bCs/>
          <w:color w:val="000000"/>
          <w:sz w:val="21"/>
          <w:szCs w:val="21"/>
          <w:highlight w:val="none"/>
          <w:lang w:val="en-US"/>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1、</w:t>
      </w:r>
      <w:r>
        <w:rPr>
          <w:rFonts w:hint="eastAsia" w:ascii="宋体" w:hAnsi="宋体" w:eastAsia="宋体"/>
          <w:color w:val="000000"/>
          <w:sz w:val="21"/>
          <w:szCs w:val="21"/>
          <w:highlight w:val="none"/>
        </w:rPr>
        <w:t xml:space="preserve">本项目为交钥匙项目，供应商报价应</w:t>
      </w:r>
      <w:r>
        <w:rPr>
          <w:rFonts w:hint="eastAsia" w:ascii="宋体" w:hAnsi="宋体" w:eastAsia="宋体"/>
          <w:color w:val="000000"/>
          <w:sz w:val="21"/>
          <w:szCs w:val="21"/>
          <w:highlight w:val="none"/>
          <w:lang w:val="en-US"/>
        </w:rPr>
        <w:t xml:space="preserve">包括本</w:t>
      </w:r>
      <w:r>
        <w:rPr>
          <w:rFonts w:hint="eastAsia" w:ascii="宋体" w:hAnsi="宋体" w:eastAsia="宋体"/>
          <w:color w:val="000000"/>
          <w:sz w:val="21"/>
          <w:szCs w:val="21"/>
          <w:highlight w:val="none"/>
        </w:rPr>
        <w:t xml:space="preserve">项目所有产品供货、包装、运输、</w:t>
      </w:r>
      <w:r>
        <w:rPr>
          <w:rFonts w:hint="eastAsia" w:ascii="宋体" w:hAnsi="宋体" w:eastAsia="宋体"/>
          <w:color w:val="000000"/>
          <w:sz w:val="21"/>
          <w:szCs w:val="21"/>
          <w:highlight w:val="none"/>
          <w:lang w:val="en-US"/>
        </w:rPr>
        <w:t xml:space="preserve">安装、调试费/质量管理费、</w:t>
      </w:r>
      <w:r>
        <w:rPr>
          <w:rFonts w:hint="eastAsia" w:ascii="宋体" w:hAnsi="宋体" w:eastAsia="宋体"/>
          <w:color w:val="000000"/>
          <w:sz w:val="21"/>
          <w:szCs w:val="21"/>
          <w:highlight w:val="none"/>
        </w:rPr>
        <w:t xml:space="preserve">保险、竣工资料</w:t>
      </w:r>
      <w:r>
        <w:rPr>
          <w:rFonts w:hint="eastAsia" w:ascii="宋体" w:hAnsi="宋体" w:eastAsia="宋体"/>
          <w:color w:val="000000"/>
          <w:sz w:val="21"/>
          <w:szCs w:val="21"/>
          <w:highlight w:val="none"/>
          <w:lang w:val="en-US"/>
        </w:rPr>
        <w:t xml:space="preserve">以及验收合格之前的</w:t>
      </w:r>
      <w:r>
        <w:rPr>
          <w:rFonts w:hint="eastAsia" w:ascii="宋体" w:hAnsi="宋体" w:eastAsia="宋体"/>
          <w:color w:val="000000"/>
          <w:sz w:val="21"/>
          <w:szCs w:val="21"/>
          <w:highlight w:val="none"/>
        </w:rPr>
        <w:t xml:space="preserve">保管及保修期内备品备件、专用工具、伴随服务、支付给员工的工资和国家强制缴纳的各种社会保障资金，以及供应商认为需要的其他费用等全部工作内容（即报价内容均涵盖报价要求之一切费用和伴随服务）。</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供应商的任何错漏、优惠、竞争性报价不得作为减轻责任、增加收费</w:t>
      </w:r>
      <w:r>
        <w:rPr>
          <w:rFonts w:hint="eastAsia" w:ascii="宋体" w:hAnsi="宋体" w:eastAsia="宋体"/>
          <w:color w:val="000000"/>
          <w:sz w:val="21"/>
          <w:szCs w:val="21"/>
          <w:highlight w:val="none"/>
          <w:lang w:val="en-US"/>
        </w:rPr>
        <w:t xml:space="preserve">和</w:t>
      </w:r>
      <w:r>
        <w:rPr>
          <w:rFonts w:hint="eastAsia" w:ascii="宋体" w:hAnsi="宋体" w:eastAsia="宋体"/>
          <w:color w:val="000000"/>
          <w:sz w:val="21"/>
          <w:szCs w:val="21"/>
          <w:highlight w:val="none"/>
        </w:rPr>
        <w:t xml:space="preserve">降低质量的理由。</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采购文件中</w:t>
      </w:r>
      <w:r>
        <w:rPr>
          <w:rFonts w:hint="eastAsia" w:ascii="宋体" w:hAnsi="宋体" w:eastAsia="宋体"/>
          <w:color w:val="000000"/>
          <w:sz w:val="21"/>
          <w:szCs w:val="21"/>
          <w:highlight w:val="none"/>
          <w:lang w:val="en-US"/>
        </w:rPr>
        <w:t xml:space="preserve">如有</w:t>
      </w:r>
      <w:r>
        <w:rPr>
          <w:rFonts w:hint="eastAsia" w:ascii="宋体" w:hAnsi="宋体" w:eastAsia="宋体"/>
          <w:color w:val="000000"/>
          <w:sz w:val="21"/>
          <w:szCs w:val="21"/>
          <w:highlight w:val="none"/>
        </w:rPr>
        <w:t xml:space="preserve">要求的产品品牌或型号，是采购人根据项目所要实现的功能及考量后推荐的品牌或型号，供应商可以采用其他品牌的产品进行投标，但是，所有功能必须能满足采购项目整体性能的实现。</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黑体" w:hAnsi="黑体" w:eastAsia="黑体" w:cs="黑体"/>
          <w:color w:val="000000"/>
          <w:sz w:val="32"/>
          <w:szCs w:val="32"/>
          <w:highlight w:val="none"/>
        </w:rPr>
        <w:outlineLvl w:val="0"/>
      </w:pPr>
      <w:r>
        <w:rPr>
          <w:rFonts w:hint="eastAsia" w:ascii="宋体" w:hAnsi="宋体"/>
          <w:b/>
          <w:bCs/>
          <w:color w:val="000000"/>
          <w:sz w:val="32"/>
          <w:szCs w:val="32"/>
          <w:highlight w:val="none"/>
        </w:rPr>
        <w:br w:type="page" w:clear="all"/>
      </w:r>
      <w:bookmarkStart w:id="50" w:name="_Toc9528"/>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bookmarkEnd w:id="50"/>
      <w:r>
        <w:rPr>
          <w:rFonts w:hint="eastAsia" w:ascii="黑体" w:hAnsi="黑体" w:eastAsia="黑体" w:cs="黑体"/>
          <w:color w:val="000000"/>
          <w:sz w:val="32"/>
          <w:szCs w:val="32"/>
          <w:highlight w:val="none"/>
        </w:rPr>
      </w:r>
      <w:r/>
    </w:p>
    <w:p>
      <w:pPr>
        <w:pStyle w:val="1035"/>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3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1035"/>
        <w:jc w:val="center"/>
        <w:spacing w:line="360" w:lineRule="auto"/>
        <w:shd w:val="clear" w:color="auto" w:fill="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南京市政府采购合同</w:t>
      </w:r>
      <w:r>
        <w:rPr>
          <w:rFonts w:hint="eastAsia" w:ascii="宋体" w:hAnsi="宋体" w:eastAsia="宋体"/>
          <w:b/>
          <w:bCs/>
          <w:color w:val="000000"/>
          <w:sz w:val="32"/>
          <w:szCs w:val="32"/>
          <w:highlight w:val="none"/>
        </w:rPr>
      </w:r>
      <w:r/>
    </w:p>
    <w:p>
      <w:pPr>
        <w:pStyle w:val="1035"/>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35"/>
        <w:ind w:firstLine="31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1035"/>
        <w:ind w:firstLine="31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103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103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103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103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103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采</w:t>
      </w:r>
      <w:r>
        <w:rPr>
          <w:rFonts w:hint="eastAsia" w:ascii="宋体" w:hAnsi="宋体" w:eastAsia="宋体"/>
          <w:b/>
          <w:bCs/>
          <w:color w:val="000000"/>
          <w:sz w:val="30"/>
          <w:szCs w:val="30"/>
          <w:highlight w:val="none"/>
          <w:lang w:val="en-US"/>
        </w:rPr>
        <w:t xml:space="preserve"> </w:t>
      </w:r>
      <w:r>
        <w:rPr>
          <w:rFonts w:hint="eastAsia" w:ascii="宋体" w:hAnsi="宋体" w:eastAsia="宋体"/>
          <w:b/>
          <w:bCs/>
          <w:color w:val="000000"/>
          <w:sz w:val="30"/>
          <w:szCs w:val="30"/>
          <w:highlight w:val="none"/>
        </w:rPr>
        <w:t xml:space="preserve">购</w:t>
      </w:r>
      <w:r>
        <w:rPr>
          <w:rFonts w:hint="eastAsia" w:ascii="宋体" w:hAnsi="宋体" w:eastAsia="宋体"/>
          <w:b/>
          <w:bCs/>
          <w:color w:val="000000"/>
          <w:sz w:val="30"/>
          <w:szCs w:val="30"/>
          <w:highlight w:val="none"/>
          <w:lang w:val="en-US"/>
        </w:rPr>
        <w:t xml:space="preserve"> </w:t>
      </w:r>
      <w:r>
        <w:rPr>
          <w:rFonts w:hint="eastAsia" w:ascii="宋体" w:hAnsi="宋体" w:eastAsia="宋体"/>
          <w:b/>
          <w:bCs/>
          <w:color w:val="000000"/>
          <w:sz w:val="30"/>
          <w:szCs w:val="30"/>
          <w:highlight w:val="none"/>
        </w:rPr>
        <w:t xml:space="preserve">人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1035"/>
        <w:ind w:firstLine="1916"/>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供</w:t>
      </w:r>
      <w:r>
        <w:rPr>
          <w:rFonts w:hint="eastAsia" w:ascii="宋体" w:hAnsi="宋体" w:eastAsia="宋体"/>
          <w:b/>
          <w:bCs/>
          <w:color w:val="000000"/>
          <w:sz w:val="30"/>
          <w:szCs w:val="30"/>
          <w:highlight w:val="none"/>
          <w:lang w:val="en-US"/>
        </w:rPr>
        <w:t xml:space="preserve"> </w:t>
      </w:r>
      <w:r>
        <w:rPr>
          <w:rFonts w:hint="eastAsia" w:ascii="宋体" w:hAnsi="宋体" w:eastAsia="宋体"/>
          <w:b/>
          <w:bCs/>
          <w:color w:val="000000"/>
          <w:sz w:val="30"/>
          <w:szCs w:val="30"/>
          <w:highlight w:val="none"/>
        </w:rPr>
        <w:t xml:space="preserve">应</w:t>
      </w:r>
      <w:r>
        <w:rPr>
          <w:rFonts w:hint="eastAsia" w:ascii="宋体" w:hAnsi="宋体" w:eastAsia="宋体"/>
          <w:b/>
          <w:bCs/>
          <w:color w:val="000000"/>
          <w:sz w:val="30"/>
          <w:szCs w:val="30"/>
          <w:highlight w:val="none"/>
          <w:lang w:val="en-US"/>
        </w:rPr>
        <w:t xml:space="preserve"> </w:t>
      </w:r>
      <w:r>
        <w:rPr>
          <w:rFonts w:hint="eastAsia" w:ascii="宋体" w:hAnsi="宋体" w:eastAsia="宋体"/>
          <w:b/>
          <w:bCs/>
          <w:color w:val="000000"/>
          <w:sz w:val="30"/>
          <w:szCs w:val="30"/>
          <w:highlight w:val="none"/>
        </w:rPr>
        <w:t xml:space="preserve">商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1035"/>
        <w:ind w:firstLine="1916"/>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1035"/>
        <w:spacing w:line="360" w:lineRule="auto"/>
        <w:shd w:val="clear" w:color="auto" w:fill="auto"/>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1035"/>
        <w:jc w:val="center"/>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241"/>
        <w:ind w:firstLine="678"/>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241"/>
        <w:ind w:firstLine="678"/>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35"/>
        <w:jc w:val="center"/>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南京市市场监督管理局</w:t>
      </w:r>
      <w:r>
        <w:rPr>
          <w:rFonts w:hint="eastAsia" w:ascii="宋体" w:hAnsi="宋体" w:eastAsia="宋体"/>
          <w:b/>
          <w:bCs/>
          <w:color w:val="000000"/>
          <w:sz w:val="32"/>
          <w:szCs w:val="32"/>
          <w:highlight w:val="none"/>
        </w:rPr>
      </w:r>
      <w:r/>
    </w:p>
    <w:p>
      <w:pPr>
        <w:pStyle w:val="1035"/>
        <w:jc w:val="center"/>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35"/>
        <w:jc w:val="center"/>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南京市财政局  监制</w:t>
      </w:r>
      <w:r>
        <w:rPr>
          <w:rFonts w:hint="eastAsia" w:ascii="宋体" w:hAnsi="宋体" w:eastAsia="宋体"/>
          <w:b/>
          <w:bCs/>
          <w:color w:val="000000"/>
          <w:sz w:val="32"/>
          <w:szCs w:val="32"/>
          <w:highlight w:val="none"/>
        </w:rPr>
      </w:r>
      <w:r/>
    </w:p>
    <w:p>
      <w:pPr>
        <w:pStyle w:val="1035"/>
        <w:spacing w:line="360" w:lineRule="auto"/>
        <w:shd w:val="clear" w:color="auto" w:fill="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35"/>
        <w:jc w:val="center"/>
        <w:spacing w:line="360" w:lineRule="auto"/>
        <w:shd w:val="clear" w:color="auto" w:fill="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35"/>
        <w:jc w:val="center"/>
        <w:spacing w:line="360" w:lineRule="auto"/>
        <w:shd w:val="clear" w:color="auto" w:fill="auto"/>
        <w:widowControl/>
        <w:rPr>
          <w:rFonts w:hint="eastAsia" w:ascii="宋体" w:hAnsi="宋体"/>
          <w:color w:val="000000"/>
          <w:sz w:val="30"/>
          <w:szCs w:val="30"/>
          <w:highlight w:val="none"/>
        </w:rPr>
      </w:pPr>
      <w:r>
        <w:rPr>
          <w:rFonts w:hint="eastAsia" w:ascii="宋体" w:hAnsi="宋体" w:eastAsia="宋体"/>
          <w:b/>
          <w:bCs/>
          <w:color w:val="000000"/>
          <w:sz w:val="32"/>
          <w:szCs w:val="32"/>
          <w:highlight w:val="none"/>
        </w:rPr>
        <w:t xml:space="preserve">（本项目最终签订的合同由合同双方协商后确定）</w:t>
      </w:r>
      <w:r>
        <w:rPr>
          <w:rFonts w:hint="eastAsia" w:ascii="宋体" w:hAnsi="宋体"/>
          <w:color w:val="000000"/>
          <w:sz w:val="30"/>
          <w:szCs w:val="30"/>
          <w:highlight w:val="none"/>
        </w:rPr>
      </w:r>
      <w:r/>
    </w:p>
    <w:p>
      <w:pPr>
        <w:pStyle w:val="1035"/>
        <w:spacing w:line="360" w:lineRule="auto"/>
        <w:shd w:val="clear" w:color="auto" w:fill="auto"/>
        <w:rPr>
          <w:rFonts w:hint="eastAsia" w:ascii="宋体" w:hAnsi="宋体" w:eastAsia="宋体"/>
          <w:bCs/>
          <w:color w:val="000000"/>
          <w:sz w:val="21"/>
          <w:szCs w:val="21"/>
          <w:highlight w:val="none"/>
          <w:lang w:eastAsia="zh-CN"/>
        </w:rPr>
      </w:pPr>
      <w:r>
        <w:rPr>
          <w:rFonts w:hint="eastAsia" w:ascii="宋体" w:hAnsi="宋体"/>
          <w:b/>
          <w:bCs/>
          <w:color w:val="000000"/>
          <w:sz w:val="30"/>
          <w:szCs w:val="30"/>
          <w:highlight w:val="none"/>
        </w:rPr>
        <w:br w:type="page" w:clear="all"/>
      </w:r>
      <w:r>
        <w:rPr>
          <w:rFonts w:hint="eastAsia" w:ascii="宋体" w:hAnsi="宋体" w:eastAsia="宋体"/>
          <w:color w:val="000000"/>
          <w:sz w:val="21"/>
          <w:szCs w:val="21"/>
          <w:highlight w:val="none"/>
        </w:rPr>
        <w:t xml:space="preserve">合同编号：</w:t>
      </w:r>
      <w:r>
        <w:rPr>
          <w:rFonts w:hint="eastAsia" w:ascii="宋体" w:hAnsi="宋体" w:eastAsia="宋体"/>
          <w:bCs/>
          <w:color w:val="000000"/>
          <w:sz w:val="21"/>
          <w:szCs w:val="21"/>
          <w:highlight w:val="none"/>
          <w:lang w:eastAsia="zh-CN"/>
        </w:rPr>
        <w:t xml:space="preserve">JSZC-320100-HXZC-G2026-0021</w:t>
      </w:r>
      <w:r>
        <w:rPr>
          <w:rFonts w:hint="eastAsia" w:ascii="宋体" w:hAnsi="宋体" w:eastAsia="宋体"/>
          <w:bCs/>
          <w:color w:val="000000"/>
          <w:sz w:val="21"/>
          <w:szCs w:val="21"/>
          <w:highlight w:val="none"/>
          <w:lang w:eastAsia="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采购人：（以下称甲方）</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供应商：（以下称乙方）</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住所地：</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住所地：</w:t>
            </w:r>
            <w:r>
              <w:rPr>
                <w:rFonts w:hint="eastAsia" w:ascii="宋体" w:hAnsi="宋体" w:eastAsia="宋体"/>
                <w:color w:val="000000"/>
                <w:sz w:val="21"/>
                <w:szCs w:val="21"/>
                <w:highlight w:val="none"/>
              </w:rPr>
            </w:r>
            <w:r/>
          </w:p>
        </w:tc>
      </w:tr>
    </w:tbl>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根据《中华人民共和国政府采购法》《中华人民共和国民法典》等法律法规的规定，甲乙双方按照采购代理机构的招标结果签订本合同。</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第一条 合同标的</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乙方根据甲方需求提供下列货物：</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货物名称、规格及数量详见乙方投标文件。</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第二条 合同总价款</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本合同项下货物总价款为___________（大写）人民币，分项价款在乙方“投标文件价格部分”中有明确规定。</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bCs/>
          <w:color w:val="000000"/>
          <w:sz w:val="21"/>
          <w:szCs w:val="21"/>
          <w:highlight w:val="none"/>
        </w:rPr>
        <w:t xml:space="preserve">，以</w:t>
      </w:r>
      <w:r>
        <w:rPr>
          <w:rFonts w:hint="eastAsia" w:ascii="宋体" w:hAnsi="宋体" w:eastAsia="宋体"/>
          <w:color w:val="000000"/>
          <w:sz w:val="21"/>
          <w:szCs w:val="21"/>
          <w:highlight w:val="none"/>
        </w:rPr>
        <w:t xml:space="preserve">及乙方认为需要的其他费用等。</w:t>
      </w:r>
      <w:r>
        <w:rPr>
          <w:rFonts w:hint="eastAsia" w:ascii="宋体" w:hAnsi="宋体" w:eastAsia="宋体"/>
          <w:b/>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本合同总价款还包含乙方应当提供的伴随服务/售后服务费用。</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本合同执行期间合同总价款不变。</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第三条 组成本合同的有关文件</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下列关于</w:t>
      </w:r>
      <w:r>
        <w:rPr>
          <w:rFonts w:hint="eastAsia" w:ascii="宋体" w:hAnsi="宋体" w:eastAsia="宋体"/>
          <w:bCs/>
          <w:color w:val="000000"/>
          <w:sz w:val="21"/>
          <w:szCs w:val="21"/>
          <w:highlight w:val="none"/>
          <w:u w:val="single"/>
          <w:lang w:eastAsia="zh-CN"/>
        </w:rPr>
        <w:t xml:space="preserve">JSZC-320100-HXZC-G2026-0021</w:t>
      </w:r>
      <w:r>
        <w:rPr>
          <w:rFonts w:hint="eastAsia" w:ascii="宋体" w:hAnsi="宋体" w:eastAsia="宋体"/>
          <w:color w:val="000000"/>
          <w:sz w:val="21"/>
          <w:szCs w:val="21"/>
          <w:highlight w:val="none"/>
        </w:rPr>
        <w:t xml:space="preserve">号标的招投标文件或与本次采购活动方式相适应的文件及有关附件是本合同不可分割的组成部分，与本合同具有同等法律效力，这些文件包括但不限于：</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1、招标文件；</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乙方提供的投标文件；</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3、供货一览表；</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4、交货一览表；</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投标承诺/服务承诺；</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中标通知书；</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甲乙双方商定的其他文件等。</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第四条 权利保证</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乙方应保证甲方在使用该货物或其任何一部分时不受第三方提出侵犯其专利权、版权、商标权或其他权利的起诉。一旦出现侵权，乙方应承担全部责任。</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第五条 质量保证</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第六条 包装要求</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2、每一包装单元内应附详细的装箱单和质量合格凭证。</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第七条 交货和验收</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1、乙方应当在</w:t>
      </w:r>
      <w:r>
        <w:rPr>
          <w:rFonts w:hint="eastAsia" w:ascii="宋体" w:hAnsi="宋体" w:eastAsia="宋体"/>
          <w:bCs/>
          <w:color w:val="000000"/>
          <w:sz w:val="21"/>
          <w:szCs w:val="21"/>
          <w:highlight w:val="none"/>
        </w:rPr>
        <w:t xml:space="preserve">合同签订后</w:t>
      </w:r>
      <w:r>
        <w:rPr>
          <w:rFonts w:hint="eastAsia" w:ascii="宋体" w:hAnsi="宋体" w:eastAsia="宋体"/>
          <w:bCs/>
          <w:color w:val="000000"/>
          <w:sz w:val="21"/>
          <w:szCs w:val="21"/>
          <w:highlight w:val="none"/>
          <w:u w:val="single"/>
        </w:rPr>
        <w:t xml:space="preserve"> </w:t>
      </w:r>
      <w:r>
        <w:rPr>
          <w:rFonts w:hint="eastAsia" w:ascii="宋体" w:hAnsi="宋体" w:eastAsia="宋体"/>
          <w:bCs/>
          <w:color w:val="000000"/>
          <w:sz w:val="21"/>
          <w:szCs w:val="21"/>
          <w:highlight w:val="none"/>
          <w:u w:val="single"/>
          <w:lang w:val="en-US"/>
        </w:rPr>
        <w:t xml:space="preserve"> </w:t>
      </w:r>
      <w:r>
        <w:rPr>
          <w:rFonts w:hint="eastAsia" w:ascii="宋体" w:hAnsi="宋体" w:eastAsia="宋体"/>
          <w:bCs/>
          <w:color w:val="000000"/>
          <w:sz w:val="21"/>
          <w:szCs w:val="21"/>
          <w:highlight w:val="none"/>
          <w:u w:val="single"/>
        </w:rPr>
        <w:t xml:space="preserve">  </w:t>
      </w:r>
      <w:r>
        <w:rPr>
          <w:rFonts w:hint="eastAsia" w:ascii="宋体" w:hAnsi="宋体" w:eastAsia="宋体"/>
          <w:bCs/>
          <w:color w:val="000000"/>
          <w:sz w:val="21"/>
          <w:szCs w:val="21"/>
          <w:highlight w:val="none"/>
        </w:rPr>
        <w:t xml:space="preserve">天内</w:t>
      </w:r>
      <w:r>
        <w:rPr>
          <w:rFonts w:hint="eastAsia" w:ascii="宋体" w:hAnsi="宋体" w:eastAsia="宋体"/>
          <w:color w:val="000000"/>
          <w:sz w:val="21"/>
          <w:szCs w:val="21"/>
          <w:highlight w:val="none"/>
        </w:rPr>
        <w:t xml:space="preserve">将货物安装调试完毕交付甲方正常使用，地点由甲方指定。招标文件另有约定的，从其约定。</w:t>
      </w:r>
      <w:r>
        <w:rPr>
          <w:rFonts w:hint="eastAsia" w:ascii="宋体" w:hAnsi="宋体" w:eastAsia="宋体"/>
          <w:color w:val="000000"/>
          <w:sz w:val="21"/>
          <w:szCs w:val="21"/>
          <w:highlight w:val="none"/>
          <w:u w:val="singl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3、货物的到货验收包括：型号、规格、数量、外观质量、及货物包装是否完好。</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5、货物和调试验收标准：按行业通行标准、厂方出厂标准和乙方投标文件的承诺（不低于国家相关标准）。</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第八条 伴随服务／售后服务</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tabs>
          <w:tab w:val="left" w:pos="162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1、乙方应按照国家有关法律法规规章和“三包”规定以及招投标文件所规定的“服务承诺”提供服务。</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2、除前款规定外，乙方还应提供下列服务：</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（1）货物的现场安装、调试和/或启动监督；</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（2）就货物的安装、启动、运行及维护等对甲方人员进行免费培训。</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3、若招标文件中不包含有关伴随服务或售后服务的承诺，双方作如下约定：</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3.2所购货物按乙方投标承诺提供免费维护和质量保证，保修费用计入总价。</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3.3保修期内，乙方负责对其提供的货物整机进行维修和系统维护，不再收取任何费用，但不可抗力（如火灾、雷击等）造成的故障除外。</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3.4货物故障报修的响应时间按乙方投标承诺执行。</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3.5若货物故障在检修8工作小时后仍无法排除，乙方应在48小时内免费提供不低于故障货物规格型号档次的备用货物供甲方使用，直至故障货物修复。</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3.6所有货物保修服务方式均为乙方上门保修，即由乙方派员到货物使用现场维修，由此产生的一切费用均由乙方承担。</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3.7保修期后的货物维护由双方协商再定。</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第九条 履约保证金</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rPr>
          <w:rFonts w:hint="eastAsia" w:ascii="宋体" w:hAnsi="宋体" w:eastAsia="宋体"/>
          <w:i/>
          <w:iCs/>
          <w:color w:val="000000"/>
          <w:sz w:val="21"/>
          <w:szCs w:val="21"/>
          <w:highlight w:val="none"/>
        </w:rPr>
      </w:pPr>
      <w:r>
        <w:rPr>
          <w:rFonts w:hint="eastAsia" w:ascii="宋体" w:hAnsi="宋体" w:eastAsia="宋体"/>
          <w:color w:val="000000"/>
          <w:sz w:val="21"/>
          <w:szCs w:val="21"/>
          <w:highlight w:val="none"/>
          <w:lang w:val="en-US"/>
        </w:rPr>
        <w:t xml:space="preserve">无</w:t>
      </w:r>
      <w:r>
        <w:rPr>
          <w:rFonts w:hint="eastAsia" w:ascii="宋体" w:hAnsi="宋体" w:eastAsia="宋体"/>
          <w:color w:val="000000"/>
          <w:sz w:val="21"/>
          <w:szCs w:val="21"/>
          <w:highlight w:val="none"/>
        </w:rPr>
        <w:t xml:space="preserve">。</w:t>
      </w:r>
      <w:r>
        <w:rPr>
          <w:rFonts w:hint="eastAsia" w:ascii="宋体" w:hAnsi="宋体" w:eastAsia="宋体"/>
          <w:i/>
          <w:iCs/>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i/>
          <w:iCs/>
          <w:color w:val="000000"/>
          <w:sz w:val="21"/>
          <w:szCs w:val="21"/>
          <w:highlight w:val="none"/>
        </w:rPr>
      </w:pPr>
      <w:r>
        <w:rPr>
          <w:rFonts w:hint="eastAsia" w:ascii="宋体" w:hAnsi="宋体" w:eastAsia="宋体"/>
          <w:b/>
          <w:bCs/>
          <w:color w:val="000000"/>
          <w:sz w:val="21"/>
          <w:szCs w:val="21"/>
          <w:highlight w:val="none"/>
        </w:rPr>
        <w:t xml:space="preserve">第十条 合同款支付</w:t>
      </w:r>
      <w:r>
        <w:rPr>
          <w:rFonts w:hint="eastAsia" w:ascii="宋体" w:hAnsi="宋体" w:eastAsia="宋体"/>
          <w:b/>
          <w:bCs/>
          <w:i/>
          <w:iCs/>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1、本合同项下所有款项均以人民币支付。</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2、本合同项下的采购资金由甲方自行支付，乙方向甲方开具发票。</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3、付款条件：详见招标文件。</w:t>
      </w:r>
      <w:r>
        <w:rPr>
          <w:rFonts w:hint="eastAsia" w:ascii="宋体" w:hAnsi="宋体" w:eastAsia="宋体"/>
          <w:bCs/>
          <w:color w:val="000000"/>
          <w:sz w:val="21"/>
          <w:szCs w:val="21"/>
          <w:highlight w:val="none"/>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第十一条 违约责任</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甲方无正当理由拒收货物、拒付货物款的，由甲方向乙方偿付合同总价的5%违约金。</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甲方未按合同规定的期限向乙方支付货款的，每逾期1天甲方向乙方偿付欠款总额的5‰滞纳金，但累计滞纳金总额不超过欠款总额的5%。</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如乙方不能交付货物、完成安装调试的，乙方应向甲方支付合同总价5%的违约金。</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乙方逾期交付的，每逾期1天，乙方向甲方偿付合同总额的5‰的滞纳金。如乙方逾期交付达10天，甲方有权解除合同，解除合同的通知自到达乙方时生效。</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、乙方未按本合同的规定和“服务承诺”提供伴随服务/售后服务的，应按合同总价款的5%向甲方承担违约责任。</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、乙方在承担上述4-</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乙方投标属虚假承诺，或经权威部门监测提供的货物不能满足招标文件要求，或是由于乙方的过错造成合同无法继续履行的，乙方应向甲方支付不少于合同总价30%赔偿金。</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第十二条</w:t>
      </w:r>
      <w:r>
        <w:rPr>
          <w:rFonts w:hint="eastAsia" w:ascii="宋体" w:hAnsi="宋体" w:eastAsia="宋体"/>
          <w:b/>
          <w:bCs/>
          <w:color w:val="000000"/>
          <w:sz w:val="21"/>
          <w:szCs w:val="21"/>
          <w:highlight w:val="none"/>
          <w:lang w:val="en-US"/>
        </w:rPr>
        <w:t xml:space="preserve"> 项目履约验收</w:t>
      </w:r>
      <w:r>
        <w:rPr>
          <w:rFonts w:hint="eastAsia" w:ascii="宋体" w:hAnsi="宋体" w:eastAsia="宋体"/>
          <w:b/>
          <w:bCs/>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1、甲方有权对乙方项目实施执行过程及完成结果进行履约验收；</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2、甲方可以邀请参加本项目的其他供应商或者第三方机构参与验收，乙方应积极配合并响应；</w:t>
      </w:r>
      <w:r>
        <w:rPr>
          <w:rFonts w:hint="eastAsia" w:ascii="宋体" w:hAnsi="宋体" w:eastAsia="宋体"/>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3、参与验收的供应商或者第三方机构的意见作为验收书的参考资料一并存档。</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第十三条 合同的变更和终止</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1、除《政府采购法》第50条第二款规定的情形外，本合同一经签订，甲乙双方不得擅自变更、中止或终止合同。</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2、除发生法律规定的不能预见、不能避免并不能克服的客观情况外，甲乙双方不得放弃或拒绝履行合同。</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第十四条 合同的转让</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乙方不得擅自部分或全部转让其应履行的合同义务。</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第十五条 争议的解决</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1、因货物的质量问题发生争议的，应当邀请国家认可的质量检测机构对货物质量进行鉴定。符合标准的，鉴定费由甲方承担；不符合质量标准的，鉴定费由乙方承担。</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（1）向甲方所在地有管辖权的人民法院提起诉讼；</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（2）向南京仲裁委员会按其仲裁规则申请仲裁。</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如没有约定，默认采取第2种方式解决争议。</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3、在仲裁期间，本合同应继续履行。</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第十六条 诚实信用 </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乙方应诚实信用，严格按照招标文件要求和投标承诺履行合同，不向甲方进行商业贿赂或者提供不正当利益。</w:t>
      </w:r>
      <w:r>
        <w:rPr>
          <w:rFonts w:hint="eastAsia" w:ascii="宋体" w:hAnsi="宋体" w:eastAsia="宋体"/>
          <w:color w:val="000000"/>
          <w:sz w:val="21"/>
          <w:szCs w:val="21"/>
          <w:highlight w:val="none"/>
        </w:rPr>
      </w:r>
      <w:r/>
    </w:p>
    <w:p>
      <w:pPr>
        <w:pStyle w:val="103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第十七条 合同生效及其他</w:t>
      </w:r>
      <w:r>
        <w:rPr>
          <w:rFonts w:hint="eastAsia" w:ascii="宋体" w:hAnsi="宋体" w:eastAsia="宋体"/>
          <w:b/>
          <w:bCs/>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1、本合同自签订之日起生效。</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2、本合同一式伍份，甲乙双方各执贰份，壹份交采购代理机构存档备案。</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3、本合同应按照中华人民共和国的现行法律进行解释。</w:t>
      </w:r>
      <w:r>
        <w:rPr>
          <w:rFonts w:hint="eastAsia" w:ascii="宋体" w:hAnsi="宋体" w:eastAsia="宋体"/>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甲方（采购人）：（盖章）</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乙方（供应商）：（盖章）</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代表人：</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代表人：</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    话：</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    话：</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采购代理机构：（盖章） </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     年    月    日</w:t>
            </w: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35"/>
        <w:jc w:val="center"/>
        <w:spacing w:line="420" w:lineRule="auto"/>
        <w:shd w:val="clear" w:color="auto" w:fill="auto"/>
        <w:rPr>
          <w:rFonts w:hint="eastAsia" w:ascii="宋体" w:hAnsi="宋体" w:eastAsia="宋体"/>
          <w:b/>
          <w:color w:val="000000"/>
          <w:sz w:val="32"/>
          <w:szCs w:val="32"/>
          <w:highlight w:val="none"/>
        </w:rPr>
        <w:outlineLvl w:val="0"/>
      </w:pPr>
      <w:r>
        <w:rPr>
          <w:rFonts w:hint="eastAsia" w:ascii="宋体" w:hAnsi="宋体"/>
          <w:color w:val="000000"/>
          <w:sz w:val="28"/>
          <w:szCs w:val="28"/>
          <w:highlight w:val="none"/>
        </w:rPr>
        <w:br w:type="page" w:clear="all"/>
      </w:r>
      <w:bookmarkStart w:id="51" w:name="_Toc14619"/>
      <w:r>
        <w:rPr>
          <w:rFonts w:hint="eastAsia" w:ascii="黑体" w:hAnsi="黑体" w:eastAsia="黑体" w:cs="黑体"/>
          <w:color w:val="000000"/>
          <w:sz w:val="32"/>
          <w:szCs w:val="32"/>
          <w:highlight w:val="none"/>
        </w:rPr>
        <w:t xml:space="preserve">第七章 附  件</w:t>
      </w:r>
      <w:bookmarkEnd w:id="51"/>
      <w:r>
        <w:rPr>
          <w:rFonts w:hint="eastAsia" w:ascii="宋体" w:hAnsi="宋体" w:eastAsia="宋体"/>
          <w:b/>
          <w:color w:val="000000"/>
          <w:sz w:val="32"/>
          <w:szCs w:val="32"/>
          <w:highlight w:val="none"/>
        </w:rPr>
      </w:r>
      <w:r/>
    </w:p>
    <w:p>
      <w:pPr>
        <w:pStyle w:val="1035"/>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附件一、中小企业声明函格式</w:t>
      </w:r>
      <w:r>
        <w:rPr>
          <w:rFonts w:hint="eastAsia" w:ascii="宋体" w:hAnsi="宋体" w:eastAsia="宋体"/>
          <w:b/>
          <w:color w:val="000000"/>
          <w:sz w:val="21"/>
          <w:szCs w:val="21"/>
          <w:highlight w:val="none"/>
        </w:rPr>
      </w:r>
      <w:r/>
    </w:p>
    <w:p>
      <w:pPr>
        <w:pStyle w:val="1035"/>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cente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中小企业声明函（货物）</w:t>
      </w:r>
      <w:r>
        <w:rPr>
          <w:rFonts w:hint="eastAsia" w:ascii="宋体" w:hAnsi="宋体" w:eastAsia="宋体"/>
          <w:b/>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（单位名称）</w:t>
      </w:r>
      <w:r>
        <w:rPr>
          <w:rFonts w:hint="eastAsia" w:ascii="宋体" w:hAnsi="宋体" w:eastAsia="宋体"/>
          <w:color w:val="000000"/>
          <w:sz w:val="21"/>
          <w:szCs w:val="21"/>
          <w:highlight w:val="none"/>
        </w:rPr>
        <w:t xml:space="preserve">的</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（项目名称）</w:t>
      </w:r>
      <w:r>
        <w:rPr>
          <w:rFonts w:hint="eastAsia" w:ascii="宋体" w:hAnsi="宋体" w:eastAsia="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w:t>
      </w: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本企业对上述声明内容的真实性负责。如有虚假，将依法承担相应责任。</w:t>
      </w:r>
      <w:r>
        <w:rPr>
          <w:rFonts w:hint="eastAsia" w:ascii="宋体" w:hAnsi="宋体" w:eastAsia="宋体"/>
          <w:color w:val="000000"/>
          <w:sz w:val="21"/>
          <w:szCs w:val="21"/>
          <w:highlight w:val="none"/>
        </w:rPr>
      </w:r>
      <w:r/>
    </w:p>
    <w:p>
      <w:pPr>
        <w:pStyle w:val="1035"/>
        <w:ind w:right="640"/>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企业名称（盖章）：</w:t>
      </w:r>
      <w:r>
        <w:rPr>
          <w:rFonts w:hint="eastAsia" w:ascii="宋体" w:hAnsi="宋体" w:eastAsia="宋体"/>
          <w:color w:val="000000"/>
          <w:sz w:val="21"/>
          <w:szCs w:val="21"/>
          <w:highlight w:val="none"/>
        </w:rPr>
      </w:r>
      <w:r/>
    </w:p>
    <w:p>
      <w:pPr>
        <w:pStyle w:val="1035"/>
        <w:ind w:right="640"/>
        <w:jc w:val="center"/>
        <w:spacing w:line="420" w:lineRule="auto"/>
        <w:shd w:val="clear" w:color="auto" w:fill="auto"/>
        <w:rPr>
          <w:rFonts w:hint="eastAsia" w:ascii="宋体" w:hAnsi="宋体" w:eastAsia="宋体"/>
          <w:b/>
          <w:bCs/>
          <w:color w:val="000000"/>
          <w:sz w:val="21"/>
          <w:szCs w:val="21"/>
          <w:highlight w:val="none"/>
          <w:vertAlign w:val="superscript"/>
        </w:rPr>
      </w:pPr>
      <w:r>
        <w:rPr>
          <w:rFonts w:hint="eastAsia" w:ascii="宋体" w:hAnsi="宋体" w:eastAsia="宋体"/>
          <w:color w:val="000000"/>
          <w:sz w:val="21"/>
          <w:szCs w:val="21"/>
          <w:highlight w:val="none"/>
        </w:rPr>
        <w:t xml:space="preserve">        日期：</w:t>
      </w:r>
      <w:r>
        <w:rPr>
          <w:rFonts w:hint="eastAsia" w:ascii="宋体" w:hAnsi="宋体" w:eastAsia="宋体"/>
          <w:b/>
          <w:bCs/>
          <w:color w:val="000000"/>
          <w:sz w:val="21"/>
          <w:szCs w:val="21"/>
          <w:highlight w:val="none"/>
          <w:vertAlign w:val="superscript"/>
        </w:rPr>
      </w:r>
      <w:r/>
    </w:p>
    <w:p>
      <w:pPr>
        <w:pStyle w:val="1035"/>
        <w:ind w:firstLine="422"/>
        <w:jc w:val="left"/>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olor w:val="000000"/>
          <w:sz w:val="21"/>
          <w:szCs w:val="21"/>
          <w:highlight w:val="none"/>
          <w:lang w:val="en-US"/>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备注：</w:t>
      </w:r>
      <w:r>
        <w:rPr>
          <w:rFonts w:hint="eastAsia" w:ascii="宋体" w:hAnsi="宋体" w:eastAsia="宋体"/>
          <w:b/>
          <w:bCs/>
          <w:color w:val="000000"/>
          <w:sz w:val="21"/>
          <w:szCs w:val="21"/>
          <w:highlight w:val="none"/>
          <w:lang w:val="en-US"/>
        </w:rPr>
      </w:r>
      <w:r/>
    </w:p>
    <w:p>
      <w:pPr>
        <w:pStyle w:val="1035"/>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如供应商所投货物的制造商均为中小企业的，须由 </w:t>
      </w:r>
      <w:r>
        <w:rPr>
          <w:rFonts w:hint="eastAsia" w:ascii="宋体" w:hAnsi="宋体" w:eastAsia="宋体"/>
          <w:b/>
          <w:bCs/>
          <w:i/>
          <w:iCs/>
          <w:color w:val="000000"/>
          <w:sz w:val="24"/>
          <w:szCs w:val="24"/>
          <w:highlight w:val="none"/>
          <w:u w:val="single"/>
          <w:lang w:val="en-US"/>
        </w:rPr>
        <w:t xml:space="preserve">供应商</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在投标文件中提供加盖 </w:t>
      </w:r>
      <w:r>
        <w:rPr>
          <w:rFonts w:hint="eastAsia" w:ascii="宋体" w:hAnsi="宋体" w:eastAsia="宋体"/>
          <w:b/>
          <w:bCs/>
          <w:i/>
          <w:iCs/>
          <w:color w:val="000000"/>
          <w:sz w:val="24"/>
          <w:szCs w:val="24"/>
          <w:highlight w:val="none"/>
          <w:u w:val="single"/>
          <w:lang w:val="en-US"/>
        </w:rPr>
        <w:t xml:space="preserve">本单位公章</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的</w:t>
      </w:r>
      <w:r>
        <w:rPr>
          <w:rFonts w:hint="eastAsia" w:ascii="宋体" w:hAnsi="宋体" w:eastAsia="宋体"/>
          <w:b/>
          <w:color w:val="000000"/>
          <w:sz w:val="21"/>
          <w:szCs w:val="21"/>
          <w:highlight w:val="none"/>
        </w:rPr>
        <w:t xml:space="preserve">声明</w:t>
      </w:r>
      <w:r>
        <w:rPr>
          <w:rFonts w:hint="eastAsia" w:ascii="宋体" w:hAnsi="宋体" w:eastAsia="宋体"/>
          <w:b/>
          <w:bCs/>
          <w:color w:val="000000"/>
          <w:sz w:val="21"/>
          <w:szCs w:val="21"/>
          <w:highlight w:val="none"/>
          <w:lang w:val="en-US"/>
        </w:rPr>
        <w:t xml:space="preserve">函，供应商应从制造商处获得充分、准确的信息，并对其出具的《中小企业声明函》真实性负责，除此之外，供应商无需提供《中小企业声明函》之外的中小企业身份证明文件。</w:t>
      </w:r>
      <w:r>
        <w:rPr>
          <w:rFonts w:hint="eastAsia" w:ascii="宋体" w:hAnsi="宋体" w:eastAsia="宋体"/>
          <w:b/>
          <w:bCs/>
          <w:color w:val="000000"/>
          <w:sz w:val="21"/>
          <w:szCs w:val="21"/>
          <w:highlight w:val="none"/>
          <w:lang w:val="en-US"/>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 xml:space="preserve">附件二、残疾人福利性单位声明函格式（如供应商为残疾人福利性单位须提供此函）</w:t>
      </w:r>
      <w:r>
        <w:rPr>
          <w:rFonts w:hint="eastAsia" w:ascii="宋体" w:hAnsi="宋体" w:eastAsia="宋体"/>
          <w:b/>
          <w:bCs/>
          <w:color w:val="000000"/>
          <w:sz w:val="21"/>
          <w:szCs w:val="21"/>
          <w:highlight w:val="none"/>
        </w:rPr>
      </w:r>
      <w:r/>
    </w:p>
    <w:p>
      <w:pPr>
        <w:pStyle w:val="1035"/>
        <w:jc w:val="cente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残疾人福利性单位声明函</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rPr>
          <w:rFonts w:hint="eastAsia" w:ascii="宋体" w:hAnsi="宋体" w:eastAsia="宋体"/>
          <w:color w:val="000000"/>
          <w:sz w:val="21"/>
          <w:szCs w:val="21"/>
          <w:highlight w:val="none"/>
        </w:rPr>
      </w:r>
      <w:r/>
    </w:p>
    <w:p>
      <w:pPr>
        <w:pStyle w:val="1035"/>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hint="eastAsia" w:ascii="宋体" w:hAnsi="宋体" w:eastAsia="宋体"/>
          <w:color w:val="000000"/>
          <w:sz w:val="21"/>
          <w:szCs w:val="21"/>
          <w:highlight w:val="none"/>
        </w:rPr>
      </w:r>
      <w:r/>
    </w:p>
    <w:p>
      <w:pPr>
        <w:pStyle w:val="1035"/>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附件三、</w:t>
      </w:r>
      <w:r>
        <w:rPr>
          <w:rFonts w:hint="eastAsia" w:ascii="宋体" w:hAnsi="宋体" w:eastAsia="宋体"/>
          <w:b/>
          <w:bCs/>
          <w:color w:val="000000"/>
          <w:sz w:val="21"/>
          <w:szCs w:val="21"/>
          <w:highlight w:val="none"/>
        </w:rPr>
        <w:t xml:space="preserve">属于监狱企业的证明文件（如供应商为监狱企业须提供相关证明文件）</w:t>
      </w:r>
      <w:r>
        <w:rPr>
          <w:rFonts w:hint="eastAsia" w:ascii="宋体" w:hAnsi="宋体" w:eastAsia="宋体"/>
          <w:b/>
          <w:bCs/>
          <w:color w:val="000000"/>
          <w:sz w:val="21"/>
          <w:szCs w:val="21"/>
          <w:highlight w:val="none"/>
        </w:rPr>
      </w:r>
      <w:r/>
    </w:p>
    <w:p>
      <w:pPr>
        <w:pStyle w:val="1035"/>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提供由省级以上监狱管理局、戒毒管理局(含新疆生产建设兵团)出具的属于监狱企业的证明文件。</w:t>
      </w: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附件四、节能产品认证文件（如有须提供）</w:t>
      </w:r>
      <w:r>
        <w:rPr>
          <w:rFonts w:hint="eastAsia" w:ascii="宋体" w:hAnsi="宋体" w:eastAsia="宋体"/>
          <w:b/>
          <w:bCs/>
          <w:color w:val="000000"/>
          <w:sz w:val="21"/>
          <w:szCs w:val="21"/>
          <w:highlight w:val="none"/>
        </w:rPr>
      </w:r>
      <w:r/>
    </w:p>
    <w:p>
      <w:pPr>
        <w:pStyle w:val="1035"/>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以供应商提供经国家确定的认证机构出具的、处于有效期之内的节能产品认证证书复印件为准。</w:t>
      </w: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附件五、环境标志产品认证文件（如有须提供）</w:t>
      </w:r>
      <w:r>
        <w:rPr>
          <w:rFonts w:hint="eastAsia" w:ascii="宋体" w:hAnsi="宋体" w:eastAsia="宋体"/>
          <w:b/>
          <w:bCs/>
          <w:color w:val="000000"/>
          <w:sz w:val="21"/>
          <w:szCs w:val="21"/>
          <w:highlight w:val="none"/>
        </w:rPr>
      </w:r>
      <w:r/>
    </w:p>
    <w:p>
      <w:pPr>
        <w:pStyle w:val="1035"/>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以供应商提供经国家确定的认证机构出具的、处于有效期之内的环境标志产品认证证书复印件为准。</w:t>
      </w: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b/>
          <w:bCs/>
          <w:color w:val="000000"/>
          <w:sz w:val="21"/>
          <w:szCs w:val="21"/>
          <w:highlight w:val="none"/>
          <w:lang w:val="zh-TW"/>
        </w:rPr>
      </w:pPr>
      <w:r>
        <w:rPr>
          <w:rFonts w:hint="eastAsia" w:ascii="宋体" w:hAnsi="宋体" w:eastAsia="宋体"/>
          <w:color w:val="000000"/>
          <w:sz w:val="24"/>
          <w:szCs w:val="24"/>
          <w:highlight w:val="none"/>
        </w:rPr>
        <w:br w:type="page" w:clear="all"/>
      </w:r>
      <w:bookmarkStart w:id="52" w:name="_Toc21684"/>
      <w:r>
        <w:rPr>
          <w:rFonts w:hint="eastAsia" w:ascii="宋体" w:hAnsi="宋体" w:eastAsia="宋体"/>
          <w:b/>
          <w:bCs/>
          <w:color w:val="000000"/>
          <w:sz w:val="21"/>
          <w:szCs w:val="21"/>
          <w:highlight w:val="none"/>
          <w:lang w:val="zh-TW"/>
        </w:rPr>
        <w:t xml:space="preserve">附件</w:t>
      </w:r>
      <w:r>
        <w:rPr>
          <w:rFonts w:hint="eastAsia" w:ascii="宋体" w:hAnsi="宋体" w:eastAsia="宋体"/>
          <w:b/>
          <w:bCs/>
          <w:color w:val="000000"/>
          <w:sz w:val="21"/>
          <w:szCs w:val="21"/>
          <w:highlight w:val="none"/>
          <w:lang w:val="en-US"/>
        </w:rPr>
        <w:t xml:space="preserve">六</w:t>
      </w:r>
      <w:r>
        <w:rPr>
          <w:rFonts w:hint="eastAsia" w:ascii="宋体" w:hAnsi="宋体" w:eastAsia="宋体"/>
          <w:b/>
          <w:bCs/>
          <w:color w:val="000000"/>
          <w:sz w:val="21"/>
          <w:szCs w:val="21"/>
          <w:highlight w:val="none"/>
          <w:lang w:val="zh-TW"/>
        </w:rPr>
        <w:t xml:space="preserve">、政府采购实施本国产品标准及相关政策（如适用） </w:t>
      </w:r>
      <w:r>
        <w:rPr>
          <w:rFonts w:hint="eastAsia" w:ascii="宋体" w:hAnsi="宋体" w:eastAsia="宋体"/>
          <w:b/>
          <w:bCs/>
          <w:color w:val="000000"/>
          <w:sz w:val="21"/>
          <w:szCs w:val="21"/>
          <w:highlight w:val="none"/>
          <w:lang w:val="zh-TW"/>
        </w:rPr>
      </w:r>
      <w:r/>
    </w:p>
    <w:p>
      <w:pPr>
        <w:pStyle w:val="1035"/>
        <w:jc w:val="center"/>
        <w:spacing w:line="420" w:lineRule="auto"/>
        <w:shd w:val="clear" w:color="auto" w:fill="auto"/>
        <w:rPr>
          <w:rFonts w:ascii="黑体" w:hAnsi="黑体" w:eastAsia="黑体" w:cs="黑体"/>
          <w:b/>
          <w:bCs/>
          <w:color w:val="000000"/>
          <w:sz w:val="24"/>
          <w:szCs w:val="24"/>
          <w:highlight w:val="none"/>
          <w:lang w:val="zh-TW"/>
        </w:rPr>
      </w:pPr>
      <w:r>
        <w:rPr>
          <w:rFonts w:hint="eastAsia" w:ascii="宋体" w:hAnsi="宋体" w:eastAsia="宋体"/>
          <w:b/>
          <w:bCs/>
          <w:color w:val="000000"/>
          <w:sz w:val="21"/>
          <w:szCs w:val="21"/>
          <w:highlight w:val="none"/>
          <w:lang w:val="zh-TW"/>
        </w:rPr>
        <w:t xml:space="preserve">符合本国产品标准的声明函（如适用）</w:t>
      </w:r>
      <w:bookmarkEnd w:id="52"/>
      <w:r>
        <w:rPr>
          <w:rFonts w:ascii="黑体" w:hAnsi="黑体" w:eastAsia="黑体" w:cs="黑体"/>
          <w:b/>
          <w:bCs/>
          <w:color w:val="000000"/>
          <w:sz w:val="24"/>
          <w:szCs w:val="24"/>
          <w:highlight w:val="none"/>
          <w:lang w:val="zh-TW"/>
        </w:rPr>
      </w:r>
      <w:r/>
    </w:p>
    <w:p>
      <w:pPr>
        <w:pStyle w:val="1035"/>
        <w:jc w:val="center"/>
        <w:keepLines/>
        <w:keepNext/>
        <w:spacing w:line="360" w:lineRule="auto"/>
        <w:shd w:val="clear" w:color="auto" w:fill="auto"/>
        <w:rPr>
          <w:rFonts w:ascii="Times New Roman" w:eastAsia="仿宋"/>
          <w:b/>
          <w:color w:val="000000"/>
          <w:sz w:val="24"/>
          <w:highlight w:val="none"/>
        </w:rPr>
      </w:pPr>
      <w:r/>
      <w:bookmarkStart w:id="53" w:name="_Toc6335"/>
      <w:r>
        <w:rPr>
          <w:rFonts w:ascii="Times New Roman" w:eastAsia="仿宋"/>
          <w:b/>
          <w:color w:val="000000"/>
          <w:sz w:val="24"/>
          <w:highlight w:val="none"/>
        </w:rPr>
      </w:r>
      <w:r/>
    </w:p>
    <w:p>
      <w:pPr>
        <w:pStyle w:val="1035"/>
        <w:jc w:val="center"/>
        <w:keepLines/>
        <w:keepNext/>
        <w:spacing w:line="360" w:lineRule="auto"/>
        <w:shd w:val="clear" w:color="auto" w:fill="auto"/>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关于符合本国产品标准的声明函</w:t>
      </w:r>
      <w:bookmarkEnd w:id="53"/>
      <w:r>
        <w:rPr>
          <w:rFonts w:hint="eastAsia" w:ascii="宋体" w:hAnsi="宋体" w:eastAsia="宋体"/>
          <w:b/>
          <w:color w:val="000000"/>
          <w:sz w:val="24"/>
          <w:highlight w:val="none"/>
        </w:rPr>
      </w:r>
      <w:r/>
    </w:p>
    <w:p>
      <w:pPr>
        <w:pStyle w:val="1107"/>
        <w:ind w:firstLine="420"/>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107"/>
        <w:ind w:firstLine="420"/>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4746625</wp:posOffset>
                </wp:positionH>
                <wp:positionV relativeFrom="paragraph">
                  <wp:posOffset>57150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73.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5449570</wp:posOffset>
                </wp:positionH>
                <wp:positionV relativeFrom="paragraph">
                  <wp:posOffset>272415</wp:posOffset>
                </wp:positionV>
                <wp:extent cx="771525" cy="9715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429.1pt;mso-position-horizontal:absolute;mso-position-vertical-relative:text;margin-top:21.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1024890</wp:posOffset>
                </wp:positionH>
                <wp:positionV relativeFrom="paragraph">
                  <wp:posOffset>543560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80.7pt;mso-position-horizontal:absolute;mso-position-vertical-relative:text;margin-top:42.8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2698115</wp:posOffset>
                </wp:positionH>
                <wp:positionV relativeFrom="paragraph">
                  <wp:posOffset>274320</wp:posOffset>
                </wp:positionV>
                <wp:extent cx="739140" cy="1346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12.4pt;mso-position-horizontal:absolute;mso-position-vertical-relative:text;margin-top:21.6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3702050</wp:posOffset>
                </wp:positionH>
                <wp:positionV relativeFrom="paragraph">
                  <wp:posOffset>334010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91.5pt;mso-position-horizontal:absolute;mso-position-vertical-relative:text;margin-top:26.3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119"/>
          <w:rFonts w:hint="eastAsia" w:ascii="宋体" w:hAnsi="宋体" w:eastAsia="宋体" w:cs="宋体"/>
          <w:i w:val="0"/>
          <w:color w:val="000000"/>
          <w:sz w:val="21"/>
          <w:szCs w:val="21"/>
          <w:highlight w:val="none"/>
          <w:u w:val="single"/>
          <w:shd w:val="clear" w:color="auto" w:fill="ffffff"/>
        </w:rPr>
        <w:t xml:space="preserve">（产品名称1）</w:t>
      </w:r>
      <w:r>
        <w:rPr>
          <w:rStyle w:val="1119"/>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119"/>
          <w:rFonts w:hint="eastAsia" w:ascii="宋体" w:hAnsi="宋体" w:eastAsia="宋体" w:cs="宋体"/>
          <w:i w:val="0"/>
          <w:color w:val="000000"/>
          <w:sz w:val="21"/>
          <w:szCs w:val="21"/>
          <w:highlight w:val="none"/>
          <w:u w:val="single"/>
          <w:shd w:val="clear" w:color="auto" w:fill="ffffff"/>
        </w:rPr>
        <w:t xml:space="preserve">（厂名）</w:t>
      </w:r>
      <w:r>
        <w:rPr>
          <w:rStyle w:val="1119"/>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119"/>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119"/>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19"/>
          <w:rFonts w:hint="eastAsia" w:ascii="宋体" w:hAnsi="宋体" w:eastAsia="宋体" w:cs="宋体"/>
          <w:i w:val="0"/>
          <w:color w:val="000000"/>
          <w:sz w:val="21"/>
          <w:szCs w:val="21"/>
          <w:highlight w:val="none"/>
          <w:u w:val="single"/>
          <w:shd w:val="clear" w:color="auto" w:fill="ffffff"/>
        </w:rPr>
        <w:t xml:space="preserve">（规定比例）</w:t>
      </w:r>
      <w:r>
        <w:rPr>
          <w:rStyle w:val="1119"/>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119"/>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19"/>
          <w:rFonts w:hint="eastAsia" w:ascii="宋体" w:hAnsi="宋体" w:eastAsia="宋体" w:cs="宋体"/>
          <w:i w:val="0"/>
          <w:color w:val="000000"/>
          <w:sz w:val="21"/>
          <w:szCs w:val="21"/>
          <w:highlight w:val="none"/>
          <w:u w:val="single"/>
          <w:shd w:val="clear" w:color="auto" w:fill="ffffff"/>
        </w:rPr>
        <w:t xml:space="preserve">（关键组件）</w:t>
      </w:r>
      <w:r>
        <w:rPr>
          <w:rStyle w:val="1119"/>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119"/>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19"/>
          <w:rFonts w:hint="eastAsia" w:ascii="宋体" w:hAnsi="宋体" w:eastAsia="宋体" w:cs="宋体"/>
          <w:i w:val="0"/>
          <w:color w:val="000000"/>
          <w:sz w:val="21"/>
          <w:szCs w:val="21"/>
          <w:highlight w:val="none"/>
          <w:u w:val="single"/>
          <w:shd w:val="clear" w:color="auto" w:fill="ffffff"/>
        </w:rPr>
        <w:t xml:space="preserve">（关键工序）</w:t>
      </w:r>
      <w:r>
        <w:rPr>
          <w:rStyle w:val="1119"/>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07"/>
        <w:ind w:firstLine="420"/>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464185</wp:posOffset>
                </wp:positionH>
                <wp:positionV relativeFrom="paragraph">
                  <wp:posOffset>542925</wp:posOffset>
                </wp:positionV>
                <wp:extent cx="587375" cy="1136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36.5pt;mso-position-horizontal:absolute;mso-position-vertical-relative:text;margin-top:42.8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5527675</wp:posOffset>
                </wp:positionH>
                <wp:positionV relativeFrom="paragraph">
                  <wp:posOffset>257175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435.2pt;mso-position-horizontal:absolute;mso-position-vertical-relative:text;margin-top:20.2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119"/>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119"/>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119"/>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119"/>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19"/>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119"/>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119"/>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119"/>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19"/>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07"/>
        <w:ind w:firstLine="420"/>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107"/>
        <w:ind w:firstLine="420"/>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7"/>
        <w:ind w:right="480" w:firstLine="3255"/>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107"/>
        <w:jc w:val="center"/>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shd w:val="clear" w:color="auto" w:fill="ffffff"/>
        </w:rPr>
      </w:r>
      <w:r/>
    </w:p>
    <w:p>
      <w:pPr>
        <w:pStyle w:val="1107"/>
        <w:spacing w:before="30" w:beforeAutospacing="0" w:after="30" w:afterAutospacing="0" w:line="360" w:lineRule="auto"/>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8.中标、成交供应商提供的《声明函》或有关证明文件将随中标、成交结果同时公告。</w:t>
      </w:r>
      <w:r>
        <w:rPr>
          <w:rFonts w:hint="eastAsia" w:ascii="宋体" w:hAnsi="宋体" w:eastAsia="宋体" w:cs="宋体"/>
          <w:color w:val="000000"/>
          <w:sz w:val="21"/>
          <w:szCs w:val="21"/>
          <w:highlight w:val="none"/>
          <w:shd w:val="clear" w:color="auto" w:fill="ffffff"/>
        </w:rPr>
      </w:r>
      <w:r/>
    </w:p>
    <w:p>
      <w:pPr>
        <w:pStyle w:val="1035"/>
        <w:spacing w:line="360" w:lineRule="auto"/>
        <w:shd w:val="clear" w:color="auto" w:fill="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7"/>
        <w:spacing w:before="0" w:after="0"/>
        <w:shd w:val="clear" w:color="auto" w:fill="auto"/>
        <w:rPr>
          <w:rFonts w:cs="宋体"/>
          <w:b w:val="0"/>
          <w:color w:val="000000"/>
          <w:sz w:val="28"/>
          <w:szCs w:val="28"/>
          <w:highlight w:val="none"/>
          <w:lang w:val="zh-TW"/>
        </w:rPr>
        <w:sectPr>
          <w:footerReference w:type="default" r:id="rId15"/>
          <w:footerReference w:type="first" r:id="rId16"/>
          <w:footnotePr/>
          <w:endnotePr/>
          <w:type w:val="nextPage"/>
          <w:pgSz w:w="11900" w:h="16840" w:orient="portrait"/>
          <w:pgMar w:top="1157" w:right="1253" w:bottom="1157" w:left="1253" w:header="850" w:footer="737" w:gutter="0"/>
          <w:pgNumType w:start="1"/>
          <w:cols w:num="1" w:sep="0" w:space="1701" w:equalWidth="1"/>
          <w:docGrid w:linePitch="360"/>
          <w:titlePg/>
        </w:sectPr>
      </w:pPr>
      <w:r>
        <w:rPr>
          <w:rFonts w:cs="宋体"/>
          <w:b w:val="0"/>
          <w:color w:val="000000"/>
          <w:sz w:val="28"/>
          <w:szCs w:val="28"/>
          <w:highlight w:val="none"/>
          <w:lang w:val="zh-TW"/>
        </w:rPr>
      </w:r>
      <w:r/>
    </w:p>
    <w:p>
      <w:pPr>
        <w:pStyle w:val="1035"/>
        <w:shd w:val="clear" w:color="auto" w:fill="auto"/>
        <w:rPr>
          <w:color w:val="000000"/>
          <w:highlight w:val="none"/>
          <w:lang w:val="zh-TW"/>
        </w:rPr>
      </w:pPr>
      <w:r>
        <w:rPr>
          <w:color w:val="000000"/>
          <w:highlight w:val="none"/>
          <w:lang w:val="zh-TW"/>
        </w:rPr>
      </w:r>
      <w:r/>
    </w:p>
    <w:p>
      <w:pPr>
        <w:pStyle w:val="1035"/>
        <w:spacing w:line="420" w:lineRule="auto"/>
        <w:shd w:val="clear" w:color="auto" w:fill="auto"/>
        <w:rPr>
          <w:rFonts w:hint="eastAsia" w:ascii="宋体" w:hAnsi="宋体" w:eastAsia="宋体"/>
          <w:b/>
          <w:bCs/>
          <w:color w:val="000000"/>
          <w:sz w:val="21"/>
          <w:szCs w:val="21"/>
          <w:highlight w:val="none"/>
          <w:lang w:val="zh-TW"/>
        </w:rPr>
      </w:pPr>
      <w:r/>
      <w:bookmarkStart w:id="54" w:name="_Toc20443"/>
      <w:r>
        <w:rPr>
          <w:rFonts w:hint="eastAsia" w:ascii="宋体" w:hAnsi="宋体" w:eastAsia="宋体"/>
          <w:b/>
          <w:bCs/>
          <w:color w:val="000000"/>
          <w:sz w:val="21"/>
          <w:szCs w:val="21"/>
          <w:highlight w:val="none"/>
          <w:lang w:val="zh-TW"/>
        </w:rPr>
        <w:t xml:space="preserve">附件</w:t>
      </w:r>
      <w:r>
        <w:rPr>
          <w:rFonts w:hint="eastAsia" w:ascii="宋体" w:hAnsi="宋体" w:eastAsia="宋体"/>
          <w:b/>
          <w:bCs/>
          <w:color w:val="000000"/>
          <w:sz w:val="21"/>
          <w:szCs w:val="21"/>
          <w:highlight w:val="none"/>
          <w:lang w:val="en-US"/>
        </w:rPr>
        <w:t xml:space="preserve">七</w:t>
      </w:r>
      <w:r>
        <w:rPr>
          <w:rFonts w:hint="eastAsia" w:ascii="宋体" w:hAnsi="宋体" w:eastAsia="宋体"/>
          <w:b/>
          <w:bCs/>
          <w:color w:val="000000"/>
          <w:sz w:val="21"/>
          <w:szCs w:val="21"/>
          <w:highlight w:val="none"/>
          <w:lang w:val="zh-TW"/>
        </w:rPr>
        <w:t xml:space="preserve">、成本比例声明函（如适用）</w:t>
      </w:r>
      <w:bookmarkEnd w:id="54"/>
      <w:r>
        <w:rPr>
          <w:rFonts w:hint="eastAsia" w:ascii="宋体" w:hAnsi="宋体" w:eastAsia="宋体"/>
          <w:b/>
          <w:bCs/>
          <w:color w:val="000000"/>
          <w:sz w:val="21"/>
          <w:szCs w:val="21"/>
          <w:highlight w:val="none"/>
          <w:lang w:val="zh-TW"/>
        </w:rPr>
        <w:t xml:space="preserve"> </w:t>
      </w:r>
      <w:r>
        <w:rPr>
          <w:rFonts w:hint="eastAsia" w:ascii="宋体" w:hAnsi="宋体" w:eastAsia="宋体"/>
          <w:b/>
          <w:bCs/>
          <w:color w:val="000000"/>
          <w:sz w:val="21"/>
          <w:szCs w:val="21"/>
          <w:highlight w:val="none"/>
          <w:lang w:val="zh-TW"/>
        </w:rPr>
      </w:r>
      <w:r/>
    </w:p>
    <w:p>
      <w:pPr>
        <w:pStyle w:val="1035"/>
        <w:jc w:val="left"/>
        <w:spacing w:line="360" w:lineRule="auto"/>
        <w:shd w:val="clear" w:color="auto" w:fill="auto"/>
        <w:rPr>
          <w:rFonts w:ascii="宋体" w:hAnsi="宋体" w:eastAsia="宋体"/>
          <w:color w:val="000000"/>
          <w:sz w:val="21"/>
          <w:szCs w:val="21"/>
          <w:highlight w:val="none"/>
        </w:rPr>
      </w:pPr>
      <w:r>
        <w:rPr>
          <w:rFonts w:ascii="宋体" w:hAnsi="宋体" w:eastAsia="宋体"/>
          <w:color w:val="000000"/>
          <w:sz w:val="21"/>
          <w:szCs w:val="21"/>
          <w:highlight w:val="none"/>
        </w:rPr>
        <w:t xml:space="preserve">（适用于采购项目或者采购包中含有多种产品时，不提供或者提供声明的比例达不到要求时，不享受价格扣除） </w:t>
      </w:r>
      <w:r>
        <w:rPr>
          <w:rFonts w:ascii="宋体" w:hAnsi="宋体" w:eastAsia="宋体"/>
          <w:color w:val="000000"/>
          <w:sz w:val="21"/>
          <w:szCs w:val="21"/>
          <w:highlight w:val="none"/>
        </w:rPr>
      </w:r>
      <w:r/>
    </w:p>
    <w:p>
      <w:pPr>
        <w:pStyle w:val="1035"/>
        <w:jc w:val="center"/>
        <w:spacing w:line="360" w:lineRule="auto"/>
        <w:shd w:val="clear" w:color="auto" w:fill="auto"/>
        <w:rPr>
          <w:rFonts w:ascii="宋体" w:hAnsi="宋体" w:eastAsia="宋体"/>
          <w:color w:val="000000"/>
          <w:sz w:val="24"/>
          <w:szCs w:val="24"/>
          <w:highlight w:val="none"/>
        </w:rPr>
      </w:pPr>
      <w:r>
        <w:rPr>
          <w:rFonts w:ascii="宋体" w:hAnsi="宋体" w:eastAsia="宋体"/>
          <w:b/>
          <w:bCs/>
          <w:color w:val="000000"/>
          <w:sz w:val="24"/>
          <w:szCs w:val="24"/>
          <w:highlight w:val="none"/>
        </w:rPr>
        <w:t xml:space="preserve">成本比例声明函</w:t>
      </w:r>
      <w:r>
        <w:rPr>
          <w:rFonts w:ascii="宋体" w:hAnsi="宋体" w:eastAsia="宋体"/>
          <w:color w:val="000000"/>
          <w:sz w:val="24"/>
          <w:szCs w:val="24"/>
          <w:highlight w:val="none"/>
        </w:rPr>
      </w:r>
      <w:r/>
    </w:p>
    <w:p>
      <w:pPr>
        <w:pStyle w:val="1035"/>
        <w:ind w:firstLine="420"/>
        <w:jc w:val="left"/>
        <w:spacing w:line="360" w:lineRule="auto"/>
        <w:shd w:val="clear" w:color="auto" w:fill="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5"/>
        <w:ind w:firstLine="420"/>
        <w:jc w:val="left"/>
        <w:spacing w:line="360" w:lineRule="auto"/>
        <w:shd w:val="clear" w:color="auto" w:fill="auto"/>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olor w:val="000000"/>
          <w:sz w:val="21"/>
          <w:szCs w:val="21"/>
          <w:highlight w:val="none"/>
          <w:u w:val="single"/>
          <w:lang w:val="en-US"/>
        </w:rPr>
        <w:t xml:space="preserve">       </w:t>
      </w:r>
      <w:r>
        <w:rPr>
          <w:rFonts w:ascii="宋体" w:hAnsi="宋体" w:eastAsia="宋体"/>
          <w:color w:val="000000"/>
          <w:sz w:val="21"/>
          <w:szCs w:val="21"/>
          <w:highlight w:val="none"/>
        </w:rPr>
        <w:t xml:space="preserve">（填写具体百分比）。 </w:t>
      </w:r>
      <w:r>
        <w:rPr>
          <w:rFonts w:ascii="宋体" w:hAnsi="宋体" w:eastAsia="宋体"/>
          <w:color w:val="000000"/>
          <w:sz w:val="21"/>
          <w:szCs w:val="21"/>
          <w:highlight w:val="none"/>
        </w:rPr>
      </w:r>
      <w:r/>
    </w:p>
    <w:p>
      <w:pPr>
        <w:pStyle w:val="1035"/>
        <w:ind w:firstLine="420"/>
        <w:jc w:val="left"/>
        <w:spacing w:line="360" w:lineRule="auto"/>
        <w:shd w:val="clear" w:color="auto" w:fill="auto"/>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本公司（单位）对上述声明内容的真实性负责。如有虚假，愿承担相应法律责任。 </w:t>
      </w:r>
      <w:r>
        <w:rPr>
          <w:rFonts w:ascii="宋体" w:hAnsi="宋体" w:eastAsia="宋体"/>
          <w:color w:val="000000"/>
          <w:sz w:val="21"/>
          <w:szCs w:val="21"/>
          <w:highlight w:val="none"/>
        </w:rPr>
      </w:r>
      <w:r/>
    </w:p>
    <w:p>
      <w:pPr>
        <w:pStyle w:val="1035"/>
        <w:ind w:left="562" w:firstLine="420"/>
        <w:jc w:val="center"/>
        <w:spacing w:line="360" w:lineRule="auto"/>
        <w:shd w:val="clear" w:color="auto" w:fill="auto"/>
        <w:widowControl/>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5"/>
        <w:ind w:left="562" w:firstLine="420"/>
        <w:jc w:val="center"/>
        <w:spacing w:line="360" w:lineRule="auto"/>
        <w:shd w:val="clear" w:color="auto" w:fill="auto"/>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公司（单位）名称（盖章）：</w:t>
      </w:r>
      <w:r>
        <w:rPr>
          <w:rFonts w:ascii="宋体" w:hAnsi="宋体" w:eastAsia="宋体"/>
          <w:color w:val="000000"/>
          <w:sz w:val="21"/>
          <w:szCs w:val="21"/>
          <w:highlight w:val="none"/>
        </w:rPr>
      </w:r>
      <w:r/>
    </w:p>
    <w:p>
      <w:pPr>
        <w:pStyle w:val="1035"/>
        <w:ind w:left="562" w:firstLine="420"/>
        <w:jc w:val="center"/>
        <w:spacing w:line="360" w:lineRule="auto"/>
        <w:shd w:val="clear" w:color="auto" w:fill="auto"/>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1035"/>
        <w:ind w:left="562" w:firstLine="420"/>
        <w:jc w:val="left"/>
        <w:spacing w:line="360" w:lineRule="auto"/>
        <w:shd w:val="clear" w:color="auto" w:fill="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5"/>
        <w:ind w:left="562" w:firstLine="420"/>
        <w:jc w:val="left"/>
        <w:spacing w:line="360" w:lineRule="auto"/>
        <w:shd w:val="clear" w:color="auto" w:fill="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70"/>
        <w:ind w:firstLine="420"/>
        <w:jc w:val="left"/>
        <w:spacing w:before="229" w:line="360" w:lineRule="auto"/>
        <w:shd w:val="clear" w:color="auto" w:fill="auto"/>
        <w:rPr>
          <w:rFonts w:hint="eastAsia"/>
          <w:color w:val="000000"/>
          <w:sz w:val="21"/>
          <w:szCs w:val="21"/>
          <w:highlight w:val="none"/>
          <w:lang w:val="zh-TW"/>
        </w:rPr>
      </w:pPr>
      <w:r>
        <w:rPr>
          <w:rFonts w:ascii="宋体" w:hAnsi="宋体" w:eastAsia="宋体"/>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hint="eastAsia"/>
          <w:color w:val="000000"/>
          <w:sz w:val="21"/>
          <w:szCs w:val="21"/>
          <w:highlight w:val="none"/>
          <w:lang w:val="zh-TW"/>
        </w:rPr>
      </w:r>
      <w:r/>
    </w:p>
    <w:p>
      <w:pPr>
        <w:pStyle w:val="1035"/>
        <w:jc w:val="center"/>
        <w:spacing w:line="360" w:lineRule="auto"/>
        <w:shd w:val="clear" w:color="auto" w:fil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035"/>
        <w:spacing w:line="360" w:lineRule="auto"/>
        <w:shd w:val="clear" w:color="auto" w:fill="auto"/>
        <w:rPr>
          <w:color w:val="000000"/>
          <w:highlight w:val="none"/>
        </w:rPr>
      </w:pPr>
      <w:r>
        <w:rPr>
          <w:color w:val="000000"/>
          <w:highlight w:val="none"/>
        </w:rPr>
      </w:r>
      <w:r/>
    </w:p>
    <w:p>
      <w:pPr>
        <w:pStyle w:val="1035"/>
        <w:spacing w:line="360" w:lineRule="auto"/>
        <w:shd w:val="clear" w:color="auto" w:fill="auto"/>
        <w:rPr>
          <w:color w:val="000000"/>
          <w:highlight w:val="none"/>
        </w:rPr>
      </w:pPr>
      <w:r>
        <w:rPr>
          <w:color w:val="000000"/>
          <w:highlight w:val="none"/>
        </w:rPr>
      </w:r>
      <w:r/>
    </w:p>
    <w:p>
      <w:pPr>
        <w:pStyle w:val="1035"/>
        <w:jc w:val="center"/>
        <w:spacing w:line="360" w:lineRule="auto"/>
        <w:shd w:val="clear" w:color="auto" w:fill="auto"/>
        <w:rPr>
          <w:rFonts w:hint="eastAsia" w:ascii="黑体" w:hAnsi="黑体" w:eastAsia="黑体" w:cs="黑体"/>
          <w:color w:val="000000"/>
          <w:sz w:val="32"/>
          <w:szCs w:val="32"/>
          <w:highlight w:val="none"/>
          <w:lang w:val="zh-TW"/>
        </w:rPr>
      </w:pPr>
      <w:r>
        <w:rPr>
          <w:rFonts w:hint="eastAsia" w:ascii="黑体" w:hAnsi="黑体" w:eastAsia="黑体" w:cs="黑体"/>
          <w:color w:val="000000"/>
          <w:sz w:val="32"/>
          <w:szCs w:val="32"/>
          <w:highlight w:val="none"/>
          <w:lang w:val="zh-TW"/>
        </w:rPr>
      </w:r>
      <w:r/>
    </w:p>
    <w:p>
      <w:pPr>
        <w:pStyle w:val="1035"/>
        <w:spacing w:line="460" w:lineRule="exact"/>
        <w:shd w:val="clear" w:color="auto" w:fill="auto"/>
        <w:rPr>
          <w:b/>
          <w:bCs/>
          <w:color w:val="000000"/>
          <w:highlight w:val="none"/>
        </w:rPr>
      </w:pPr>
      <w:r>
        <w:rPr>
          <w:b/>
          <w:bCs/>
          <w:color w:val="000000"/>
          <w:highlight w:val="none"/>
        </w:rPr>
      </w:r>
      <w:r/>
    </w:p>
    <w:p>
      <w:pPr>
        <w:pStyle w:val="1035"/>
        <w:spacing w:line="360" w:lineRule="auto"/>
        <w:shd w:val="clear" w:color="auto" w:fill="auto"/>
        <w:rPr>
          <w:b/>
          <w:bCs/>
          <w:color w:val="000000"/>
          <w:highlight w:val="none"/>
        </w:rPr>
      </w:pPr>
      <w:r>
        <w:rPr>
          <w:b/>
          <w:bCs/>
          <w:color w:val="000000"/>
          <w:highlight w:val="none"/>
        </w:rPr>
      </w:r>
      <w:r/>
    </w:p>
    <w:p>
      <w:pPr>
        <w:pStyle w:val="1439"/>
        <w:ind w:firstLine="0"/>
        <w:shd w:val="clear" w:color="auto" w:fill="auto"/>
        <w:rPr>
          <w:color w:val="000000"/>
          <w:highlight w:val="none"/>
        </w:rPr>
      </w:pPr>
      <w:r>
        <w:rPr>
          <w:color w:val="000000"/>
          <w:highlight w:val="none"/>
        </w:rPr>
      </w:r>
      <w:r/>
    </w:p>
    <w:p>
      <w:pPr>
        <w:pStyle w:val="1035"/>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5"/>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5"/>
        <w:jc w:val="center"/>
        <w:spacing w:line="360" w:lineRule="auto"/>
        <w:shd w:val="clear" w:color="auto" w:fill="auto"/>
        <w:rPr>
          <w:rFonts w:hint="eastAsia" w:ascii="黑体" w:hAnsi="宋体" w:eastAsia="黑体"/>
          <w:color w:val="000000"/>
          <w:sz w:val="32"/>
          <w:szCs w:val="32"/>
          <w:highlight w:val="none"/>
        </w:rPr>
        <w:outlineLvl w:val="0"/>
      </w:pPr>
      <w:r>
        <w:rPr>
          <w:rFonts w:hint="eastAsia" w:ascii="宋体" w:hAnsi="宋体" w:eastAsia="宋体"/>
          <w:color w:val="000000"/>
          <w:sz w:val="24"/>
          <w:szCs w:val="24"/>
          <w:highlight w:val="none"/>
        </w:rPr>
        <w:br w:type="page" w:clear="all"/>
      </w:r>
      <w:bookmarkStart w:id="55" w:name="_Toc11648"/>
      <w:r>
        <w:rPr>
          <w:rFonts w:hint="eastAsia" w:ascii="黑体" w:hAnsi="宋体" w:eastAsia="黑体"/>
          <w:color w:val="000000"/>
          <w:sz w:val="32"/>
          <w:szCs w:val="32"/>
          <w:highlight w:val="none"/>
        </w:rPr>
        <w:t xml:space="preserve">第八章  投标文件格式</w:t>
      </w:r>
      <w:bookmarkEnd w:id="55"/>
      <w:r>
        <w:rPr>
          <w:rFonts w:hint="eastAsia" w:ascii="黑体" w:hAnsi="宋体" w:eastAsia="黑体"/>
          <w:color w:val="000000"/>
          <w:sz w:val="32"/>
          <w:szCs w:val="32"/>
          <w:highlight w:val="none"/>
        </w:rPr>
      </w:r>
      <w:r/>
    </w:p>
    <w:p>
      <w:pPr>
        <w:pStyle w:val="1035"/>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rPr>
          <w:rFonts w:hint="eastAsia" w:ascii="宋体" w:hAnsi="宋体" w:eastAsia="宋体"/>
          <w:b/>
          <w:color w:val="000000"/>
          <w:sz w:val="21"/>
          <w:szCs w:val="21"/>
          <w:highlight w:val="none"/>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39"/>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rPr>
                <w:rFonts w:hint="eastAsia" w:ascii="宋体" w:hAnsi="宋体" w:eastAsia="宋体"/>
                <w:b/>
                <w:bCs/>
                <w:color w:val="000000"/>
                <w:sz w:val="21"/>
                <w:szCs w:val="21"/>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在投标文件中的页码位置</w:t>
            </w:r>
            <w:r>
              <w:rPr>
                <w:rFonts w:hint="eastAsia" w:ascii="宋体" w:hAnsi="宋体" w:eastAsia="宋体"/>
                <w:b/>
                <w:color w:val="000000"/>
                <w:sz w:val="21"/>
                <w:szCs w:val="21"/>
                <w:highlight w:val="none"/>
              </w:rPr>
            </w:r>
            <w:r/>
          </w:p>
        </w:tc>
      </w:tr>
      <w:tr>
        <w:trPr>
          <w:trHeight w:val="446"/>
        </w:trPr>
        <w:tc>
          <w:tcPr>
            <w:tcW w:w="5670" w:type="dxa"/>
            <w:vAlign w:val="center"/>
            <w:textDirection w:val="lrTb"/>
            <w:noWrap w:val="false"/>
          </w:tcPr>
          <w:p>
            <w:pPr>
              <w:pStyle w:val="1239"/>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39"/>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39"/>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39"/>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39"/>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39"/>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35"/>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35"/>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bCs/>
          <w:color w:val="000000"/>
          <w:sz w:val="32"/>
          <w:szCs w:val="32"/>
          <w:highlight w:val="none"/>
        </w:rPr>
        <w:t xml:space="preserve">南京市食品药品监督检验院食品药品检测设备采购一批</w:t>
      </w:r>
      <w:r>
        <w:rPr>
          <w:rFonts w:hint="eastAsia"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商务部分</w:t>
      </w:r>
      <w:r>
        <w:rPr>
          <w:rFonts w:ascii="黑体" w:hAnsi="宋体" w:eastAsia="黑体"/>
          <w:color w:val="000000"/>
          <w:sz w:val="72"/>
          <w:szCs w:val="72"/>
          <w:highlight w:val="none"/>
        </w:rPr>
      </w:r>
      <w:r/>
    </w:p>
    <w:p>
      <w:pPr>
        <w:pStyle w:val="1035"/>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bookmarkStart w:id="56" w:name="OLE_LINK25"/>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bookmarkStart w:id="57" w:name="OLE_LINK22"/>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bookmarkEnd w:id="57"/>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color w:val="000000"/>
          <w:sz w:val="32"/>
          <w:szCs w:val="32"/>
          <w:highlight w:val="none"/>
          <w:lang w:val="en-US"/>
        </w:rPr>
      </w:pPr>
      <w:r>
        <w:rPr>
          <w:rFonts w:hint="eastAsia" w:ascii="黑体" w:hAnsi="宋体" w:eastAsia="黑体"/>
          <w:color w:val="000000"/>
          <w:sz w:val="32"/>
          <w:szCs w:val="32"/>
          <w:highlight w:val="none"/>
          <w:lang w:val="en-US"/>
        </w:rPr>
        <w:t xml:space="preserve">分 包 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分包【   】    </w:t>
      </w:r>
      <w:r>
        <w:rPr>
          <w:rFonts w:hint="eastAsia" w:ascii="黑体" w:hAnsi="宋体" w:eastAsia="黑体"/>
          <w:color w:val="000000"/>
          <w:sz w:val="32"/>
          <w:szCs w:val="32"/>
          <w:highlight w:val="none"/>
          <w:u w:val="single"/>
        </w:rPr>
        <w:t xml:space="preserve"> </w:t>
      </w:r>
      <w:r>
        <w:rPr>
          <w:rFonts w:ascii="黑体" w:hAnsi="宋体" w:eastAsia="黑体"/>
          <w:color w:val="000000"/>
          <w:sz w:val="32"/>
          <w:szCs w:val="32"/>
          <w:highlight w:val="none"/>
          <w:lang w:val="en-US"/>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rPr>
        <w:t xml:space="preserve">加盖电子</w:t>
      </w:r>
      <w:r>
        <w:rPr>
          <w:rFonts w:hint="eastAsia" w:ascii="黑体" w:hAnsi="宋体" w:eastAsia="黑体"/>
          <w:color w:val="000000"/>
          <w:sz w:val="32"/>
          <w:szCs w:val="32"/>
          <w:highlight w:val="none"/>
        </w:rPr>
        <w:t xml:space="preserve">公章）</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仿宋_GB2312" w:eastAsia="仿宋_GB2312"/>
          <w:color w:val="000000"/>
          <w:sz w:val="24"/>
          <w:highlight w:val="none"/>
        </w:rPr>
        <w:br w:type="page" w:clear="all"/>
      </w:r>
      <w:bookmarkEnd w:id="56"/>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一、投标函（投标申请及声明）……………………………………………………………………………X</w:t>
      </w:r>
      <w:r>
        <w:rPr>
          <w:rFonts w:hint="eastAsia" w:ascii="宋体" w:hAnsi="宋体" w:eastAsia="宋体"/>
          <w:color w:val="000000"/>
          <w:sz w:val="21"/>
          <w:szCs w:val="21"/>
          <w:highlight w:val="none"/>
        </w:rPr>
      </w:r>
      <w:r/>
    </w:p>
    <w:p>
      <w:pPr>
        <w:pStyle w:val="1035"/>
        <w:jc w:val="left"/>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二、法定代表人授权委托书及委托代理人的身份证明文件的复印件……………………………………X</w:t>
      </w:r>
      <w:r>
        <w:rPr>
          <w:rFonts w:hint="eastAsia" w:ascii="宋体" w:hAnsi="宋体" w:eastAsia="宋体"/>
          <w:color w:val="000000"/>
          <w:sz w:val="21"/>
          <w:szCs w:val="21"/>
          <w:highlight w:val="none"/>
        </w:rPr>
      </w:r>
      <w:r/>
    </w:p>
    <w:p>
      <w:pPr>
        <w:pStyle w:val="1035"/>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三、《南京市政府采购供应商信用记录表暨信用承诺书》………………………………………………X</w:t>
      </w:r>
      <w:r>
        <w:rPr>
          <w:rFonts w:hint="eastAsia" w:ascii="宋体" w:hAnsi="宋体" w:eastAsia="宋体"/>
          <w:color w:val="000000"/>
          <w:sz w:val="21"/>
          <w:szCs w:val="21"/>
          <w:highlight w:val="none"/>
          <w:lang w:val="en-US"/>
        </w:rPr>
      </w:r>
      <w:r/>
    </w:p>
    <w:p>
      <w:pPr>
        <w:pStyle w:val="1035"/>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四、“不存在与参加本项目的其他供应商单位负责人为同一人或者存在直接控股、管理关系”的承诺函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lang w:val="en-US"/>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五、第一章招标公告中2.1《中华人民共和国政府采购法》第二十二条规定的资格条件证明文件…X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六、第一章招标公告中2.2落实政府采购政策需满足的资格要求的证明文件…………………………X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七、第一章招标公告中2.3采购人根据采购项目的特殊要求规定的特定条件的证明文件……………X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八、供应商认为需要提供的其他资格证明文件和商务资料………………………………………………X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九、《商务条款偏离表》格式………………………………………………………………………………X</w:t>
      </w:r>
      <w:r>
        <w:rPr>
          <w:rFonts w:hint="eastAsia" w:ascii="宋体" w:hAnsi="宋体" w:eastAsia="宋体"/>
          <w:color w:val="000000"/>
          <w:sz w:val="21"/>
          <w:szCs w:val="21"/>
          <w:highlight w:val="none"/>
        </w:rPr>
      </w:r>
      <w:r/>
    </w:p>
    <w:p>
      <w:pPr>
        <w:pStyle w:val="1035"/>
        <w:spacing w:before="100" w:beforeAutospacing="1" w:after="100" w:afterAutospacing="1" w:line="600" w:lineRule="auto"/>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35"/>
        <w:spacing w:before="100" w:beforeAutospacing="1" w:after="100" w:afterAutospacing="1" w:line="600" w:lineRule="auto"/>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35"/>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35"/>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一、投标函（投标申请及声明）</w:t>
      </w:r>
      <w:r>
        <w:rPr>
          <w:rFonts w:hint="eastAsia" w:ascii="黑体" w:hAnsi="黑体" w:eastAsia="黑体" w:cs="黑体"/>
          <w:color w:val="000000"/>
          <w:sz w:val="24"/>
          <w:szCs w:val="24"/>
          <w:highlight w:val="none"/>
        </w:rPr>
      </w:r>
      <w:r/>
    </w:p>
    <w:p>
      <w:pPr>
        <w:pStyle w:val="1035"/>
        <w:spacing w:line="420" w:lineRule="auto"/>
        <w:shd w:val="clear" w:color="auto" w:fill="auto"/>
        <w:widowControl/>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南京市食品药品监督检验院</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（项目编号）招标公告，正式授权下述签字人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（姓名和职务）代表供应商</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（供应商名称），提交投标文件。</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据此函，签字人兹宣布声明和承诺如下：</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bCs/>
          <w:color w:val="000000"/>
          <w:sz w:val="21"/>
          <w:szCs w:val="21"/>
          <w:highlight w:val="none"/>
        </w:rPr>
        <w:t xml:space="preserve">我们的资格条件完全符合政府采购法和本次招标要求</w:t>
      </w:r>
      <w:r>
        <w:rPr>
          <w:rFonts w:hint="eastAsia" w:ascii="宋体" w:hAnsi="宋体" w:eastAsia="宋体"/>
          <w:color w:val="000000"/>
          <w:sz w:val="21"/>
          <w:szCs w:val="21"/>
          <w:highlight w:val="none"/>
        </w:rPr>
        <w:t xml:space="preserve">，我们同意并向贵方提供了与投标有关的所有证据和资料。</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2、按招标要求，</w:t>
      </w:r>
      <w:r>
        <w:rPr>
          <w:rFonts w:hint="eastAsia" w:ascii="宋体" w:hAnsi="宋体" w:eastAsia="宋体"/>
          <w:color w:val="000000"/>
          <w:sz w:val="21"/>
          <w:szCs w:val="21"/>
          <w:highlight w:val="none"/>
          <w:lang w:val="en-US"/>
        </w:rPr>
        <w:t xml:space="preserve">我们所投分包为包</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投标总报价为（大写）</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元人民币。</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（根据单位实际情况填写“是”或“不是”）外商投资企业。</w:t>
      </w:r>
      <w:r>
        <w:rPr>
          <w:rFonts w:hint="eastAsia" w:ascii="宋体" w:hAnsi="宋体" w:eastAsia="宋体"/>
          <w:color w:val="000000"/>
          <w:sz w:val="21"/>
          <w:szCs w:val="21"/>
          <w:highlight w:val="none"/>
          <w:lang w:val="en-US"/>
        </w:rPr>
      </w:r>
      <w:r/>
    </w:p>
    <w:p>
      <w:pPr>
        <w:pStyle w:val="1035"/>
        <w:ind w:firstLine="420"/>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、如本项目</w:t>
      </w:r>
      <w:r>
        <w:rPr>
          <w:rFonts w:hint="eastAsia" w:ascii="宋体" w:hAnsi="宋体" w:eastAsia="宋体"/>
          <w:bCs/>
          <w:color w:val="000000"/>
          <w:sz w:val="21"/>
          <w:szCs w:val="21"/>
          <w:highlight w:val="none"/>
        </w:rPr>
        <w:t xml:space="preserve">拟采购的产品属于《节能产品政府采购品目清单》所列政府强制采购产品的</w:t>
      </w:r>
      <w:r>
        <w:rPr>
          <w:rFonts w:hint="eastAsia" w:ascii="宋体" w:hAnsi="宋体" w:eastAsia="宋体"/>
          <w:color w:val="000000"/>
          <w:sz w:val="21"/>
          <w:szCs w:val="21"/>
          <w:highlight w:val="none"/>
        </w:rPr>
        <w:t xml:space="preserve">，我们承诺我们所投设备均</w:t>
      </w:r>
      <w:r>
        <w:rPr>
          <w:rFonts w:hint="eastAsia" w:ascii="宋体" w:hAnsi="宋体" w:eastAsia="宋体"/>
          <w:bCs/>
          <w:color w:val="000000"/>
          <w:sz w:val="21"/>
          <w:szCs w:val="21"/>
          <w:highlight w:val="none"/>
        </w:rPr>
        <w:t xml:space="preserve">为列入《节能产品政府采购品目清单》的政府强制采购产品。</w:t>
      </w:r>
      <w:r>
        <w:rPr>
          <w:rFonts w:hint="eastAsia" w:ascii="宋体" w:hAnsi="宋体" w:eastAsia="宋体"/>
          <w:color w:val="000000"/>
          <w:sz w:val="21"/>
          <w:szCs w:val="21"/>
          <w:highlight w:val="none"/>
          <w:lang w:val="en-US"/>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、本项目通过验收并交付时间为：满足招标文件要求。</w:t>
      </w:r>
      <w:r>
        <w:rPr>
          <w:rFonts w:hint="eastAsia" w:ascii="宋体" w:hAnsi="宋体" w:eastAsia="宋体"/>
          <w:color w:val="000000"/>
          <w:sz w:val="21"/>
          <w:szCs w:val="21"/>
          <w:highlight w:val="none"/>
        </w:rPr>
      </w:r>
      <w:r/>
    </w:p>
    <w:p>
      <w:pPr>
        <w:pStyle w:val="1035"/>
        <w:ind w:firstLine="420"/>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、我们已详细审核全部招标文件及其有效补充文件，我们放弃对招标文件任何误解的权利，提交投标文件后，</w:t>
      </w:r>
      <w:r>
        <w:rPr>
          <w:rFonts w:hint="eastAsia" w:ascii="宋体" w:hAnsi="宋体" w:eastAsia="宋体"/>
          <w:b/>
          <w:color w:val="000000"/>
          <w:sz w:val="21"/>
          <w:szCs w:val="21"/>
          <w:highlight w:val="none"/>
        </w:rPr>
        <w:t xml:space="preserve">不对招标文件本身提出质疑。</w:t>
      </w:r>
      <w:r>
        <w:rPr>
          <w:rFonts w:hint="eastAsia" w:ascii="宋体" w:hAnsi="宋体" w:eastAsia="宋体"/>
          <w:b/>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、一旦我方中标，我方将根据招标文件的规定严格履行合同，并保证于承诺的时间完成项目的启动、实施等工作，及时交付采购人验收、使用。</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、与本投标有关的正式联系方式为：</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话：</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35"/>
        <w:ind w:firstLine="420"/>
        <w:spacing w:line="42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35"/>
        <w:ind w:firstLine="420"/>
        <w:jc w:val="left"/>
        <w:spacing w:line="420" w:lineRule="auto"/>
        <w:shd w:val="clear" w:color="auto" w:fill="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5"/>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二、法定代表人授权委托书及委托代理人的身份证明文件的复印件</w:t>
      </w:r>
      <w:r>
        <w:rPr>
          <w:rFonts w:hint="eastAsia" w:ascii="黑体" w:hAnsi="黑体" w:eastAsia="黑体" w:cs="黑体"/>
          <w:color w:val="000000"/>
          <w:sz w:val="24"/>
          <w:szCs w:val="24"/>
          <w:highlight w:val="none"/>
        </w:rPr>
      </w:r>
      <w:r/>
    </w:p>
    <w:p>
      <w:pPr>
        <w:pStyle w:val="1035"/>
        <w:ind w:firstLine="7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rPr>
          <w:rFonts w:hint="eastAsia" w:ascii="宋体" w:hAnsi="宋体" w:eastAsia="宋体"/>
          <w:b/>
          <w:bCs/>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南京市食品药品监督检验院</w:t>
      </w:r>
      <w:r>
        <w:rPr>
          <w:rFonts w:hint="eastAsia" w:ascii="宋体" w:hAnsi="宋体" w:eastAsia="宋体"/>
          <w:color w:val="000000"/>
          <w:sz w:val="21"/>
          <w:szCs w:val="21"/>
          <w:highlight w:val="none"/>
          <w:lang w:val="en-US"/>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（法定代表人姓名、职务）代表本公司授权</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（项目编号）投标，以本公司名义处理一切与之有关的事务。</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日加盖电子公章生效，特此声明。</w:t>
      </w: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供应商</w:t>
      </w:r>
      <w:r>
        <w:rPr>
          <w:rFonts w:hint="eastAsia" w:ascii="宋体" w:hAnsi="宋体" w:eastAsia="宋体"/>
          <w:color w:val="000000"/>
          <w:sz w:val="21"/>
          <w:szCs w:val="21"/>
          <w:highlight w:val="none"/>
        </w:rPr>
        <w:t xml:space="preserve">（加盖电子公章）：</w:t>
      </w: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法定代表人身份证的复印件：</w:t>
      </w: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委托代理人的身份证明文件的复印件：</w:t>
      </w:r>
      <w:r>
        <w:rPr>
          <w:rFonts w:hint="eastAsia" w:ascii="宋体" w:hAnsi="宋体" w:eastAsia="宋体"/>
          <w:b/>
          <w:bCs/>
          <w:color w:val="000000"/>
          <w:sz w:val="21"/>
          <w:szCs w:val="21"/>
          <w:highlight w:val="none"/>
        </w:rPr>
      </w:r>
      <w:r/>
    </w:p>
    <w:p>
      <w:pPr>
        <w:pStyle w:val="1035"/>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center"/>
        <w:spacing w:line="420" w:lineRule="auto"/>
        <w:shd w:val="clear" w:color="auto" w:fill="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三、《南京市政府采购供应商信用记录表暨信用承诺书》</w:t>
      </w:r>
      <w:r>
        <w:rPr>
          <w:rFonts w:hint="eastAsia" w:ascii="黑体" w:hAnsi="黑体" w:eastAsia="黑体" w:cs="黑体"/>
          <w:color w:val="000000"/>
          <w:sz w:val="24"/>
          <w:szCs w:val="24"/>
          <w:highlight w:val="none"/>
        </w:rPr>
      </w:r>
      <w:r/>
    </w:p>
    <w:p>
      <w:pPr>
        <w:pStyle w:val="1035"/>
        <w:ind w:right="-159"/>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right="-159"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供应商参加本项目政府采购活动时，无论是新用户注册或已注册成功的，均应在招标公告发布之日起至投标截止时间前，登录“信用南京”或“</w:t>
      </w:r>
      <w:r>
        <w:rPr>
          <w:rFonts w:hint="eastAsia" w:ascii="宋体" w:hAnsi="宋体" w:eastAsia="宋体"/>
          <w:color w:val="000000"/>
          <w:sz w:val="21"/>
          <w:szCs w:val="21"/>
          <w:highlight w:val="none"/>
          <w:lang w:val="en-US"/>
        </w:rPr>
        <w:t xml:space="preserve">南京公共采购信息网</w:t>
      </w:r>
      <w:r>
        <w:rPr>
          <w:rFonts w:hint="eastAsia" w:ascii="宋体" w:hAnsi="宋体" w:eastAsia="宋体"/>
          <w:color w:val="000000"/>
          <w:sz w:val="21"/>
          <w:szCs w:val="21"/>
          <w:highlight w:val="none"/>
        </w:rPr>
        <w:t xml:space="preserve">”在线打印其《南京市政府采购供应商信用记录表暨信用承诺书》，经法定代表人签名盖章后作为投标文件的有效组成部分。《南京市政府采购供应商信用记录表暨信用承诺书》是其参加本次政府采购活动的必备材料。</w:t>
      </w:r>
      <w:r>
        <w:rPr>
          <w:rFonts w:hint="eastAsia" w:ascii="宋体" w:hAnsi="宋体" w:eastAsia="宋体"/>
          <w:color w:val="000000"/>
          <w:sz w:val="21"/>
          <w:szCs w:val="21"/>
          <w:highlight w:val="none"/>
        </w:rPr>
      </w:r>
      <w:r/>
    </w:p>
    <w:p>
      <w:pPr>
        <w:pStyle w:val="1035"/>
        <w:ind w:right="-159"/>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35"/>
        <w:ind w:firstLine="422"/>
        <w:spacing w:before="259" w:line="204" w:lineRule="auto"/>
        <w:shd w:val="clear" w:color="auto" w:fill="auto"/>
        <w:rPr>
          <w:rFonts w:ascii="黑体" w:hAnsi="黑体" w:eastAsia="黑体" w:cs="黑体"/>
          <w:color w:val="000000"/>
          <w:spacing w:val="-3"/>
          <w:sz w:val="36"/>
          <w:szCs w:val="36"/>
          <w:highlight w:val="none"/>
        </w:rPr>
      </w:pPr>
      <w:r>
        <w:rPr>
          <w:rFonts w:hint="eastAsia" w:ascii="宋体" w:hAnsi="宋体" w:eastAsia="宋体"/>
          <w:b/>
          <w:color w:val="000000"/>
          <w:sz w:val="21"/>
          <w:szCs w:val="21"/>
          <w:highlight w:val="none"/>
          <w:lang w:val="en-US"/>
        </w:rPr>
        <w:t xml:space="preserve">2、信用承诺书格式</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以下为参考格式，供应商须通过网站在线打印后签名盖章）</w:t>
      </w:r>
      <w:r>
        <w:rPr>
          <w:rFonts w:ascii="黑体" w:hAnsi="黑体" w:eastAsia="黑体" w:cs="黑体"/>
          <w:color w:val="000000"/>
          <w:spacing w:val="-3"/>
          <w:sz w:val="36"/>
          <w:szCs w:val="36"/>
          <w:highlight w:val="none"/>
        </w:rPr>
      </w:r>
      <w:r/>
    </w:p>
    <w:p>
      <w:pPr>
        <w:pStyle w:val="1035"/>
        <w:jc w:val="center"/>
        <w:spacing w:before="259" w:line="204" w:lineRule="auto"/>
        <w:shd w:val="clear" w:color="auto" w:fill="auto"/>
        <w:rPr>
          <w:rFonts w:ascii="黑体" w:hAnsi="黑体" w:eastAsia="黑体" w:cs="黑体"/>
          <w:color w:val="000000"/>
          <w:spacing w:val="-3"/>
          <w:sz w:val="24"/>
          <w:szCs w:val="24"/>
          <w:highlight w:val="none"/>
        </w:rPr>
      </w:pPr>
      <w:r>
        <w:rPr>
          <w:rFonts w:ascii="黑体" w:hAnsi="黑体" w:eastAsia="黑体" w:cs="黑体"/>
          <w:color w:val="000000"/>
          <w:spacing w:val="-3"/>
          <w:sz w:val="24"/>
          <w:szCs w:val="24"/>
          <w:highlight w:val="none"/>
        </w:rPr>
      </w:r>
      <w:r/>
    </w:p>
    <w:p>
      <w:pPr>
        <w:pStyle w:val="1035"/>
        <w:jc w:val="center"/>
        <w:spacing w:before="259" w:line="204" w:lineRule="auto"/>
        <w:shd w:val="clear" w:color="auto" w:fill="auto"/>
        <w:rPr>
          <w:rFonts w:ascii="黑体" w:hAnsi="黑体" w:eastAsia="黑体" w:cs="黑体"/>
          <w:color w:val="000000"/>
          <w:sz w:val="24"/>
          <w:szCs w:val="24"/>
          <w:highlight w:val="none"/>
        </w:rPr>
      </w:pPr>
      <w:r>
        <w:rPr>
          <w:rFonts w:ascii="黑体" w:hAnsi="黑体" w:eastAsia="黑体" w:cs="黑体"/>
          <w:color w:val="000000"/>
          <w:spacing w:val="-3"/>
          <w:sz w:val="24"/>
          <w:szCs w:val="24"/>
          <w:highlight w:val="none"/>
        </w:rPr>
        <w:t xml:space="preserve">南京市政府采购供应商信用记录表暨信用承诺书</w:t>
      </w:r>
      <w:r>
        <w:rPr>
          <w:rFonts w:ascii="黑体" w:hAnsi="黑体" w:eastAsia="黑体" w:cs="黑体"/>
          <w:color w:val="000000"/>
          <w:sz w:val="24"/>
          <w:szCs w:val="24"/>
          <w:highlight w:val="none"/>
        </w:rPr>
      </w:r>
      <w:r/>
    </w:p>
    <w:p>
      <w:pPr>
        <w:pStyle w:val="1035"/>
        <w:shd w:val="clear" w:color="auto" w:fill="auto"/>
        <w:rPr>
          <w:rFonts w:ascii="Arial"/>
          <w:color w:val="000000"/>
          <w:sz w:val="24"/>
          <w:szCs w:val="24"/>
          <w:highlight w:val="none"/>
        </w:rPr>
      </w:pPr>
      <w:r>
        <w:rPr>
          <w:rFonts w:ascii="Arial"/>
          <w:color w:val="000000"/>
          <w:sz w:val="24"/>
          <w:szCs w:val="24"/>
          <w:highlight w:val="none"/>
        </w:rPr>
      </w:r>
      <w:r/>
    </w:p>
    <w:p>
      <w:pPr>
        <w:pStyle w:val="1035"/>
        <w:jc w:val="right"/>
        <w:spacing w:before="78" w:line="204" w:lineRule="auto"/>
        <w:shd w:val="clear" w:color="auto" w:fill="auto"/>
        <w:rPr>
          <w:rFonts w:hint="eastAsia" w:ascii="宋体" w:hAnsi="宋体" w:eastAsia="宋体"/>
          <w:b/>
          <w:bCs/>
          <w:color w:val="000000"/>
          <w:sz w:val="24"/>
          <w:szCs w:val="24"/>
          <w:highlight w:val="none"/>
          <w:lang w:val="en-US"/>
        </w:rPr>
      </w:pPr>
      <w:r>
        <w:rPr>
          <w:rFonts w:hint="eastAsia" w:ascii="楷体" w:hAnsi="楷体" w:eastAsia="楷体" w:cs="楷体"/>
          <w:color w:val="000000"/>
          <w:spacing w:val="-11"/>
          <w:sz w:val="24"/>
          <w:szCs w:val="24"/>
          <w:highlight w:val="none"/>
        </w:rPr>
        <w:t xml:space="preserve">20</w:t>
      </w:r>
      <w:r>
        <w:rPr>
          <w:rFonts w:hint="eastAsia" w:ascii="楷体" w:hAnsi="楷体" w:eastAsia="楷体" w:cs="楷体"/>
          <w:color w:val="000000"/>
          <w:spacing w:val="19"/>
          <w:sz w:val="24"/>
          <w:szCs w:val="24"/>
          <w:highlight w:val="none"/>
        </w:rPr>
        <w:t xml:space="preserve">  </w:t>
      </w:r>
      <w:r>
        <w:rPr>
          <w:rFonts w:hint="eastAsia" w:ascii="楷体" w:hAnsi="楷体" w:eastAsia="楷体" w:cs="楷体"/>
          <w:color w:val="000000"/>
          <w:spacing w:val="-11"/>
          <w:sz w:val="24"/>
          <w:szCs w:val="24"/>
          <w:highlight w:val="none"/>
        </w:rPr>
        <w:t xml:space="preserve">年</w:t>
      </w:r>
      <w:r>
        <w:rPr>
          <w:rFonts w:hint="eastAsia" w:ascii="楷体" w:hAnsi="楷体" w:eastAsia="楷体" w:cs="楷体"/>
          <w:color w:val="000000"/>
          <w:spacing w:val="44"/>
          <w:sz w:val="24"/>
          <w:szCs w:val="24"/>
          <w:highlight w:val="none"/>
        </w:rPr>
        <w:t xml:space="preserve">  </w:t>
      </w:r>
      <w:r>
        <w:rPr>
          <w:rFonts w:hint="eastAsia" w:ascii="楷体" w:hAnsi="楷体" w:eastAsia="楷体" w:cs="楷体"/>
          <w:color w:val="000000"/>
          <w:spacing w:val="-11"/>
          <w:sz w:val="24"/>
          <w:szCs w:val="24"/>
          <w:highlight w:val="none"/>
        </w:rPr>
        <w:t xml:space="preserve">月</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1"/>
          <w:sz w:val="24"/>
          <w:szCs w:val="24"/>
          <w:highlight w:val="none"/>
        </w:rPr>
        <w:t xml:space="preserve">日</w:t>
      </w:r>
      <w:r>
        <w:rPr>
          <w:rFonts w:hint="eastAsia" w:ascii="宋体" w:hAnsi="宋体" w:eastAsia="宋体"/>
          <w:b/>
          <w:bCs/>
          <w:color w:val="000000"/>
          <w:sz w:val="24"/>
          <w:szCs w:val="24"/>
          <w:highlight w:val="none"/>
          <w:lang w:val="en-US"/>
        </w:rPr>
      </w:r>
      <w:r/>
    </w:p>
    <w:tbl>
      <w:tblPr>
        <w:tblW w:w="9678"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trHeight w:val="750"/>
        </w:trPr>
        <w:tc>
          <w:tcPr>
            <w:tcW w:w="2516" w:type="dxa"/>
            <w:vAlign w:val="center"/>
            <w:textDirection w:val="lrTb"/>
            <w:noWrap w:val="false"/>
          </w:tcPr>
          <w:p>
            <w:pPr>
              <w:pStyle w:val="1035"/>
              <w:ind w:firstLine="110"/>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单位名称</w:t>
            </w:r>
            <w:r>
              <w:rPr>
                <w:rFonts w:hint="eastAsia" w:ascii="楷体" w:hAnsi="楷体" w:eastAsia="楷体" w:cs="楷体"/>
                <w:color w:val="000000"/>
                <w:sz w:val="24"/>
                <w:szCs w:val="24"/>
                <w:highlight w:val="none"/>
              </w:rPr>
            </w:r>
            <w:r/>
          </w:p>
        </w:tc>
        <w:tc>
          <w:tcPr>
            <w:tcW w:w="1850"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pStyle w:val="1035"/>
              <w:ind w:firstLine="124"/>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统一社会信用代码</w:t>
            </w:r>
            <w:r>
              <w:rPr>
                <w:rFonts w:hint="eastAsia" w:ascii="楷体" w:hAnsi="楷体" w:eastAsia="楷体" w:cs="楷体"/>
                <w:color w:val="000000"/>
                <w:sz w:val="24"/>
                <w:szCs w:val="24"/>
                <w:highlight w:val="none"/>
              </w:rPr>
            </w:r>
            <w:r/>
          </w:p>
        </w:tc>
        <w:tc>
          <w:tcPr>
            <w:tcW w:w="2866"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686"/>
        </w:trPr>
        <w:tc>
          <w:tcPr>
            <w:tcW w:w="2516" w:type="dxa"/>
            <w:vAlign w:val="center"/>
            <w:textDirection w:val="lrTb"/>
            <w:noWrap w:val="false"/>
          </w:tcPr>
          <w:p>
            <w:pPr>
              <w:pStyle w:val="1035"/>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法定代表人</w:t>
            </w:r>
            <w:r>
              <w:rPr>
                <w:rFonts w:hint="eastAsia" w:ascii="楷体" w:hAnsi="楷体" w:eastAsia="楷体" w:cs="楷体"/>
                <w:color w:val="000000"/>
                <w:sz w:val="24"/>
                <w:szCs w:val="24"/>
                <w:highlight w:val="none"/>
              </w:rPr>
            </w:r>
            <w:r/>
          </w:p>
        </w:tc>
        <w:tc>
          <w:tcPr>
            <w:tcW w:w="1850"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pStyle w:val="1035"/>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联系人</w:t>
            </w:r>
            <w:r>
              <w:rPr>
                <w:rFonts w:hint="eastAsia" w:ascii="楷体" w:hAnsi="楷体" w:eastAsia="楷体" w:cs="楷体"/>
                <w:color w:val="000000"/>
                <w:sz w:val="24"/>
                <w:szCs w:val="24"/>
                <w:highlight w:val="none"/>
              </w:rPr>
            </w:r>
            <w:r/>
          </w:p>
        </w:tc>
        <w:tc>
          <w:tcPr>
            <w:tcW w:w="2866"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713"/>
        </w:trPr>
        <w:tc>
          <w:tcPr>
            <w:tcW w:w="2516" w:type="dxa"/>
            <w:vAlign w:val="center"/>
            <w:textDirection w:val="lrTb"/>
            <w:noWrap w:val="false"/>
          </w:tcPr>
          <w:p>
            <w:pPr>
              <w:pStyle w:val="1035"/>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联系地址</w:t>
            </w:r>
            <w:r>
              <w:rPr>
                <w:rFonts w:hint="eastAsia" w:ascii="楷体" w:hAnsi="楷体" w:eastAsia="楷体" w:cs="楷体"/>
                <w:color w:val="000000"/>
                <w:sz w:val="24"/>
                <w:szCs w:val="24"/>
                <w:highlight w:val="none"/>
              </w:rPr>
            </w:r>
            <w:r/>
          </w:p>
        </w:tc>
        <w:tc>
          <w:tcPr>
            <w:tcW w:w="1850"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pStyle w:val="1035"/>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联系电话</w:t>
            </w:r>
            <w:r>
              <w:rPr>
                <w:rFonts w:hint="eastAsia" w:ascii="楷体" w:hAnsi="楷体" w:eastAsia="楷体" w:cs="楷体"/>
                <w:color w:val="000000"/>
                <w:sz w:val="24"/>
                <w:szCs w:val="24"/>
                <w:highlight w:val="none"/>
              </w:rPr>
            </w:r>
            <w:r/>
          </w:p>
        </w:tc>
        <w:tc>
          <w:tcPr>
            <w:tcW w:w="2866"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827"/>
        </w:trPr>
        <w:tc>
          <w:tcPr>
            <w:tcW w:w="2516" w:type="dxa"/>
            <w:vAlign w:val="center"/>
            <w:textDirection w:val="lrTb"/>
            <w:noWrap w:val="false"/>
          </w:tcPr>
          <w:p>
            <w:pPr>
              <w:pStyle w:val="1035"/>
              <w:ind w:firstLine="109"/>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信用得分</w:t>
            </w:r>
            <w:r>
              <w:rPr>
                <w:rFonts w:hint="eastAsia" w:ascii="楷体" w:hAnsi="楷体" w:eastAsia="楷体" w:cs="楷体"/>
                <w:color w:val="000000"/>
                <w:sz w:val="24"/>
                <w:szCs w:val="24"/>
                <w:highlight w:val="none"/>
              </w:rPr>
            </w:r>
            <w:r/>
          </w:p>
        </w:tc>
        <w:tc>
          <w:tcPr>
            <w:tcW w:w="1850"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pStyle w:val="1035"/>
              <w:ind w:firstLine="121"/>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星级</w:t>
            </w:r>
            <w:r>
              <w:rPr>
                <w:rFonts w:hint="eastAsia" w:ascii="楷体" w:hAnsi="楷体" w:eastAsia="楷体" w:cs="楷体"/>
                <w:color w:val="000000"/>
                <w:sz w:val="24"/>
                <w:szCs w:val="24"/>
                <w:highlight w:val="none"/>
              </w:rPr>
            </w:r>
            <w:r/>
          </w:p>
        </w:tc>
        <w:tc>
          <w:tcPr>
            <w:tcW w:w="2866" w:type="dxa"/>
            <w:vAlign w:val="center"/>
            <w:textDirection w:val="lrTb"/>
            <w:noWrap w:val="false"/>
          </w:tcPr>
          <w:p>
            <w:pPr>
              <w:pStyle w:val="1035"/>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1710"/>
        </w:trPr>
        <w:tc>
          <w:tcPr>
            <w:tcW w:w="2516" w:type="dxa"/>
            <w:vAlign w:val="center"/>
            <w:textDirection w:val="lrTb"/>
            <w:noWrap w:val="false"/>
          </w:tcPr>
          <w:p>
            <w:pPr>
              <w:pStyle w:val="1035"/>
              <w:jc w:val="center"/>
              <w:spacing w:before="257"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诚信档案记录情况</w:t>
            </w: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pStyle w:val="1035"/>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4604"/>
        </w:trPr>
        <w:tc>
          <w:tcPr>
            <w:tcW w:w="2516" w:type="dxa"/>
            <w:vAlign w:val="center"/>
            <w:vMerge w:val="restart"/>
            <w:textDirection w:val="lrTb"/>
            <w:noWrap w:val="false"/>
          </w:tcPr>
          <w:p>
            <w:pPr>
              <w:pStyle w:val="1035"/>
              <w:jc w:val="center"/>
              <w:spacing w:before="243"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信用承诺</w:t>
            </w: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pStyle w:val="1035"/>
              <w:ind w:left="108" w:firstLine="475"/>
              <w:jc w:val="left"/>
              <w:spacing w:before="59" w:line="249"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我公司自愿参加贵中心（公司）组织的本次采购活动，严格</w:t>
            </w:r>
            <w:r>
              <w:rPr>
                <w:rFonts w:hint="eastAsia" w:ascii="楷体" w:hAnsi="楷体" w:eastAsia="楷体" w:cs="楷体"/>
                <w:color w:val="000000"/>
                <w:sz w:val="24"/>
                <w:szCs w:val="24"/>
                <w:highlight w:val="none"/>
              </w:rPr>
              <w:t xml:space="preserve">遵守《中华人民共和国政府采购法》及相关法律法规，坚守公开、</w:t>
            </w:r>
            <w:r>
              <w:rPr>
                <w:rFonts w:hint="eastAsia" w:ascii="楷体" w:hAnsi="楷体" w:eastAsia="楷体" w:cs="楷体"/>
                <w:color w:val="000000"/>
                <w:spacing w:val="-1"/>
                <w:sz w:val="24"/>
                <w:szCs w:val="24"/>
                <w:highlight w:val="none"/>
              </w:rPr>
              <w:t xml:space="preserve">公平、公正和诚实信用的原则，依法诚信经营，无条件遵守本次政府采购活动的各项规定。我们郑重承诺，本公司符合《政府采</w:t>
            </w:r>
            <w:r>
              <w:rPr>
                <w:rFonts w:hint="eastAsia" w:ascii="楷体" w:hAnsi="楷体" w:eastAsia="楷体" w:cs="楷体"/>
                <w:color w:val="000000"/>
                <w:sz w:val="24"/>
                <w:szCs w:val="24"/>
                <w:highlight w:val="none"/>
              </w:rPr>
              <w:t xml:space="preserve">购法》第二十二条规定的条件，包括：具有独立承担民事责任的</w:t>
            </w:r>
            <w:r>
              <w:rPr>
                <w:rFonts w:hint="eastAsia" w:ascii="楷体" w:hAnsi="楷体" w:eastAsia="楷体" w:cs="楷体"/>
                <w:color w:val="000000"/>
                <w:spacing w:val="1"/>
                <w:sz w:val="24"/>
                <w:szCs w:val="24"/>
                <w:highlight w:val="none"/>
              </w:rPr>
              <w:t xml:space="preserve">能力；具有良好的商业信誉和健全的财务会计制度；有履行合同</w:t>
            </w:r>
            <w:r>
              <w:rPr>
                <w:rFonts w:hint="eastAsia" w:ascii="楷体" w:hAnsi="楷体" w:eastAsia="楷体" w:cs="楷体"/>
                <w:color w:val="000000"/>
                <w:spacing w:val="-1"/>
                <w:sz w:val="24"/>
                <w:szCs w:val="24"/>
                <w:highlight w:val="none"/>
              </w:rPr>
              <w:t xml:space="preserve">所必需的设备和专业技术能力；有依法缴纳税收和社会保障资金</w:t>
            </w:r>
            <w:r>
              <w:rPr>
                <w:rFonts w:hint="eastAsia" w:ascii="楷体" w:hAnsi="楷体" w:eastAsia="楷体" w:cs="楷体"/>
                <w:color w:val="000000"/>
                <w:sz w:val="24"/>
                <w:szCs w:val="24"/>
                <w:highlight w:val="none"/>
              </w:rPr>
              <w:t xml:space="preserve">的良好记录；参加政府采购活动前三年内，在经营活动中没有重</w:t>
            </w:r>
            <w:r>
              <w:rPr>
                <w:rFonts w:hint="eastAsia" w:ascii="楷体" w:hAnsi="楷体" w:eastAsia="楷体" w:cs="楷体"/>
                <w:color w:val="000000"/>
                <w:spacing w:val="4"/>
                <w:sz w:val="24"/>
                <w:szCs w:val="24"/>
                <w:highlight w:val="none"/>
              </w:rPr>
              <w:t xml:space="preserve">大违法记录；符合法律、行政法规和采购文件规定的其他条件。</w:t>
            </w:r>
            <w:r>
              <w:rPr>
                <w:rFonts w:hint="eastAsia" w:ascii="楷体" w:hAnsi="楷体" w:eastAsia="楷体" w:cs="楷体"/>
                <w:color w:val="000000"/>
                <w:spacing w:val="-1"/>
                <w:sz w:val="24"/>
                <w:szCs w:val="24"/>
                <w:highlight w:val="none"/>
              </w:rPr>
              <w:t xml:space="preserve">如有弄虚作假或其他违法违规行为，愿承担一切法律责任，接受</w:t>
            </w:r>
            <w:r>
              <w:rPr>
                <w:rFonts w:hint="eastAsia" w:ascii="楷体" w:hAnsi="楷体" w:eastAsia="楷体" w:cs="楷体"/>
                <w:color w:val="000000"/>
                <w:spacing w:val="4"/>
                <w:sz w:val="24"/>
                <w:szCs w:val="24"/>
                <w:highlight w:val="none"/>
              </w:rPr>
              <w:t xml:space="preserve">各级政府采购监管部门和有权机关的审查和处罚。</w:t>
            </w:r>
            <w:r>
              <w:rPr>
                <w:rFonts w:hint="eastAsia" w:ascii="楷体" w:hAnsi="楷体" w:eastAsia="楷体" w:cs="楷体"/>
                <w:color w:val="000000"/>
                <w:sz w:val="24"/>
                <w:szCs w:val="24"/>
                <w:highlight w:val="none"/>
              </w:rPr>
            </w:r>
            <w:r/>
          </w:p>
        </w:tc>
      </w:tr>
      <w:tr>
        <w:trPr>
          <w:trHeight w:val="1945"/>
        </w:trPr>
        <w:tc>
          <w:tcPr>
            <w:tcW w:w="2516" w:type="dxa"/>
            <w:vAlign w:val="top"/>
            <w:vMerge w:val="continue"/>
            <w:textDirection w:val="lrTb"/>
            <w:noWrap w:val="false"/>
          </w:tcPr>
          <w:p>
            <w:pPr>
              <w:pStyle w:val="1035"/>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pStyle w:val="1035"/>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1035"/>
              <w:ind w:firstLine="2828"/>
              <w:spacing w:before="312" w:line="440" w:lineRule="exact"/>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9"/>
                <w:position w:val="15"/>
                <w:sz w:val="24"/>
                <w:szCs w:val="24"/>
                <w:highlight w:val="none"/>
              </w:rPr>
              <w:t xml:space="preserve">供应商名称（盖章）：</w:t>
            </w:r>
            <w:r>
              <w:rPr>
                <w:rFonts w:hint="eastAsia" w:ascii="楷体" w:hAnsi="楷体" w:eastAsia="楷体" w:cs="楷体"/>
                <w:color w:val="000000"/>
                <w:sz w:val="24"/>
                <w:szCs w:val="24"/>
                <w:highlight w:val="none"/>
              </w:rPr>
            </w:r>
            <w:r/>
          </w:p>
          <w:p>
            <w:pPr>
              <w:pStyle w:val="1035"/>
              <w:ind w:firstLine="2829"/>
              <w:spacing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8"/>
                <w:sz w:val="24"/>
                <w:szCs w:val="24"/>
                <w:highlight w:val="none"/>
              </w:rPr>
              <w:t xml:space="preserve">法定代表人（签字）：</w:t>
            </w:r>
            <w:r>
              <w:rPr>
                <w:rFonts w:hint="eastAsia" w:ascii="楷体" w:hAnsi="楷体" w:eastAsia="楷体" w:cs="楷体"/>
                <w:color w:val="000000"/>
                <w:sz w:val="24"/>
                <w:szCs w:val="24"/>
                <w:highlight w:val="none"/>
              </w:rPr>
            </w:r>
            <w:r/>
          </w:p>
          <w:p>
            <w:pPr>
              <w:pStyle w:val="1035"/>
              <w:ind w:firstLine="2856"/>
              <w:spacing w:before="165"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二</w:t>
            </w:r>
            <w:r>
              <w:rPr>
                <w:rFonts w:hint="eastAsia" w:ascii="楷体" w:hAnsi="楷体" w:eastAsia="楷体" w:cs="楷体"/>
                <w:color w:val="000000"/>
                <w:spacing w:val="4"/>
                <w:sz w:val="24"/>
                <w:szCs w:val="24"/>
                <w:highlight w:val="none"/>
              </w:rPr>
              <w:t xml:space="preserve">○</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7"/>
                <w:sz w:val="24"/>
                <w:szCs w:val="24"/>
                <w:highlight w:val="none"/>
                <w:lang w:val="en-US"/>
              </w:rPr>
              <w:t xml:space="preserve"> </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1"/>
                <w:sz w:val="24"/>
                <w:szCs w:val="24"/>
                <w:highlight w:val="none"/>
              </w:rPr>
              <w:t xml:space="preserve">年</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
                <w:sz w:val="24"/>
                <w:szCs w:val="24"/>
                <w:highlight w:val="none"/>
              </w:rPr>
              <w:t xml:space="preserve">月</w:t>
            </w:r>
            <w:r>
              <w:rPr>
                <w:rFonts w:hint="eastAsia" w:ascii="楷体" w:hAnsi="楷体" w:eastAsia="楷体" w:cs="楷体"/>
                <w:color w:val="000000"/>
                <w:spacing w:val="-1"/>
                <w:sz w:val="24"/>
                <w:szCs w:val="24"/>
                <w:highlight w:val="none"/>
                <w:lang w:val="en-US"/>
              </w:rPr>
              <w:t xml:space="preserve">    </w:t>
            </w:r>
            <w:r>
              <w:rPr>
                <w:rFonts w:hint="eastAsia" w:ascii="楷体" w:hAnsi="楷体" w:eastAsia="楷体" w:cs="楷体"/>
                <w:color w:val="000000"/>
                <w:spacing w:val="-1"/>
                <w:sz w:val="24"/>
                <w:szCs w:val="24"/>
                <w:highlight w:val="none"/>
              </w:rPr>
              <w:t xml:space="preserve">日</w:t>
            </w:r>
            <w:r>
              <w:rPr>
                <w:rFonts w:hint="eastAsia" w:ascii="楷体" w:hAnsi="楷体" w:eastAsia="楷体" w:cs="楷体"/>
                <w:color w:val="000000"/>
                <w:sz w:val="24"/>
                <w:szCs w:val="24"/>
                <w:highlight w:val="none"/>
              </w:rPr>
            </w:r>
            <w:r/>
          </w:p>
        </w:tc>
      </w:tr>
    </w:tbl>
    <w:p>
      <w:pPr>
        <w:pStyle w:val="1035"/>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35"/>
        <w:jc w:val="center"/>
        <w:spacing w:line="420" w:lineRule="auto"/>
        <w:shd w:val="clear" w:color="auto" w:fill="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四、</w:t>
      </w:r>
      <w:r>
        <w:rPr>
          <w:rFonts w:hint="eastAsia" w:ascii="黑体" w:hAnsi="黑体" w:eastAsia="黑体" w:cs="黑体"/>
          <w:color w:val="000000"/>
          <w:sz w:val="24"/>
          <w:szCs w:val="24"/>
          <w:highlight w:val="none"/>
        </w:rPr>
        <w:t xml:space="preserve">“不存在与参加本项目的其他供应商单位负责人为同一人或者存在直接控股、管理关系”的承诺函</w:t>
      </w:r>
      <w:r>
        <w:rPr>
          <w:rFonts w:hint="eastAsia" w:ascii="黑体" w:hAnsi="黑体" w:eastAsia="黑体" w:cs="黑体"/>
          <w:color w:val="000000"/>
          <w:sz w:val="24"/>
          <w:szCs w:val="24"/>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南京市食品药品监督检验院</w:t>
      </w: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rPr>
          <w:rFonts w:hint="eastAsia" w:ascii="宋体" w:hAnsi="宋体" w:eastAsia="宋体"/>
          <w:color w:val="000000"/>
          <w:sz w:val="21"/>
          <w:szCs w:val="21"/>
          <w:highlight w:val="none"/>
        </w:rPr>
      </w:r>
      <w:r/>
    </w:p>
    <w:p>
      <w:pPr>
        <w:pStyle w:val="1035"/>
        <w:ind w:firstLine="411"/>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35"/>
        <w:ind w:firstLine="411"/>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center"/>
        <w:spacing w:line="360" w:lineRule="auto"/>
        <w:shd w:val="clear" w:color="auto" w:fil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rPr>
          <w:rFonts w:hint="eastAsia" w:ascii="仿宋" w:hAnsi="仿宋" w:eastAsia="仿宋" w:cs="仿宋"/>
          <w:b/>
          <w:color w:val="000000"/>
          <w:sz w:val="24"/>
          <w:szCs w:val="24"/>
          <w:highlight w:val="none"/>
        </w:rPr>
      </w:r>
      <w:r/>
    </w:p>
    <w:p>
      <w:pPr>
        <w:pStyle w:val="1035"/>
        <w:ind w:firstLine="482"/>
        <w:spacing w:line="360" w:lineRule="auto"/>
        <w:shd w:val="clear" w:color="auto" w:fill="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35"/>
        <w:ind w:firstLine="482"/>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rPr>
          <w:rFonts w:hint="eastAsia" w:ascii="仿宋" w:hAnsi="仿宋" w:eastAsia="仿宋" w:cs="仿宋"/>
          <w:b/>
          <w:bCs/>
          <w:color w:val="000000"/>
          <w:sz w:val="24"/>
          <w:szCs w:val="24"/>
          <w:highlight w:val="none"/>
          <w:lang w:val="en-US"/>
        </w:rPr>
      </w:r>
      <w:r/>
    </w:p>
    <w:p>
      <w:pPr>
        <w:pStyle w:val="1035"/>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highlight w:val="none"/>
          <w:lang w:val="en-US"/>
        </w:rPr>
      </w:r>
      <w:r/>
    </w:p>
    <w:p>
      <w:pPr>
        <w:pStyle w:val="1035"/>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highlight w:val="none"/>
          <w:lang w:val="en-US"/>
        </w:rPr>
      </w:r>
      <w:r/>
    </w:p>
    <w:p>
      <w:pPr>
        <w:pStyle w:val="1035"/>
        <w:spacing w:line="360" w:lineRule="auto"/>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35"/>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highlight w:val="none"/>
          <w:lang w:val="en-US"/>
        </w:rPr>
      </w:r>
      <w:r/>
    </w:p>
    <w:p>
      <w:pPr>
        <w:pStyle w:val="1035"/>
        <w:ind w:firstLine="560"/>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1035"/>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highlight w:val="none"/>
          <w:lang w:val="en-US"/>
        </w:rPr>
      </w:r>
      <w:r/>
    </w:p>
    <w:p>
      <w:pPr>
        <w:pStyle w:val="1035"/>
        <w:jc w:val="center"/>
        <w:spacing w:line="420" w:lineRule="auto"/>
        <w:shd w:val="clear" w:color="auto" w:fil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35"/>
        <w:jc w:val="center"/>
        <w:spacing w:line="360" w:lineRule="auto"/>
        <w:shd w:val="clear" w:color="auto" w:fill="auto"/>
        <w:widowControl/>
        <w:rPr>
          <w:rFonts w:hint="eastAsia" w:ascii="黑体" w:hAnsi="黑体" w:eastAsia="黑体" w:cs="黑体"/>
          <w:b/>
          <w:color w:val="000000"/>
          <w:sz w:val="24"/>
          <w:szCs w:val="24"/>
          <w:highlight w:val="none"/>
        </w:rPr>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lang w:val="en-US"/>
        </w:rPr>
        <w:t xml:space="preserve">五、第一章招标公告中2.1《中华人民共和国政府采购法》第二十二条规定的资格条件证明文件</w:t>
      </w:r>
      <w:r>
        <w:rPr>
          <w:rFonts w:hint="eastAsia" w:ascii="黑体" w:hAnsi="黑体" w:eastAsia="黑体" w:cs="黑体"/>
          <w:b/>
          <w:color w:val="000000"/>
          <w:sz w:val="24"/>
          <w:szCs w:val="24"/>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rPr>
          <w:rFonts w:hint="eastAsia" w:ascii="宋体" w:hAnsi="宋体" w:eastAsia="宋体"/>
          <w:color w:val="000000"/>
          <w:sz w:val="21"/>
          <w:szCs w:val="21"/>
          <w:highlight w:val="none"/>
        </w:rPr>
      </w:r>
      <w:r/>
    </w:p>
    <w:p>
      <w:pPr>
        <w:pStyle w:val="1035"/>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1"/>
          <w:szCs w:val="21"/>
          <w:highlight w:val="none"/>
          <w:lang w:val="en-US"/>
        </w:rPr>
      </w:r>
      <w:r/>
    </w:p>
    <w:p>
      <w:pPr>
        <w:pStyle w:val="1035"/>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rPr>
          <w:rFonts w:hint="eastAsia" w:ascii="宋体" w:hAnsi="宋体" w:eastAsia="宋体"/>
          <w:color w:val="000000"/>
          <w:sz w:val="21"/>
          <w:szCs w:val="21"/>
          <w:highlight w:val="none"/>
          <w:lang w:val="en-US"/>
        </w:rPr>
      </w:r>
      <w:r/>
    </w:p>
    <w:p>
      <w:pPr>
        <w:pStyle w:val="1035"/>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rPr>
          <w:rFonts w:hint="eastAsia" w:ascii="宋体" w:hAnsi="宋体" w:eastAsia="宋体"/>
          <w:color w:val="000000"/>
          <w:sz w:val="21"/>
          <w:szCs w:val="21"/>
          <w:highlight w:val="none"/>
          <w:lang w:val="en-US"/>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rPr>
          <w:rFonts w:hint="eastAsia" w:ascii="宋体" w:hAnsi="宋体" w:eastAsia="宋体"/>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rPr>
          <w:rFonts w:hint="eastAsia" w:ascii="宋体" w:hAnsi="宋体" w:eastAsia="宋体"/>
          <w:color w:val="000000"/>
          <w:sz w:val="21"/>
          <w:szCs w:val="21"/>
          <w:highlight w:val="none"/>
          <w:lang w:val="en-US"/>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rPr>
          <w:rFonts w:hint="eastAsia" w:ascii="宋体" w:hAnsi="宋体" w:eastAsia="宋体"/>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rPr>
          <w:rFonts w:hint="eastAsia" w:ascii="宋体" w:hAnsi="宋体" w:eastAsia="宋体"/>
          <w:b/>
          <w:bCs/>
          <w:color w:val="000000"/>
          <w:sz w:val="21"/>
          <w:szCs w:val="21"/>
          <w:highlight w:val="none"/>
        </w:rPr>
      </w:r>
      <w:r/>
    </w:p>
    <w:p>
      <w:pPr>
        <w:pStyle w:val="1035"/>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rPr>
          <w:rFonts w:hint="eastAsia" w:ascii="宋体" w:hAnsi="宋体" w:eastAsia="宋体"/>
          <w:b/>
          <w:color w:val="000000"/>
          <w:sz w:val="21"/>
          <w:szCs w:val="21"/>
          <w:highlight w:val="none"/>
        </w:rPr>
      </w:r>
      <w:r/>
    </w:p>
    <w:p>
      <w:pPr>
        <w:pStyle w:val="103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南京市食品药品监督检验院</w:t>
      </w:r>
      <w:r>
        <w:rPr>
          <w:rFonts w:hint="eastAsia" w:ascii="宋体" w:hAnsi="宋体" w:eastAsia="宋体"/>
          <w:color w:val="000000"/>
          <w:sz w:val="21"/>
          <w:szCs w:val="21"/>
          <w:highlight w:val="none"/>
        </w:rPr>
      </w:r>
      <w:r/>
    </w:p>
    <w:p>
      <w:pPr>
        <w:pStyle w:val="103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35"/>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rPr>
          <w:rFonts w:hint="eastAsia" w:ascii="宋体" w:hAnsi="宋体" w:eastAsia="宋体"/>
          <w:b/>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rPr>
          <w:rFonts w:hint="eastAsia" w:ascii="宋体" w:hAnsi="宋体" w:eastAsia="宋体"/>
          <w:b/>
          <w:bCs/>
          <w:color w:val="000000"/>
          <w:sz w:val="21"/>
          <w:szCs w:val="21"/>
          <w:highlight w:val="none"/>
          <w:lang w:val="en-US"/>
        </w:rPr>
      </w:r>
      <w:r/>
    </w:p>
    <w:p>
      <w:pPr>
        <w:pStyle w:val="1035"/>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35"/>
        <w:jc w:val="cente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pStyle w:val="1035"/>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六、第一章招标公告中2.2落实政府采购政策需满足的资格要求的证明文件</w:t>
      </w:r>
      <w:r>
        <w:rPr>
          <w:rFonts w:hint="eastAsia" w:ascii="黑体" w:hAnsi="黑体" w:eastAsia="黑体" w:cs="黑体"/>
          <w:color w:val="000000"/>
          <w:sz w:val="24"/>
          <w:szCs w:val="24"/>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rPr>
          <w:rFonts w:hint="eastAsia" w:ascii="宋体" w:hAnsi="宋体" w:eastAsia="宋体"/>
          <w:b/>
          <w:bCs/>
          <w:color w:val="000000"/>
          <w:sz w:val="21"/>
          <w:szCs w:val="21"/>
          <w:highlight w:val="none"/>
          <w:lang w:val="en-US"/>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七、第一章招标公告中2.3采购人根据采购项目的特殊要求规定的特定条件的证明文件</w:t>
      </w:r>
      <w:r>
        <w:rPr>
          <w:rFonts w:hint="eastAsia" w:ascii="黑体" w:hAnsi="黑体" w:eastAsia="黑体" w:cs="黑体"/>
          <w:color w:val="000000"/>
          <w:sz w:val="24"/>
          <w:szCs w:val="24"/>
          <w:highlight w:val="none"/>
          <w:lang w:val="en-US"/>
        </w:rPr>
      </w:r>
      <w:r/>
    </w:p>
    <w:p>
      <w:pPr>
        <w:pStyle w:val="1035"/>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35"/>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rPr>
          <w:rFonts w:hint="eastAsia" w:ascii="宋体" w:hAnsi="宋体" w:eastAsia="宋体"/>
          <w:b/>
          <w:bCs/>
          <w:color w:val="000000"/>
          <w:sz w:val="21"/>
          <w:szCs w:val="21"/>
          <w:highlight w:val="none"/>
          <w:lang w:val="en-US"/>
        </w:rPr>
      </w:r>
      <w:r/>
    </w:p>
    <w:p>
      <w:pPr>
        <w:pStyle w:val="1035"/>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pStyle w:val="1035"/>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八、供应商认为需要提供的其他资格证明文件和商务资料</w:t>
      </w:r>
      <w:r>
        <w:rPr>
          <w:rFonts w:hint="eastAsia" w:ascii="黑体" w:hAnsi="黑体" w:eastAsia="黑体" w:cs="黑体"/>
          <w:color w:val="000000"/>
          <w:sz w:val="24"/>
          <w:szCs w:val="24"/>
          <w:highlight w:val="none"/>
          <w:lang w:val="en-US"/>
        </w:rPr>
      </w:r>
      <w:r/>
    </w:p>
    <w:p>
      <w:pPr>
        <w:pStyle w:val="1035"/>
        <w:ind w:firstLine="420"/>
        <w:jc w:val="left"/>
        <w:spacing w:line="36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35"/>
        <w:ind w:firstLine="420"/>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注：各供应商根据企业自身实际情况可提供其他资格证明文件和商务资料，格式自拟。</w:t>
      </w:r>
      <w:r>
        <w:rPr>
          <w:rFonts w:hint="eastAsia" w:ascii="宋体" w:hAnsi="宋体" w:eastAsia="宋体"/>
          <w:b/>
          <w:color w:val="000000"/>
          <w:sz w:val="21"/>
          <w:szCs w:val="21"/>
          <w:highlight w:val="none"/>
        </w:rPr>
      </w:r>
      <w:r/>
    </w:p>
    <w:p>
      <w:pPr>
        <w:pStyle w:val="1035"/>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九、《商务条款偏离表》格式</w:t>
      </w:r>
      <w:r>
        <w:rPr>
          <w:rFonts w:hint="eastAsia" w:ascii="黑体" w:hAnsi="黑体" w:eastAsia="黑体" w:cs="黑体"/>
          <w:color w:val="000000"/>
          <w:sz w:val="24"/>
          <w:szCs w:val="24"/>
          <w:highlight w:val="none"/>
          <w:lang w:val="en-US"/>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W w:w="2952" w:type="dxa"/>
            <w:vAlign w:val="center"/>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668"/>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招标文件条目号</w:t>
            </w: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招标文件要求的商务条款</w:t>
            </w: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1035"/>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rPr>
          <w:rFonts w:hint="eastAsia" w:ascii="宋体" w:hAnsi="宋体" w:eastAsia="宋体"/>
          <w:color w:val="000000"/>
          <w:sz w:val="21"/>
          <w:szCs w:val="21"/>
          <w:highlight w:val="none"/>
        </w:rPr>
      </w:r>
      <w:r/>
    </w:p>
    <w:p>
      <w:pPr>
        <w:pStyle w:val="1035"/>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olor w:val="000000"/>
          <w:sz w:val="21"/>
          <w:szCs w:val="21"/>
          <w:highlight w:val="none"/>
        </w:rPr>
      </w:r>
      <w:r/>
    </w:p>
    <w:p>
      <w:pPr>
        <w:pStyle w:val="1035"/>
        <w:ind w:firstLine="420"/>
        <w:jc w:val="left"/>
        <w:spacing w:line="48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b/>
          <w:color w:val="000000"/>
          <w:sz w:val="24"/>
          <w:szCs w:val="24"/>
          <w:highlight w:val="none"/>
        </w:rPr>
      </w:r>
      <w:r/>
    </w:p>
    <w:p>
      <w:pPr>
        <w:pStyle w:val="1035"/>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r>
      <w:r/>
    </w:p>
    <w:p>
      <w:pPr>
        <w:pStyle w:val="1081"/>
        <w:ind w:left="0"/>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hint="eastAsia"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南京市食品药品监督检验院食品药品检测设备采购一批</w:t>
      </w:r>
      <w:r>
        <w:rPr>
          <w:rFonts w:hint="eastAsia"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技术部分</w:t>
      </w:r>
      <w:r>
        <w:rPr>
          <w:rFonts w:ascii="黑体" w:hAnsi="宋体" w:eastAsia="黑体"/>
          <w:color w:val="000000"/>
          <w:sz w:val="72"/>
          <w:szCs w:val="72"/>
          <w:highlight w:val="none"/>
        </w:rPr>
      </w:r>
      <w:r/>
    </w:p>
    <w:p>
      <w:pPr>
        <w:pStyle w:val="1035"/>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color w:val="000000"/>
          <w:sz w:val="32"/>
          <w:szCs w:val="32"/>
          <w:highlight w:val="none"/>
          <w:lang w:val="en-US"/>
        </w:rPr>
      </w:pPr>
      <w:r>
        <w:rPr>
          <w:rFonts w:hint="eastAsia" w:ascii="黑体" w:hAnsi="宋体" w:eastAsia="黑体"/>
          <w:color w:val="000000"/>
          <w:sz w:val="32"/>
          <w:szCs w:val="32"/>
          <w:highlight w:val="none"/>
          <w:lang w:val="en-US"/>
        </w:rPr>
        <w:t xml:space="preserve">分 包 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分包【   】    </w:t>
      </w:r>
      <w:r>
        <w:rPr>
          <w:rFonts w:hint="eastAsia" w:ascii="黑体" w:hAnsi="宋体" w:eastAsia="黑体"/>
          <w:color w:val="000000"/>
          <w:sz w:val="32"/>
          <w:szCs w:val="32"/>
          <w:highlight w:val="none"/>
          <w:u w:val="single"/>
        </w:rPr>
        <w:t xml:space="preserve"> </w:t>
      </w:r>
      <w:r>
        <w:rPr>
          <w:rFonts w:ascii="黑体" w:hAnsi="宋体" w:eastAsia="黑体"/>
          <w:color w:val="000000"/>
          <w:sz w:val="32"/>
          <w:szCs w:val="32"/>
          <w:highlight w:val="none"/>
          <w:lang w:val="en-US"/>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rPr>
        <w:t xml:space="preserve">加盖电子</w:t>
      </w:r>
      <w:r>
        <w:rPr>
          <w:rFonts w:hint="eastAsia" w:ascii="黑体" w:hAnsi="宋体" w:eastAsia="黑体"/>
          <w:color w:val="000000"/>
          <w:sz w:val="32"/>
          <w:szCs w:val="32"/>
          <w:highlight w:val="none"/>
        </w:rPr>
        <w:t xml:space="preserve">公章）</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hint="eastAsia" w:ascii="宋体" w:hAnsi="宋体" w:eastAsia="宋体"/>
          <w:b/>
          <w:color w:val="000000"/>
          <w:sz w:val="24"/>
          <w:szCs w:val="24"/>
          <w:highlight w:val="none"/>
        </w:rPr>
        <w:br w:type="page" w:clear="all"/>
      </w:r>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一、货物品牌、型号、材质、主要技术（服务）指标和性能、制造商、生产企业名称等详细说明…X</w:t>
      </w:r>
      <w:r>
        <w:rPr>
          <w:rFonts w:hint="eastAsia" w:ascii="宋体" w:hAnsi="宋体" w:eastAsia="宋体"/>
          <w:color w:val="000000"/>
          <w:sz w:val="21"/>
          <w:szCs w:val="21"/>
          <w:highlight w:val="none"/>
        </w:rPr>
      </w:r>
      <w:r/>
    </w:p>
    <w:p>
      <w:pPr>
        <w:pStyle w:val="1035"/>
        <w:jc w:val="left"/>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二、《投标项目主要产品一览表》…………………………………………………………………………X</w:t>
      </w:r>
      <w:r>
        <w:rPr>
          <w:rFonts w:hint="eastAsia" w:ascii="宋体" w:hAnsi="宋体" w:eastAsia="宋体"/>
          <w:color w:val="000000"/>
          <w:sz w:val="21"/>
          <w:szCs w:val="21"/>
          <w:highlight w:val="none"/>
        </w:rPr>
      </w:r>
      <w:r/>
    </w:p>
    <w:p>
      <w:pPr>
        <w:pStyle w:val="1035"/>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三、《供货一览表》</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lang w:val="en-US"/>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四、货物安装验收标准………………………………………………………………………………………X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五、项目实施方案……………………………………………………………………………………………X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六、服务承诺…………………………………………………………………………………………………X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七、供应商认为需要提供的其他技术资料等………………………………………………………………X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八、第四章评标标准要求提供的方案或相关证明材料等…………………………………………………X</w:t>
      </w:r>
      <w:r>
        <w:rPr>
          <w:rFonts w:hint="eastAsia" w:ascii="宋体" w:hAnsi="宋体" w:eastAsia="宋体"/>
          <w:color w:val="000000"/>
          <w:sz w:val="21"/>
          <w:szCs w:val="21"/>
          <w:highlight w:val="none"/>
        </w:rPr>
      </w:r>
      <w:r/>
    </w:p>
    <w:p>
      <w:pPr>
        <w:pStyle w:val="1035"/>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九、《技术条款偏离表》及其他表格格式…………………………………………………………………X</w:t>
      </w:r>
      <w:r>
        <w:rPr>
          <w:rFonts w:hint="eastAsia" w:ascii="宋体" w:hAnsi="宋体" w:eastAsia="宋体"/>
          <w:color w:val="000000"/>
          <w:sz w:val="21"/>
          <w:szCs w:val="21"/>
          <w:highlight w:val="none"/>
        </w:rPr>
      </w:r>
      <w:r/>
    </w:p>
    <w:p>
      <w:pPr>
        <w:pStyle w:val="1035"/>
        <w:spacing w:before="100" w:beforeAutospacing="1" w:after="100" w:afterAutospacing="1"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表格格式（仅供参考，可按需调整或删除）</w:t>
      </w:r>
      <w:r>
        <w:rPr>
          <w:rFonts w:hint="eastAsia" w:ascii="宋体" w:hAnsi="宋体" w:eastAsia="宋体"/>
          <w:color w:val="000000"/>
          <w:sz w:val="24"/>
          <w:szCs w:val="24"/>
          <w:highlight w:val="none"/>
        </w:rPr>
      </w:r>
      <w:r/>
    </w:p>
    <w:p>
      <w:pPr>
        <w:pStyle w:val="1035"/>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35"/>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（一）投标项目主要产品一览表格式</w:t>
      </w:r>
      <w:r>
        <w:rPr>
          <w:rFonts w:hint="eastAsia" w:ascii="宋体" w:hAnsi="宋体" w:eastAsia="宋体"/>
          <w:b/>
          <w:bCs/>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投标项目主要产品一览表</w:t>
      </w:r>
      <w:r>
        <w:rPr>
          <w:rFonts w:hint="eastAsia" w:ascii="宋体" w:hAnsi="宋体" w:eastAsia="宋体"/>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（至少填报</w:t>
      </w:r>
      <w:r>
        <w:rPr>
          <w:rFonts w:hint="eastAsia" w:ascii="宋体" w:hAnsi="宋体" w:eastAsia="宋体"/>
          <w:color w:val="000000"/>
          <w:sz w:val="21"/>
          <w:szCs w:val="21"/>
          <w:highlight w:val="none"/>
          <w:lang w:val="en-US"/>
        </w:rPr>
        <w:t xml:space="preserve">核心产品以及</w:t>
      </w:r>
      <w:r>
        <w:rPr>
          <w:rFonts w:hint="eastAsia" w:ascii="宋体" w:hAnsi="宋体" w:eastAsia="宋体"/>
          <w:color w:val="000000"/>
          <w:sz w:val="21"/>
          <w:szCs w:val="21"/>
          <w:highlight w:val="none"/>
        </w:rPr>
        <w:t xml:space="preserve">单价最高的产品）</w:t>
      </w:r>
      <w:r>
        <w:rPr>
          <w:rFonts w:hint="eastAsia" w:ascii="宋体" w:hAnsi="宋体" w:eastAsia="宋体"/>
          <w:color w:val="000000"/>
          <w:sz w:val="21"/>
          <w:szCs w:val="21"/>
          <w:highlight w:val="none"/>
        </w:rPr>
      </w:r>
      <w:r/>
    </w:p>
    <w:tbl>
      <w:tblPr>
        <w:tblpPr w:horzAnchor="margin" w:tblpXSpec="left" w:vertAnchor="text" w:tblpY="13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pStyle w:val="1035"/>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3"/>
            <w:tcW w:w="3259" w:type="dxa"/>
            <w:vAlign w:val="center"/>
            <w:textDirection w:val="lrTb"/>
            <w:noWrap w:val="false"/>
          </w:tcPr>
          <w:p>
            <w:pPr>
              <w:pStyle w:val="1035"/>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189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rPr>
            </w:r>
            <w:r/>
          </w:p>
        </w:tc>
        <w:tc>
          <w:tcPr>
            <w:tcW w:w="28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品牌、规格或型号</w:t>
            </w:r>
            <w:r>
              <w:rPr>
                <w:rFonts w:hint="eastAsia" w:ascii="宋体" w:hAnsi="宋体" w:eastAsia="宋体"/>
                <w:color w:val="000000"/>
                <w:sz w:val="21"/>
                <w:szCs w:val="21"/>
                <w:highlight w:val="none"/>
              </w:rPr>
            </w:r>
            <w:r/>
          </w:p>
        </w:tc>
        <w:tc>
          <w:tcPr>
            <w:gridSpan w:val="2"/>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数量</w:t>
            </w:r>
            <w:r>
              <w:rPr>
                <w:rFonts w:hint="eastAsia" w:ascii="宋体" w:hAnsi="宋体" w:eastAsia="宋体"/>
                <w:color w:val="000000"/>
                <w:sz w:val="21"/>
                <w:szCs w:val="21"/>
                <w:highlight w:val="none"/>
              </w:rPr>
            </w:r>
            <w:r/>
          </w:p>
        </w:tc>
        <w:tc>
          <w:tcPr>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单价（元）</w:t>
            </w:r>
            <w:r>
              <w:rPr>
                <w:rFonts w:hint="eastAsia" w:ascii="宋体" w:hAnsi="宋体" w:eastAsia="宋体"/>
                <w:color w:val="000000"/>
                <w:sz w:val="21"/>
                <w:szCs w:val="21"/>
                <w:highlight w:val="none"/>
              </w:rPr>
            </w:r>
            <w:r/>
          </w:p>
        </w:tc>
        <w:tc>
          <w:tcPr>
            <w:tcW w:w="15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t xml:space="preserve">质保年限</w:t>
            </w: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89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28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5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89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28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5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89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28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5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89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28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08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c>
          <w:tcPr>
            <w:tcW w:w="15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framePr w:vAnchor="page" w:hAnchor="page" w:y="133"/>
            </w:pPr>
            <w:r>
              <w:rPr>
                <w:rFonts w:hint="eastAsia" w:ascii="宋体" w:hAnsi="宋体" w:eastAsia="宋体"/>
                <w:color w:val="000000"/>
                <w:sz w:val="21"/>
                <w:szCs w:val="21"/>
                <w:highlight w:val="none"/>
              </w:rPr>
            </w:r>
            <w:r/>
          </w:p>
        </w:tc>
      </w:tr>
    </w:tbl>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bookmarkStart w:id="58" w:name="OLE_LINK26"/>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bookmarkEnd w:id="58"/>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（二）供货一览表格式</w:t>
      </w:r>
      <w:r>
        <w:rPr>
          <w:rFonts w:hint="eastAsia" w:ascii="宋体" w:hAnsi="宋体" w:eastAsia="宋体"/>
          <w:b/>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供货一览表</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（含配件、备品、消耗材料）</w:t>
      </w:r>
      <w:r>
        <w:rPr>
          <w:rFonts w:hint="eastAsia"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3"/>
            <w:tcW w:w="3254" w:type="dxa"/>
            <w:vAlign w:val="center"/>
            <w:textDirection w:val="lrTb"/>
            <w:noWrap w:val="false"/>
          </w:tcPr>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gridSpan w:val="2"/>
            <w:tcW w:w="181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货物1名称</w:t>
            </w:r>
            <w:r>
              <w:rPr>
                <w:rFonts w:hint="eastAsia" w:ascii="宋体" w:hAnsi="宋体" w:eastAsia="宋体"/>
                <w:color w:val="000000"/>
                <w:sz w:val="21"/>
                <w:szCs w:val="21"/>
                <w:highlight w:val="none"/>
              </w:rPr>
            </w:r>
            <w:r/>
          </w:p>
        </w:tc>
        <w:tc>
          <w:tcPr>
            <w:gridSpan w:val="2"/>
            <w:tcW w:w="127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31"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w:t>
            </w:r>
            <w:r>
              <w:rPr>
                <w:rFonts w:hint="eastAsia" w:ascii="宋体" w:hAnsi="宋体" w:eastAsia="宋体"/>
                <w:color w:val="000000"/>
                <w:sz w:val="21"/>
                <w:szCs w:val="21"/>
                <w:highlight w:val="none"/>
              </w:rPr>
            </w:r>
            <w:r/>
          </w:p>
        </w:tc>
        <w:tc>
          <w:tcPr>
            <w:gridSpan w:val="2"/>
            <w:tcW w:w="172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98"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规格、型号</w:t>
            </w:r>
            <w:r>
              <w:rPr>
                <w:rFonts w:hint="eastAsia" w:ascii="宋体" w:hAnsi="宋体" w:eastAsia="宋体"/>
                <w:color w:val="000000"/>
                <w:sz w:val="21"/>
                <w:szCs w:val="21"/>
                <w:highlight w:val="none"/>
              </w:rPr>
            </w:r>
            <w:r/>
          </w:p>
        </w:tc>
        <w:tc>
          <w:tcPr>
            <w:tcW w:w="1561"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gridSpan w:val="2"/>
            <w:tcW w:w="1813"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生产企业名称</w:t>
            </w:r>
            <w:r>
              <w:rPr>
                <w:rFonts w:hint="eastAsia" w:ascii="宋体" w:hAnsi="宋体" w:eastAsia="宋体"/>
                <w:color w:val="000000"/>
                <w:sz w:val="21"/>
                <w:szCs w:val="21"/>
                <w:highlight w:val="none"/>
              </w:rPr>
            </w:r>
            <w:r/>
          </w:p>
        </w:tc>
        <w:tc>
          <w:tcPr>
            <w:gridSpan w:val="3"/>
            <w:tcW w:w="280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72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生产企业地址</w:t>
            </w:r>
            <w:r>
              <w:rPr>
                <w:rFonts w:hint="eastAsia" w:ascii="宋体" w:hAnsi="宋体" w:eastAsia="宋体"/>
                <w:color w:val="000000"/>
                <w:sz w:val="21"/>
                <w:szCs w:val="21"/>
                <w:highlight w:val="none"/>
              </w:rPr>
            </w:r>
            <w:r/>
          </w:p>
        </w:tc>
        <w:tc>
          <w:tcPr>
            <w:gridSpan w:val="2"/>
            <w:tcW w:w="2959"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gridSpan w:val="2"/>
            <w:tcW w:w="118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rPr>
            </w:r>
            <w:r/>
          </w:p>
        </w:tc>
        <w:tc>
          <w:tcPr>
            <w:tcW w:w="89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rPr>
                <w:rFonts w:hint="eastAsia" w:ascii="宋体" w:hAnsi="宋体" w:eastAsia="宋体"/>
                <w:color w:val="000000"/>
                <w:sz w:val="21"/>
                <w:szCs w:val="21"/>
                <w:highlight w:val="none"/>
              </w:rPr>
            </w:r>
            <w:r/>
          </w:p>
        </w:tc>
        <w:tc>
          <w:tcPr>
            <w:gridSpan w:val="5"/>
            <w:tcW w:w="621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主要技术参数</w:t>
            </w: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（三）供应商类似业绩情况表格式</w:t>
      </w:r>
      <w:r>
        <w:rPr>
          <w:rFonts w:hint="eastAsia" w:ascii="宋体" w:hAnsi="宋体" w:eastAsia="宋体"/>
          <w:b/>
          <w:color w:val="000000"/>
          <w:sz w:val="21"/>
          <w:szCs w:val="21"/>
          <w:highlight w:val="none"/>
        </w:rPr>
      </w:r>
      <w:r/>
    </w:p>
    <w:p>
      <w:pPr>
        <w:pStyle w:val="1035"/>
        <w:jc w:val="cente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供应商类似业绩情况表</w:t>
      </w:r>
      <w:r>
        <w:rPr>
          <w:rFonts w:hint="eastAsia" w:ascii="宋体" w:hAnsi="宋体" w:eastAsia="宋体"/>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2310"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tcW w:w="2257"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rPr>
                <w:rFonts w:hint="eastAsia" w:ascii="宋体" w:hAnsi="宋体" w:eastAsia="宋体"/>
                <w:color w:val="000000"/>
                <w:sz w:val="21"/>
                <w:szCs w:val="21"/>
                <w:highlight w:val="none"/>
              </w:rPr>
            </w:r>
            <w:r/>
          </w:p>
        </w:tc>
        <w:tc>
          <w:tcPr>
            <w:tcW w:w="1255"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rPr>
                <w:rFonts w:hint="eastAsia" w:ascii="宋体" w:hAnsi="宋体" w:eastAsia="宋体"/>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rPr>
                <w:rFonts w:hint="eastAsia" w:ascii="宋体" w:hAnsi="宋体" w:eastAsia="宋体"/>
                <w:color w:val="000000"/>
                <w:sz w:val="21"/>
                <w:szCs w:val="21"/>
                <w:highlight w:val="none"/>
              </w:rPr>
            </w:r>
            <w:r/>
          </w:p>
        </w:tc>
        <w:tc>
          <w:tcPr>
            <w:tcW w:w="1418" w:type="dxa"/>
            <w:vAlign w:val="top"/>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rPr>
                <w:rFonts w:hint="eastAsia" w:ascii="宋体" w:hAnsi="宋体" w:eastAsia="宋体"/>
                <w:color w:val="000000"/>
                <w:sz w:val="21"/>
                <w:szCs w:val="21"/>
                <w:highlight w:val="none"/>
              </w:rPr>
            </w:r>
            <w:r/>
          </w:p>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rPr>
                <w:rFonts w:hint="eastAsia" w:ascii="宋体" w:hAnsi="宋体" w:eastAsia="宋体"/>
                <w:color w:val="000000"/>
                <w:sz w:val="21"/>
                <w:szCs w:val="21"/>
                <w:highlight w:val="none"/>
              </w:rPr>
            </w:r>
            <w:r/>
          </w:p>
        </w:tc>
        <w:tc>
          <w:tcPr>
            <w:tcW w:w="1134" w:type="dxa"/>
            <w:vAlign w:val="top"/>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rPr>
                <w:rFonts w:hint="eastAsia" w:ascii="宋体" w:hAnsi="宋体" w:eastAsia="宋体"/>
                <w:color w:val="000000"/>
                <w:sz w:val="21"/>
                <w:szCs w:val="21"/>
                <w:highlight w:val="none"/>
              </w:rPr>
            </w:r>
            <w:r/>
          </w:p>
        </w:tc>
        <w:tc>
          <w:tcPr>
            <w:tcW w:w="969" w:type="dxa"/>
            <w:vAlign w:val="center"/>
            <w:textDirection w:val="lrTb"/>
            <w:noWrap w:val="false"/>
          </w:tcPr>
          <w:p>
            <w:pPr>
              <w:pStyle w:val="1035"/>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rPr>
                <w:rFonts w:hint="eastAsia" w:ascii="宋体" w:hAnsi="宋体" w:eastAsia="宋体"/>
                <w:color w:val="000000"/>
                <w:sz w:val="21"/>
                <w:szCs w:val="21"/>
                <w:highlight w:val="none"/>
              </w:rPr>
            </w:r>
            <w:r/>
          </w:p>
        </w:tc>
      </w:tr>
      <w:tr>
        <w:trPr/>
        <w:tc>
          <w:tcPr>
            <w:tcW w:w="733"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35"/>
              <w:ind w:firstLine="105"/>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c>
          <w:tcPr>
            <w:tcW w:w="733"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c>
          <w:tcPr>
            <w:tcW w:w="733"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35"/>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35"/>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rPr>
          <w:rFonts w:hint="eastAsia" w:ascii="宋体" w:hAnsi="宋体" w:eastAsia="宋体"/>
          <w:bCs/>
          <w:color w:val="000000"/>
          <w:sz w:val="21"/>
          <w:szCs w:val="21"/>
          <w:highlight w:val="none"/>
        </w:rPr>
      </w:r>
      <w:r/>
    </w:p>
    <w:p>
      <w:pPr>
        <w:pStyle w:val="1035"/>
        <w:jc w:val="left"/>
        <w:spacing w:line="48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bookmarkStart w:id="59" w:name="OLE_LINK27"/>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bookmarkEnd w:id="59"/>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35"/>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（四）技术条款偏离表格式</w:t>
      </w:r>
      <w:r>
        <w:rPr>
          <w:rFonts w:hint="eastAsia" w:ascii="宋体" w:hAnsi="宋体" w:eastAsia="宋体"/>
          <w:b/>
          <w:color w:val="000000"/>
          <w:sz w:val="21"/>
          <w:szCs w:val="21"/>
          <w:highlight w:val="none"/>
        </w:rPr>
      </w:r>
      <w:r/>
    </w:p>
    <w:p>
      <w:pPr>
        <w:pStyle w:val="1035"/>
        <w:ind w:left="4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采购项目要求提供的</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技术或服务要求</w:t>
            </w: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color w:val="000000"/>
          <w:sz w:val="21"/>
          <w:szCs w:val="21"/>
          <w:highlight w:val="none"/>
        </w:rPr>
      </w:r>
      <w:r/>
    </w:p>
    <w:p>
      <w:pPr>
        <w:pStyle w:val="103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ind w:firstLine="480"/>
        <w:jc w:val="left"/>
        <w:spacing w:line="420" w:lineRule="auto"/>
        <w:shd w:val="clear" w:color="auto" w:fill="auto"/>
        <w:widowControl/>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宋体" w:eastAsia="黑体"/>
          <w:color w:val="000000"/>
          <w:sz w:val="32"/>
          <w:szCs w:val="32"/>
          <w:highlight w:val="none"/>
        </w:rPr>
      </w:r>
      <w:r/>
    </w:p>
    <w:p>
      <w:pPr>
        <w:pStyle w:val="1035"/>
        <w:jc w:val="center"/>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bCs/>
          <w:color w:val="000000"/>
          <w:sz w:val="32"/>
          <w:szCs w:val="32"/>
          <w:highlight w:val="none"/>
        </w:rPr>
        <w:t xml:space="preserve">南京市食品药品监督检验院食品药品检测设备采购一批</w:t>
      </w:r>
      <w:r>
        <w:rPr>
          <w:rFonts w:hint="eastAsia"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价格部分</w:t>
      </w:r>
      <w:r>
        <w:rPr>
          <w:rFonts w:ascii="黑体" w:hAnsi="宋体" w:eastAsia="黑体"/>
          <w:color w:val="000000"/>
          <w:sz w:val="72"/>
          <w:szCs w:val="72"/>
          <w:highlight w:val="none"/>
        </w:rPr>
      </w:r>
      <w:r/>
    </w:p>
    <w:p>
      <w:pPr>
        <w:pStyle w:val="1035"/>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35"/>
        <w:ind w:firstLine="1280"/>
        <w:spacing w:line="360" w:lineRule="auto"/>
        <w:shd w:val="clear" w:color="auto" w:fill="auto"/>
        <w:rPr>
          <w:rFonts w:ascii="黑体" w:hAnsi="宋体" w:eastAsia="黑体"/>
          <w:color w:val="000000"/>
          <w:sz w:val="32"/>
          <w:szCs w:val="32"/>
          <w:highlight w:val="none"/>
          <w:lang w:val="en-US"/>
        </w:rPr>
      </w:pPr>
      <w:r>
        <w:rPr>
          <w:rFonts w:hint="eastAsia" w:ascii="黑体" w:hAnsi="宋体" w:eastAsia="黑体"/>
          <w:color w:val="000000"/>
          <w:sz w:val="32"/>
          <w:szCs w:val="32"/>
          <w:highlight w:val="none"/>
          <w:lang w:val="en-US"/>
        </w:rPr>
        <w:t xml:space="preserve">分 包 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分包【   】    </w:t>
      </w:r>
      <w:r>
        <w:rPr>
          <w:rFonts w:hint="eastAsia" w:ascii="黑体" w:hAnsi="宋体" w:eastAsia="黑体"/>
          <w:color w:val="000000"/>
          <w:sz w:val="32"/>
          <w:szCs w:val="32"/>
          <w:highlight w:val="none"/>
          <w:u w:val="single"/>
        </w:rPr>
        <w:t xml:space="preserve"> </w:t>
      </w:r>
      <w:r>
        <w:rPr>
          <w:rFonts w:ascii="黑体" w:hAnsi="宋体" w:eastAsia="黑体"/>
          <w:color w:val="000000"/>
          <w:sz w:val="32"/>
          <w:szCs w:val="32"/>
          <w:highlight w:val="none"/>
          <w:lang w:val="en-US"/>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rPr>
        <w:t xml:space="preserve">加盖电子</w:t>
      </w:r>
      <w:r>
        <w:rPr>
          <w:rFonts w:hint="eastAsia" w:ascii="黑体" w:hAnsi="宋体" w:eastAsia="黑体"/>
          <w:color w:val="000000"/>
          <w:sz w:val="32"/>
          <w:szCs w:val="32"/>
          <w:highlight w:val="none"/>
        </w:rPr>
        <w:t xml:space="preserve">公章）</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35"/>
        <w:ind w:firstLine="2880"/>
        <w:spacing w:line="42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hint="eastAsia" w:ascii="黑体" w:hAnsi="宋体" w:eastAsia="黑体"/>
          <w:color w:val="000000"/>
          <w:sz w:val="32"/>
          <w:szCs w:val="32"/>
          <w:highlight w:val="none"/>
        </w:rPr>
      </w:r>
      <w:r/>
    </w:p>
    <w:p>
      <w:pPr>
        <w:pStyle w:val="1035"/>
        <w:jc w:val="center"/>
        <w:spacing w:line="420" w:lineRule="auto"/>
        <w:shd w:val="clear" w:color="auto" w:fill="auto"/>
        <w:rPr>
          <w:rFonts w:hint="eastAsia" w:ascii="黑体" w:hAnsi="黑体" w:eastAsia="黑体" w:cs="黑体"/>
          <w:color w:val="000000"/>
          <w:sz w:val="28"/>
          <w:szCs w:val="28"/>
          <w:highlight w:val="none"/>
        </w:rPr>
      </w:pPr>
      <w:r>
        <w:rPr>
          <w:rFonts w:hint="eastAsia"/>
          <w:color w:val="000000"/>
          <w:highlight w:val="none"/>
        </w:rPr>
        <w:br w:type="page" w:clear="all"/>
      </w:r>
      <w:r>
        <w:rPr>
          <w:rFonts w:hint="eastAsia" w:ascii="黑体" w:hAnsi="黑体" w:eastAsia="黑体" w:cs="黑体"/>
          <w:color w:val="000000"/>
          <w:sz w:val="28"/>
          <w:szCs w:val="28"/>
          <w:highlight w:val="none"/>
        </w:rPr>
        <w:t xml:space="preserve">一、开标一览表格式</w:t>
      </w:r>
      <w:r>
        <w:rPr>
          <w:rFonts w:hint="eastAsia" w:ascii="黑体" w:hAnsi="黑体" w:eastAsia="黑体" w:cs="黑体"/>
          <w:color w:val="000000"/>
          <w:sz w:val="28"/>
          <w:szCs w:val="28"/>
          <w:highlight w:val="none"/>
        </w:rPr>
      </w:r>
      <w:r/>
    </w:p>
    <w:p>
      <w:pPr>
        <w:pStyle w:val="1035"/>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《开标一览表》</w:t>
      </w:r>
      <w:r>
        <w:rPr>
          <w:rFonts w:hint="eastAsia" w:ascii="宋体" w:hAnsi="宋体" w:eastAsia="宋体"/>
          <w:color w:val="000000"/>
          <w:sz w:val="21"/>
          <w:szCs w:val="21"/>
          <w:highlight w:val="none"/>
        </w:rPr>
      </w:r>
      <w:r/>
    </w:p>
    <w:tbl>
      <w:tblPr>
        <w:tblW w:w="95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205"/>
        <w:gridCol w:w="675"/>
        <w:gridCol w:w="2520"/>
        <w:gridCol w:w="1350"/>
        <w:gridCol w:w="2074"/>
      </w:tblGrid>
      <w:tr>
        <w:trPr>
          <w:trHeight w:val="702"/>
        </w:trPr>
        <w:tc>
          <w:tcPr>
            <w:tcW w:w="682"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序号</w:t>
            </w:r>
            <w:r>
              <w:rPr>
                <w:rFonts w:hint="eastAsia" w:hAnsi="宋体" w:cs="宋体"/>
                <w:color w:val="000000"/>
                <w:szCs w:val="21"/>
                <w:highlight w:val="none"/>
              </w:rPr>
            </w:r>
            <w:r/>
          </w:p>
        </w:tc>
        <w:tc>
          <w:tcPr>
            <w:tcW w:w="2205"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项目名称</w:t>
            </w:r>
            <w:r>
              <w:rPr>
                <w:rFonts w:hint="eastAsia" w:hAnsi="宋体" w:cs="宋体"/>
                <w:color w:val="000000"/>
                <w:szCs w:val="21"/>
                <w:highlight w:val="none"/>
              </w:rPr>
            </w:r>
            <w:r/>
          </w:p>
        </w:tc>
        <w:tc>
          <w:tcPr>
            <w:gridSpan w:val="2"/>
            <w:tcW w:w="3195"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r>
            <w:r/>
          </w:p>
        </w:tc>
        <w:tc>
          <w:tcPr>
            <w:tcW w:w="1350"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项目编号</w:t>
            </w:r>
            <w:r>
              <w:rPr>
                <w:rFonts w:hint="eastAsia" w:hAnsi="宋体" w:cs="宋体"/>
                <w:color w:val="000000"/>
                <w:szCs w:val="21"/>
                <w:highlight w:val="none"/>
              </w:rPr>
            </w:r>
            <w:r/>
          </w:p>
        </w:tc>
        <w:tc>
          <w:tcPr>
            <w:tcW w:w="2074"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r>
            <w:r/>
          </w:p>
        </w:tc>
      </w:tr>
      <w:tr>
        <w:trPr>
          <w:trHeight w:val="1463"/>
        </w:trPr>
        <w:tc>
          <w:tcPr>
            <w:tcW w:w="682" w:type="dxa"/>
            <w:vAlign w:val="center"/>
            <w:vMerge w:val="restart"/>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1</w:t>
            </w:r>
            <w:r>
              <w:rPr>
                <w:rFonts w:hint="eastAsia" w:hAnsi="宋体" w:cs="宋体"/>
                <w:color w:val="000000"/>
                <w:szCs w:val="21"/>
                <w:highlight w:val="none"/>
              </w:rPr>
            </w:r>
            <w:r/>
          </w:p>
        </w:tc>
        <w:tc>
          <w:tcPr>
            <w:tcW w:w="2205" w:type="dxa"/>
            <w:vAlign w:val="center"/>
            <w:vMerge w:val="restart"/>
            <w:textDirection w:val="lrTb"/>
            <w:noWrap w:val="false"/>
          </w:tcPr>
          <w:p>
            <w:pPr>
              <w:pStyle w:val="1077"/>
              <w:jc w:val="center"/>
              <w:spacing w:line="360" w:lineRule="auto"/>
              <w:shd w:val="clear" w:color="auto" w:fill="auto"/>
              <w:rPr>
                <w:rFonts w:hAnsi="宋体" w:cs="宋体"/>
                <w:color w:val="000000"/>
                <w:szCs w:val="21"/>
                <w:highlight w:val="none"/>
              </w:rPr>
            </w:pPr>
            <w:r>
              <w:rPr>
                <w:rFonts w:hint="eastAsia" w:hAnsi="宋体" w:cs="宋体"/>
                <w:color w:val="000000"/>
                <w:szCs w:val="21"/>
                <w:highlight w:val="none"/>
              </w:rPr>
              <w:t xml:space="preserve">投标总价</w:t>
            </w:r>
            <w:r>
              <w:rPr>
                <w:rFonts w:hAnsi="宋体" w:cs="宋体"/>
                <w:color w:val="000000"/>
                <w:szCs w:val="21"/>
                <w:highlight w:val="none"/>
              </w:rPr>
            </w:r>
            <w:r/>
          </w:p>
        </w:tc>
        <w:tc>
          <w:tcPr>
            <w:tcW w:w="675" w:type="dxa"/>
            <w:vAlign w:val="center"/>
            <w:vMerge w:val="restart"/>
            <w:textDirection w:val="lrTb"/>
            <w:noWrap w:val="false"/>
          </w:tcPr>
          <w:p>
            <w:pPr>
              <w:pStyle w:val="1077"/>
              <w:jc w:val="center"/>
              <w:spacing w:line="360" w:lineRule="auto"/>
              <w:shd w:val="clear" w:color="auto" w:fill="auto"/>
              <w:rPr>
                <w:rFonts w:hAnsi="宋体" w:cs="宋体"/>
                <w:color w:val="000000"/>
                <w:szCs w:val="21"/>
                <w:highlight w:val="none"/>
              </w:rPr>
            </w:pPr>
            <w:r>
              <w:rPr>
                <w:rFonts w:hint="eastAsia" w:hAnsi="宋体" w:cs="宋体"/>
                <w:color w:val="000000"/>
                <w:szCs w:val="21"/>
                <w:highlight w:val="none"/>
              </w:rPr>
              <w:t xml:space="preserve">合计</w:t>
            </w:r>
            <w:r>
              <w:rPr>
                <w:rFonts w:hAnsi="宋体" w:cs="宋体"/>
                <w:color w:val="000000"/>
                <w:szCs w:val="21"/>
                <w:highlight w:val="none"/>
              </w:rPr>
            </w:r>
            <w:r/>
          </w:p>
        </w:tc>
        <w:tc>
          <w:tcPr>
            <w:gridSpan w:val="3"/>
            <w:tcW w:w="5944"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u w:val="single"/>
              </w:rPr>
            </w:pPr>
            <w:r>
              <w:rPr>
                <w:rFonts w:hint="eastAsia" w:hAnsi="宋体" w:cs="宋体"/>
                <w:color w:val="000000"/>
                <w:szCs w:val="21"/>
                <w:highlight w:val="none"/>
                <w:u w:val="single"/>
              </w:rPr>
              <w:t xml:space="preserve">                            元（大写）</w:t>
            </w:r>
            <w:r>
              <w:rPr>
                <w:rFonts w:hint="eastAsia" w:hAnsi="宋体" w:cs="宋体"/>
                <w:color w:val="000000"/>
                <w:szCs w:val="21"/>
                <w:highlight w:val="none"/>
                <w:u w:val="single"/>
              </w:rPr>
            </w:r>
            <w:r/>
          </w:p>
        </w:tc>
      </w:tr>
      <w:tr>
        <w:trPr>
          <w:trHeight w:val="1463"/>
        </w:trPr>
        <w:tc>
          <w:tcPr>
            <w:tcW w:w="682" w:type="dxa"/>
            <w:vAlign w:val="center"/>
            <w:vMerge w:val="continue"/>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r>
            <w:r/>
          </w:p>
        </w:tc>
        <w:tc>
          <w:tcPr>
            <w:tcW w:w="2205" w:type="dxa"/>
            <w:vAlign w:val="center"/>
            <w:vMerge w:val="continue"/>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r>
            <w:r/>
          </w:p>
        </w:tc>
        <w:tc>
          <w:tcPr>
            <w:tcW w:w="675" w:type="dxa"/>
            <w:vAlign w:val="center"/>
            <w:vMerge w:val="continue"/>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r>
            <w:r/>
          </w:p>
        </w:tc>
        <w:tc>
          <w:tcPr>
            <w:gridSpan w:val="3"/>
            <w:tcW w:w="5944"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u w:val="single"/>
              </w:rPr>
            </w:pPr>
            <w:r>
              <w:rPr>
                <w:rFonts w:hint="eastAsia" w:hAnsi="宋体" w:cs="宋体"/>
                <w:color w:val="000000"/>
                <w:szCs w:val="21"/>
                <w:highlight w:val="none"/>
                <w:u w:val="single"/>
              </w:rPr>
              <w:t xml:space="preserve">                           元（小写）</w:t>
            </w:r>
            <w:r>
              <w:rPr>
                <w:rFonts w:hint="eastAsia" w:hAnsi="宋体" w:cs="宋体"/>
                <w:color w:val="000000"/>
                <w:szCs w:val="21"/>
                <w:highlight w:val="none"/>
                <w:u w:val="single"/>
              </w:rPr>
            </w:r>
            <w:r/>
          </w:p>
        </w:tc>
      </w:tr>
      <w:tr>
        <w:trPr>
          <w:trHeight w:val="872"/>
        </w:trPr>
        <w:tc>
          <w:tcPr>
            <w:tcW w:w="682"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2</w:t>
            </w:r>
            <w:r>
              <w:rPr>
                <w:rFonts w:hint="eastAsia" w:hAnsi="宋体" w:cs="宋体"/>
                <w:color w:val="000000"/>
                <w:szCs w:val="21"/>
                <w:highlight w:val="none"/>
              </w:rPr>
            </w:r>
            <w:r/>
          </w:p>
        </w:tc>
        <w:tc>
          <w:tcPr>
            <w:tcW w:w="2205"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项目交付时间</w:t>
            </w:r>
            <w:r>
              <w:rPr>
                <w:rFonts w:hint="eastAsia" w:hAnsi="宋体" w:cs="宋体"/>
                <w:color w:val="000000"/>
                <w:szCs w:val="21"/>
                <w:highlight w:val="none"/>
              </w:rPr>
            </w:r>
            <w:r/>
          </w:p>
        </w:tc>
        <w:tc>
          <w:tcPr>
            <w:gridSpan w:val="4"/>
            <w:tcW w:w="6619" w:type="dxa"/>
            <w:vAlign w:val="center"/>
            <w:textDirection w:val="lrTb"/>
            <w:noWrap w:val="false"/>
          </w:tcPr>
          <w:p>
            <w:pPr>
              <w:pStyle w:val="107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rPr>
              <w:t xml:space="preserve">满足招标文件要求</w:t>
            </w:r>
            <w:r>
              <w:rPr>
                <w:rFonts w:hint="eastAsia" w:hAnsi="宋体" w:cs="宋体"/>
                <w:color w:val="000000"/>
                <w:szCs w:val="21"/>
                <w:highlight w:val="none"/>
              </w:rPr>
            </w:r>
            <w:r/>
          </w:p>
        </w:tc>
      </w:tr>
      <w:tr>
        <w:trPr>
          <w:trHeight w:val="1192"/>
        </w:trPr>
        <w:tc>
          <w:tcPr>
            <w:tcW w:w="682" w:type="dxa"/>
            <w:vAlign w:val="center"/>
            <w:textDirection w:val="lrTb"/>
            <w:noWrap w:val="false"/>
          </w:tcPr>
          <w:p>
            <w:pPr>
              <w:pStyle w:val="1077"/>
              <w:jc w:val="center"/>
              <w:spacing w:line="360" w:lineRule="auto"/>
              <w:shd w:val="clear" w:color="auto" w:fill="auto"/>
              <w:rPr>
                <w:rFonts w:hAnsi="宋体" w:cs="宋体"/>
                <w:color w:val="000000"/>
                <w:szCs w:val="21"/>
                <w:highlight w:val="none"/>
              </w:rPr>
            </w:pPr>
            <w:r>
              <w:rPr>
                <w:rFonts w:hint="eastAsia" w:hAnsi="宋体" w:cs="宋体"/>
                <w:color w:val="000000"/>
                <w:szCs w:val="21"/>
                <w:highlight w:val="none"/>
              </w:rPr>
              <w:t xml:space="preserve">3</w:t>
            </w:r>
            <w:r>
              <w:rPr>
                <w:rFonts w:hAnsi="宋体" w:cs="宋体"/>
                <w:color w:val="000000"/>
                <w:szCs w:val="21"/>
                <w:highlight w:val="none"/>
              </w:rPr>
            </w:r>
            <w:r/>
          </w:p>
        </w:tc>
        <w:tc>
          <w:tcPr>
            <w:tcW w:w="2205"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供应商提供的货物是否均为小微企业制造的货物</w:t>
            </w:r>
            <w:r>
              <w:rPr>
                <w:rFonts w:hint="eastAsia" w:ascii="宋体" w:hAnsi="宋体" w:eastAsia="宋体"/>
                <w:color w:val="000000"/>
                <w:sz w:val="21"/>
                <w:szCs w:val="21"/>
                <w:highlight w:val="none"/>
                <w:lang w:val="en-US"/>
              </w:rPr>
            </w:r>
            <w:r/>
          </w:p>
        </w:tc>
        <w:tc>
          <w:tcPr>
            <w:gridSpan w:val="4"/>
            <w:tcW w:w="6619"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是       否</w:t>
            </w:r>
            <w:r>
              <w:rPr>
                <w:rFonts w:hint="eastAsia" w:ascii="宋体" w:hAnsi="宋体" w:eastAsia="宋体"/>
                <w:color w:val="000000"/>
                <w:sz w:val="21"/>
                <w:szCs w:val="21"/>
                <w:highlight w:val="none"/>
                <w:lang w:val="en-US"/>
              </w:rPr>
            </w:r>
            <w:r/>
          </w:p>
        </w:tc>
      </w:tr>
    </w:tbl>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highlight w:val="none"/>
          <w:lang w:val="en-US"/>
        </w:rPr>
        <w:t xml:space="preserve">供应商提供的货物存在中型企业或大型企业制造的货物，请在</w:t>
      </w:r>
      <w:r>
        <w:rPr>
          <w:rFonts w:hint="eastAsia" w:ascii="宋体" w:hAnsi="宋体" w:eastAsia="宋体"/>
          <w:color w:val="000000"/>
          <w:sz w:val="21"/>
          <w:szCs w:val="21"/>
          <w:highlight w:val="none"/>
        </w:rPr>
        <w:t xml:space="preserve">“否”上打“√”。</w:t>
      </w:r>
      <w:r>
        <w:rPr>
          <w:rFonts w:hint="eastAsia" w:ascii="宋体" w:hAnsi="宋体" w:eastAsia="宋体"/>
          <w:color w:val="000000"/>
          <w:sz w:val="21"/>
          <w:szCs w:val="21"/>
          <w:highlight w:val="none"/>
        </w:rPr>
      </w:r>
      <w:r/>
    </w:p>
    <w:p>
      <w:pPr>
        <w:pStyle w:val="1035"/>
        <w:ind w:firstLine="63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360" w:lineRule="auto"/>
        <w:shd w:val="clear" w:color="auto" w:fill="auto"/>
        <w:tabs>
          <w:tab w:val="center" w:pos="453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5"/>
        <w:spacing w:line="360" w:lineRule="auto"/>
        <w:shd w:val="clear" w:color="auto" w:fill="auto"/>
        <w:rPr>
          <w:rFonts w:hint="eastAsia" w:eastAsia="宋体"/>
          <w:color w:val="000000"/>
          <w:highlight w:val="none"/>
        </w:rPr>
      </w:pPr>
      <w:r>
        <w:rPr>
          <w:rFonts w:hint="eastAsia" w:eastAsia="宋体"/>
          <w:color w:val="000000"/>
          <w:highlight w:val="none"/>
        </w:rPr>
      </w:r>
      <w:r/>
    </w:p>
    <w:p>
      <w:pPr>
        <w:pStyle w:val="1035"/>
        <w:jc w:val="center"/>
        <w:spacing w:line="360" w:lineRule="auto"/>
        <w:shd w:val="clear" w:color="auto" w:fill="auto"/>
        <w:rPr>
          <w:rFonts w:hint="eastAsia" w:ascii="黑体" w:hAnsi="黑体" w:eastAsia="黑体" w:cs="黑体"/>
          <w:bCs/>
          <w:color w:val="000000"/>
          <w:sz w:val="28"/>
          <w:szCs w:val="28"/>
          <w:highlight w:val="none"/>
        </w:rPr>
      </w:pPr>
      <w:r>
        <w:rPr>
          <w:rFonts w:hint="eastAsia" w:eastAsia="宋体"/>
          <w:color w:val="000000"/>
          <w:highlight w:val="none"/>
        </w:rPr>
        <w:br w:type="page" w:clear="all"/>
      </w:r>
      <w:r>
        <w:rPr>
          <w:rFonts w:hint="eastAsia" w:ascii="黑体" w:hAnsi="黑体" w:eastAsia="黑体" w:cs="黑体"/>
          <w:bCs/>
          <w:color w:val="000000"/>
          <w:sz w:val="28"/>
          <w:szCs w:val="28"/>
          <w:highlight w:val="none"/>
        </w:rPr>
        <w:t xml:space="preserve">二、分项报价表格式</w:t>
      </w:r>
      <w:r>
        <w:rPr>
          <w:rFonts w:hint="eastAsia" w:ascii="黑体" w:hAnsi="黑体" w:eastAsia="黑体" w:cs="黑体"/>
          <w:bCs/>
          <w:color w:val="000000"/>
          <w:sz w:val="28"/>
          <w:szCs w:val="28"/>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《分项报价表》</w:t>
      </w:r>
      <w:r>
        <w:rPr>
          <w:rFonts w:hint="eastAsia" w:ascii="宋体" w:hAnsi="宋体" w:eastAsia="宋体"/>
          <w:color w:val="000000"/>
          <w:sz w:val="21"/>
          <w:szCs w:val="21"/>
          <w:highlight w:val="none"/>
        </w:rPr>
      </w:r>
      <w:r/>
    </w:p>
    <w:tbl>
      <w:tblPr>
        <w:tblW w:w="552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616"/>
        <w:gridCol w:w="2334"/>
        <w:gridCol w:w="1144"/>
        <w:gridCol w:w="916"/>
        <w:gridCol w:w="973"/>
        <w:gridCol w:w="1287"/>
        <w:gridCol w:w="1213"/>
      </w:tblGrid>
      <w:tr>
        <w:trPr>
          <w:trHeight w:val="793"/>
        </w:trPr>
        <w:tc>
          <w:tcPr>
            <w:gridSpan w:val="4"/>
            <w:tcW w:w="5874" w:type="dxa"/>
            <w:vAlign w:val="center"/>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4"/>
            <w:tcW w:w="4389" w:type="dxa"/>
            <w:vAlign w:val="center"/>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品牌、规格或型号或</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分项目</w:t>
            </w:r>
            <w:r>
              <w:rPr>
                <w:rFonts w:hint="eastAsia" w:ascii="宋体" w:hAnsi="宋体" w:eastAsia="宋体"/>
                <w:color w:val="000000"/>
                <w:sz w:val="21"/>
                <w:szCs w:val="21"/>
                <w:highlight w:val="none"/>
              </w:rPr>
            </w:r>
            <w:r/>
          </w:p>
        </w:tc>
        <w:tc>
          <w:tcPr>
            <w:tcW w:w="55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（元）</w:t>
            </w:r>
            <w:r>
              <w:rPr>
                <w:rFonts w:hint="eastAsia" w:ascii="宋体" w:hAnsi="宋体" w:eastAsia="宋体"/>
                <w:color w:val="000000"/>
                <w:sz w:val="21"/>
                <w:szCs w:val="21"/>
                <w:highlight w:val="none"/>
              </w:rPr>
            </w:r>
            <w:r/>
          </w:p>
        </w:tc>
        <w:tc>
          <w:tcPr>
            <w:tcW w:w="446"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rPr>
                <w:rFonts w:hint="eastAsia" w:ascii="宋体" w:hAnsi="宋体" w:eastAsia="宋体"/>
                <w:color w:val="000000"/>
                <w:sz w:val="21"/>
                <w:szCs w:val="21"/>
                <w:highlight w:val="none"/>
              </w:rPr>
            </w:r>
            <w:r/>
          </w:p>
        </w:tc>
        <w:tc>
          <w:tcPr>
            <w:tcW w:w="474"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小计</w:t>
            </w:r>
            <w:r>
              <w:rPr>
                <w:rFonts w:hint="eastAsia" w:ascii="宋体" w:hAnsi="宋体" w:eastAsia="宋体"/>
                <w:color w:val="000000"/>
                <w:sz w:val="21"/>
                <w:szCs w:val="21"/>
                <w:highlight w:val="none"/>
              </w:rPr>
            </w:r>
            <w:r/>
          </w:p>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rPr>
                <w:rFonts w:hint="eastAsia" w:ascii="宋体" w:hAnsi="宋体" w:eastAsia="宋体"/>
                <w:color w:val="000000"/>
                <w:sz w:val="21"/>
                <w:szCs w:val="21"/>
                <w:highlight w:val="none"/>
              </w:rPr>
            </w:r>
            <w:r/>
          </w:p>
        </w:tc>
        <w:tc>
          <w:tcPr>
            <w:tcW w:w="62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是否属于小微企业制造的货物</w:t>
            </w:r>
            <w:r>
              <w:rPr>
                <w:rFonts w:hint="eastAsia" w:ascii="宋体" w:hAnsi="宋体" w:eastAsia="宋体"/>
                <w:color w:val="000000"/>
                <w:sz w:val="21"/>
                <w:szCs w:val="21"/>
                <w:highlight w:val="none"/>
              </w:rPr>
            </w:r>
            <w:r/>
          </w:p>
        </w:tc>
        <w:tc>
          <w:tcPr>
            <w:tcW w:w="59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是否属于节能、环境标志产品</w:t>
            </w: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tcW w:w="38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8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7"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57"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46" w:type="dxa"/>
            <w:vAlign w:val="top"/>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474"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627"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590" w:type="dxa"/>
            <w:vAlign w:val="top"/>
            <w:textDirection w:val="lrTb"/>
            <w:noWrap w:val="false"/>
          </w:tcPr>
          <w:p>
            <w:pPr>
              <w:pStyle w:val="1035"/>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98"/>
        </w:trPr>
        <w:tc>
          <w:tcPr>
            <w:gridSpan w:val="5"/>
            <w:tcW w:w="6790" w:type="dxa"/>
            <w:vAlign w:val="center"/>
            <w:textDirection w:val="lrTb"/>
            <w:noWrap w:val="false"/>
          </w:tcPr>
          <w:p>
            <w:pPr>
              <w:pStyle w:val="103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合计总价</w:t>
            </w:r>
            <w:r>
              <w:rPr>
                <w:rFonts w:hint="eastAsia" w:ascii="宋体" w:hAnsi="宋体" w:eastAsia="宋体"/>
                <w:color w:val="000000"/>
                <w:sz w:val="21"/>
                <w:szCs w:val="21"/>
                <w:highlight w:val="none"/>
              </w:rPr>
            </w:r>
            <w:r/>
          </w:p>
        </w:tc>
        <w:tc>
          <w:tcPr>
            <w:gridSpan w:val="3"/>
            <w:tcW w:w="3473" w:type="dxa"/>
            <w:vAlign w:val="top"/>
            <w:textDirection w:val="lrTb"/>
            <w:noWrap w:val="false"/>
          </w:tcPr>
          <w:p>
            <w:pPr>
              <w:pStyle w:val="1035"/>
              <w:jc w:val="righ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rPr>
                <w:rFonts w:hint="eastAsia" w:ascii="宋体" w:hAnsi="宋体" w:eastAsia="宋体"/>
                <w:color w:val="000000"/>
                <w:sz w:val="21"/>
                <w:szCs w:val="21"/>
                <w:highlight w:val="none"/>
              </w:rPr>
            </w:r>
            <w:r/>
          </w:p>
        </w:tc>
      </w:tr>
    </w:tbl>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加盖电子公</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rPr>
      </w:r>
      <w:r/>
    </w:p>
    <w:p>
      <w:pPr>
        <w:pStyle w:val="1035"/>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说明：1、《分项报价表》中“</w:t>
      </w:r>
      <w:r>
        <w:rPr>
          <w:rFonts w:hint="eastAsia" w:ascii="宋体" w:hAnsi="宋体" w:eastAsia="宋体"/>
          <w:color w:val="000000"/>
          <w:sz w:val="21"/>
          <w:szCs w:val="21"/>
          <w:highlight w:val="none"/>
          <w:lang w:val="en-US"/>
        </w:rPr>
        <w:t xml:space="preserve">合计</w:t>
      </w:r>
      <w:r>
        <w:rPr>
          <w:rFonts w:hint="eastAsia" w:ascii="宋体" w:hAnsi="宋体" w:eastAsia="宋体"/>
          <w:color w:val="000000"/>
          <w:sz w:val="21"/>
          <w:szCs w:val="21"/>
          <w:highlight w:val="none"/>
        </w:rPr>
        <w:t xml:space="preserve">总价”应当与《开标一览表》中“投标总价”一致。</w:t>
      </w:r>
      <w:r>
        <w:rPr>
          <w:rFonts w:hint="eastAsia" w:ascii="宋体" w:hAnsi="宋体" w:eastAsia="宋体"/>
          <w:color w:val="000000"/>
          <w:sz w:val="21"/>
          <w:szCs w:val="21"/>
          <w:highlight w:val="none"/>
        </w:rPr>
      </w:r>
      <w:r/>
    </w:p>
    <w:p>
      <w:pPr>
        <w:pStyle w:val="1035"/>
        <w:spacing w:line="48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2、在“是否属于小微企业制造的货物”栏内，填写“是”或“否”，供应商须根据制造商实际情况如实填写，如供应商提供的货物存在中型企业或大型企业制造的货物，则不享受小微企业价格评审优惠政策。</w:t>
      </w:r>
      <w:r>
        <w:rPr>
          <w:rFonts w:hint="eastAsia" w:ascii="宋体" w:hAnsi="宋体" w:eastAsia="宋体"/>
          <w:color w:val="000000"/>
          <w:sz w:val="21"/>
          <w:szCs w:val="21"/>
          <w:highlight w:val="none"/>
          <w:lang w:val="en-US"/>
        </w:rPr>
      </w:r>
      <w:r/>
    </w:p>
    <w:p>
      <w:pPr>
        <w:pStyle w:val="1035"/>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rPr>
        <w:t xml:space="preserve">      3、在“</w:t>
      </w:r>
      <w:r>
        <w:rPr>
          <w:rFonts w:hint="eastAsia" w:ascii="宋体" w:hAnsi="宋体" w:eastAsia="宋体"/>
          <w:color w:val="000000"/>
          <w:sz w:val="21"/>
          <w:szCs w:val="21"/>
          <w:highlight w:val="none"/>
        </w:rPr>
        <w:t xml:space="preserve">是否属于节能、环境标志产品</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栏内，填写“是”或“否”，如供应商提供的货物为节能、环境标志产品，则该货物必须为列入</w:t>
      </w:r>
      <w:r>
        <w:rPr>
          <w:rFonts w:hint="eastAsia" w:ascii="宋体" w:hAnsi="宋体" w:eastAsia="宋体"/>
          <w:bCs/>
          <w:color w:val="000000"/>
          <w:sz w:val="21"/>
          <w:szCs w:val="21"/>
          <w:highlight w:val="none"/>
        </w:rPr>
        <w:t xml:space="preserve">《节能产品政府采购品目清单》、《环境标志产品政府采购品目清单》的产品，且以供应商提供经国家确定的认证机构出具的、处于有效期之内的产品认证证书复印件为准，否则不享受节能、环境标志产品优先采购政策。</w:t>
      </w:r>
      <w:r/>
    </w:p>
    <w:sectPr>
      <w:headerReference w:type="default" r:id="rId11"/>
      <w:footerReference w:type="default" r:id="rId17"/>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35"/>
                            <w:rPr>
                              <w:rFonts w:hint="eastAsia"/>
                              <w:sz w:val="18"/>
                            </w:rPr>
                          </w:pPr>
                          <w:r>
                            <w:rPr>
                              <w:rFonts w:hint="eastAsia"/>
                              <w:sz w:val="18"/>
                            </w:rPr>
                          </w:r>
                          <w:r/>
                        </w:p>
                        <w:p>
                          <w:pPr>
                            <w:pStyle w:val="103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35"/>
                      <w:rPr>
                        <w:rFonts w:hint="eastAsia"/>
                        <w:sz w:val="18"/>
                      </w:rPr>
                    </w:pPr>
                    <w:r>
                      <w:rPr>
                        <w:rFonts w:hint="eastAsia"/>
                        <w:sz w:val="18"/>
                      </w:rPr>
                    </w:r>
                    <w:r/>
                  </w:p>
                  <w:p>
                    <w:pPr>
                      <w:pStyle w:val="10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sz w:val="21"/>
        <w:szCs w:val="21"/>
      </w:rPr>
    </w:pPr>
    <w:r>
      <w:rPr>
        <w:rFonts w:hint="eastAsia" w:ascii="楷体" w:hAnsi="楷体" w:eastAsia="楷体" w:cs="楷体"/>
        <w:sz w:val="21"/>
        <w:szCs w:val="21"/>
      </w:rPr>
      <w:t xml:space="preserve">江苏省华厦工程项目管理有限公司</w:t>
    </w:r>
    <w:r>
      <w:rPr>
        <w:rFonts w:hint="eastAsia"/>
        <w:sz w:val="21"/>
        <w:szCs w:val="21"/>
      </w:rPr>
    </w:r>
    <w:r/>
  </w:p>
  <w:p>
    <w:pPr>
      <w:pStyle w:val="108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3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03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035"/>
                    </w:pPr>
                    <w:r/>
                    <w:r/>
                  </w:p>
                </w:txbxContent>
              </v:textbox>
            </v:shape>
          </w:pict>
        </mc:Fallback>
      </mc:AlternateConten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left"/>
      <w:tabs>
        <w:tab w:val="left" w:pos="238" w:leader="none"/>
      </w:tabs>
      <w:rPr>
        <w:rFonts w:hint="eastAsia" w:eastAsia="楷体_GB2312"/>
        <w:i/>
      </w:rPr>
    </w:pPr>
    <w:r>
      <w:rPr>
        <w:rFonts w:hint="eastAsia" w:eastAsia="楷体_GB2312"/>
        <w:i/>
      </w:rPr>
      <w:t xml:space="preserve">        </w:t>
    </w:r>
    <w:r>
      <w:rPr>
        <w:rFonts w:hint="eastAsia" w:eastAsia="楷体_GB2312"/>
        <w:i/>
      </w:rPr>
    </w:r>
    <w:r/>
  </w:p>
  <w:p>
    <w:pPr>
      <w:pStyle w:val="1035"/>
      <w:jc w:val="center"/>
      <w:tabs>
        <w:tab w:val="left" w:pos="238" w:leader="none"/>
      </w:tabs>
      <w:rPr>
        <w:rFonts w:hint="eastAsia" w:eastAsia="楷体_GB2312"/>
        <w:i/>
      </w:rPr>
    </w:pPr>
    <w:r>
      <w:rPr>
        <w:rFonts w:hint="eastAsia" w:eastAsia="楷体_GB2312"/>
        <w:iCs/>
      </w:rPr>
      <w:t xml:space="preserve">南京市食品药品监督检验院食品药品检测设备采购一批</w:t>
    </w:r>
    <w:r>
      <w:rPr>
        <w:rFonts w:hint="eastAsia" w:eastAsia="楷体_GB2312"/>
        <w:i/>
      </w:rPr>
    </w:r>
    <w:r/>
  </w:p>
  <w:p>
    <w:pPr>
      <w:pStyle w:val="1035"/>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left" w:pos="238"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left" w:pos="238" w:leader="none"/>
      </w:tabs>
      <w:rPr>
        <w:rFonts w:hint="eastAsia" w:ascii="楷体" w:hAnsi="楷体" w:eastAsia="楷体" w:cs="楷体"/>
        <w:iCs/>
      </w:rPr>
    </w:pPr>
    <w:r>
      <w:rPr>
        <w:rFonts w:hint="eastAsia" w:ascii="楷体" w:hAnsi="楷体" w:eastAsia="楷体" w:cs="楷体"/>
        <w:iCs/>
      </w:rPr>
      <w:t xml:space="preserve">南京市食品药品监督检验院食品药品检测设备采购一批公开招标文件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87"/>
      <w:isLgl w:val="false"/>
      <w:suff w:val="tab"/>
      <w:lvlText w:val=""/>
      <w:lvlJc w:val="left"/>
      <w:pPr>
        <w:pStyle w:val="1035"/>
        <w:ind w:left="420" w:hanging="420"/>
        <w:tabs>
          <w:tab w:val="num" w:pos="420" w:leader="none"/>
        </w:tabs>
      </w:pPr>
      <w:rPr>
        <w:rFonts w:ascii="Wingdings" w:hAnsi="Wingdings"/>
      </w:rPr>
    </w:lvl>
    <w:lvl w:ilvl="1">
      <w:start w:val="1"/>
      <w:numFmt w:val="decimal"/>
      <w:isLgl w:val="false"/>
      <w:suff w:val="tab"/>
      <w:lvlText w:val="（%2）"/>
      <w:lvlJc w:val="left"/>
      <w:pPr>
        <w:pStyle w:val="1035"/>
        <w:ind w:left="1500" w:hanging="1080"/>
        <w:tabs>
          <w:tab w:val="num" w:pos="1500" w:leader="none"/>
        </w:tabs>
      </w:pPr>
      <w:rPr>
        <w:rFonts w:hint="eastAsia"/>
      </w:rPr>
    </w:lvl>
    <w:lvl w:ilvl="2">
      <w:start w:val="1"/>
      <w:numFmt w:val="decimal"/>
      <w:isLgl w:val="false"/>
      <w:suff w:val="tab"/>
      <w:lvlText w:val="（%3）"/>
      <w:lvlJc w:val="left"/>
      <w:pPr>
        <w:pStyle w:val="1035"/>
        <w:ind w:left="1560" w:hanging="720"/>
        <w:tabs>
          <w:tab w:val="num" w:pos="1560" w:leader="none"/>
        </w:tabs>
      </w:pPr>
      <w:rPr>
        <w:rFonts w:hint="eastAsia"/>
      </w:r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2">
    <w:multiLevelType w:val="hybridMultilevel"/>
    <w:lvl w:ilvl="0">
      <w:start w:val="1"/>
      <w:numFmt w:val="decimal"/>
      <w:pStyle w:val="1304"/>
      <w:isLgl w:val="false"/>
      <w:suff w:val="tab"/>
      <w:lvlText w:val="(%1)"/>
      <w:lvlJc w:val="left"/>
      <w:pPr>
        <w:pStyle w:val="103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pStyle w:val="1378"/>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3">
    <w:multiLevelType w:val="hybridMultilevel"/>
    <w:lvl w:ilvl="0">
      <w:start w:val="1"/>
      <w:numFmt w:val="bullet"/>
      <w:pStyle w:val="1339"/>
      <w:isLgl w:val="false"/>
      <w:suff w:val="tab"/>
      <w:lvlText w:val=""/>
      <w:lvlJc w:val="left"/>
      <w:pPr>
        <w:pStyle w:val="103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6"/>
      <w:isLgl w:val="false"/>
      <w:suff w:val="tab"/>
      <w:lvlText w:val="%1"/>
      <w:lvlJc w:val="left"/>
      <w:pPr>
        <w:pStyle w:val="1035"/>
        <w:ind w:left="567" w:hanging="567"/>
        <w:tabs>
          <w:tab w:val="num" w:pos="567" w:leader="none"/>
        </w:tabs>
      </w:pPr>
      <w:rPr>
        <w:rFonts w:hint="eastAsia"/>
      </w:rPr>
    </w:lvl>
    <w:lvl w:ilvl="1">
      <w:start w:val="1"/>
      <w:numFmt w:val="decimal"/>
      <w:pStyle w:val="1242"/>
      <w:isLgl w:val="false"/>
      <w:suff w:val="tab"/>
      <w:lvlText w:val="%1.%2"/>
      <w:lvlJc w:val="left"/>
      <w:pPr>
        <w:pStyle w:val="1035"/>
        <w:ind w:left="567" w:hanging="283"/>
        <w:tabs>
          <w:tab w:val="num" w:pos="1004" w:leader="none"/>
        </w:tabs>
      </w:pPr>
      <w:rPr>
        <w:rFonts w:hint="eastAsia"/>
      </w:rPr>
    </w:lvl>
    <w:lvl w:ilvl="2">
      <w:start w:val="1"/>
      <w:numFmt w:val="decimal"/>
      <w:pStyle w:val="1419"/>
      <w:isLgl w:val="false"/>
      <w:suff w:val="tab"/>
      <w:lvlText w:val="%1.%2.%3"/>
      <w:lvlJc w:val="left"/>
      <w:pPr>
        <w:pStyle w:val="1035"/>
        <w:ind w:left="1134" w:hanging="567"/>
        <w:tabs>
          <w:tab w:val="num" w:pos="1647" w:leader="none"/>
        </w:tabs>
      </w:pPr>
      <w:rPr>
        <w:rFonts w:hint="eastAsia"/>
      </w:rPr>
    </w:lvl>
    <w:lvl w:ilvl="3">
      <w:start w:val="1"/>
      <w:numFmt w:val="decimal"/>
      <w:isLgl w:val="false"/>
      <w:suff w:val="tab"/>
      <w:lvlText w:val="%1.%2.%3.%4"/>
      <w:lvlJc w:val="left"/>
      <w:pPr>
        <w:pStyle w:val="1035"/>
        <w:ind w:left="2851" w:hanging="708"/>
        <w:tabs>
          <w:tab w:val="num" w:pos="3223" w:leader="none"/>
        </w:tabs>
      </w:pPr>
      <w:rPr>
        <w:rFonts w:hint="eastAsia"/>
      </w:rPr>
    </w:lvl>
    <w:lvl w:ilvl="4">
      <w:start w:val="1"/>
      <w:numFmt w:val="decimal"/>
      <w:isLgl w:val="false"/>
      <w:suff w:val="tab"/>
      <w:lvlText w:val="%1.%2.%3.%4.%5"/>
      <w:lvlJc w:val="left"/>
      <w:pPr>
        <w:pStyle w:val="1035"/>
        <w:ind w:left="3418" w:hanging="850"/>
        <w:tabs>
          <w:tab w:val="num" w:pos="3648" w:leader="none"/>
        </w:tabs>
      </w:pPr>
      <w:rPr>
        <w:rFonts w:hint="eastAsia"/>
      </w:rPr>
    </w:lvl>
    <w:lvl w:ilvl="5">
      <w:start w:val="1"/>
      <w:numFmt w:val="decimal"/>
      <w:isLgl w:val="false"/>
      <w:suff w:val="tab"/>
      <w:lvlText w:val="%1.%2.%3.%4.%5.%6"/>
      <w:lvlJc w:val="left"/>
      <w:pPr>
        <w:pStyle w:val="1035"/>
        <w:ind w:left="4127" w:hanging="1134"/>
        <w:tabs>
          <w:tab w:val="num" w:pos="4433" w:leader="none"/>
        </w:tabs>
      </w:pPr>
      <w:rPr>
        <w:rFonts w:hint="eastAsia"/>
      </w:rPr>
    </w:lvl>
    <w:lvl w:ilvl="6">
      <w:start w:val="1"/>
      <w:numFmt w:val="decimal"/>
      <w:isLgl w:val="false"/>
      <w:suff w:val="tab"/>
      <w:lvlText w:val="%1.%2.%3.%4.%5.%6.%7"/>
      <w:lvlJc w:val="left"/>
      <w:pPr>
        <w:pStyle w:val="1035"/>
        <w:ind w:left="4694" w:hanging="1276"/>
        <w:tabs>
          <w:tab w:val="num" w:pos="4858" w:leader="none"/>
        </w:tabs>
      </w:pPr>
      <w:rPr>
        <w:rFonts w:hint="eastAsia"/>
      </w:rPr>
    </w:lvl>
    <w:lvl w:ilvl="7">
      <w:start w:val="1"/>
      <w:numFmt w:val="decimal"/>
      <w:isLgl w:val="false"/>
      <w:suff w:val="tab"/>
      <w:lvlText w:val="%1.%2.%3.%4.%5.%6.%7.%8"/>
      <w:lvlJc w:val="left"/>
      <w:pPr>
        <w:pStyle w:val="1035"/>
        <w:ind w:left="5261" w:hanging="1418"/>
        <w:tabs>
          <w:tab w:val="num" w:pos="5643" w:leader="none"/>
        </w:tabs>
      </w:pPr>
      <w:rPr>
        <w:rFonts w:hint="eastAsia"/>
      </w:rPr>
    </w:lvl>
    <w:lvl w:ilvl="8">
      <w:start w:val="1"/>
      <w:numFmt w:val="decimal"/>
      <w:isLgl w:val="false"/>
      <w:suff w:val="tab"/>
      <w:lvlText w:val="%1.%2.%3.%4.%5.%6.%7.%8.%9"/>
      <w:lvlJc w:val="left"/>
      <w:pPr>
        <w:pStyle w:val="1035"/>
        <w:ind w:left="5969" w:hanging="1700"/>
        <w:tabs>
          <w:tab w:val="num" w:pos="6429" w:leader="none"/>
        </w:tabs>
      </w:pPr>
      <w:rPr>
        <w:rFonts w:hint="eastAsia"/>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1035"/>
    <w:next w:val="1035"/>
    <w:link w:val="860"/>
    <w:uiPriority w:val="9"/>
    <w:qFormat/>
    <w:pPr>
      <w:keepLines/>
      <w:keepNext/>
      <w:spacing w:before="480" w:after="200"/>
      <w:outlineLvl w:val="0"/>
    </w:pPr>
    <w:rPr>
      <w:rFonts w:ascii="Arial" w:hAnsi="Arial" w:eastAsia="Arial" w:cs="Arial"/>
      <w:sz w:val="40"/>
      <w:szCs w:val="40"/>
    </w:rPr>
  </w:style>
  <w:style w:type="character" w:styleId="860">
    <w:name w:val="Heading 1 Char"/>
    <w:link w:val="859"/>
    <w:uiPriority w:val="9"/>
    <w:rPr>
      <w:rFonts w:ascii="Arial" w:hAnsi="Arial" w:eastAsia="Arial" w:cs="Arial"/>
      <w:sz w:val="40"/>
      <w:szCs w:val="40"/>
    </w:rPr>
  </w:style>
  <w:style w:type="paragraph" w:styleId="861">
    <w:name w:val="Heading 2"/>
    <w:basedOn w:val="1035"/>
    <w:next w:val="1035"/>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link w:val="861"/>
    <w:uiPriority w:val="9"/>
    <w:rPr>
      <w:rFonts w:ascii="Arial" w:hAnsi="Arial" w:eastAsia="Arial" w:cs="Arial"/>
      <w:sz w:val="34"/>
    </w:rPr>
  </w:style>
  <w:style w:type="paragraph" w:styleId="863">
    <w:name w:val="Heading 3"/>
    <w:basedOn w:val="1035"/>
    <w:next w:val="1035"/>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1035"/>
    <w:next w:val="1035"/>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1035"/>
    <w:next w:val="1035"/>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1035"/>
    <w:next w:val="1035"/>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35"/>
    <w:next w:val="1035"/>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35"/>
    <w:next w:val="1035"/>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35"/>
    <w:next w:val="1035"/>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Title"/>
    <w:basedOn w:val="1035"/>
    <w:next w:val="1035"/>
    <w:link w:val="878"/>
    <w:uiPriority w:val="10"/>
    <w:qFormat/>
    <w:pPr>
      <w:contextualSpacing/>
      <w:spacing w:before="300" w:after="200"/>
    </w:pPr>
    <w:rPr>
      <w:sz w:val="48"/>
      <w:szCs w:val="48"/>
    </w:rPr>
  </w:style>
  <w:style w:type="character" w:styleId="878">
    <w:name w:val="Title Char"/>
    <w:link w:val="877"/>
    <w:uiPriority w:val="10"/>
    <w:rPr>
      <w:sz w:val="48"/>
      <w:szCs w:val="48"/>
    </w:rPr>
  </w:style>
  <w:style w:type="paragraph" w:styleId="879">
    <w:name w:val="Subtitle"/>
    <w:basedOn w:val="1035"/>
    <w:next w:val="1035"/>
    <w:link w:val="880"/>
    <w:uiPriority w:val="11"/>
    <w:qFormat/>
    <w:pPr>
      <w:spacing w:before="200" w:after="200"/>
    </w:pPr>
    <w:rPr>
      <w:sz w:val="24"/>
      <w:szCs w:val="24"/>
    </w:rPr>
  </w:style>
  <w:style w:type="character" w:styleId="880">
    <w:name w:val="Subtitle Char"/>
    <w:link w:val="879"/>
    <w:uiPriority w:val="11"/>
    <w:rPr>
      <w:sz w:val="24"/>
      <w:szCs w:val="24"/>
    </w:rPr>
  </w:style>
  <w:style w:type="paragraph" w:styleId="881">
    <w:name w:val="Quote"/>
    <w:basedOn w:val="1035"/>
    <w:next w:val="1035"/>
    <w:link w:val="882"/>
    <w:uiPriority w:val="29"/>
    <w:qFormat/>
    <w:pPr>
      <w:ind w:left="720" w:right="720"/>
    </w:pPr>
    <w:rPr>
      <w:i/>
    </w:rPr>
  </w:style>
  <w:style w:type="character" w:styleId="882">
    <w:name w:val="Quote Char"/>
    <w:link w:val="881"/>
    <w:uiPriority w:val="29"/>
    <w:rPr>
      <w:i/>
    </w:rPr>
  </w:style>
  <w:style w:type="paragraph" w:styleId="883">
    <w:name w:val="Intense Quote"/>
    <w:basedOn w:val="1035"/>
    <w:next w:val="1035"/>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paragraph" w:styleId="885">
    <w:name w:val="Header"/>
    <w:basedOn w:val="1035"/>
    <w:link w:val="886"/>
    <w:uiPriority w:val="99"/>
    <w:unhideWhenUsed/>
    <w:pPr>
      <w:spacing w:after="0" w:line="240" w:lineRule="auto"/>
      <w:tabs>
        <w:tab w:val="center" w:pos="7143" w:leader="none"/>
        <w:tab w:val="right" w:pos="14287" w:leader="none"/>
      </w:tabs>
    </w:pPr>
  </w:style>
  <w:style w:type="character" w:styleId="886">
    <w:name w:val="Header Char"/>
    <w:link w:val="885"/>
    <w:uiPriority w:val="99"/>
  </w:style>
  <w:style w:type="paragraph" w:styleId="887">
    <w:name w:val="Footer"/>
    <w:basedOn w:val="1035"/>
    <w:link w:val="890"/>
    <w:uiPriority w:val="99"/>
    <w:unhideWhenUsed/>
    <w:pPr>
      <w:spacing w:after="0" w:line="240" w:lineRule="auto"/>
      <w:tabs>
        <w:tab w:val="center" w:pos="7143" w:leader="none"/>
        <w:tab w:val="right" w:pos="14287" w:leader="none"/>
      </w:tabs>
    </w:pPr>
  </w:style>
  <w:style w:type="character" w:styleId="888">
    <w:name w:val="Footer Char"/>
    <w:link w:val="887"/>
    <w:uiPriority w:val="99"/>
  </w:style>
  <w:style w:type="paragraph" w:styleId="889">
    <w:name w:val="Caption"/>
    <w:basedOn w:val="1035"/>
    <w:next w:val="1035"/>
    <w:uiPriority w:val="35"/>
    <w:semiHidden/>
    <w:unhideWhenUsed/>
    <w:qFormat/>
    <w:pPr>
      <w:spacing w:line="276" w:lineRule="auto"/>
    </w:pPr>
    <w:rPr>
      <w:b/>
      <w:bCs/>
      <w:color w:val="4f81bd" w:themeColor="accent1"/>
      <w:sz w:val="18"/>
      <w:szCs w:val="18"/>
    </w:rPr>
  </w:style>
  <w:style w:type="character" w:styleId="890">
    <w:name w:val="Caption Char"/>
    <w:basedOn w:val="889"/>
    <w:link w:val="887"/>
    <w:uiPriority w:val="99"/>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Hyperlink"/>
    <w:uiPriority w:val="99"/>
    <w:unhideWhenUsed/>
    <w:rPr>
      <w:color w:val="0000ff" w:themeColor="hyperlink"/>
      <w:u w:val="single"/>
    </w:rPr>
  </w:style>
  <w:style w:type="paragraph" w:styleId="1018">
    <w:name w:val="footnote text"/>
    <w:basedOn w:val="1035"/>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35"/>
    <w:link w:val="1035"/>
    <w:qFormat/>
    <w:pPr>
      <w:jc w:val="both"/>
      <w:widowControl w:val="off"/>
    </w:pPr>
    <w:rPr>
      <w:rFonts w:ascii="Calibri" w:hAnsi="Calibri" w:eastAsia="Calibri" w:cs="宋体"/>
      <w:lang w:val="zh-CN" w:eastAsia="zh-CN" w:bidi="ar-SA"/>
    </w:rPr>
  </w:style>
  <w:style w:type="paragraph" w:styleId="1036">
    <w:name w:val="标题 1"/>
    <w:basedOn w:val="1035"/>
    <w:next w:val="1035"/>
    <w:link w:val="1047"/>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37">
    <w:name w:val="标题 2"/>
    <w:basedOn w:val="1035"/>
    <w:next w:val="1035"/>
    <w:link w:val="1048"/>
    <w:qFormat/>
    <w:pPr>
      <w:jc w:val="left"/>
      <w:keepLines/>
      <w:keepNext/>
      <w:spacing w:before="120" w:after="120"/>
      <w:outlineLvl w:val="1"/>
    </w:pPr>
    <w:rPr>
      <w:rFonts w:ascii="宋体" w:hAnsi="宋体" w:eastAsia="宋体" w:cs="Times New Roman"/>
      <w:b/>
      <w:sz w:val="21"/>
      <w:szCs w:val="24"/>
      <w:lang w:val="en-US"/>
    </w:rPr>
  </w:style>
  <w:style w:type="paragraph" w:styleId="1038">
    <w:name w:val="标题 3"/>
    <w:basedOn w:val="1035"/>
    <w:next w:val="1038"/>
    <w:link w:val="1049"/>
    <w:qFormat/>
    <w:pPr>
      <w:keepLines/>
      <w:keepNext/>
      <w:spacing w:line="390" w:lineRule="atLeast"/>
      <w:shd w:val="clear" w:color="auto" w:fill="ffffff"/>
      <w:outlineLvl w:val="2"/>
    </w:pPr>
    <w:rPr>
      <w:rFonts w:ascii="宋体" w:hAnsi="宋体" w:eastAsia="宋体" w:cs="Times New Roman"/>
      <w:b/>
      <w:sz w:val="21"/>
      <w:szCs w:val="21"/>
    </w:rPr>
  </w:style>
  <w:style w:type="paragraph" w:styleId="1039">
    <w:name w:val="标题 4"/>
    <w:basedOn w:val="1035"/>
    <w:next w:val="1035"/>
    <w:link w:val="1050"/>
    <w:qFormat/>
    <w:pPr>
      <w:keepLines/>
      <w:keepNext/>
      <w:spacing w:before="120" w:after="120"/>
      <w:outlineLvl w:val="3"/>
    </w:pPr>
    <w:rPr>
      <w:rFonts w:ascii="Arial" w:hAnsi="Arial" w:eastAsia="黑体" w:cs="Times New Roman"/>
      <w:b/>
      <w:sz w:val="28"/>
      <w:lang w:val="en-US"/>
    </w:rPr>
  </w:style>
  <w:style w:type="paragraph" w:styleId="1040">
    <w:name w:val="标题 5"/>
    <w:basedOn w:val="1035"/>
    <w:next w:val="1052"/>
    <w:link w:val="1051"/>
    <w:qFormat/>
    <w:pPr>
      <w:keepNext/>
      <w:spacing w:before="156" w:after="156"/>
      <w:outlineLvl w:val="4"/>
    </w:pPr>
    <w:rPr>
      <w:rFonts w:ascii="黑体" w:hAnsi="Times New Roman" w:eastAsia="黑体" w:cs="Times New Roman"/>
      <w:b/>
      <w:color w:val="000000"/>
      <w:sz w:val="28"/>
      <w:lang w:val="en-US"/>
    </w:rPr>
  </w:style>
  <w:style w:type="paragraph" w:styleId="1041">
    <w:name w:val="标题 6"/>
    <w:basedOn w:val="1035"/>
    <w:next w:val="1035"/>
    <w:link w:val="1053"/>
    <w:qFormat/>
    <w:pPr>
      <w:keepLines/>
      <w:keepNext/>
      <w:spacing w:before="240" w:after="64" w:line="320" w:lineRule="auto"/>
      <w:outlineLvl w:val="5"/>
    </w:pPr>
    <w:rPr>
      <w:rFonts w:ascii="Arial" w:hAnsi="Arial" w:eastAsia="黑体" w:cs="Times New Roman"/>
      <w:b/>
      <w:bCs/>
      <w:sz w:val="24"/>
      <w:szCs w:val="24"/>
      <w:lang w:val="en-US"/>
    </w:rPr>
  </w:style>
  <w:style w:type="paragraph" w:styleId="1042">
    <w:name w:val="标题 7"/>
    <w:basedOn w:val="1035"/>
    <w:next w:val="1035"/>
    <w:link w:val="1054"/>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43">
    <w:name w:val="标题 8"/>
    <w:basedOn w:val="1035"/>
    <w:next w:val="1035"/>
    <w:link w:val="1055"/>
    <w:qFormat/>
    <w:pPr>
      <w:keepLines/>
      <w:keepNext/>
      <w:spacing w:before="240" w:after="64" w:line="320" w:lineRule="auto"/>
      <w:outlineLvl w:val="7"/>
    </w:pPr>
    <w:rPr>
      <w:rFonts w:ascii="Arial" w:hAnsi="Arial" w:eastAsia="黑体" w:cs="Times New Roman"/>
      <w:sz w:val="24"/>
      <w:szCs w:val="24"/>
      <w:lang w:val="en-US"/>
    </w:rPr>
  </w:style>
  <w:style w:type="paragraph" w:styleId="1044">
    <w:name w:val="标题 9"/>
    <w:basedOn w:val="1035"/>
    <w:next w:val="1035"/>
    <w:link w:val="1056"/>
    <w:qFormat/>
    <w:pPr>
      <w:keepLines/>
      <w:keepNext/>
      <w:spacing w:before="240" w:after="64" w:line="320" w:lineRule="auto"/>
      <w:outlineLvl w:val="8"/>
    </w:pPr>
    <w:rPr>
      <w:rFonts w:ascii="Arial" w:hAnsi="Arial" w:eastAsia="黑体" w:cs="Times New Roman"/>
      <w:sz w:val="21"/>
      <w:szCs w:val="21"/>
      <w:lang w:val="en-US"/>
    </w:rPr>
  </w:style>
  <w:style w:type="character" w:styleId="1045">
    <w:name w:val="默认段落字体"/>
    <w:next w:val="1045"/>
    <w:link w:val="1035"/>
    <w:semiHidden/>
  </w:style>
  <w:style w:type="table" w:styleId="1046">
    <w:name w:val="普通表格"/>
    <w:next w:val="1046"/>
    <w:link w:val="1035"/>
    <w:uiPriority w:val="99"/>
    <w:unhideWhenUsed/>
    <w:tblPr/>
  </w:style>
  <w:style w:type="character" w:styleId="1047">
    <w:name w:val="标题 1 字符"/>
    <w:next w:val="1047"/>
    <w:link w:val="1036"/>
    <w:rPr>
      <w:rFonts w:ascii="黑体" w:eastAsia="黑体"/>
      <w:b/>
      <w:sz w:val="24"/>
      <w:szCs w:val="28"/>
      <w:lang w:val="en-US" w:eastAsia="zh-CN" w:bidi="ar-SA"/>
    </w:rPr>
  </w:style>
  <w:style w:type="character" w:styleId="1048">
    <w:name w:val="标题 2 字符"/>
    <w:next w:val="1048"/>
    <w:link w:val="1037"/>
    <w:rPr>
      <w:rFonts w:ascii="宋体" w:hAnsi="宋体" w:eastAsia="宋体"/>
      <w:b/>
      <w:sz w:val="21"/>
      <w:szCs w:val="24"/>
      <w:lang w:val="en-US" w:eastAsia="zh-CN" w:bidi="ar-SA"/>
    </w:rPr>
  </w:style>
  <w:style w:type="character" w:styleId="1049">
    <w:name w:val="标题 3 字符"/>
    <w:next w:val="1049"/>
    <w:link w:val="1038"/>
    <w:rPr>
      <w:rFonts w:ascii="宋体" w:hAnsi="宋体" w:eastAsia="宋体"/>
      <w:b/>
      <w:sz w:val="21"/>
      <w:szCs w:val="21"/>
      <w:shd w:val="clear" w:color="auto" w:fill="ffffff"/>
    </w:rPr>
  </w:style>
  <w:style w:type="character" w:styleId="1050">
    <w:name w:val="标题 4 字符"/>
    <w:next w:val="1050"/>
    <w:link w:val="1039"/>
    <w:rPr>
      <w:rFonts w:ascii="Arial" w:hAnsi="Arial" w:eastAsia="黑体"/>
      <w:b/>
      <w:sz w:val="28"/>
      <w:lang w:val="en-US" w:eastAsia="zh-CN" w:bidi="ar-SA"/>
    </w:rPr>
  </w:style>
  <w:style w:type="character" w:styleId="1051">
    <w:name w:val="标题 5 字符"/>
    <w:next w:val="1051"/>
    <w:link w:val="1040"/>
    <w:rPr>
      <w:rFonts w:ascii="黑体" w:eastAsia="黑体"/>
      <w:b/>
      <w:color w:val="000000"/>
      <w:sz w:val="28"/>
      <w:lang w:val="en-US" w:eastAsia="zh-CN" w:bidi="ar-SA"/>
    </w:rPr>
  </w:style>
  <w:style w:type="paragraph" w:styleId="1052">
    <w:name w:val="正文缩进"/>
    <w:basedOn w:val="1035"/>
    <w:next w:val="1052"/>
    <w:link w:val="1035"/>
    <w:pPr>
      <w:ind w:firstLine="420"/>
    </w:pPr>
  </w:style>
  <w:style w:type="character" w:styleId="1053">
    <w:name w:val="标题 6 字符"/>
    <w:next w:val="1053"/>
    <w:link w:val="1041"/>
    <w:rPr>
      <w:rFonts w:ascii="Arial" w:hAnsi="Arial" w:eastAsia="黑体"/>
      <w:b/>
      <w:bCs/>
      <w:sz w:val="24"/>
      <w:szCs w:val="24"/>
      <w:lang w:val="en-US" w:eastAsia="zh-CN" w:bidi="ar-SA"/>
    </w:rPr>
  </w:style>
  <w:style w:type="character" w:styleId="1054">
    <w:name w:val="标题 7 字符"/>
    <w:next w:val="1054"/>
    <w:link w:val="1042"/>
    <w:rPr>
      <w:rFonts w:eastAsia="宋体"/>
      <w:b/>
      <w:bCs/>
      <w:sz w:val="24"/>
      <w:szCs w:val="24"/>
      <w:lang w:val="en-US" w:eastAsia="zh-CN" w:bidi="ar-SA"/>
    </w:rPr>
  </w:style>
  <w:style w:type="character" w:styleId="1055">
    <w:name w:val="标题 8 字符"/>
    <w:next w:val="1055"/>
    <w:link w:val="1043"/>
    <w:rPr>
      <w:rFonts w:ascii="Arial" w:hAnsi="Arial" w:eastAsia="黑体"/>
      <w:sz w:val="24"/>
      <w:szCs w:val="24"/>
      <w:lang w:val="en-US" w:eastAsia="zh-CN" w:bidi="ar-SA"/>
    </w:rPr>
  </w:style>
  <w:style w:type="character" w:styleId="1056">
    <w:name w:val="标题 9 字符"/>
    <w:next w:val="1056"/>
    <w:link w:val="1044"/>
    <w:rPr>
      <w:rFonts w:ascii="Arial" w:hAnsi="Arial" w:eastAsia="黑体"/>
      <w:sz w:val="21"/>
      <w:szCs w:val="21"/>
      <w:lang w:val="en-US" w:eastAsia="zh-CN" w:bidi="ar-SA"/>
    </w:rPr>
  </w:style>
  <w:style w:type="paragraph" w:styleId="1057">
    <w:name w:val="列表 3"/>
    <w:basedOn w:val="1035"/>
    <w:next w:val="1057"/>
    <w:link w:val="1035"/>
    <w:pPr>
      <w:ind w:left="1260" w:hanging="420"/>
    </w:pPr>
  </w:style>
  <w:style w:type="paragraph" w:styleId="1058">
    <w:name w:val="目录 7"/>
    <w:basedOn w:val="1035"/>
    <w:next w:val="1035"/>
    <w:link w:val="1035"/>
    <w:semiHidden/>
    <w:pPr>
      <w:ind w:left="1260"/>
      <w:jc w:val="left"/>
    </w:pPr>
    <w:rPr>
      <w:sz w:val="18"/>
    </w:rPr>
  </w:style>
  <w:style w:type="paragraph" w:styleId="1059">
    <w:name w:val="列表编号 2"/>
    <w:basedOn w:val="1035"/>
    <w:next w:val="1059"/>
    <w:link w:val="1035"/>
    <w:pPr>
      <w:ind w:left="1440" w:hanging="1440"/>
      <w:spacing w:line="360" w:lineRule="auto"/>
      <w:tabs>
        <w:tab w:val="left" w:pos="1440" w:leader="none"/>
      </w:tabs>
    </w:pPr>
    <w:rPr>
      <w:sz w:val="24"/>
      <w:szCs w:val="24"/>
    </w:rPr>
  </w:style>
  <w:style w:type="paragraph" w:styleId="1060">
    <w:name w:val="索引 8"/>
    <w:basedOn w:val="1035"/>
    <w:next w:val="1035"/>
    <w:link w:val="1035"/>
    <w:semiHidden/>
    <w:pPr>
      <w:ind w:left="2940"/>
    </w:pPr>
  </w:style>
  <w:style w:type="paragraph" w:styleId="1061">
    <w:name w:val="列表编号"/>
    <w:basedOn w:val="1035"/>
    <w:next w:val="1061"/>
    <w:link w:val="1035"/>
    <w:pPr>
      <w:ind w:left="2952" w:hanging="432"/>
      <w:tabs>
        <w:tab w:val="left" w:pos="2952" w:leader="none"/>
      </w:tabs>
    </w:pPr>
    <w:rPr>
      <w:szCs w:val="24"/>
    </w:rPr>
  </w:style>
  <w:style w:type="paragraph" w:styleId="1062">
    <w:name w:val="索引 5"/>
    <w:basedOn w:val="1035"/>
    <w:next w:val="1035"/>
    <w:link w:val="1035"/>
    <w:semiHidden/>
    <w:pPr>
      <w:ind w:left="1680"/>
    </w:pPr>
  </w:style>
  <w:style w:type="paragraph" w:styleId="1063">
    <w:name w:val="文档结构图"/>
    <w:basedOn w:val="1035"/>
    <w:next w:val="1063"/>
    <w:link w:val="1064"/>
    <w:semiHidden/>
    <w:pPr>
      <w:shd w:val="clear" w:color="auto" w:fill="000080"/>
    </w:pPr>
    <w:rPr>
      <w:rFonts w:ascii="Times New Roman" w:hAnsi="Times New Roman" w:eastAsia="宋体" w:cs="Times New Roman"/>
      <w:sz w:val="21"/>
      <w:lang w:val="en-US"/>
    </w:rPr>
  </w:style>
  <w:style w:type="character" w:styleId="1064">
    <w:name w:val="文档结构图 字符"/>
    <w:next w:val="1064"/>
    <w:link w:val="1063"/>
    <w:rPr>
      <w:rFonts w:eastAsia="宋体"/>
      <w:sz w:val="21"/>
      <w:lang w:val="en-US" w:eastAsia="zh-CN" w:bidi="ar-SA"/>
    </w:rPr>
  </w:style>
  <w:style w:type="paragraph" w:styleId="1065">
    <w:name w:val="批注文字"/>
    <w:basedOn w:val="1035"/>
    <w:next w:val="1065"/>
    <w:link w:val="1066"/>
    <w:uiPriority w:val="99"/>
    <w:qFormat/>
    <w:pPr>
      <w:jc w:val="left"/>
    </w:pPr>
    <w:rPr>
      <w:rFonts w:ascii="Times New Roman" w:hAnsi="Times New Roman" w:eastAsia="宋体" w:cs="Times New Roman"/>
      <w:sz w:val="21"/>
      <w:lang w:val="en-US"/>
    </w:rPr>
  </w:style>
  <w:style w:type="character" w:styleId="1066">
    <w:name w:val="批注文字 字符"/>
    <w:next w:val="1066"/>
    <w:link w:val="1065"/>
    <w:uiPriority w:val="99"/>
    <w:qFormat/>
    <w:rPr>
      <w:rFonts w:eastAsia="宋体"/>
      <w:sz w:val="21"/>
      <w:lang w:val="en-US" w:eastAsia="zh-CN" w:bidi="ar-SA"/>
    </w:rPr>
  </w:style>
  <w:style w:type="paragraph" w:styleId="1067">
    <w:name w:val="索引 6"/>
    <w:basedOn w:val="1035"/>
    <w:next w:val="1035"/>
    <w:link w:val="1035"/>
    <w:semiHidden/>
    <w:pPr>
      <w:ind w:left="2100"/>
    </w:pPr>
  </w:style>
  <w:style w:type="paragraph" w:styleId="1068">
    <w:name w:val="称呼"/>
    <w:basedOn w:val="1035"/>
    <w:next w:val="1035"/>
    <w:link w:val="1035"/>
    <w:rPr>
      <w:rFonts w:ascii="仿宋_GB2312" w:eastAsia="仿宋_GB2312"/>
      <w:sz w:val="28"/>
    </w:rPr>
  </w:style>
  <w:style w:type="paragraph" w:styleId="1069">
    <w:name w:val="正文文本 3"/>
    <w:basedOn w:val="1035"/>
    <w:next w:val="1069"/>
    <w:link w:val="1035"/>
    <w:rPr>
      <w:rFonts w:ascii="仿宋_GB2312" w:hAnsi="Arial" w:eastAsia="仿宋_GB2312"/>
      <w:sz w:val="32"/>
    </w:rPr>
  </w:style>
  <w:style w:type="paragraph" w:styleId="1070">
    <w:name w:val="正文文本"/>
    <w:basedOn w:val="1035"/>
    <w:next w:val="1070"/>
    <w:link w:val="1035"/>
    <w:rPr>
      <w:rFonts w:ascii="楷体_GB2312" w:hAnsi="Arial" w:eastAsia="楷体_GB2312"/>
      <w:sz w:val="28"/>
    </w:rPr>
  </w:style>
  <w:style w:type="paragraph" w:styleId="1071">
    <w:name w:val="正文文本缩进"/>
    <w:basedOn w:val="1035"/>
    <w:next w:val="1071"/>
    <w:link w:val="1072"/>
    <w:pPr>
      <w:ind w:firstLine="645"/>
    </w:pPr>
    <w:rPr>
      <w:rFonts w:ascii="楷体_GB2312" w:hAnsi="Times New Roman" w:eastAsia="楷体_GB2312" w:cs="Times New Roman"/>
      <w:sz w:val="32"/>
      <w:lang w:val="en-US"/>
    </w:rPr>
  </w:style>
  <w:style w:type="character" w:styleId="1072">
    <w:name w:val="正文文本缩进 字符"/>
    <w:next w:val="1072"/>
    <w:link w:val="1071"/>
    <w:rPr>
      <w:rFonts w:ascii="楷体_GB2312" w:eastAsia="楷体_GB2312"/>
      <w:sz w:val="32"/>
      <w:lang w:val="en-US" w:eastAsia="zh-CN" w:bidi="ar-SA"/>
    </w:rPr>
  </w:style>
  <w:style w:type="paragraph" w:styleId="1073">
    <w:name w:val="文本块"/>
    <w:basedOn w:val="1035"/>
    <w:next w:val="1073"/>
    <w:link w:val="1035"/>
    <w:uiPriority w:val="99"/>
    <w:unhideWhenUsed/>
    <w:qFormat/>
    <w:pPr>
      <w:ind w:left="1440" w:right="1440"/>
      <w:spacing w:after="120"/>
    </w:pPr>
  </w:style>
  <w:style w:type="paragraph" w:styleId="1074">
    <w:name w:val="索引 4"/>
    <w:basedOn w:val="1035"/>
    <w:next w:val="1035"/>
    <w:link w:val="1035"/>
    <w:semiHidden/>
    <w:pPr>
      <w:ind w:left="1260"/>
    </w:pPr>
  </w:style>
  <w:style w:type="paragraph" w:styleId="1075">
    <w:name w:val="目录 5"/>
    <w:basedOn w:val="1035"/>
    <w:next w:val="1035"/>
    <w:link w:val="1035"/>
    <w:semiHidden/>
    <w:pPr>
      <w:ind w:left="840"/>
      <w:jc w:val="left"/>
    </w:pPr>
    <w:rPr>
      <w:sz w:val="18"/>
    </w:rPr>
  </w:style>
  <w:style w:type="paragraph" w:styleId="1076">
    <w:name w:val="目录 3"/>
    <w:basedOn w:val="1035"/>
    <w:next w:val="1035"/>
    <w:link w:val="1035"/>
    <w:semiHidden/>
    <w:pPr>
      <w:ind w:left="420"/>
      <w:jc w:val="left"/>
    </w:pPr>
    <w:rPr>
      <w:i/>
      <w:sz w:val="20"/>
    </w:rPr>
  </w:style>
  <w:style w:type="paragraph" w:styleId="1077">
    <w:name w:val="纯文本"/>
    <w:basedOn w:val="1035"/>
    <w:next w:val="1077"/>
    <w:link w:val="1078"/>
    <w:rPr>
      <w:rFonts w:ascii="宋体" w:hAnsi="Courier New" w:eastAsia="宋体" w:cs="Times New Roman"/>
      <w:sz w:val="21"/>
      <w:lang w:val="en-US"/>
    </w:rPr>
  </w:style>
  <w:style w:type="character" w:styleId="1078">
    <w:name w:val="纯文本 字符"/>
    <w:next w:val="1078"/>
    <w:link w:val="1077"/>
    <w:rPr>
      <w:rFonts w:ascii="宋体" w:hAnsi="Courier New" w:eastAsia="宋体"/>
      <w:sz w:val="21"/>
      <w:lang w:val="en-US" w:eastAsia="zh-CN" w:bidi="ar-SA"/>
    </w:rPr>
  </w:style>
  <w:style w:type="paragraph" w:styleId="1079">
    <w:name w:val="目录 8"/>
    <w:basedOn w:val="1035"/>
    <w:next w:val="1035"/>
    <w:link w:val="1035"/>
    <w:semiHidden/>
    <w:pPr>
      <w:ind w:left="1470"/>
      <w:jc w:val="left"/>
    </w:pPr>
    <w:rPr>
      <w:sz w:val="18"/>
    </w:rPr>
  </w:style>
  <w:style w:type="paragraph" w:styleId="1080">
    <w:name w:val="索引 3"/>
    <w:basedOn w:val="1035"/>
    <w:next w:val="1035"/>
    <w:link w:val="1035"/>
    <w:semiHidden/>
    <w:pPr>
      <w:ind w:left="840"/>
    </w:pPr>
  </w:style>
  <w:style w:type="paragraph" w:styleId="1081">
    <w:name w:val="日期"/>
    <w:basedOn w:val="1035"/>
    <w:next w:val="1035"/>
    <w:link w:val="1035"/>
    <w:pPr>
      <w:ind w:left="100"/>
    </w:pPr>
    <w:rPr>
      <w:sz w:val="28"/>
    </w:rPr>
  </w:style>
  <w:style w:type="paragraph" w:styleId="1082">
    <w:name w:val="正文文本缩进 2"/>
    <w:basedOn w:val="1035"/>
    <w:next w:val="1082"/>
    <w:link w:val="1083"/>
    <w:pPr>
      <w:ind w:left="630" w:firstLine="645"/>
    </w:pPr>
    <w:rPr>
      <w:rFonts w:ascii="Arial" w:hAnsi="Arial" w:eastAsia="仿宋_GB2312" w:cs="Times New Roman"/>
      <w:sz w:val="32"/>
      <w:lang w:val="en-US"/>
    </w:rPr>
  </w:style>
  <w:style w:type="character" w:styleId="1083">
    <w:name w:val="正文文本缩进 2 字符"/>
    <w:next w:val="1083"/>
    <w:link w:val="1082"/>
    <w:rPr>
      <w:rFonts w:ascii="Arial" w:hAnsi="Arial" w:eastAsia="仿宋_GB2312"/>
      <w:sz w:val="32"/>
      <w:lang w:val="en-US" w:eastAsia="zh-CN" w:bidi="ar-SA"/>
    </w:rPr>
  </w:style>
  <w:style w:type="paragraph" w:styleId="1084">
    <w:name w:val="尾注文本"/>
    <w:basedOn w:val="1035"/>
    <w:next w:val="1084"/>
    <w:link w:val="1035"/>
    <w:pPr>
      <w:jc w:val="left"/>
    </w:pPr>
    <w:rPr>
      <w:sz w:val="20"/>
      <w:szCs w:val="24"/>
    </w:rPr>
  </w:style>
  <w:style w:type="paragraph" w:styleId="1085">
    <w:name w:val="批注框文本"/>
    <w:basedOn w:val="1035"/>
    <w:next w:val="1085"/>
    <w:link w:val="1035"/>
    <w:semiHidden/>
    <w:rPr>
      <w:sz w:val="18"/>
      <w:szCs w:val="18"/>
    </w:rPr>
  </w:style>
  <w:style w:type="paragraph" w:styleId="1086">
    <w:name w:val="页脚"/>
    <w:basedOn w:val="1035"/>
    <w:next w:val="1086"/>
    <w:link w:val="1087"/>
    <w:pPr>
      <w:jc w:val="left"/>
      <w:tabs>
        <w:tab w:val="center" w:pos="4153" w:leader="none"/>
        <w:tab w:val="right" w:pos="8306" w:leader="none"/>
      </w:tabs>
    </w:pPr>
    <w:rPr>
      <w:rFonts w:ascii="Times New Roman" w:hAnsi="Times New Roman" w:eastAsia="宋体" w:cs="Times New Roman"/>
      <w:sz w:val="18"/>
    </w:rPr>
  </w:style>
  <w:style w:type="character" w:styleId="1087">
    <w:name w:val="页脚 字符"/>
    <w:next w:val="1087"/>
    <w:link w:val="1086"/>
    <w:rPr>
      <w:sz w:val="18"/>
    </w:rPr>
  </w:style>
  <w:style w:type="paragraph" w:styleId="1088">
    <w:name w:val="页眉"/>
    <w:basedOn w:val="1035"/>
    <w:next w:val="1088"/>
    <w:link w:val="1035"/>
    <w:pPr>
      <w:jc w:val="center"/>
      <w:tabs>
        <w:tab w:val="center" w:pos="4153" w:leader="none"/>
        <w:tab w:val="right" w:pos="8306" w:leader="none"/>
      </w:tabs>
      <w:pBdr>
        <w:bottom w:val="single" w:color="000000" w:sz="6" w:space="1"/>
      </w:pBdr>
    </w:pPr>
    <w:rPr>
      <w:sz w:val="18"/>
    </w:rPr>
  </w:style>
  <w:style w:type="paragraph" w:styleId="1089">
    <w:name w:val="签名"/>
    <w:basedOn w:val="1035"/>
    <w:next w:val="1089"/>
    <w:link w:val="1035"/>
    <w:pPr>
      <w:jc w:val="center"/>
      <w:spacing w:after="600" w:line="312" w:lineRule="atLeast"/>
    </w:pPr>
    <w:rPr>
      <w:rFonts w:eastAsia="仿宋_GB2312"/>
      <w:sz w:val="24"/>
    </w:rPr>
  </w:style>
  <w:style w:type="paragraph" w:styleId="1090">
    <w:name w:val="目录 1"/>
    <w:basedOn w:val="1035"/>
    <w:next w:val="1035"/>
    <w:link w:val="1035"/>
    <w:semiHidden/>
    <w:pPr>
      <w:jc w:val="left"/>
      <w:spacing w:before="120" w:after="120"/>
    </w:pPr>
    <w:rPr>
      <w:b/>
      <w:caps/>
      <w:sz w:val="20"/>
    </w:rPr>
  </w:style>
  <w:style w:type="paragraph" w:styleId="1091">
    <w:name w:val="目录 4"/>
    <w:basedOn w:val="1035"/>
    <w:next w:val="1035"/>
    <w:link w:val="1035"/>
    <w:semiHidden/>
    <w:pPr>
      <w:ind w:left="630"/>
      <w:jc w:val="left"/>
    </w:pPr>
    <w:rPr>
      <w:sz w:val="18"/>
    </w:rPr>
  </w:style>
  <w:style w:type="paragraph" w:styleId="1092">
    <w:name w:val="索引标题"/>
    <w:basedOn w:val="1035"/>
    <w:next w:val="1093"/>
    <w:link w:val="1035"/>
    <w:semiHidden/>
  </w:style>
  <w:style w:type="paragraph" w:styleId="1093">
    <w:name w:val="索引 1"/>
    <w:basedOn w:val="1035"/>
    <w:next w:val="1035"/>
    <w:link w:val="1035"/>
    <w:semiHidden/>
    <w:rPr>
      <w:rFonts w:ascii="仿宋_GB2312" w:hAnsi="宋体" w:eastAsia="仿宋_GB2312"/>
      <w:sz w:val="30"/>
      <w:szCs w:val="24"/>
    </w:rPr>
  </w:style>
  <w:style w:type="paragraph" w:styleId="1094">
    <w:name w:val="副标题"/>
    <w:basedOn w:val="1035"/>
    <w:next w:val="1035"/>
    <w:link w:val="1035"/>
    <w:qFormat/>
    <w:pPr>
      <w:jc w:val="left"/>
      <w:spacing w:after="600" w:line="276" w:lineRule="auto"/>
      <w:widowControl/>
    </w:pPr>
    <w:rPr>
      <w:rFonts w:ascii="Cambria" w:hAnsi="Cambria"/>
      <w:i/>
      <w:iCs/>
      <w:spacing w:val="13"/>
      <w:sz w:val="24"/>
      <w:szCs w:val="24"/>
      <w:lang w:eastAsia="en-US" w:bidi="en-US"/>
    </w:rPr>
  </w:style>
  <w:style w:type="paragraph" w:styleId="1095">
    <w:name w:val="脚注文本"/>
    <w:basedOn w:val="1035"/>
    <w:next w:val="1095"/>
    <w:link w:val="1035"/>
    <w:pPr>
      <w:jc w:val="left"/>
    </w:pPr>
    <w:rPr>
      <w:sz w:val="18"/>
      <w:szCs w:val="18"/>
    </w:rPr>
  </w:style>
  <w:style w:type="paragraph" w:styleId="1096">
    <w:name w:val="目录 6"/>
    <w:basedOn w:val="1035"/>
    <w:next w:val="1035"/>
    <w:link w:val="1035"/>
    <w:semiHidden/>
    <w:pPr>
      <w:ind w:left="1050"/>
      <w:jc w:val="left"/>
    </w:pPr>
    <w:rPr>
      <w:sz w:val="18"/>
    </w:rPr>
  </w:style>
  <w:style w:type="paragraph" w:styleId="1097">
    <w:name w:val="正文文本缩进 3"/>
    <w:basedOn w:val="1035"/>
    <w:next w:val="1097"/>
    <w:link w:val="1098"/>
    <w:pPr>
      <w:ind w:left="645" w:firstLine="645"/>
    </w:pPr>
    <w:rPr>
      <w:rFonts w:ascii="Arial" w:hAnsi="Arial" w:eastAsia="仿宋_GB2312" w:cs="Times New Roman"/>
      <w:color w:val="ffff00"/>
      <w:sz w:val="32"/>
      <w:lang w:val="en-US"/>
    </w:rPr>
  </w:style>
  <w:style w:type="character" w:styleId="1098">
    <w:name w:val="正文文本缩进 3 字符"/>
    <w:next w:val="1098"/>
    <w:link w:val="1097"/>
    <w:rPr>
      <w:rFonts w:ascii="Arial" w:hAnsi="Arial" w:eastAsia="仿宋_GB2312"/>
      <w:color w:val="ffff00"/>
      <w:sz w:val="32"/>
      <w:lang w:val="en-US" w:eastAsia="zh-CN" w:bidi="ar-SA"/>
    </w:rPr>
  </w:style>
  <w:style w:type="paragraph" w:styleId="1099">
    <w:name w:val="索引 7"/>
    <w:basedOn w:val="1035"/>
    <w:next w:val="1035"/>
    <w:link w:val="1035"/>
    <w:semiHidden/>
    <w:pPr>
      <w:ind w:left="2520"/>
    </w:pPr>
  </w:style>
  <w:style w:type="paragraph" w:styleId="1100">
    <w:name w:val="索引 9"/>
    <w:basedOn w:val="1035"/>
    <w:next w:val="1035"/>
    <w:link w:val="1035"/>
    <w:semiHidden/>
    <w:pPr>
      <w:ind w:left="3360"/>
    </w:pPr>
  </w:style>
  <w:style w:type="paragraph" w:styleId="1101">
    <w:name w:val="图表目录"/>
    <w:basedOn w:val="1035"/>
    <w:next w:val="1035"/>
    <w:link w:val="1035"/>
    <w:semiHidden/>
    <w:pPr>
      <w:ind w:left="840" w:hanging="420"/>
    </w:pPr>
  </w:style>
  <w:style w:type="paragraph" w:styleId="1102">
    <w:name w:val="目录 2"/>
    <w:basedOn w:val="1035"/>
    <w:next w:val="1035"/>
    <w:link w:val="1035"/>
    <w:semiHidden/>
    <w:pPr>
      <w:ind w:left="210"/>
      <w:jc w:val="left"/>
    </w:pPr>
    <w:rPr>
      <w:smallCaps/>
      <w:sz w:val="20"/>
    </w:rPr>
  </w:style>
  <w:style w:type="paragraph" w:styleId="1103">
    <w:name w:val="目录 9"/>
    <w:basedOn w:val="1035"/>
    <w:next w:val="1035"/>
    <w:link w:val="1035"/>
    <w:semiHidden/>
    <w:pPr>
      <w:ind w:left="1680"/>
      <w:jc w:val="left"/>
    </w:pPr>
    <w:rPr>
      <w:sz w:val="18"/>
    </w:rPr>
  </w:style>
  <w:style w:type="paragraph" w:styleId="1104">
    <w:name w:val="正文文本 2"/>
    <w:basedOn w:val="1035"/>
    <w:next w:val="1104"/>
    <w:link w:val="1035"/>
    <w:pPr>
      <w:jc w:val="center"/>
      <w:widowControl/>
    </w:pPr>
    <w:rPr>
      <w:rFonts w:ascii="楷体_GB2312" w:eastAsia="楷体_GB2312"/>
      <w:sz w:val="28"/>
    </w:rPr>
  </w:style>
  <w:style w:type="paragraph" w:styleId="1105">
    <w:name w:val="HTML 预设格式"/>
    <w:basedOn w:val="1035"/>
    <w:next w:val="1105"/>
    <w:link w:val="11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06">
    <w:name w:val="HTML 预设格式 字符"/>
    <w:next w:val="1106"/>
    <w:link w:val="1105"/>
    <w:rPr>
      <w:rFonts w:ascii="黑体" w:hAnsi="Courier New" w:eastAsia="黑体" w:cs="Courier New"/>
      <w:lang w:val="en-US" w:eastAsia="zh-CN" w:bidi="ar-SA"/>
    </w:rPr>
  </w:style>
  <w:style w:type="paragraph" w:styleId="1107">
    <w:name w:val="普通(网站)"/>
    <w:basedOn w:val="1035"/>
    <w:next w:val="1107"/>
    <w:link w:val="1035"/>
    <w:pPr>
      <w:jc w:val="left"/>
      <w:spacing w:before="100" w:beforeAutospacing="1" w:after="100" w:afterAutospacing="1"/>
      <w:widowControl/>
    </w:pPr>
    <w:rPr>
      <w:rFonts w:ascii="Arial" w:hAnsi="Arial" w:eastAsia="Arial Unicode MS" w:cs="Arial"/>
      <w:sz w:val="24"/>
      <w:szCs w:val="24"/>
    </w:rPr>
  </w:style>
  <w:style w:type="paragraph" w:styleId="1108">
    <w:name w:val="索引 2"/>
    <w:basedOn w:val="1035"/>
    <w:next w:val="1035"/>
    <w:link w:val="1035"/>
    <w:semiHidden/>
    <w:pPr>
      <w:ind w:left="420"/>
    </w:pPr>
  </w:style>
  <w:style w:type="paragraph" w:styleId="1109">
    <w:name w:val="标题"/>
    <w:basedOn w:val="1035"/>
    <w:next w:val="1109"/>
    <w:link w:val="1110"/>
    <w:qFormat/>
    <w:pPr>
      <w:jc w:val="center"/>
      <w:spacing w:line="420" w:lineRule="exact"/>
      <w:widowControl/>
    </w:pPr>
    <w:rPr>
      <w:rFonts w:ascii="Times New Roman" w:hAnsi="Times New Roman" w:eastAsia="黑体" w:cs="Times New Roman"/>
      <w:b/>
      <w:sz w:val="28"/>
      <w:lang w:val="en-GB"/>
    </w:rPr>
  </w:style>
  <w:style w:type="character" w:styleId="1110">
    <w:name w:val="标题 字符"/>
    <w:next w:val="1110"/>
    <w:link w:val="1109"/>
    <w:rPr>
      <w:rFonts w:eastAsia="黑体"/>
      <w:b/>
      <w:sz w:val="28"/>
      <w:lang w:val="en-GB" w:eastAsia="zh-CN" w:bidi="ar-SA"/>
    </w:rPr>
  </w:style>
  <w:style w:type="paragraph" w:styleId="1111">
    <w:name w:val="批注主题"/>
    <w:basedOn w:val="1065"/>
    <w:next w:val="1065"/>
    <w:link w:val="1112"/>
    <w:semiHidden/>
    <w:rPr>
      <w:b/>
      <w:bCs/>
    </w:rPr>
  </w:style>
  <w:style w:type="character" w:styleId="1112">
    <w:name w:val="批注主题 字符"/>
    <w:next w:val="1112"/>
    <w:link w:val="1111"/>
    <w:rPr>
      <w:rFonts w:eastAsia="宋体"/>
      <w:b/>
      <w:bCs/>
      <w:sz w:val="21"/>
      <w:lang w:val="en-US" w:eastAsia="zh-CN" w:bidi="ar-SA"/>
    </w:rPr>
  </w:style>
  <w:style w:type="paragraph" w:styleId="1113">
    <w:name w:val="正文首行缩进"/>
    <w:basedOn w:val="1070"/>
    <w:next w:val="1113"/>
    <w:link w:val="1035"/>
    <w:pPr>
      <w:ind w:firstLine="420"/>
      <w:spacing w:after="120"/>
    </w:pPr>
    <w:rPr>
      <w:rFonts w:ascii="Times New Roman" w:hAnsi="Times New Roman" w:eastAsia="宋体"/>
      <w:sz w:val="21"/>
      <w:szCs w:val="24"/>
    </w:rPr>
  </w:style>
  <w:style w:type="table" w:styleId="1114">
    <w:name w:val="网格型"/>
    <w:basedOn w:val="1046"/>
    <w:next w:val="1114"/>
    <w:link w:val="1035"/>
    <w:uiPriority w:val="39"/>
    <w:qFormat/>
    <w:tblPr/>
  </w:style>
  <w:style w:type="character" w:styleId="1115">
    <w:name w:val="要点"/>
    <w:next w:val="1115"/>
    <w:link w:val="1035"/>
    <w:qFormat/>
    <w:rPr>
      <w:b/>
      <w:bCs/>
    </w:rPr>
  </w:style>
  <w:style w:type="character" w:styleId="1116">
    <w:name w:val="尾注引用"/>
    <w:next w:val="1116"/>
    <w:link w:val="1035"/>
    <w:rPr>
      <w:vertAlign w:val="superscript"/>
    </w:rPr>
  </w:style>
  <w:style w:type="character" w:styleId="1117">
    <w:name w:val="页码"/>
    <w:next w:val="1117"/>
    <w:link w:val="1035"/>
  </w:style>
  <w:style w:type="character" w:styleId="1118">
    <w:name w:val="已访问的超链接"/>
    <w:next w:val="1118"/>
    <w:link w:val="1035"/>
    <w:rPr>
      <w:color w:val="800080"/>
      <w:u w:val="single"/>
    </w:rPr>
  </w:style>
  <w:style w:type="character" w:styleId="1119">
    <w:name w:val="强调"/>
    <w:next w:val="1119"/>
    <w:link w:val="1035"/>
    <w:qFormat/>
    <w:rPr>
      <w:b/>
      <w:bCs/>
      <w:i/>
      <w:iCs/>
      <w:spacing w:val="10"/>
      <w:shd w:val="clear" w:color="auto" w:fill="auto"/>
    </w:rPr>
  </w:style>
  <w:style w:type="character" w:styleId="1120">
    <w:name w:val="行号"/>
    <w:next w:val="1120"/>
    <w:link w:val="1035"/>
  </w:style>
  <w:style w:type="character" w:styleId="1121">
    <w:name w:val="HTML 打字机"/>
    <w:next w:val="1121"/>
    <w:link w:val="1035"/>
    <w:rPr>
      <w:rFonts w:ascii="宋体" w:hAnsi="宋体" w:eastAsia="宋体" w:cs="宋体"/>
      <w:sz w:val="24"/>
      <w:szCs w:val="24"/>
    </w:rPr>
  </w:style>
  <w:style w:type="character" w:styleId="1122">
    <w:name w:val="超链接"/>
    <w:next w:val="1122"/>
    <w:link w:val="1035"/>
    <w:rPr>
      <w:color w:val="0000ff"/>
      <w:u w:val="single"/>
    </w:rPr>
  </w:style>
  <w:style w:type="character" w:styleId="1123">
    <w:name w:val="批注引用"/>
    <w:next w:val="1123"/>
    <w:link w:val="1035"/>
    <w:rPr>
      <w:sz w:val="21"/>
    </w:rPr>
  </w:style>
  <w:style w:type="character" w:styleId="1124">
    <w:name w:val="脚注引用"/>
    <w:next w:val="1124"/>
    <w:link w:val="1035"/>
    <w:rPr>
      <w:vertAlign w:val="superscript"/>
    </w:rPr>
  </w:style>
  <w:style w:type="character" w:styleId="1125">
    <w:name w:val="HTML 样本"/>
    <w:next w:val="1125"/>
    <w:link w:val="1035"/>
    <w:rPr>
      <w:rFonts w:ascii="Courier New" w:hAnsi="宋体" w:eastAsia="宋体" w:cs="Courier New"/>
    </w:rPr>
  </w:style>
  <w:style w:type="character" w:styleId="1126">
    <w:name w:val="style131"/>
    <w:next w:val="1126"/>
    <w:link w:val="1035"/>
    <w:rPr>
      <w:rFonts w:cs="Times New Roman"/>
      <w:sz w:val="18"/>
      <w:szCs w:val="18"/>
    </w:rPr>
  </w:style>
  <w:style w:type="character" w:styleId="1127">
    <w:name w:val="param-value"/>
    <w:next w:val="1127"/>
    <w:link w:val="1035"/>
  </w:style>
  <w:style w:type="character" w:styleId="1128">
    <w:name w:val="标题 Char1"/>
    <w:next w:val="1128"/>
    <w:link w:val="1035"/>
    <w:rPr>
      <w:rFonts w:ascii="Cambria" w:eastAsia="宋体" w:cs="Times New Roman"/>
      <w:b/>
      <w:bCs/>
      <w:sz w:val="32"/>
      <w:szCs w:val="32"/>
    </w:rPr>
  </w:style>
  <w:style w:type="character" w:styleId="1129">
    <w:name w:val="纯文本 Char1"/>
    <w:next w:val="1129"/>
    <w:link w:val="1035"/>
    <w:rPr>
      <w:rFonts w:ascii="宋体" w:hAnsi="Courier New" w:cs="Courier New"/>
      <w:sz w:val="21"/>
      <w:szCs w:val="21"/>
    </w:rPr>
  </w:style>
  <w:style w:type="character" w:styleId="1130">
    <w:name w:val="无间隔 字符"/>
    <w:next w:val="1130"/>
    <w:link w:val="1131"/>
    <w:rPr>
      <w:rFonts w:ascii="Calibri" w:hAnsi="Calibri" w:eastAsia="微软雅黑"/>
      <w:sz w:val="24"/>
      <w:szCs w:val="22"/>
      <w:lang w:val="en-US" w:eastAsia="zh-CN" w:bidi="ar-SA"/>
    </w:rPr>
  </w:style>
  <w:style w:type="paragraph" w:styleId="1131">
    <w:name w:val="无间隔"/>
    <w:next w:val="1131"/>
    <w:link w:val="1130"/>
    <w:qFormat/>
    <w:pPr>
      <w:jc w:val="both"/>
      <w:widowControl w:val="off"/>
    </w:pPr>
    <w:rPr>
      <w:rFonts w:ascii="Calibri" w:hAnsi="Calibri" w:eastAsia="微软雅黑"/>
      <w:sz w:val="24"/>
      <w:szCs w:val="22"/>
      <w:lang w:val="en-US" w:eastAsia="zh-CN" w:bidi="ar-SA"/>
    </w:rPr>
  </w:style>
  <w:style w:type="character" w:styleId="1132">
    <w:name w:val="title_emph1"/>
    <w:next w:val="1132"/>
    <w:link w:val="1035"/>
    <w:rPr>
      <w:rFonts w:ascii="Arial" w:cs="Arial"/>
      <w:b/>
      <w:bCs/>
      <w:sz w:val="18"/>
      <w:szCs w:val="18"/>
    </w:rPr>
  </w:style>
  <w:style w:type="character" w:styleId="1133">
    <w:name w:val=" Char Char26"/>
    <w:next w:val="1133"/>
    <w:link w:val="1035"/>
    <w:rPr>
      <w:b/>
      <w:bCs/>
      <w:sz w:val="32"/>
      <w:szCs w:val="32"/>
    </w:rPr>
  </w:style>
  <w:style w:type="character" w:styleId="1134">
    <w:name w:val="华宇段落1 Char Char"/>
    <w:next w:val="1134"/>
    <w:link w:val="1035"/>
    <w:rPr>
      <w:rFonts w:eastAsia="宋体"/>
      <w:bCs/>
      <w:sz w:val="24"/>
      <w:szCs w:val="24"/>
      <w:lang w:val="en-US" w:eastAsia="zh-CN" w:bidi="ar-SA"/>
    </w:rPr>
  </w:style>
  <w:style w:type="character" w:styleId="1135">
    <w:name w:val="中等深浅网格 2 - 强调文字颜色 61"/>
    <w:next w:val="1135"/>
    <w:link w:val="1035"/>
    <w:qFormat/>
    <w:rPr>
      <w:smallCaps/>
      <w:spacing w:val="5"/>
      <w:u w:val="single"/>
    </w:rPr>
  </w:style>
  <w:style w:type="character" w:styleId="1136">
    <w:name w:val="A2"/>
    <w:next w:val="1136"/>
    <w:link w:val="1035"/>
    <w:rPr>
      <w:rFonts w:cs="Helvetica"/>
      <w:color w:val="000000"/>
      <w:sz w:val="18"/>
      <w:szCs w:val="18"/>
    </w:rPr>
  </w:style>
  <w:style w:type="character" w:styleId="1137">
    <w:name w:val="纯文本 Char Char Char1"/>
    <w:next w:val="1137"/>
    <w:link w:val="1035"/>
    <w:rPr>
      <w:rFonts w:ascii="宋体" w:hAnsi="Courier New" w:eastAsia="宋体"/>
      <w:sz w:val="21"/>
      <w:szCs w:val="21"/>
      <w:lang w:val="en-US" w:eastAsia="zh-CN" w:bidi="ar-SA"/>
    </w:rPr>
  </w:style>
  <w:style w:type="character" w:styleId="1138">
    <w:name w:val="样式 首行缩进:  2 字符 Char"/>
    <w:next w:val="1138"/>
    <w:link w:val="1035"/>
    <w:rPr>
      <w:rFonts w:eastAsia="宋体" w:cs="宋体"/>
      <w:sz w:val="24"/>
      <w:lang w:val="en-US" w:eastAsia="zh-CN" w:bidi="ar-SA"/>
    </w:rPr>
  </w:style>
  <w:style w:type="character" w:styleId="1139">
    <w:name w:val="纯文本 Char Char Char"/>
    <w:next w:val="1139"/>
    <w:link w:val="1035"/>
    <w:rPr>
      <w:rFonts w:ascii="宋体" w:hAnsi="Courier New" w:eastAsia="宋体"/>
      <w:sz w:val="21"/>
      <w:szCs w:val="21"/>
      <w:lang w:val="en-US" w:eastAsia="zh-CN" w:bidi="ar-SA"/>
    </w:rPr>
  </w:style>
  <w:style w:type="character" w:styleId="1140">
    <w:name w:val="小四 段落 宋体 Char1"/>
    <w:next w:val="1140"/>
    <w:link w:val="1035"/>
    <w:rPr>
      <w:rFonts w:eastAsia="宋体"/>
      <w:sz w:val="24"/>
      <w:szCs w:val="24"/>
      <w:lang w:val="en-US" w:eastAsia="zh-CN" w:bidi="ar-SA"/>
    </w:rPr>
  </w:style>
  <w:style w:type="character" w:styleId="1141">
    <w:name w:val="3zw"/>
    <w:next w:val="1141"/>
    <w:link w:val="1035"/>
  </w:style>
  <w:style w:type="character" w:styleId="1142">
    <w:name w:val="普通文字1 Char,普通文字2 Char,普通文字3 Char,普通文字4 Char,普通文字5 Char,普通文字6 Char,普通文字11 Char,普通文字21 Char,普通文字31 Char,普通文字41 Char,普通文字7 Char Char,普通文字 Char1,普通文字 Char Char"/>
    <w:next w:val="1142"/>
    <w:link w:val="1035"/>
    <w:rPr>
      <w:rFonts w:ascii="宋体" w:eastAsia="宋体"/>
      <w:sz w:val="21"/>
      <w:szCs w:val="21"/>
      <w:lang w:val="en-US" w:eastAsia="zh-CN" w:bidi="ar-SA"/>
    </w:rPr>
  </w:style>
  <w:style w:type="character" w:styleId="1143">
    <w:name w:val="subtitle1"/>
    <w:next w:val="1143"/>
    <w:link w:val="1035"/>
    <w:rPr>
      <w:rFonts w:ascii="Georgia" w:hAnsi="Georgia"/>
      <w:b/>
      <w:bCs/>
      <w:color w:val="666666"/>
      <w:sz w:val="18"/>
      <w:szCs w:val="18"/>
    </w:rPr>
  </w:style>
  <w:style w:type="character" w:styleId="1144">
    <w:name w:val="标准文本 Char Char"/>
    <w:next w:val="1144"/>
    <w:link w:val="1035"/>
    <w:rPr>
      <w:rFonts w:eastAsia="宋体" w:cs="宋体"/>
      <w:sz w:val="24"/>
      <w:szCs w:val="24"/>
      <w:lang w:val="en-US" w:eastAsia="zh-CN" w:bidi="ar-SA"/>
    </w:rPr>
  </w:style>
  <w:style w:type="character" w:styleId="1145">
    <w:name w:val="中等深浅列表 2 - 强调文字颜色 61"/>
    <w:next w:val="1145"/>
    <w:link w:val="1035"/>
    <w:qFormat/>
    <w:rPr>
      <w:b/>
      <w:bCs/>
    </w:rPr>
  </w:style>
  <w:style w:type="character" w:styleId="1146">
    <w:name w:val="case31"/>
    <w:next w:val="1146"/>
    <w:link w:val="1035"/>
    <w:rPr>
      <w:sz w:val="21"/>
      <w:szCs w:val="21"/>
    </w:rPr>
  </w:style>
  <w:style w:type="character" w:styleId="1147">
    <w:name w:val=" Char Char2"/>
    <w:next w:val="1147"/>
    <w:link w:val="1035"/>
    <w:rPr>
      <w:rFonts w:ascii="宋体" w:hAnsi="Courier New" w:eastAsia="宋体"/>
      <w:sz w:val="21"/>
      <w:szCs w:val="21"/>
      <w:lang w:val="en-US" w:eastAsia="zh-CN" w:bidi="ar-SA"/>
    </w:rPr>
  </w:style>
  <w:style w:type="character" w:styleId="1148">
    <w:name w:val="ih151"/>
    <w:next w:val="1148"/>
    <w:link w:val="1035"/>
    <w:rPr>
      <w:color w:val="666666"/>
      <w:sz w:val="18"/>
      <w:szCs w:val="18"/>
      <w:u w:val="none"/>
    </w:rPr>
  </w:style>
  <w:style w:type="character" w:styleId="1149">
    <w:name w:val="content"/>
    <w:next w:val="1149"/>
    <w:link w:val="1035"/>
  </w:style>
  <w:style w:type="character" w:styleId="1150">
    <w:name w:val="小四 段落 宋体 Char Char Char Char Char Char"/>
    <w:next w:val="1150"/>
    <w:link w:val="1035"/>
    <w:rPr>
      <w:rFonts w:eastAsia="宋体"/>
      <w:sz w:val="24"/>
      <w:szCs w:val="24"/>
      <w:lang w:val="en-US" w:eastAsia="zh-CN" w:bidi="ar-SA"/>
    </w:rPr>
  </w:style>
  <w:style w:type="character" w:styleId="1151">
    <w:name w:val="111111 Char"/>
    <w:next w:val="1151"/>
    <w:link w:val="1152"/>
    <w:rPr>
      <w:rFonts w:ascii="宋体" w:hAnsi="宋体" w:eastAsia="黑体" w:cs="宋体"/>
      <w:b/>
      <w:bCs/>
      <w:sz w:val="21"/>
      <w:szCs w:val="21"/>
      <w:lang w:val="en-US" w:eastAsia="zh-CN" w:bidi="ar-SA"/>
    </w:rPr>
  </w:style>
  <w:style w:type="paragraph" w:styleId="1152">
    <w:name w:val="111111"/>
    <w:basedOn w:val="1035"/>
    <w:next w:val="1152"/>
    <w:link w:val="1151"/>
    <w:pPr>
      <w:jc w:val="center"/>
      <w:spacing w:before="120" w:after="120"/>
    </w:pPr>
    <w:rPr>
      <w:rFonts w:ascii="宋体" w:hAnsi="宋体" w:eastAsia="黑体"/>
      <w:b/>
      <w:bCs/>
      <w:sz w:val="21"/>
      <w:szCs w:val="21"/>
      <w:lang w:val="en-US"/>
    </w:rPr>
  </w:style>
  <w:style w:type="character" w:styleId="1153">
    <w:name w:val="normalfont1"/>
    <w:next w:val="1153"/>
    <w:link w:val="1035"/>
    <w:rPr>
      <w:rFonts w:ascii="ˎ̥" w:hAnsi="ˎ̥"/>
      <w:sz w:val="18"/>
      <w:szCs w:val="18"/>
      <w:u w:val="none"/>
    </w:rPr>
  </w:style>
  <w:style w:type="character" w:styleId="1154">
    <w:name w:val=" Char Char17"/>
    <w:next w:val="1154"/>
    <w:link w:val="1035"/>
    <w:rPr>
      <w:rFonts w:ascii="宋体" w:hAnsi="Courier New"/>
      <w:sz w:val="21"/>
      <w:szCs w:val="21"/>
    </w:rPr>
  </w:style>
  <w:style w:type="character" w:styleId="1155">
    <w:name w:val=" Char Char20"/>
    <w:next w:val="1155"/>
    <w:link w:val="1035"/>
    <w:rPr>
      <w:rFonts w:ascii="Arial" w:hAnsi="Arial" w:eastAsia="黑体"/>
      <w:sz w:val="21"/>
      <w:szCs w:val="21"/>
    </w:rPr>
  </w:style>
  <w:style w:type="character" w:styleId="1156">
    <w:name w:val="point_normal1"/>
    <w:next w:val="1156"/>
    <w:link w:val="1035"/>
    <w:rPr>
      <w:rFonts w:ascii="Arial" w:hAnsi="Arial" w:cs="Arial"/>
      <w:sz w:val="18"/>
      <w:szCs w:val="18"/>
    </w:rPr>
  </w:style>
  <w:style w:type="character" w:styleId="1157">
    <w:name w:val="2nd level Char,h2 Char,2 Char,Header 2 Char,l2 Char,Titre2 Char,Head 2 Char,H2 Char,Heading 2 Hidden Char,Heading 2 CCBS Char,heading 2 Char,第一章 标题 2 Char,ISO1 Char,UNDERRUBRIK 1-2 Char,Underrubrik1 Char,prop2 Char,Level 2 Topic Heading Char,H21 Char"/>
    <w:next w:val="1157"/>
    <w:link w:val="1035"/>
    <w:rPr>
      <w:rFonts w:ascii="Arial" w:hAnsi="Arial" w:eastAsia="黑体"/>
      <w:b/>
      <w:bCs/>
      <w:sz w:val="32"/>
      <w:szCs w:val="32"/>
      <w:lang w:val="en-US" w:eastAsia="zh-CN" w:bidi="ar-SA"/>
    </w:rPr>
  </w:style>
  <w:style w:type="character" w:styleId="1158">
    <w:name w:val="h Char Char"/>
    <w:next w:val="1158"/>
    <w:link w:val="1035"/>
    <w:rPr>
      <w:rFonts w:eastAsia="宋体"/>
      <w:sz w:val="18"/>
      <w:szCs w:val="18"/>
      <w:lang w:val="en-US" w:eastAsia="zh-CN" w:bidi="ar-SA"/>
    </w:rPr>
  </w:style>
  <w:style w:type="character" w:styleId="1159">
    <w:name w:val=" Char Char22"/>
    <w:next w:val="1159"/>
    <w:link w:val="1035"/>
    <w:rPr>
      <w:b/>
      <w:bCs/>
      <w:sz w:val="24"/>
      <w:szCs w:val="24"/>
    </w:rPr>
  </w:style>
  <w:style w:type="character" w:styleId="1160">
    <w:name w:val="标题 3 Char,h3 Char,3rd level Char,3 Char,标题4 Char,Heading 3 - old Char,标题 3 Char1,正文 + 小三 Char,H3 Char,sect1.2.3 Char,BOD 0 Char,l3 Char,CT Char,Level 3 Head Char,3rd lev...] Char Char,heading 3 Char,123456 Char,F Char Char,Map Char,H31 Char,level_3 Char"/>
    <w:next w:val="1160"/>
    <w:link w:val="1035"/>
    <w:rPr>
      <w:rFonts w:ascii="宋体" w:hAnsi="宋体" w:eastAsia="宋体"/>
      <w:b/>
      <w:bCs/>
      <w:sz w:val="24"/>
      <w:szCs w:val="32"/>
      <w:lang w:val="en-US" w:eastAsia="zh-CN" w:bidi="ar-SA"/>
    </w:rPr>
  </w:style>
  <w:style w:type="character" w:styleId="1161">
    <w:name w:val="样式 宋体 小四"/>
    <w:next w:val="1161"/>
    <w:link w:val="1035"/>
    <w:rPr>
      <w:rFonts w:ascii="宋体" w:hAnsi="宋体"/>
      <w:sz w:val="24"/>
    </w:rPr>
  </w:style>
  <w:style w:type="character" w:styleId="1162">
    <w:name w:val=" Char Char28"/>
    <w:next w:val="1162"/>
    <w:link w:val="1035"/>
    <w:rPr>
      <w:rFonts w:ascii="Arial" w:hAnsi="Arial" w:eastAsia="黑体" w:cs="Arial"/>
      <w:b/>
      <w:bCs/>
      <w:sz w:val="32"/>
      <w:szCs w:val="32"/>
    </w:rPr>
  </w:style>
  <w:style w:type="character" w:styleId="1163">
    <w:name w:val=" Char Char21"/>
    <w:next w:val="1163"/>
    <w:link w:val="1035"/>
    <w:rPr>
      <w:rFonts w:ascii="Arial" w:hAnsi="Arial" w:eastAsia="黑体"/>
      <w:sz w:val="24"/>
      <w:szCs w:val="24"/>
    </w:rPr>
  </w:style>
  <w:style w:type="character" w:styleId="1164">
    <w:name w:val="正文缩进 Char1"/>
    <w:next w:val="1164"/>
    <w:link w:val="1165"/>
    <w:rPr>
      <w:rFonts w:eastAsia="宋体"/>
      <w:lang w:bidi="ar-SA"/>
    </w:rPr>
  </w:style>
  <w:style w:type="paragraph" w:styleId="1165">
    <w:name w:val="Normal Indent"/>
    <w:basedOn w:val="1035"/>
    <w:next w:val="1165"/>
    <w:link w:val="1164"/>
    <w:pPr>
      <w:ind w:firstLine="420"/>
    </w:pPr>
    <w:rPr>
      <w:rFonts w:ascii="Times New Roman" w:hAnsi="Times New Roman" w:eastAsia="宋体" w:cs="Times New Roman"/>
    </w:rPr>
  </w:style>
  <w:style w:type="character" w:styleId="1166">
    <w:name w:val="小四 段落 宋体 Char Char Char1"/>
    <w:next w:val="1166"/>
    <w:link w:val="1035"/>
    <w:rPr>
      <w:rFonts w:ascii="宋体" w:hAnsi="宋体" w:eastAsia="宋体"/>
      <w:sz w:val="24"/>
      <w:szCs w:val="24"/>
      <w:lang w:val="en-US" w:eastAsia="zh-CN" w:bidi="ar-SA"/>
    </w:rPr>
  </w:style>
  <w:style w:type="character" w:styleId="1167">
    <w:name w:val="content_lineheight1"/>
    <w:next w:val="1167"/>
    <w:link w:val="1035"/>
  </w:style>
  <w:style w:type="character" w:styleId="1168">
    <w:name w:val="华宇段落1 Char Char Char"/>
    <w:next w:val="1168"/>
    <w:link w:val="1035"/>
    <w:rPr>
      <w:rFonts w:eastAsia="宋体"/>
      <w:bCs/>
      <w:sz w:val="24"/>
      <w:szCs w:val="24"/>
      <w:lang w:val="en-US" w:eastAsia="zh-CN" w:bidi="ar-SA"/>
    </w:rPr>
  </w:style>
  <w:style w:type="character" w:styleId="1169">
    <w:name w:val="style13"/>
    <w:next w:val="1169"/>
    <w:link w:val="1035"/>
    <w:rPr>
      <w:sz w:val="18"/>
      <w:szCs w:val="18"/>
    </w:rPr>
  </w:style>
  <w:style w:type="character" w:styleId="1170">
    <w:name w:val="样式 首行缩进:  2 字符 Char Char"/>
    <w:next w:val="1170"/>
    <w:link w:val="1171"/>
    <w:rPr>
      <w:rFonts w:eastAsia="宋体" w:cs="宋体"/>
      <w:sz w:val="24"/>
      <w:lang w:val="en-US" w:eastAsia="zh-CN" w:bidi="ar-SA"/>
    </w:rPr>
  </w:style>
  <w:style w:type="paragraph" w:styleId="1171">
    <w:name w:val="样式 首行缩进:  2 字符"/>
    <w:basedOn w:val="1035"/>
    <w:next w:val="1171"/>
    <w:link w:val="1170"/>
    <w:pPr>
      <w:ind w:firstLine="480"/>
      <w:spacing w:line="360" w:lineRule="auto"/>
    </w:pPr>
    <w:rPr>
      <w:rFonts w:ascii="Times New Roman" w:hAnsi="Times New Roman" w:eastAsia="宋体"/>
      <w:sz w:val="24"/>
      <w:lang w:val="en-US"/>
    </w:rPr>
  </w:style>
  <w:style w:type="character" w:styleId="1172">
    <w:name w:val=" Char Char25"/>
    <w:next w:val="1172"/>
    <w:link w:val="1035"/>
    <w:rPr>
      <w:rFonts w:ascii="Arial" w:hAnsi="Arial" w:eastAsia="黑体"/>
      <w:b/>
      <w:sz w:val="28"/>
    </w:rPr>
  </w:style>
  <w:style w:type="character" w:styleId="1173">
    <w:name w:val="apple-converted-space"/>
    <w:next w:val="1173"/>
    <w:link w:val="1035"/>
  </w:style>
  <w:style w:type="character" w:styleId="1174">
    <w:name w:val="已访问的超链接1"/>
    <w:next w:val="1174"/>
    <w:link w:val="1035"/>
    <w:rPr>
      <w:color w:val="000000"/>
      <w:u w:val="none"/>
    </w:rPr>
  </w:style>
  <w:style w:type="character" w:styleId="1175">
    <w:name w:val="para_small"/>
    <w:next w:val="1175"/>
    <w:link w:val="1035"/>
  </w:style>
  <w:style w:type="character" w:styleId="117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6"/>
    <w:link w:val="1035"/>
    <w:rPr>
      <w:rFonts w:eastAsia="宋体"/>
      <w:b/>
      <w:bCs/>
      <w:sz w:val="32"/>
      <w:szCs w:val="32"/>
      <w:lang w:val="en-US" w:eastAsia="zh-CN" w:bidi="ar-SA"/>
    </w:rPr>
  </w:style>
  <w:style w:type="character" w:styleId="1177">
    <w:name w:val="标准小四 Char Char"/>
    <w:next w:val="1177"/>
    <w:link w:val="1035"/>
    <w:rPr>
      <w:rFonts w:ascii="Arial" w:hAnsi="Arial" w:eastAsia="宋体"/>
      <w:sz w:val="24"/>
      <w:szCs w:val="21"/>
      <w:lang w:val="en-US" w:eastAsia="zh-CN" w:bidi="ar-SA"/>
    </w:rPr>
  </w:style>
  <w:style w:type="character" w:styleId="1178">
    <w:name w:val="彩色网格字符"/>
    <w:next w:val="1178"/>
    <w:link w:val="1179"/>
    <w:rPr>
      <w:rFonts w:ascii="Calibri" w:hAnsi="Calibri" w:eastAsia="宋体"/>
      <w:i/>
      <w:iCs/>
      <w:sz w:val="22"/>
      <w:szCs w:val="22"/>
      <w:lang w:val="en-US" w:eastAsia="en-US" w:bidi="en-US"/>
    </w:rPr>
  </w:style>
  <w:style w:type="paragraph" w:styleId="1179">
    <w:name w:val="彩色网格1"/>
    <w:basedOn w:val="1035"/>
    <w:next w:val="1035"/>
    <w:link w:val="1178"/>
    <w:qFormat/>
    <w:pPr>
      <w:ind w:left="360" w:right="360"/>
      <w:jc w:val="left"/>
      <w:spacing w:before="200" w:line="276" w:lineRule="auto"/>
      <w:widowControl/>
    </w:pPr>
    <w:rPr>
      <w:rFonts w:eastAsia="宋体" w:cs="Times New Roman"/>
      <w:i/>
      <w:iCs/>
      <w:sz w:val="22"/>
      <w:szCs w:val="22"/>
      <w:lang w:val="en-US" w:eastAsia="en-US" w:bidi="en-US"/>
    </w:rPr>
  </w:style>
  <w:style w:type="character" w:styleId="1180">
    <w:name w:val="listbenefit"/>
    <w:next w:val="1180"/>
    <w:link w:val="1035"/>
  </w:style>
  <w:style w:type="character" w:styleId="1181">
    <w:name w:val="小四 段落 宋体 Char Char Char Char Char Char Char Char"/>
    <w:next w:val="1181"/>
    <w:link w:val="1035"/>
    <w:rPr>
      <w:rFonts w:eastAsia="宋体"/>
      <w:sz w:val="24"/>
      <w:szCs w:val="24"/>
      <w:lang w:val="en-US" w:eastAsia="zh-CN" w:bidi="ar-SA"/>
    </w:rPr>
  </w:style>
  <w:style w:type="character" w:styleId="1182">
    <w:name w:val="标题 3 Char Char"/>
    <w:next w:val="1182"/>
    <w:link w:val="1035"/>
    <w:rPr>
      <w:rFonts w:eastAsia="仿宋_GB2312"/>
      <w:b/>
      <w:bCs/>
      <w:sz w:val="28"/>
      <w:szCs w:val="32"/>
      <w:lang w:val="en-US" w:eastAsia="zh-CN" w:bidi="ar-SA"/>
    </w:rPr>
  </w:style>
  <w:style w:type="character" w:styleId="1183">
    <w:name w:val="中等深浅网格 3 - 强调文字颜色 61"/>
    <w:next w:val="1183"/>
    <w:link w:val="1035"/>
    <w:qFormat/>
    <w:rPr>
      <w:i/>
      <w:iCs/>
      <w:smallCaps/>
      <w:spacing w:val="5"/>
    </w:rPr>
  </w:style>
  <w:style w:type="character" w:styleId="1184">
    <w:name w:val="标准小四 Char"/>
    <w:next w:val="1184"/>
    <w:link w:val="1035"/>
    <w:rPr>
      <w:rFonts w:ascii="Arial" w:hAnsi="Arial" w:eastAsia="宋体"/>
      <w:sz w:val="24"/>
      <w:szCs w:val="21"/>
      <w:lang w:val="en-US" w:eastAsia="zh-CN" w:bidi="ar-SA"/>
    </w:rPr>
  </w:style>
  <w:style w:type="character" w:styleId="1185">
    <w:name w:val="concon"/>
    <w:next w:val="1185"/>
    <w:link w:val="1035"/>
  </w:style>
  <w:style w:type="character" w:styleId="1186">
    <w:name w:val="小四 段落 宋体 Char Char Char Char1"/>
    <w:next w:val="1186"/>
    <w:link w:val="1035"/>
    <w:rPr>
      <w:rFonts w:eastAsia="宋体"/>
      <w:sz w:val="24"/>
      <w:szCs w:val="24"/>
      <w:lang w:val="en-US" w:eastAsia="zh-CN" w:bidi="ar-SA"/>
    </w:rPr>
  </w:style>
  <w:style w:type="character" w:styleId="1187">
    <w:name w:val=" Char Char24"/>
    <w:next w:val="1187"/>
    <w:link w:val="1035"/>
    <w:rPr>
      <w:b/>
      <w:bCs/>
      <w:sz w:val="28"/>
      <w:szCs w:val="28"/>
    </w:rPr>
  </w:style>
  <w:style w:type="character" w:styleId="1188">
    <w:name w:val="标准文本 Char"/>
    <w:next w:val="1188"/>
    <w:link w:val="1035"/>
    <w:rPr>
      <w:rFonts w:eastAsia="宋体" w:cs="宋体"/>
      <w:sz w:val="24"/>
      <w:szCs w:val="24"/>
      <w:lang w:val="en-US" w:eastAsia="zh-CN" w:bidi="ar-SA"/>
    </w:rPr>
  </w:style>
  <w:style w:type="character" w:styleId="1189">
    <w:name w:val="中等深浅网格 1 - 强调文字颜色 61"/>
    <w:next w:val="1189"/>
    <w:link w:val="1035"/>
    <w:qFormat/>
    <w:rPr>
      <w:smallCaps/>
    </w:rPr>
  </w:style>
  <w:style w:type="character" w:styleId="1190">
    <w:name w:val="纯文本 Char Char"/>
    <w:next w:val="1190"/>
    <w:link w:val="1035"/>
    <w:rPr>
      <w:rFonts w:ascii="宋体" w:hAnsi="Courier New" w:eastAsia="宋体"/>
      <w:sz w:val="21"/>
      <w:szCs w:val="21"/>
      <w:lang w:val="en-US" w:eastAsia="zh-CN" w:bidi="ar-SA"/>
    </w:rPr>
  </w:style>
  <w:style w:type="character" w:styleId="119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91"/>
    <w:link w:val="1035"/>
    <w:rPr>
      <w:rFonts w:eastAsia="宋体"/>
      <w:sz w:val="21"/>
      <w:lang w:val="en-US" w:eastAsia="zh-CN" w:bidi="ar-SA"/>
    </w:rPr>
  </w:style>
  <w:style w:type="character" w:styleId="1192">
    <w:name w:val="Title1 Char,H1 Char,Normal + Font: Helvetica Char,Bold Char,Space Before 12 pt Char,Not Bold Char,h1 Char,H11 Char,H12 Char,H111 Char,H13 Char,H112 Char,1 Char,h:1 Char,h:1app Char,level 1 Char,Level 1 Head Char,heading 1 Char,Huvudrubrik Char,章 Char"/>
    <w:next w:val="1192"/>
    <w:link w:val="1035"/>
    <w:rPr>
      <w:rFonts w:eastAsia="宋体"/>
      <w:b/>
      <w:bCs/>
      <w:sz w:val="44"/>
      <w:szCs w:val="44"/>
      <w:lang w:val="en-US" w:eastAsia="zh-CN" w:bidi="ar-SA"/>
    </w:rPr>
  </w:style>
  <w:style w:type="character" w:styleId="1193">
    <w:name w:val="中等深浅列表 1 - 强调文字颜色 61"/>
    <w:next w:val="1193"/>
    <w:link w:val="1035"/>
    <w:qFormat/>
    <w:rPr>
      <w:i/>
      <w:iCs/>
    </w:rPr>
  </w:style>
  <w:style w:type="character" w:styleId="1194">
    <w:name w:val=" Char Char23"/>
    <w:next w:val="1194"/>
    <w:link w:val="1035"/>
    <w:rPr>
      <w:rFonts w:ascii="Arial" w:hAnsi="Arial" w:eastAsia="黑体"/>
      <w:b/>
      <w:bCs/>
      <w:sz w:val="24"/>
      <w:szCs w:val="24"/>
    </w:rPr>
  </w:style>
  <w:style w:type="character" w:styleId="1195">
    <w:name w:val="小四 段落 宋体 Char Char Char Char Char"/>
    <w:next w:val="1195"/>
    <w:link w:val="1035"/>
    <w:rPr>
      <w:rFonts w:eastAsia="宋体"/>
      <w:sz w:val="24"/>
      <w:szCs w:val="24"/>
      <w:lang w:val="en-US" w:eastAsia="zh-CN" w:bidi="ar-SA"/>
    </w:rPr>
  </w:style>
  <w:style w:type="character" w:styleId="1196">
    <w:name w:val="表格抬头 Char"/>
    <w:next w:val="1196"/>
    <w:link w:val="1197"/>
    <w:rPr>
      <w:rFonts w:ascii="黑体" w:eastAsia="黑体"/>
      <w:b/>
      <w:sz w:val="21"/>
      <w:lang w:bidi="ar-SA"/>
    </w:rPr>
  </w:style>
  <w:style w:type="paragraph" w:styleId="1197">
    <w:name w:val="表格抬头"/>
    <w:basedOn w:val="1035"/>
    <w:next w:val="1197"/>
    <w:link w:val="1196"/>
    <w:pPr>
      <w:jc w:val="center"/>
    </w:pPr>
    <w:rPr>
      <w:rFonts w:ascii="黑体" w:hAnsi="Times New Roman" w:eastAsia="黑体" w:cs="Times New Roman"/>
      <w:b/>
      <w:sz w:val="21"/>
    </w:rPr>
  </w:style>
  <w:style w:type="character" w:styleId="1198">
    <w:name w:val="样式 非加粗"/>
    <w:next w:val="1198"/>
    <w:link w:val="1035"/>
    <w:rPr>
      <w:rFonts w:eastAsia="宋体"/>
      <w:sz w:val="28"/>
    </w:rPr>
  </w:style>
  <w:style w:type="character" w:styleId="1199">
    <w:name w:val="textcontents"/>
    <w:next w:val="1199"/>
    <w:link w:val="1035"/>
  </w:style>
  <w:style w:type="character" w:styleId="1200">
    <w:name w:val="浅色底纹 - 强调文字颜色 1字符"/>
    <w:next w:val="1200"/>
    <w:link w:val="1201"/>
    <w:rPr>
      <w:rFonts w:ascii="Calibri" w:hAnsi="Calibri" w:eastAsia="宋体"/>
      <w:b/>
      <w:bCs/>
      <w:i/>
      <w:iCs/>
      <w:sz w:val="22"/>
      <w:szCs w:val="22"/>
      <w:lang w:val="en-US" w:eastAsia="en-US" w:bidi="en-US"/>
    </w:rPr>
  </w:style>
  <w:style w:type="paragraph" w:styleId="1201">
    <w:name w:val="浅色底纹 - 强调文字颜色 11"/>
    <w:basedOn w:val="1035"/>
    <w:next w:val="1035"/>
    <w:link w:val="120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02">
    <w:name w:val="新图表正文 Char Char"/>
    <w:next w:val="1202"/>
    <w:link w:val="1203"/>
    <w:rPr>
      <w:rFonts w:ascii="宋体" w:hAnsi="宋体"/>
      <w:sz w:val="18"/>
      <w:szCs w:val="21"/>
      <w:lang w:val="en-US" w:eastAsia="zh-CN" w:bidi="ar-SA"/>
    </w:rPr>
  </w:style>
  <w:style w:type="paragraph" w:styleId="1203">
    <w:name w:val="新图表正文"/>
    <w:next w:val="1203"/>
    <w:link w:val="1202"/>
    <w:pPr>
      <w:jc w:val="both"/>
    </w:pPr>
    <w:rPr>
      <w:rFonts w:ascii="宋体" w:hAnsi="宋体"/>
      <w:sz w:val="18"/>
      <w:szCs w:val="21"/>
      <w:lang w:val="en-US" w:eastAsia="zh-CN" w:bidi="ar-SA"/>
    </w:rPr>
  </w:style>
  <w:style w:type="character" w:styleId="1204">
    <w:name w:val=" Char Char27"/>
    <w:next w:val="1204"/>
    <w:link w:val="1035"/>
    <w:rPr>
      <w:b/>
      <w:bCs/>
      <w:sz w:val="44"/>
      <w:szCs w:val="44"/>
    </w:rPr>
  </w:style>
  <w:style w:type="character" w:styleId="1205">
    <w:name w:val="t1"/>
    <w:next w:val="1205"/>
    <w:link w:val="1035"/>
  </w:style>
  <w:style w:type="character" w:styleId="1206">
    <w:name w:val="正文 + 宋体 Char,小四 Char,黑色 Char,行距: 1.5 倍行距 Char"/>
    <w:next w:val="1206"/>
    <w:link w:val="1035"/>
    <w:rPr>
      <w:rFonts w:eastAsia="宋体"/>
      <w:sz w:val="21"/>
      <w:szCs w:val="24"/>
      <w:lang w:val="en-US" w:eastAsia="zh-CN" w:bidi="ar-SA"/>
    </w:rPr>
  </w:style>
  <w:style w:type="character" w:styleId="1207">
    <w:name w:val=" Char Char29"/>
    <w:next w:val="1207"/>
    <w:link w:val="1035"/>
    <w:rPr>
      <w:rFonts w:ascii="Times New Roman" w:hAnsi="Times New Roman" w:eastAsia="宋体" w:cs="Times New Roman"/>
      <w:b/>
      <w:bCs/>
      <w:sz w:val="44"/>
      <w:szCs w:val="44"/>
    </w:rPr>
  </w:style>
  <w:style w:type="paragraph" w:styleId="1208">
    <w:name w:val="xl51"/>
    <w:basedOn w:val="1035"/>
    <w:next w:val="1208"/>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表格内容"/>
    <w:basedOn w:val="1035"/>
    <w:next w:val="1209"/>
    <w:link w:val="1035"/>
    <w:pPr>
      <w:jc w:val="center"/>
      <w:spacing w:before="60" w:line="300" w:lineRule="auto"/>
      <w:widowControl/>
    </w:pPr>
  </w:style>
  <w:style w:type="paragraph" w:styleId="1210">
    <w:name w:val="默认段落字体 Para Char"/>
    <w:basedOn w:val="1035"/>
    <w:next w:val="1210"/>
    <w:link w:val="1035"/>
    <w:rPr>
      <w:sz w:val="24"/>
      <w:szCs w:val="24"/>
    </w:rPr>
  </w:style>
  <w:style w:type="paragraph" w:styleId="1211">
    <w:name w:val="默认段落字体 Para Char Char Char Char Char Char Char Char Char1 Char Char Char Char Char Char Char"/>
    <w:basedOn w:val="1063"/>
    <w:next w:val="1211"/>
    <w:link w:val="1035"/>
  </w:style>
  <w:style w:type="paragraph" w:styleId="1212">
    <w:name w:val="正文格式"/>
    <w:basedOn w:val="1035"/>
    <w:next w:val="1212"/>
    <w:link w:val="1035"/>
    <w:pPr>
      <w:ind w:left="178" w:right="44" w:hanging="178"/>
      <w:jc w:val="left"/>
      <w:spacing w:before="78" w:line="360" w:lineRule="auto"/>
      <w:widowControl/>
    </w:pPr>
    <w:rPr>
      <w:rFonts w:ascii="宋体" w:hAnsi="宋体"/>
      <w:bCs/>
      <w:szCs w:val="21"/>
    </w:rPr>
  </w:style>
  <w:style w:type="paragraph" w:styleId="1213">
    <w:name w:val="小四 段落 宋体 Char Char"/>
    <w:basedOn w:val="1035"/>
    <w:next w:val="1213"/>
    <w:link w:val="1035"/>
    <w:pPr>
      <w:ind w:firstLine="480"/>
      <w:spacing w:line="360" w:lineRule="auto"/>
    </w:pPr>
    <w:rPr>
      <w:rFonts w:ascii="宋体" w:hAnsi="宋体"/>
      <w:sz w:val="24"/>
      <w:szCs w:val="24"/>
    </w:rPr>
  </w:style>
  <w:style w:type="paragraph" w:styleId="1214">
    <w:name w:val="xl42"/>
    <w:basedOn w:val="1035"/>
    <w:next w:val="1214"/>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5">
    <w:name w:val="p0"/>
    <w:basedOn w:val="1035"/>
    <w:next w:val="1215"/>
    <w:link w:val="1035"/>
    <w:pPr>
      <w:jc w:val="left"/>
      <w:spacing w:before="100" w:beforeAutospacing="1" w:after="100" w:afterAutospacing="1"/>
      <w:widowControl/>
    </w:pPr>
    <w:rPr>
      <w:rFonts w:ascii="宋体" w:hAnsi="宋体" w:cs="宋体"/>
      <w:sz w:val="24"/>
      <w:szCs w:val="24"/>
    </w:rPr>
  </w:style>
  <w:style w:type="paragraph" w:styleId="1216">
    <w:name w:val="公文标题 2"/>
    <w:basedOn w:val="1035"/>
    <w:next w:val="1217"/>
    <w:link w:val="1035"/>
    <w:pPr>
      <w:outlineLvl w:val="1"/>
    </w:pPr>
    <w:rPr>
      <w:rFonts w:ascii="仿宋_GB2312" w:hAnsi="宋体" w:eastAsia="仿宋_GB2312"/>
      <w:sz w:val="28"/>
      <w:szCs w:val="24"/>
    </w:rPr>
  </w:style>
  <w:style w:type="paragraph" w:styleId="1217">
    <w:name w:val="公文正文"/>
    <w:basedOn w:val="1071"/>
    <w:next w:val="1217"/>
    <w:link w:val="1035"/>
    <w:pPr>
      <w:ind w:firstLine="200"/>
    </w:pPr>
    <w:rPr>
      <w:rFonts w:ascii="仿宋_GB2312" w:hAnsi="宋体" w:eastAsia="仿宋_GB2312"/>
      <w:sz w:val="28"/>
      <w:szCs w:val="24"/>
    </w:rPr>
  </w:style>
  <w:style w:type="paragraph" w:styleId="1218">
    <w:name w:val="font7"/>
    <w:basedOn w:val="1035"/>
    <w:next w:val="1218"/>
    <w:link w:val="1035"/>
    <w:pPr>
      <w:jc w:val="left"/>
      <w:spacing w:before="100" w:beforeAutospacing="1" w:after="100" w:afterAutospacing="1"/>
      <w:widowControl/>
    </w:pPr>
    <w:rPr>
      <w:rFonts w:hint="eastAsia" w:ascii="宋体" w:hAnsi="宋体"/>
      <w:b/>
      <w:bCs/>
      <w:sz w:val="24"/>
      <w:szCs w:val="24"/>
    </w:rPr>
  </w:style>
  <w:style w:type="paragraph" w:styleId="1219">
    <w:name w:val="Char Char Char Char Char Char Char Char Char Char Char1 Char Char Char1"/>
    <w:basedOn w:val="1035"/>
    <w:next w:val="1219"/>
    <w:link w:val="1035"/>
    <w:semiHidden/>
    <w:pPr>
      <w:ind w:firstLine="200"/>
      <w:jc w:val="left"/>
    </w:pPr>
    <w:rPr>
      <w:rFonts w:ascii="Tahoma" w:hAnsi="Tahoma"/>
      <w:sz w:val="24"/>
      <w:szCs w:val="24"/>
    </w:rPr>
  </w:style>
  <w:style w:type="paragraph" w:styleId="1220">
    <w:name w:val="xl30"/>
    <w:basedOn w:val="1035"/>
    <w:next w:val="1220"/>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1">
    <w:name w:val="xl41"/>
    <w:basedOn w:val="1035"/>
    <w:next w:val="1221"/>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2">
    <w:name w:val="xl62"/>
    <w:basedOn w:val="1035"/>
    <w:next w:val="1222"/>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3">
    <w:name w:val="af17cgridlangnp1033langf"/>
    <w:next w:val="1223"/>
    <w:link w:val="1035"/>
    <w:pPr>
      <w:ind w:left="567" w:firstLine="510"/>
      <w:jc w:val="both"/>
      <w:spacing w:before="156" w:line="360" w:lineRule="atLeast"/>
      <w:widowControl w:val="off"/>
    </w:pPr>
    <w:rPr>
      <w:lang w:val="en-US" w:eastAsia="zh-CN" w:bidi="ar-SA"/>
    </w:rPr>
  </w:style>
  <w:style w:type="paragraph" w:styleId="1224">
    <w:name w:val="样式 标题 3H3sect1.2.3BOD 0Heading 3 - oldh3l3CTLevel 3 Head..."/>
    <w:basedOn w:val="1038"/>
    <w:next w:val="1224"/>
    <w:link w:val="1035"/>
    <w:pPr>
      <w:jc w:val="left"/>
      <w:spacing w:before="156" w:after="156"/>
    </w:pPr>
    <w:rPr>
      <w:rFonts w:eastAsia="宋体" w:cs="宋体"/>
      <w:bCs/>
      <w:sz w:val="30"/>
    </w:rPr>
  </w:style>
  <w:style w:type="paragraph" w:styleId="1225">
    <w:name w:val="qw"/>
    <w:next w:val="1225"/>
    <w:link w:val="1035"/>
    <w:pPr>
      <w:jc w:val="both"/>
      <w:spacing w:line="312" w:lineRule="atLeast"/>
      <w:widowControl w:val="off"/>
    </w:pPr>
    <w:rPr>
      <w:rFonts w:ascii="宋体"/>
      <w:sz w:val="24"/>
      <w:lang w:val="en-US" w:eastAsia="zh-CN" w:bidi="ar-SA"/>
    </w:rPr>
  </w:style>
  <w:style w:type="paragraph" w:styleId="1226">
    <w:name w:val="丁华标题1"/>
    <w:basedOn w:val="1036"/>
    <w:next w:val="1227"/>
    <w:link w:val="1035"/>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27">
    <w:name w:val="丁华正文"/>
    <w:basedOn w:val="1097"/>
    <w:next w:val="1227"/>
    <w:link w:val="1035"/>
    <w:pPr>
      <w:ind w:left="0" w:firstLine="510"/>
      <w:spacing w:line="360" w:lineRule="auto"/>
    </w:pPr>
    <w:rPr>
      <w:rFonts w:ascii="Times New Roman" w:hAnsi="Times New Roman" w:eastAsia="宋体"/>
      <w:color w:val="000000"/>
      <w:sz w:val="24"/>
      <w:szCs w:val="16"/>
    </w:rPr>
  </w:style>
  <w:style w:type="paragraph" w:styleId="1228">
    <w:name w:val="方案正文"/>
    <w:basedOn w:val="1035"/>
    <w:next w:val="1228"/>
    <w:link w:val="1035"/>
    <w:pPr>
      <w:ind w:firstLine="359"/>
      <w:jc w:val="left"/>
      <w:spacing w:before="156" w:line="360" w:lineRule="auto"/>
    </w:pPr>
    <w:rPr>
      <w:rFonts w:ascii="Arial" w:hAnsi="Arial" w:cs="宋体"/>
      <w:sz w:val="24"/>
      <w:szCs w:val="21"/>
    </w:rPr>
  </w:style>
  <w:style w:type="paragraph" w:styleId="1229">
    <w:name w:val="Char Char Char Char Char Char Char"/>
    <w:basedOn w:val="1035"/>
    <w:next w:val="1229"/>
    <w:link w:val="1035"/>
    <w:pPr>
      <w:jc w:val="left"/>
    </w:pPr>
    <w:rPr>
      <w:rFonts w:ascii="Tahoma" w:hAnsi="Tahoma"/>
      <w:sz w:val="24"/>
    </w:rPr>
  </w:style>
  <w:style w:type="paragraph" w:styleId="1230">
    <w:name w:val="Char1"/>
    <w:basedOn w:val="1035"/>
    <w:next w:val="1230"/>
    <w:link w:val="1035"/>
    <w:rPr>
      <w:rFonts w:ascii="仿宋_GB2312" w:hAnsi="宋体" w:eastAsia="仿宋_GB2312" w:cs="宋体"/>
      <w:b/>
      <w:sz w:val="32"/>
      <w:szCs w:val="32"/>
    </w:rPr>
  </w:style>
  <w:style w:type="paragraph" w:styleId="1231">
    <w:name w:val="普通文字"/>
    <w:basedOn w:val="1035"/>
    <w:next w:val="1035"/>
    <w:link w:val="1035"/>
    <w:rPr>
      <w:rFonts w:ascii="宋体" w:hAnsi="宋体" w:cs="宋体"/>
      <w:sz w:val="24"/>
    </w:rPr>
  </w:style>
  <w:style w:type="paragraph" w:styleId="1232">
    <w:name w:val="正文文本 21"/>
    <w:basedOn w:val="1035"/>
    <w:next w:val="1232"/>
    <w:link w:val="1035"/>
    <w:pPr>
      <w:ind w:left="720" w:hanging="720"/>
      <w:widowControl/>
    </w:pPr>
    <w:rPr>
      <w:sz w:val="24"/>
      <w:lang w:val="en-GB"/>
    </w:rPr>
  </w:style>
  <w:style w:type="paragraph" w:styleId="1233">
    <w:name w:val="Char Char Char Char"/>
    <w:basedOn w:val="1063"/>
    <w:next w:val="1233"/>
    <w:link w:val="1035"/>
    <w:pPr>
      <w:spacing w:line="360" w:lineRule="auto"/>
    </w:pPr>
    <w:rPr>
      <w:rFonts w:ascii="Tahoma" w:hAnsi="Tahoma"/>
      <w:sz w:val="24"/>
      <w:szCs w:val="24"/>
    </w:rPr>
  </w:style>
  <w:style w:type="paragraph" w:styleId="1234">
    <w:name w:val="马刚标题1"/>
    <w:basedOn w:val="1036"/>
    <w:next w:val="1035"/>
    <w:link w:val="1035"/>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35">
    <w:name w:val="列出段落4"/>
    <w:basedOn w:val="1035"/>
    <w:next w:val="1235"/>
    <w:link w:val="1035"/>
    <w:uiPriority w:val="99"/>
    <w:qFormat/>
    <w:pPr>
      <w:ind w:firstLine="420"/>
    </w:pPr>
    <w:rPr>
      <w:rFonts w:ascii="Times New Roman" w:hAnsi="Times New Roman" w:eastAsia="宋体" w:cs="Times New Roman"/>
      <w:szCs w:val="20"/>
    </w:rPr>
  </w:style>
  <w:style w:type="paragraph" w:styleId="1236">
    <w:name w:val="正文表标题"/>
    <w:next w:val="1237"/>
    <w:link w:val="1035"/>
    <w:pPr>
      <w:ind w:left="900" w:hanging="420"/>
      <w:jc w:val="center"/>
      <w:tabs>
        <w:tab w:val="left" w:pos="900" w:leader="none"/>
      </w:tabs>
    </w:pPr>
    <w:rPr>
      <w:rFonts w:ascii="黑体" w:eastAsia="黑体"/>
      <w:sz w:val="21"/>
      <w:lang w:val="en-US" w:eastAsia="zh-CN" w:bidi="ar-SA"/>
    </w:rPr>
  </w:style>
  <w:style w:type="paragraph" w:styleId="1237">
    <w:name w:val="段"/>
    <w:next w:val="1237"/>
    <w:link w:val="1035"/>
    <w:pPr>
      <w:ind w:firstLine="200"/>
      <w:jc w:val="both"/>
    </w:pPr>
    <w:rPr>
      <w:rFonts w:ascii="宋体"/>
      <w:sz w:val="21"/>
      <w:lang w:val="en-US" w:eastAsia="zh-CN" w:bidi="ar-SA"/>
    </w:rPr>
  </w:style>
  <w:style w:type="paragraph" w:styleId="1238">
    <w:name w:val="表格1"/>
    <w:basedOn w:val="1035"/>
    <w:next w:val="1238"/>
    <w:link w:val="1035"/>
    <w:rPr>
      <w:rFonts w:ascii="宋体"/>
      <w:szCs w:val="21"/>
    </w:rPr>
  </w:style>
  <w:style w:type="paragraph" w:styleId="1239">
    <w:name w:val="列出段落1"/>
    <w:basedOn w:val="1035"/>
    <w:next w:val="1239"/>
    <w:link w:val="1035"/>
    <w:pPr>
      <w:contextualSpacing/>
      <w:ind w:left="720"/>
      <w:jc w:val="left"/>
      <w:widowControl/>
    </w:pPr>
    <w:rPr>
      <w:rFonts w:ascii="Arial" w:hAnsi="Arial" w:eastAsia="黑体"/>
      <w:sz w:val="24"/>
      <w:szCs w:val="24"/>
      <w:lang w:eastAsia="en-US"/>
    </w:rPr>
  </w:style>
  <w:style w:type="paragraph" w:styleId="1240">
    <w:name w:val="标题1，章节第一层"/>
    <w:basedOn w:val="1212"/>
    <w:next w:val="1212"/>
    <w:link w:val="1035"/>
    <w:pPr>
      <w:ind w:left="482"/>
      <w:spacing w:before="0"/>
      <w:tabs>
        <w:tab w:val="left" w:pos="693" w:leader="none"/>
      </w:tabs>
      <w:outlineLvl w:val="0"/>
    </w:pPr>
    <w:rPr>
      <w:color w:val="000000"/>
      <w:sz w:val="24"/>
      <w:szCs w:val="24"/>
    </w:rPr>
  </w:style>
  <w:style w:type="paragraph" w:styleId="1241">
    <w:name w:val="首行缩进"/>
    <w:basedOn w:val="1035"/>
    <w:next w:val="1241"/>
    <w:link w:val="1035"/>
    <w:qFormat/>
    <w:pPr>
      <w:ind w:firstLine="480"/>
    </w:pPr>
    <w:rPr>
      <w:szCs w:val="20"/>
      <w:lang w:val="zh-CN"/>
    </w:rPr>
  </w:style>
  <w:style w:type="paragraph" w:styleId="1242">
    <w:name w:val="丁华标题2"/>
    <w:basedOn w:val="1037"/>
    <w:next w:val="1227"/>
    <w:link w:val="1035"/>
    <w:pPr>
      <w:numPr>
        <w:ilvl w:val="1"/>
        <w:numId w:val="1"/>
      </w:numPr>
      <w:spacing w:line="415" w:lineRule="auto"/>
      <w:tabs>
        <w:tab w:val="left" w:pos="1004" w:leader="none"/>
      </w:tabs>
    </w:pPr>
    <w:rPr>
      <w:rFonts w:ascii="Arial" w:hAnsi="Arial" w:eastAsia="黑体"/>
      <w:b w:val="0"/>
      <w:sz w:val="28"/>
      <w:szCs w:val="20"/>
    </w:rPr>
  </w:style>
  <w:style w:type="paragraph" w:styleId="1243">
    <w:name w:val="a"/>
    <w:basedOn w:val="1035"/>
    <w:next w:val="1243"/>
    <w:link w:val="1035"/>
    <w:pPr>
      <w:spacing w:before="100" w:beforeAutospacing="1" w:after="100" w:afterAutospacing="1"/>
      <w:widowControl/>
    </w:pPr>
    <w:rPr>
      <w:rFonts w:ascii="宋体" w:hAnsi="宋体" w:cs="宋体"/>
      <w:sz w:val="24"/>
      <w:szCs w:val="24"/>
    </w:rPr>
  </w:style>
  <w:style w:type="paragraph" w:styleId="1244">
    <w:name w:val="项目符号：一级"/>
    <w:basedOn w:val="1212"/>
    <w:next w:val="1212"/>
    <w:link w:val="1035"/>
    <w:pPr>
      <w:ind w:right="-134"/>
    </w:pPr>
    <w:rPr>
      <w:bCs w:val="0"/>
    </w:rPr>
  </w:style>
  <w:style w:type="paragraph" w:styleId="1245">
    <w:name w:val="中等深浅网格 1 - 强调文字颜色 21"/>
    <w:basedOn w:val="1035"/>
    <w:next w:val="1245"/>
    <w:link w:val="1035"/>
    <w:qFormat/>
    <w:pPr>
      <w:ind w:firstLine="420"/>
    </w:pPr>
    <w:rPr>
      <w:rFonts w:ascii="Calibri" w:hAnsi="Calibri"/>
      <w:szCs w:val="22"/>
    </w:rPr>
  </w:style>
  <w:style w:type="paragraph" w:styleId="1246">
    <w:name w:val="样式1"/>
    <w:basedOn w:val="1035"/>
    <w:next w:val="1246"/>
    <w:link w:val="1035"/>
    <w:pPr>
      <w:ind w:firstLine="480"/>
      <w:spacing w:line="300" w:lineRule="auto"/>
    </w:pPr>
    <w:rPr>
      <w:sz w:val="24"/>
      <w:szCs w:val="24"/>
    </w:rPr>
  </w:style>
  <w:style w:type="paragraph" w:styleId="1247">
    <w:name w:val="表格"/>
    <w:basedOn w:val="1035"/>
    <w:next w:val="1247"/>
    <w:link w:val="1035"/>
    <w:pPr>
      <w:ind w:firstLine="21"/>
    </w:pPr>
    <w:rPr>
      <w:rFonts w:ascii="宋体" w:hAnsi="宋体" w:cs="宋体"/>
      <w:sz w:val="20"/>
    </w:rPr>
  </w:style>
  <w:style w:type="paragraph" w:styleId="1248">
    <w:name w:val=" Char Char1 Char"/>
    <w:basedOn w:val="1035"/>
    <w:next w:val="1248"/>
    <w:link w:val="1035"/>
    <w:pPr>
      <w:jc w:val="left"/>
      <w:spacing w:after="160" w:line="240" w:lineRule="exact"/>
      <w:widowControl/>
    </w:pPr>
    <w:rPr>
      <w:rFonts w:ascii="Verdana" w:hAnsi="Verdana"/>
      <w:sz w:val="20"/>
      <w:lang w:eastAsia="en-US"/>
    </w:rPr>
  </w:style>
  <w:style w:type="paragraph" w:styleId="1249">
    <w:name w:val="zw"/>
    <w:basedOn w:val="1035"/>
    <w:next w:val="1249"/>
    <w:link w:val="1035"/>
    <w:pPr>
      <w:ind w:firstLine="480"/>
      <w:jc w:val="left"/>
      <w:spacing w:line="360" w:lineRule="auto"/>
      <w:widowControl/>
    </w:pPr>
    <w:rPr>
      <w:rFonts w:ascii="宋体" w:hAnsi="宋体"/>
      <w:bCs/>
      <w:sz w:val="24"/>
    </w:rPr>
  </w:style>
  <w:style w:type="paragraph" w:styleId="1250">
    <w:name w:val="xl35"/>
    <w:basedOn w:val="1035"/>
    <w:next w:val="1250"/>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51">
    <w:name w:val="xl38"/>
    <w:basedOn w:val="1035"/>
    <w:next w:val="1251"/>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2">
    <w:name w:val="Char Char Char Char Char Char Char1 Char"/>
    <w:basedOn w:val="1035"/>
    <w:next w:val="1252"/>
    <w:link w:val="1035"/>
    <w:rPr>
      <w:rFonts w:ascii="Tahoma" w:hAnsi="Tahoma" w:cs="Tahoma"/>
      <w:sz w:val="24"/>
    </w:rPr>
  </w:style>
  <w:style w:type="paragraph" w:styleId="1253">
    <w:name w:val="retrait3"/>
    <w:basedOn w:val="1035"/>
    <w:next w:val="1253"/>
    <w:link w:val="1035"/>
    <w:pPr>
      <w:ind w:left="851"/>
      <w:jc w:val="left"/>
      <w:spacing w:before="20" w:after="20"/>
      <w:widowControl/>
    </w:pPr>
    <w:rPr>
      <w:rFonts w:ascii="Arial" w:hAnsi="Arial"/>
      <w:sz w:val="24"/>
      <w:lang w:val="en-GB"/>
    </w:rPr>
  </w:style>
  <w:style w:type="paragraph" w:styleId="1254">
    <w:name w:val="Body Text 2"/>
    <w:basedOn w:val="1035"/>
    <w:next w:val="1254"/>
    <w:link w:val="1035"/>
    <w:pPr>
      <w:ind w:left="720" w:hanging="720"/>
      <w:widowControl/>
    </w:pPr>
    <w:rPr>
      <w:sz w:val="24"/>
      <w:lang w:val="en-GB"/>
    </w:rPr>
  </w:style>
  <w:style w:type="paragraph" w:styleId="1255">
    <w:name w:val="标题3，章节第三层"/>
    <w:basedOn w:val="1035"/>
    <w:next w:val="1212"/>
    <w:link w:val="1035"/>
    <w:pPr>
      <w:spacing w:before="78" w:line="300" w:lineRule="auto"/>
      <w:outlineLvl w:val="2"/>
    </w:pPr>
    <w:rPr>
      <w:rFonts w:ascii="Arial" w:hAnsi="Arial" w:eastAsia="华文细黑"/>
      <w:sz w:val="30"/>
      <w:szCs w:val="24"/>
    </w:rPr>
  </w:style>
  <w:style w:type="paragraph" w:styleId="1256">
    <w:name w:val="Char2 Char Char Char Char Char Char1"/>
    <w:basedOn w:val="1035"/>
    <w:next w:val="1256"/>
    <w:link w:val="1035"/>
    <w:pPr>
      <w:ind w:hanging="425"/>
      <w:keepNext/>
      <w:spacing w:before="80" w:after="80"/>
      <w:widowControl/>
      <w:tabs>
        <w:tab w:val="left" w:pos="425" w:leader="none"/>
      </w:tabs>
    </w:pPr>
    <w:rPr>
      <w:rFonts w:ascii="Arial" w:hAnsi="Arial" w:cs="Arial"/>
      <w:sz w:val="20"/>
    </w:rPr>
  </w:style>
  <w:style w:type="paragraph" w:styleId="1257">
    <w:name w:val="正文 + Arial Char"/>
    <w:basedOn w:val="1035"/>
    <w:next w:val="1257"/>
    <w:link w:val="1035"/>
    <w:pPr>
      <w:ind w:left="315" w:hanging="315"/>
      <w:spacing w:line="300" w:lineRule="auto"/>
      <w:widowControl/>
      <w:tabs>
        <w:tab w:val="left" w:pos="315" w:leader="none"/>
      </w:tabs>
    </w:pPr>
    <w:rPr>
      <w:rFonts w:ascii="Arial" w:hAnsi="Arial" w:cs="Arial"/>
      <w:b/>
      <w:color w:val="000000"/>
    </w:rPr>
  </w:style>
  <w:style w:type="paragraph" w:styleId="1258">
    <w:name w:val="font10"/>
    <w:basedOn w:val="1035"/>
    <w:next w:val="1258"/>
    <w:link w:val="1035"/>
    <w:pPr>
      <w:jc w:val="left"/>
      <w:spacing w:before="100" w:beforeAutospacing="1" w:after="100" w:afterAutospacing="1"/>
      <w:widowControl/>
    </w:pPr>
    <w:rPr>
      <w:rFonts w:ascii="楷体_GB2312" w:hAnsi="宋体" w:eastAsia="楷体_GB2312" w:cs="宋体"/>
      <w:b/>
      <w:bCs/>
      <w:sz w:val="18"/>
      <w:szCs w:val="18"/>
    </w:rPr>
  </w:style>
  <w:style w:type="paragraph" w:styleId="1259">
    <w:name w:val="xl31"/>
    <w:basedOn w:val="1035"/>
    <w:next w:val="1259"/>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60">
    <w:name w:val="Table Text Char"/>
    <w:next w:val="1260"/>
    <w:link w:val="1035"/>
    <w:pPr>
      <w:spacing w:before="80" w:after="80"/>
    </w:pPr>
    <w:rPr>
      <w:rFonts w:ascii="Arial" w:hAnsi="Arial" w:cs="Arial"/>
      <w:sz w:val="18"/>
      <w:szCs w:val="28"/>
      <w:lang w:val="en-US" w:eastAsia="zh-CN" w:bidi="ar-SA"/>
    </w:rPr>
  </w:style>
  <w:style w:type="paragraph" w:styleId="1261">
    <w:name w:val="标准文本"/>
    <w:basedOn w:val="1035"/>
    <w:next w:val="1261"/>
    <w:link w:val="1035"/>
    <w:pPr>
      <w:ind w:firstLine="480"/>
      <w:spacing w:line="360" w:lineRule="auto"/>
    </w:pPr>
    <w:rPr>
      <w:rFonts w:cs="宋体"/>
      <w:sz w:val="24"/>
      <w:szCs w:val="24"/>
    </w:rPr>
  </w:style>
  <w:style w:type="paragraph" w:styleId="1262">
    <w:name w:val="Pa5"/>
    <w:basedOn w:val="1035"/>
    <w:next w:val="1035"/>
    <w:link w:val="1035"/>
    <w:pPr>
      <w:jc w:val="left"/>
      <w:spacing w:line="241" w:lineRule="atLeast"/>
    </w:pPr>
    <w:rPr>
      <w:rFonts w:ascii="HYDaHeiJ" w:eastAsia="HYDaHeiJ"/>
      <w:sz w:val="24"/>
      <w:szCs w:val="24"/>
    </w:rPr>
  </w:style>
  <w:style w:type="paragraph" w:styleId="1263">
    <w:name w:val="font9"/>
    <w:basedOn w:val="1035"/>
    <w:next w:val="1263"/>
    <w:link w:val="1035"/>
    <w:pPr>
      <w:jc w:val="left"/>
      <w:spacing w:before="100" w:beforeAutospacing="1" w:after="100" w:afterAutospacing="1"/>
      <w:widowControl/>
    </w:pPr>
    <w:rPr>
      <w:b/>
      <w:bCs/>
      <w:sz w:val="20"/>
    </w:rPr>
  </w:style>
  <w:style w:type="paragraph" w:styleId="1264">
    <w:name w:val="1"/>
    <w:basedOn w:val="1035"/>
    <w:next w:val="1104"/>
    <w:link w:val="1035"/>
    <w:pPr>
      <w:spacing w:line="360" w:lineRule="auto"/>
    </w:pPr>
    <w:rPr>
      <w:rFonts w:eastAsia="仿宋_GB2312"/>
      <w:sz w:val="24"/>
      <w:szCs w:val="24"/>
    </w:rPr>
  </w:style>
  <w:style w:type="paragraph" w:styleId="1265">
    <w:name w:val="font12"/>
    <w:basedOn w:val="1035"/>
    <w:next w:val="1265"/>
    <w:link w:val="1035"/>
    <w:pPr>
      <w:jc w:val="left"/>
      <w:spacing w:before="100" w:beforeAutospacing="1" w:after="100" w:afterAutospacing="1"/>
      <w:widowControl/>
    </w:pPr>
    <w:rPr>
      <w:rFonts w:ascii="宋体" w:hAnsi="宋体" w:cs="宋体"/>
      <w:sz w:val="36"/>
      <w:szCs w:val="36"/>
    </w:rPr>
  </w:style>
  <w:style w:type="paragraph" w:styleId="1266">
    <w:name w:val="Char Char Char Char Char Char Char Char"/>
    <w:basedOn w:val="1035"/>
    <w:next w:val="1266"/>
    <w:link w:val="1035"/>
    <w:rPr>
      <w:rFonts w:ascii="Tahoma" w:hAnsi="Tahoma" w:cs="Tahoma"/>
      <w:sz w:val="24"/>
    </w:rPr>
  </w:style>
  <w:style w:type="paragraph" w:styleId="1267">
    <w:name w:val="xl43"/>
    <w:basedOn w:val="1035"/>
    <w:next w:val="1267"/>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68">
    <w:name w:val="正文缩进2字符"/>
    <w:basedOn w:val="1035"/>
    <w:next w:val="1268"/>
    <w:link w:val="1035"/>
    <w:pPr>
      <w:ind w:firstLine="200"/>
      <w:spacing w:line="300" w:lineRule="auto"/>
    </w:pPr>
    <w:rPr>
      <w:rFonts w:ascii="仿宋_GB2312" w:eastAsia="仿宋_GB2312"/>
      <w:sz w:val="32"/>
      <w:szCs w:val="32"/>
    </w:rPr>
  </w:style>
  <w:style w:type="paragraph" w:styleId="1269">
    <w:name w:val=" Char1"/>
    <w:basedOn w:val="1035"/>
    <w:next w:val="1269"/>
    <w:link w:val="1035"/>
    <w:pPr>
      <w:jc w:val="left"/>
      <w:spacing w:after="160" w:line="240" w:lineRule="exact"/>
      <w:widowControl/>
    </w:pPr>
    <w:rPr>
      <w:rFonts w:ascii="Verdana" w:hAnsi="Verdana" w:eastAsia="仿宋_GB2312"/>
      <w:sz w:val="24"/>
      <w:lang w:eastAsia="en-US"/>
    </w:rPr>
  </w:style>
  <w:style w:type="paragraph" w:styleId="1270">
    <w:name w:val="彩色列表1"/>
    <w:basedOn w:val="1035"/>
    <w:next w:val="1270"/>
    <w:link w:val="1035"/>
    <w:uiPriority w:val="34"/>
    <w:qFormat/>
    <w:pPr>
      <w:ind w:firstLine="420"/>
    </w:pPr>
    <w:rPr>
      <w:szCs w:val="24"/>
    </w:rPr>
  </w:style>
  <w:style w:type="paragraph" w:styleId="1271">
    <w:name w:val="font5"/>
    <w:basedOn w:val="1035"/>
    <w:next w:val="1271"/>
    <w:link w:val="1035"/>
    <w:pPr>
      <w:jc w:val="left"/>
      <w:spacing w:before="100" w:beforeAutospacing="1" w:after="100" w:afterAutospacing="1"/>
      <w:widowControl/>
    </w:pPr>
    <w:rPr>
      <w:rFonts w:ascii="宋体" w:hAnsi="宋体" w:cs="宋体"/>
      <w:sz w:val="18"/>
      <w:szCs w:val="18"/>
    </w:rPr>
  </w:style>
  <w:style w:type="paragraph" w:styleId="1272">
    <w:name w:val="符号与编号 Char"/>
    <w:basedOn w:val="1035"/>
    <w:next w:val="1272"/>
    <w:link w:val="1035"/>
    <w:pPr>
      <w:ind w:left="720"/>
      <w:spacing w:after="156" w:line="400" w:lineRule="atLeast"/>
      <w:tabs>
        <w:tab w:val="left" w:pos="720" w:leader="none"/>
      </w:tabs>
    </w:pPr>
    <w:rPr>
      <w:sz w:val="24"/>
      <w:szCs w:val="24"/>
    </w:rPr>
  </w:style>
  <w:style w:type="paragraph" w:styleId="1273">
    <w:name w:val="Char1 Char Char Char"/>
    <w:basedOn w:val="1035"/>
    <w:next w:val="1273"/>
    <w:link w:val="1035"/>
    <w:rPr>
      <w:rFonts w:ascii="Tahoma" w:hAnsi="Tahoma" w:cs="Tahoma"/>
      <w:sz w:val="24"/>
    </w:rPr>
  </w:style>
  <w:style w:type="paragraph" w:styleId="1274">
    <w:name w:val="xl45"/>
    <w:basedOn w:val="1035"/>
    <w:next w:val="1274"/>
    <w:link w:val="1035"/>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75">
    <w:name w:val="插图"/>
    <w:basedOn w:val="1035"/>
    <w:next w:val="1275"/>
    <w:link w:val="1035"/>
    <w:pPr>
      <w:jc w:val="center"/>
      <w:tabs>
        <w:tab w:val="left" w:pos="1620" w:leader="none"/>
      </w:tabs>
    </w:pPr>
    <w:rPr>
      <w:bCs/>
      <w:color w:val="000000"/>
      <w:szCs w:val="22"/>
    </w:rPr>
  </w:style>
  <w:style w:type="paragraph" w:styleId="1276">
    <w:name w:val="表蕊"/>
    <w:basedOn w:val="1035"/>
    <w:next w:val="1276"/>
    <w:link w:val="1035"/>
    <w:pPr>
      <w:jc w:val="left"/>
      <w:spacing w:line="320" w:lineRule="atLeast"/>
    </w:pPr>
    <w:rPr>
      <w:rFonts w:eastAsia="楷体_GB2312"/>
      <w:spacing w:val="-10"/>
    </w:rPr>
  </w:style>
  <w:style w:type="paragraph" w:styleId="1277">
    <w:name w:val="正文 + 宋体"/>
    <w:basedOn w:val="1035"/>
    <w:next w:val="1277"/>
    <w:link w:val="1035"/>
    <w:pPr>
      <w:ind w:firstLine="420"/>
      <w:spacing w:line="360" w:lineRule="auto"/>
    </w:pPr>
    <w:rPr>
      <w:szCs w:val="24"/>
    </w:rPr>
  </w:style>
  <w:style w:type="paragraph" w:styleId="1278">
    <w:name w:val="样式4 Char"/>
    <w:basedOn w:val="1035"/>
    <w:next w:val="1278"/>
    <w:link w:val="1035"/>
    <w:pPr>
      <w:ind w:firstLine="480"/>
      <w:jc w:val="left"/>
      <w:spacing w:line="360" w:lineRule="auto"/>
      <w:widowControl/>
    </w:pPr>
    <w:rPr>
      <w:rFonts w:cs="宋体"/>
      <w:color w:val="000000"/>
      <w:sz w:val="24"/>
      <w:szCs w:val="24"/>
    </w:rPr>
  </w:style>
  <w:style w:type="paragraph" w:styleId="1279">
    <w:name w:val="小四 段落 宋体 Char Char Char Char"/>
    <w:basedOn w:val="1035"/>
    <w:next w:val="1279"/>
    <w:link w:val="1035"/>
    <w:pPr>
      <w:ind w:right="-33" w:firstLine="480"/>
      <w:jc w:val="left"/>
      <w:spacing w:line="360" w:lineRule="auto"/>
    </w:pPr>
    <w:rPr>
      <w:sz w:val="24"/>
      <w:szCs w:val="24"/>
    </w:rPr>
  </w:style>
  <w:style w:type="paragraph" w:styleId="1280">
    <w:name w:val="样式3"/>
    <w:basedOn w:val="1035"/>
    <w:next w:val="1035"/>
    <w:link w:val="1035"/>
    <w:pPr>
      <w:spacing w:line="360" w:lineRule="auto"/>
    </w:pPr>
  </w:style>
  <w:style w:type="paragraph" w:styleId="1281">
    <w:name w:val="xl33"/>
    <w:basedOn w:val="1035"/>
    <w:next w:val="1281"/>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2">
    <w:name w:val="flName"/>
    <w:basedOn w:val="1283"/>
    <w:next w:val="1282"/>
    <w:link w:val="1035"/>
    <w:pPr>
      <w:spacing w:before="0" w:line="113" w:lineRule="atLeast"/>
    </w:pPr>
  </w:style>
  <w:style w:type="paragraph" w:styleId="1283">
    <w:name w:val="flNote"/>
    <w:basedOn w:val="1035"/>
    <w:next w:val="1283"/>
    <w:link w:val="1035"/>
    <w:pPr>
      <w:jc w:val="center"/>
      <w:spacing w:before="567" w:line="360" w:lineRule="atLeast"/>
    </w:pPr>
    <w:rPr>
      <w:rFonts w:eastAsia="黑体"/>
      <w:b/>
      <w:sz w:val="24"/>
    </w:rPr>
  </w:style>
  <w:style w:type="paragraph" w:styleId="1284">
    <w:name w:val="xl39"/>
    <w:basedOn w:val="1035"/>
    <w:next w:val="1284"/>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5">
    <w:name w:val="No Spacing"/>
    <w:next w:val="1285"/>
    <w:link w:val="1035"/>
    <w:qFormat/>
    <w:pPr>
      <w:jc w:val="both"/>
      <w:widowControl w:val="off"/>
    </w:pPr>
    <w:rPr>
      <w:rFonts w:ascii="Calibri" w:hAnsi="Calibri" w:eastAsia="微软雅黑"/>
      <w:sz w:val="24"/>
      <w:szCs w:val="22"/>
      <w:lang w:val="en-US" w:eastAsia="zh-CN" w:bidi="ar-SA"/>
    </w:rPr>
  </w:style>
  <w:style w:type="paragraph" w:styleId="1286">
    <w:name w:val="Char Char Char Char Char Char"/>
    <w:basedOn w:val="1035"/>
    <w:next w:val="1286"/>
    <w:link w:val="1035"/>
    <w:rPr>
      <w:rFonts w:ascii="Tahoma" w:hAnsi="Tahoma" w:cs="Tahoma"/>
      <w:sz w:val="24"/>
    </w:rPr>
  </w:style>
  <w:style w:type="paragraph" w:styleId="1287">
    <w:name w:val="样式 加点正文 + 段前: 0.5 行 段后: 0.5 行1"/>
    <w:basedOn w:val="1035"/>
    <w:next w:val="1287"/>
    <w:link w:val="1035"/>
    <w:pPr>
      <w:numPr>
        <w:ilvl w:val="0"/>
        <w:numId w:val="2"/>
      </w:numPr>
      <w:ind w:left="1268"/>
      <w:spacing w:before="156" w:after="156" w:line="300" w:lineRule="auto"/>
      <w:tabs>
        <w:tab w:val="left" w:pos="1268" w:leader="none"/>
      </w:tabs>
    </w:pPr>
    <w:rPr>
      <w:sz w:val="24"/>
    </w:rPr>
  </w:style>
  <w:style w:type="paragraph" w:styleId="1288">
    <w:name w:val=" Char Char"/>
    <w:basedOn w:val="1035"/>
    <w:next w:val="1288"/>
    <w:link w:val="1035"/>
    <w:rPr>
      <w:rFonts w:ascii="Tahoma" w:hAnsi="Tahoma"/>
      <w:sz w:val="24"/>
    </w:rPr>
  </w:style>
  <w:style w:type="paragraph" w:styleId="1289">
    <w:name w:val="Char Char Char"/>
    <w:basedOn w:val="1035"/>
    <w:next w:val="1289"/>
    <w:link w:val="1035"/>
    <w:rPr>
      <w:rFonts w:ascii="Tahoma" w:hAnsi="Tahoma"/>
      <w:sz w:val="24"/>
    </w:rPr>
  </w:style>
  <w:style w:type="paragraph" w:styleId="1290">
    <w:name w:val="列出段落2"/>
    <w:basedOn w:val="1035"/>
    <w:next w:val="1290"/>
    <w:link w:val="1035"/>
    <w:pPr>
      <w:ind w:left="720"/>
      <w:jc w:val="left"/>
      <w:widowControl/>
    </w:pPr>
    <w:rPr>
      <w:rFonts w:ascii="Arial" w:hAnsi="Arial" w:eastAsia="黑体" w:cs="Arial"/>
      <w:sz w:val="24"/>
      <w:szCs w:val="24"/>
      <w:lang w:eastAsia="en-US"/>
    </w:rPr>
  </w:style>
  <w:style w:type="paragraph" w:styleId="1291">
    <w:name w:val="彩色底纹1"/>
    <w:next w:val="1291"/>
    <w:link w:val="1035"/>
    <w:semiHidden/>
    <w:rPr>
      <w:sz w:val="21"/>
      <w:szCs w:val="24"/>
      <w:lang w:val="en-US" w:eastAsia="zh-CN" w:bidi="ar-SA"/>
    </w:rPr>
  </w:style>
  <w:style w:type="paragraph" w:styleId="1292">
    <w:name w:val="xl57"/>
    <w:basedOn w:val="1035"/>
    <w:next w:val="1292"/>
    <w:link w:val="10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93">
    <w:name w:val="Char Char1 Char Char Char Char Char Char Char"/>
    <w:basedOn w:val="1035"/>
    <w:next w:val="1293"/>
    <w:link w:val="1035"/>
    <w:rPr>
      <w:rFonts w:ascii="Tahoma" w:hAnsi="Tahoma" w:cs="Tahoma"/>
      <w:sz w:val="24"/>
    </w:rPr>
  </w:style>
  <w:style w:type="paragraph" w:styleId="1294">
    <w:name w:val="章标题"/>
    <w:next w:val="1237"/>
    <w:link w:val="1035"/>
    <w:pPr>
      <w:jc w:val="both"/>
      <w:spacing w:before="156" w:after="156"/>
      <w:outlineLvl w:val="1"/>
    </w:pPr>
    <w:rPr>
      <w:rFonts w:eastAsia="黑体"/>
      <w:sz w:val="21"/>
      <w:lang w:val="en-US" w:eastAsia="zh-CN" w:bidi="ar-SA"/>
    </w:rPr>
  </w:style>
  <w:style w:type="paragraph" w:styleId="1295">
    <w:name w:val="文档正文"/>
    <w:basedOn w:val="1035"/>
    <w:next w:val="1295"/>
    <w:link w:val="1035"/>
    <w:pPr>
      <w:spacing w:line="360" w:lineRule="auto"/>
    </w:pPr>
    <w:rPr>
      <w:rFonts w:ascii="宋体" w:hAnsi="宋体"/>
      <w:b/>
      <w:bCs/>
      <w:szCs w:val="24"/>
    </w:rPr>
  </w:style>
  <w:style w:type="paragraph" w:styleId="1296">
    <w:name w:val="符号与编号"/>
    <w:basedOn w:val="1035"/>
    <w:next w:val="1296"/>
    <w:link w:val="1035"/>
    <w:pPr>
      <w:ind w:left="900" w:hanging="420"/>
      <w:spacing w:after="156" w:line="400" w:lineRule="atLeast"/>
      <w:tabs>
        <w:tab w:val="left" w:pos="900" w:leader="none"/>
      </w:tabs>
    </w:pPr>
    <w:rPr>
      <w:sz w:val="24"/>
      <w:szCs w:val="24"/>
    </w:rPr>
  </w:style>
  <w:style w:type="paragraph" w:styleId="1297">
    <w:name w:val="正文2"/>
    <w:basedOn w:val="1035"/>
    <w:next w:val="1297"/>
    <w:link w:val="1035"/>
    <w:pPr>
      <w:ind w:firstLine="510"/>
      <w:spacing w:before="156" w:line="360" w:lineRule="auto"/>
    </w:pPr>
    <w:rPr>
      <w:sz w:val="24"/>
    </w:rPr>
  </w:style>
  <w:style w:type="paragraph" w:styleId="1298">
    <w:name w:val="font11"/>
    <w:basedOn w:val="1035"/>
    <w:next w:val="1298"/>
    <w:link w:val="1035"/>
    <w:pPr>
      <w:jc w:val="left"/>
      <w:spacing w:before="100" w:beforeAutospacing="1" w:after="100" w:afterAutospacing="1"/>
      <w:widowControl/>
    </w:pPr>
    <w:rPr>
      <w:b/>
      <w:bCs/>
      <w:sz w:val="18"/>
      <w:szCs w:val="18"/>
    </w:rPr>
  </w:style>
  <w:style w:type="paragraph" w:styleId="1299">
    <w:name w:val="Normal1"/>
    <w:basedOn w:val="1035"/>
    <w:next w:val="1299"/>
    <w:link w:val="1035"/>
    <w:rPr>
      <w:rFonts w:ascii="Calibri" w:hAnsi="Calibri" w:eastAsia="Calibri" w:cs="宋体"/>
      <w:lang w:val="zh-CN"/>
    </w:rPr>
  </w:style>
  <w:style w:type="paragraph" w:styleId="1300">
    <w:name w:val="默认段落字体 Para Char Char Char Char Char Char Char"/>
    <w:basedOn w:val="1035"/>
    <w:next w:val="1300"/>
    <w:link w:val="1035"/>
  </w:style>
  <w:style w:type="paragraph" w:styleId="1301">
    <w:name w:val="xl63"/>
    <w:basedOn w:val="1035"/>
    <w:next w:val="1301"/>
    <w:link w:val="103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02">
    <w:name w:val="项目符号，二级"/>
    <w:basedOn w:val="1212"/>
    <w:next w:val="1212"/>
    <w:link w:val="1035"/>
    <w:pPr>
      <w:numPr>
        <w:ilvl w:val="0"/>
        <w:numId w:val="1"/>
      </w:numPr>
      <w:ind w:left="1337" w:right="-27" w:firstLine="480"/>
      <w:tabs>
        <w:tab w:val="left" w:pos="1211" w:leader="none"/>
        <w:tab w:val="left" w:pos="1337" w:leader="none"/>
      </w:tabs>
    </w:pPr>
    <w:rPr>
      <w:bCs w:val="0"/>
      <w:color w:val="000000"/>
      <w:sz w:val="24"/>
      <w:szCs w:val="24"/>
    </w:rPr>
  </w:style>
  <w:style w:type="paragraph" w:styleId="1303">
    <w:name w:val="xl52"/>
    <w:basedOn w:val="1035"/>
    <w:next w:val="1303"/>
    <w:link w:val="10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4">
    <w:name w:val="Item Step in Table"/>
    <w:next w:val="1304"/>
    <w:link w:val="1035"/>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305">
    <w:name w:val="xl61"/>
    <w:basedOn w:val="1035"/>
    <w:next w:val="1305"/>
    <w:link w:val="10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6">
    <w:name w:val="马刚标题3"/>
    <w:basedOn w:val="1035"/>
    <w:next w:val="1035"/>
    <w:link w:val="103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7">
    <w:name w:val="样式2"/>
    <w:basedOn w:val="1035"/>
    <w:next w:val="1307"/>
    <w:link w:val="1035"/>
    <w:pPr>
      <w:ind w:left="200"/>
      <w:spacing w:line="360" w:lineRule="auto"/>
    </w:pPr>
    <w:rPr>
      <w:rFonts w:ascii="宋体" w:hAnsi="宋体"/>
      <w:b/>
      <w:sz w:val="24"/>
      <w:szCs w:val="24"/>
    </w:rPr>
  </w:style>
  <w:style w:type="paragraph" w:styleId="1308">
    <w:name w:val="Char Char Char Char Char Char Char Char Char Char Char Char Char Char Char Char Char Char Char Char Char Char Char"/>
    <w:basedOn w:val="1035"/>
    <w:next w:val="1308"/>
    <w:link w:val="1035"/>
    <w:rPr>
      <w:rFonts w:ascii="Tahoma" w:hAnsi="Tahoma" w:cs="Tahoma"/>
      <w:sz w:val="24"/>
    </w:rPr>
  </w:style>
  <w:style w:type="paragraph" w:styleId="1309">
    <w:name w:val="正文 首行缩进:  2 字符 Char Char"/>
    <w:basedOn w:val="1035"/>
    <w:next w:val="1309"/>
    <w:link w:val="1035"/>
    <w:pPr>
      <w:ind w:firstLine="480"/>
      <w:spacing w:line="360" w:lineRule="auto"/>
    </w:pPr>
    <w:rPr>
      <w:rFonts w:ascii="楷体_GB2312" w:eastAsia="楷体_GB2312"/>
      <w:bCs/>
      <w:sz w:val="24"/>
      <w:szCs w:val="24"/>
    </w:rPr>
  </w:style>
  <w:style w:type="paragraph" w:styleId="1310">
    <w:name w:val="标题3"/>
    <w:basedOn w:val="1038"/>
    <w:next w:val="1310"/>
    <w:link w:val="1035"/>
    <w:pPr>
      <w:keepLines w:val="0"/>
      <w:keepNext w:val="0"/>
      <w:spacing w:before="0" w:after="0" w:line="360" w:lineRule="auto"/>
    </w:pPr>
    <w:rPr>
      <w:rFonts w:eastAsia="仿宋_GB2312"/>
      <w:b w:val="0"/>
      <w:bCs/>
      <w:sz w:val="30"/>
      <w:szCs w:val="32"/>
    </w:rPr>
  </w:style>
  <w:style w:type="paragraph" w:styleId="1311">
    <w:name w:val="Pa6"/>
    <w:basedOn w:val="1035"/>
    <w:next w:val="1035"/>
    <w:link w:val="1035"/>
    <w:pPr>
      <w:jc w:val="left"/>
      <w:spacing w:line="241" w:lineRule="atLeast"/>
    </w:pPr>
    <w:rPr>
      <w:rFonts w:ascii="HYDaHeiJ" w:eastAsia="HYDaHeiJ"/>
      <w:sz w:val="24"/>
      <w:szCs w:val="24"/>
    </w:rPr>
  </w:style>
  <w:style w:type="paragraph" w:styleId="1312">
    <w:name w:val="正文文本 New New"/>
    <w:basedOn w:val="1035"/>
    <w:next w:val="1312"/>
    <w:link w:val="1035"/>
    <w:pPr>
      <w:ind w:firstLine="200"/>
      <w:spacing w:before="60" w:after="60" w:line="360" w:lineRule="auto"/>
      <w:widowControl/>
    </w:pPr>
    <w:rPr>
      <w:rFonts w:eastAsia="华文楷体"/>
      <w:sz w:val="24"/>
      <w:szCs w:val="24"/>
    </w:rPr>
  </w:style>
  <w:style w:type="paragraph" w:styleId="1313">
    <w:name w:val=" Char Char Char"/>
    <w:basedOn w:val="1063"/>
    <w:next w:val="1313"/>
    <w:link w:val="1035"/>
    <w:pPr>
      <w:spacing w:line="436" w:lineRule="exact"/>
    </w:pPr>
    <w:rPr>
      <w:szCs w:val="24"/>
    </w:rPr>
  </w:style>
  <w:style w:type="paragraph" w:styleId="1314">
    <w:name w:val="font8"/>
    <w:basedOn w:val="1035"/>
    <w:next w:val="1314"/>
    <w:link w:val="1035"/>
    <w:pPr>
      <w:jc w:val="left"/>
      <w:spacing w:before="100" w:beforeAutospacing="1" w:after="100" w:afterAutospacing="1"/>
      <w:widowControl/>
    </w:pPr>
    <w:rPr>
      <w:rFonts w:ascii="宋体" w:hAnsi="宋体" w:cs="宋体"/>
      <w:b/>
      <w:bCs/>
      <w:i/>
      <w:iCs/>
      <w:sz w:val="20"/>
    </w:rPr>
  </w:style>
  <w:style w:type="paragraph" w:styleId="1315">
    <w:name w:val="样式"/>
    <w:basedOn w:val="1035"/>
    <w:next w:val="1315"/>
    <w:link w:val="1035"/>
    <w:pPr>
      <w:spacing w:before="120" w:after="120" w:line="360" w:lineRule="auto"/>
    </w:pPr>
    <w:rPr>
      <w:rFonts w:ascii="宋体"/>
      <w:sz w:val="24"/>
    </w:rPr>
  </w:style>
  <w:style w:type="paragraph" w:styleId="1316">
    <w:name w:val="Test2"/>
    <w:basedOn w:val="1037"/>
    <w:next w:val="1316"/>
    <w:link w:val="1035"/>
    <w:pPr>
      <w:jc w:val="center"/>
      <w:spacing w:before="156" w:after="156" w:line="480" w:lineRule="exact"/>
      <w:widowControl/>
    </w:pPr>
    <w:rPr>
      <w:rFonts w:ascii="黑体" w:hAnsi="Arial" w:eastAsia="黑体"/>
      <w:bCs/>
      <w:sz w:val="24"/>
    </w:rPr>
  </w:style>
  <w:style w:type="paragraph" w:styleId="1317">
    <w:name w:val="二级条标题"/>
    <w:basedOn w:val="1035"/>
    <w:next w:val="1237"/>
    <w:link w:val="1035"/>
    <w:pPr>
      <w:ind w:hanging="420"/>
      <w:widowControl/>
      <w:tabs>
        <w:tab w:val="left" w:pos="2240" w:leader="none"/>
      </w:tabs>
      <w:outlineLvl w:val="3"/>
    </w:pPr>
    <w:rPr>
      <w:rFonts w:eastAsia="黑体"/>
    </w:rPr>
  </w:style>
  <w:style w:type="paragraph" w:styleId="1318">
    <w:name w:val="样式 标题 2第一章 标题 2Heading 2 HiddenHeading 2 CCBSheading 2H2h2..."/>
    <w:basedOn w:val="1037"/>
    <w:next w:val="1318"/>
    <w:link w:val="103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19">
    <w:name w:val="样式 段后: 0.5 行 左  0.75 字符"/>
    <w:basedOn w:val="1035"/>
    <w:next w:val="1319"/>
    <w:link w:val="1035"/>
    <w:pPr>
      <w:ind w:firstLine="420"/>
      <w:spacing w:line="360" w:lineRule="auto"/>
      <w:widowControl/>
    </w:pPr>
    <w:rPr>
      <w:rFonts w:hAnsi="Arial" w:cs="Arial"/>
      <w:szCs w:val="21"/>
    </w:rPr>
  </w:style>
  <w:style w:type="paragraph" w:styleId="1320">
    <w:name w:val="标题5，章节第五层"/>
    <w:basedOn w:val="1035"/>
    <w:next w:val="1035"/>
    <w:link w:val="103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1">
    <w:name w:val="华宇段落1 Char"/>
    <w:basedOn w:val="1035"/>
    <w:next w:val="1321"/>
    <w:link w:val="1035"/>
    <w:pPr>
      <w:ind w:firstLine="200"/>
      <w:spacing w:line="360" w:lineRule="auto"/>
    </w:pPr>
    <w:rPr>
      <w:bCs/>
      <w:sz w:val="24"/>
      <w:szCs w:val="24"/>
    </w:rPr>
  </w:style>
  <w:style w:type="paragraph" w:styleId="1322">
    <w:name w:val=" Char Char Char Char Char Char Char Char Char Char Char Char Char Char Char Char Char Char Char Char Char"/>
    <w:basedOn w:val="1035"/>
    <w:next w:val="1322"/>
    <w:link w:val="1035"/>
    <w:rPr>
      <w:rFonts w:ascii="Tahoma" w:hAnsi="Tahoma"/>
      <w:sz w:val="24"/>
    </w:rPr>
  </w:style>
  <w:style w:type="paragraph" w:styleId="1323">
    <w:name w:val="xl47"/>
    <w:basedOn w:val="1035"/>
    <w:next w:val="1323"/>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24">
    <w:name w:val="马刚标题4"/>
    <w:basedOn w:val="1306"/>
    <w:next w:val="1035"/>
    <w:link w:val="1035"/>
    <w:pPr>
      <w:spacing w:before="100" w:after="40"/>
      <w:tabs>
        <w:tab w:val="left" w:pos="1050" w:leader="none"/>
      </w:tabs>
      <w:outlineLvl w:val="3"/>
    </w:pPr>
    <w:rPr>
      <w:b w:val="0"/>
    </w:rPr>
  </w:style>
  <w:style w:type="paragraph" w:styleId="1325">
    <w:name w:val=" Char Char1 Char Char Char Char1 Char Char Char Char Char Char"/>
    <w:basedOn w:val="1035"/>
    <w:next w:val="1325"/>
    <w:link w:val="1035"/>
    <w:rPr>
      <w:rFonts w:ascii="Tahoma" w:hAnsi="Tahoma"/>
      <w:sz w:val="24"/>
    </w:rPr>
  </w:style>
  <w:style w:type="paragraph" w:styleId="1326">
    <w:name w:val="xl40"/>
    <w:basedOn w:val="1035"/>
    <w:next w:val="1326"/>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7">
    <w:name w:val="样式 样式 标题 3H3sect1.2.3BOD 0Heading 3 - oldh3l3CTLevel 3 Head... +..."/>
    <w:basedOn w:val="1035"/>
    <w:next w:val="1327"/>
    <w:link w:val="1035"/>
    <w:pPr>
      <w:jc w:val="left"/>
      <w:keepLines/>
      <w:keepNext/>
      <w:spacing w:before="156" w:after="156"/>
      <w:outlineLvl w:val="2"/>
    </w:pPr>
    <w:rPr>
      <w:rFonts w:cs="宋体"/>
      <w:b/>
      <w:bCs/>
      <w:sz w:val="24"/>
    </w:rPr>
  </w:style>
  <w:style w:type="paragraph" w:styleId="1328">
    <w:name w:val="Char Char"/>
    <w:basedOn w:val="1035"/>
    <w:next w:val="1328"/>
    <w:link w:val="1035"/>
    <w:rPr>
      <w:rFonts w:ascii="Tahoma" w:hAnsi="Tahoma" w:cs="Tahoma"/>
      <w:sz w:val="24"/>
    </w:rPr>
  </w:style>
  <w:style w:type="paragraph" w:styleId="1329">
    <w:name w:val=" Char"/>
    <w:basedOn w:val="1035"/>
    <w:next w:val="1329"/>
    <w:link w:val="1035"/>
    <w:pPr>
      <w:spacing w:after="156" w:line="360" w:lineRule="auto"/>
    </w:pPr>
    <w:rPr>
      <w:rFonts w:ascii="Tahoma" w:hAnsi="Tahoma"/>
      <w:sz w:val="24"/>
    </w:rPr>
  </w:style>
  <w:style w:type="paragraph" w:styleId="1330">
    <w:name w:val="xl29"/>
    <w:basedOn w:val="1035"/>
    <w:next w:val="1330"/>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1">
    <w:name w:val="标题6"/>
    <w:basedOn w:val="1040"/>
    <w:next w:val="1331"/>
    <w:link w:val="1035"/>
    <w:pPr>
      <w:numPr>
        <w:ilvl w:val="0"/>
        <w:numId w:val="2"/>
      </w:numPr>
      <w:keepLines/>
      <w:tabs>
        <w:tab w:val="left" w:pos="420" w:leader="none"/>
      </w:tabs>
    </w:pPr>
    <w:rPr>
      <w:rFonts w:ascii="Times New Roman"/>
      <w:b w:val="0"/>
      <w:bCs/>
      <w:color w:val="000000"/>
      <w:sz w:val="24"/>
      <w:szCs w:val="28"/>
    </w:rPr>
  </w:style>
  <w:style w:type="paragraph" w:styleId="1332">
    <w:name w:val="纯文本1"/>
    <w:basedOn w:val="1035"/>
    <w:next w:val="1332"/>
    <w:link w:val="1035"/>
    <w:rPr>
      <w:rFonts w:ascii="宋体" w:hAnsi="宋体" w:eastAsia="楷体_GB2312" w:cs="宋体"/>
      <w:sz w:val="28"/>
    </w:rPr>
  </w:style>
  <w:style w:type="paragraph" w:styleId="1333">
    <w:name w:val="xl36"/>
    <w:basedOn w:val="1035"/>
    <w:next w:val="1333"/>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4">
    <w:name w:val="tableau"/>
    <w:basedOn w:val="1035"/>
    <w:next w:val="1334"/>
    <w:link w:val="1035"/>
    <w:pPr>
      <w:jc w:val="center"/>
      <w:spacing w:before="20" w:after="20"/>
      <w:widowControl/>
    </w:pPr>
    <w:rPr>
      <w:rFonts w:ascii="Arial" w:hAnsi="Arial"/>
      <w:sz w:val="16"/>
      <w:lang w:val="en-GB" w:eastAsia="en-US"/>
    </w:rPr>
  </w:style>
  <w:style w:type="paragraph" w:styleId="1335">
    <w:name w:val=" Char Char Char Char Char Char Char Char Char Char Char Char Char"/>
    <w:basedOn w:val="1063"/>
    <w:next w:val="1335"/>
    <w:link w:val="1035"/>
    <w:rPr>
      <w:rFonts w:ascii="Tahoma" w:hAnsi="Tahoma"/>
      <w:sz w:val="24"/>
      <w:szCs w:val="24"/>
    </w:rPr>
  </w:style>
  <w:style w:type="paragraph" w:styleId="1336">
    <w:name w:val="正文--表格内正文"/>
    <w:basedOn w:val="1035"/>
    <w:next w:val="1336"/>
    <w:link w:val="1035"/>
    <w:pPr>
      <w:jc w:val="center"/>
      <w:spacing w:before="156" w:line="0" w:lineRule="atLeast"/>
    </w:pPr>
    <w:rPr>
      <w:rFonts w:ascii="宋体" w:hAnsi="宋体"/>
      <w:color w:val="000000"/>
      <w:sz w:val="24"/>
      <w:szCs w:val="24"/>
    </w:rPr>
  </w:style>
  <w:style w:type="paragraph" w:styleId="1337">
    <w:name w:val=" Char Char Char Char Char"/>
    <w:basedOn w:val="1035"/>
    <w:next w:val="1337"/>
    <w:link w:val="1035"/>
    <w:rPr>
      <w:rFonts w:ascii="Tahoma" w:hAnsi="Tahoma"/>
      <w:sz w:val="24"/>
    </w:rPr>
  </w:style>
  <w:style w:type="paragraph" w:styleId="1338">
    <w:name w:val="xl37"/>
    <w:basedOn w:val="1035"/>
    <w:next w:val="1338"/>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39">
    <w:name w:val="Bullets L1"/>
    <w:basedOn w:val="1035"/>
    <w:next w:val="1339"/>
    <w:link w:val="1035"/>
    <w:pPr>
      <w:numPr>
        <w:ilvl w:val="0"/>
        <w:numId w:val="4"/>
      </w:numPr>
      <w:jc w:val="left"/>
      <w:spacing w:before="60" w:after="60"/>
      <w:widowControl/>
      <w:tabs>
        <w:tab w:val="left" w:pos="360" w:leader="none"/>
      </w:tabs>
    </w:pPr>
    <w:rPr>
      <w:rFonts w:ascii="Arial" w:hAnsi="Arial"/>
      <w:sz w:val="20"/>
    </w:rPr>
  </w:style>
  <w:style w:type="paragraph" w:styleId="1340">
    <w:name w:val=" Char Char1"/>
    <w:basedOn w:val="1035"/>
    <w:next w:val="1340"/>
    <w:link w:val="1035"/>
    <w:rPr>
      <w:rFonts w:ascii="Tahoma" w:hAnsi="Tahoma"/>
      <w:sz w:val="24"/>
    </w:rPr>
  </w:style>
  <w:style w:type="paragraph" w:styleId="1341">
    <w:name w:val="小四 段落 宋体 Char Char Char"/>
    <w:basedOn w:val="1061"/>
    <w:next w:val="1341"/>
    <w:link w:val="1035"/>
    <w:pPr>
      <w:ind w:left="0" w:right="-33" w:firstLine="545"/>
      <w:jc w:val="left"/>
      <w:spacing w:line="360" w:lineRule="auto"/>
      <w:tabs>
        <w:tab w:val="clear" w:pos="2952" w:leader="none"/>
      </w:tabs>
    </w:pPr>
    <w:rPr>
      <w:sz w:val="24"/>
    </w:rPr>
  </w:style>
  <w:style w:type="paragraph" w:styleId="1342">
    <w:name w:val="xl55"/>
    <w:basedOn w:val="1035"/>
    <w:next w:val="1342"/>
    <w:link w:val="103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3">
    <w:name w:val="xl58"/>
    <w:basedOn w:val="1035"/>
    <w:next w:val="1343"/>
    <w:link w:val="10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44">
    <w:name w:val="标题4，章节第四层"/>
    <w:basedOn w:val="1035"/>
    <w:next w:val="1035"/>
    <w:link w:val="1035"/>
    <w:pPr>
      <w:spacing w:line="360" w:lineRule="auto"/>
      <w:tabs>
        <w:tab w:val="left" w:pos="0" w:leader="none"/>
      </w:tabs>
      <w:outlineLvl w:val="3"/>
    </w:pPr>
    <w:rPr>
      <w:rFonts w:ascii="宋体" w:hAnsi="宋体"/>
      <w:b/>
      <w:sz w:val="24"/>
      <w:szCs w:val="24"/>
    </w:rPr>
  </w:style>
  <w:style w:type="paragraph" w:styleId="1345">
    <w:name w:val="Char Char Char Char Char Char Char Char Char Char Char Char Char Char Char Char Char Char Char Char Char"/>
    <w:basedOn w:val="1035"/>
    <w:next w:val="1345"/>
    <w:link w:val="1035"/>
    <w:rPr>
      <w:rFonts w:ascii="Tahoma" w:hAnsi="Tahoma" w:cs="Tahoma"/>
      <w:sz w:val="24"/>
    </w:rPr>
  </w:style>
  <w:style w:type="paragraph" w:styleId="1346">
    <w:name w:val="xl54"/>
    <w:basedOn w:val="1035"/>
    <w:next w:val="1346"/>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7">
    <w:name w:val="Item List Char Char"/>
    <w:next w:val="1347"/>
    <w:link w:val="1035"/>
    <w:pPr>
      <w:jc w:val="both"/>
      <w:spacing w:line="288" w:lineRule="auto"/>
    </w:pPr>
    <w:rPr>
      <w:rFonts w:ascii="Arial" w:hAnsi="Arial" w:cs="Arial"/>
      <w:b/>
      <w:bCs/>
      <w:sz w:val="21"/>
      <w:szCs w:val="28"/>
      <w:lang w:val="en-US" w:eastAsia="zh-CN" w:bidi="ar-SA"/>
    </w:rPr>
  </w:style>
  <w:style w:type="paragraph" w:styleId="1348">
    <w:name w:val="Default Text"/>
    <w:basedOn w:val="1035"/>
    <w:next w:val="1348"/>
    <w:link w:val="1035"/>
    <w:pPr>
      <w:jc w:val="left"/>
      <w:widowControl/>
    </w:pPr>
    <w:rPr>
      <w:sz w:val="24"/>
      <w:lang w:eastAsia="en-US"/>
    </w:rPr>
  </w:style>
  <w:style w:type="paragraph" w:styleId="1349">
    <w:name w:val="flType"/>
    <w:basedOn w:val="1282"/>
    <w:next w:val="1349"/>
    <w:link w:val="1035"/>
    <w:pPr>
      <w:spacing w:after="284"/>
    </w:pPr>
    <w:rPr>
      <w:rFonts w:eastAsia="宋体"/>
      <w:b/>
    </w:rPr>
  </w:style>
  <w:style w:type="paragraph" w:styleId="1350">
    <w:name w:val="正文 首行缩进:  2 字符 Char"/>
    <w:basedOn w:val="1035"/>
    <w:next w:val="1350"/>
    <w:link w:val="1035"/>
    <w:pPr>
      <w:ind w:firstLine="480"/>
      <w:spacing w:line="360" w:lineRule="auto"/>
    </w:pPr>
    <w:rPr>
      <w:rFonts w:cs="宋体"/>
      <w:sz w:val="24"/>
    </w:rPr>
  </w:style>
  <w:style w:type="paragraph" w:styleId="1351">
    <w:name w:val="xl46"/>
    <w:basedOn w:val="1035"/>
    <w:next w:val="1351"/>
    <w:link w:val="1035"/>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52">
    <w:name w:val="表格内文字"/>
    <w:basedOn w:val="1035"/>
    <w:next w:val="1352"/>
    <w:link w:val="1035"/>
    <w:pPr>
      <w:spacing w:line="300" w:lineRule="atLeast"/>
    </w:pPr>
    <w:rPr>
      <w:sz w:val="18"/>
      <w:szCs w:val="24"/>
    </w:rPr>
  </w:style>
  <w:style w:type="paragraph" w:styleId="1353">
    <w:name w:val=" Char Char Char Char"/>
    <w:basedOn w:val="1035"/>
    <w:next w:val="1353"/>
    <w:link w:val="1035"/>
    <w:pPr>
      <w:jc w:val="center"/>
      <w:spacing w:after="160" w:line="240" w:lineRule="exact"/>
      <w:widowControl/>
    </w:pPr>
    <w:rPr>
      <w:rFonts w:ascii="黑体" w:hAnsi="Verdana" w:eastAsia="黑体"/>
      <w:sz w:val="32"/>
      <w:szCs w:val="32"/>
      <w:lang w:eastAsia="en-US"/>
    </w:rPr>
  </w:style>
  <w:style w:type="paragraph" w:styleId="1354">
    <w:name w:val="font13"/>
    <w:basedOn w:val="1035"/>
    <w:next w:val="1354"/>
    <w:link w:val="1035"/>
    <w:pPr>
      <w:jc w:val="left"/>
      <w:spacing w:before="100" w:beforeAutospacing="1" w:after="100" w:afterAutospacing="1"/>
      <w:widowControl/>
    </w:pPr>
    <w:rPr>
      <w:i/>
      <w:iCs/>
      <w:sz w:val="36"/>
      <w:szCs w:val="36"/>
    </w:rPr>
  </w:style>
  <w:style w:type="paragraph" w:styleId="1355">
    <w:name w:val="xl60"/>
    <w:basedOn w:val="1035"/>
    <w:next w:val="1355"/>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6">
    <w:name w:val="标准小四"/>
    <w:basedOn w:val="1035"/>
    <w:next w:val="1356"/>
    <w:link w:val="1035"/>
    <w:pPr>
      <w:ind w:firstLine="480"/>
      <w:spacing w:line="360" w:lineRule="auto"/>
    </w:pPr>
    <w:rPr>
      <w:rFonts w:ascii="Arial" w:hAnsi="Arial"/>
      <w:sz w:val="24"/>
      <w:szCs w:val="21"/>
    </w:rPr>
  </w:style>
  <w:style w:type="paragraph" w:styleId="1357">
    <w:name w:val="小四 段落 宋体"/>
    <w:basedOn w:val="1061"/>
    <w:next w:val="1357"/>
    <w:link w:val="1035"/>
    <w:pPr>
      <w:ind w:left="113" w:right="113" w:firstLine="425"/>
      <w:jc w:val="left"/>
      <w:spacing w:line="360" w:lineRule="auto"/>
      <w:tabs>
        <w:tab w:val="clear" w:pos="2952" w:leader="none"/>
      </w:tabs>
    </w:pPr>
    <w:rPr>
      <w:sz w:val="24"/>
    </w:rPr>
  </w:style>
  <w:style w:type="paragraph" w:styleId="1358">
    <w:name w:val="一级标题"/>
    <w:basedOn w:val="1035"/>
    <w:next w:val="1358"/>
    <w:link w:val="1035"/>
    <w:pPr>
      <w:ind w:left="900" w:hanging="420"/>
      <w:spacing w:line="360" w:lineRule="auto"/>
      <w:tabs>
        <w:tab w:val="left" w:pos="903" w:leader="none"/>
      </w:tabs>
    </w:pPr>
    <w:rPr>
      <w:rFonts w:ascii="Arial" w:hAnsi="Arial" w:cs="Arial"/>
      <w:sz w:val="24"/>
    </w:rPr>
  </w:style>
  <w:style w:type="paragraph" w:styleId="1359">
    <w:name w:val="标题 4宋体"/>
    <w:basedOn w:val="1039"/>
    <w:next w:val="1359"/>
    <w:link w:val="1035"/>
    <w:pPr>
      <w:jc w:val="left"/>
      <w:keepLines w:val="0"/>
      <w:spacing w:before="0" w:after="0" w:line="360" w:lineRule="auto"/>
    </w:pPr>
    <w:rPr>
      <w:rFonts w:ascii="宋体" w:hAnsi="宋体" w:eastAsia="宋体"/>
      <w:bCs/>
      <w:color w:val="000000"/>
      <w:sz w:val="24"/>
    </w:rPr>
  </w:style>
  <w:style w:type="paragraph" w:styleId="1360">
    <w:name w:val="条1"/>
    <w:basedOn w:val="1035"/>
    <w:next w:val="1360"/>
    <w:link w:val="1035"/>
    <w:pPr>
      <w:ind w:left="780" w:hanging="360"/>
      <w:spacing w:before="156" w:line="360" w:lineRule="auto"/>
      <w:tabs>
        <w:tab w:val="left" w:pos="780" w:leader="none"/>
      </w:tabs>
    </w:pPr>
    <w:rPr>
      <w:rFonts w:eastAsia="黑体"/>
      <w:sz w:val="24"/>
    </w:rPr>
  </w:style>
  <w:style w:type="paragraph" w:styleId="1361">
    <w:name w:val="Char Char1"/>
    <w:basedOn w:val="1035"/>
    <w:next w:val="1361"/>
    <w:link w:val="1035"/>
    <w:rPr>
      <w:rFonts w:ascii="Tahoma" w:hAnsi="Tahoma" w:cs="Tahoma"/>
      <w:sz w:val="24"/>
    </w:rPr>
  </w:style>
  <w:style w:type="paragraph" w:styleId="1362">
    <w:name w:val="List Paragraph"/>
    <w:basedOn w:val="1035"/>
    <w:next w:val="1362"/>
    <w:link w:val="1035"/>
    <w:pPr>
      <w:contextualSpacing/>
      <w:ind w:left="720"/>
      <w:jc w:val="left"/>
      <w:widowControl/>
    </w:pPr>
    <w:rPr>
      <w:rFonts w:ascii="Arial" w:hAnsi="Arial" w:eastAsia="黑体"/>
      <w:sz w:val="24"/>
      <w:szCs w:val="24"/>
      <w:lang w:eastAsia="en-US"/>
    </w:rPr>
  </w:style>
  <w:style w:type="paragraph" w:styleId="1363">
    <w:name w:val="xl27"/>
    <w:basedOn w:val="1035"/>
    <w:next w:val="136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4">
    <w:name w:val="表头_5"/>
    <w:basedOn w:val="1035"/>
    <w:next w:val="1364"/>
    <w:link w:val="1035"/>
    <w:pPr>
      <w:spacing w:line="360" w:lineRule="auto"/>
    </w:pPr>
    <w:rPr>
      <w:b/>
      <w:bCs/>
      <w:sz w:val="28"/>
      <w:szCs w:val="21"/>
    </w:rPr>
  </w:style>
  <w:style w:type="paragraph" w:styleId="1365">
    <w:name w:val="xl25"/>
    <w:basedOn w:val="1035"/>
    <w:next w:val="1365"/>
    <w:link w:val="1035"/>
    <w:pPr>
      <w:jc w:val="center"/>
      <w:spacing w:before="100" w:beforeAutospacing="1" w:after="100" w:afterAutospacing="1"/>
      <w:widowControl/>
      <w:pBdr>
        <w:right w:val="single" w:color="000000" w:sz="4" w:space="0"/>
      </w:pBdr>
    </w:pPr>
    <w:rPr>
      <w:szCs w:val="21"/>
    </w:rPr>
  </w:style>
  <w:style w:type="paragraph" w:styleId="1366">
    <w:name w:val=" Char Char Char Char Char Char Char Char Char Char Char Char Char Char Char Char Char Char Char Char Char Char Char"/>
    <w:basedOn w:val="1035"/>
    <w:next w:val="1366"/>
    <w:link w:val="1035"/>
    <w:rPr>
      <w:rFonts w:ascii="Tahoma" w:hAnsi="Tahoma"/>
      <w:sz w:val="24"/>
    </w:rPr>
  </w:style>
  <w:style w:type="paragraph" w:styleId="1367">
    <w:name w:val="正文 New New New New New New New New New New New New New New"/>
    <w:next w:val="1367"/>
    <w:link w:val="1035"/>
    <w:pPr>
      <w:jc w:val="both"/>
      <w:widowControl w:val="off"/>
    </w:pPr>
    <w:rPr>
      <w:rFonts w:hint="eastAsia" w:ascii="Calibri" w:hAnsi="Calibri"/>
      <w:sz w:val="21"/>
      <w:lang w:val="en-US" w:eastAsia="zh-CN" w:bidi="ar-SA"/>
    </w:rPr>
  </w:style>
  <w:style w:type="paragraph" w:styleId="1368">
    <w:name w:val="greytypebeni"/>
    <w:basedOn w:val="1035"/>
    <w:next w:val="1368"/>
    <w:link w:val="1035"/>
    <w:pPr>
      <w:jc w:val="left"/>
      <w:widowControl/>
    </w:pPr>
    <w:rPr>
      <w:rFonts w:ascii="宋体" w:hAnsi="宋体" w:cs="宋体"/>
      <w:sz w:val="24"/>
      <w:szCs w:val="24"/>
    </w:rPr>
  </w:style>
  <w:style w:type="paragraph" w:styleId="1369">
    <w:name w:val="Char Char Char Char Char Char Char Char Char Char Char Char Char"/>
    <w:basedOn w:val="1035"/>
    <w:next w:val="1369"/>
    <w:link w:val="1035"/>
    <w:pPr>
      <w:jc w:val="left"/>
      <w:spacing w:after="160" w:line="240" w:lineRule="exact"/>
      <w:widowControl/>
    </w:pPr>
    <w:rPr>
      <w:szCs w:val="24"/>
    </w:rPr>
  </w:style>
  <w:style w:type="paragraph" w:styleId="1370">
    <w:name w:val="列表内容"/>
    <w:basedOn w:val="1035"/>
    <w:next w:val="1035"/>
    <w:link w:val="1035"/>
    <w:pPr>
      <w:ind w:left="840" w:hanging="420"/>
      <w:jc w:val="left"/>
      <w:widowControl/>
      <w:tabs>
        <w:tab w:val="left" w:pos="840" w:leader="none"/>
      </w:tabs>
    </w:pPr>
    <w:rPr>
      <w:sz w:val="18"/>
      <w:szCs w:val="24"/>
    </w:rPr>
  </w:style>
  <w:style w:type="paragraph" w:styleId="1371">
    <w:name w:val="样式 段后: 0.25 行"/>
    <w:basedOn w:val="1035"/>
    <w:next w:val="1371"/>
    <w:link w:val="1035"/>
    <w:pPr>
      <w:ind w:firstLine="420"/>
      <w:jc w:val="left"/>
      <w:spacing w:after="78" w:line="300" w:lineRule="auto"/>
      <w:widowControl/>
    </w:pPr>
    <w:rPr>
      <w:rFonts w:ascii="Arial" w:hAnsi="Arial" w:cs="宋体"/>
      <w:sz w:val="22"/>
      <w:lang w:eastAsia="en-US" w:bidi="en-US"/>
    </w:rPr>
  </w:style>
  <w:style w:type="paragraph" w:styleId="1372">
    <w:name w:val="xl59"/>
    <w:basedOn w:val="1035"/>
    <w:next w:val="1372"/>
    <w:link w:val="103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73">
    <w:name w:val="小四 段落 宋体 Char"/>
    <w:basedOn w:val="1061"/>
    <w:next w:val="1373"/>
    <w:link w:val="1035"/>
    <w:pPr>
      <w:ind w:left="0" w:right="-33" w:firstLine="600"/>
      <w:jc w:val="left"/>
      <w:tabs>
        <w:tab w:val="clear" w:pos="2952" w:leader="none"/>
      </w:tabs>
    </w:pPr>
    <w:rPr>
      <w:rFonts w:ascii="仿宋_GB2312" w:eastAsia="仿宋_GB2312"/>
      <w:sz w:val="30"/>
      <w:szCs w:val="30"/>
    </w:rPr>
  </w:style>
  <w:style w:type="paragraph" w:styleId="1374">
    <w:name w:val="Char Char1 Char Char Char Char"/>
    <w:basedOn w:val="1063"/>
    <w:next w:val="1374"/>
    <w:link w:val="1035"/>
    <w:pPr>
      <w:ind w:left="357"/>
      <w:jc w:val="left"/>
      <w:spacing w:line="436" w:lineRule="exact"/>
      <w:outlineLvl w:val="3"/>
    </w:pPr>
    <w:rPr>
      <w:rFonts w:ascii="Tahoma" w:hAnsi="Tahoma" w:cs="Tahoma"/>
      <w:b/>
      <w:sz w:val="24"/>
      <w:szCs w:val="24"/>
    </w:rPr>
  </w:style>
  <w:style w:type="paragraph" w:styleId="1375">
    <w:name w:val="正文文本缩进1"/>
    <w:basedOn w:val="1035"/>
    <w:next w:val="1375"/>
    <w:link w:val="1035"/>
    <w:pPr>
      <w:ind w:left="420"/>
      <w:spacing w:after="120"/>
    </w:pPr>
    <w:rPr>
      <w:szCs w:val="24"/>
    </w:rPr>
  </w:style>
  <w:style w:type="paragraph" w:styleId="1376">
    <w:name w:val="项目符号，一级"/>
    <w:basedOn w:val="1212"/>
    <w:next w:val="1212"/>
    <w:link w:val="1035"/>
    <w:pPr>
      <w:ind w:left="376" w:firstLine="0"/>
      <w:spacing w:line="240" w:lineRule="atLeast"/>
      <w:tabs>
        <w:tab w:val="left" w:pos="1320" w:leader="none"/>
      </w:tabs>
    </w:pPr>
    <w:rPr>
      <w:bCs w:val="0"/>
      <w:color w:val="000000"/>
      <w:szCs w:val="24"/>
    </w:rPr>
  </w:style>
  <w:style w:type="paragraph" w:styleId="1377">
    <w:name w:val="Char Char Char Char Char Char Char Char Char Char Char"/>
    <w:basedOn w:val="1035"/>
    <w:next w:val="1377"/>
    <w:link w:val="1035"/>
    <w:rPr>
      <w:rFonts w:ascii="Tahoma" w:hAnsi="Tahoma" w:cs="Tahoma"/>
      <w:sz w:val="24"/>
    </w:rPr>
  </w:style>
  <w:style w:type="paragraph" w:styleId="1378">
    <w:name w:val="标题2，章节第二层"/>
    <w:basedOn w:val="1035"/>
    <w:next w:val="1212"/>
    <w:link w:val="1035"/>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79">
    <w:name w:val="Char Char Char Char Char Char Char Char Char Char Char Char Char Char"/>
    <w:basedOn w:val="1035"/>
    <w:next w:val="1379"/>
    <w:link w:val="1035"/>
    <w:rPr>
      <w:rFonts w:ascii="Tahoma" w:hAnsi="Tahoma" w:cs="Tahoma"/>
      <w:sz w:val="24"/>
    </w:rPr>
  </w:style>
  <w:style w:type="paragraph" w:styleId="1380">
    <w:name w:val="xl48"/>
    <w:basedOn w:val="1035"/>
    <w:next w:val="1380"/>
    <w:link w:val="103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81">
    <w:name w:val="表格文字"/>
    <w:basedOn w:val="1035"/>
    <w:next w:val="1381"/>
    <w:link w:val="1035"/>
    <w:pPr>
      <w:ind w:firstLine="200"/>
      <w:jc w:val="left"/>
      <w:spacing w:line="360" w:lineRule="auto"/>
    </w:pPr>
    <w:rPr>
      <w:rFonts w:ascii="Arial" w:hAnsi="Arial"/>
      <w:sz w:val="24"/>
    </w:rPr>
  </w:style>
  <w:style w:type="paragraph" w:styleId="1382">
    <w:name w:val=" Char Char Char Char Char Char Char Char Char"/>
    <w:basedOn w:val="1035"/>
    <w:next w:val="1382"/>
    <w:link w:val="1035"/>
    <w:pPr>
      <w:ind w:left="360" w:hanging="360"/>
      <w:tabs>
        <w:tab w:val="left" w:pos="360" w:leader="none"/>
      </w:tabs>
    </w:pPr>
    <w:rPr>
      <w:sz w:val="24"/>
      <w:szCs w:val="24"/>
    </w:rPr>
  </w:style>
  <w:style w:type="paragraph" w:styleId="1383">
    <w:name w:val="二级目录"/>
    <w:next w:val="1035"/>
    <w:link w:val="1035"/>
    <w:pPr>
      <w:tabs>
        <w:tab w:val="left" w:pos="360" w:leader="none"/>
        <w:tab w:val="left" w:pos="1145" w:leader="none"/>
      </w:tabs>
      <w:outlineLvl w:val="1"/>
    </w:pPr>
    <w:rPr>
      <w:rFonts w:ascii="Calibri" w:hAnsi="Calibri"/>
      <w:b/>
      <w:sz w:val="30"/>
      <w:szCs w:val="28"/>
      <w:lang w:val="en-US" w:eastAsia="zh-CN" w:bidi="ar-SA"/>
    </w:rPr>
  </w:style>
  <w:style w:type="paragraph" w:styleId="1384">
    <w:name w:val=" Char Char Char Char Char Char Char Char Char Char Char"/>
    <w:basedOn w:val="1035"/>
    <w:next w:val="1384"/>
    <w:link w:val="1035"/>
    <w:rPr>
      <w:rFonts w:ascii="Tahoma" w:hAnsi="Tahoma"/>
      <w:sz w:val="24"/>
    </w:rPr>
  </w:style>
  <w:style w:type="paragraph" w:styleId="1385">
    <w:name w:val="Char Char1 Char"/>
    <w:basedOn w:val="1035"/>
    <w:next w:val="1385"/>
    <w:link w:val="1035"/>
    <w:pPr>
      <w:jc w:val="left"/>
      <w:spacing w:after="160" w:line="240" w:lineRule="exact"/>
      <w:widowControl/>
    </w:pPr>
    <w:rPr>
      <w:rFonts w:ascii="Verdana" w:hAnsi="Verdana"/>
      <w:sz w:val="20"/>
      <w:lang w:eastAsia="en-US"/>
    </w:rPr>
  </w:style>
  <w:style w:type="paragraph" w:styleId="1386">
    <w:name w:val="我的正文"/>
    <w:basedOn w:val="1035"/>
    <w:next w:val="1386"/>
    <w:link w:val="1035"/>
    <w:pPr>
      <w:ind w:firstLine="420"/>
      <w:jc w:val="left"/>
      <w:spacing w:line="360" w:lineRule="auto"/>
      <w:widowControl/>
    </w:pPr>
    <w:rPr>
      <w:rFonts w:ascii="宋体" w:hAnsi="宋体" w:cs="宋体"/>
      <w:szCs w:val="21"/>
    </w:rPr>
  </w:style>
  <w:style w:type="paragraph" w:styleId="1387">
    <w:name w:val="大标题"/>
    <w:basedOn w:val="1035"/>
    <w:next w:val="1035"/>
    <w:link w:val="1035"/>
    <w:pPr>
      <w:ind w:hanging="420"/>
      <w:pageBreakBefore/>
      <w:spacing w:line="360" w:lineRule="auto"/>
      <w:tabs>
        <w:tab w:val="left" w:pos="420" w:leader="none"/>
      </w:tabs>
      <w:outlineLvl w:val="0"/>
    </w:pPr>
    <w:rPr>
      <w:b/>
      <w:iCs/>
      <w:sz w:val="44"/>
      <w:szCs w:val="24"/>
    </w:rPr>
  </w:style>
  <w:style w:type="paragraph" w:styleId="1388">
    <w:name w:val=" Char Char Char Char Char Char Char"/>
    <w:basedOn w:val="1035"/>
    <w:next w:val="1388"/>
    <w:link w:val="1035"/>
    <w:rPr>
      <w:rFonts w:ascii="Tahoma" w:hAnsi="Tahoma"/>
      <w:sz w:val="24"/>
    </w:rPr>
  </w:style>
  <w:style w:type="paragraph" w:styleId="1389">
    <w:name w:val="正文 居中"/>
    <w:basedOn w:val="1035"/>
    <w:next w:val="1389"/>
    <w:link w:val="1035"/>
    <w:pPr>
      <w:jc w:val="center"/>
      <w:spacing w:line="360" w:lineRule="auto"/>
    </w:pPr>
    <w:rPr>
      <w:sz w:val="24"/>
    </w:rPr>
  </w:style>
  <w:style w:type="paragraph" w:styleId="1390">
    <w:name w:val="xl50"/>
    <w:basedOn w:val="1035"/>
    <w:next w:val="1390"/>
    <w:link w:val="103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91">
    <w:name w:val="xl34"/>
    <w:basedOn w:val="1035"/>
    <w:next w:val="1391"/>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2">
    <w:name w:val="xl49"/>
    <w:basedOn w:val="1035"/>
    <w:next w:val="1392"/>
    <w:link w:val="1035"/>
    <w:pPr>
      <w:jc w:val="center"/>
      <w:spacing w:before="100" w:beforeAutospacing="1" w:after="100" w:afterAutospacing="1"/>
      <w:widowControl/>
      <w:pBdr>
        <w:left w:val="single" w:color="000000" w:sz="4" w:space="0"/>
        <w:right w:val="single" w:color="000000" w:sz="4" w:space="0"/>
      </w:pBdr>
    </w:pPr>
    <w:rPr>
      <w:b/>
      <w:bCs/>
      <w:sz w:val="20"/>
    </w:rPr>
  </w:style>
  <w:style w:type="paragraph" w:styleId="1393">
    <w:name w:val="部分1"/>
    <w:basedOn w:val="1035"/>
    <w:next w:val="1393"/>
    <w:link w:val="1035"/>
    <w:pPr>
      <w:jc w:val="center"/>
      <w:keepNext/>
      <w:pageBreakBefore/>
      <w:spacing w:line="360" w:lineRule="auto"/>
      <w:tabs>
        <w:tab w:val="left" w:pos="360" w:leader="none"/>
      </w:tabs>
      <w:outlineLvl w:val="0"/>
    </w:pPr>
    <w:rPr>
      <w:rFonts w:eastAsia="黑体"/>
      <w:b/>
      <w:sz w:val="36"/>
    </w:rPr>
  </w:style>
  <w:style w:type="paragraph" w:styleId="1394">
    <w:name w:val="xl53"/>
    <w:basedOn w:val="1035"/>
    <w:next w:val="1394"/>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95">
    <w:name w:val="xl24"/>
    <w:basedOn w:val="1035"/>
    <w:next w:val="139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6">
    <w:name w:val="样式 样式 首行缩进:  0.74 厘米 行距: 1.5 倍行距 + 段后: 0.5 行"/>
    <w:basedOn w:val="1035"/>
    <w:next w:val="1396"/>
    <w:link w:val="1035"/>
    <w:pPr>
      <w:ind w:firstLine="420"/>
      <w:spacing w:line="360" w:lineRule="auto"/>
    </w:pPr>
    <w:rPr>
      <w:rFonts w:ascii="楷体_GB2312" w:eastAsia="楷体_GB2312"/>
      <w:bCs/>
      <w:sz w:val="24"/>
    </w:rPr>
  </w:style>
  <w:style w:type="paragraph" w:styleId="1397">
    <w:name w:val="Body Text 21"/>
    <w:basedOn w:val="1035"/>
    <w:next w:val="1397"/>
    <w:link w:val="1035"/>
    <w:pPr>
      <w:ind w:left="720" w:hanging="720"/>
      <w:widowControl/>
    </w:pPr>
    <w:rPr>
      <w:sz w:val="24"/>
      <w:lang w:val="en-GB"/>
    </w:rPr>
  </w:style>
  <w:style w:type="paragraph" w:styleId="1398">
    <w:name w:val="Normal1"/>
    <w:basedOn w:val="1035"/>
    <w:next w:val="1398"/>
    <w:link w:val="1035"/>
    <w:rPr>
      <w:rFonts w:ascii="Calibri" w:hAnsi="Calibri" w:eastAsia="Calibri" w:cs="宋体"/>
      <w:lang w:val="zh-CN"/>
    </w:rPr>
  </w:style>
  <w:style w:type="paragraph" w:styleId="1399">
    <w:name w:val="Char"/>
    <w:basedOn w:val="1035"/>
    <w:next w:val="1399"/>
    <w:link w:val="1035"/>
    <w:semiHidden/>
    <w:rPr>
      <w:rFonts w:ascii="Tahoma" w:hAnsi="Tahoma" w:cs="仿宋_GB2312"/>
      <w:sz w:val="24"/>
      <w:szCs w:val="28"/>
    </w:rPr>
  </w:style>
  <w:style w:type="paragraph" w:styleId="1400">
    <w:name w:val="content_lineheight"/>
    <w:basedOn w:val="1035"/>
    <w:next w:val="1400"/>
    <w:link w:val="1035"/>
    <w:pPr>
      <w:jc w:val="left"/>
      <w:spacing w:before="100" w:beforeAutospacing="1" w:after="100" w:afterAutospacing="1"/>
      <w:widowControl/>
    </w:pPr>
    <w:rPr>
      <w:rFonts w:ascii="宋体" w:hAnsi="宋体"/>
      <w:sz w:val="24"/>
      <w:szCs w:val="24"/>
    </w:rPr>
  </w:style>
  <w:style w:type="paragraph" w:styleId="1401">
    <w:name w:val="样式 样式 首行缩进:  2 字符 + 行距: 1.5 倍行距"/>
    <w:basedOn w:val="1035"/>
    <w:next w:val="1401"/>
    <w:link w:val="1035"/>
    <w:pPr>
      <w:ind w:firstLine="470"/>
      <w:spacing w:line="360" w:lineRule="auto"/>
    </w:pPr>
    <w:rPr>
      <w:sz w:val="24"/>
    </w:rPr>
  </w:style>
  <w:style w:type="paragraph" w:styleId="1402">
    <w:name w:val="符号与编号 Char Char"/>
    <w:basedOn w:val="1035"/>
    <w:next w:val="1402"/>
    <w:link w:val="1035"/>
    <w:pPr>
      <w:ind w:left="839" w:hanging="419"/>
      <w:spacing w:after="156" w:line="400" w:lineRule="atLeast"/>
      <w:tabs>
        <w:tab w:val="left" w:pos="840" w:leader="none"/>
      </w:tabs>
    </w:pPr>
    <w:rPr>
      <w:sz w:val="24"/>
      <w:szCs w:val="24"/>
    </w:rPr>
  </w:style>
  <w:style w:type="paragraph" w:styleId="1403">
    <w:name w:val="正文lzq"/>
    <w:basedOn w:val="1035"/>
    <w:next w:val="1403"/>
    <w:link w:val="1035"/>
    <w:pPr>
      <w:ind w:firstLine="480"/>
      <w:spacing w:line="360" w:lineRule="auto"/>
    </w:pPr>
    <w:rPr>
      <w:sz w:val="24"/>
    </w:rPr>
  </w:style>
  <w:style w:type="paragraph" w:styleId="1404">
    <w:name w:val="段落"/>
    <w:basedOn w:val="1035"/>
    <w:next w:val="1404"/>
    <w:link w:val="1035"/>
    <w:pPr>
      <w:ind w:firstLine="480"/>
      <w:spacing w:line="460" w:lineRule="exact"/>
    </w:pPr>
    <w:rPr>
      <w:sz w:val="24"/>
    </w:rPr>
  </w:style>
  <w:style w:type="paragraph" w:styleId="1405">
    <w:name w:val="_Style 42"/>
    <w:basedOn w:val="1035"/>
    <w:next w:val="1070"/>
    <w:link w:val="1035"/>
    <w:rPr>
      <w:rFonts w:ascii="楷体_GB2312" w:hAnsi="Arial" w:eastAsia="楷体_GB2312"/>
      <w:sz w:val="28"/>
    </w:rPr>
  </w:style>
  <w:style w:type="paragraph" w:styleId="1406">
    <w:name w:val=" Char Char Char Char Char Char Char Char"/>
    <w:basedOn w:val="1035"/>
    <w:next w:val="1406"/>
    <w:link w:val="1035"/>
    <w:rPr>
      <w:rFonts w:ascii="Tahoma" w:hAnsi="Tahoma"/>
      <w:sz w:val="24"/>
    </w:rPr>
  </w:style>
  <w:style w:type="paragraph" w:styleId="1407">
    <w:name w:val=" Char1 Char Char Char"/>
    <w:basedOn w:val="1035"/>
    <w:next w:val="1407"/>
    <w:link w:val="1035"/>
    <w:rPr>
      <w:rFonts w:ascii="Tahoma" w:hAnsi="Tahoma"/>
      <w:sz w:val="24"/>
    </w:rPr>
  </w:style>
  <w:style w:type="paragraph" w:styleId="1408">
    <w:name w:val="段 Char"/>
    <w:next w:val="1408"/>
    <w:link w:val="1035"/>
    <w:pPr>
      <w:ind w:firstLine="200"/>
      <w:jc w:val="both"/>
    </w:pPr>
    <w:rPr>
      <w:rFonts w:ascii="宋体"/>
      <w:sz w:val="21"/>
      <w:lang w:val="en-US" w:eastAsia="zh-CN" w:bidi="ar-SA"/>
    </w:rPr>
  </w:style>
  <w:style w:type="paragraph" w:styleId="1409">
    <w:name w:val="xl56"/>
    <w:basedOn w:val="1035"/>
    <w:next w:val="1409"/>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0">
    <w:name w:val="font14"/>
    <w:basedOn w:val="1035"/>
    <w:next w:val="1410"/>
    <w:link w:val="1035"/>
    <w:pPr>
      <w:jc w:val="left"/>
      <w:spacing w:before="100" w:beforeAutospacing="1" w:after="100" w:afterAutospacing="1"/>
      <w:widowControl/>
    </w:pPr>
    <w:rPr>
      <w:sz w:val="36"/>
      <w:szCs w:val="36"/>
    </w:rPr>
  </w:style>
  <w:style w:type="paragraph" w:styleId="1411">
    <w:name w:val="xl26"/>
    <w:basedOn w:val="1035"/>
    <w:next w:val="1411"/>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12">
    <w:name w:val="Char Char Char Char Char"/>
    <w:basedOn w:val="1035"/>
    <w:next w:val="1412"/>
    <w:link w:val="1035"/>
    <w:rPr>
      <w:rFonts w:ascii="Tahoma" w:hAnsi="Tahoma" w:cs="Tahoma"/>
      <w:sz w:val="24"/>
    </w:rPr>
  </w:style>
  <w:style w:type="paragraph" w:styleId="1413">
    <w:name w:val="xl44"/>
    <w:basedOn w:val="1035"/>
    <w:next w:val="1413"/>
    <w:link w:val="103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14">
    <w:name w:val="7"/>
    <w:basedOn w:val="1035"/>
    <w:next w:val="1107"/>
    <w:link w:val="1035"/>
    <w:pPr>
      <w:jc w:val="left"/>
      <w:spacing w:before="100" w:beforeAutospacing="1" w:after="100" w:afterAutospacing="1"/>
      <w:widowControl/>
    </w:pPr>
    <w:rPr>
      <w:rFonts w:ascii="宋体" w:hAnsi="宋体"/>
      <w:sz w:val="24"/>
    </w:rPr>
  </w:style>
  <w:style w:type="paragraph" w:styleId="1415">
    <w:name w:val="论文正文"/>
    <w:basedOn w:val="1082"/>
    <w:next w:val="1415"/>
    <w:link w:val="1035"/>
    <w:pPr>
      <w:ind w:left="0" w:firstLine="200"/>
      <w:jc w:val="left"/>
      <w:spacing w:line="360" w:lineRule="auto"/>
    </w:pPr>
    <w:rPr>
      <w:rFonts w:ascii="Times New Roman" w:hAnsi="Times New Roman"/>
      <w:sz w:val="28"/>
      <w:szCs w:val="24"/>
    </w:rPr>
  </w:style>
  <w:style w:type="paragraph" w:styleId="1416">
    <w:name w:val="Default"/>
    <w:next w:val="1416"/>
    <w:link w:val="1035"/>
    <w:pPr>
      <w:widowControl w:val="off"/>
    </w:pPr>
    <w:rPr>
      <w:rFonts w:ascii="宋体" w:cs="宋体"/>
      <w:color w:val="000000"/>
      <w:sz w:val="24"/>
      <w:szCs w:val="24"/>
      <w:lang w:val="en-US" w:eastAsia="zh-CN" w:bidi="ar-SA"/>
    </w:rPr>
  </w:style>
  <w:style w:type="paragraph" w:styleId="1417">
    <w:name w:val="a0"/>
    <w:basedOn w:val="1035"/>
    <w:next w:val="1417"/>
    <w:link w:val="1035"/>
    <w:pPr>
      <w:spacing w:before="100" w:beforeAutospacing="1" w:after="100" w:afterAutospacing="1"/>
      <w:widowControl/>
    </w:pPr>
    <w:rPr>
      <w:rFonts w:ascii="宋体" w:hAnsi="宋体" w:cs="宋体"/>
      <w:sz w:val="24"/>
      <w:szCs w:val="24"/>
    </w:rPr>
  </w:style>
  <w:style w:type="paragraph" w:styleId="1418">
    <w:name w:val="xl28"/>
    <w:basedOn w:val="1035"/>
    <w:next w:val="1418"/>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9">
    <w:name w:val="丁华标题3"/>
    <w:basedOn w:val="1242"/>
    <w:next w:val="1227"/>
    <w:link w:val="1035"/>
    <w:pPr>
      <w:numPr>
        <w:ilvl w:val="2"/>
        <w:numId w:val="1"/>
      </w:numPr>
      <w:ind w:left="1980" w:hanging="420"/>
      <w:spacing w:after="0"/>
      <w:tabs>
        <w:tab w:val="left" w:pos="1470" w:leader="none"/>
        <w:tab w:val="left" w:pos="1980" w:leader="none"/>
      </w:tabs>
      <w:outlineLvl w:val="2"/>
    </w:pPr>
    <w:rPr>
      <w:sz w:val="24"/>
    </w:rPr>
  </w:style>
  <w:style w:type="paragraph" w:styleId="1420">
    <w:name w:val="Body Text Indent 3"/>
    <w:basedOn w:val="1035"/>
    <w:next w:val="1420"/>
    <w:link w:val="1035"/>
    <w:pPr>
      <w:ind w:firstLine="504"/>
      <w:spacing w:line="360" w:lineRule="auto"/>
      <w:tabs>
        <w:tab w:val="left" w:pos="0" w:leader="none"/>
      </w:tabs>
    </w:pPr>
    <w:rPr>
      <w:rFonts w:ascii="宋体"/>
      <w:b/>
      <w:bCs/>
      <w:sz w:val="24"/>
      <w:szCs w:val="24"/>
    </w:rPr>
  </w:style>
  <w:style w:type="paragraph" w:styleId="1421">
    <w:name w:val="xl32"/>
    <w:basedOn w:val="1035"/>
    <w:next w:val="1421"/>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2">
    <w:name w:val="Char Char Char Char Char Char Char Char Char"/>
    <w:basedOn w:val="1035"/>
    <w:next w:val="1422"/>
    <w:link w:val="1035"/>
    <w:pPr>
      <w:ind w:left="200" w:hanging="200"/>
      <w:tabs>
        <w:tab w:val="left" w:pos="360" w:leader="none"/>
      </w:tabs>
    </w:pPr>
    <w:rPr>
      <w:sz w:val="24"/>
      <w:szCs w:val="24"/>
    </w:rPr>
  </w:style>
  <w:style w:type="paragraph" w:styleId="1423">
    <w:name w:val=" Char Char Char Char Char Char Char Char Char Char Char Char Char Char"/>
    <w:basedOn w:val="1035"/>
    <w:next w:val="1423"/>
    <w:link w:val="1035"/>
    <w:rPr>
      <w:rFonts w:ascii="Tahoma" w:hAnsi="Tahoma"/>
      <w:sz w:val="24"/>
    </w:rPr>
  </w:style>
  <w:style w:type="paragraph" w:styleId="1424">
    <w:name w:val="正文1"/>
    <w:basedOn w:val="1035"/>
    <w:next w:val="1035"/>
    <w:link w:val="1035"/>
    <w:pPr>
      <w:ind w:firstLine="510"/>
      <w:spacing w:before="156" w:line="360" w:lineRule="auto"/>
    </w:pPr>
    <w:rPr>
      <w:sz w:val="24"/>
    </w:rPr>
  </w:style>
  <w:style w:type="paragraph" w:styleId="1425">
    <w:name w:val="font6"/>
    <w:basedOn w:val="1035"/>
    <w:next w:val="1425"/>
    <w:link w:val="1035"/>
    <w:pPr>
      <w:jc w:val="left"/>
      <w:spacing w:before="100" w:beforeAutospacing="1" w:after="100" w:afterAutospacing="1"/>
      <w:widowControl/>
    </w:pPr>
    <w:rPr>
      <w:rFonts w:ascii="宋体" w:hAnsi="宋体" w:cs="宋体"/>
      <w:b/>
      <w:bCs/>
      <w:sz w:val="20"/>
    </w:rPr>
  </w:style>
  <w:style w:type="table" w:styleId="1426">
    <w:name w:val="Table Normal"/>
    <w:next w:val="1426"/>
    <w:link w:val="1035"/>
    <w:unhideWhenUsed/>
    <w:qFormat/>
    <w:rPr>
      <w:lang w:val="en-US" w:eastAsia="zh-CN" w:bidi="ar-SA"/>
    </w:rPr>
    <w:tblPr/>
  </w:style>
  <w:style w:type="paragraph" w:styleId="1427">
    <w:name w:val="_Style 1"/>
    <w:basedOn w:val="1035"/>
    <w:next w:val="1427"/>
    <w:link w:val="1035"/>
    <w:uiPriority w:val="34"/>
    <w:qFormat/>
    <w:pPr>
      <w:contextualSpacing/>
      <w:ind w:left="720"/>
    </w:pPr>
  </w:style>
  <w:style w:type="character" w:styleId="1428">
    <w:name w:val="font21"/>
    <w:next w:val="1428"/>
    <w:link w:val="1035"/>
    <w:rPr>
      <w:rFonts w:ascii="Times New Roman" w:hAnsi="Times New Roman" w:cs="Times New Roman"/>
      <w:i w:val="0"/>
      <w:iCs w:val="0"/>
      <w:color w:val="000000"/>
      <w:sz w:val="22"/>
      <w:szCs w:val="22"/>
      <w:u w:val="none"/>
    </w:rPr>
  </w:style>
  <w:style w:type="paragraph" w:styleId="1429">
    <w:name w:val="null3"/>
    <w:next w:val="1429"/>
    <w:link w:val="1035"/>
    <w:qFormat/>
    <w:rPr>
      <w:rFonts w:hint="eastAsia" w:ascii="Calibri" w:hAnsi="Calibri"/>
      <w:lang w:val="en-US" w:eastAsia="en-US" w:bidi="ar-SA"/>
    </w:rPr>
  </w:style>
  <w:style w:type="paragraph" w:styleId="1430">
    <w:name w:val="引言二级条标题"/>
    <w:basedOn w:val="1431"/>
    <w:next w:val="1237"/>
    <w:link w:val="1035"/>
    <w:uiPriority w:val="99"/>
    <w:qFormat/>
    <w:pPr>
      <w:tabs>
        <w:tab w:val="left" w:pos="1140" w:leader="none"/>
      </w:tabs>
    </w:pPr>
  </w:style>
  <w:style w:type="paragraph" w:styleId="1431">
    <w:name w:val="引言一级条标题"/>
    <w:basedOn w:val="1035"/>
    <w:next w:val="1237"/>
    <w:link w:val="1035"/>
    <w:uiPriority w:val="99"/>
    <w:qFormat/>
    <w:pPr>
      <w:widowControl/>
      <w:tabs>
        <w:tab w:val="left" w:pos="1140" w:leader="none"/>
      </w:tabs>
    </w:pPr>
    <w:rPr>
      <w:rFonts w:eastAsia="黑体"/>
      <w:b/>
      <w:bCs/>
      <w:szCs w:val="21"/>
    </w:rPr>
  </w:style>
  <w:style w:type="paragraph" w:styleId="1432">
    <w:name w:val="_Style 30"/>
    <w:basedOn w:val="1035"/>
    <w:next w:val="1362"/>
    <w:link w:val="1035"/>
    <w:uiPriority w:val="34"/>
    <w:qFormat/>
    <w:pPr>
      <w:ind w:firstLine="420"/>
    </w:pPr>
    <w:rPr>
      <w:rFonts w:ascii="Calibri" w:hAnsi="Calibri"/>
      <w:szCs w:val="22"/>
    </w:rPr>
  </w:style>
  <w:style w:type="paragraph" w:styleId="1433">
    <w:name w:val="正文 A"/>
    <w:next w:val="1433"/>
    <w:link w:val="1035"/>
    <w:qFormat/>
    <w:pPr>
      <w:framePr w:wrap="around" w:vAnchor="margin" w:hAnchor="text" w:y="1"/>
    </w:pPr>
    <w:rPr>
      <w:rFonts w:ascii="Arial Unicode MS" w:hAnsi="Arial Unicode MS" w:eastAsia="Arial Unicode MS" w:cs="Arial Unicode MS"/>
      <w:color w:val="000000"/>
      <w:sz w:val="22"/>
      <w:szCs w:val="22"/>
      <w:lang w:val="zh-TW" w:eastAsia="zh-TW" w:bidi="ar-SA"/>
    </w:rPr>
  </w:style>
  <w:style w:type="paragraph" w:styleId="1434">
    <w:name w:val="正文-LHM"/>
    <w:basedOn w:val="1035"/>
    <w:next w:val="1434"/>
    <w:link w:val="1035"/>
    <w:qFormat/>
    <w:pPr>
      <w:spacing w:line="340" w:lineRule="exact"/>
    </w:pPr>
    <w:rPr>
      <w:rFonts w:hint="eastAsia" w:ascii="思源黑体 CN Normal" w:hAnsi="思源黑体 CN Normal" w:eastAsia="思源黑体 CN Normal" w:cs="思源黑体 CN Normal"/>
      <w:sz w:val="18"/>
      <w:szCs w:val="16"/>
    </w:rPr>
  </w:style>
  <w:style w:type="paragraph" w:styleId="1435">
    <w:name w:val="修订"/>
    <w:next w:val="1435"/>
    <w:link w:val="1035"/>
    <w:uiPriority w:val="99"/>
    <w:unhideWhenUsed/>
    <w:rPr>
      <w:rFonts w:ascii="Calibri" w:hAnsi="Calibri" w:eastAsia="Calibri" w:cs="宋体"/>
      <w:lang w:val="zh-CN" w:eastAsia="zh-CN" w:bidi="ar-SA"/>
    </w:rPr>
  </w:style>
  <w:style w:type="paragraph" w:styleId="1436">
    <w:name w:val="列表段落1"/>
    <w:basedOn w:val="1035"/>
    <w:next w:val="1436"/>
    <w:link w:val="1035"/>
    <w:uiPriority w:val="34"/>
    <w:qFormat/>
    <w:pPr>
      <w:ind w:firstLine="420"/>
    </w:pPr>
  </w:style>
  <w:style w:type="paragraph" w:styleId="1437">
    <w:name w:val="[Normal]"/>
    <w:next w:val="1437"/>
    <w:link w:val="1035"/>
    <w:qFormat/>
    <w:rPr>
      <w:rFonts w:ascii="方正仿宋简体" w:hAnsi="方正仿宋简体" w:eastAsia="方正仿宋简体" w:cs="Courier New"/>
      <w:sz w:val="24"/>
      <w:szCs w:val="22"/>
      <w:lang w:val="zh-CN" w:eastAsia="zh-CN" w:bidi="ar-SA"/>
    </w:rPr>
  </w:style>
  <w:style w:type="paragraph" w:styleId="1438">
    <w:name w:val="列出段落3"/>
    <w:basedOn w:val="1035"/>
    <w:next w:val="1438"/>
    <w:link w:val="1035"/>
    <w:uiPriority w:val="34"/>
    <w:qFormat/>
    <w:pPr>
      <w:ind w:firstLine="420"/>
    </w:pPr>
    <w:rPr>
      <w:rFonts w:ascii="Times New Roman" w:hAnsi="Times New Roman" w:eastAsia="宋体" w:cs="Times New Roman"/>
      <w:szCs w:val="20"/>
    </w:rPr>
  </w:style>
  <w:style w:type="paragraph" w:styleId="1439">
    <w:name w:val="NormalIndent1"/>
    <w:next w:val="1439"/>
    <w:link w:val="1035"/>
    <w:qFormat/>
    <w:pPr>
      <w:ind w:firstLine="420"/>
      <w:jc w:val="both"/>
    </w:pPr>
    <w:rPr>
      <w:rFonts w:eastAsia="Times New Roman"/>
      <w:color w:val="000000"/>
      <w:sz w:val="21"/>
      <w:szCs w:val="21"/>
      <w:lang w:val="en-US" w:eastAsia="zh-CN" w:bidi="ar-SA"/>
    </w:rPr>
  </w:style>
  <w:style w:type="character" w:styleId="1440" w:default="1">
    <w:name w:val="Default Paragraph Font"/>
    <w:uiPriority w:val="1"/>
    <w:semiHidden/>
    <w:unhideWhenUsed/>
  </w:style>
  <w:style w:type="numbering" w:styleId="1441" w:default="1">
    <w:name w:val="No List"/>
    <w:uiPriority w:val="99"/>
    <w:semiHidden/>
    <w:unhideWhenUsed/>
  </w:style>
  <w:style w:type="table" w:styleId="14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林林</cp:lastModifiedBy>
  <cp:revision>8</cp:revision>
  <dcterms:created xsi:type="dcterms:W3CDTF">2017-09-05T04:07:00Z</dcterms:created>
  <dcterms:modified xsi:type="dcterms:W3CDTF">2026-04-30T01:48:35Z</dcterms:modified>
</cp:coreProperties>
</file>