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7"/>
        <w:pageBreakBefore w:val="0"/>
        <w:spacing w:before="120" w:beforeAutospacing="0" w:after="120" w:afterAutospacing="0" w:line="240" w:lineRule="auto"/>
        <w:rPr>
          <w:highlight w:val="none"/>
        </w:rPr>
      </w:pPr>
      <w:r>
        <w:rPr>
          <w:highlight w:val="none"/>
        </w:rPr>
      </w:r>
      <w:r/>
    </w:p>
    <w:p>
      <w:pPr>
        <w:pStyle w:val="857"/>
        <w:jc w:val="center"/>
        <w:keepLines w:val="0"/>
        <w:keepNext w:val="0"/>
        <w:pageBreakBefore w:val="0"/>
        <w:spacing w:before="120" w:beforeAutospacing="0" w:after="120" w:afterAutospacing="0" w:line="240" w:lineRule="auto"/>
        <w:widowControl w:val="off"/>
        <w:rPr>
          <w:rFonts w:ascii="Arial" w:hAnsi="Arial" w:cs="Arial"/>
          <w:b/>
          <w:color w:val="000000"/>
          <w:sz w:val="84"/>
          <w:szCs w:val="84"/>
          <w:highlight w:val="none"/>
        </w:rPr>
      </w:pPr>
      <w:r>
        <w:rPr>
          <w:rFonts w:ascii="Arial" w:hAnsi="Arial" w:cs="Arial"/>
          <w:b/>
          <w:color w:val="000000"/>
          <w:sz w:val="84"/>
          <w:szCs w:val="84"/>
          <w:highlight w:val="none"/>
        </w:rPr>
      </w:r>
      <w:r/>
    </w:p>
    <w:p>
      <w:pPr>
        <w:pStyle w:val="857"/>
        <w:jc w:val="center"/>
        <w:keepLines w:val="0"/>
        <w:keepNext w:val="0"/>
        <w:pageBreakBefore w:val="0"/>
        <w:spacing w:before="120" w:beforeAutospacing="0" w:after="120" w:afterAutospacing="0" w:line="240" w:lineRule="auto"/>
        <w:widowControl w:val="off"/>
        <w:rPr>
          <w:highlight w:val="none"/>
        </w:rPr>
      </w:pPr>
      <w:r>
        <w:rPr>
          <w:rFonts w:ascii="Arial" w:hAnsi="Arial" w:cs="Arial"/>
          <w:b/>
          <w:color w:val="000000"/>
          <w:sz w:val="84"/>
          <w:szCs w:val="84"/>
          <w:highlight w:val="none"/>
        </w:rPr>
        <w:t xml:space="preserve">招 标 文 件</w:t>
      </w:r>
      <w:r/>
    </w:p>
    <w:p>
      <w:pPr>
        <w:pStyle w:val="857"/>
        <w:ind w:firstLine="1928"/>
        <w:keepLines w:val="0"/>
        <w:keepNext w:val="0"/>
        <w:pageBreakBefore w:val="0"/>
        <w:spacing w:before="120" w:beforeAutospacing="0" w:after="120" w:afterAutospacing="0" w:line="240" w:lineRule="auto"/>
        <w:widowControl w:val="off"/>
        <w:rPr>
          <w:rFonts w:ascii="Arial" w:hAnsi="Arial" w:cs="Arial"/>
          <w:b/>
          <w:color w:val="000000"/>
          <w:sz w:val="32"/>
          <w:szCs w:val="32"/>
          <w:highlight w:val="none"/>
        </w:rPr>
      </w:pPr>
      <w:r>
        <w:rPr>
          <w:rFonts w:ascii="Arial" w:hAnsi="Arial" w:cs="Arial"/>
          <w:b/>
          <w:color w:val="000000"/>
          <w:sz w:val="32"/>
          <w:szCs w:val="32"/>
          <w:highlight w:val="none"/>
        </w:rPr>
      </w:r>
      <w:r/>
    </w:p>
    <w:p>
      <w:pPr>
        <w:pStyle w:val="857"/>
        <w:ind w:firstLine="1928"/>
        <w:keepLines w:val="0"/>
        <w:keepNext w:val="0"/>
        <w:pageBreakBefore w:val="0"/>
        <w:spacing w:before="120" w:beforeAutospacing="0" w:after="120" w:afterAutospacing="0" w:line="240" w:lineRule="auto"/>
        <w:widowControl w:val="off"/>
        <w:rPr>
          <w:rFonts w:ascii="Arial" w:hAnsi="Arial" w:cs="Arial"/>
          <w:b/>
          <w:color w:val="000000"/>
          <w:sz w:val="32"/>
          <w:szCs w:val="32"/>
          <w:highlight w:val="none"/>
        </w:rPr>
      </w:pPr>
      <w:r>
        <w:rPr>
          <w:rFonts w:ascii="Arial" w:hAnsi="Arial" w:cs="Arial"/>
          <w:b/>
          <w:color w:val="000000"/>
          <w:sz w:val="32"/>
          <w:szCs w:val="32"/>
          <w:highlight w:val="none"/>
        </w:rPr>
      </w:r>
      <w:r/>
    </w:p>
    <w:p>
      <w:pPr>
        <w:pStyle w:val="857"/>
        <w:ind w:firstLine="1928"/>
        <w:keepLines w:val="0"/>
        <w:keepNext w:val="0"/>
        <w:pageBreakBefore w:val="0"/>
        <w:spacing w:before="120" w:beforeAutospacing="0" w:after="120" w:afterAutospacing="0" w:line="240" w:lineRule="auto"/>
        <w:widowControl w:val="off"/>
        <w:rPr>
          <w:rFonts w:ascii="Arial" w:hAnsi="Arial" w:cs="Arial"/>
          <w:b/>
          <w:color w:val="000000"/>
          <w:sz w:val="32"/>
          <w:szCs w:val="32"/>
          <w:highlight w:val="none"/>
        </w:rPr>
      </w:pPr>
      <w:r>
        <w:rPr>
          <w:rFonts w:ascii="Arial" w:hAnsi="Arial" w:cs="Arial"/>
          <w:b/>
          <w:color w:val="000000"/>
          <w:sz w:val="32"/>
          <w:szCs w:val="32"/>
          <w:highlight w:val="none"/>
        </w:rPr>
      </w:r>
      <w:r/>
    </w:p>
    <w:p>
      <w:pPr>
        <w:pStyle w:val="857"/>
        <w:ind w:left="2566" w:hanging="1928"/>
        <w:keepLines w:val="0"/>
        <w:keepNext w:val="0"/>
        <w:pageBreakBefore w:val="0"/>
        <w:spacing w:before="120" w:beforeAutospacing="0" w:after="120" w:afterAutospacing="0" w:line="240" w:lineRule="auto"/>
        <w:widowControl w:val="off"/>
        <w:rPr>
          <w:rFonts w:hint="default" w:ascii="Arial" w:hAnsi="Arial" w:cs="Arial"/>
          <w:b/>
          <w:color w:val="000000"/>
          <w:sz w:val="32"/>
          <w:szCs w:val="32"/>
          <w:lang w:val="en-US" w:eastAsia="zh-CN"/>
        </w:rPr>
      </w:pPr>
      <w:r>
        <w:rPr>
          <w:rFonts w:hint="default" w:ascii="Arial" w:hAnsi="Arial" w:cs="Arial"/>
          <w:b/>
          <w:color w:val="000000"/>
          <w:sz w:val="32"/>
          <w:szCs w:val="32"/>
        </w:rPr>
        <w:t xml:space="preserve">项目名称：</w:t>
      </w:r>
      <w:r>
        <w:rPr>
          <w:rFonts w:hint="eastAsia" w:ascii="Arial" w:hAnsi="Arial" w:cs="Arial"/>
          <w:b/>
          <w:color w:val="000000"/>
          <w:sz w:val="32"/>
          <w:szCs w:val="32"/>
          <w:lang w:val="en-US" w:eastAsia="zh-CN"/>
        </w:rPr>
        <w:t xml:space="preserve">2026年东台市二轮土地承包到期再延长三十年第三方服务项目</w:t>
      </w:r>
      <w:r/>
    </w:p>
    <w:p>
      <w:pPr>
        <w:pStyle w:val="857"/>
        <w:ind w:left="2566" w:hanging="1928"/>
        <w:keepLines w:val="0"/>
        <w:keepNext w:val="0"/>
        <w:pageBreakBefore w:val="0"/>
        <w:spacing w:before="120" w:beforeAutospacing="0" w:after="120" w:afterAutospacing="0" w:line="240" w:lineRule="auto"/>
        <w:widowControl w:val="off"/>
        <w:rPr>
          <w:highlight w:val="none"/>
        </w:rPr>
      </w:pPr>
      <w:r>
        <w:rPr>
          <w:rFonts w:hint="default" w:ascii="Arial" w:hAnsi="Arial" w:cs="Arial"/>
          <w:b/>
          <w:color w:val="000000"/>
          <w:sz w:val="32"/>
          <w:szCs w:val="32"/>
        </w:rPr>
        <w:t xml:space="preserve">项目编号：JSZC-320981-BJZC-G2026-0002</w:t>
      </w:r>
      <w:r/>
    </w:p>
    <w:p>
      <w:pPr>
        <w:pStyle w:val="857"/>
        <w:jc w:val="center"/>
        <w:pageBreakBefore w:val="0"/>
        <w:spacing w:before="120" w:beforeAutospacing="0" w:after="120" w:afterAutospacing="0" w:line="240" w:lineRule="auto"/>
        <w:rPr>
          <w:rFonts w:hint="eastAsia" w:ascii="Arial" w:hAnsi="Arial" w:cs="Arial"/>
          <w:b/>
          <w:color w:val="000000"/>
          <w:sz w:val="32"/>
          <w:szCs w:val="32"/>
          <w:highlight w:val="none"/>
        </w:rPr>
      </w:pPr>
      <w:r>
        <w:rPr>
          <w:rFonts w:hint="eastAsia" w:ascii="Arial" w:hAnsi="Arial" w:cs="Arial"/>
          <w:b/>
          <w:color w:val="000000"/>
          <w:sz w:val="32"/>
          <w:szCs w:val="32"/>
          <w:highlight w:val="none"/>
        </w:rPr>
      </w:r>
      <w:r/>
    </w:p>
    <w:p>
      <w:pPr>
        <w:pStyle w:val="857"/>
        <w:jc w:val="center"/>
        <w:pageBreakBefore w:val="0"/>
        <w:spacing w:before="120" w:beforeAutospacing="0" w:after="120" w:afterAutospacing="0" w:line="240" w:lineRule="auto"/>
        <w:rPr>
          <w:rFonts w:hint="eastAsia" w:ascii="Arial" w:hAnsi="Arial" w:cs="Arial"/>
          <w:b/>
          <w:color w:val="000000"/>
          <w:sz w:val="32"/>
          <w:szCs w:val="32"/>
          <w:highlight w:val="none"/>
        </w:rPr>
      </w:pPr>
      <w:r>
        <w:rPr>
          <w:rFonts w:hint="eastAsia" w:ascii="Arial" w:hAnsi="Arial" w:cs="Arial"/>
          <w:b/>
          <w:color w:val="000000"/>
          <w:sz w:val="32"/>
          <w:szCs w:val="32"/>
          <w:highlight w:val="none"/>
        </w:rPr>
      </w:r>
      <w:r/>
    </w:p>
    <w:p>
      <w:pPr>
        <w:pStyle w:val="857"/>
        <w:jc w:val="center"/>
        <w:pageBreakBefore w:val="0"/>
        <w:spacing w:before="120" w:beforeAutospacing="0" w:after="120" w:afterAutospacing="0" w:line="240" w:lineRule="auto"/>
        <w:rPr>
          <w:rFonts w:hint="eastAsia" w:ascii="Arial" w:hAnsi="Arial" w:cs="Arial"/>
          <w:b/>
          <w:color w:val="000000"/>
          <w:sz w:val="32"/>
          <w:szCs w:val="32"/>
          <w:highlight w:val="none"/>
        </w:rPr>
      </w:pPr>
      <w:r>
        <w:rPr>
          <w:rFonts w:hint="eastAsia" w:ascii="Arial" w:hAnsi="Arial" w:cs="Arial"/>
          <w:b/>
          <w:color w:val="000000"/>
          <w:sz w:val="32"/>
          <w:szCs w:val="32"/>
          <w:highlight w:val="none"/>
        </w:rPr>
      </w:r>
      <w:r/>
    </w:p>
    <w:p>
      <w:pPr>
        <w:pStyle w:val="857"/>
        <w:jc w:val="center"/>
        <w:pageBreakBefore w:val="0"/>
        <w:spacing w:before="120" w:beforeAutospacing="0" w:after="120" w:afterAutospacing="0" w:line="240" w:lineRule="auto"/>
        <w:rPr>
          <w:rFonts w:hint="eastAsia" w:ascii="Arial" w:hAnsi="Arial" w:cs="Arial"/>
          <w:b/>
          <w:color w:val="000000"/>
          <w:sz w:val="32"/>
          <w:szCs w:val="32"/>
          <w:highlight w:val="none"/>
        </w:rPr>
      </w:pPr>
      <w:r>
        <w:rPr>
          <w:rFonts w:hint="eastAsia" w:ascii="Arial" w:hAnsi="Arial" w:cs="Arial"/>
          <w:b/>
          <w:color w:val="000000"/>
          <w:sz w:val="32"/>
          <w:szCs w:val="32"/>
          <w:highlight w:val="none"/>
        </w:rPr>
      </w:r>
      <w:r/>
    </w:p>
    <w:p>
      <w:pPr>
        <w:pStyle w:val="857"/>
        <w:jc w:val="center"/>
        <w:pageBreakBefore w:val="0"/>
        <w:spacing w:before="120" w:beforeAutospacing="0" w:after="120" w:afterAutospacing="0" w:line="240" w:lineRule="auto"/>
        <w:rPr>
          <w:rFonts w:hint="eastAsia" w:ascii="Arial" w:hAnsi="Arial" w:cs="Arial"/>
          <w:b/>
          <w:color w:val="000000"/>
          <w:sz w:val="32"/>
          <w:szCs w:val="32"/>
          <w:highlight w:val="none"/>
          <w:lang w:eastAsia="zh-CN"/>
        </w:rPr>
      </w:pPr>
      <w:r>
        <w:rPr>
          <w:rFonts w:hint="eastAsia" w:ascii="Arial" w:hAnsi="Arial" w:cs="Arial"/>
          <w:b/>
          <w:color w:val="000000"/>
          <w:sz w:val="32"/>
          <w:szCs w:val="32"/>
          <w:highlight w:val="none"/>
        </w:rPr>
        <w:t xml:space="preserve">采购单位</w:t>
      </w:r>
      <w:r>
        <w:rPr>
          <w:rFonts w:hint="eastAsia" w:ascii="Arial" w:hAnsi="Arial" w:cs="Arial"/>
          <w:b/>
          <w:color w:val="000000"/>
          <w:sz w:val="32"/>
          <w:szCs w:val="32"/>
          <w:highlight w:val="none"/>
          <w:lang w:eastAsia="zh-CN"/>
        </w:rPr>
        <w:t xml:space="preserve">：东台市农业农村局</w:t>
      </w:r>
      <w:r/>
    </w:p>
    <w:p>
      <w:pPr>
        <w:pStyle w:val="857"/>
        <w:jc w:val="center"/>
        <w:pageBreakBefore w:val="0"/>
        <w:spacing w:before="120" w:beforeAutospacing="0" w:after="120" w:afterAutospacing="0" w:line="240" w:lineRule="auto"/>
        <w:rPr>
          <w:rFonts w:hint="default" w:ascii="Arial" w:hAnsi="Arial" w:cs="Arial"/>
          <w:b/>
          <w:color w:val="000000"/>
          <w:sz w:val="32"/>
          <w:szCs w:val="32"/>
          <w:highlight w:val="none"/>
          <w:lang w:val="en-US" w:eastAsia="zh-CN"/>
        </w:rPr>
      </w:pPr>
      <w:r>
        <w:rPr>
          <w:rFonts w:hint="eastAsia" w:ascii="Arial" w:hAnsi="Arial" w:cs="Arial"/>
          <w:b/>
          <w:color w:val="000000"/>
          <w:sz w:val="32"/>
          <w:szCs w:val="32"/>
          <w:highlight w:val="none"/>
          <w:lang w:val="en-US" w:eastAsia="zh-CN"/>
        </w:rPr>
        <w:t xml:space="preserve">招标代理机构：北京中昌工程咨询有限公司</w:t>
      </w:r>
      <w:r/>
    </w:p>
    <w:p>
      <w:pPr>
        <w:pStyle w:val="857"/>
        <w:jc w:val="center"/>
        <w:pageBreakBefore w:val="0"/>
        <w:spacing w:before="120" w:beforeAutospacing="0" w:after="120" w:afterAutospacing="0" w:line="240" w:lineRule="auto"/>
        <w:rPr>
          <w:highlight w:val="none"/>
        </w:rPr>
      </w:pPr>
      <w:r>
        <w:rPr>
          <w:rFonts w:hint="eastAsia" w:ascii="Arial" w:hAnsi="Arial" w:cs="Arial"/>
          <w:b/>
          <w:color w:val="ff0000"/>
          <w:sz w:val="32"/>
          <w:szCs w:val="32"/>
          <w:highlight w:val="none"/>
          <w:lang w:val="en-US" w:eastAsia="zh-CN"/>
        </w:rPr>
        <w:t xml:space="preserve">2026</w:t>
      </w:r>
      <w:r>
        <w:rPr>
          <w:rFonts w:ascii="Arial" w:hAnsi="Arial" w:cs="Arial"/>
          <w:b/>
          <w:color w:val="ff0000"/>
          <w:sz w:val="32"/>
          <w:szCs w:val="32"/>
          <w:highlight w:val="none"/>
        </w:rPr>
        <w:t xml:space="preserve">年</w:t>
      </w:r>
      <w:r>
        <w:rPr>
          <w:rFonts w:hint="eastAsia" w:ascii="Arial" w:hAnsi="Arial" w:cs="Arial"/>
          <w:b/>
          <w:color w:val="ff0000"/>
          <w:sz w:val="32"/>
          <w:szCs w:val="32"/>
          <w:highlight w:val="none"/>
          <w:lang w:val="en-US" w:eastAsia="zh-CN"/>
        </w:rPr>
        <w:t xml:space="preserve">4</w:t>
      </w:r>
      <w:r>
        <w:rPr>
          <w:rFonts w:ascii="Arial" w:hAnsi="Arial" w:cs="Arial"/>
          <w:b/>
          <w:color w:val="ff0000"/>
          <w:sz w:val="32"/>
          <w:szCs w:val="32"/>
          <w:highlight w:val="none"/>
        </w:rPr>
        <w:t xml:space="preserve">月</w:t>
      </w:r>
      <w:r/>
    </w:p>
    <w:p>
      <w:pPr>
        <w:pStyle w:val="857"/>
        <w:jc w:val="center"/>
        <w:keepLines w:val="0"/>
        <w:keepNext w:val="0"/>
        <w:pageBreakBefore w:val="0"/>
        <w:spacing w:beforeAutospacing="0" w:afterAutospacing="0" w:line="240" w:lineRule="auto"/>
        <w:widowControl w:val="off"/>
        <w:rPr>
          <w:highlight w:val="none"/>
        </w:rPr>
      </w:pPr>
      <w:r>
        <w:rPr>
          <w:rFonts w:ascii="Times New Roman" w:hAnsi="Times New Roman"/>
          <w:color w:val="000000"/>
          <w:sz w:val="21"/>
          <w:szCs w:val="21"/>
          <w:highlight w:val="none"/>
        </w:rPr>
        <w:br w:type="page" w:clear="all"/>
      </w:r>
      <w:bookmarkStart w:id="0" w:name="_Toc523127445"/>
      <w:r/>
      <w:bookmarkStart w:id="1" w:name="_Toc16938516"/>
      <w:r/>
      <w:bookmarkStart w:id="2" w:name="_Toc513029200"/>
      <w:r/>
      <w:bookmarkStart w:id="3" w:name="_Toc120614210"/>
      <w:r/>
      <w:bookmarkStart w:id="4" w:name="_Toc20823272"/>
      <w:r/>
      <w:bookmarkStart w:id="5" w:name="_Toc479757206"/>
      <w:r>
        <w:rPr>
          <w:rFonts w:ascii="黑体" w:hAnsi="宋体" w:eastAsia="黑体" w:cs="黑体"/>
          <w:b/>
          <w:color w:val="000000"/>
          <w:sz w:val="44"/>
          <w:szCs w:val="44"/>
          <w:highlight w:val="none"/>
        </w:rPr>
        <w:t xml:space="preserve">总</w:t>
      </w:r>
      <w:r>
        <w:rPr>
          <w:rFonts w:hint="eastAsia" w:ascii="黑体" w:hAnsi="宋体" w:eastAsia="黑体" w:cs="黑体"/>
          <w:b/>
          <w:color w:val="000000"/>
          <w:sz w:val="44"/>
          <w:szCs w:val="44"/>
          <w:highlight w:val="none"/>
          <w:lang w:val="en-US" w:eastAsia="zh-CN"/>
        </w:rPr>
        <w:t xml:space="preserve">  </w:t>
      </w:r>
      <w:r>
        <w:rPr>
          <w:rFonts w:ascii="黑体" w:hAnsi="宋体" w:eastAsia="黑体" w:cs="黑体"/>
          <w:b/>
          <w:color w:val="000000"/>
          <w:sz w:val="44"/>
          <w:szCs w:val="44"/>
          <w:highlight w:val="none"/>
        </w:rPr>
        <w:t xml:space="preserve">目</w:t>
      </w:r>
      <w:r>
        <w:rPr>
          <w:rFonts w:hint="eastAsia" w:ascii="黑体" w:hAnsi="宋体" w:eastAsia="黑体" w:cs="黑体"/>
          <w:b/>
          <w:color w:val="000000"/>
          <w:sz w:val="44"/>
          <w:szCs w:val="44"/>
          <w:highlight w:val="none"/>
          <w:lang w:val="en-US" w:eastAsia="zh-CN"/>
        </w:rPr>
        <w:t xml:space="preserve">  </w:t>
      </w:r>
      <w:r>
        <w:rPr>
          <w:rFonts w:ascii="黑体" w:hAnsi="宋体" w:eastAsia="黑体" w:cs="黑体"/>
          <w:b/>
          <w:color w:val="000000"/>
          <w:sz w:val="44"/>
          <w:szCs w:val="44"/>
          <w:highlight w:val="none"/>
        </w:rPr>
        <w:t xml:space="preserve">录</w:t>
      </w:r>
      <w:bookmarkEnd w:id="0"/>
      <w:r/>
      <w:bookmarkEnd w:id="1"/>
      <w:r/>
      <w:bookmarkEnd w:id="2"/>
      <w:r/>
      <w:bookmarkEnd w:id="3"/>
      <w:r/>
      <w:bookmarkEnd w:id="4"/>
      <w:r/>
      <w:bookmarkEnd w:id="5"/>
      <w:r/>
      <w:r/>
    </w:p>
    <w:p>
      <w:pPr>
        <w:pStyle w:val="856"/>
        <w:keepLines w:val="0"/>
        <w:keepNext w:val="0"/>
        <w:pageBreakBefore w:val="0"/>
        <w:spacing w:line="900" w:lineRule="exact"/>
        <w:tabs>
          <w:tab w:val="right" w:pos="8306" w:leader="dot"/>
        </w:tabs>
        <w:rPr>
          <w:rFonts w:ascii="黑体" w:hAnsi="宋体" w:eastAsia="黑体" w:cs="黑体"/>
          <w:b/>
          <w:color w:val="000000"/>
          <w:sz w:val="44"/>
          <w:szCs w:val="44"/>
          <w:highlight w:val="none"/>
          <w:lang w:val="en-US" w:eastAsia="zh-CN" w:bidi="ar-SA"/>
        </w:rPr>
      </w:pPr>
      <w:r>
        <w:rPr>
          <w:rFonts w:ascii="黑体" w:hAnsi="宋体" w:eastAsia="黑体" w:cs="黑体"/>
          <w:b/>
          <w:color w:val="000000"/>
          <w:sz w:val="44"/>
          <w:szCs w:val="44"/>
          <w:highlight w:val="none"/>
          <w:lang w:val="en-US" w:eastAsia="zh-CN" w:bidi="ar-SA"/>
        </w:rPr>
      </w:r>
      <w:r/>
    </w:p>
    <w:p>
      <w:pPr>
        <w:pStyle w:val="856"/>
        <w:keepLines w:val="0"/>
        <w:keepNext w:val="0"/>
        <w:pageBreakBefore w:val="0"/>
        <w:spacing w:line="900" w:lineRule="exact"/>
        <w:tabs>
          <w:tab w:val="right" w:pos="8306" w:leader="dot"/>
        </w:tabs>
        <w:rPr>
          <w:rFonts w:ascii="黑体" w:hAnsi="宋体" w:eastAsia="黑体" w:cs="黑体"/>
          <w:b/>
          <w:color w:val="000000"/>
          <w:sz w:val="40"/>
          <w:szCs w:val="40"/>
          <w:highlight w:val="none"/>
          <w:lang w:val="en-US" w:eastAsia="zh-CN" w:bidi="ar-SA"/>
        </w:rPr>
      </w:pPr>
      <w:r>
        <w:rPr>
          <w:rFonts w:ascii="黑体" w:hAnsi="宋体" w:eastAsia="黑体" w:cs="黑体"/>
          <w:b/>
          <w:color w:val="000000"/>
          <w:sz w:val="44"/>
          <w:szCs w:val="44"/>
          <w:highlight w:val="none"/>
          <w:lang w:val="en-US" w:eastAsia="zh-CN" w:bidi="ar-SA"/>
        </w:rPr>
        <w:fldChar w:fldCharType="begin"/>
      </w:r>
      <w:r>
        <w:rPr>
          <w:rFonts w:ascii="黑体" w:hAnsi="宋体" w:eastAsia="黑体" w:cs="黑体"/>
          <w:b/>
          <w:color w:val="000000"/>
          <w:sz w:val="44"/>
          <w:szCs w:val="44"/>
          <w:highlight w:val="none"/>
          <w:lang w:val="en-US" w:eastAsia="zh-CN" w:bidi="ar-SA"/>
        </w:rPr>
        <w:instrText xml:space="preserve">TOC \o "1-1" \h \u </w:instrText>
      </w:r>
      <w:r>
        <w:rPr>
          <w:rFonts w:ascii="黑体" w:hAnsi="宋体" w:eastAsia="黑体" w:cs="黑体"/>
          <w:b/>
          <w:color w:val="000000"/>
          <w:sz w:val="44"/>
          <w:szCs w:val="44"/>
          <w:highlight w:val="none"/>
          <w:lang w:val="en-US" w:eastAsia="zh-CN" w:bidi="ar-SA"/>
        </w:rPr>
        <w:fldChar w:fldCharType="separate"/>
      </w:r>
      <w:r>
        <w:rPr>
          <w:rFonts w:ascii="黑体" w:hAnsi="宋体" w:eastAsia="黑体" w:cs="黑体"/>
          <w:b/>
          <w:color w:val="000000"/>
          <w:sz w:val="40"/>
          <w:szCs w:val="40"/>
          <w:highlight w:val="none"/>
          <w:lang w:val="en-US" w:eastAsia="zh-CN" w:bidi="ar-SA"/>
        </w:rPr>
        <w:fldChar w:fldCharType="begin"/>
      </w:r>
      <w:r>
        <w:rPr>
          <w:rFonts w:ascii="黑体" w:hAnsi="宋体" w:eastAsia="黑体" w:cs="黑体"/>
          <w:b/>
          <w:color w:val="000000"/>
          <w:sz w:val="40"/>
          <w:szCs w:val="40"/>
          <w:highlight w:val="none"/>
          <w:lang w:val="en-US" w:eastAsia="zh-CN" w:bidi="ar-SA"/>
        </w:rPr>
        <w:instrText xml:space="preserve"> HYPERLINK \l _Toc4000 </w:instrText>
      </w:r>
      <w:r>
        <w:rPr>
          <w:rFonts w:ascii="黑体" w:hAnsi="宋体" w:eastAsia="黑体" w:cs="黑体"/>
          <w:b/>
          <w:color w:val="000000"/>
          <w:sz w:val="40"/>
          <w:szCs w:val="40"/>
          <w:highlight w:val="none"/>
          <w:lang w:val="en-US" w:eastAsia="zh-CN" w:bidi="ar-SA"/>
        </w:rPr>
        <w:fldChar w:fldCharType="separate"/>
      </w:r>
      <w:r>
        <w:rPr>
          <w:rFonts w:hint="eastAsia" w:ascii="黑体" w:hAnsi="宋体" w:eastAsia="黑体" w:cs="黑体"/>
          <w:b/>
          <w:color w:val="000000"/>
          <w:sz w:val="40"/>
          <w:szCs w:val="40"/>
          <w:highlight w:val="none"/>
          <w:lang w:val="en-US" w:eastAsia="zh-CN" w:bidi="ar-SA"/>
        </w:rPr>
        <w:t xml:space="preserve">第一章  招标公告</w:t>
      </w:r>
      <w:r>
        <w:rPr>
          <w:rFonts w:ascii="黑体" w:hAnsi="宋体" w:eastAsia="黑体" w:cs="黑体"/>
          <w:b/>
          <w:color w:val="000000"/>
          <w:sz w:val="40"/>
          <w:szCs w:val="40"/>
          <w:highlight w:val="none"/>
          <w:lang w:val="en-US" w:eastAsia="zh-CN" w:bidi="ar-SA"/>
        </w:rPr>
        <w:fldChar w:fldCharType="end"/>
      </w:r>
      <w:r/>
    </w:p>
    <w:p>
      <w:pPr>
        <w:pStyle w:val="856"/>
        <w:keepLines w:val="0"/>
        <w:keepNext w:val="0"/>
        <w:pageBreakBefore w:val="0"/>
        <w:spacing w:line="900" w:lineRule="exact"/>
        <w:tabs>
          <w:tab w:val="right" w:pos="8306" w:leader="dot"/>
        </w:tabs>
        <w:rPr>
          <w:rFonts w:ascii="黑体" w:hAnsi="宋体" w:eastAsia="黑体" w:cs="黑体"/>
          <w:b/>
          <w:color w:val="000000"/>
          <w:sz w:val="40"/>
          <w:szCs w:val="40"/>
          <w:highlight w:val="none"/>
          <w:lang w:val="en-US" w:eastAsia="zh-CN" w:bidi="ar-SA"/>
        </w:rPr>
      </w:pPr>
      <w:r>
        <w:rPr>
          <w:rFonts w:ascii="黑体" w:hAnsi="宋体" w:eastAsia="黑体" w:cs="黑体"/>
          <w:b/>
          <w:color w:val="000000"/>
          <w:sz w:val="40"/>
          <w:szCs w:val="40"/>
          <w:highlight w:val="none"/>
          <w:lang w:val="en-US" w:eastAsia="zh-CN" w:bidi="ar-SA"/>
        </w:rPr>
        <w:fldChar w:fldCharType="begin"/>
      </w:r>
      <w:r>
        <w:rPr>
          <w:rFonts w:ascii="黑体" w:hAnsi="宋体" w:eastAsia="黑体" w:cs="黑体"/>
          <w:b/>
          <w:color w:val="000000"/>
          <w:sz w:val="40"/>
          <w:szCs w:val="40"/>
          <w:highlight w:val="none"/>
          <w:lang w:val="en-US" w:eastAsia="zh-CN" w:bidi="ar-SA"/>
        </w:rPr>
        <w:instrText xml:space="preserve"> HYPERLINK \l _Toc7070 </w:instrText>
      </w:r>
      <w:r>
        <w:rPr>
          <w:rFonts w:ascii="黑体" w:hAnsi="宋体" w:eastAsia="黑体" w:cs="黑体"/>
          <w:b/>
          <w:color w:val="000000"/>
          <w:sz w:val="40"/>
          <w:szCs w:val="40"/>
          <w:highlight w:val="none"/>
          <w:lang w:val="en-US" w:eastAsia="zh-CN" w:bidi="ar-SA"/>
        </w:rPr>
        <w:fldChar w:fldCharType="separate"/>
      </w:r>
      <w:r>
        <w:rPr>
          <w:rFonts w:hint="eastAsia" w:ascii="黑体" w:hAnsi="宋体" w:eastAsia="黑体" w:cs="黑体"/>
          <w:b/>
          <w:color w:val="000000"/>
          <w:sz w:val="40"/>
          <w:szCs w:val="40"/>
          <w:highlight w:val="none"/>
          <w:lang w:val="en-US" w:eastAsia="zh-CN" w:bidi="ar-SA"/>
        </w:rPr>
        <w:t xml:space="preserve">第二章  投标人须知</w:t>
      </w:r>
      <w:r>
        <w:rPr>
          <w:rFonts w:ascii="黑体" w:hAnsi="宋体" w:eastAsia="黑体" w:cs="黑体"/>
          <w:b/>
          <w:color w:val="000000"/>
          <w:sz w:val="40"/>
          <w:szCs w:val="40"/>
          <w:highlight w:val="none"/>
          <w:lang w:val="en-US" w:eastAsia="zh-CN" w:bidi="ar-SA"/>
        </w:rPr>
        <w:fldChar w:fldCharType="end"/>
      </w:r>
      <w:r/>
    </w:p>
    <w:p>
      <w:pPr>
        <w:pStyle w:val="856"/>
        <w:keepLines w:val="0"/>
        <w:keepNext w:val="0"/>
        <w:pageBreakBefore w:val="0"/>
        <w:spacing w:line="900" w:lineRule="exact"/>
        <w:tabs>
          <w:tab w:val="right" w:pos="8306" w:leader="dot"/>
        </w:tabs>
        <w:rPr>
          <w:rFonts w:ascii="黑体" w:hAnsi="宋体" w:eastAsia="黑体" w:cs="黑体"/>
          <w:b/>
          <w:color w:val="000000"/>
          <w:sz w:val="40"/>
          <w:szCs w:val="40"/>
          <w:highlight w:val="none"/>
          <w:lang w:val="en-US" w:eastAsia="zh-CN" w:bidi="ar-SA"/>
        </w:rPr>
      </w:pPr>
      <w:r>
        <w:rPr>
          <w:rFonts w:ascii="黑体" w:hAnsi="宋体" w:eastAsia="黑体" w:cs="黑体"/>
          <w:b/>
          <w:color w:val="000000"/>
          <w:sz w:val="40"/>
          <w:szCs w:val="40"/>
          <w:highlight w:val="none"/>
          <w:lang w:val="en-US" w:eastAsia="zh-CN" w:bidi="ar-SA"/>
        </w:rPr>
        <w:fldChar w:fldCharType="begin"/>
      </w:r>
      <w:r>
        <w:rPr>
          <w:rFonts w:ascii="黑体" w:hAnsi="宋体" w:eastAsia="黑体" w:cs="黑体"/>
          <w:b/>
          <w:color w:val="000000"/>
          <w:sz w:val="40"/>
          <w:szCs w:val="40"/>
          <w:highlight w:val="none"/>
          <w:lang w:val="en-US" w:eastAsia="zh-CN" w:bidi="ar-SA"/>
        </w:rPr>
        <w:instrText xml:space="preserve"> HYPERLINK \l _Toc8293 </w:instrText>
      </w:r>
      <w:r>
        <w:rPr>
          <w:rFonts w:ascii="黑体" w:hAnsi="宋体" w:eastAsia="黑体" w:cs="黑体"/>
          <w:b/>
          <w:color w:val="000000"/>
          <w:sz w:val="40"/>
          <w:szCs w:val="40"/>
          <w:highlight w:val="none"/>
          <w:lang w:val="en-US" w:eastAsia="zh-CN" w:bidi="ar-SA"/>
        </w:rPr>
        <w:fldChar w:fldCharType="separate"/>
      </w:r>
      <w:r>
        <w:rPr>
          <w:rFonts w:hint="eastAsia" w:ascii="黑体" w:hAnsi="宋体" w:eastAsia="黑体" w:cs="黑体"/>
          <w:b/>
          <w:color w:val="000000"/>
          <w:sz w:val="40"/>
          <w:szCs w:val="40"/>
          <w:highlight w:val="none"/>
          <w:lang w:val="en-US" w:eastAsia="zh-CN" w:bidi="ar-SA"/>
        </w:rPr>
        <w:t xml:space="preserve">第三章  合同文本</w:t>
      </w:r>
      <w:r>
        <w:rPr>
          <w:rFonts w:ascii="黑体" w:hAnsi="宋体" w:eastAsia="黑体" w:cs="黑体"/>
          <w:b/>
          <w:color w:val="000000"/>
          <w:sz w:val="40"/>
          <w:szCs w:val="40"/>
          <w:highlight w:val="none"/>
          <w:lang w:val="en-US" w:eastAsia="zh-CN" w:bidi="ar-SA"/>
        </w:rPr>
        <w:fldChar w:fldCharType="end"/>
      </w:r>
      <w:r/>
    </w:p>
    <w:p>
      <w:pPr>
        <w:pStyle w:val="856"/>
        <w:keepLines w:val="0"/>
        <w:keepNext w:val="0"/>
        <w:pageBreakBefore w:val="0"/>
        <w:spacing w:line="900" w:lineRule="exact"/>
        <w:tabs>
          <w:tab w:val="right" w:pos="8306" w:leader="dot"/>
        </w:tabs>
        <w:rPr>
          <w:rFonts w:hint="default" w:ascii="黑体" w:hAnsi="宋体" w:eastAsia="黑体" w:cs="黑体"/>
          <w:b/>
          <w:color w:val="000000"/>
          <w:sz w:val="40"/>
          <w:szCs w:val="40"/>
          <w:highlight w:val="none"/>
          <w:lang w:val="en-US" w:eastAsia="zh-CN" w:bidi="ar-SA"/>
        </w:rPr>
      </w:pPr>
      <w:r>
        <w:rPr>
          <w:rFonts w:hint="eastAsia" w:ascii="黑体" w:hAnsi="宋体" w:eastAsia="黑体" w:cs="黑体"/>
          <w:b/>
          <w:color w:val="000000"/>
          <w:sz w:val="40"/>
          <w:szCs w:val="40"/>
          <w:highlight w:val="none"/>
          <w:lang w:val="en-US" w:eastAsia="zh-CN" w:bidi="ar-SA"/>
        </w:rPr>
        <w:t xml:space="preserve">第四章  采购需求</w:t>
      </w:r>
      <w:r/>
    </w:p>
    <w:p>
      <w:pPr>
        <w:pStyle w:val="856"/>
        <w:keepLines w:val="0"/>
        <w:keepNext w:val="0"/>
        <w:pageBreakBefore w:val="0"/>
        <w:spacing w:line="900" w:lineRule="exact"/>
        <w:tabs>
          <w:tab w:val="right" w:pos="8306" w:leader="dot"/>
        </w:tabs>
        <w:rPr>
          <w:rFonts w:ascii="黑体" w:hAnsi="宋体" w:eastAsia="黑体" w:cs="黑体"/>
          <w:b/>
          <w:color w:val="000000"/>
          <w:sz w:val="40"/>
          <w:szCs w:val="40"/>
          <w:highlight w:val="none"/>
          <w:lang w:val="en-US" w:eastAsia="zh-CN" w:bidi="ar-SA"/>
        </w:rPr>
      </w:pPr>
      <w:r>
        <w:rPr>
          <w:rFonts w:ascii="黑体" w:hAnsi="宋体" w:eastAsia="黑体" w:cs="黑体"/>
          <w:b/>
          <w:color w:val="000000"/>
          <w:sz w:val="40"/>
          <w:szCs w:val="40"/>
          <w:highlight w:val="none"/>
          <w:lang w:val="en-US" w:eastAsia="zh-CN" w:bidi="ar-SA"/>
        </w:rPr>
        <w:fldChar w:fldCharType="begin"/>
      </w:r>
      <w:r>
        <w:rPr>
          <w:rFonts w:ascii="黑体" w:hAnsi="宋体" w:eastAsia="黑体" w:cs="黑体"/>
          <w:b/>
          <w:color w:val="000000"/>
          <w:sz w:val="40"/>
          <w:szCs w:val="40"/>
          <w:highlight w:val="none"/>
          <w:lang w:val="en-US" w:eastAsia="zh-CN" w:bidi="ar-SA"/>
        </w:rPr>
        <w:instrText xml:space="preserve"> HYPERLINK \l _Toc29503 </w:instrText>
      </w:r>
      <w:r>
        <w:rPr>
          <w:rFonts w:ascii="黑体" w:hAnsi="宋体" w:eastAsia="黑体" w:cs="黑体"/>
          <w:b/>
          <w:color w:val="000000"/>
          <w:sz w:val="40"/>
          <w:szCs w:val="40"/>
          <w:highlight w:val="none"/>
          <w:lang w:val="en-US" w:eastAsia="zh-CN" w:bidi="ar-SA"/>
        </w:rPr>
        <w:fldChar w:fldCharType="separate"/>
      </w:r>
      <w:r>
        <w:rPr>
          <w:rFonts w:hint="eastAsia" w:ascii="黑体" w:hAnsi="宋体" w:eastAsia="黑体" w:cs="黑体"/>
          <w:b/>
          <w:color w:val="000000"/>
          <w:sz w:val="40"/>
          <w:szCs w:val="40"/>
          <w:highlight w:val="none"/>
          <w:lang w:val="en-US" w:eastAsia="zh-CN" w:bidi="ar-SA"/>
        </w:rPr>
        <w:t xml:space="preserve">第五章  评标方法与评标标准</w:t>
      </w:r>
      <w:r>
        <w:rPr>
          <w:rFonts w:ascii="黑体" w:hAnsi="宋体" w:eastAsia="黑体" w:cs="黑体"/>
          <w:b/>
          <w:color w:val="000000"/>
          <w:sz w:val="40"/>
          <w:szCs w:val="40"/>
          <w:highlight w:val="none"/>
          <w:lang w:val="en-US" w:eastAsia="zh-CN" w:bidi="ar-SA"/>
        </w:rPr>
        <w:fldChar w:fldCharType="end"/>
      </w:r>
      <w:r/>
    </w:p>
    <w:p>
      <w:pPr>
        <w:pStyle w:val="856"/>
        <w:keepLines w:val="0"/>
        <w:keepNext w:val="0"/>
        <w:pageBreakBefore w:val="0"/>
        <w:spacing w:line="900" w:lineRule="exact"/>
        <w:tabs>
          <w:tab w:val="right" w:pos="8306" w:leader="dot"/>
        </w:tabs>
        <w:rPr>
          <w:rFonts w:ascii="黑体" w:hAnsi="宋体" w:eastAsia="黑体" w:cs="黑体"/>
          <w:b/>
          <w:color w:val="000000"/>
          <w:sz w:val="44"/>
          <w:szCs w:val="44"/>
          <w:highlight w:val="none"/>
          <w:lang w:val="en-US" w:eastAsia="zh-CN" w:bidi="ar-SA"/>
        </w:rPr>
      </w:pPr>
      <w:r>
        <w:rPr>
          <w:rFonts w:ascii="黑体" w:hAnsi="宋体" w:eastAsia="黑体" w:cs="黑体"/>
          <w:b/>
          <w:color w:val="000000"/>
          <w:sz w:val="40"/>
          <w:szCs w:val="40"/>
          <w:highlight w:val="none"/>
          <w:lang w:val="en-US" w:eastAsia="zh-CN" w:bidi="ar-SA"/>
        </w:rPr>
        <w:fldChar w:fldCharType="begin"/>
      </w:r>
      <w:r>
        <w:rPr>
          <w:rFonts w:ascii="黑体" w:hAnsi="宋体" w:eastAsia="黑体" w:cs="黑体"/>
          <w:b/>
          <w:color w:val="000000"/>
          <w:sz w:val="40"/>
          <w:szCs w:val="40"/>
          <w:highlight w:val="none"/>
          <w:lang w:val="en-US" w:eastAsia="zh-CN" w:bidi="ar-SA"/>
        </w:rPr>
        <w:instrText xml:space="preserve"> HYPERLINK \l _Toc1234 </w:instrText>
      </w:r>
      <w:r>
        <w:rPr>
          <w:rFonts w:ascii="黑体" w:hAnsi="宋体" w:eastAsia="黑体" w:cs="黑体"/>
          <w:b/>
          <w:color w:val="000000"/>
          <w:sz w:val="40"/>
          <w:szCs w:val="40"/>
          <w:highlight w:val="none"/>
          <w:lang w:val="en-US" w:eastAsia="zh-CN" w:bidi="ar-SA"/>
        </w:rPr>
        <w:fldChar w:fldCharType="separate"/>
      </w:r>
      <w:r>
        <w:rPr>
          <w:rFonts w:hint="eastAsia" w:ascii="黑体" w:hAnsi="宋体" w:eastAsia="黑体" w:cs="黑体"/>
          <w:b/>
          <w:color w:val="000000"/>
          <w:sz w:val="40"/>
          <w:szCs w:val="40"/>
          <w:highlight w:val="none"/>
          <w:lang w:val="en-US" w:eastAsia="zh-CN" w:bidi="ar-SA"/>
        </w:rPr>
        <w:t xml:space="preserve">第六章  投标文件格式</w:t>
      </w:r>
      <w:r>
        <w:rPr>
          <w:rFonts w:ascii="黑体" w:hAnsi="宋体" w:eastAsia="黑体" w:cs="黑体"/>
          <w:b/>
          <w:color w:val="000000"/>
          <w:sz w:val="40"/>
          <w:szCs w:val="40"/>
          <w:highlight w:val="none"/>
          <w:lang w:val="en-US" w:eastAsia="zh-CN" w:bidi="ar-SA"/>
        </w:rPr>
        <w:fldChar w:fldCharType="end"/>
      </w:r>
      <w:r/>
    </w:p>
    <w:p>
      <w:pPr>
        <w:pStyle w:val="857"/>
        <w:jc w:val="both"/>
        <w:pageBreakBefore w:val="0"/>
        <w:spacing w:beforeAutospacing="0" w:afterAutospacing="0" w:line="240" w:lineRule="auto"/>
        <w:rPr>
          <w:rFonts w:ascii="黑体" w:hAnsi="宋体" w:eastAsia="黑体" w:cs="黑体"/>
          <w:b/>
          <w:color w:val="000000"/>
          <w:sz w:val="44"/>
          <w:szCs w:val="44"/>
          <w:highlight w:val="none"/>
          <w:lang w:val="en-US" w:eastAsia="zh-CN" w:bidi="ar-SA"/>
        </w:rPr>
      </w:pPr>
      <w:r>
        <w:rPr>
          <w:rFonts w:ascii="黑体" w:hAnsi="宋体" w:eastAsia="黑体" w:cs="黑体"/>
          <w:b/>
          <w:color w:val="000000"/>
          <w:sz w:val="44"/>
          <w:szCs w:val="44"/>
          <w:highlight w:val="none"/>
          <w:lang w:val="en-US" w:eastAsia="zh-CN" w:bidi="ar-SA"/>
        </w:rPr>
        <w:fldChar w:fldCharType="end"/>
      </w:r>
      <w:r/>
    </w:p>
    <w:p>
      <w:pPr>
        <w:rPr>
          <w:rFonts w:ascii="黑体" w:hAnsi="宋体" w:eastAsia="黑体" w:cs="黑体"/>
          <w:b/>
          <w:color w:val="000000"/>
          <w:sz w:val="44"/>
          <w:szCs w:val="44"/>
          <w:highlight w:val="none"/>
          <w:lang w:val="en-US" w:eastAsia="zh-CN" w:bidi="ar-SA"/>
        </w:rPr>
      </w:pPr>
      <w:r>
        <w:rPr>
          <w:rFonts w:ascii="黑体" w:hAnsi="宋体" w:eastAsia="黑体" w:cs="黑体"/>
          <w:b/>
          <w:color w:val="000000"/>
          <w:sz w:val="44"/>
          <w:szCs w:val="44"/>
          <w:highlight w:val="none"/>
          <w:lang w:val="en-US" w:eastAsia="zh-CN" w:bidi="ar-SA"/>
        </w:rPr>
        <w:br w:type="page" w:clear="all"/>
      </w:r>
      <w:r/>
    </w:p>
    <w:p>
      <w:pPr>
        <w:pStyle w:val="857"/>
        <w:jc w:val="center"/>
        <w:pageBreakBefore w:val="0"/>
        <w:spacing w:beforeAutospacing="0" w:afterAutospacing="0" w:line="240" w:lineRule="auto"/>
        <w:rPr>
          <w:rFonts w:hint="default" w:eastAsia="黑体"/>
          <w:highlight w:val="none"/>
          <w:lang w:val="en-US" w:eastAsia="zh-CN"/>
        </w:rPr>
      </w:pPr>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p>
    <w:p>
      <w:pPr>
        <w:pStyle w:val="857"/>
        <w:ind w:firstLine="480"/>
        <w:jc w:val="both"/>
        <w:keepLines w:val="0"/>
        <w:pageBreakBefore w:val="0"/>
        <w:spacing w:beforeAutospacing="0" w:afterAutospacing="0" w:line="240" w:lineRule="auto"/>
        <w:widowControl w:val="off"/>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ind w:left="0" w:right="0" w:firstLine="480"/>
        <w:spacing w:before="240" w:after="24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2026年东台市二轮土地承包到期再延长三十年第三方服务项目 JSZC-320981-BJZC-G2026-0002 招标项目的潜在投标人应在“苏采云”系统内免费下载（投标人必须在苏采云系统中获取采购文件，方能参与政府采购项目） 获取招标文件，并于2026-05-06 08:30 （北京时间）前递交投标文件。</w:t>
      </w:r>
      <w:r>
        <w:rPr>
          <w:sz w:val="24"/>
        </w:rPr>
      </w:r>
      <w:r/>
    </w:p>
    <w:p>
      <w:pPr>
        <w:pStyle w:val="857"/>
        <w:ind w:firstLine="498"/>
        <w:jc w:val="both"/>
        <w:keepLines/>
        <w:keepNext/>
        <w:pageBreakBefore w:val="0"/>
        <w:spacing w:beforeAutospacing="0" w:afterAutospacing="0" w:line="360" w:lineRule="auto"/>
        <w:rPr>
          <w:rFonts w:hint="eastAsia" w:ascii="宋体" w:hAnsi="宋体" w:eastAsia="宋体" w:cs="宋体"/>
          <w:color w:val="auto"/>
          <w:sz w:val="24"/>
          <w:szCs w:val="24"/>
          <w:highlight w:val="none"/>
        </w:rPr>
      </w:pPr>
      <w:r/>
      <w:bookmarkStart w:id="6" w:name="_Toc35393790"/>
      <w:r/>
      <w:bookmarkStart w:id="7" w:name="_Toc28359079"/>
      <w:r/>
      <w:bookmarkStart w:id="8" w:name="_Toc38985263"/>
      <w:r/>
      <w:bookmarkStart w:id="9" w:name="_Toc28359002"/>
      <w:r/>
      <w:bookmarkStart w:id="10" w:name="_Toc35393621"/>
      <w:r/>
      <w:bookmarkStart w:id="11" w:name="_Hlk24379207"/>
      <w:r>
        <w:rPr>
          <w:rFonts w:hint="eastAsia" w:ascii="宋体" w:hAnsi="宋体" w:eastAsia="宋体" w:cs="宋体"/>
          <w:b/>
          <w:color w:val="auto"/>
          <w:sz w:val="24"/>
          <w:szCs w:val="24"/>
          <w:highlight w:val="none"/>
        </w:rPr>
        <w:t xml:space="preserve">一、项目基本情况</w:t>
      </w:r>
      <w:bookmarkEnd w:id="6"/>
      <w:r/>
      <w:bookmarkEnd w:id="7"/>
      <w:r/>
      <w:bookmarkEnd w:id="8"/>
      <w:r/>
      <w:bookmarkEnd w:id="9"/>
      <w:r/>
      <w:bookmarkEnd w:id="10"/>
      <w:r/>
      <w:bookmarkEnd w:id="11"/>
      <w:r/>
      <w:r/>
    </w:p>
    <w:p>
      <w:pPr>
        <w:pStyle w:val="857"/>
        <w:ind w:firstLine="480"/>
        <w:keepLines w:val="0"/>
        <w:keepNext w:val="0"/>
        <w:pageBreakBefore w:val="0"/>
        <w:spacing w:before="120" w:beforeAutospacing="0" w:after="120" w:afterAutospacing="0" w:line="240" w:lineRule="auto"/>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项目编号：</w:t>
      </w:r>
      <w:r>
        <w:rPr>
          <w:rFonts w:hint="default" w:ascii="宋体" w:hAnsi="宋体" w:eastAsia="宋体" w:cs="宋体"/>
          <w:color w:val="auto"/>
          <w:sz w:val="24"/>
          <w:szCs w:val="24"/>
          <w:highlight w:val="none"/>
          <w:u w:val="none"/>
          <w:lang w:val="en-US" w:eastAsia="zh-CN"/>
        </w:rPr>
        <w:t xml:space="preserve">JSZC-320981-BJZC-G2026-0002</w:t>
      </w:r>
      <w:r/>
    </w:p>
    <w:p>
      <w:pPr>
        <w:pStyle w:val="857"/>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none"/>
          <w:lang w:val="en-US" w:eastAsia="zh-CN"/>
        </w:rPr>
        <w:t xml:space="preserve">2026年东台市二轮土地承包到期再延长三十年第三方服务项目</w:t>
      </w:r>
      <w:r/>
    </w:p>
    <w:p>
      <w:pPr>
        <w:pStyle w:val="857"/>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857"/>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360万</w:t>
      </w:r>
      <w:r>
        <w:rPr>
          <w:rFonts w:hint="eastAsia" w:ascii="宋体" w:hAnsi="宋体" w:eastAsia="宋体" w:cs="宋体"/>
          <w:color w:val="auto"/>
          <w:sz w:val="24"/>
          <w:szCs w:val="24"/>
          <w:highlight w:val="none"/>
        </w:rPr>
        <w:t xml:space="preserve">元</w:t>
      </w:r>
      <w:r>
        <w:rPr>
          <w:rFonts w:ascii="SimSun" w:hAnsi="SimSun" w:eastAsia="SimSun" w:cs="SimSun"/>
          <w:color w:val="000000"/>
          <w:sz w:val="24"/>
        </w:rPr>
        <w:t xml:space="preserve">（采购包1：90.000000万元；采购包2：90.000000万元；采购包3：90.000000万元；采购包4：90.000000万元）</w:t>
      </w:r>
      <w:r>
        <w:rPr>
          <w:rFonts w:hint="eastAsia" w:ascii="宋体" w:hAnsi="宋体" w:eastAsia="宋体" w:cs="宋体"/>
          <w:color w:val="auto"/>
          <w:sz w:val="24"/>
          <w:szCs w:val="24"/>
          <w:highlight w:val="none"/>
        </w:rPr>
      </w:r>
      <w:r/>
    </w:p>
    <w:p>
      <w:pPr>
        <w:numPr>
          <w:ilvl w:val="0"/>
          <w:numId w:val="0"/>
        </w:numPr>
        <w:ind w:firstLine="480"/>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bidi="ar-SA"/>
        </w:rPr>
        <w:t xml:space="preserve">360万元（不需要实测户最高限价单价30元/户、约5%需要实测户最高限价单价260元/户）投标报价高于最高限价单价的，招标人将不予接受，视为无效标书。</w:t>
      </w:r>
      <w:r/>
    </w:p>
    <w:p>
      <w:pPr>
        <w:pStyle w:val="857"/>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val="en-US" w:eastAsia="zh-CN"/>
        </w:rPr>
        <w:t xml:space="preserve">东台市第二轮土地承包到期后再延长30年试点，现需聘请具备资质的第三方，对3镇26村的延包试点工作进行服务，包括但不限于：业务培训、资料收集、摸底核实、实测指界、制定方案、完善调查数据、数据修改入库、资料输出打印、审核公示、签订合同、完善证书、资料归档、材料装档汇交等工作。</w:t>
      </w:r>
      <w:r>
        <w:rPr>
          <w:rFonts w:hint="eastAsia" w:ascii="宋体" w:hAnsi="宋体" w:eastAsia="宋体" w:cs="宋体"/>
          <w:color w:val="auto"/>
          <w:sz w:val="24"/>
          <w:szCs w:val="24"/>
          <w:highlight w:val="none"/>
        </w:rPr>
        <w:t xml:space="preserve">（详细内容见本</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文件第四章）</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仿宋_GB2312" w:hAnsi="Times New Roman" w:eastAsia="仿宋_GB2312" w:cs="Times New Roman"/>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bidi="ar-SA"/>
        </w:rPr>
        <w:t xml:space="preserve">项目截至2027年6月底完成，（开始时间以签订合同日期为准），具体实施内容及进度根据东台市农业农村局实际工作进度安排实施。</w:t>
      </w:r>
      <w:r/>
    </w:p>
    <w:p>
      <w:pPr>
        <w:pStyle w:val="857"/>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rPr>
          <w:rFonts w:hint="eastAsia" w:ascii="宋体" w:hAnsi="宋体" w:eastAsia="宋体" w:cs="宋体"/>
          <w:color w:val="auto"/>
          <w:sz w:val="24"/>
          <w:szCs w:val="24"/>
          <w:highlight w:val="none"/>
        </w:rPr>
        <w:t xml:space="preserve">本项目（是/否）接受联合体参与</w:t>
      </w:r>
      <w:r>
        <w:rPr>
          <w:rFonts w:hint="eastAsia" w:ascii="宋体" w:hAnsi="宋体" w:eastAsia="宋体" w:cs="宋体"/>
          <w:color w:val="auto"/>
          <w:sz w:val="24"/>
          <w:szCs w:val="24"/>
          <w:highlight w:val="none"/>
          <w:lang w:val="en-US" w:eastAsia="zh-CN"/>
        </w:rPr>
        <w:t xml:space="preserve">招标：是。</w:t>
      </w:r>
      <w:r/>
    </w:p>
    <w:p>
      <w:pPr>
        <w:pStyle w:val="857"/>
        <w:ind w:firstLine="498"/>
        <w:jc w:val="both"/>
        <w:keepLines/>
        <w:keepNext/>
        <w:pageBreakBefore w:val="0"/>
        <w:spacing w:beforeAutospacing="0" w:afterAutospacing="0" w:line="360" w:lineRule="auto"/>
        <w:rPr>
          <w:rFonts w:hint="eastAsia" w:ascii="宋体" w:hAnsi="宋体" w:eastAsia="宋体" w:cs="宋体"/>
          <w:color w:val="auto"/>
          <w:sz w:val="24"/>
          <w:szCs w:val="24"/>
          <w:highlight w:val="none"/>
        </w:rPr>
      </w:pPr>
      <w:r/>
      <w:bookmarkStart w:id="12" w:name="_Toc38985264"/>
      <w:r/>
      <w:bookmarkStart w:id="13" w:name="_Toc28359003"/>
      <w:r/>
      <w:bookmarkStart w:id="14" w:name="_Toc28359080"/>
      <w:r/>
      <w:bookmarkStart w:id="15" w:name="_Toc35393622"/>
      <w:r/>
      <w:bookmarkStart w:id="16" w:name="_Toc35393791"/>
      <w:r>
        <w:rPr>
          <w:rFonts w:hint="eastAsia" w:ascii="宋体" w:hAnsi="宋体" w:eastAsia="宋体" w:cs="宋体"/>
          <w:b/>
          <w:color w:val="auto"/>
          <w:sz w:val="24"/>
          <w:szCs w:val="24"/>
          <w:highlight w:val="none"/>
        </w:rPr>
        <w:t xml:space="preserve">二、申请人的资格要求：</w:t>
      </w:r>
      <w:bookmarkEnd w:id="12"/>
      <w:r/>
      <w:bookmarkEnd w:id="13"/>
      <w:r/>
      <w:bookmarkEnd w:id="14"/>
      <w:r/>
      <w:bookmarkEnd w:id="15"/>
      <w:r/>
      <w:bookmarkEnd w:id="16"/>
      <w:r/>
      <w:r/>
    </w:p>
    <w:p>
      <w:pPr>
        <w:pStyle w:val="857"/>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满足《中华人民共和国政府采购法》第二十二条规定，并提供下列材料：</w:t>
      </w:r>
      <w:r/>
    </w:p>
    <w:p>
      <w:pPr>
        <w:pStyle w:val="857"/>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1.法人或者其他组织的营业执照等证明文件，自然人的身份证明；</w:t>
      </w:r>
      <w:r/>
    </w:p>
    <w:p>
      <w:pPr>
        <w:pStyle w:val="857"/>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2.上一年度的财务状况报</w:t>
      </w:r>
      <w:r>
        <w:rPr>
          <w:rFonts w:hint="eastAsia" w:ascii="宋体" w:hAnsi="宋体" w:eastAsia="宋体" w:cs="宋体"/>
          <w:color w:val="auto"/>
          <w:sz w:val="24"/>
          <w:szCs w:val="24"/>
          <w:highlight w:val="none"/>
          <w:lang w:val="en-US" w:eastAsia="zh-CN"/>
        </w:rPr>
        <w:t xml:space="preserve">表</w:t>
      </w:r>
      <w:r>
        <w:rPr>
          <w:rFonts w:hint="eastAsia" w:ascii="宋体" w:hAnsi="宋体" w:eastAsia="宋体" w:cs="宋体"/>
          <w:color w:val="auto"/>
          <w:sz w:val="24"/>
          <w:szCs w:val="24"/>
          <w:highlight w:val="none"/>
        </w:rPr>
        <w:t xml:space="preserve">（成立不满一年无需提供）；</w:t>
      </w:r>
      <w:r/>
    </w:p>
    <w:p>
      <w:pPr>
        <w:pStyle w:val="857"/>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57"/>
        <w:ind w:firstLine="482"/>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具备履行合同所必需的设备和专业技术能力的书面声明；</w:t>
      </w:r>
      <w:r>
        <w:rPr>
          <w:rFonts w:hint="eastAsia" w:ascii="宋体" w:hAnsi="宋体" w:eastAsia="宋体" w:cs="宋体"/>
          <w:color w:val="auto"/>
          <w:sz w:val="24"/>
          <w:szCs w:val="24"/>
          <w:highlight w:val="none"/>
          <w:lang w:val="en-US" w:eastAsia="zh-CN"/>
        </w:rPr>
      </w:r>
      <w:r/>
    </w:p>
    <w:p>
      <w:pPr>
        <w:pStyle w:val="857"/>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参加政府采购活动前3年内在经营活动中没有重大违法记录的书面声明。</w:t>
      </w:r>
      <w:r/>
    </w:p>
    <w:p>
      <w:pPr>
        <w:pStyle w:val="857"/>
        <w:ind w:firstLine="480"/>
        <w:jc w:val="both"/>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6.法律、行政法规规定的其他条件。</w:t>
      </w:r>
      <w:r/>
    </w:p>
    <w:p>
      <w:pPr>
        <w:pStyle w:val="857"/>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57"/>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格式自拟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二</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落实政府采购政策需满足的资格要求：</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yellow"/>
          <w:lang w:val="en-US" w:eastAsia="zh-CN" w:bidi="ar-SA"/>
        </w:rPr>
      </w:pPr>
      <w:r>
        <w:rPr>
          <w:rFonts w:ascii="宋体" w:hAnsi="宋体" w:eastAsia="宋体" w:cs="宋体"/>
          <w:color w:val="000000"/>
          <w:sz w:val="24"/>
          <w:highlight w:val="white"/>
        </w:rPr>
        <w:t xml:space="preserve">采购包1 采购包2 采购包3 采购包4:</w:t>
      </w:r>
      <w:r>
        <w:rPr>
          <w:rFonts w:hint="eastAsia" w:ascii="宋体" w:hAnsi="宋体" w:eastAsia="宋体" w:cs="宋体"/>
          <w:color w:val="auto"/>
          <w:sz w:val="24"/>
          <w:szCs w:val="24"/>
          <w:highlight w:val="none"/>
          <w:lang w:val="en-US" w:eastAsia="zh-CN" w:bidi="ar-SA"/>
        </w:rPr>
        <w:t xml:space="preserve">本项目现对小型和微型企业报价给予20%的扣除，用扣除后的价格参与评审。参加政府采购活动的小微企业如实提供《中小企业声明函》。</w:t>
      </w:r>
      <w:r/>
    </w:p>
    <w:p>
      <w:pPr>
        <w:ind w:left="480" w:right="0" w:firstLine="0"/>
        <w:pageBreakBefore w:val="0"/>
        <w:spacing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三</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本项目的特定资格</w:t>
      </w:r>
      <w:r>
        <w:rPr>
          <w:rFonts w:hint="eastAsia" w:ascii="宋体" w:hAnsi="宋体" w:eastAsia="宋体" w:cs="宋体"/>
          <w:color w:val="auto"/>
          <w:sz w:val="24"/>
          <w:szCs w:val="24"/>
          <w:highlight w:val="none"/>
        </w:rPr>
        <w:t xml:space="preserve">要求</w:t>
      </w:r>
      <w:r>
        <w:rPr>
          <w:rFonts w:hint="eastAsia" w:ascii="宋体" w:hAnsi="宋体" w:eastAsia="宋体" w:cs="宋体"/>
          <w:color w:val="auto"/>
          <w:sz w:val="24"/>
          <w:szCs w:val="24"/>
          <w:highlight w:val="none"/>
          <w:lang w:eastAsia="zh-CN"/>
        </w:rPr>
        <w:t xml:space="preserve">：</w:t>
      </w:r>
      <w:r/>
    </w:p>
    <w:p>
      <w:pPr>
        <w:numPr>
          <w:ilvl w:val="0"/>
          <w:numId w:val="0"/>
        </w:numPr>
        <w:ind w:right="0"/>
        <w:pageBreakBefore w:val="0"/>
        <w:spacing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rFonts w:ascii="宋体" w:hAnsi="宋体" w:eastAsia="宋体" w:cs="宋体"/>
          <w:color w:val="auto"/>
          <w:sz w:val="24"/>
          <w:highlight w:val="white"/>
        </w:rPr>
        <w:t xml:space="preserve">采购包1 采购包2 采购包3 采购包4</w:t>
      </w:r>
      <w:r>
        <w:rPr>
          <w:rFonts w:hint="eastAsia" w:ascii="宋体" w:hAnsi="宋体" w:eastAsia="宋体" w:cs="宋体"/>
          <w:color w:val="auto"/>
          <w:sz w:val="24"/>
          <w:highlight w:val="whit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投标人同时具备下列条件A资质、B资质的资质条件（如投标人不同时具备相关资质的，可以采取联合体投标，被联合体单位仅能参与一家单位联合，不允许参与两个及以上的单位联合）。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A投标人需具有有效期内的乙级及以上测绘资质，资质范围须包括：界线与不动产测绘、地理信息系统工程、摄影测量与遥感、地图编制专业；</w:t>
      </w:r>
      <w:r/>
    </w:p>
    <w:p>
      <w:pPr>
        <w:ind w:firstLine="480"/>
        <w:keepLines w:val="0"/>
        <w:keepNext w:val="0"/>
        <w:pageBreakBefore w:val="0"/>
        <w:spacing w:line="360" w:lineRule="auto"/>
        <w:widowControl w:val="off"/>
        <w:rPr>
          <w:rFonts w:hint="default" w:ascii="宋体" w:hAnsi="宋体" w:eastAsia="宋体" w:cs="宋体"/>
          <w:b w:val="0"/>
          <w:bCs w:val="0"/>
          <w:strike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B档案管理要求：具有档</w:t>
      </w:r>
      <w:r>
        <w:rPr>
          <w:rFonts w:hint="eastAsia" w:ascii="宋体" w:hAnsi="宋体" w:eastAsia="宋体" w:cs="宋体"/>
          <w:b w:val="0"/>
          <w:bCs w:val="0"/>
          <w:strike w:val="0"/>
          <w:color w:val="auto"/>
          <w:sz w:val="24"/>
          <w:szCs w:val="24"/>
          <w:highlight w:val="none"/>
          <w:u w:val="none"/>
          <w:lang w:val="en-US" w:eastAsia="zh-CN"/>
        </w:rPr>
        <w:t xml:space="preserve">案整理、数字化、数据处理服务等相关能力</w:t>
      </w:r>
      <w:r>
        <w:rPr>
          <w:rFonts w:hint="eastAsia" w:ascii="宋体" w:hAnsi="宋体" w:eastAsia="宋体" w:cs="宋体"/>
          <w:b w:val="0"/>
          <w:bCs w:val="0"/>
          <w:strike w:val="0"/>
          <w:color w:val="auto"/>
          <w:sz w:val="24"/>
          <w:szCs w:val="24"/>
          <w:highlight w:val="none"/>
          <w:lang w:val="en-US" w:eastAsia="zh-CN"/>
        </w:rPr>
        <w:t xml:space="preserve">（须提供档案整理、数字化加工相关设备配置清单说明，包括但不限于：高速扫描仪、计算机、数据存储设备、档案装订设备等）</w:t>
      </w:r>
      <w:r>
        <w:rPr>
          <w:rFonts w:hint="eastAsia" w:ascii="宋体" w:hAnsi="宋体" w:eastAsia="宋体" w:cs="宋体"/>
          <w:b w:val="0"/>
          <w:bCs w:val="0"/>
          <w:strike w:val="0"/>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本项目接受联合体投标,联合体中所有成员数量均不得超过2名。</w:t>
      </w:r>
      <w:r/>
    </w:p>
    <w:p>
      <w:pPr>
        <w:pStyle w:val="857"/>
        <w:ind w:firstLine="498"/>
        <w:jc w:val="both"/>
        <w:keepLines/>
        <w:keepNext/>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bookmarkStart w:id="17" w:name="_Toc28359005"/>
      <w:r/>
      <w:bookmarkStart w:id="18" w:name="_Toc28359082"/>
      <w:r/>
      <w:bookmarkStart w:id="19" w:name="_Toc35393624"/>
      <w:r/>
      <w:bookmarkStart w:id="20" w:name="_Toc35393793"/>
      <w:r/>
      <w:bookmarkStart w:id="21" w:name="_Toc38985266"/>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lang w:val="en-US" w:eastAsia="zh-CN" w:bidi="ar-SA"/>
        </w:rPr>
        <w:t xml:space="preserve">：</w:t>
      </w:r>
      <w:bookmarkEnd w:id="17"/>
      <w:r/>
      <w:bookmarkEnd w:id="18"/>
      <w:r/>
      <w:bookmarkEnd w:id="19"/>
      <w:r/>
      <w:bookmarkEnd w:id="20"/>
      <w:r/>
      <w:bookmarkEnd w:id="21"/>
      <w:r>
        <w:rPr>
          <w:rFonts w:hint="eastAsia" w:ascii="宋体" w:hAnsi="宋体" w:eastAsia="宋体" w:cs="宋体"/>
          <w:color w:val="auto"/>
          <w:sz w:val="24"/>
          <w:szCs w:val="24"/>
          <w:highlight w:val="none"/>
          <w:lang w:val="en-US" w:eastAsia="zh-CN" w:bidi="ar-SA"/>
        </w:rPr>
        <w:t xml:space="preserve">自招标文件公告发布之日起5个工作日。</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地点：“苏采云”系统内免费下载（投标人必须在苏采云系统中获取采购文件，方能参与政府采购项目）；</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方式：本项目采用网上注册登记方式。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售价：0</w:t>
      </w:r>
      <w:r>
        <w:rPr>
          <w:rFonts w:hint="eastAsia" w:ascii="宋体" w:hAnsi="宋体" w:eastAsia="宋体" w:cs="宋体"/>
          <w:color w:val="auto"/>
          <w:sz w:val="24"/>
          <w:szCs w:val="24"/>
          <w:highlight w:val="none"/>
          <w:lang w:val="en-US" w:eastAsia="zh-CN" w:bidi="ar-SA"/>
        </w:rPr>
        <w:t xml:space="preserve">.00</w:t>
      </w:r>
      <w:r>
        <w:rPr>
          <w:rFonts w:hint="eastAsia" w:ascii="宋体" w:hAnsi="宋体" w:eastAsia="宋体" w:cs="宋体"/>
          <w:color w:val="auto"/>
          <w:sz w:val="24"/>
          <w:szCs w:val="24"/>
          <w:highlight w:val="none"/>
          <w:lang w:val="en-US" w:eastAsia="zh-CN" w:bidi="ar-SA"/>
        </w:rPr>
        <w:t xml:space="preserve">元</w:t>
      </w:r>
      <w:r/>
    </w:p>
    <w:p>
      <w:pPr>
        <w:ind w:firstLine="482"/>
        <w:jc w:val="left"/>
        <w:keepLines w:val="0"/>
        <w:keepNext w:val="0"/>
        <w:pageBreakBefore w:val="0"/>
        <w:spacing w:line="360" w:lineRule="auto"/>
        <w:widowControl/>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四、提交投标文件截止时间、开标时间和地点</w:t>
      </w:r>
      <w:r/>
    </w:p>
    <w:p>
      <w:pPr>
        <w:ind w:left="0" w:right="0" w:firstLine="560"/>
        <w:jc w:val="both"/>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2026-05-06 08:30 （北京时间）</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地点：苏采云“不见面”开标大厅。</w:t>
      </w:r>
      <w:r/>
    </w:p>
    <w:p>
      <w:pPr>
        <w:pStyle w:val="857"/>
        <w:ind w:firstLine="498"/>
        <w:jc w:val="both"/>
        <w:keepLines/>
        <w:keepNext/>
        <w:pageBreakBefore w:val="0"/>
        <w:spacing w:beforeAutospacing="0" w:afterAutospacing="0" w:line="360" w:lineRule="auto"/>
        <w:rPr>
          <w:rFonts w:hint="eastAsia" w:ascii="宋体" w:hAnsi="宋体" w:eastAsia="宋体" w:cs="宋体"/>
          <w:color w:val="auto"/>
          <w:sz w:val="24"/>
          <w:szCs w:val="24"/>
          <w:highlight w:val="none"/>
        </w:rPr>
      </w:pPr>
      <w:r/>
      <w:bookmarkStart w:id="22" w:name="_Toc38985267"/>
      <w:r/>
      <w:bookmarkStart w:id="23" w:name="_Toc28359084"/>
      <w:r/>
      <w:bookmarkStart w:id="24" w:name="_Toc28359007"/>
      <w:r/>
      <w:bookmarkStart w:id="25" w:name="_Toc35393625"/>
      <w:r/>
      <w:bookmarkStart w:id="26" w:name="_Toc35393794"/>
      <w:r>
        <w:rPr>
          <w:rFonts w:hint="eastAsia" w:ascii="宋体" w:hAnsi="宋体" w:eastAsia="宋体" w:cs="宋体"/>
          <w:b/>
          <w:color w:val="auto"/>
          <w:sz w:val="24"/>
          <w:szCs w:val="24"/>
          <w:highlight w:val="none"/>
        </w:rPr>
        <w:t xml:space="preserve">五、公告期限</w:t>
      </w:r>
      <w:bookmarkEnd w:id="22"/>
      <w:r/>
      <w:bookmarkEnd w:id="23"/>
      <w:r/>
      <w:bookmarkEnd w:id="24"/>
      <w:r/>
      <w:bookmarkEnd w:id="25"/>
      <w:r/>
      <w:bookmarkEnd w:id="26"/>
      <w:r/>
      <w:r/>
    </w:p>
    <w:p>
      <w:pPr>
        <w:pStyle w:val="857"/>
        <w:ind w:left="0" w:right="0" w:firstLine="56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5393795"/>
      <w:r/>
      <w:bookmarkStart w:id="28" w:name="_Toc38985268"/>
      <w:r/>
      <w:bookmarkStart w:id="29" w:name="_Toc35393626"/>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Start w:id="216" w:name="_GoBack"/>
      <w:r/>
      <w:bookmarkEnd w:id="216"/>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bookmarkEnd w:id="27"/>
      <w:r/>
      <w:bookmarkEnd w:id="28"/>
      <w:r/>
      <w:bookmarkEnd w:id="29"/>
      <w:r/>
      <w:r/>
    </w:p>
    <w:p>
      <w:pPr>
        <w:pStyle w:val="857"/>
        <w:ind w:firstLine="498"/>
        <w:jc w:val="both"/>
        <w:keepLines/>
        <w:keepNext/>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 潜在供应商访问电子招标响应交易平台的网络地址和方法： </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2.2 潜在投标人访问“苏采云”系统方法：江苏省政府采购网首页-“苏采云”链接。 </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2.3 采购文件（后缀名为“.kedt”）、供应商操作手册及政府采购客户端 工具可通过“苏采云”系统相应链接进行下载。 </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2.4 采购代理机构将数据电文形式的采购文件加载至“苏采云”系统，供潜在供应商下载或者查阅。 </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2.5 请潜在投标单位提前安装相应的控件（详见《“苏采云”系统供应商操作手册》）并使用谷歌浏览器登录“苏采云”系统参与不见面开评标。 </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如潜在投标人未按上述要求操作，将自行承担所产生的风险。</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3.有关本次招标的事项若存在变动或修改，敬请及时关注盐城市政府采购中心在“中国政府采购网”“江苏政府采购网”“盐城市政府采购网”发布的更正公告。</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4.本次招标不收取投标保证金，不收取质量保证金。</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符合本项目资格条件的投标单位均可参加本项目四个采购包的投标，但一个投标单位只能中一个采购包，本项目的评标、定标顺序按采购包一、采购包二、采购包三、采购包四顺序进行，如投标人在前面采购包中被确定为中标人时，其响应文件不参与后续采购包的评审。</w:t>
      </w:r>
      <w:r>
        <w:rPr>
          <w:rFonts w:ascii="SimSun" w:hAnsi="SimSun" w:eastAsia="SimSun" w:cs="SimSun"/>
          <w:color w:val="000000"/>
          <w:sz w:val="24"/>
        </w:rPr>
        <w:t xml:space="preserve">（每个标段剔除前面标段的中标人，至少须满足3家，才能开启评审。）</w:t>
      </w:r>
      <w:r/>
    </w:p>
    <w:p>
      <w:pPr>
        <w:pStyle w:val="845"/>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提出询问，请按以下方式联系。</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采购包1、采购包2、采购包3、采购包4</w:t>
      </w:r>
      <w:r/>
    </w:p>
    <w:p>
      <w:pPr>
        <w:pStyle w:val="857"/>
        <w:ind w:left="0" w:right="0" w:firstLine="56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09"/>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pStyle w:val="857"/>
        <w:ind w:left="0" w:right="0" w:firstLine="56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称：东台市农业农村局</w:t>
      </w:r>
      <w:r/>
    </w:p>
    <w:p>
      <w:pPr>
        <w:pStyle w:val="857"/>
        <w:ind w:left="0" w:right="0" w:firstLine="56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地址：东台市广场路6号</w:t>
      </w:r>
      <w:r/>
    </w:p>
    <w:p>
      <w:pPr>
        <w:pStyle w:val="857"/>
        <w:ind w:left="0" w:right="0" w:firstLine="56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联系人：戴先生</w:t>
      </w:r>
      <w:r/>
    </w:p>
    <w:p>
      <w:pPr>
        <w:pStyle w:val="857"/>
        <w:ind w:left="0" w:right="0" w:firstLine="56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w:t>
      </w:r>
      <w:r>
        <w:rPr>
          <w:rFonts w:ascii="SimSun" w:hAnsi="SimSun" w:eastAsia="SimSun" w:cs="SimSun"/>
          <w:color w:val="000000"/>
          <w:sz w:val="24"/>
          <w:highlight w:val="white"/>
        </w:rPr>
        <w:t xml:space="preserve">18861964401</w:t>
      </w:r>
      <w:r>
        <w:rPr>
          <w:rFonts w:hint="eastAsia" w:ascii="宋体" w:hAnsi="宋体" w:eastAsia="宋体" w:cs="宋体"/>
          <w:i w:val="0"/>
          <w:iCs w:val="0"/>
          <w:caps w:val="0"/>
          <w:color w:val="auto"/>
          <w:spacing w:val="0"/>
          <w:sz w:val="24"/>
          <w:szCs w:val="24"/>
          <w:highlight w:val="none"/>
          <w:shd w:val="clear" w:color="auto" w:fill="ffffff"/>
          <w:lang w:val="en-US" w:eastAsia="zh-CN"/>
        </w:rPr>
      </w:r>
      <w:r/>
    </w:p>
    <w:p>
      <w:pPr>
        <w:pStyle w:val="857"/>
        <w:ind w:left="0" w:right="0" w:firstLine="56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rPr>
          <w:rFonts w:ascii="SimSun" w:hAnsi="SimSun" w:eastAsia="SimSun" w:cs="SimSun"/>
          <w:color w:val="000000"/>
          <w:sz w:val="24"/>
          <w:highlight w:val="white"/>
        </w:rPr>
        <w:t xml:space="preserve">（如有）</w:t>
      </w:r>
      <w:r>
        <w:rPr>
          <w:rFonts w:hint="eastAsia" w:ascii="宋体" w:hAnsi="宋体" w:eastAsia="宋体" w:cs="宋体"/>
          <w:i w:val="0"/>
          <w:iCs w:val="0"/>
          <w:caps w:val="0"/>
          <w:color w:val="auto"/>
          <w:spacing w:val="0"/>
          <w:sz w:val="24"/>
          <w:szCs w:val="24"/>
          <w:highlight w:val="none"/>
          <w:shd w:val="clear" w:color="auto" w:fill="ffffff"/>
          <w:lang w:val="en-US" w:eastAsia="zh-CN"/>
        </w:rPr>
      </w:r>
      <w:r/>
    </w:p>
    <w:p>
      <w:pPr>
        <w:pStyle w:val="857"/>
        <w:ind w:left="0" w:right="0" w:firstLine="56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称：北京中昌工程咨询有限公司</w:t>
      </w:r>
      <w:r/>
    </w:p>
    <w:p>
      <w:pPr>
        <w:pStyle w:val="857"/>
        <w:ind w:left="0" w:right="0" w:firstLine="560"/>
        <w:jc w:val="both"/>
        <w:keepLines w:val="0"/>
        <w:keepNext w:val="0"/>
        <w:pageBreakBefore w:val="0"/>
        <w:spacing w:beforeAutospacing="0" w:afterAutospacing="0" w:line="360" w:lineRule="auto"/>
        <w:shd w:val="clear" w:color="auto" w:fill="ffffff"/>
        <w:widowControl/>
        <w:rPr>
          <w:rFonts w:hint="eastAsia" w:ascii="仿宋_GB2312" w:hAnsi="Times New Roman" w:eastAsia="仿宋_GB2312" w:cs="Times New Roman"/>
          <w:color w:val="auto"/>
          <w:sz w:val="24"/>
          <w:szCs w:val="24"/>
          <w:highlight w:val="none"/>
          <w:u w:val="singl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址：东台市金海广场702室</w:t>
      </w:r>
      <w:r/>
    </w:p>
    <w:p>
      <w:pPr>
        <w:pStyle w:val="857"/>
        <w:ind w:left="0" w:right="0" w:firstLine="56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联系人：练女士</w:t>
      </w:r>
      <w:r/>
    </w:p>
    <w:p>
      <w:pPr>
        <w:pStyle w:val="857"/>
        <w:ind w:left="0" w:right="0" w:firstLine="56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w:t>
      </w:r>
      <w:bookmarkStart w:id="32" w:name="_Toc28359087"/>
      <w:r/>
      <w:bookmarkStart w:id="33" w:name="_Toc28359010"/>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18105110880</w:t>
      </w:r>
      <w:bookmarkEnd w:id="32"/>
      <w:r/>
      <w:bookmarkEnd w:id="33"/>
      <w:r/>
      <w:r/>
    </w:p>
    <w:p>
      <w:pPr>
        <w:pStyle w:val="857"/>
        <w:ind w:left="0" w:right="0" w:firstLine="56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bookmarkEnd w:id="34"/>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项目联系方式</w:t>
      </w:r>
      <w:r/>
    </w:p>
    <w:p>
      <w:pPr>
        <w:pStyle w:val="857"/>
        <w:ind w:left="0" w:right="0" w:firstLine="56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项目联系人：练女士</w:t>
      </w:r>
      <w:r/>
    </w:p>
    <w:p>
      <w:pPr>
        <w:pStyle w:val="857"/>
        <w:ind w:left="0" w:right="0" w:firstLine="56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电　　 话：18105110880</w:t>
      </w:r>
      <w:r/>
    </w:p>
    <w:p>
      <w:pPr>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44"/>
        <w:jc w:val="center"/>
      </w:pPr>
      <w:r>
        <w:rPr>
          <w:rFonts w:hint="eastAsia" w:ascii="宋体" w:hAnsi="宋体" w:eastAsia="宋体" w:cs="宋体"/>
          <w:color w:val="000000"/>
          <w:sz w:val="24"/>
          <w:szCs w:val="24"/>
          <w:highlight w:val="none"/>
        </w:rPr>
        <w:br w:type="page" w:clear="all"/>
      </w:r>
      <w:bookmarkStart w:id="35" w:name="_Toc120614211"/>
      <w:r/>
      <w:bookmarkStart w:id="36" w:name="_Toc7070"/>
      <w:r/>
      <w:bookmarkStart w:id="37" w:name="_Hlt26670403"/>
      <w:r/>
      <w:bookmarkStart w:id="38" w:name="_Hlt26954739"/>
      <w:r/>
      <w:bookmarkStart w:id="39" w:name="_Hlt26670425"/>
      <w:r/>
      <w:bookmarkStart w:id="40" w:name="_Hlt26954734"/>
      <w:r/>
      <w:bookmarkStart w:id="41" w:name="_Hlt26668975"/>
      <w:r/>
      <w:bookmarkStart w:id="42" w:name="_Hlt26954731"/>
      <w:r/>
      <w:bookmarkStart w:id="43" w:name="_Hlt26670489"/>
      <w:r/>
      <w:bookmarkStart w:id="44" w:name="_Hlt26670482"/>
      <w:r/>
      <w:bookmarkStart w:id="45" w:name="_Hlt26954850"/>
      <w:r/>
      <w:bookmarkStart w:id="46" w:name="_Toc513029226"/>
      <w:r/>
      <w:bookmarkStart w:id="47" w:name="_Hlt26954840"/>
      <w:r/>
      <w:bookmarkStart w:id="48" w:name="_Hlt26670360"/>
      <w:r/>
      <w:bookmarkStart w:id="49" w:name="_Hlt26954852"/>
      <w:r/>
      <w:bookmarkStart w:id="50" w:name="_Hlt26954848"/>
      <w:r/>
      <w:bookmarkStart w:id="51" w:name="_Hlt16619475"/>
      <w:r/>
      <w:bookmarkStart w:id="52" w:name="_Hlt26670373"/>
      <w:r/>
      <w:bookmarkStart w:id="53" w:name="_Hlt26954846"/>
      <w:r/>
      <w:bookmarkStart w:id="54" w:name="_Hlt26668983"/>
      <w:r/>
      <w:bookmarkStart w:id="55" w:name="_Hlt26954842"/>
      <w:r/>
      <w:bookmarkStart w:id="56" w:name="_Hlt26670486"/>
      <w:r/>
      <w:bookmarkStart w:id="57" w:name="_Hlt26954838"/>
      <w:r/>
      <w:bookmarkStart w:id="58" w:name="_Hlt26670399"/>
      <w:r/>
      <w:bookmarkStart w:id="59" w:name="_Hlt26954844"/>
      <w:r>
        <w:rPr>
          <w:rFonts w:hint="eastAsia"/>
        </w:rPr>
        <w:t xml:space="preserve">第二章</w:t>
      </w:r>
      <w:bookmarkEnd w:id="35"/>
      <w:r/>
      <w:bookmarkStart w:id="60" w:name="_Toc20823274"/>
      <w:r/>
      <w:bookmarkStart w:id="61" w:name="_Toc513029202"/>
      <w:r/>
      <w:bookmarkStart w:id="62" w:name="_Toc120614213"/>
      <w:r/>
      <w:bookmarkStart w:id="63" w:name="_Toc16938518"/>
      <w:r>
        <w:rPr>
          <w:rFonts w:hint="eastAsia"/>
          <w:lang w:val="en-US" w:eastAsia="zh-CN"/>
        </w:rPr>
        <w:t xml:space="preserve">  </w:t>
      </w:r>
      <w:r>
        <w:rPr>
          <w:rFonts w:hint="eastAsia"/>
        </w:rPr>
        <w:t xml:space="preserve">投标人须知</w:t>
      </w:r>
      <w:bookmarkEnd w:id="36"/>
      <w:r/>
      <w:bookmarkEnd w:id="60"/>
      <w:r/>
      <w:bookmarkEnd w:id="61"/>
      <w:r/>
      <w:bookmarkEnd w:id="62"/>
      <w:r/>
      <w:bookmarkEnd w:id="63"/>
      <w:r/>
      <w:r/>
    </w:p>
    <w:p>
      <w:pPr>
        <w:pStyle w:val="857"/>
        <w:jc w:val="both"/>
        <w:keepLines/>
        <w:keepNext/>
        <w:pageBreakBefore w:val="0"/>
        <w:spacing w:beforeAutospacing="0" w:afterAutospacing="0" w:line="360" w:lineRule="exact"/>
        <w:widowControl w:val="off"/>
        <w:rPr>
          <w:rFonts w:hint="eastAsia" w:ascii="宋体" w:hAnsi="宋体" w:eastAsia="宋体" w:cs="宋体"/>
          <w:sz w:val="24"/>
          <w:szCs w:val="24"/>
          <w:highlight w:val="none"/>
        </w:rPr>
      </w:pPr>
      <w:r/>
      <w:bookmarkStart w:id="64" w:name="_Toc20823275"/>
      <w:r/>
      <w:bookmarkStart w:id="65" w:name="_Toc120614214"/>
      <w:r/>
      <w:bookmarkStart w:id="66" w:name="_Toc16938519"/>
      <w:r/>
      <w:bookmarkStart w:id="67" w:name="_Toc513029203"/>
      <w:r>
        <w:rPr>
          <w:rFonts w:hint="eastAsia" w:ascii="宋体" w:hAnsi="宋体" w:eastAsia="宋体" w:cs="宋体"/>
          <w:b/>
          <w:color w:val="000000"/>
          <w:sz w:val="24"/>
          <w:szCs w:val="24"/>
          <w:highlight w:val="none"/>
        </w:rPr>
        <w:t xml:space="preserve">一、总则</w:t>
      </w:r>
      <w:bookmarkEnd w:id="64"/>
      <w:r/>
      <w:bookmarkEnd w:id="65"/>
      <w:r/>
      <w:bookmarkEnd w:id="66"/>
      <w:r/>
      <w:bookmarkEnd w:id="67"/>
      <w:r/>
      <w:r/>
    </w:p>
    <w:p>
      <w:pPr>
        <w:pStyle w:val="857"/>
        <w:ind w:firstLine="420"/>
        <w:jc w:val="both"/>
        <w:keepLines/>
        <w:keepNext/>
        <w:pageBreakBefore w:val="0"/>
        <w:spacing w:beforeAutospacing="0" w:afterAutospacing="0" w:line="360" w:lineRule="exact"/>
        <w:widowControl w:val="off"/>
        <w:rPr>
          <w:rFonts w:hint="eastAsia" w:ascii="宋体" w:hAnsi="宋体" w:eastAsia="宋体" w:cs="宋体"/>
          <w:sz w:val="24"/>
          <w:szCs w:val="24"/>
          <w:highlight w:val="none"/>
        </w:rPr>
      </w:pPr>
      <w:r/>
      <w:bookmarkStart w:id="68" w:name="_Toc16938520"/>
      <w:r/>
      <w:bookmarkStart w:id="69" w:name="_Toc458694821"/>
      <w:r/>
      <w:bookmarkStart w:id="70" w:name="_Toc20823276"/>
      <w:r/>
      <w:bookmarkStart w:id="71" w:name="_Toc513029204"/>
      <w:r>
        <w:rPr>
          <w:rFonts w:hint="eastAsia" w:ascii="宋体" w:hAnsi="宋体" w:eastAsia="宋体" w:cs="宋体"/>
          <w:color w:val="000000"/>
          <w:sz w:val="24"/>
          <w:szCs w:val="24"/>
          <w:highlight w:val="none"/>
        </w:rPr>
        <w:t xml:space="preserve">1</w:t>
      </w:r>
      <w:bookmarkEnd w:id="68"/>
      <w:r>
        <w:rPr>
          <w:rFonts w:hint="eastAsia" w:ascii="宋体" w:hAnsi="宋体" w:eastAsia="宋体" w:cs="宋体"/>
          <w:color w:val="000000"/>
          <w:sz w:val="24"/>
          <w:szCs w:val="24"/>
          <w:highlight w:val="none"/>
        </w:rPr>
        <w:t xml:space="preserve">、招标方式</w:t>
      </w:r>
      <w:bookmarkEnd w:id="69"/>
      <w:r/>
      <w:bookmarkEnd w:id="70"/>
      <w:r/>
      <w:bookmarkEnd w:id="71"/>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1.1本次招标采取公开招标方式，本招标文件仅适用于招标公告中所述项目。</w:t>
      </w:r>
      <w:r/>
    </w:p>
    <w:p>
      <w:pPr>
        <w:pStyle w:val="857"/>
        <w:ind w:firstLine="420"/>
        <w:jc w:val="both"/>
        <w:keepLines/>
        <w:keepNext/>
        <w:pageBreakBefore w:val="0"/>
        <w:spacing w:beforeAutospacing="0" w:afterAutospacing="0" w:line="360" w:lineRule="exact"/>
        <w:widowControl w:val="off"/>
        <w:rPr>
          <w:rFonts w:hint="eastAsia" w:ascii="宋体" w:hAnsi="宋体" w:eastAsia="宋体" w:cs="宋体"/>
          <w:sz w:val="24"/>
          <w:szCs w:val="24"/>
          <w:highlight w:val="none"/>
        </w:rPr>
      </w:pPr>
      <w:r/>
      <w:bookmarkStart w:id="72" w:name="_Toc513029205"/>
      <w:r/>
      <w:bookmarkStart w:id="73" w:name="_Toc20823277"/>
      <w:r/>
      <w:bookmarkStart w:id="74" w:name="_Toc16938521"/>
      <w:r>
        <w:rPr>
          <w:rFonts w:hint="eastAsia" w:ascii="宋体" w:hAnsi="宋体" w:eastAsia="宋体" w:cs="宋体"/>
          <w:color w:val="000000"/>
          <w:sz w:val="24"/>
          <w:szCs w:val="24"/>
          <w:highlight w:val="none"/>
        </w:rPr>
        <w:t xml:space="preserve">2、合格的投标人</w:t>
      </w:r>
      <w:bookmarkEnd w:id="72"/>
      <w:r/>
      <w:bookmarkEnd w:id="73"/>
      <w:r/>
      <w:bookmarkEnd w:id="74"/>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2.2满足本文件实质性要求和条件的规定。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3、适用法律和标准</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3.2 在本项目政府采购活动过程中，如果所执行的标准有更新的，按照最新标准执行。</w:t>
      </w:r>
      <w:r>
        <w:rPr>
          <w:sz w:val="21"/>
        </w:rPr>
      </w:r>
      <w:r/>
    </w:p>
    <w:p>
      <w:pPr>
        <w:pStyle w:val="857"/>
        <w:ind w:firstLine="420"/>
        <w:jc w:val="both"/>
        <w:keepLines/>
        <w:keepNext/>
        <w:pageBreakBefore w:val="0"/>
        <w:spacing w:beforeAutospacing="0" w:afterAutospacing="0" w:line="360" w:lineRule="exact"/>
        <w:widowControl w:val="off"/>
        <w:rPr>
          <w:rFonts w:hint="eastAsia" w:ascii="宋体" w:hAnsi="宋体" w:eastAsia="宋体" w:cs="宋体"/>
          <w:sz w:val="24"/>
          <w:szCs w:val="24"/>
          <w:highlight w:val="none"/>
        </w:rPr>
      </w:pPr>
      <w:r/>
      <w:bookmarkStart w:id="78" w:name="_Toc16938523"/>
      <w:r/>
      <w:bookmarkStart w:id="79" w:name="_Toc20823279"/>
      <w:r/>
      <w:bookmarkStart w:id="80" w:name="_Toc513029207"/>
      <w:r/>
      <w:bookmarkStart w:id="81" w:name="_Toc462564067"/>
      <w:r>
        <w:rPr>
          <w:rFonts w:hint="eastAsia" w:ascii="宋体" w:hAnsi="宋体" w:eastAsia="宋体" w:cs="宋体"/>
          <w:color w:val="000000"/>
          <w:sz w:val="24"/>
          <w:szCs w:val="24"/>
          <w:highlight w:val="none"/>
        </w:rPr>
        <w:t xml:space="preserve">4、投标费用</w:t>
      </w:r>
      <w:bookmarkEnd w:id="78"/>
      <w:r/>
      <w:bookmarkEnd w:id="79"/>
      <w:r/>
      <w:bookmarkEnd w:id="80"/>
      <w:r/>
      <w:bookmarkEnd w:id="81"/>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4.1投标人应自行承担所有与参加投标有关的费用，无论投标过程中的做法和结果如何，</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在任何情况下均无义务和责任承担这些费用。</w:t>
      </w:r>
      <w:r/>
    </w:p>
    <w:p>
      <w:pPr>
        <w:pStyle w:val="857"/>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4.2本次招标采购人不收取标书工本费与中标服务费。</w:t>
      </w:r>
      <w:r/>
    </w:p>
    <w:p>
      <w:pPr>
        <w:pStyle w:val="857"/>
        <w:ind w:firstLine="480"/>
        <w:jc w:val="left"/>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4.3</w:t>
      </w:r>
      <w:r>
        <w:rPr>
          <w:rFonts w:hint="eastAsia" w:ascii="宋体" w:hAnsi="宋体" w:eastAsia="宋体" w:cs="宋体"/>
          <w:color w:val="000000"/>
          <w:sz w:val="24"/>
          <w:szCs w:val="24"/>
          <w:highlight w:val="none"/>
        </w:rPr>
        <w:t xml:space="preserve">招标</w:t>
      </w:r>
      <w:r>
        <w:rPr>
          <w:rFonts w:hint="eastAsia" w:ascii="宋体" w:hAnsi="宋体" w:eastAsia="宋体" w:cs="宋体"/>
          <w:color w:val="000000"/>
          <w:sz w:val="24"/>
          <w:szCs w:val="24"/>
          <w:highlight w:val="none"/>
        </w:rPr>
        <w:t xml:space="preserve">代理费</w:t>
      </w: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rPr>
        <w:t xml:space="preserve">招标</w:t>
      </w:r>
      <w:r>
        <w:rPr>
          <w:rFonts w:hint="eastAsia" w:ascii="宋体" w:hAnsi="宋体" w:eastAsia="宋体" w:cs="宋体"/>
          <w:color w:val="000000"/>
          <w:sz w:val="24"/>
          <w:szCs w:val="24"/>
          <w:highlight w:val="none"/>
        </w:rPr>
        <w:t xml:space="preserve">代理</w:t>
      </w:r>
      <w:r>
        <w:rPr>
          <w:rFonts w:hint="eastAsia" w:ascii="宋体" w:hAnsi="宋体" w:eastAsia="宋体" w:cs="宋体"/>
          <w:color w:val="000000"/>
          <w:sz w:val="24"/>
          <w:szCs w:val="24"/>
          <w:highlight w:val="none"/>
        </w:rPr>
        <w:t xml:space="preserve">合同</w:t>
      </w:r>
      <w:r>
        <w:rPr>
          <w:rFonts w:hint="eastAsia" w:ascii="宋体" w:hAnsi="宋体" w:eastAsia="宋体" w:cs="宋体"/>
          <w:color w:val="000000"/>
          <w:sz w:val="24"/>
          <w:szCs w:val="24"/>
          <w:highlight w:val="none"/>
        </w:rPr>
        <w:t xml:space="preserve">由</w:t>
      </w: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rPr>
        <w:t xml:space="preserve">支付</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收费标准</w:t>
      </w:r>
      <w:r>
        <w:rPr>
          <w:rFonts w:hint="eastAsia" w:ascii="宋体" w:hAnsi="宋体" w:eastAsia="宋体" w:cs="宋体"/>
          <w:color w:val="000000"/>
          <w:sz w:val="24"/>
          <w:szCs w:val="24"/>
          <w:highlight w:val="none"/>
        </w:rPr>
        <w:t xml:space="preserve">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招标代理服务</w:t>
      </w:r>
      <w:r>
        <w:rPr>
          <w:rFonts w:hint="eastAsia" w:ascii="宋体" w:hAnsi="宋体" w:eastAsia="宋体" w:cs="宋体"/>
          <w:color w:val="000000"/>
          <w:sz w:val="24"/>
          <w:szCs w:val="24"/>
          <w:highlight w:val="none"/>
        </w:rPr>
        <w:t xml:space="preserve">费</w:t>
      </w:r>
      <w:r>
        <w:rPr>
          <w:rFonts w:hint="eastAsia" w:ascii="宋体" w:hAnsi="宋体" w:eastAsia="宋体" w:cs="宋体"/>
          <w:color w:val="000000"/>
          <w:sz w:val="24"/>
          <w:szCs w:val="24"/>
          <w:highlight w:val="none"/>
        </w:rPr>
        <w:t xml:space="preserve">按现行标准取费的23.55%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7"/>
        <w:ind w:firstLine="602"/>
        <w:jc w:val="both"/>
        <w:keepLines/>
        <w:keepNext/>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5.1投标人一旦参加本项目采购活动，即被认为接受了本招标文件的规定和约束。</w:t>
      </w:r>
      <w:r/>
    </w:p>
    <w:p>
      <w:pPr>
        <w:pStyle w:val="857"/>
        <w:jc w:val="both"/>
        <w:keepLines/>
        <w:keepNext/>
        <w:pageBreakBefore w:val="0"/>
        <w:spacing w:before="145" w:beforeAutospacing="0" w:after="145" w:afterAutospacing="0" w:line="360" w:lineRule="exact"/>
        <w:widowControl w:val="off"/>
        <w:rPr>
          <w:rFonts w:hint="eastAsia" w:ascii="宋体" w:hAnsi="宋体" w:eastAsia="宋体" w:cs="宋体"/>
          <w:sz w:val="24"/>
          <w:szCs w:val="24"/>
          <w:highlight w:val="none"/>
        </w:rPr>
      </w:pPr>
      <w:r/>
      <w:bookmarkStart w:id="82" w:name="_Toc16938525"/>
      <w:r/>
      <w:bookmarkStart w:id="83" w:name="_Toc513029209"/>
      <w:r/>
      <w:bookmarkStart w:id="84" w:name="_Toc20823281"/>
      <w:r/>
      <w:bookmarkStart w:id="85" w:name="_Toc120614215"/>
      <w:r>
        <w:rPr>
          <w:rFonts w:hint="eastAsia" w:ascii="宋体" w:hAnsi="宋体" w:eastAsia="宋体" w:cs="宋体"/>
          <w:b/>
          <w:color w:val="000000"/>
          <w:sz w:val="24"/>
          <w:szCs w:val="24"/>
          <w:highlight w:val="none"/>
        </w:rPr>
        <w:t xml:space="preserve">二、招标文件</w:t>
      </w:r>
      <w:bookmarkEnd w:id="82"/>
      <w:r/>
      <w:bookmarkEnd w:id="83"/>
      <w:r/>
      <w:bookmarkEnd w:id="84"/>
      <w:r/>
      <w:bookmarkEnd w:id="85"/>
      <w:r/>
      <w:r/>
    </w:p>
    <w:p>
      <w:pPr>
        <w:pStyle w:val="857"/>
        <w:ind w:firstLine="420"/>
        <w:jc w:val="both"/>
        <w:keepLines/>
        <w:keepNext/>
        <w:pageBreakBefore w:val="0"/>
        <w:spacing w:beforeAutospacing="0" w:afterAutospacing="0" w:line="360" w:lineRule="exact"/>
        <w:widowControl w:val="off"/>
        <w:rPr>
          <w:rFonts w:hint="eastAsia" w:ascii="宋体" w:hAnsi="宋体" w:eastAsia="宋体" w:cs="宋体"/>
          <w:sz w:val="24"/>
          <w:szCs w:val="24"/>
          <w:highlight w:val="none"/>
        </w:rPr>
      </w:pPr>
      <w:r/>
      <w:bookmarkStart w:id="86" w:name="_Toc20823282"/>
      <w:r/>
      <w:bookmarkStart w:id="87" w:name="_Toc16938526"/>
      <w:r/>
      <w:bookmarkStart w:id="88" w:name="_Toc513029210"/>
      <w:r>
        <w:rPr>
          <w:rFonts w:hint="eastAsia" w:ascii="宋体" w:hAnsi="宋体" w:eastAsia="宋体" w:cs="宋体"/>
          <w:color w:val="000000"/>
          <w:sz w:val="24"/>
          <w:szCs w:val="24"/>
          <w:highlight w:val="none"/>
        </w:rPr>
        <w:t xml:space="preserve">6、招标文件构成</w:t>
      </w:r>
      <w:bookmarkEnd w:id="86"/>
      <w:r/>
      <w:bookmarkEnd w:id="87"/>
      <w:r/>
      <w:bookmarkEnd w:id="88"/>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857"/>
        <w:ind w:firstLine="360"/>
        <w:jc w:val="both"/>
        <w:pageBreakBefore w:val="0"/>
        <w:spacing w:beforeAutospacing="0" w:afterAutospacing="0"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857"/>
        <w:ind w:firstLine="36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857"/>
        <w:ind w:firstLine="36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857"/>
        <w:ind w:firstLine="36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857"/>
        <w:ind w:firstLine="36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857"/>
        <w:ind w:firstLine="36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联系解决。</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7"/>
        <w:ind w:firstLine="560"/>
        <w:jc w:val="both"/>
        <w:keepLines/>
        <w:keepNext/>
        <w:pageBreakBefore w:val="0"/>
        <w:spacing w:beforeAutospacing="0" w:afterAutospacing="0" w:line="360" w:lineRule="exact"/>
        <w:widowControl w:val="off"/>
        <w:rPr>
          <w:rFonts w:hint="eastAsia" w:ascii="宋体" w:hAnsi="宋体" w:eastAsia="宋体" w:cs="宋体"/>
          <w:sz w:val="24"/>
          <w:szCs w:val="24"/>
          <w:highlight w:val="none"/>
        </w:rPr>
      </w:pPr>
      <w:r/>
      <w:bookmarkStart w:id="89" w:name="_Toc513029211"/>
      <w:r/>
      <w:bookmarkStart w:id="90" w:name="_Toc16938527"/>
      <w:r/>
      <w:bookmarkStart w:id="91" w:name="_Toc462564070"/>
      <w:r/>
      <w:bookmarkStart w:id="92" w:name="_Toc20823283"/>
      <w:r>
        <w:rPr>
          <w:rFonts w:hint="eastAsia" w:ascii="宋体" w:hAnsi="宋体" w:eastAsia="宋体" w:cs="宋体"/>
          <w:color w:val="000000"/>
          <w:sz w:val="24"/>
          <w:szCs w:val="24"/>
          <w:highlight w:val="none"/>
        </w:rPr>
        <w:t xml:space="preserve">7、招标文件的澄清</w:t>
      </w:r>
      <w:bookmarkEnd w:id="89"/>
      <w:r/>
      <w:bookmarkEnd w:id="90"/>
      <w:r/>
      <w:bookmarkEnd w:id="91"/>
      <w:r/>
      <w:bookmarkEnd w:id="92"/>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w:t>
      </w:r>
      <w:r/>
    </w:p>
    <w:p>
      <w:pPr>
        <w:pStyle w:val="857"/>
        <w:ind w:firstLine="560"/>
        <w:jc w:val="both"/>
        <w:keepLines/>
        <w:keepNext/>
        <w:pageBreakBefore w:val="0"/>
        <w:spacing w:beforeAutospacing="0" w:afterAutospacing="0" w:line="360" w:lineRule="exact"/>
        <w:widowControl w:val="off"/>
        <w:rPr>
          <w:rFonts w:hint="eastAsia" w:ascii="宋体" w:hAnsi="宋体" w:eastAsia="宋体" w:cs="宋体"/>
          <w:sz w:val="24"/>
          <w:szCs w:val="24"/>
          <w:highlight w:val="none"/>
        </w:rPr>
      </w:pPr>
      <w:r/>
      <w:bookmarkStart w:id="93" w:name="_Toc20823284"/>
      <w:r/>
      <w:bookmarkStart w:id="94" w:name="_Toc16938528"/>
      <w:r/>
      <w:bookmarkStart w:id="95" w:name="_Toc462564071"/>
      <w:r/>
      <w:bookmarkStart w:id="96" w:name="_Toc513029212"/>
      <w:r>
        <w:rPr>
          <w:rFonts w:hint="eastAsia" w:ascii="宋体" w:hAnsi="宋体" w:eastAsia="宋体" w:cs="宋体"/>
          <w:color w:val="000000"/>
          <w:sz w:val="24"/>
          <w:szCs w:val="24"/>
          <w:highlight w:val="none"/>
        </w:rPr>
        <w:t xml:space="preserve">8、招标文件的修改</w:t>
      </w:r>
      <w:bookmarkEnd w:id="93"/>
      <w:r/>
      <w:bookmarkEnd w:id="94"/>
      <w:r/>
      <w:bookmarkEnd w:id="95"/>
      <w:r/>
      <w:bookmarkEnd w:id="96"/>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8.1在投标截止时间前，</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可以对招标文件进行修改。</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有权按照法定的要求推迟投标截止日期和开标日期。</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盐城市政府采购网公布，补充文件将作为招标文件的组成部分，并对投标人具有约束力。</w:t>
      </w:r>
      <w:r/>
    </w:p>
    <w:p>
      <w:pPr>
        <w:pStyle w:val="857"/>
        <w:jc w:val="both"/>
        <w:keepLines/>
        <w:keepNext/>
        <w:pageBreakBefore w:val="0"/>
        <w:spacing w:before="145" w:beforeAutospacing="0" w:after="145" w:afterAutospacing="0" w:line="360" w:lineRule="exact"/>
        <w:widowControl w:val="off"/>
        <w:rPr>
          <w:rFonts w:hint="eastAsia" w:ascii="宋体" w:hAnsi="宋体" w:eastAsia="宋体" w:cs="宋体"/>
          <w:sz w:val="24"/>
          <w:szCs w:val="24"/>
          <w:highlight w:val="none"/>
        </w:rPr>
      </w:pPr>
      <w:r/>
      <w:bookmarkStart w:id="97" w:name="_Toc462564072"/>
      <w:r/>
      <w:bookmarkStart w:id="98" w:name="_Toc20823285"/>
      <w:r/>
      <w:bookmarkStart w:id="99" w:name="_Toc16938529"/>
      <w:r/>
      <w:bookmarkStart w:id="100" w:name="_Toc120614216"/>
      <w:r/>
      <w:bookmarkStart w:id="101" w:name="_Toc513029213"/>
      <w:r>
        <w:rPr>
          <w:rFonts w:hint="eastAsia" w:ascii="宋体" w:hAnsi="宋体" w:eastAsia="宋体" w:cs="宋体"/>
          <w:b/>
          <w:color w:val="000000"/>
          <w:sz w:val="24"/>
          <w:szCs w:val="24"/>
          <w:highlight w:val="none"/>
        </w:rPr>
        <w:t xml:space="preserve">三、投标文件的编制</w:t>
      </w:r>
      <w:bookmarkEnd w:id="97"/>
      <w:r/>
      <w:bookmarkEnd w:id="98"/>
      <w:r/>
      <w:bookmarkEnd w:id="99"/>
      <w:r/>
      <w:bookmarkEnd w:id="100"/>
      <w:r/>
      <w:bookmarkEnd w:id="101"/>
      <w:r/>
      <w:r/>
    </w:p>
    <w:p>
      <w:pPr>
        <w:pStyle w:val="857"/>
        <w:ind w:firstLine="480"/>
        <w:jc w:val="both"/>
        <w:keepLines/>
        <w:keepNext/>
        <w:pageBreakBefore w:val="0"/>
        <w:spacing w:beforeAutospacing="0" w:afterAutospacing="0" w:line="360" w:lineRule="exact"/>
        <w:widowControl w:val="off"/>
        <w:rPr>
          <w:rFonts w:hint="eastAsia" w:ascii="宋体" w:hAnsi="宋体" w:eastAsia="宋体" w:cs="宋体"/>
          <w:sz w:val="24"/>
          <w:szCs w:val="24"/>
          <w:highlight w:val="none"/>
        </w:rPr>
      </w:pPr>
      <w:r/>
      <w:bookmarkStart w:id="102" w:name="_Toc513029214"/>
      <w:r/>
      <w:bookmarkStart w:id="103" w:name="_Toc462564073"/>
      <w:r/>
      <w:bookmarkStart w:id="104" w:name="_Toc20823286"/>
      <w:r/>
      <w:bookmarkStart w:id="105" w:name="_Toc16938530"/>
      <w:r>
        <w:rPr>
          <w:rFonts w:hint="eastAsia" w:ascii="宋体" w:hAnsi="宋体" w:eastAsia="宋体" w:cs="宋体"/>
          <w:color w:val="000000"/>
          <w:sz w:val="24"/>
          <w:szCs w:val="24"/>
          <w:highlight w:val="none"/>
        </w:rPr>
        <w:t xml:space="preserve">9、投标文件的语言及度量衡单位</w:t>
      </w:r>
      <w:bookmarkEnd w:id="102"/>
      <w:r/>
      <w:bookmarkEnd w:id="103"/>
      <w:r/>
      <w:bookmarkEnd w:id="104"/>
      <w:r/>
      <w:bookmarkEnd w:id="105"/>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9.1投标人提交的投标文件以及投标人与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9.2除技术性能另有规定外，投标文件所使用的度量衡单位，均须采用国家法定计量单位。</w:t>
      </w:r>
      <w:r/>
    </w:p>
    <w:p>
      <w:pPr>
        <w:pStyle w:val="857"/>
        <w:ind w:firstLine="420"/>
        <w:jc w:val="both"/>
        <w:keepLines/>
        <w:keepNext/>
        <w:pageBreakBefore w:val="0"/>
        <w:spacing w:beforeAutospacing="0" w:afterAutospacing="0" w:line="360" w:lineRule="exact"/>
        <w:widowControl w:val="off"/>
        <w:rPr>
          <w:rFonts w:hint="eastAsia" w:ascii="宋体" w:hAnsi="宋体" w:eastAsia="宋体" w:cs="宋体"/>
          <w:sz w:val="24"/>
          <w:szCs w:val="24"/>
          <w:highlight w:val="none"/>
        </w:rPr>
      </w:pPr>
      <w:r/>
      <w:bookmarkStart w:id="106" w:name="_Toc16938531"/>
      <w:r/>
      <w:bookmarkStart w:id="107" w:name="_Toc513029215"/>
      <w:r/>
      <w:bookmarkStart w:id="108" w:name="_Toc462564074"/>
      <w:r/>
      <w:bookmarkStart w:id="109" w:name="_Toc20823287"/>
      <w:r>
        <w:rPr>
          <w:rFonts w:hint="eastAsia" w:ascii="宋体" w:hAnsi="宋体" w:eastAsia="宋体" w:cs="宋体"/>
          <w:color w:val="000000"/>
          <w:sz w:val="24"/>
          <w:szCs w:val="24"/>
          <w:highlight w:val="none"/>
        </w:rPr>
        <w:t xml:space="preserve">10、投标文件构成</w:t>
      </w:r>
      <w:bookmarkEnd w:id="106"/>
      <w:r/>
      <w:bookmarkEnd w:id="107"/>
      <w:r/>
      <w:bookmarkEnd w:id="108"/>
      <w:r/>
      <w:bookmarkEnd w:id="109"/>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盐城市政府采购网”发布的招标文件不一致，请以</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盐城市政府采购网”发布的招标文件为准。</w:t>
      </w:r>
      <w:r/>
    </w:p>
    <w:p>
      <w:pPr>
        <w:pStyle w:val="857"/>
        <w:ind w:firstLine="420"/>
        <w:jc w:val="both"/>
        <w:keepLines/>
        <w:keepNext/>
        <w:pageBreakBefore w:val="0"/>
        <w:spacing w:beforeAutospacing="0" w:afterAutospacing="0" w:line="360" w:lineRule="exact"/>
        <w:widowControl w:val="off"/>
        <w:rPr>
          <w:rFonts w:hint="eastAsia" w:ascii="宋体" w:hAnsi="宋体" w:eastAsia="宋体" w:cs="宋体"/>
          <w:sz w:val="24"/>
          <w:szCs w:val="24"/>
          <w:highlight w:val="none"/>
        </w:rPr>
      </w:pPr>
      <w:r/>
      <w:bookmarkStart w:id="110" w:name="_Toc49090507"/>
      <w:r/>
      <w:bookmarkStart w:id="111" w:name="_Toc14577354"/>
      <w:r/>
      <w:bookmarkStart w:id="112" w:name="_Toc14577357"/>
      <w:r/>
      <w:bookmarkStart w:id="113" w:name="_Toc513029216"/>
      <w:r/>
      <w:bookmarkStart w:id="114" w:name="_Toc513029219"/>
      <w:r/>
      <w:bookmarkStart w:id="115" w:name="_Toc49090509"/>
      <w:r>
        <w:rPr>
          <w:rFonts w:hint="eastAsia" w:ascii="宋体" w:hAnsi="宋体" w:eastAsia="宋体" w:cs="宋体"/>
          <w:color w:val="000000"/>
          <w:sz w:val="24"/>
          <w:szCs w:val="24"/>
          <w:highlight w:val="none"/>
        </w:rPr>
        <w:t xml:space="preserve">11、证明投标人及投标标的符合招标文件规定的文件</w:t>
      </w:r>
      <w:bookmarkEnd w:id="110"/>
      <w:r/>
      <w:bookmarkEnd w:id="111"/>
      <w:r/>
      <w:bookmarkEnd w:id="112"/>
      <w:r/>
      <w:bookmarkEnd w:id="113"/>
      <w:r/>
      <w:bookmarkEnd w:id="114"/>
      <w:r/>
      <w:bookmarkEnd w:id="115"/>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bookmarkStart w:id="116" w:name="_Toc49090508"/>
      <w:r/>
      <w:bookmarkStart w:id="117" w:name="_Toc14577355"/>
      <w:r>
        <w:rPr>
          <w:rFonts w:hint="eastAsia" w:ascii="宋体" w:hAnsi="宋体" w:eastAsia="宋体" w:cs="宋体"/>
          <w:color w:val="000000"/>
          <w:sz w:val="24"/>
          <w:szCs w:val="24"/>
          <w:highlight w:val="none"/>
        </w:rPr>
        <w:t xml:space="preserve">11.1投标人应按照法律、法规、规章和规范性文件以及招标文件要求提交证明文件，证明其及投标标的符合招标文件规定。</w:t>
      </w:r>
      <w:bookmarkEnd w:id="116"/>
      <w:r/>
      <w:bookmarkEnd w:id="117"/>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857"/>
        <w:ind w:firstLine="420"/>
        <w:jc w:val="both"/>
        <w:keepLines/>
        <w:keepNext/>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12、投标分项报价表</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12.1投标人应按照招标文件规定格式填报投标分项报价表。</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857"/>
        <w:ind w:firstLine="420"/>
        <w:jc w:val="both"/>
        <w:keepLines/>
        <w:keepNext/>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13、技术要求响应及偏离表、商务要求响应及偏离表</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13.1投标人需对招标文件中的技术要求与商务要求逐项作出响应或偏离，并说明原因。</w:t>
      </w:r>
      <w:r/>
    </w:p>
    <w:p>
      <w:pPr>
        <w:pStyle w:val="857"/>
        <w:ind w:firstLine="480"/>
        <w:jc w:val="both"/>
        <w:pageBreakBefore w:val="0"/>
        <w:spacing w:beforeAutospacing="0" w:afterAutospacing="0" w:line="360" w:lineRule="exact"/>
        <w:widowControl w:val="off"/>
        <w:tabs>
          <w:tab w:val="left" w:pos="1036"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13.2投标人可在投标文件中提供认为需要的其他技术文件或说明。</w:t>
      </w:r>
      <w:r/>
    </w:p>
    <w:p>
      <w:pPr>
        <w:pStyle w:val="857"/>
        <w:ind w:firstLine="420"/>
        <w:jc w:val="both"/>
        <w:keepLines/>
        <w:keepNext/>
        <w:pageBreakBefore w:val="0"/>
        <w:spacing w:beforeAutospacing="0" w:afterAutospacing="0" w:line="360" w:lineRule="exact"/>
        <w:widowControl w:val="off"/>
        <w:rPr>
          <w:rFonts w:hint="eastAsia" w:ascii="宋体" w:hAnsi="宋体" w:eastAsia="宋体" w:cs="宋体"/>
          <w:sz w:val="24"/>
          <w:szCs w:val="24"/>
          <w:highlight w:val="none"/>
        </w:rPr>
      </w:pPr>
      <w:r/>
      <w:bookmarkStart w:id="118" w:name="_Toc14577359"/>
      <w:r/>
      <w:bookmarkStart w:id="119" w:name="_Toc49090510"/>
      <w:r>
        <w:rPr>
          <w:rFonts w:hint="eastAsia" w:ascii="宋体" w:hAnsi="宋体" w:eastAsia="宋体" w:cs="宋体"/>
          <w:color w:val="000000"/>
          <w:sz w:val="24"/>
          <w:szCs w:val="24"/>
          <w:highlight w:val="none"/>
        </w:rPr>
        <w:t xml:space="preserve">14、投标函和开标一览表</w:t>
      </w:r>
      <w:bookmarkEnd w:id="118"/>
      <w:r/>
      <w:bookmarkEnd w:id="119"/>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14.1投标人应按照招标文件中提供的格式完整、正确填写投标函、开标一览表。</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 xml:space="preserve">。</w:t>
      </w:r>
      <w:r/>
    </w:p>
    <w:p>
      <w:pPr>
        <w:pStyle w:val="857"/>
        <w:ind w:firstLine="420"/>
        <w:jc w:val="both"/>
        <w:keepLines/>
        <w:keepNext/>
        <w:pageBreakBefore w:val="0"/>
        <w:spacing w:beforeAutospacing="0" w:afterAutospacing="0" w:line="360" w:lineRule="exact"/>
        <w:widowControl w:val="off"/>
        <w:rPr>
          <w:rFonts w:hint="eastAsia" w:ascii="宋体" w:hAnsi="宋体" w:eastAsia="宋体" w:cs="宋体"/>
          <w:sz w:val="24"/>
          <w:szCs w:val="24"/>
          <w:highlight w:val="none"/>
        </w:rPr>
      </w:pPr>
      <w:r/>
      <w:bookmarkStart w:id="120" w:name="_Toc14577360"/>
      <w:r/>
      <w:bookmarkStart w:id="121" w:name="_Toc49090511"/>
      <w:r>
        <w:rPr>
          <w:rFonts w:hint="eastAsia" w:ascii="宋体" w:hAnsi="宋体" w:eastAsia="宋体" w:cs="宋体"/>
          <w:color w:val="000000"/>
          <w:sz w:val="24"/>
          <w:szCs w:val="24"/>
          <w:highlight w:val="none"/>
        </w:rPr>
        <w:t xml:space="preserve">15、投标有效期</w:t>
      </w:r>
      <w:bookmarkEnd w:id="120"/>
      <w:r/>
      <w:bookmarkEnd w:id="121"/>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15.1投标有效期为</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857"/>
        <w:ind w:firstLine="420"/>
        <w:jc w:val="both"/>
        <w:keepLines/>
        <w:keepNext/>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16、投标有效期的延长</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16.1在特殊情况下，</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857"/>
        <w:jc w:val="both"/>
        <w:keepLines/>
        <w:keepNext/>
        <w:pageBreakBefore w:val="0"/>
        <w:spacing w:before="145" w:beforeAutospacing="0" w:after="145" w:afterAutospacing="0" w:line="360" w:lineRule="exact"/>
        <w:widowControl w:val="off"/>
        <w:rPr>
          <w:rFonts w:hint="eastAsia" w:ascii="宋体" w:hAnsi="宋体" w:eastAsia="宋体" w:cs="宋体"/>
          <w:sz w:val="24"/>
          <w:szCs w:val="24"/>
          <w:highlight w:val="none"/>
        </w:rPr>
      </w:pPr>
      <w:r/>
      <w:bookmarkStart w:id="122" w:name="_Toc513029224"/>
      <w:r/>
      <w:bookmarkStart w:id="123" w:name="_Toc20823296"/>
      <w:r/>
      <w:bookmarkStart w:id="124" w:name="_Toc120614217"/>
      <w:r/>
      <w:bookmarkStart w:id="125" w:name="_Toc16938540"/>
      <w:r>
        <w:rPr>
          <w:rFonts w:hint="eastAsia" w:ascii="宋体" w:hAnsi="宋体" w:eastAsia="宋体" w:cs="宋体"/>
          <w:b/>
          <w:color w:val="000000"/>
          <w:sz w:val="24"/>
          <w:szCs w:val="24"/>
          <w:highlight w:val="none"/>
        </w:rPr>
        <w:t xml:space="preserve">四、投标文件的递交</w:t>
      </w:r>
      <w:bookmarkEnd w:id="122"/>
      <w:r/>
      <w:bookmarkEnd w:id="123"/>
      <w:r/>
      <w:bookmarkEnd w:id="124"/>
      <w:r/>
      <w:bookmarkEnd w:id="125"/>
      <w:r/>
      <w:r/>
    </w:p>
    <w:p>
      <w:pPr>
        <w:pStyle w:val="857"/>
        <w:ind w:firstLine="480"/>
        <w:jc w:val="both"/>
        <w:keepLines/>
        <w:keepNext/>
        <w:pageBreakBefore w:val="0"/>
        <w:spacing w:beforeAutospacing="0" w:afterAutospacing="0" w:line="360" w:lineRule="exact"/>
        <w:widowControl w:val="off"/>
        <w:rPr>
          <w:rFonts w:hint="eastAsia" w:ascii="宋体" w:hAnsi="宋体" w:eastAsia="宋体" w:cs="宋体"/>
          <w:sz w:val="24"/>
          <w:szCs w:val="24"/>
          <w:highlight w:val="none"/>
        </w:rPr>
      </w:pPr>
      <w:r/>
      <w:bookmarkStart w:id="126" w:name="_Toc16938541"/>
      <w:r/>
      <w:bookmarkStart w:id="127" w:name="_Toc513029225"/>
      <w:r/>
      <w:bookmarkStart w:id="128" w:name="_Toc20823297"/>
      <w:r/>
      <w:bookmarkStart w:id="129" w:name="_Toc462564084"/>
      <w:r>
        <w:rPr>
          <w:rFonts w:hint="eastAsia" w:ascii="宋体" w:hAnsi="宋体" w:eastAsia="宋体" w:cs="宋体"/>
          <w:color w:val="000000"/>
          <w:sz w:val="24"/>
          <w:szCs w:val="24"/>
          <w:highlight w:val="none"/>
        </w:rPr>
        <w:t xml:space="preserve">17、投标文件</w:t>
      </w:r>
      <w:bookmarkEnd w:id="126"/>
      <w:r/>
      <w:bookmarkEnd w:id="127"/>
      <w:r/>
      <w:bookmarkEnd w:id="128"/>
      <w:r/>
      <w:bookmarkEnd w:id="129"/>
      <w:r>
        <w:rPr>
          <w:rFonts w:hint="eastAsia" w:ascii="宋体" w:hAnsi="宋体" w:eastAsia="宋体" w:cs="宋体"/>
          <w:color w:val="000000"/>
          <w:sz w:val="24"/>
          <w:szCs w:val="24"/>
          <w:highlight w:val="none"/>
        </w:rPr>
        <w:t xml:space="preserve">的递交</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 电子投标文件的递交</w:t>
      </w:r>
      <w:r/>
    </w:p>
    <w:p>
      <w:pPr>
        <w:pStyle w:val="857"/>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投标人应当按照《操作手册》规定，在投标截止时间前制作并上传电子投标文件。</w:t>
      </w:r>
      <w:bookmarkStart w:id="130" w:name="_Toc16938542"/>
      <w:r/>
      <w:bookmarkEnd w:id="130"/>
      <w:r/>
      <w:bookmarkStart w:id="131" w:name="_Toc20823298"/>
      <w:r/>
      <w:bookmarkEnd w:id="131"/>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18、投标截止时间</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18.1投标人上传电子投标文件的时间不得迟于招标公告中规定的投标截止时间。</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18.2</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857"/>
        <w:ind w:firstLine="420"/>
        <w:jc w:val="both"/>
        <w:keepLines/>
        <w:keepNext/>
        <w:pageBreakBefore w:val="0"/>
        <w:spacing w:beforeAutospacing="0" w:afterAutospacing="0" w:line="360" w:lineRule="exact"/>
        <w:widowControl w:val="off"/>
        <w:rPr>
          <w:rFonts w:hint="eastAsia" w:ascii="宋体" w:hAnsi="宋体" w:eastAsia="宋体" w:cs="宋体"/>
          <w:sz w:val="24"/>
          <w:szCs w:val="24"/>
          <w:highlight w:val="none"/>
        </w:rPr>
      </w:pPr>
      <w:r/>
      <w:bookmarkStart w:id="132" w:name="_Toc513029227"/>
      <w:r/>
      <w:bookmarkStart w:id="133" w:name="_Toc16938543"/>
      <w:r/>
      <w:bookmarkStart w:id="134" w:name="_Toc20823299"/>
      <w:r>
        <w:rPr>
          <w:rFonts w:hint="eastAsia" w:ascii="宋体" w:hAnsi="宋体" w:eastAsia="宋体" w:cs="宋体"/>
          <w:color w:val="000000"/>
          <w:sz w:val="24"/>
          <w:szCs w:val="24"/>
          <w:highlight w:val="none"/>
        </w:rPr>
        <w:t xml:space="preserve">19、投标文件</w:t>
      </w:r>
      <w:bookmarkEnd w:id="132"/>
      <w:r/>
      <w:bookmarkEnd w:id="133"/>
      <w:r/>
      <w:bookmarkEnd w:id="134"/>
      <w:r>
        <w:rPr>
          <w:rFonts w:hint="eastAsia" w:ascii="宋体" w:hAnsi="宋体" w:eastAsia="宋体" w:cs="宋体"/>
          <w:color w:val="000000"/>
          <w:sz w:val="24"/>
          <w:szCs w:val="24"/>
          <w:highlight w:val="none"/>
        </w:rPr>
        <w:t xml:space="preserve">的拒收</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19.1</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857"/>
        <w:ind w:firstLine="420"/>
        <w:jc w:val="both"/>
        <w:keepLines/>
        <w:keepNext/>
        <w:pageBreakBefore w:val="0"/>
        <w:spacing w:beforeAutospacing="0" w:afterAutospacing="0" w:line="360" w:lineRule="exact"/>
        <w:widowControl w:val="off"/>
        <w:rPr>
          <w:rFonts w:hint="eastAsia" w:ascii="宋体" w:hAnsi="宋体" w:eastAsia="宋体" w:cs="宋体"/>
          <w:sz w:val="24"/>
          <w:szCs w:val="24"/>
          <w:highlight w:val="none"/>
        </w:rPr>
      </w:pPr>
      <w:r/>
      <w:bookmarkStart w:id="135" w:name="_Toc20823300"/>
      <w:r/>
      <w:bookmarkStart w:id="136" w:name="_Toc16938544"/>
      <w:r/>
      <w:bookmarkStart w:id="137" w:name="_Toc513029228"/>
      <w:r>
        <w:rPr>
          <w:rFonts w:hint="eastAsia" w:ascii="宋体" w:hAnsi="宋体" w:eastAsia="宋体" w:cs="宋体"/>
          <w:color w:val="000000"/>
          <w:sz w:val="24"/>
          <w:szCs w:val="24"/>
          <w:highlight w:val="none"/>
        </w:rPr>
        <w:t xml:space="preserve">20、投标文件的撤回和修改</w:t>
      </w:r>
      <w:bookmarkEnd w:id="135"/>
      <w:r/>
      <w:bookmarkEnd w:id="136"/>
      <w:r/>
      <w:bookmarkEnd w:id="137"/>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20.1投标文件的撤回</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.1.1电子投标文件的撤回</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.1.2投标人撤回电子投标文件，则认为其不再参与本项目投标活动。</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 投标文件的修改</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20.2.1投标人可在投标截止时间前，对其电子投标文件进行修改，具体操作方法见《操作手册》。</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20.2.2在投标截止时间之后，投标人不得对其电子投标文件作任何修改。</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20.3在投标截止时间至招标文件中规定的投标有效期满之间的这段时间内，投标人不得撤回其投标。</w:t>
      </w:r>
      <w:r/>
    </w:p>
    <w:p>
      <w:pPr>
        <w:pStyle w:val="857"/>
        <w:jc w:val="both"/>
        <w:keepLines/>
        <w:keepNext/>
        <w:pageBreakBefore w:val="0"/>
        <w:spacing w:before="145" w:beforeAutospacing="0" w:after="145" w:afterAutospacing="0" w:line="360" w:lineRule="exact"/>
        <w:widowControl w:val="off"/>
        <w:rPr>
          <w:rFonts w:hint="eastAsia" w:ascii="宋体" w:hAnsi="宋体" w:eastAsia="宋体" w:cs="宋体"/>
          <w:sz w:val="24"/>
          <w:szCs w:val="24"/>
          <w:highlight w:val="none"/>
        </w:rPr>
      </w:pPr>
      <w:r/>
      <w:bookmarkStart w:id="138" w:name="_Toc16938545"/>
      <w:r/>
      <w:bookmarkStart w:id="139" w:name="_Toc513029229"/>
      <w:r/>
      <w:bookmarkStart w:id="140" w:name="_Toc20823301"/>
      <w:r/>
      <w:bookmarkStart w:id="141" w:name="_Toc120614218"/>
      <w:r>
        <w:rPr>
          <w:rFonts w:hint="eastAsia" w:ascii="宋体" w:hAnsi="宋体" w:eastAsia="宋体" w:cs="宋体"/>
          <w:b/>
          <w:color w:val="000000"/>
          <w:sz w:val="24"/>
          <w:szCs w:val="24"/>
          <w:highlight w:val="none"/>
        </w:rPr>
        <w:t xml:space="preserve">五、开标与评标</w:t>
      </w:r>
      <w:bookmarkEnd w:id="138"/>
      <w:r/>
      <w:bookmarkEnd w:id="139"/>
      <w:r/>
      <w:bookmarkEnd w:id="140"/>
      <w:r/>
      <w:bookmarkEnd w:id="141"/>
      <w:r/>
      <w:r/>
    </w:p>
    <w:p>
      <w:pPr>
        <w:pStyle w:val="857"/>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pPr>
      <w:r/>
      <w:bookmarkStart w:id="142" w:name="_Toc20823302"/>
      <w:r/>
      <w:bookmarkStart w:id="143" w:name="_Toc513029230"/>
      <w:r/>
      <w:bookmarkStart w:id="144" w:name="_Toc16938546"/>
      <w:r>
        <w:rPr>
          <w:rFonts w:hint="eastAsia" w:ascii="宋体" w:hAnsi="宋体" w:eastAsia="宋体" w:cs="宋体"/>
          <w:color w:val="auto"/>
          <w:sz w:val="24"/>
          <w:szCs w:val="24"/>
          <w:highlight w:val="none"/>
        </w:rPr>
        <w:t xml:space="preserve">21、开标</w:t>
      </w:r>
      <w:bookmarkEnd w:id="142"/>
      <w:r/>
      <w:bookmarkEnd w:id="143"/>
      <w:r/>
      <w:bookmarkEnd w:id="144"/>
      <w:r/>
      <w:r/>
    </w:p>
    <w:p>
      <w:pPr>
        <w:pStyle w:val="85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85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85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85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857"/>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pPr>
      <w:r/>
      <w:bookmarkStart w:id="145" w:name="_Toc16938547"/>
      <w:r/>
      <w:bookmarkStart w:id="146" w:name="_Toc20823303"/>
      <w:r/>
      <w:bookmarkStart w:id="147" w:name="_Toc513029231"/>
      <w:r>
        <w:rPr>
          <w:rFonts w:hint="eastAsia" w:ascii="宋体" w:hAnsi="宋体" w:eastAsia="宋体" w:cs="宋体"/>
          <w:color w:val="auto"/>
          <w:sz w:val="24"/>
          <w:szCs w:val="24"/>
          <w:highlight w:val="none"/>
        </w:rPr>
        <w:t xml:space="preserve">22、评标委员会</w:t>
      </w:r>
      <w:bookmarkEnd w:id="145"/>
      <w:r/>
      <w:bookmarkEnd w:id="146"/>
      <w:r/>
      <w:bookmarkEnd w:id="147"/>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22.1开标后，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将立即组织评标委员会（以下简称评委会）进行评标。</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22.2评委会由采购人代表和有关技术、经济等方面的专家组成，且人员构成符合政府采购有关规定。</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857"/>
        <w:ind w:firstLine="480"/>
        <w:jc w:val="both"/>
        <w:keepLines/>
        <w:keepNext/>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23、评标过程的保密与公正</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23.1凡是与审查、澄清、评价和比较投标的有关资料以及授标建议等，采购人、评委、</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均不得向投标人或与评标无关的其他人员透露。</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23.2在评标过程中，投标人不得以任何行为影响评标过程，否则其投标文件将被作为无效投标文件。</w:t>
      </w:r>
      <w:r/>
    </w:p>
    <w:p>
      <w:pPr>
        <w:pStyle w:val="85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857"/>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yellow"/>
        </w:rPr>
      </w:pPr>
      <w:r>
        <w:rPr>
          <w:rFonts w:hint="eastAsia" w:ascii="宋体" w:hAnsi="宋体" w:eastAsia="宋体" w:cs="宋体"/>
          <w:color w:val="auto"/>
          <w:sz w:val="24"/>
          <w:szCs w:val="24"/>
          <w:highlight w:val="none"/>
        </w:rPr>
        <w:t xml:space="preserve">23.4采用综合评分法的项目，未中标的</w:t>
      </w:r>
      <w:r>
        <w:rPr>
          <w:rFonts w:hint="eastAsia" w:ascii="宋体" w:hAnsi="宋体" w:eastAsia="宋体" w:cs="宋体"/>
          <w:color w:val="000000"/>
          <w:sz w:val="24"/>
          <w:szCs w:val="24"/>
          <w:highlight w:val="none"/>
        </w:rPr>
        <w:t xml:space="preserve">投标人可于中标结果公告期限届满之日起通过苏采云系统查看自己的评审得分及排序情况。</w:t>
      </w:r>
      <w:r/>
    </w:p>
    <w:p>
      <w:pPr>
        <w:pStyle w:val="857"/>
        <w:ind w:firstLine="420"/>
        <w:jc w:val="both"/>
        <w:keepLines/>
        <w:keepNext/>
        <w:pageBreakBefore w:val="0"/>
        <w:spacing w:beforeAutospacing="0" w:afterAutospacing="0" w:line="360" w:lineRule="exact"/>
        <w:widowControl w:val="off"/>
        <w:rPr>
          <w:rFonts w:hint="eastAsia" w:ascii="宋体" w:hAnsi="宋体" w:eastAsia="宋体" w:cs="宋体"/>
          <w:sz w:val="24"/>
          <w:szCs w:val="24"/>
          <w:highlight w:val="none"/>
        </w:rPr>
      </w:pPr>
      <w:r/>
      <w:bookmarkStart w:id="148" w:name="_Toc20823304"/>
      <w:r/>
      <w:bookmarkStart w:id="149" w:name="_Toc16938548"/>
      <w:r/>
      <w:bookmarkStart w:id="150" w:name="_Toc513029232"/>
      <w:r>
        <w:rPr>
          <w:rFonts w:hint="eastAsia" w:ascii="宋体" w:hAnsi="宋体" w:eastAsia="宋体" w:cs="宋体"/>
          <w:color w:val="000000"/>
          <w:sz w:val="24"/>
          <w:szCs w:val="24"/>
          <w:highlight w:val="none"/>
        </w:rPr>
        <w:t xml:space="preserve">24、投标文件的澄清</w:t>
      </w:r>
      <w:bookmarkEnd w:id="148"/>
      <w:r/>
      <w:bookmarkEnd w:id="149"/>
      <w:r/>
      <w:bookmarkEnd w:id="150"/>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85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85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4"/>
          <w:szCs w:val="24"/>
          <w:highlight w:val="none"/>
        </w:rPr>
        <w:t xml:space="preserve">投标文件的补充部分，具体操作方式见《操作手册》。</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24.3接到评委会澄清、说明和补正要求的投标人如未按规定</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澄清、说明和补正，其风险由投标人自行承担。</w:t>
      </w:r>
      <w:r/>
    </w:p>
    <w:p>
      <w:pPr>
        <w:pStyle w:val="857"/>
        <w:ind w:firstLine="480"/>
        <w:jc w:val="both"/>
        <w:keepLines/>
        <w:keepNext/>
        <w:pageBreakBefore w:val="0"/>
        <w:spacing w:beforeAutospacing="0" w:afterAutospacing="0" w:line="360" w:lineRule="exact"/>
        <w:widowControl w:val="off"/>
        <w:rPr>
          <w:rFonts w:hint="eastAsia" w:ascii="宋体" w:hAnsi="宋体" w:eastAsia="宋体" w:cs="宋体"/>
          <w:sz w:val="24"/>
          <w:szCs w:val="24"/>
          <w:highlight w:val="none"/>
        </w:rPr>
      </w:pPr>
      <w:r/>
      <w:bookmarkStart w:id="151" w:name="_Toc16938549"/>
      <w:r/>
      <w:bookmarkStart w:id="152" w:name="_Toc20823305"/>
      <w:r/>
      <w:bookmarkStart w:id="153" w:name="_Toc513029233"/>
      <w:r>
        <w:rPr>
          <w:rFonts w:hint="eastAsia" w:ascii="宋体" w:hAnsi="宋体" w:eastAsia="宋体" w:cs="宋体"/>
          <w:color w:val="000000"/>
          <w:sz w:val="24"/>
          <w:szCs w:val="24"/>
          <w:highlight w:val="none"/>
        </w:rPr>
        <w:t xml:space="preserve">25、对投标文件的初审</w:t>
      </w:r>
      <w:bookmarkEnd w:id="151"/>
      <w:r/>
      <w:bookmarkEnd w:id="152"/>
      <w:r/>
      <w:bookmarkEnd w:id="153"/>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25.1投标文件初审分为资格审查和符合性审查。</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5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将不再告知</w:t>
      </w:r>
      <w:r>
        <w:rPr>
          <w:rFonts w:hint="eastAsia" w:ascii="宋体" w:hAnsi="宋体" w:eastAsia="宋体" w:cs="宋体"/>
          <w:color w:val="000000"/>
          <w:sz w:val="24"/>
          <w:szCs w:val="24"/>
          <w:highlight w:val="none"/>
        </w:rPr>
        <w:t xml:space="preserve">未通过资格审查和符合性审查的原因。</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25.4评委会将对确定为实质性响应的投标进行进一步审核，确定其是否有计算上或累加上的算术错误，修正错误的原则如下：</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857"/>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85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85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bookmarkStart w:id="154" w:name="_Toc16938550"/>
      <w:r/>
      <w:bookmarkStart w:id="155" w:name="_Toc20823306"/>
      <w:r/>
      <w:bookmarkStart w:id="156" w:name="_Toc513029234"/>
      <w:r/>
      <w:r/>
    </w:p>
    <w:p>
      <w:pPr>
        <w:pStyle w:val="85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及评标委员会联系。</w:t>
      </w:r>
      <w:bookmarkEnd w:id="154"/>
      <w:r/>
      <w:bookmarkEnd w:id="155"/>
      <w:r/>
      <w:bookmarkEnd w:id="156"/>
      <w:r/>
      <w:r/>
    </w:p>
    <w:p>
      <w:pPr>
        <w:pStyle w:val="857"/>
        <w:ind w:firstLine="42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857"/>
        <w:ind w:left="479"/>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bookmarkStart w:id="157" w:name="_Toc20823307"/>
      <w:r/>
      <w:bookmarkStart w:id="158" w:name="_Toc16938551"/>
      <w:r/>
      <w:bookmarkStart w:id="159" w:name="_Toc513029235"/>
      <w:r>
        <w:rPr>
          <w:rFonts w:hint="eastAsia" w:ascii="宋体" w:hAnsi="宋体" w:eastAsia="宋体" w:cs="宋体"/>
          <w:color w:val="auto"/>
          <w:sz w:val="24"/>
          <w:szCs w:val="24"/>
          <w:highlight w:val="none"/>
        </w:rPr>
        <w:t xml:space="preserve">26.1无效投标条款</w:t>
      </w:r>
      <w:bookmarkEnd w:id="157"/>
      <w:r/>
      <w:bookmarkEnd w:id="158"/>
      <w:r/>
      <w:bookmarkEnd w:id="159"/>
      <w:r/>
      <w:r/>
    </w:p>
    <w:p>
      <w:pPr>
        <w:pStyle w:val="85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85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857"/>
        <w:ind w:left="479"/>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857"/>
        <w:ind w:left="479"/>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26.1.5投标人的报价超过了采购预算或最高限价的。</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26.1.6未通过符合性审查的。</w:t>
      </w:r>
      <w:r/>
    </w:p>
    <w:p>
      <w:pPr>
        <w:pStyle w:val="857"/>
        <w:ind w:firstLine="36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26.1.9投标文件含有采购人不能接受的附加条件的。</w:t>
      </w:r>
      <w:r/>
    </w:p>
    <w:p>
      <w:pPr>
        <w:pStyle w:val="857"/>
        <w:ind w:firstLine="480"/>
        <w:jc w:val="both"/>
        <w:pageBreakBefore w:val="0"/>
        <w:spacing w:beforeAutospacing="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26.1.10</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（一）评审过程中出现下列情形之一的，评标委员会应当启动异常低价投标审查程序：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1.投标（响应）报价低于全部通过符合性审查供应商投标（响应）报价平均值50%的，即投标（响应）报价&lt;全部通过符合性审查供应商投标（响应）报价平均值×50%；</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2.投标（响应）报价低于通过符合性审查的次低报价供应商投标（响应）报价50%的，即投标（响应）报价&lt;通过符合性审查的次低报价供应商投标（响应）报价×50%；</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3.投标（响应）报价低于采购项目最高限价45%的，即投标（响应）报价&lt;采购项目最高限价×45%；</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4.评审委员会基于专业判断，认为供应商报价过低，有可能影响产品质量或者不能诚信履约的其他情形。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u w:val="single"/>
        </w:rPr>
        <w:t xml:space="preserve">提醒：采购人可以结合具体项目实际情况，提高上述第1项至第3项中启动异常低价投标（响应）审查的数值标准，但是最高不得超过65%</w:t>
      </w:r>
      <w:r>
        <w:rPr>
          <w:rFonts w:ascii="SimSun" w:hAnsi="SimSun" w:eastAsia="SimSun" w:cs="SimSun"/>
          <w:b/>
          <w:color w:val="ff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相关法律法规对供应商报价有规定的，从其规定。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异常低价投标（响应）审查的启动原因、审查意见和审查结果应当在评审报告中记录，并随供应商提供的相关书面说明及证明材料，以及评审委员会有关互联网浏览、查询历史一并归档。</w:t>
      </w:r>
      <w:r>
        <w:rPr>
          <w:sz w:val="24"/>
        </w:rPr>
      </w:r>
      <w:r/>
    </w:p>
    <w:p>
      <w:pPr>
        <w:pStyle w:val="85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85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857"/>
        <w:ind w:left="479"/>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857"/>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857"/>
        <w:ind w:left="479"/>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857"/>
        <w:ind w:left="479"/>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857"/>
        <w:ind w:left="479"/>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857"/>
        <w:ind w:left="479"/>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857"/>
        <w:ind w:left="479"/>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857"/>
        <w:jc w:val="both"/>
        <w:keepLines/>
        <w:keepNext/>
        <w:pageBreakBefore w:val="0"/>
        <w:spacing w:before="145" w:beforeAutospacing="0" w:after="145" w:afterAutospacing="0" w:line="360" w:lineRule="exact"/>
        <w:widowControl w:val="off"/>
        <w:rPr>
          <w:rFonts w:hint="eastAsia" w:ascii="宋体" w:hAnsi="宋体" w:eastAsia="宋体" w:cs="宋体"/>
          <w:sz w:val="24"/>
          <w:szCs w:val="24"/>
          <w:highlight w:val="none"/>
        </w:rPr>
      </w:pPr>
      <w:r/>
      <w:bookmarkStart w:id="160" w:name="_Toc120614219"/>
      <w:r>
        <w:rPr>
          <w:rFonts w:hint="eastAsia" w:ascii="宋体" w:hAnsi="宋体" w:eastAsia="宋体" w:cs="宋体"/>
          <w:b/>
          <w:color w:val="000000"/>
          <w:sz w:val="24"/>
          <w:szCs w:val="24"/>
          <w:highlight w:val="none"/>
        </w:rPr>
        <w:t xml:space="preserve">六、定标</w:t>
      </w:r>
      <w:bookmarkEnd w:id="160"/>
      <w:r/>
      <w:r/>
    </w:p>
    <w:p>
      <w:pPr>
        <w:pStyle w:val="857"/>
        <w:ind w:firstLine="600"/>
        <w:jc w:val="both"/>
        <w:keepLines/>
        <w:keepNext/>
        <w:pageBreakBefore w:val="0"/>
        <w:spacing w:beforeAutospacing="0" w:afterAutospacing="0" w:line="360" w:lineRule="exact"/>
        <w:widowControl w:val="off"/>
        <w:rPr>
          <w:rFonts w:hint="eastAsia" w:ascii="宋体" w:hAnsi="宋体" w:eastAsia="宋体" w:cs="宋体"/>
          <w:sz w:val="24"/>
          <w:szCs w:val="24"/>
          <w:highlight w:val="none"/>
        </w:rPr>
      </w:pPr>
      <w:r/>
      <w:bookmarkStart w:id="161" w:name="_Toc20823310"/>
      <w:r/>
      <w:bookmarkStart w:id="162" w:name="_Toc513029238"/>
      <w:r/>
      <w:bookmarkStart w:id="163" w:name="_Toc16938554"/>
      <w:r>
        <w:rPr>
          <w:rFonts w:hint="eastAsia" w:ascii="宋体" w:hAnsi="宋体" w:eastAsia="宋体" w:cs="宋体"/>
          <w:color w:val="000000"/>
          <w:sz w:val="24"/>
          <w:szCs w:val="24"/>
          <w:highlight w:val="none"/>
        </w:rPr>
        <w:t xml:space="preserve">27、</w:t>
      </w:r>
      <w:bookmarkEnd w:id="161"/>
      <w:r>
        <w:rPr>
          <w:rFonts w:hint="eastAsia" w:ascii="宋体" w:hAnsi="宋体" w:eastAsia="宋体" w:cs="宋体"/>
          <w:color w:val="000000"/>
          <w:sz w:val="24"/>
          <w:szCs w:val="24"/>
          <w:highlight w:val="none"/>
        </w:rPr>
        <w:t xml:space="preserve">确定</w:t>
      </w:r>
      <w:bookmarkEnd w:id="162"/>
      <w:r/>
      <w:bookmarkEnd w:id="163"/>
      <w:r>
        <w:rPr>
          <w:rFonts w:hint="eastAsia" w:ascii="宋体" w:hAnsi="宋体" w:eastAsia="宋体" w:cs="宋体"/>
          <w:color w:val="000000"/>
          <w:sz w:val="24"/>
          <w:szCs w:val="24"/>
          <w:highlight w:val="none"/>
        </w:rPr>
        <w:t xml:space="preserve">中标单位</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 </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27.2采购人应根据评委会推荐的中标候选人确定中标人。</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盐城市政府采购网”发布中标公告，公告期限为1个工作日。</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27.4若有充分证据证明，中标人出现下列情况之一的，一经查实，将被取消中标资格：</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27.4.1提供虚假材料谋取中标的。</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27.4.2向采购人、</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行贿或者提供其他不正当利益的。</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27.4.3属于本文件规定的无效条件，但在评标过程中又未被评委会发现的。</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27.4.4与采购人或者其他供应商恶意串通的。</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27.4.5采取不正当手段诋毁、排挤其他供应商的。</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bookmarkStart w:id="164" w:name="_Toc200451960"/>
      <w:r>
        <w:rPr>
          <w:rFonts w:hint="eastAsia" w:ascii="宋体" w:hAnsi="宋体" w:eastAsia="宋体" w:cs="宋体"/>
          <w:color w:val="000000"/>
          <w:sz w:val="24"/>
          <w:szCs w:val="24"/>
          <w:highlight w:val="none"/>
        </w:rPr>
        <w:t xml:space="preserve">27.5 有下列情形之一的，视为投标人串通投标，投标无效：</w:t>
      </w:r>
      <w:bookmarkEnd w:id="164"/>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27.5.1不同投标人的投标文件由同一单位或者个人编制。</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27.5.2不同投标人委托同一单位或者个人办理投标事宜。</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27.5.3不同投标人的投标文件载明的项目管理成员或者联系人员为同一人。</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27.5.4不同投标人的投标文件异常一致或者投标报价呈规律性差异。</w:t>
      </w:r>
      <w:r/>
    </w:p>
    <w:p>
      <w:pPr>
        <w:pStyle w:val="857"/>
        <w:ind w:firstLine="600"/>
        <w:jc w:val="both"/>
        <w:keepLines/>
        <w:keepNext/>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28、质疑处理</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28.1提出质疑的供应商应当是参与所质疑项目采购活动的供应商。潜在供应商依法获取其可质疑的采购文件的，可以对采购文件提出质疑。</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28.2.1对可以质疑的采购文件提出质疑的，为收到采购文件之日或者采购文件公告期限届满之日；</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28.2.2对采购过程提出质疑的，为各采购程序环节结束之日；</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28.2.3对中标或者成交结果提出质疑的，为中标或者成交结果公告期限届满之日。</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57"/>
        <w:ind w:firstLine="482"/>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w:t>
      </w:r>
      <w:r>
        <w:rPr>
          <w:rFonts w:hint="eastAsia" w:ascii="宋体" w:hAnsi="宋体" w:eastAsia="宋体" w:cs="宋体"/>
          <w:color w:val="000000" w:themeColor="text1"/>
          <w:sz w:val="24"/>
          <w:szCs w:val="24"/>
          <w:highlight w:val="none"/>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sz w:val="24"/>
          <w:szCs w:val="24"/>
          <w:highlight w:val="none"/>
        </w:rPr>
        <w:t xml:space="preserve">供应商对除上述事项以外其他事项的询问、质疑请向</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提出，由</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负责答复。</w:t>
      </w:r>
      <w:r/>
    </w:p>
    <w:p>
      <w:pPr>
        <w:ind w:firstLine="480"/>
        <w:jc w:val="left"/>
        <w:pageBreakBefore w:val="0"/>
        <w:spacing w:line="360" w:lineRule="exact"/>
        <w:widowControl w:val="off"/>
        <w:tabs>
          <w:tab w:val="left" w:pos="133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采购人只接收以纸质原件形式送达的质疑,采购人和采购代理机构不接受未填写快递运单的快件。质疑接收部门为采购人，联系地址及联系电话见招标公告。</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 以下情形的质疑不予受理</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28.5.1内容不符合《政府采购质疑和投诉办法》第十二条规定的质疑。</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28.5.2超出政府采购法定期限的质疑。</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28.5.3以传真、电子邮件等方式递交的非原件形式的质疑。</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28.5.4未参加投标活动的供应商或在投标活动中自身权益未受到损害的供应商所提出的质疑。</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28.5.5供应商组成联合体参加投标，联合体中任何一方或多方未按要求签字、盖章、加盖公章的质疑。</w:t>
      </w:r>
      <w:r/>
    </w:p>
    <w:p>
      <w:pPr>
        <w:pStyle w:val="857"/>
        <w:ind w:firstLine="468"/>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857"/>
        <w:ind w:firstLine="600"/>
        <w:jc w:val="both"/>
        <w:keepLines/>
        <w:keepNext/>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29、中标通知书</w:t>
      </w:r>
      <w:r/>
    </w:p>
    <w:p>
      <w:pPr>
        <w:pStyle w:val="857"/>
        <w:ind w:firstLine="60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29.l中标结果确定后，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将向中标人发</w:t>
      </w:r>
      <w:r>
        <w:rPr>
          <w:rFonts w:hint="eastAsia" w:ascii="宋体" w:hAnsi="宋体" w:eastAsia="宋体" w:cs="宋体"/>
          <w:color w:val="auto"/>
          <w:sz w:val="24"/>
          <w:szCs w:val="24"/>
          <w:highlight w:val="none"/>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57"/>
        <w:ind w:firstLine="60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w:t>
      </w:r>
      <w:r>
        <w:rPr>
          <w:rFonts w:hint="eastAsia" w:ascii="宋体" w:hAnsi="宋体" w:eastAsia="宋体" w:cs="宋体"/>
          <w:color w:val="000000"/>
          <w:sz w:val="24"/>
          <w:szCs w:val="24"/>
          <w:highlight w:val="none"/>
        </w:rPr>
        <w:t xml:space="preserve">效力。中标通知书发出后，采购人改变中标结果的，或者中标人放弃中标项目的，应当依法承担法律责任。</w:t>
      </w:r>
      <w:r/>
    </w:p>
    <w:p>
      <w:pPr>
        <w:pStyle w:val="857"/>
        <w:jc w:val="both"/>
        <w:keepLines/>
        <w:keepNext/>
        <w:pageBreakBefore w:val="0"/>
        <w:spacing w:before="145" w:beforeAutospacing="0" w:after="145" w:afterAutospacing="0" w:line="360" w:lineRule="exact"/>
        <w:widowControl w:val="off"/>
        <w:rPr>
          <w:rFonts w:hint="eastAsia" w:ascii="宋体" w:hAnsi="宋体" w:eastAsia="宋体" w:cs="宋体"/>
          <w:sz w:val="24"/>
          <w:szCs w:val="24"/>
          <w:highlight w:val="none"/>
        </w:rPr>
      </w:pPr>
      <w:r/>
      <w:bookmarkStart w:id="165" w:name="_Toc513029236"/>
      <w:r/>
      <w:bookmarkStart w:id="166" w:name="_Toc20823308"/>
      <w:r/>
      <w:bookmarkStart w:id="167" w:name="_Toc16938552"/>
      <w:r/>
      <w:bookmarkStart w:id="168" w:name="_Toc120614220"/>
      <w:r>
        <w:rPr>
          <w:rFonts w:hint="eastAsia" w:ascii="宋体" w:hAnsi="宋体" w:eastAsia="宋体" w:cs="宋体"/>
          <w:b/>
          <w:color w:val="000000"/>
          <w:sz w:val="24"/>
          <w:szCs w:val="24"/>
          <w:highlight w:val="none"/>
        </w:rPr>
        <w:t xml:space="preserve">七、授予合同</w:t>
      </w:r>
      <w:bookmarkEnd w:id="165"/>
      <w:r/>
      <w:bookmarkEnd w:id="166"/>
      <w:r/>
      <w:bookmarkEnd w:id="167"/>
      <w:r/>
      <w:bookmarkEnd w:id="168"/>
      <w:r/>
      <w:r/>
    </w:p>
    <w:p>
      <w:pPr>
        <w:pStyle w:val="857"/>
        <w:ind w:firstLine="600"/>
        <w:jc w:val="both"/>
        <w:keepLines/>
        <w:keepNext/>
        <w:pageBreakBefore w:val="0"/>
        <w:spacing w:beforeAutospacing="0" w:afterAutospacing="0" w:line="360" w:lineRule="exact"/>
        <w:widowControl w:val="off"/>
        <w:rPr>
          <w:rFonts w:hint="eastAsia" w:ascii="宋体" w:hAnsi="宋体" w:eastAsia="宋体" w:cs="宋体"/>
          <w:sz w:val="24"/>
          <w:szCs w:val="24"/>
          <w:highlight w:val="none"/>
        </w:rPr>
      </w:pPr>
      <w:r/>
      <w:bookmarkStart w:id="169" w:name="_Toc20823309"/>
      <w:r/>
      <w:bookmarkStart w:id="170" w:name="_Toc16938553"/>
      <w:r/>
      <w:bookmarkStart w:id="171" w:name="_Toc513029237"/>
      <w:r>
        <w:rPr>
          <w:rFonts w:hint="eastAsia" w:ascii="宋体" w:hAnsi="宋体" w:eastAsia="宋体" w:cs="宋体"/>
          <w:color w:val="000000"/>
          <w:sz w:val="24"/>
          <w:szCs w:val="24"/>
          <w:highlight w:val="none"/>
        </w:rPr>
        <w:t xml:space="preserve">30.签订合同</w:t>
      </w:r>
      <w:bookmarkEnd w:id="169"/>
      <w:r/>
      <w:bookmarkEnd w:id="170"/>
      <w:r/>
      <w:bookmarkEnd w:id="171"/>
      <w:r/>
      <w:r/>
    </w:p>
    <w:p>
      <w:pPr>
        <w:pStyle w:val="857"/>
        <w:ind w:firstLine="60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30.l中标人应当在中标通知书发出之日起三十日内，按照招标文件确定的事项与采购人签订政府采购合同。</w:t>
      </w:r>
      <w:r/>
    </w:p>
    <w:p>
      <w:pPr>
        <w:pStyle w:val="857"/>
        <w:ind w:firstLine="60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30.2招标文件、中标人的投标文件及招标过程中有关澄清、承诺文件均应作为合同附件。</w:t>
      </w:r>
      <w:r/>
    </w:p>
    <w:p>
      <w:pPr>
        <w:pStyle w:val="857"/>
        <w:ind w:firstLine="600"/>
        <w:jc w:val="both"/>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857"/>
        <w:ind w:firstLine="600"/>
        <w:jc w:val="both"/>
        <w:keepLines/>
        <w:keepNext/>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31、服务（包含与服务相关的货物）的追加</w:t>
      </w:r>
      <w:r/>
    </w:p>
    <w:p>
      <w:pPr>
        <w:pStyle w:val="857"/>
        <w:ind w:firstLine="480"/>
        <w:jc w:val="both"/>
        <w:pageBreakBefore w:val="0"/>
        <w:spacing w:beforeAutospacing="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57"/>
        <w:ind w:firstLine="600"/>
        <w:jc w:val="both"/>
        <w:keepLines/>
        <w:keepNext/>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32.政府采购政策功能落实</w:t>
      </w:r>
      <w:r/>
    </w:p>
    <w:p>
      <w:pPr>
        <w:pStyle w:val="857"/>
        <w:ind w:firstLine="600"/>
        <w:jc w:val="both"/>
        <w:keepLines/>
        <w:keepNext/>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pStyle w:val="857"/>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pageBreakBefore w:val="0"/>
        <w:spacing w:line="36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32.2进口产品</w:t>
      </w:r>
      <w:r/>
    </w:p>
    <w:p>
      <w:pPr>
        <w:pStyle w:val="857"/>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36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32.3中小企业、监狱企业及残疾人福利性单位</w:t>
      </w:r>
      <w:r/>
    </w:p>
    <w:p>
      <w:pPr>
        <w:pStyle w:val="857"/>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32.3.1中小企业定义：</w:t>
      </w:r>
      <w:r/>
    </w:p>
    <w:p>
      <w:pPr>
        <w:pStyle w:val="857"/>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中小企业是</w:t>
      </w:r>
      <w:r>
        <w:rPr>
          <w:rFonts w:hint="eastAsia" w:ascii="宋体" w:hAnsi="宋体" w:eastAsia="宋体" w:cs="宋体"/>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57"/>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32.3.2供应商提供的货物、工程或者服务符合下列情形的，享受中小企业扶持政策：</w:t>
      </w:r>
      <w:r/>
    </w:p>
    <w:p>
      <w:pPr>
        <w:pStyle w:val="857"/>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857"/>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32.3.2.2在工程采购项目中，工程由中小企业承建，即工程施工单位为中小企业；</w:t>
      </w:r>
      <w:r/>
    </w:p>
    <w:p>
      <w:pPr>
        <w:pStyle w:val="857"/>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857"/>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857"/>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857"/>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57"/>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32.3.6残疾人福利单位定义：享受政府采购支持政策的残疾人福利性单位应当同时满足以下条件：</w:t>
      </w:r>
      <w:r/>
    </w:p>
    <w:p>
      <w:pPr>
        <w:pStyle w:val="857"/>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32.3.6.1安置的残疾人占本单位在职职工人数的比例不低于25%（含25%），并且安置的残疾人人数不少于10 人（含10 人）；</w:t>
      </w:r>
      <w:r/>
    </w:p>
    <w:p>
      <w:pPr>
        <w:pStyle w:val="857"/>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32.3.6.2依法与安置的每位残疾人签订了一年以上（含一年）的劳动合同或服务协议；</w:t>
      </w:r>
      <w:r/>
    </w:p>
    <w:p>
      <w:pPr>
        <w:pStyle w:val="857"/>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857"/>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857"/>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857"/>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57"/>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t xml:space="preserve">》。</w:t>
      </w:r>
      <w:r/>
    </w:p>
    <w:p>
      <w:pPr>
        <w:pStyle w:val="857"/>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32.3.8采购标的对应的中小企业划分标准所属行业见第四章《采购需求》。</w:t>
      </w:r>
      <w:r/>
    </w:p>
    <w:p>
      <w:pPr>
        <w:pStyle w:val="857"/>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32.3.9小微企业价格评审优惠的政策：见第五章《评标方法和评标标准》。</w:t>
      </w:r>
      <w:r/>
    </w:p>
    <w:p>
      <w:pPr>
        <w:pStyle w:val="857"/>
        <w:ind w:firstLine="480"/>
        <w:jc w:val="both"/>
        <w:keepLines/>
        <w:keepNext/>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32.4政府采购节能产品、环境标志产品</w:t>
      </w:r>
      <w:r/>
    </w:p>
    <w:p>
      <w:pPr>
        <w:pStyle w:val="857"/>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57"/>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57"/>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32.5绿色包装</w:t>
      </w:r>
      <w:r/>
    </w:p>
    <w:p>
      <w:pPr>
        <w:pStyle w:val="857"/>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36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32.6政府采购创新产品</w:t>
      </w:r>
      <w:r/>
    </w:p>
    <w:p>
      <w:pPr>
        <w:pStyle w:val="857"/>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采购人优先采购各级政府部门公开发布的有效期内的创新产品、创新服务、首台套、首购首用等《目录》的创新产品。</w:t>
      </w:r>
      <w:r/>
    </w:p>
    <w:p>
      <w:pPr>
        <w:ind w:firstLine="482"/>
        <w:pageBreakBefore w:val="0"/>
        <w:spacing w:line="36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32.7绿色数据中心政策 </w:t>
      </w:r>
      <w:r/>
    </w:p>
    <w:p>
      <w:pPr>
        <w:pStyle w:val="857"/>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32.8实施本国产品标准及相关政策</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1.本项目对采购本国产品给予政策支持，具体内容见招标文件“第五章 评标方法与评标标准”。</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ascii="SimSun" w:hAnsi="SimSun" w:eastAsia="SimSun" w:cs="SimSun"/>
          <w:b/>
          <w:color w:val="ff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rPr>
          <w:sz w:val="21"/>
        </w:rPr>
      </w:r>
      <w:r/>
    </w:p>
    <w:p>
      <w:pPr>
        <w:ind w:firstLine="482"/>
        <w:pageBreakBefore w:val="0"/>
        <w:spacing w:line="36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32.9履约保证金政策</w:t>
      </w:r>
      <w:r/>
    </w:p>
    <w:p>
      <w:pPr>
        <w:pStyle w:val="857"/>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确需收取履约保证金的，履约保证金的缴纳形式：</w:t>
      </w:r>
      <w:r/>
    </w:p>
    <w:p>
      <w:pPr>
        <w:pStyle w:val="857"/>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57"/>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如以履约保函（保险）形式缴纳履约保证金，供应商可通过政府采购电子履约保函（保险）平台（www.jsdzbh.com）在线申请履约保函（保险）。</w:t>
      </w:r>
      <w:r/>
    </w:p>
    <w:p>
      <w:pPr>
        <w:pStyle w:val="857"/>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szCs w:val="24"/>
          <w:highlight w:val="yellow"/>
          <w:lang w:val="en-US" w:eastAsia="zh-CN"/>
        </w:rPr>
        <w:t xml:space="preserve">履约保证金金额</w:t>
      </w:r>
      <w:r>
        <w:rPr>
          <w:rFonts w:hint="eastAsia" w:ascii="宋体" w:hAnsi="宋体" w:eastAsia="宋体" w:cs="宋体"/>
          <w:color w:val="auto"/>
          <w:sz w:val="24"/>
          <w:szCs w:val="24"/>
          <w:highlight w:val="yellow"/>
          <w:u w:val="single"/>
          <w:lang w:val="en-US" w:eastAsia="zh-CN"/>
        </w:rPr>
        <w:t xml:space="preserve">10000元</w:t>
      </w:r>
      <w:r>
        <w:rPr>
          <w:rFonts w:hint="eastAsia" w:ascii="宋体" w:hAnsi="宋体" w:eastAsia="宋体" w:cs="宋体"/>
          <w:color w:val="000000"/>
          <w:sz w:val="24"/>
          <w:szCs w:val="24"/>
          <w:highlight w:val="none"/>
          <w:lang w:val="en-US" w:eastAsia="zh-CN"/>
        </w:rPr>
        <w:t xml:space="preserve">，采购人对第三方信用服务机构依据标准规范评定为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857"/>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 预付款制度</w:t>
      </w:r>
      <w:r/>
    </w:p>
    <w:p>
      <w:pPr>
        <w:pStyle w:val="857"/>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本项目落实预付款制度，预付款比例为</w:t>
      </w:r>
      <w:r>
        <w:rPr>
          <w:rFonts w:hint="eastAsia" w:ascii="宋体" w:hAnsi="宋体" w:eastAsia="宋体" w:cs="宋体"/>
          <w:color w:val="ff0000"/>
          <w:sz w:val="24"/>
          <w:szCs w:val="24"/>
          <w:highlight w:val="none"/>
          <w:u w:val="single"/>
          <w:lang w:val="en-US" w:eastAsia="zh-CN"/>
        </w:rPr>
        <w:t xml:space="preserve">30</w:t>
      </w:r>
      <w:r>
        <w:rPr>
          <w:rFonts w:hint="eastAsia" w:ascii="宋体" w:hAnsi="宋体" w:eastAsia="宋体" w:cs="宋体"/>
          <w:color w:val="ff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。在签订合同时，中标、成交供应商明确书面表示无需预付款或者主动要求降低预付款比例的，采购人可就预付款比例作相应调整。</w:t>
      </w:r>
      <w:r/>
    </w:p>
    <w:p>
      <w:pPr>
        <w:pStyle w:val="857"/>
        <w:jc w:val="center"/>
        <w:keepNext/>
        <w:pageBreakBefore w:val="0"/>
        <w:spacing w:beforeAutospacing="0" w:afterAutospacing="0" w:line="240" w:lineRule="auto"/>
        <w:rPr>
          <w:rFonts w:ascii="黑体" w:hAnsi="宋体" w:eastAsia="黑体" w:cs="黑体"/>
          <w:color w:val="000000"/>
          <w:sz w:val="44"/>
          <w:szCs w:val="44"/>
          <w:highlight w:val="none"/>
        </w:rPr>
      </w:pPr>
      <w:r>
        <w:rPr>
          <w:rFonts w:ascii="黑体" w:hAnsi="宋体" w:eastAsia="黑体" w:cs="黑体"/>
          <w:color w:val="000000"/>
          <w:sz w:val="44"/>
          <w:szCs w:val="44"/>
          <w:highlight w:val="none"/>
        </w:rPr>
      </w:r>
      <w:r/>
    </w:p>
    <w:p>
      <w:pPr>
        <w:pageBreakBefore w:val="0"/>
        <w:spacing w:line="240" w:lineRule="auto"/>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pStyle w:val="857"/>
        <w:jc w:val="center"/>
        <w:keepNext/>
        <w:spacing w:beforeAutospacing="0" w:afterAutospacing="0" w:line="360" w:lineRule="auto"/>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第三章  合同文本</w:t>
      </w:r>
      <w:r/>
    </w:p>
    <w:p>
      <w:pPr>
        <w:pStyle w:val="857"/>
        <w:ind w:firstLine="480"/>
        <w:jc w:val="both"/>
        <w:keepLines w:val="0"/>
        <w:keepNext w:val="0"/>
        <w:pageBreakBefore w:val="0"/>
        <w:spacing w:beforeAutospacing="0" w:afterAutospacing="0" w:line="240" w:lineRule="auto"/>
        <w:widowControl w:val="off"/>
        <w:rPr>
          <w:sz w:val="24"/>
          <w:szCs w:val="24"/>
          <w:highlight w:val="none"/>
        </w:rPr>
      </w:pPr>
      <w:r/>
      <w:bookmarkStart w:id="172" w:name="_Toc513029243"/>
      <w:r/>
      <w:bookmarkStart w:id="173" w:name="_Toc16938559"/>
      <w:r/>
      <w:bookmarkStart w:id="174" w:name="_Toc20823315"/>
      <w:r>
        <w:rPr>
          <w:rFonts w:hint="eastAsia" w:ascii="宋体" w:hAnsi="宋体" w:eastAsia="宋体" w:cs="宋体"/>
          <w:color w:val="000000"/>
          <w:sz w:val="24"/>
          <w:szCs w:val="24"/>
          <w:highlight w:val="none"/>
        </w:rPr>
        <w:t xml:space="preserve">以下为中标后</w:t>
      </w:r>
      <w:r>
        <w:rPr>
          <w:rFonts w:hint="eastAsia" w:ascii="宋体" w:hAnsi="宋体" w:eastAsia="宋体" w:cs="宋体"/>
          <w:color w:val="000000"/>
          <w:sz w:val="24"/>
          <w:szCs w:val="24"/>
          <w:highlight w:val="none"/>
          <w:lang w:eastAsia="zh-CN"/>
        </w:rPr>
        <w:t xml:space="preserve">签订</w:t>
      </w:r>
      <w:r>
        <w:rPr>
          <w:rFonts w:hint="eastAsia" w:ascii="宋体" w:hAnsi="宋体" w:eastAsia="宋体" w:cs="宋体"/>
          <w:color w:val="000000"/>
          <w:sz w:val="24"/>
          <w:szCs w:val="24"/>
          <w:highlight w:val="none"/>
        </w:rPr>
        <w:t xml:space="preserve">本项目合同的通用条款，中标人不得提出实质性的修改。</w:t>
      </w:r>
      <w:bookmarkEnd w:id="172"/>
      <w:r/>
      <w:bookmarkEnd w:id="173"/>
      <w:r/>
      <w:bookmarkEnd w:id="174"/>
      <w:r/>
      <w:r/>
    </w:p>
    <w:p>
      <w:pPr>
        <w:pStyle w:val="857"/>
        <w:jc w:val="center"/>
        <w:spacing w:before="145" w:beforeAutospacing="0" w:after="145" w:afterAutospacing="0"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盐城市政府采购合同（服务）</w:t>
      </w:r>
      <w:r>
        <w:rPr>
          <w:rFonts w:hint="eastAsia" w:ascii="宋体" w:hAnsi="宋体" w:eastAsia="宋体" w:cs="宋体"/>
          <w:b/>
          <w:color w:val="auto"/>
          <w:sz w:val="30"/>
          <w:szCs w:val="30"/>
          <w:highlight w:val="none"/>
          <w:lang w:val="en-US" w:eastAsia="zh-CN"/>
        </w:rPr>
        <w:t xml:space="preserve">（采购包***）</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u w:val="none"/>
          <w:lang w:val="en-US" w:eastAsia="zh-CN"/>
        </w:rPr>
        <w:t xml:space="preserve">2026年东台市二轮土地承包到期再延长三十年第三方服务项目</w:t>
      </w:r>
      <w:r/>
    </w:p>
    <w:p>
      <w:pPr>
        <w:pStyle w:val="857"/>
        <w:ind w:firstLine="480"/>
        <w:jc w:val="both"/>
        <w:keepLines w:val="0"/>
        <w:keepNext w:val="0"/>
        <w:pageBreakBefore w:val="0"/>
        <w:spacing w:beforeAutospacing="0" w:afterAutospacing="0" w:line="360" w:lineRule="exact"/>
        <w:widowControl w:val="off"/>
        <w:rPr>
          <w:sz w:val="24"/>
          <w:szCs w:val="24"/>
          <w:highlight w:val="none"/>
        </w:rPr>
      </w:pPr>
      <w:r>
        <w:rPr>
          <w:rFonts w:hint="eastAsia" w:ascii="宋体" w:hAnsi="宋体" w:eastAsia="宋体" w:cs="宋体"/>
          <w:color w:val="000000"/>
          <w:sz w:val="24"/>
          <w:szCs w:val="24"/>
          <w:highlight w:val="none"/>
        </w:rPr>
        <w:t xml:space="preserve">项目编号：</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甲方：（买方）</w:t>
      </w:r>
      <w:r>
        <w:rPr>
          <w:rFonts w:hint="eastAsia" w:ascii="宋体" w:hAnsi="宋体" w:eastAsia="宋体" w:cs="宋体"/>
          <w:color w:val="000000"/>
          <w:sz w:val="24"/>
          <w:szCs w:val="24"/>
          <w:highlight w:val="none"/>
          <w:u w:val="single"/>
          <w:lang w:eastAsia="zh-CN"/>
        </w:rPr>
        <w:t xml:space="preserve">东台市农业农村局</w:t>
      </w:r>
      <w:r/>
    </w:p>
    <w:p>
      <w:pPr>
        <w:pStyle w:val="857"/>
        <w:ind w:firstLine="480"/>
        <w:jc w:val="both"/>
        <w:keepLines w:val="0"/>
        <w:keepNext w:val="0"/>
        <w:pageBreakBefore w:val="0"/>
        <w:spacing w:beforeAutospacing="0" w:afterAutospacing="0" w:line="360" w:lineRule="exact"/>
        <w:widowControl w:val="off"/>
        <w:rPr>
          <w:rFonts w:hint="default" w:eastAsia="宋体"/>
          <w:sz w:val="24"/>
          <w:szCs w:val="24"/>
          <w:highlight w:val="none"/>
          <w:lang w:val="en-US" w:eastAsia="zh-CN"/>
        </w:rPr>
      </w:pPr>
      <w:r>
        <w:rPr>
          <w:rFonts w:hint="eastAsia" w:ascii="宋体" w:hAnsi="宋体" w:eastAsia="宋体" w:cs="宋体"/>
          <w:color w:val="000000"/>
          <w:sz w:val="24"/>
          <w:szCs w:val="24"/>
          <w:highlight w:val="none"/>
        </w:rPr>
        <w:t xml:space="preserve">乙方：（卖方）</w:t>
      </w:r>
      <w:r>
        <w:rPr>
          <w:rFonts w:hint="eastAsia" w:ascii="宋体" w:hAnsi="宋体" w:eastAsia="宋体" w:cs="宋体"/>
          <w:color w:val="000000"/>
          <w:sz w:val="24"/>
          <w:szCs w:val="24"/>
          <w:highlight w:val="none"/>
          <w:u w:val="single"/>
          <w:lang w:val="en-US" w:eastAsia="zh-CN"/>
        </w:rPr>
        <w:t xml:space="preserve">                </w:t>
      </w:r>
      <w:r/>
    </w:p>
    <w:p>
      <w:pPr>
        <w:pStyle w:val="857"/>
        <w:ind w:firstLine="480"/>
        <w:jc w:val="both"/>
        <w:keepLines w:val="0"/>
        <w:keepNext w:val="0"/>
        <w:pageBreakBefore w:val="0"/>
        <w:spacing w:beforeAutospacing="0" w:afterAutospacing="0" w:line="360" w:lineRule="exact"/>
        <w:widowControl w:val="off"/>
        <w:rPr>
          <w:sz w:val="24"/>
          <w:szCs w:val="24"/>
          <w:highlight w:val="none"/>
        </w:rPr>
      </w:pP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szCs w:val="24"/>
          <w:highlight w:val="none"/>
          <w:u w:val="none"/>
          <w:lang w:val="en-US" w:eastAsia="zh-CN"/>
        </w:rPr>
        <w:t xml:space="preserve">2026年东台市二轮土地承包到期再延长三十年第三方服务项目</w:t>
      </w:r>
      <w:r>
        <w:rPr>
          <w:rFonts w:hint="eastAsia" w:ascii="宋体" w:hAnsi="宋体" w:eastAsia="宋体" w:cs="宋体"/>
          <w:color w:val="000000"/>
          <w:sz w:val="24"/>
          <w:szCs w:val="24"/>
          <w:highlight w:val="none"/>
        </w:rPr>
        <w:t xml:space="preserve">项目公开招标的结果，签署本合同。</w:t>
      </w:r>
      <w:r/>
    </w:p>
    <w:p>
      <w:pPr>
        <w:pStyle w:val="857"/>
        <w:ind w:firstLine="482"/>
        <w:jc w:val="both"/>
        <w:keepLines w:val="0"/>
        <w:keepNext w:val="0"/>
        <w:pageBreakBefore w:val="0"/>
        <w:spacing w:beforeAutospacing="0" w:afterAutospacing="0" w:line="360" w:lineRule="exact"/>
        <w:widowControl w:val="off"/>
        <w:rPr>
          <w:sz w:val="24"/>
          <w:szCs w:val="24"/>
          <w:highlight w:val="none"/>
        </w:rPr>
      </w:pPr>
      <w:r>
        <w:rPr>
          <w:rFonts w:hint="eastAsia" w:ascii="宋体" w:hAnsi="宋体" w:eastAsia="宋体" w:cs="宋体"/>
          <w:b/>
          <w:color w:val="000000"/>
          <w:sz w:val="24"/>
          <w:szCs w:val="24"/>
          <w:highlight w:val="none"/>
        </w:rPr>
        <w:t xml:space="preserve">一、合同内容</w:t>
      </w:r>
      <w:r/>
    </w:p>
    <w:p>
      <w:pPr>
        <w:pStyle w:val="857"/>
        <w:ind w:firstLine="480"/>
        <w:jc w:val="both"/>
        <w:keepLines w:val="0"/>
        <w:keepNext w:val="0"/>
        <w:pageBreakBefore w:val="0"/>
        <w:spacing w:beforeAutospacing="0" w:afterAutospacing="0" w:line="360" w:lineRule="exact"/>
        <w:widowControl w:val="off"/>
        <w:rPr>
          <w:sz w:val="24"/>
          <w:szCs w:val="24"/>
          <w:highlight w:val="none"/>
        </w:rPr>
      </w:pPr>
      <w:r>
        <w:rPr>
          <w:rFonts w:hint="eastAsia" w:ascii="宋体" w:hAnsi="宋体" w:eastAsia="宋体" w:cs="宋体"/>
          <w:color w:val="000000"/>
          <w:sz w:val="24"/>
          <w:szCs w:val="24"/>
          <w:highlight w:val="none"/>
        </w:rPr>
        <w:t xml:space="preserve">1.1 标的名称：</w:t>
      </w:r>
      <w:r>
        <w:rPr>
          <w:rFonts w:hint="eastAsia" w:ascii="宋体" w:hAnsi="宋体" w:eastAsia="宋体" w:cs="宋体"/>
          <w:color w:val="000000"/>
          <w:sz w:val="24"/>
          <w:szCs w:val="24"/>
          <w:highlight w:val="none"/>
          <w:u w:val="none"/>
          <w:lang w:val="en-US" w:eastAsia="zh-CN"/>
        </w:rPr>
        <w:t xml:space="preserve">2026年东台市二轮土地承包到期再延长三十年第三方服务项目</w:t>
      </w:r>
      <w:r/>
    </w:p>
    <w:p>
      <w:pPr>
        <w:pStyle w:val="857"/>
        <w:ind w:firstLine="480"/>
        <w:jc w:val="both"/>
        <w:keepLines w:val="0"/>
        <w:keepNext w:val="0"/>
        <w:pageBreakBefore w:val="0"/>
        <w:spacing w:beforeAutospacing="0" w:afterAutospacing="0" w:line="360" w:lineRule="exact"/>
        <w:widowControl w:val="off"/>
        <w:rPr>
          <w:sz w:val="24"/>
          <w:szCs w:val="24"/>
          <w:highlight w:val="none"/>
        </w:rPr>
      </w:pPr>
      <w:r>
        <w:rPr>
          <w:rFonts w:hint="eastAsia" w:ascii="宋体" w:hAnsi="宋体" w:eastAsia="宋体" w:cs="宋体"/>
          <w:color w:val="000000"/>
          <w:sz w:val="24"/>
          <w:szCs w:val="24"/>
          <w:highlight w:val="none"/>
        </w:rPr>
        <w:t xml:space="preserve">1.2标的质量：</w:t>
      </w:r>
      <w:r>
        <w:rPr>
          <w:rFonts w:hint="eastAsia" w:ascii="宋体" w:hAnsi="宋体" w:eastAsia="宋体" w:cs="宋体"/>
          <w:color w:val="000000"/>
          <w:sz w:val="24"/>
          <w:szCs w:val="24"/>
          <w:highlight w:val="none"/>
          <w:u w:val="none"/>
          <w:lang w:val="en-US" w:eastAsia="zh-CN"/>
        </w:rPr>
        <w:t xml:space="preserve">项目成果需符合国家、省、市、行业相关标准，并根据要求通过采购人组织的专家组验收。</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1.3 标的数量（规模）：</w:t>
      </w:r>
      <w:r>
        <w:rPr>
          <w:rFonts w:hint="eastAsia" w:ascii="宋体" w:hAnsi="宋体" w:eastAsia="宋体" w:cs="宋体"/>
          <w:color w:val="000000"/>
          <w:sz w:val="24"/>
          <w:szCs w:val="24"/>
          <w:highlight w:val="none"/>
          <w:lang w:val="en-US" w:eastAsia="zh-CN"/>
        </w:rPr>
        <w:t xml:space="preserve">东台市第二轮土地承包到期后再延长30年试点，现需聘请具备资质的第三方，对3镇26村的延包试点工作进行服务，包括但不限于：业务培训、资料收集、摸底核实、实测指界、制定方案、完善调查数据、数据修改入库、资料输出打印、审核公示、签订合同、完善证书、资料归档、材料装档汇交等工作。</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rPr>
        <w:t xml:space="preserve">1.4 履行时间（期限）：</w:t>
      </w:r>
      <w:r>
        <w:rPr>
          <w:rFonts w:hint="eastAsia" w:ascii="宋体" w:hAnsi="宋体" w:eastAsia="宋体" w:cs="宋体"/>
          <w:color w:val="000000"/>
          <w:sz w:val="24"/>
          <w:szCs w:val="24"/>
          <w:highlight w:val="none"/>
          <w:u w:val="none"/>
          <w:lang w:val="en-US" w:eastAsia="zh-CN"/>
        </w:rPr>
        <w:t xml:space="preserve">项目截止</w:t>
      </w:r>
      <w:r>
        <w:rPr>
          <w:rFonts w:hint="eastAsia" w:ascii="宋体" w:hAnsi="宋体" w:eastAsia="宋体" w:cs="宋体"/>
          <w:color w:val="ff0000"/>
          <w:sz w:val="24"/>
          <w:szCs w:val="24"/>
          <w:highlight w:val="none"/>
          <w:u w:val="none"/>
          <w:lang w:val="en-US" w:eastAsia="zh-CN"/>
        </w:rPr>
        <w:t xml:space="preserve">   年   月   日</w:t>
      </w:r>
      <w:r>
        <w:rPr>
          <w:rFonts w:hint="eastAsia" w:ascii="宋体" w:hAnsi="宋体" w:eastAsia="宋体" w:cs="宋体"/>
          <w:color w:val="000000"/>
          <w:sz w:val="24"/>
          <w:szCs w:val="24"/>
          <w:highlight w:val="none"/>
          <w:u w:val="none"/>
          <w:lang w:val="en-US" w:eastAsia="zh-CN"/>
        </w:rPr>
        <w:t xml:space="preserve">完成，（开始时间以签定合同日期为准），具体实施内容及进度根据东台市农业农村局实际工作进度安排实施。</w:t>
      </w:r>
      <w:r/>
    </w:p>
    <w:p>
      <w:pPr>
        <w:pStyle w:val="857"/>
        <w:ind w:firstLine="480"/>
        <w:jc w:val="both"/>
        <w:keepLines w:val="0"/>
        <w:keepNext w:val="0"/>
        <w:pageBreakBefore w:val="0"/>
        <w:spacing w:beforeAutospacing="0" w:afterAutospacing="0" w:line="360" w:lineRule="exact"/>
        <w:widowControl w:val="off"/>
        <w:rPr>
          <w:rFonts w:hint="eastAsia" w:eastAsia="宋体"/>
          <w:sz w:val="24"/>
          <w:szCs w:val="24"/>
          <w:highlight w:val="none"/>
          <w:lang w:eastAsia="zh-CN"/>
        </w:rPr>
      </w:pPr>
      <w:r>
        <w:rPr>
          <w:rFonts w:hint="eastAsia" w:ascii="宋体" w:hAnsi="宋体" w:eastAsia="宋体" w:cs="宋体"/>
          <w:color w:val="000000"/>
          <w:sz w:val="24"/>
          <w:szCs w:val="24"/>
          <w:highlight w:val="none"/>
        </w:rPr>
        <w:t xml:space="preserve">1.5 履行地点：</w:t>
      </w:r>
      <w:r>
        <w:rPr>
          <w:rFonts w:hint="eastAsia" w:ascii="宋体" w:hAnsi="宋体" w:eastAsia="宋体" w:cs="宋体"/>
          <w:color w:val="000000"/>
          <w:sz w:val="24"/>
          <w:szCs w:val="24"/>
          <w:highlight w:val="none"/>
          <w:lang w:eastAsia="zh-CN"/>
        </w:rPr>
        <w:t xml:space="preserve">东台市</w:t>
      </w:r>
      <w:r/>
    </w:p>
    <w:p>
      <w:pPr>
        <w:pStyle w:val="857"/>
        <w:ind w:firstLine="480"/>
        <w:jc w:val="both"/>
        <w:keepLines w:val="0"/>
        <w:keepNext w:val="0"/>
        <w:pageBreakBefore w:val="0"/>
        <w:spacing w:beforeAutospacing="0" w:afterAutospacing="0" w:line="360" w:lineRule="exact"/>
        <w:widowControl w:val="off"/>
        <w:rPr>
          <w:rFonts w:hint="eastAsia" w:eastAsia="宋体"/>
          <w:sz w:val="24"/>
          <w:szCs w:val="24"/>
          <w:highlight w:val="none"/>
          <w:lang w:eastAsia="zh-CN"/>
        </w:rPr>
      </w:pPr>
      <w:r>
        <w:rPr>
          <w:rFonts w:hint="eastAsia" w:ascii="宋体" w:hAnsi="宋体" w:eastAsia="宋体" w:cs="宋体"/>
          <w:color w:val="000000"/>
          <w:sz w:val="24"/>
          <w:szCs w:val="24"/>
          <w:highlight w:val="none"/>
        </w:rPr>
        <w:t xml:space="preserve">1.6履行方式：</w:t>
      </w:r>
      <w:r>
        <w:rPr>
          <w:rFonts w:hint="eastAsia" w:ascii="宋体" w:hAnsi="宋体" w:eastAsia="宋体" w:cs="宋体"/>
          <w:color w:val="000000"/>
          <w:sz w:val="24"/>
          <w:szCs w:val="24"/>
          <w:highlight w:val="none"/>
          <w:lang w:eastAsia="zh-CN"/>
        </w:rPr>
        <w:t xml:space="preserve">完全履行</w:t>
      </w:r>
      <w:r/>
    </w:p>
    <w:p>
      <w:pPr>
        <w:pStyle w:val="857"/>
        <w:ind w:firstLine="482"/>
        <w:jc w:val="both"/>
        <w:keepLines w:val="0"/>
        <w:keepNext w:val="0"/>
        <w:pageBreakBefore w:val="0"/>
        <w:spacing w:beforeAutospacing="0" w:afterAutospacing="0" w:line="360" w:lineRule="exact"/>
        <w:widowControl w:val="off"/>
        <w:rPr>
          <w:sz w:val="24"/>
          <w:szCs w:val="24"/>
          <w:highlight w:val="none"/>
        </w:rPr>
      </w:pPr>
      <w:r>
        <w:rPr>
          <w:rFonts w:hint="eastAsia" w:ascii="宋体" w:hAnsi="宋体" w:eastAsia="宋体" w:cs="宋体"/>
          <w:b/>
          <w:color w:val="000000"/>
          <w:sz w:val="24"/>
          <w:szCs w:val="24"/>
          <w:highlight w:val="none"/>
        </w:rPr>
        <w:t xml:space="preserve">二、合同金额</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2.1本合同金额为（大写）：_________</w:t>
      </w:r>
      <w:r>
        <w:rPr>
          <w:rFonts w:hint="eastAsia" w:ascii="宋体" w:hAnsi="宋体" w:eastAsia="宋体" w:cs="宋体"/>
          <w:color w:val="000000"/>
          <w:sz w:val="24"/>
          <w:szCs w:val="24"/>
          <w:highlight w:val="none"/>
          <w:lang w:val="en-US" w:eastAsia="zh-CN"/>
        </w:rPr>
        <w:t xml:space="preserve">元</w:t>
      </w:r>
      <w:r>
        <w:rPr>
          <w:rFonts w:hint="eastAsia" w:ascii="宋体" w:hAnsi="宋体" w:eastAsia="宋体" w:cs="宋体"/>
          <w:color w:val="000000"/>
          <w:sz w:val="24"/>
          <w:szCs w:val="24"/>
          <w:highlight w:val="none"/>
        </w:rPr>
        <w:t xml:space="preserve">（_________元）人民币或其他币种。</w:t>
      </w:r>
      <w:r/>
    </w:p>
    <w:p>
      <w:pPr>
        <w:pStyle w:val="857"/>
        <w:ind w:firstLine="482"/>
        <w:jc w:val="both"/>
        <w:keepLines w:val="0"/>
        <w:keepNext w:val="0"/>
        <w:pageBreakBefore w:val="0"/>
        <w:spacing w:beforeAutospacing="0" w:afterAutospacing="0" w:line="360" w:lineRule="exact"/>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三、采购需求</w:t>
      </w:r>
      <w:r/>
    </w:p>
    <w:p>
      <w:pPr>
        <w:pStyle w:val="857"/>
        <w:jc w:val="center"/>
        <w:keepLines w:val="0"/>
        <w:keepNext w:val="0"/>
        <w:pageBreakBefore w:val="0"/>
        <w:spacing w:beforeAutospacing="0" w:afterAutospacing="0" w:line="360" w:lineRule="exact"/>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镇村摸排表（</w:t>
      </w:r>
      <w:r>
        <w:rPr>
          <w:rFonts w:hint="eastAsia" w:ascii="宋体" w:hAnsi="宋体" w:eastAsia="宋体" w:cs="宋体"/>
          <w:b/>
          <w:color w:val="000000"/>
          <w:sz w:val="24"/>
          <w:szCs w:val="24"/>
          <w:highlight w:val="none"/>
          <w:lang w:val="en-US" w:eastAsia="zh-CN"/>
        </w:rPr>
        <w:t xml:space="preserve">标段信息</w:t>
      </w:r>
      <w:r>
        <w:rPr>
          <w:rFonts w:hint="eastAsia" w:ascii="宋体" w:hAnsi="宋体" w:eastAsia="宋体" w:cs="宋体"/>
          <w:b/>
          <w:color w:val="000000"/>
          <w:sz w:val="24"/>
          <w:szCs w:val="24"/>
          <w:highlight w:val="none"/>
          <w:lang w:eastAsia="zh-CN"/>
        </w:rPr>
        <w:t xml:space="preserve">）</w:t>
      </w:r>
      <w:r/>
    </w:p>
    <w:tbl>
      <w:tblPr>
        <w:tblStyle w:val="85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1"/>
        <w:gridCol w:w="1061"/>
        <w:gridCol w:w="1264"/>
        <w:gridCol w:w="1091"/>
        <w:gridCol w:w="1093"/>
        <w:gridCol w:w="1722"/>
        <w:gridCol w:w="1335"/>
      </w:tblGrid>
      <w:tr>
        <w:trPr>
          <w:jc w:val="center"/>
          <w:trHeight w:val="690"/>
        </w:trPr>
        <w:tc>
          <w:tcPr>
            <w:shd w:val="clear" w:color="auto" w:fill="auto"/>
            <w:tcW w:w="558" w:type="pct"/>
            <w:vAlign w:val="center"/>
            <w:textDirection w:val="lrTb"/>
            <w:noWrap w:val="false"/>
          </w:tcPr>
          <w:p>
            <w:pPr>
              <w:pStyle w:val="857"/>
              <w:ind w:left="0" w:right="0" w:firstLine="0"/>
              <w:jc w:val="center"/>
              <w:keepLines w:val="0"/>
              <w:keepNext w:val="0"/>
              <w:pageBreakBefore w:val="0"/>
              <w:spacing w:beforeAutospacing="0" w:afterAutospacing="0" w:line="360" w:lineRule="exact"/>
              <w:widowControl w:val="off"/>
              <w:rPr>
                <w:rFonts w:hint="eastAsia" w:ascii="宋体" w:hAnsi="宋体" w:eastAsia="宋体" w:cs="宋体"/>
                <w:b/>
                <w:color w:val="000000"/>
                <w:sz w:val="24"/>
                <w:szCs w:val="24"/>
                <w:highlight w:val="none"/>
                <w:vertAlign w:val="baseline"/>
                <w:lang w:val="en-US" w:eastAsia="zh-CN" w:bidi="ar-SA"/>
              </w:rPr>
            </w:pPr>
            <w:r>
              <w:rPr>
                <w:rFonts w:hint="eastAsia" w:ascii="宋体" w:hAnsi="宋体" w:eastAsia="宋体" w:cs="宋体"/>
                <w:b/>
                <w:color w:val="000000"/>
                <w:sz w:val="24"/>
                <w:szCs w:val="24"/>
                <w:highlight w:val="none"/>
                <w:vertAlign w:val="baseline"/>
                <w:lang w:eastAsia="zh-CN"/>
              </w:rPr>
              <w:t xml:space="preserve">标段号</w:t>
            </w:r>
            <w:r/>
          </w:p>
        </w:tc>
        <w:tc>
          <w:tcPr>
            <w:shd w:val="clear" w:color="auto" w:fill="auto"/>
            <w:tcW w:w="622" w:type="pct"/>
            <w:vAlign w:val="center"/>
            <w:textDirection w:val="lrTb"/>
            <w:noWrap w:val="false"/>
          </w:tcPr>
          <w:p>
            <w:pPr>
              <w:pStyle w:val="857"/>
              <w:ind w:left="0" w:right="0" w:firstLine="0"/>
              <w:jc w:val="center"/>
              <w:keepLines w:val="0"/>
              <w:keepNext w:val="0"/>
              <w:pageBreakBefore w:val="0"/>
              <w:spacing w:beforeAutospacing="0" w:afterAutospacing="0" w:line="360" w:lineRule="exact"/>
              <w:widowControl w:val="off"/>
              <w:rPr>
                <w:rFonts w:hint="eastAsia" w:ascii="宋体" w:hAnsi="宋体" w:eastAsia="宋体" w:cs="宋体"/>
                <w:b/>
                <w:color w:val="000000"/>
                <w:sz w:val="24"/>
                <w:szCs w:val="24"/>
                <w:highlight w:val="none"/>
                <w:vertAlign w:val="baseline"/>
                <w:lang w:val="en-US" w:eastAsia="zh-CN" w:bidi="ar-SA"/>
              </w:rPr>
            </w:pPr>
            <w:r>
              <w:rPr>
                <w:rFonts w:hint="eastAsia" w:ascii="宋体" w:hAnsi="宋体" w:eastAsia="宋体" w:cs="宋体"/>
                <w:b/>
                <w:color w:val="000000"/>
                <w:sz w:val="24"/>
                <w:szCs w:val="24"/>
                <w:highlight w:val="none"/>
                <w:vertAlign w:val="baseline"/>
                <w:lang w:eastAsia="zh-CN"/>
              </w:rPr>
              <w:t xml:space="preserve">镇区</w:t>
            </w:r>
            <w:r/>
          </w:p>
        </w:tc>
        <w:tc>
          <w:tcPr>
            <w:shd w:val="clear" w:color="auto" w:fill="auto"/>
            <w:tcW w:w="741" w:type="pct"/>
            <w:vAlign w:val="center"/>
            <w:textDirection w:val="lrTb"/>
            <w:noWrap w:val="false"/>
          </w:tcPr>
          <w:p>
            <w:pPr>
              <w:pStyle w:val="857"/>
              <w:ind w:left="0" w:right="0" w:firstLine="0"/>
              <w:jc w:val="center"/>
              <w:keepLines w:val="0"/>
              <w:keepNext w:val="0"/>
              <w:pageBreakBefore w:val="0"/>
              <w:spacing w:beforeAutospacing="0" w:afterAutospacing="0" w:line="360" w:lineRule="exact"/>
              <w:widowControl w:val="off"/>
              <w:rPr>
                <w:rFonts w:hint="eastAsia" w:ascii="宋体" w:hAnsi="宋体" w:eastAsia="宋体" w:cs="宋体"/>
                <w:b/>
                <w:color w:val="000000"/>
                <w:sz w:val="24"/>
                <w:szCs w:val="24"/>
                <w:highlight w:val="none"/>
                <w:vertAlign w:val="baseline"/>
                <w:lang w:val="en-US" w:eastAsia="zh-CN" w:bidi="ar-SA"/>
              </w:rPr>
            </w:pPr>
            <w:r>
              <w:rPr>
                <w:rFonts w:hint="eastAsia" w:ascii="宋体" w:hAnsi="宋体" w:eastAsia="宋体" w:cs="宋体"/>
                <w:b/>
                <w:color w:val="000000"/>
                <w:sz w:val="24"/>
                <w:szCs w:val="24"/>
                <w:highlight w:val="none"/>
                <w:vertAlign w:val="baseline"/>
                <w:lang w:eastAsia="zh-CN"/>
              </w:rPr>
              <w:t xml:space="preserve">试点镇</w:t>
            </w:r>
            <w:r/>
          </w:p>
        </w:tc>
        <w:tc>
          <w:tcPr>
            <w:shd w:val="clear" w:color="auto" w:fill="auto"/>
            <w:tcW w:w="640" w:type="pct"/>
            <w:vAlign w:val="center"/>
            <w:textDirection w:val="lrTb"/>
            <w:noWrap w:val="false"/>
          </w:tcPr>
          <w:p>
            <w:pPr>
              <w:pStyle w:val="857"/>
              <w:ind w:left="0" w:right="0" w:firstLine="0"/>
              <w:jc w:val="center"/>
              <w:keepLines w:val="0"/>
              <w:keepNext w:val="0"/>
              <w:pageBreakBefore w:val="0"/>
              <w:spacing w:beforeAutospacing="0" w:afterAutospacing="0" w:line="360" w:lineRule="exact"/>
              <w:widowControl w:val="off"/>
              <w:rPr>
                <w:rFonts w:hint="eastAsia" w:ascii="宋体" w:hAnsi="宋体" w:eastAsia="宋体" w:cs="宋体"/>
                <w:b/>
                <w:color w:val="000000"/>
                <w:sz w:val="24"/>
                <w:szCs w:val="24"/>
                <w:highlight w:val="none"/>
                <w:vertAlign w:val="baseline"/>
                <w:lang w:val="en-US" w:eastAsia="zh-CN" w:bidi="ar-SA"/>
              </w:rPr>
            </w:pPr>
            <w:r>
              <w:rPr>
                <w:rFonts w:hint="eastAsia" w:ascii="宋体" w:hAnsi="宋体" w:eastAsia="宋体" w:cs="宋体"/>
                <w:b/>
                <w:color w:val="000000"/>
                <w:sz w:val="24"/>
                <w:szCs w:val="24"/>
                <w:highlight w:val="none"/>
                <w:vertAlign w:val="baseline"/>
                <w:lang w:eastAsia="zh-CN"/>
              </w:rPr>
              <w:t xml:space="preserve">试点村</w:t>
            </w:r>
            <w:r/>
          </w:p>
        </w:tc>
        <w:tc>
          <w:tcPr>
            <w:shd w:val="clear" w:color="auto" w:fill="auto"/>
            <w:tcW w:w="641" w:type="pct"/>
            <w:vAlign w:val="center"/>
            <w:textDirection w:val="lrTb"/>
            <w:noWrap w:val="false"/>
          </w:tcPr>
          <w:p>
            <w:pPr>
              <w:pStyle w:val="857"/>
              <w:ind w:left="0" w:right="0" w:firstLine="0"/>
              <w:jc w:val="center"/>
              <w:keepLines w:val="0"/>
              <w:keepNext w:val="0"/>
              <w:pageBreakBefore w:val="0"/>
              <w:spacing w:beforeAutospacing="0" w:afterAutospacing="0" w:line="360" w:lineRule="exact"/>
              <w:widowControl w:val="off"/>
              <w:rPr>
                <w:rFonts w:hint="eastAsia" w:ascii="宋体" w:hAnsi="宋体" w:eastAsia="宋体" w:cs="宋体"/>
                <w:b/>
                <w:color w:val="000000"/>
                <w:sz w:val="24"/>
                <w:szCs w:val="24"/>
                <w:highlight w:val="none"/>
                <w:vertAlign w:val="baseline"/>
                <w:lang w:val="en-US" w:eastAsia="zh-CN" w:bidi="ar-SA"/>
              </w:rPr>
            </w:pPr>
            <w:r>
              <w:rPr>
                <w:rFonts w:hint="eastAsia" w:ascii="宋体" w:hAnsi="宋体" w:eastAsia="宋体" w:cs="宋体"/>
                <w:b/>
                <w:color w:val="000000"/>
                <w:sz w:val="24"/>
                <w:szCs w:val="24"/>
                <w:highlight w:val="none"/>
                <w:vertAlign w:val="baseline"/>
                <w:lang w:eastAsia="zh-CN"/>
              </w:rPr>
              <w:t xml:space="preserve">二轮承包</w:t>
            </w:r>
            <w:r/>
          </w:p>
        </w:tc>
        <w:tc>
          <w:tcPr>
            <w:shd w:val="clear" w:color="auto" w:fill="auto"/>
            <w:tcW w:w="1010" w:type="pct"/>
            <w:vAlign w:val="center"/>
            <w:textDirection w:val="lrTb"/>
            <w:noWrap w:val="false"/>
          </w:tcPr>
          <w:p>
            <w:pPr>
              <w:pStyle w:val="857"/>
              <w:ind w:left="0" w:right="0" w:firstLine="0"/>
              <w:jc w:val="center"/>
              <w:keepLines w:val="0"/>
              <w:keepNext w:val="0"/>
              <w:pageBreakBefore w:val="0"/>
              <w:spacing w:beforeAutospacing="0" w:afterAutospacing="0" w:line="360" w:lineRule="exact"/>
              <w:widowControl w:val="off"/>
              <w:rPr>
                <w:rFonts w:hint="eastAsia" w:ascii="宋体" w:hAnsi="宋体" w:eastAsia="宋体" w:cs="宋体"/>
                <w:b/>
                <w:color w:val="000000"/>
                <w:sz w:val="24"/>
                <w:szCs w:val="24"/>
                <w:highlight w:val="none"/>
                <w:vertAlign w:val="baseline"/>
                <w:lang w:val="en-US" w:eastAsia="zh-CN" w:bidi="ar-SA"/>
              </w:rPr>
            </w:pPr>
            <w:r>
              <w:rPr>
                <w:rFonts w:hint="eastAsia" w:ascii="宋体" w:hAnsi="宋体" w:eastAsia="宋体" w:cs="宋体"/>
                <w:b/>
                <w:color w:val="000000"/>
                <w:sz w:val="24"/>
                <w:szCs w:val="24"/>
                <w:highlight w:val="none"/>
                <w:vertAlign w:val="baseline"/>
                <w:lang w:eastAsia="zh-CN"/>
              </w:rPr>
              <w:t xml:space="preserve">二轮承包总人口</w:t>
            </w:r>
            <w:r/>
          </w:p>
        </w:tc>
        <w:tc>
          <w:tcPr>
            <w:shd w:val="clear" w:color="auto" w:fill="auto"/>
            <w:tcW w:w="783" w:type="pct"/>
            <w:vAlign w:val="center"/>
            <w:textDirection w:val="lrTb"/>
            <w:noWrap w:val="false"/>
          </w:tcPr>
          <w:p>
            <w:pPr>
              <w:pStyle w:val="857"/>
              <w:ind w:left="0" w:right="0" w:firstLine="0"/>
              <w:jc w:val="center"/>
              <w:keepLines w:val="0"/>
              <w:keepNext w:val="0"/>
              <w:pageBreakBefore w:val="0"/>
              <w:spacing w:beforeAutospacing="0" w:afterAutospacing="0" w:line="360" w:lineRule="exact"/>
              <w:widowControl w:val="off"/>
              <w:rPr>
                <w:rFonts w:hint="eastAsia" w:ascii="宋体" w:hAnsi="宋体" w:eastAsia="宋体" w:cs="宋体"/>
                <w:b/>
                <w:color w:val="000000"/>
                <w:sz w:val="24"/>
                <w:szCs w:val="24"/>
                <w:highlight w:val="none"/>
                <w:vertAlign w:val="baseline"/>
                <w:lang w:val="en-US" w:eastAsia="zh-CN" w:bidi="ar-SA"/>
              </w:rPr>
            </w:pPr>
            <w:r>
              <w:rPr>
                <w:rFonts w:hint="eastAsia" w:ascii="宋体" w:hAnsi="宋体" w:eastAsia="宋体" w:cs="宋体"/>
                <w:b/>
                <w:color w:val="000000"/>
                <w:sz w:val="24"/>
                <w:szCs w:val="24"/>
                <w:highlight w:val="none"/>
                <w:vertAlign w:val="baseline"/>
                <w:lang w:eastAsia="zh-CN"/>
              </w:rPr>
              <w:t xml:space="preserve">二轮承包总面积</w:t>
            </w:r>
            <w:r/>
          </w:p>
        </w:tc>
      </w:tr>
      <w:tr>
        <w:trPr>
          <w:jc w:val="center"/>
        </w:trPr>
        <w:tc>
          <w:tcPr>
            <w:tcW w:w="558" w:type="pct"/>
            <w:vAlign w:val="center"/>
            <w:textDirection w:val="lrTb"/>
            <w:noWrap w:val="false"/>
          </w:tcPr>
          <w:p>
            <w:pPr>
              <w:jc w:val="center"/>
              <w:keepLines w:val="0"/>
              <w:pageBreakBefore w:val="0"/>
              <w:spacing w:line="360" w:lineRule="exact"/>
              <w:rPr>
                <w:rFonts w:hint="eastAsia" w:ascii="宋体" w:hAnsi="宋体" w:eastAsia="宋体" w:cs="宋体"/>
                <w:b/>
                <w:bCs w:val="0"/>
                <w:color w:val="000000"/>
                <w:sz w:val="24"/>
                <w:szCs w:val="24"/>
                <w:highlight w:val="none"/>
                <w:vertAlign w:val="baseline"/>
                <w:lang w:eastAsia="zh-CN"/>
              </w:rPr>
            </w:pPr>
            <w:r>
              <w:rPr>
                <w:rFonts w:hint="eastAsia" w:ascii="宋体" w:hAnsi="宋体" w:eastAsia="宋体" w:cs="宋体"/>
                <w:b/>
                <w:bCs w:val="0"/>
                <w:color w:val="000000"/>
                <w:sz w:val="21"/>
                <w:szCs w:val="21"/>
                <w:highlight w:val="none"/>
                <w:vertAlign w:val="baseline"/>
                <w:lang w:eastAsia="zh-CN"/>
              </w:rPr>
              <w:t xml:space="preserve">采购包一</w:t>
            </w:r>
            <w:r/>
          </w:p>
        </w:tc>
        <w:tc>
          <w:tcPr>
            <w:tcW w:w="622"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val="0"/>
                <w:bCs/>
                <w:color w:val="000000"/>
                <w:sz w:val="21"/>
                <w:szCs w:val="21"/>
                <w:highlight w:val="none"/>
                <w:vertAlign w:val="baseline"/>
                <w:lang w:eastAsia="zh-CN"/>
              </w:rPr>
              <w:t xml:space="preserve">梁垛镇</w:t>
            </w:r>
            <w:r/>
          </w:p>
        </w:tc>
        <w:tc>
          <w:tcPr>
            <w:tcW w:w="741"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val="0"/>
                <w:bCs/>
                <w:color w:val="000000"/>
                <w:sz w:val="21"/>
                <w:szCs w:val="21"/>
                <w:highlight w:val="none"/>
                <w:vertAlign w:val="baseline"/>
                <w:lang w:eastAsia="zh-CN"/>
              </w:rPr>
              <w:t xml:space="preserve">梁垛镇</w:t>
            </w:r>
            <w:r/>
          </w:p>
        </w:tc>
        <w:tc>
          <w:tcPr>
            <w:tcW w:w="640"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641"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val="0"/>
                <w:bCs/>
                <w:color w:val="000000"/>
                <w:sz w:val="21"/>
                <w:szCs w:val="21"/>
                <w:highlight w:val="none"/>
                <w:vertAlign w:val="baseline"/>
                <w:lang w:val="en-US" w:eastAsia="zh-CN"/>
              </w:rPr>
              <w:t xml:space="preserve">25450</w:t>
            </w:r>
            <w:r/>
          </w:p>
        </w:tc>
        <w:tc>
          <w:tcPr>
            <w:tcW w:w="1010"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val="0"/>
                <w:bCs/>
                <w:color w:val="000000"/>
                <w:sz w:val="21"/>
                <w:szCs w:val="21"/>
                <w:highlight w:val="none"/>
                <w:vertAlign w:val="baseline"/>
                <w:lang w:val="en-US" w:eastAsia="zh-CN"/>
              </w:rPr>
              <w:t xml:space="preserve">78432</w:t>
            </w:r>
            <w:r/>
          </w:p>
        </w:tc>
        <w:tc>
          <w:tcPr>
            <w:tcW w:w="783"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val="0"/>
                <w:bCs/>
                <w:color w:val="000000"/>
                <w:sz w:val="21"/>
                <w:szCs w:val="21"/>
                <w:highlight w:val="none"/>
                <w:vertAlign w:val="baseline"/>
                <w:lang w:val="en-US" w:eastAsia="zh-CN"/>
              </w:rPr>
              <w:t xml:space="preserve">92265.27</w:t>
            </w:r>
            <w:r/>
          </w:p>
        </w:tc>
      </w:tr>
      <w:tr>
        <w:trPr>
          <w:jc w:val="center"/>
        </w:trPr>
        <w:tc>
          <w:tcPr>
            <w:tcW w:w="558" w:type="pct"/>
            <w:vAlign w:val="center"/>
            <w:textDirection w:val="lrTb"/>
            <w:noWrap w:val="false"/>
          </w:tcPr>
          <w:p>
            <w:pPr>
              <w:jc w:val="center"/>
              <w:keepLines w:val="0"/>
              <w:pageBreakBefore w:val="0"/>
              <w:spacing w:line="360" w:lineRule="exact"/>
              <w:rPr>
                <w:rFonts w:hint="eastAsia" w:ascii="宋体" w:hAnsi="宋体" w:eastAsia="宋体" w:cs="宋体"/>
                <w:b/>
                <w:bCs w:val="0"/>
                <w:color w:val="000000"/>
                <w:sz w:val="24"/>
                <w:szCs w:val="24"/>
                <w:highlight w:val="none"/>
                <w:vertAlign w:val="baseline"/>
                <w:lang w:eastAsia="zh-CN"/>
              </w:rPr>
            </w:pPr>
            <w:r>
              <w:rPr>
                <w:rFonts w:hint="eastAsia" w:ascii="宋体" w:hAnsi="宋体" w:eastAsia="宋体" w:cs="宋体"/>
                <w:b/>
                <w:bCs w:val="0"/>
                <w:color w:val="000000"/>
                <w:sz w:val="21"/>
                <w:szCs w:val="21"/>
                <w:highlight w:val="none"/>
                <w:vertAlign w:val="baseline"/>
                <w:lang w:eastAsia="zh-CN"/>
              </w:rPr>
              <w:t xml:space="preserve">采购包二</w:t>
            </w:r>
            <w:r/>
          </w:p>
        </w:tc>
        <w:tc>
          <w:tcPr>
            <w:tcW w:w="622"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val="0"/>
                <w:bCs/>
                <w:color w:val="000000"/>
                <w:sz w:val="21"/>
                <w:szCs w:val="21"/>
                <w:highlight w:val="none"/>
                <w:vertAlign w:val="baseline"/>
                <w:lang w:eastAsia="zh-CN"/>
              </w:rPr>
              <w:t xml:space="preserve">三仓镇</w:t>
            </w:r>
            <w:r/>
          </w:p>
        </w:tc>
        <w:tc>
          <w:tcPr>
            <w:tcW w:w="741"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val="0"/>
                <w:bCs/>
                <w:color w:val="000000"/>
                <w:sz w:val="21"/>
                <w:szCs w:val="21"/>
                <w:highlight w:val="none"/>
                <w:vertAlign w:val="baseline"/>
                <w:lang w:eastAsia="zh-CN"/>
              </w:rPr>
              <w:t xml:space="preserve">三仓镇</w:t>
            </w:r>
            <w:r/>
          </w:p>
        </w:tc>
        <w:tc>
          <w:tcPr>
            <w:tcW w:w="640"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641"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val="0"/>
                <w:bCs/>
                <w:color w:val="000000"/>
                <w:sz w:val="21"/>
                <w:szCs w:val="21"/>
                <w:highlight w:val="none"/>
                <w:vertAlign w:val="baseline"/>
                <w:lang w:val="en-US" w:eastAsia="zh-CN"/>
              </w:rPr>
              <w:t xml:space="preserve">22908</w:t>
            </w:r>
            <w:r/>
          </w:p>
        </w:tc>
        <w:tc>
          <w:tcPr>
            <w:tcW w:w="1010"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val="0"/>
                <w:bCs/>
                <w:color w:val="000000"/>
                <w:sz w:val="21"/>
                <w:szCs w:val="21"/>
                <w:highlight w:val="none"/>
                <w:vertAlign w:val="baseline"/>
                <w:lang w:val="en-US" w:eastAsia="zh-CN"/>
              </w:rPr>
              <w:t xml:space="preserve">63941</w:t>
            </w:r>
            <w:r/>
          </w:p>
        </w:tc>
        <w:tc>
          <w:tcPr>
            <w:tcW w:w="783"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val="0"/>
                <w:bCs/>
                <w:color w:val="000000"/>
                <w:sz w:val="21"/>
                <w:szCs w:val="21"/>
                <w:highlight w:val="none"/>
                <w:vertAlign w:val="baseline"/>
                <w:lang w:val="en-US" w:eastAsia="zh-CN"/>
              </w:rPr>
              <w:t xml:space="preserve">133241.135</w:t>
            </w:r>
            <w:r/>
          </w:p>
        </w:tc>
      </w:tr>
      <w:tr>
        <w:trPr>
          <w:jc w:val="center"/>
        </w:trPr>
        <w:tc>
          <w:tcPr>
            <w:tcW w:w="558" w:type="pct"/>
            <w:vAlign w:val="center"/>
            <w:vMerge w:val="restart"/>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t xml:space="preserve">采购包三</w:t>
            </w:r>
            <w:r/>
          </w:p>
        </w:tc>
        <w:tc>
          <w:tcPr>
            <w:tcW w:w="622" w:type="pct"/>
            <w:vAlign w:val="center"/>
            <w:vMerge w:val="restart"/>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val="0"/>
                <w:bCs/>
                <w:color w:val="000000"/>
                <w:sz w:val="21"/>
                <w:szCs w:val="21"/>
                <w:highlight w:val="none"/>
                <w:vertAlign w:val="baseline"/>
                <w:lang w:eastAsia="zh-CN"/>
              </w:rPr>
              <w:t xml:space="preserve">溱东镇</w:t>
            </w:r>
            <w:r/>
          </w:p>
        </w:tc>
        <w:tc>
          <w:tcPr>
            <w:tcW w:w="741"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640"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val="0"/>
                <w:bCs/>
                <w:color w:val="000000"/>
                <w:sz w:val="21"/>
                <w:szCs w:val="21"/>
                <w:highlight w:val="none"/>
                <w:vertAlign w:val="baseline"/>
                <w:lang w:eastAsia="zh-CN"/>
              </w:rPr>
              <w:t xml:space="preserve">鲍庄村</w:t>
            </w:r>
            <w:r/>
          </w:p>
        </w:tc>
        <w:tc>
          <w:tcPr>
            <w:tcW w:w="641"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val="0"/>
                <w:bCs/>
                <w:color w:val="000000"/>
                <w:sz w:val="21"/>
                <w:szCs w:val="21"/>
                <w:highlight w:val="none"/>
                <w:vertAlign w:val="baseline"/>
                <w:lang w:val="en-US" w:eastAsia="zh-CN"/>
              </w:rPr>
              <w:t xml:space="preserve">920</w:t>
            </w:r>
            <w:r/>
          </w:p>
        </w:tc>
        <w:tc>
          <w:tcPr>
            <w:tcW w:w="1010"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val="0"/>
                <w:bCs/>
                <w:color w:val="000000"/>
                <w:sz w:val="21"/>
                <w:szCs w:val="21"/>
                <w:highlight w:val="none"/>
                <w:vertAlign w:val="baseline"/>
                <w:lang w:val="en-US" w:eastAsia="zh-CN"/>
              </w:rPr>
              <w:t xml:space="preserve">2840</w:t>
            </w:r>
            <w:r/>
          </w:p>
        </w:tc>
        <w:tc>
          <w:tcPr>
            <w:tcW w:w="783"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val="0"/>
                <w:bCs/>
                <w:color w:val="000000"/>
                <w:sz w:val="21"/>
                <w:szCs w:val="21"/>
                <w:highlight w:val="none"/>
                <w:vertAlign w:val="baseline"/>
                <w:lang w:val="en-US" w:eastAsia="zh-CN"/>
              </w:rPr>
              <w:t xml:space="preserve">4356.97</w:t>
            </w:r>
            <w:r/>
          </w:p>
        </w:tc>
      </w:tr>
      <w:tr>
        <w:trPr>
          <w:jc w:val="center"/>
          <w:trHeight w:val="302"/>
        </w:trPr>
        <w:tc>
          <w:tcPr>
            <w:tcW w:w="558"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622"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741"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64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夏龙村</w:t>
            </w:r>
            <w:r/>
          </w:p>
        </w:tc>
        <w:tc>
          <w:tcPr>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647</w:t>
            </w:r>
            <w:r/>
          </w:p>
        </w:tc>
        <w:tc>
          <w:tcPr>
            <w:shd w:val="clear" w:color="auto" w:fill="auto"/>
            <w:tcW w:w="101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1910</w:t>
            </w:r>
            <w:r/>
          </w:p>
        </w:tc>
        <w:tc>
          <w:tcPr>
            <w:shd w:val="clear" w:color="auto" w:fill="auto"/>
            <w:tcW w:w="783"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3049.811</w:t>
            </w:r>
            <w:r/>
          </w:p>
        </w:tc>
      </w:tr>
      <w:tr>
        <w:trPr>
          <w:jc w:val="center"/>
        </w:trPr>
        <w:tc>
          <w:tcPr>
            <w:tcW w:w="558"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622" w:type="pct"/>
            <w:vAlign w:val="center"/>
            <w:vMerge w:val="restart"/>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val="0"/>
                <w:bCs/>
                <w:color w:val="000000"/>
                <w:sz w:val="21"/>
                <w:szCs w:val="21"/>
                <w:highlight w:val="none"/>
                <w:vertAlign w:val="baseline"/>
                <w:lang w:eastAsia="zh-CN"/>
              </w:rPr>
              <w:t xml:space="preserve">时堰镇</w:t>
            </w:r>
            <w:r/>
          </w:p>
        </w:tc>
        <w:tc>
          <w:tcPr>
            <w:tcW w:w="741"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shd w:val="clear" w:color="auto" w:fill="auto"/>
            <w:tcW w:w="64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建东村</w:t>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412</w:t>
            </w:r>
            <w:r/>
          </w:p>
        </w:tc>
        <w:tc>
          <w:tcPr>
            <w:shd w:val="clear" w:color="auto" w:fill="auto"/>
            <w:tcW w:w="101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1305</w:t>
            </w:r>
            <w:r/>
          </w:p>
        </w:tc>
        <w:tc>
          <w:tcPr>
            <w:shd w:val="clear" w:color="auto" w:fill="auto"/>
            <w:tcW w:w="783"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1348.23</w:t>
            </w:r>
            <w:r/>
          </w:p>
        </w:tc>
      </w:tr>
      <w:tr>
        <w:trPr>
          <w:jc w:val="center"/>
        </w:trPr>
        <w:tc>
          <w:tcPr>
            <w:tcW w:w="558"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622"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741"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shd w:val="clear" w:color="auto" w:fill="auto"/>
            <w:tcW w:w="64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存山村</w:t>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329</w:t>
            </w:r>
            <w:r/>
          </w:p>
        </w:tc>
        <w:tc>
          <w:tcPr>
            <w:shd w:val="clear" w:color="auto" w:fill="auto"/>
            <w:tcW w:w="101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1251</w:t>
            </w:r>
            <w:r/>
          </w:p>
        </w:tc>
        <w:tc>
          <w:tcPr>
            <w:shd w:val="clear" w:color="auto" w:fill="auto"/>
            <w:tcW w:w="783"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1142.76</w:t>
            </w:r>
            <w:r/>
          </w:p>
        </w:tc>
      </w:tr>
      <w:tr>
        <w:trPr>
          <w:jc w:val="center"/>
        </w:trPr>
        <w:tc>
          <w:tcPr>
            <w:tcW w:w="558"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622" w:type="pct"/>
            <w:vAlign w:val="center"/>
            <w:vMerge w:val="restart"/>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val="0"/>
                <w:bCs/>
                <w:color w:val="000000"/>
                <w:sz w:val="21"/>
                <w:szCs w:val="21"/>
                <w:highlight w:val="none"/>
                <w:vertAlign w:val="baseline"/>
                <w:lang w:eastAsia="zh-CN"/>
              </w:rPr>
              <w:t xml:space="preserve">五烈镇</w:t>
            </w:r>
            <w:r/>
          </w:p>
        </w:tc>
        <w:tc>
          <w:tcPr>
            <w:tcW w:w="741"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shd w:val="clear" w:color="auto" w:fill="auto"/>
            <w:tcW w:w="64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摹云村</w:t>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693</w:t>
            </w:r>
            <w:r/>
          </w:p>
        </w:tc>
        <w:tc>
          <w:tcPr>
            <w:shd w:val="clear" w:color="auto" w:fill="auto"/>
            <w:tcW w:w="101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2184</w:t>
            </w:r>
            <w:r/>
          </w:p>
        </w:tc>
        <w:tc>
          <w:tcPr>
            <w:shd w:val="clear" w:color="auto" w:fill="auto"/>
            <w:tcW w:w="783"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2671</w:t>
            </w:r>
            <w:r/>
          </w:p>
        </w:tc>
      </w:tr>
      <w:tr>
        <w:trPr>
          <w:jc w:val="center"/>
        </w:trPr>
        <w:tc>
          <w:tcPr>
            <w:tcW w:w="558"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622"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741"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shd w:val="clear" w:color="auto" w:fill="auto"/>
            <w:tcW w:w="64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四新村</w:t>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938</w:t>
            </w:r>
            <w:r/>
          </w:p>
        </w:tc>
        <w:tc>
          <w:tcPr>
            <w:shd w:val="clear" w:color="auto" w:fill="auto"/>
            <w:tcW w:w="101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2520</w:t>
            </w:r>
            <w:r/>
          </w:p>
        </w:tc>
        <w:tc>
          <w:tcPr>
            <w:shd w:val="clear" w:color="auto" w:fill="auto"/>
            <w:tcW w:w="783"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3643</w:t>
            </w:r>
            <w:r/>
          </w:p>
        </w:tc>
      </w:tr>
      <w:tr>
        <w:trPr>
          <w:jc w:val="center"/>
        </w:trPr>
        <w:tc>
          <w:tcPr>
            <w:tcW w:w="558"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622"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741"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shd w:val="clear" w:color="auto" w:fill="auto"/>
            <w:tcW w:w="64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谢庄村</w:t>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1055</w:t>
            </w:r>
            <w:r/>
          </w:p>
        </w:tc>
        <w:tc>
          <w:tcPr>
            <w:shd w:val="clear" w:color="auto" w:fill="auto"/>
            <w:tcW w:w="101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2794</w:t>
            </w:r>
            <w:r/>
          </w:p>
        </w:tc>
        <w:tc>
          <w:tcPr>
            <w:shd w:val="clear" w:color="auto" w:fill="auto"/>
            <w:tcW w:w="783"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3670</w:t>
            </w:r>
            <w:r/>
          </w:p>
        </w:tc>
      </w:tr>
      <w:tr>
        <w:trPr>
          <w:jc w:val="center"/>
        </w:trPr>
        <w:tc>
          <w:tcPr>
            <w:tcW w:w="558"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622"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741"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shd w:val="clear" w:color="auto" w:fill="auto"/>
            <w:tcW w:w="64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祁联村</w:t>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1447</w:t>
            </w:r>
            <w:r/>
          </w:p>
        </w:tc>
        <w:tc>
          <w:tcPr>
            <w:shd w:val="clear" w:color="auto" w:fill="auto"/>
            <w:tcW w:w="101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4063</w:t>
            </w:r>
            <w:r/>
          </w:p>
        </w:tc>
        <w:tc>
          <w:tcPr>
            <w:shd w:val="clear" w:color="auto" w:fill="auto"/>
            <w:tcW w:w="783"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5165</w:t>
            </w:r>
            <w:r/>
          </w:p>
        </w:tc>
      </w:tr>
      <w:tr>
        <w:trPr>
          <w:jc w:val="center"/>
        </w:trPr>
        <w:tc>
          <w:tcPr>
            <w:tcW w:w="558"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622"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741"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shd w:val="clear" w:color="auto" w:fill="auto"/>
            <w:tcW w:w="64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博岳村</w:t>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1498</w:t>
            </w:r>
            <w:r/>
          </w:p>
        </w:tc>
        <w:tc>
          <w:tcPr>
            <w:shd w:val="clear" w:color="auto" w:fill="auto"/>
            <w:tcW w:w="101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4494</w:t>
            </w:r>
            <w:r/>
          </w:p>
        </w:tc>
        <w:tc>
          <w:tcPr>
            <w:shd w:val="clear" w:color="auto" w:fill="auto"/>
            <w:tcW w:w="783"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4875</w:t>
            </w:r>
            <w:r/>
          </w:p>
        </w:tc>
      </w:tr>
      <w:tr>
        <w:trPr>
          <w:jc w:val="center"/>
        </w:trPr>
        <w:tc>
          <w:tcPr>
            <w:tcW w:w="558"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622"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741"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shd w:val="clear" w:color="auto" w:fill="auto"/>
            <w:tcW w:w="64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廉贻村</w:t>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1491</w:t>
            </w:r>
            <w:r/>
          </w:p>
        </w:tc>
        <w:tc>
          <w:tcPr>
            <w:shd w:val="clear" w:color="auto" w:fill="auto"/>
            <w:tcW w:w="101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4943</w:t>
            </w:r>
            <w:r/>
          </w:p>
        </w:tc>
        <w:tc>
          <w:tcPr>
            <w:shd w:val="clear" w:color="auto" w:fill="auto"/>
            <w:tcW w:w="783"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6013</w:t>
            </w:r>
            <w:r/>
          </w:p>
        </w:tc>
      </w:tr>
      <w:tr>
        <w:trPr>
          <w:jc w:val="center"/>
        </w:trPr>
        <w:tc>
          <w:tcPr>
            <w:tcW w:w="558"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622" w:type="pct"/>
            <w:vAlign w:val="center"/>
            <w:vMerge w:val="restart"/>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val="0"/>
                <w:bCs/>
                <w:color w:val="000000"/>
                <w:sz w:val="21"/>
                <w:szCs w:val="21"/>
                <w:highlight w:val="none"/>
                <w:vertAlign w:val="baseline"/>
                <w:lang w:eastAsia="zh-CN"/>
              </w:rPr>
              <w:t xml:space="preserve">安丰镇</w:t>
            </w:r>
            <w:r/>
          </w:p>
        </w:tc>
        <w:tc>
          <w:tcPr>
            <w:tcW w:w="741"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shd w:val="clear" w:color="auto" w:fill="auto"/>
            <w:tcW w:w="64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五进村</w:t>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650</w:t>
            </w:r>
            <w:r/>
          </w:p>
        </w:tc>
        <w:tc>
          <w:tcPr>
            <w:shd w:val="clear" w:color="auto" w:fill="auto"/>
            <w:tcW w:w="101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1978</w:t>
            </w:r>
            <w:r/>
          </w:p>
        </w:tc>
        <w:tc>
          <w:tcPr>
            <w:shd w:val="clear" w:color="auto" w:fill="auto"/>
            <w:tcW w:w="783"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2789</w:t>
            </w:r>
            <w:r/>
          </w:p>
        </w:tc>
      </w:tr>
      <w:tr>
        <w:trPr>
          <w:jc w:val="center"/>
        </w:trPr>
        <w:tc>
          <w:tcPr>
            <w:tcW w:w="558"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622"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741"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shd w:val="clear" w:color="auto" w:fill="auto"/>
            <w:tcW w:w="64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通榆村</w:t>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888</w:t>
            </w:r>
            <w:r/>
          </w:p>
        </w:tc>
        <w:tc>
          <w:tcPr>
            <w:shd w:val="clear" w:color="auto" w:fill="auto"/>
            <w:tcW w:w="101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2866</w:t>
            </w:r>
            <w:r/>
          </w:p>
        </w:tc>
        <w:tc>
          <w:tcPr>
            <w:shd w:val="clear" w:color="auto" w:fill="auto"/>
            <w:tcW w:w="783"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3488.18</w:t>
            </w:r>
            <w:r/>
          </w:p>
        </w:tc>
      </w:tr>
      <w:tr>
        <w:trPr>
          <w:jc w:val="center"/>
        </w:trPr>
        <w:tc>
          <w:tcPr>
            <w:tcW w:w="558"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622" w:type="pct"/>
            <w:vAlign w:val="center"/>
            <w:vMerge w:val="restart"/>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val="0"/>
                <w:bCs/>
                <w:color w:val="000000"/>
                <w:sz w:val="21"/>
                <w:szCs w:val="21"/>
                <w:highlight w:val="none"/>
                <w:vertAlign w:val="baseline"/>
                <w:lang w:eastAsia="zh-CN"/>
              </w:rPr>
              <w:t xml:space="preserve">富安镇</w:t>
            </w:r>
            <w:r/>
          </w:p>
        </w:tc>
        <w:tc>
          <w:tcPr>
            <w:tcW w:w="741"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shd w:val="clear" w:color="auto" w:fill="auto"/>
            <w:tcW w:w="64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久胜村</w:t>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1167</w:t>
            </w:r>
            <w:r/>
          </w:p>
        </w:tc>
        <w:tc>
          <w:tcPr>
            <w:shd w:val="clear" w:color="auto" w:fill="auto"/>
            <w:tcW w:w="101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3601</w:t>
            </w:r>
            <w:r/>
          </w:p>
        </w:tc>
        <w:tc>
          <w:tcPr>
            <w:shd w:val="clear" w:color="auto" w:fill="auto"/>
            <w:tcW w:w="783"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6579.33</w:t>
            </w:r>
            <w:r/>
          </w:p>
        </w:tc>
      </w:tr>
      <w:tr>
        <w:trPr>
          <w:jc w:val="center"/>
        </w:trPr>
        <w:tc>
          <w:tcPr>
            <w:tcW w:w="558"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622"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741"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shd w:val="clear" w:color="auto" w:fill="auto"/>
            <w:tcW w:w="64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富民村</w:t>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1273</w:t>
            </w:r>
            <w:r/>
          </w:p>
        </w:tc>
        <w:tc>
          <w:tcPr>
            <w:shd w:val="clear" w:color="auto" w:fill="auto"/>
            <w:tcW w:w="101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4340</w:t>
            </w:r>
            <w:r/>
          </w:p>
        </w:tc>
        <w:tc>
          <w:tcPr>
            <w:shd w:val="clear" w:color="auto" w:fill="auto"/>
            <w:tcW w:w="783"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7322.09</w:t>
            </w:r>
            <w:r/>
          </w:p>
        </w:tc>
      </w:tr>
      <w:tr>
        <w:trPr>
          <w:jc w:val="center"/>
        </w:trPr>
        <w:tc>
          <w:tcPr>
            <w:tcW w:w="558"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622" w:type="pct"/>
            <w:vAlign w:val="center"/>
            <w:vMerge w:val="restart"/>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val="0"/>
                <w:bCs/>
                <w:color w:val="000000"/>
                <w:sz w:val="21"/>
                <w:szCs w:val="21"/>
                <w:highlight w:val="none"/>
                <w:vertAlign w:val="baseline"/>
                <w:lang w:eastAsia="zh-CN"/>
              </w:rPr>
              <w:t xml:space="preserve">南沈灶村</w:t>
            </w:r>
            <w:r/>
          </w:p>
        </w:tc>
        <w:tc>
          <w:tcPr>
            <w:tcW w:w="741"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shd w:val="clear" w:color="auto" w:fill="auto"/>
            <w:tcW w:w="64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晨光村</w:t>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779</w:t>
            </w:r>
            <w:r/>
          </w:p>
        </w:tc>
        <w:tc>
          <w:tcPr>
            <w:shd w:val="clear" w:color="auto" w:fill="auto"/>
            <w:tcW w:w="101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2302</w:t>
            </w:r>
            <w:r/>
          </w:p>
        </w:tc>
        <w:tc>
          <w:tcPr>
            <w:shd w:val="clear" w:color="auto" w:fill="auto"/>
            <w:tcW w:w="783"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4363.17</w:t>
            </w:r>
            <w:r/>
          </w:p>
        </w:tc>
      </w:tr>
      <w:tr>
        <w:trPr>
          <w:jc w:val="center"/>
        </w:trPr>
        <w:tc>
          <w:tcPr>
            <w:tcW w:w="558"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622"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741"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shd w:val="clear" w:color="auto" w:fill="auto"/>
            <w:tcW w:w="64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才琴村</w:t>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790</w:t>
            </w:r>
            <w:r/>
          </w:p>
        </w:tc>
        <w:tc>
          <w:tcPr>
            <w:shd w:val="clear" w:color="auto" w:fill="auto"/>
            <w:tcW w:w="101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2466</w:t>
            </w:r>
            <w:r/>
          </w:p>
        </w:tc>
        <w:tc>
          <w:tcPr>
            <w:shd w:val="clear" w:color="auto" w:fill="auto"/>
            <w:tcW w:w="783"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3814.65</w:t>
            </w:r>
            <w:r/>
          </w:p>
        </w:tc>
      </w:tr>
      <w:tr>
        <w:trPr>
          <w:jc w:val="center"/>
        </w:trPr>
        <w:tc>
          <w:tcPr>
            <w:tcW w:w="558"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622" w:type="pct"/>
            <w:vAlign w:val="center"/>
            <w:vMerge w:val="restart"/>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val="0"/>
                <w:bCs/>
                <w:color w:val="000000"/>
                <w:sz w:val="21"/>
                <w:szCs w:val="21"/>
                <w:highlight w:val="none"/>
                <w:vertAlign w:val="baseline"/>
                <w:lang w:eastAsia="zh-CN"/>
              </w:rPr>
              <w:t xml:space="preserve">东台镇</w:t>
            </w:r>
            <w:r/>
          </w:p>
        </w:tc>
        <w:tc>
          <w:tcPr>
            <w:tcW w:w="741"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shd w:val="clear" w:color="auto" w:fill="auto"/>
            <w:tcW w:w="64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富旗村</w:t>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1038</w:t>
            </w:r>
            <w:r/>
          </w:p>
        </w:tc>
        <w:tc>
          <w:tcPr>
            <w:shd w:val="clear" w:color="auto" w:fill="auto"/>
            <w:tcW w:w="101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2914</w:t>
            </w:r>
            <w:r/>
          </w:p>
        </w:tc>
        <w:tc>
          <w:tcPr>
            <w:shd w:val="clear" w:color="auto" w:fill="auto"/>
            <w:tcW w:w="783"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5070</w:t>
            </w:r>
            <w:r/>
          </w:p>
        </w:tc>
      </w:tr>
      <w:tr>
        <w:trPr>
          <w:jc w:val="center"/>
        </w:trPr>
        <w:tc>
          <w:tcPr>
            <w:tcW w:w="558"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622"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741"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shd w:val="clear" w:color="auto" w:fill="auto"/>
            <w:tcW w:w="64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华灶村</w:t>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910</w:t>
            </w:r>
            <w:r/>
          </w:p>
        </w:tc>
        <w:tc>
          <w:tcPr>
            <w:shd w:val="clear" w:color="auto" w:fill="auto"/>
            <w:tcW w:w="101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2560</w:t>
            </w:r>
            <w:r/>
          </w:p>
        </w:tc>
        <w:tc>
          <w:tcPr>
            <w:shd w:val="clear" w:color="auto" w:fill="auto"/>
            <w:tcW w:w="783"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4850</w:t>
            </w:r>
            <w:r/>
          </w:p>
        </w:tc>
      </w:tr>
      <w:tr>
        <w:trPr>
          <w:jc w:val="center"/>
        </w:trPr>
        <w:tc>
          <w:tcPr>
            <w:tcW w:w="558"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shd w:val="clear" w:color="auto" w:fill="auto"/>
            <w:tcW w:w="622"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经济开发区</w:t>
            </w:r>
            <w:r/>
          </w:p>
        </w:tc>
        <w:tc>
          <w:tcPr>
            <w:shd w:val="clear" w:color="auto" w:fill="auto"/>
            <w:tcW w:w="7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r>
            <w:r/>
          </w:p>
        </w:tc>
        <w:tc>
          <w:tcPr>
            <w:shd w:val="clear" w:color="auto" w:fill="auto"/>
            <w:tcW w:w="64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双新村</w:t>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809</w:t>
            </w:r>
            <w:r/>
          </w:p>
        </w:tc>
        <w:tc>
          <w:tcPr>
            <w:shd w:val="clear" w:color="auto" w:fill="auto"/>
            <w:tcW w:w="101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2280.7</w:t>
            </w:r>
            <w:r/>
          </w:p>
        </w:tc>
        <w:tc>
          <w:tcPr>
            <w:shd w:val="clear" w:color="auto" w:fill="auto"/>
            <w:tcW w:w="783"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3768.303</w:t>
            </w:r>
            <w:r/>
          </w:p>
        </w:tc>
      </w:tr>
      <w:tr>
        <w:trPr>
          <w:jc w:val="center"/>
        </w:trPr>
        <w:tc>
          <w:tcPr>
            <w:tcW w:w="558"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shd w:val="clear" w:color="auto" w:fill="auto"/>
            <w:tcW w:w="622"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高新区</w:t>
            </w:r>
            <w:r/>
          </w:p>
        </w:tc>
        <w:tc>
          <w:tcPr>
            <w:shd w:val="clear" w:color="auto" w:fill="auto"/>
            <w:tcW w:w="7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r>
            <w:r/>
          </w:p>
        </w:tc>
        <w:tc>
          <w:tcPr>
            <w:shd w:val="clear" w:color="auto" w:fill="auto"/>
            <w:tcW w:w="64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钱陈社区</w:t>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1123</w:t>
            </w:r>
            <w:r/>
          </w:p>
        </w:tc>
        <w:tc>
          <w:tcPr>
            <w:shd w:val="clear" w:color="auto" w:fill="auto"/>
            <w:tcW w:w="101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3678</w:t>
            </w:r>
            <w:r/>
          </w:p>
        </w:tc>
        <w:tc>
          <w:tcPr>
            <w:shd w:val="clear" w:color="auto" w:fill="auto"/>
            <w:tcW w:w="783"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4384.77</w:t>
            </w:r>
            <w:r/>
          </w:p>
        </w:tc>
      </w:tr>
      <w:tr>
        <w:trPr>
          <w:jc w:val="center"/>
        </w:trPr>
        <w:tc>
          <w:tcPr>
            <w:tcW w:w="558" w:type="pct"/>
            <w:vAlign w:val="center"/>
            <w:vMerge w:val="restart"/>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t xml:space="preserve">采购包四</w:t>
            </w:r>
            <w:r/>
          </w:p>
        </w:tc>
        <w:tc>
          <w:tcPr>
            <w:shd w:val="clear" w:color="auto" w:fill="auto"/>
            <w:tcW w:w="622" w:type="pct"/>
            <w:vAlign w:val="center"/>
            <w:vMerge w:val="restart"/>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eastAsia="zh-CN"/>
              </w:rPr>
              <w:t xml:space="preserve">头灶镇</w:t>
            </w:r>
            <w:r/>
          </w:p>
        </w:tc>
        <w:tc>
          <w:tcPr>
            <w:shd w:val="clear" w:color="auto" w:fill="auto"/>
            <w:tcW w:w="7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r>
            <w:r/>
          </w:p>
        </w:tc>
        <w:tc>
          <w:tcPr>
            <w:shd w:val="clear" w:color="auto" w:fill="auto"/>
            <w:tcW w:w="64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陈章村</w:t>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1060</w:t>
            </w:r>
            <w:r/>
          </w:p>
        </w:tc>
        <w:tc>
          <w:tcPr>
            <w:shd w:val="clear" w:color="auto" w:fill="auto"/>
            <w:tcW w:w="101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2997</w:t>
            </w:r>
            <w:r/>
          </w:p>
        </w:tc>
        <w:tc>
          <w:tcPr>
            <w:shd w:val="clear" w:color="auto" w:fill="auto"/>
            <w:tcW w:w="783"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9815.62</w:t>
            </w:r>
            <w:r/>
          </w:p>
        </w:tc>
      </w:tr>
      <w:tr>
        <w:trPr>
          <w:jc w:val="center"/>
        </w:trPr>
        <w:tc>
          <w:tcPr>
            <w:tcW w:w="558"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shd w:val="clear" w:color="auto" w:fill="auto"/>
            <w:tcW w:w="622" w:type="pct"/>
            <w:vAlign w:val="center"/>
            <w:vMerge w:val="continue"/>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r>
            <w:r/>
          </w:p>
        </w:tc>
        <w:tc>
          <w:tcPr>
            <w:shd w:val="clear" w:color="auto" w:fill="auto"/>
            <w:tcW w:w="7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r>
            <w:r/>
          </w:p>
        </w:tc>
        <w:tc>
          <w:tcPr>
            <w:shd w:val="clear" w:color="auto" w:fill="auto"/>
            <w:tcW w:w="64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十五灶村</w:t>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1586</w:t>
            </w:r>
            <w:r/>
          </w:p>
        </w:tc>
        <w:tc>
          <w:tcPr>
            <w:shd w:val="clear" w:color="auto" w:fill="auto"/>
            <w:tcW w:w="101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4607</w:t>
            </w:r>
            <w:r/>
          </w:p>
        </w:tc>
        <w:tc>
          <w:tcPr>
            <w:shd w:val="clear" w:color="auto" w:fill="auto"/>
            <w:tcW w:w="783"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10136.27</w:t>
            </w:r>
            <w:r/>
          </w:p>
        </w:tc>
      </w:tr>
      <w:tr>
        <w:trPr>
          <w:jc w:val="center"/>
        </w:trPr>
        <w:tc>
          <w:tcPr>
            <w:tcW w:w="558"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shd w:val="clear" w:color="auto" w:fill="auto"/>
            <w:tcW w:w="622" w:type="pct"/>
            <w:vAlign w:val="center"/>
            <w:vMerge w:val="restart"/>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许河镇</w:t>
            </w:r>
            <w:r/>
          </w:p>
        </w:tc>
        <w:tc>
          <w:tcPr>
            <w:shd w:val="clear" w:color="auto" w:fill="auto"/>
            <w:tcW w:w="7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r>
            <w:r/>
          </w:p>
        </w:tc>
        <w:tc>
          <w:tcPr>
            <w:shd w:val="clear" w:color="auto" w:fill="auto"/>
            <w:tcW w:w="64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杨河村</w:t>
            </w:r>
            <w:r/>
          </w:p>
        </w:tc>
        <w:tc>
          <w:tcPr>
            <w:shd w:val="clear" w:color="auto" w:fill="auto"/>
            <w:tcW w:w="641" w:type="pct"/>
            <w:vAlign w:val="center"/>
            <w:textDirection w:val="lrTb"/>
            <w:noWrap w:val="false"/>
          </w:tcPr>
          <w:p>
            <w:pPr>
              <w:jc w:val="center"/>
              <w:keepLines w:val="0"/>
              <w:pageBreakBefore w:val="0"/>
              <w:spacing w:line="360" w:lineRule="exact"/>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761</w:t>
            </w:r>
            <w:r/>
          </w:p>
        </w:tc>
        <w:tc>
          <w:tcPr>
            <w:shd w:val="clear" w:color="auto" w:fill="auto"/>
            <w:tcW w:w="1010" w:type="pct"/>
            <w:vAlign w:val="center"/>
            <w:textDirection w:val="lrTb"/>
            <w:noWrap w:val="false"/>
          </w:tcPr>
          <w:p>
            <w:pPr>
              <w:jc w:val="center"/>
              <w:keepLines w:val="0"/>
              <w:pageBreakBefore w:val="0"/>
              <w:spacing w:line="360" w:lineRule="exact"/>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2075</w:t>
            </w:r>
            <w:r/>
          </w:p>
        </w:tc>
        <w:tc>
          <w:tcPr>
            <w:shd w:val="clear" w:color="auto" w:fill="auto"/>
            <w:tcW w:w="783" w:type="pct"/>
            <w:vAlign w:val="center"/>
            <w:textDirection w:val="lrTb"/>
            <w:noWrap w:val="false"/>
          </w:tcPr>
          <w:p>
            <w:pPr>
              <w:jc w:val="center"/>
              <w:keepLines w:val="0"/>
              <w:pageBreakBefore w:val="0"/>
              <w:spacing w:line="360" w:lineRule="exact"/>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4498</w:t>
            </w:r>
            <w:r/>
          </w:p>
        </w:tc>
      </w:tr>
      <w:tr>
        <w:trPr>
          <w:jc w:val="center"/>
        </w:trPr>
        <w:tc>
          <w:tcPr>
            <w:tcW w:w="558"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shd w:val="clear" w:color="auto" w:fill="auto"/>
            <w:tcW w:w="622" w:type="pct"/>
            <w:vAlign w:val="center"/>
            <w:vMerge w:val="continue"/>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r>
            <w:r/>
          </w:p>
        </w:tc>
        <w:tc>
          <w:tcPr>
            <w:shd w:val="clear" w:color="auto" w:fill="auto"/>
            <w:tcW w:w="7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r>
            <w:r/>
          </w:p>
        </w:tc>
        <w:tc>
          <w:tcPr>
            <w:shd w:val="clear" w:color="auto" w:fill="auto"/>
            <w:tcW w:w="64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元官村</w:t>
            </w:r>
            <w:r/>
          </w:p>
        </w:tc>
        <w:tc>
          <w:tcPr>
            <w:shd w:val="clear" w:color="auto" w:fill="auto"/>
            <w:tcW w:w="641" w:type="pct"/>
            <w:vAlign w:val="center"/>
            <w:textDirection w:val="lrTb"/>
            <w:noWrap w:val="false"/>
          </w:tcPr>
          <w:p>
            <w:pPr>
              <w:jc w:val="center"/>
              <w:keepLines w:val="0"/>
              <w:pageBreakBefore w:val="0"/>
              <w:spacing w:line="360" w:lineRule="exact"/>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737</w:t>
            </w:r>
            <w:r/>
          </w:p>
        </w:tc>
        <w:tc>
          <w:tcPr>
            <w:shd w:val="clear" w:color="auto" w:fill="auto"/>
            <w:tcW w:w="1010" w:type="pct"/>
            <w:vAlign w:val="center"/>
            <w:textDirection w:val="lrTb"/>
            <w:noWrap w:val="false"/>
          </w:tcPr>
          <w:p>
            <w:pPr>
              <w:jc w:val="center"/>
              <w:keepLines w:val="0"/>
              <w:pageBreakBefore w:val="0"/>
              <w:spacing w:line="360" w:lineRule="exact"/>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1764</w:t>
            </w:r>
            <w:r/>
          </w:p>
        </w:tc>
        <w:tc>
          <w:tcPr>
            <w:shd w:val="clear" w:color="auto" w:fill="auto"/>
            <w:tcW w:w="783" w:type="pct"/>
            <w:vAlign w:val="center"/>
            <w:textDirection w:val="lrTb"/>
            <w:noWrap w:val="false"/>
          </w:tcPr>
          <w:p>
            <w:pPr>
              <w:jc w:val="center"/>
              <w:keepLines w:val="0"/>
              <w:pageBreakBefore w:val="0"/>
              <w:spacing w:line="360" w:lineRule="exact"/>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4281</w:t>
            </w:r>
            <w:r/>
          </w:p>
        </w:tc>
      </w:tr>
      <w:tr>
        <w:trPr>
          <w:jc w:val="center"/>
          <w:trHeight w:val="151"/>
        </w:trPr>
        <w:tc>
          <w:tcPr>
            <w:tcW w:w="558"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shd w:val="clear" w:color="auto" w:fill="auto"/>
            <w:tcW w:w="622" w:type="pct"/>
            <w:vAlign w:val="center"/>
            <w:vMerge w:val="restart"/>
            <w:textDirection w:val="lrTb"/>
            <w:noWrap w:val="false"/>
          </w:tcPr>
          <w:p>
            <w:pPr>
              <w:jc w:val="center"/>
              <w:keepLines w:val="0"/>
              <w:pageBreakBefore w:val="0"/>
              <w:spacing w:line="360" w:lineRule="exact"/>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弶港镇</w:t>
            </w:r>
            <w:r/>
          </w:p>
        </w:tc>
        <w:tc>
          <w:tcPr>
            <w:shd w:val="clear" w:color="auto" w:fill="auto"/>
            <w:tcW w:w="741" w:type="pct"/>
            <w:vAlign w:val="center"/>
            <w:vMerge w:val="restart"/>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r>
            <w:r/>
          </w:p>
        </w:tc>
        <w:tc>
          <w:tcPr>
            <w:shd w:val="clear" w:color="auto" w:fill="auto"/>
            <w:tcW w:w="640" w:type="pct"/>
            <w:vAlign w:val="center"/>
            <w:textDirection w:val="lrTb"/>
            <w:noWrap w:val="false"/>
          </w:tcPr>
          <w:p>
            <w:pPr>
              <w:jc w:val="center"/>
              <w:keepLines w:val="0"/>
              <w:pageBreakBefore w:val="0"/>
              <w:spacing w:line="360" w:lineRule="exact"/>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巴斗村</w:t>
            </w:r>
            <w:r/>
          </w:p>
        </w:tc>
        <w:tc>
          <w:tcPr>
            <w:shd w:val="clear" w:color="auto" w:fill="auto"/>
            <w:tcW w:w="641" w:type="pct"/>
            <w:vAlign w:val="center"/>
            <w:textDirection w:val="lrTb"/>
            <w:noWrap w:val="false"/>
          </w:tcPr>
          <w:p>
            <w:pPr>
              <w:jc w:val="center"/>
              <w:keepLines w:val="0"/>
              <w:pageBreakBefore w:val="0"/>
              <w:spacing w:line="360" w:lineRule="exact"/>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68</w:t>
            </w:r>
            <w:r/>
          </w:p>
        </w:tc>
        <w:tc>
          <w:tcPr>
            <w:shd w:val="clear" w:color="auto" w:fill="auto"/>
            <w:tcW w:w="1010" w:type="pct"/>
            <w:vAlign w:val="center"/>
            <w:textDirection w:val="lrTb"/>
            <w:noWrap w:val="false"/>
          </w:tcPr>
          <w:p>
            <w:pPr>
              <w:jc w:val="center"/>
              <w:keepLines w:val="0"/>
              <w:pageBreakBefore w:val="0"/>
              <w:spacing w:line="360" w:lineRule="exact"/>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208</w:t>
            </w:r>
            <w:r/>
          </w:p>
        </w:tc>
        <w:tc>
          <w:tcPr>
            <w:shd w:val="clear" w:color="auto" w:fill="auto"/>
            <w:tcW w:w="783" w:type="pct"/>
            <w:vAlign w:val="center"/>
            <w:textDirection w:val="lrTb"/>
            <w:noWrap w:val="false"/>
          </w:tcPr>
          <w:p>
            <w:pPr>
              <w:jc w:val="center"/>
              <w:keepLines w:val="0"/>
              <w:pageBreakBefore w:val="0"/>
              <w:spacing w:line="360" w:lineRule="exact"/>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1189.93</w:t>
            </w:r>
            <w:r/>
          </w:p>
        </w:tc>
      </w:tr>
      <w:tr>
        <w:trPr>
          <w:jc w:val="center"/>
          <w:trHeight w:val="151"/>
        </w:trPr>
        <w:tc>
          <w:tcPr>
            <w:tcW w:w="558" w:type="pct"/>
            <w:vAlign w:val="center"/>
            <w:vMerge w:val="continue"/>
            <w:textDirection w:val="lrTb"/>
            <w:noWrap w:val="false"/>
          </w:tcPr>
          <w:p>
            <w:pPr>
              <w:jc w:val="center"/>
              <w:keepLines w:val="0"/>
              <w:pageBreakBefore w:val="0"/>
              <w:spacing w:line="360" w:lineRule="exact"/>
            </w:pPr>
            <w:r/>
            <w:r/>
          </w:p>
        </w:tc>
        <w:tc>
          <w:tcPr>
            <w:shd w:val="clear" w:color="auto" w:fill="auto"/>
            <w:tcW w:w="622" w:type="pct"/>
            <w:vAlign w:val="center"/>
            <w:vMerge w:val="continue"/>
            <w:textDirection w:val="lrTb"/>
            <w:noWrap w:val="false"/>
          </w:tcPr>
          <w:p>
            <w:pPr>
              <w:jc w:val="center"/>
              <w:keepLines w:val="0"/>
              <w:pageBreakBefore w:val="0"/>
              <w:spacing w:line="360" w:lineRule="exact"/>
            </w:pPr>
            <w:r/>
            <w:r/>
          </w:p>
        </w:tc>
        <w:tc>
          <w:tcPr>
            <w:shd w:val="clear" w:color="auto" w:fill="auto"/>
            <w:tcW w:w="741" w:type="pct"/>
            <w:vAlign w:val="center"/>
            <w:vMerge w:val="continue"/>
            <w:textDirection w:val="lrTb"/>
            <w:noWrap w:val="false"/>
          </w:tcPr>
          <w:p>
            <w:pPr>
              <w:jc w:val="center"/>
              <w:keepLines w:val="0"/>
              <w:pageBreakBefore w:val="0"/>
              <w:spacing w:line="360" w:lineRule="exact"/>
            </w:pPr>
            <w:r/>
            <w:r/>
          </w:p>
        </w:tc>
        <w:tc>
          <w:tcPr>
            <w:shd w:val="clear" w:color="auto" w:fill="auto"/>
            <w:tcW w:w="640" w:type="pct"/>
            <w:vAlign w:val="center"/>
            <w:textDirection w:val="lrTb"/>
            <w:noWrap w:val="false"/>
          </w:tcPr>
          <w:p>
            <w:pPr>
              <w:jc w:val="center"/>
              <w:keepLines w:val="0"/>
              <w:pageBreakBefore w:val="0"/>
              <w:spacing w:line="360" w:lineRule="exact"/>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姜墩村</w:t>
            </w:r>
            <w:r/>
          </w:p>
        </w:tc>
        <w:tc>
          <w:tcPr>
            <w:shd w:val="clear" w:color="auto" w:fill="auto"/>
            <w:tcW w:w="641" w:type="pct"/>
            <w:vAlign w:val="center"/>
            <w:textDirection w:val="lrTb"/>
            <w:noWrap w:val="false"/>
          </w:tcPr>
          <w:p>
            <w:pPr>
              <w:jc w:val="center"/>
              <w:keepLines w:val="0"/>
              <w:pageBreakBefore w:val="0"/>
              <w:spacing w:line="360" w:lineRule="exact"/>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1075</w:t>
            </w:r>
            <w:r/>
          </w:p>
        </w:tc>
        <w:tc>
          <w:tcPr>
            <w:shd w:val="clear" w:color="auto" w:fill="auto"/>
            <w:tcW w:w="1010" w:type="pct"/>
            <w:vAlign w:val="center"/>
            <w:textDirection w:val="lrTb"/>
            <w:noWrap w:val="false"/>
          </w:tcPr>
          <w:p>
            <w:pPr>
              <w:jc w:val="center"/>
              <w:keepLines w:val="0"/>
              <w:pageBreakBefore w:val="0"/>
              <w:spacing w:line="360" w:lineRule="exact"/>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3073</w:t>
            </w:r>
            <w:r/>
          </w:p>
        </w:tc>
        <w:tc>
          <w:tcPr>
            <w:shd w:val="clear" w:color="auto" w:fill="auto"/>
            <w:tcW w:w="783" w:type="pct"/>
            <w:vAlign w:val="center"/>
            <w:textDirection w:val="lrTb"/>
            <w:noWrap w:val="false"/>
          </w:tcPr>
          <w:p>
            <w:pPr>
              <w:jc w:val="center"/>
              <w:keepLines w:val="0"/>
              <w:pageBreakBefore w:val="0"/>
              <w:spacing w:line="360" w:lineRule="exact"/>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7644.53</w:t>
            </w:r>
            <w:r/>
          </w:p>
        </w:tc>
      </w:tr>
      <w:tr>
        <w:trPr>
          <w:jc w:val="center"/>
        </w:trPr>
        <w:tc>
          <w:tcPr>
            <w:tcW w:w="558"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shd w:val="clear" w:color="auto" w:fill="auto"/>
            <w:tcW w:w="622"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新街镇</w:t>
            </w:r>
            <w:r/>
          </w:p>
        </w:tc>
        <w:tc>
          <w:tcPr>
            <w:shd w:val="clear" w:color="auto" w:fill="auto"/>
            <w:tcW w:w="7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新街镇</w:t>
            </w:r>
            <w:r/>
          </w:p>
        </w:tc>
        <w:tc>
          <w:tcPr>
            <w:shd w:val="clear" w:color="auto" w:fill="auto"/>
            <w:tcW w:w="64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r>
            <w:r/>
          </w:p>
        </w:tc>
        <w:tc>
          <w:tcPr>
            <w:shd w:val="clear" w:color="auto" w:fill="auto"/>
            <w:tcW w:w="641" w:type="pct"/>
            <w:vAlign w:val="center"/>
            <w:textDirection w:val="lrTb"/>
            <w:noWrap w:val="false"/>
          </w:tcPr>
          <w:p>
            <w:pPr>
              <w:jc w:val="center"/>
              <w:keepLines w:val="0"/>
              <w:pageBreakBefore w:val="0"/>
              <w:spacing w:line="360" w:lineRule="exact"/>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13762</w:t>
            </w:r>
            <w:r/>
          </w:p>
        </w:tc>
        <w:tc>
          <w:tcPr>
            <w:shd w:val="clear" w:color="auto" w:fill="auto"/>
            <w:tcW w:w="1010" w:type="pct"/>
            <w:vAlign w:val="center"/>
            <w:textDirection w:val="lrTb"/>
            <w:noWrap w:val="false"/>
          </w:tcPr>
          <w:p>
            <w:pPr>
              <w:jc w:val="center"/>
              <w:keepLines w:val="0"/>
              <w:pageBreakBefore w:val="0"/>
              <w:spacing w:line="360" w:lineRule="exact"/>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39494</w:t>
            </w:r>
            <w:r/>
          </w:p>
        </w:tc>
        <w:tc>
          <w:tcPr>
            <w:shd w:val="clear" w:color="auto" w:fill="auto"/>
            <w:tcW w:w="783" w:type="pct"/>
            <w:vAlign w:val="center"/>
            <w:textDirection w:val="lrTb"/>
            <w:noWrap w:val="false"/>
          </w:tcPr>
          <w:p>
            <w:pPr>
              <w:jc w:val="center"/>
              <w:keepLines w:val="0"/>
              <w:pageBreakBefore w:val="0"/>
              <w:spacing w:line="360" w:lineRule="exact"/>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94509.05</w:t>
            </w:r>
            <w:r/>
          </w:p>
        </w:tc>
      </w:tr>
    </w:tbl>
    <w:p>
      <w:pPr>
        <w:pStyle w:val="857"/>
        <w:ind w:left="481" w:firstLine="0"/>
        <w:jc w:val="both"/>
        <w:keepLines w:val="0"/>
        <w:keepNext w:val="0"/>
        <w:pageBreakBefore w:val="0"/>
        <w:spacing w:beforeAutospacing="0" w:afterAutospacing="0" w:line="36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第一条、乙方根据甲方需求，提供下列服务</w:t>
      </w:r>
      <w:r/>
    </w:p>
    <w:p>
      <w:pPr>
        <w:pStyle w:val="857"/>
        <w:ind w:left="479" w:firstLine="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1.业务培训：</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开展2026年</w:t>
      </w:r>
      <w:r>
        <w:rPr>
          <w:rFonts w:hint="eastAsia" w:ascii="宋体" w:hAnsi="宋体" w:eastAsia="宋体" w:cs="宋体"/>
          <w:color w:val="000000"/>
          <w:sz w:val="24"/>
          <w:szCs w:val="24"/>
          <w:highlight w:val="none"/>
          <w:u w:val="none"/>
          <w:lang w:val="en-US" w:eastAsia="zh-CN"/>
        </w:rPr>
        <w:t xml:space="preserve">东台市二轮土地承包到期再延长三十年第三方服务</w:t>
      </w:r>
      <w:r>
        <w:rPr>
          <w:rFonts w:hint="eastAsia" w:ascii="宋体" w:hAnsi="宋体" w:eastAsia="宋体" w:cs="宋体"/>
          <w:color w:val="000000"/>
          <w:sz w:val="24"/>
          <w:szCs w:val="24"/>
          <w:highlight w:val="none"/>
          <w:lang w:val="en-US" w:eastAsia="zh-CN"/>
        </w:rPr>
        <w:t xml:space="preserve">试点相关的讲座培训，包括政策解读、技术规范、工作要点。</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2.资料收集：</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收集作业区域范围内行政划分、行政区划名称、最新的行政区划代码，收集最新高精度影像图、第三次土地调查年度变更调查成果、集体土地所有权成果、三区三线成果、基本农田划定成果、国土空间规划成果、和既有的农村土地承包经营权数据库、汇交库，进行提取分析、加工处理，满足2026年东台市二轮土地承包到期后再延长 30 年技术服务项目所需基础数据。如有需要，应采用无人机对作业区域进行航空摄影，获取0.2米分辨率的高清正射影像。</w:t>
      </w:r>
      <w:r/>
    </w:p>
    <w:p>
      <w:pPr>
        <w:pStyle w:val="857"/>
        <w:ind w:left="479" w:firstLine="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3.摸底核实：</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1998年二轮土地承包资料和农村土地承包经营权确权登记颁证数据，对农村土地承包情况开展摸底核实。主要摸清土地承包以来承包农户及家庭成员、承包地变化情况。掌握承包人员和土地变化现状，了解农户延包意愿。</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根据摸底调查情况，做好直接输出成果、内业图形属性修改后输出成果、需外业实测重新确权或增本确权三种类型的数据梳理和信息核对工作。</w:t>
      </w:r>
      <w:r/>
    </w:p>
    <w:p>
      <w:pPr>
        <w:pStyle w:val="857"/>
        <w:ind w:left="479" w:firstLine="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4.实测指界：</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根据实际情况可采用室内判图法、野外调绘法、现场实测法等多种指界方法在调查底图上画出地块，填写预编码，同时在相关统计表中填写对应于图上的预编码及土地利用类型，等级，备注等其他信息。</w:t>
      </w:r>
      <w:r/>
    </w:p>
    <w:p>
      <w:pPr>
        <w:pStyle w:val="857"/>
        <w:ind w:left="479" w:firstLine="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5.制定方案：</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摸清二轮延包试点过程中遇到的各类矛盾，进行分类汇总分析，协助地方因地制宜制定矛盾解决方案。根据汇总分析的调查成果，针对承包中出现的特殊人群、特殊情况制定有针对性的延包具体方案和办法，确保相关措施符合法律政策要求，充分反映村民意愿。</w:t>
      </w:r>
      <w:r/>
    </w:p>
    <w:p>
      <w:pPr>
        <w:pStyle w:val="857"/>
        <w:ind w:left="479" w:firstLine="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6.完善调查数据：</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摸底情况汇总统计需调查测绘的地块信息，安排外业补充测绘，并按原确权要求处理相关测绘数据。结合摸底数据、二轮到期延包测绘数据、二轮到期延包方案处理最终二轮到期延包数据，并以村为单位制作成质检无错误的汇交包，上传到网签系统；指导并培训其他合作单位处理二轮到期延包数据，统一工作方法及数据成果标准。</w:t>
      </w:r>
      <w:r/>
    </w:p>
    <w:p>
      <w:pPr>
        <w:pStyle w:val="857"/>
        <w:ind w:left="479" w:firstLine="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7.数据修改入库：</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外业指界、实测情况，进行内业图形修改、属性修改，将外业填写的统计表中的编号及其他信息填写到数据表中，并以地块编码为连接字段，将地块名称，权利人名称，合同面积，地类，等级等属性进行关联，将调查的地块与户籍信息关联挂接，补全界址点，界址线信息，建立形成完整的数据库。</w:t>
      </w:r>
      <w:r/>
    </w:p>
    <w:p>
      <w:pPr>
        <w:pStyle w:val="857"/>
        <w:ind w:left="479" w:firstLine="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8.资料输出打印：</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根据最终的数据库成果，从系统中输出登记簿、承包方调查表、公示结果归户表、承包合同、地块示意图等图件表格成果等图件表格成果，并按照要求份数进行打印。</w:t>
      </w:r>
      <w:r/>
    </w:p>
    <w:p>
      <w:pPr>
        <w:pStyle w:val="857"/>
        <w:ind w:left="479" w:firstLine="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9.审核公示：</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highlight w:val="none"/>
          <w:lang w:val="en-US" w:eastAsia="zh-CN"/>
        </w:rPr>
        <w:t xml:space="preserve">培训、指导并协助村组顺利开展二轮到期延包公示工作，在公示过程中若有信息变动的，在网签系统完善并修改相关内容（每标段不少于4人驻场，驻场时间不少于2个月，要求确保每村每周至少有2天驻村服务）。</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10.签订合同：</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全国合同网签系统平台及运维支持服务、收集标段内各村签章材料；汇总提交的签章申请材料，统一申请全镇各发包方电子签章；提供全国系统远程云服务支持。提供本标段内镇、村、组相关工作人员针对平台的使用培训（集中培训不少于3次）。</w:t>
      </w:r>
      <w:r/>
    </w:p>
    <w:p>
      <w:pPr>
        <w:pStyle w:val="857"/>
        <w:ind w:left="479" w:firstLine="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11.完善证书：</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提供全国网签系统与不动产登记管理部门数据共享接口；提供完整二轮到期延包成果数据交予不动产登记管理部门，协助甲方参与数据移交共享工作。</w:t>
      </w:r>
      <w:r/>
    </w:p>
    <w:p>
      <w:pPr>
        <w:pStyle w:val="857"/>
        <w:ind w:left="479" w:firstLine="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12.资料归档：</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按照档案管理及据部、省两级要求，整理二轮到期延包档案材料（包括但不限于合同整理打印、签章图制作、归户表制作、</w:t>
      </w:r>
      <w:r>
        <w:rPr>
          <w:rFonts w:hint="eastAsia" w:ascii="宋体" w:hAnsi="宋体" w:eastAsia="宋体" w:cs="宋体"/>
          <w:color w:val="auto"/>
          <w:sz w:val="24"/>
          <w:szCs w:val="24"/>
          <w:highlight w:val="none"/>
          <w:lang w:val="en-US" w:eastAsia="zh-CN"/>
        </w:rPr>
        <w:t xml:space="preserve">数字化扫描</w:t>
      </w:r>
      <w:r>
        <w:rPr>
          <w:rFonts w:hint="eastAsia" w:ascii="宋体" w:hAnsi="宋体" w:eastAsia="宋体" w:cs="宋体"/>
          <w:color w:val="000000"/>
          <w:sz w:val="24"/>
          <w:szCs w:val="24"/>
          <w:highlight w:val="none"/>
          <w:lang w:val="en-US" w:eastAsia="zh-CN"/>
        </w:rPr>
        <w:t xml:space="preserve">等）。</w:t>
      </w:r>
      <w:r/>
    </w:p>
    <w:p>
      <w:pPr>
        <w:pStyle w:val="857"/>
        <w:ind w:left="479" w:firstLine="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13.材料装档汇交：</w:t>
      </w:r>
      <w:r/>
    </w:p>
    <w:p>
      <w:pPr>
        <w:pStyle w:val="857"/>
        <w:ind w:left="479" w:firstLine="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以户为单位，将最终的图件、表格成果装袋汇交。</w:t>
      </w:r>
      <w:r/>
    </w:p>
    <w:p>
      <w:pPr>
        <w:pStyle w:val="857"/>
        <w:ind w:left="481" w:firstLine="0"/>
        <w:jc w:val="both"/>
        <w:keepLines w:val="0"/>
        <w:keepNext w:val="0"/>
        <w:pageBreakBefore w:val="0"/>
        <w:spacing w:beforeAutospacing="0" w:afterAutospacing="0" w:line="36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第二条：项目成果要求</w:t>
      </w:r>
      <w:r/>
    </w:p>
    <w:p>
      <w:pPr>
        <w:pStyle w:val="857"/>
        <w:ind w:left="479" w:firstLine="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乙方提交的项目成果包括数据库成果、文字成果、图件成果、表格等成果。 </w:t>
      </w:r>
      <w:r/>
    </w:p>
    <w:p>
      <w:pPr>
        <w:pStyle w:val="857"/>
        <w:ind w:left="479" w:firstLine="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1、数据库成果</w:t>
      </w:r>
      <w:r/>
    </w:p>
    <w:p>
      <w:pPr>
        <w:pStyle w:val="857"/>
        <w:ind w:left="479" w:firstLine="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农村土地承包经营权延包数据库。</w:t>
      </w:r>
      <w:r/>
    </w:p>
    <w:p>
      <w:pPr>
        <w:pStyle w:val="857"/>
        <w:ind w:left="479" w:firstLine="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2、图件表格成果</w:t>
      </w:r>
      <w:r/>
    </w:p>
    <w:p>
      <w:pPr>
        <w:pStyle w:val="857"/>
        <w:ind w:left="479" w:firstLine="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1）登记簿；</w:t>
      </w:r>
      <w:r/>
    </w:p>
    <w:p>
      <w:pPr>
        <w:pStyle w:val="857"/>
        <w:ind w:left="479" w:firstLine="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2）承包方调查表；</w:t>
      </w:r>
      <w:r/>
    </w:p>
    <w:p>
      <w:pPr>
        <w:pStyle w:val="857"/>
        <w:ind w:left="479" w:firstLine="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3）公示结果归户表；</w:t>
      </w:r>
      <w:r/>
    </w:p>
    <w:p>
      <w:pPr>
        <w:pStyle w:val="857"/>
        <w:ind w:left="479" w:firstLine="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4）承包合同；</w:t>
      </w:r>
      <w:r/>
    </w:p>
    <w:p>
      <w:pPr>
        <w:pStyle w:val="857"/>
        <w:ind w:left="479" w:firstLine="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5）地块示意图。</w:t>
      </w:r>
      <w:r/>
    </w:p>
    <w:p>
      <w:pPr>
        <w:pStyle w:val="857"/>
        <w:ind w:left="479" w:firstLine="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3、文字报告成果</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u w:val="none"/>
          <w:lang w:val="en-US" w:eastAsia="zh-CN"/>
        </w:rPr>
        <w:t xml:space="preserve">2026年东台市二轮土地承包到期再延长三十年第三方服务项目</w:t>
      </w:r>
      <w:r>
        <w:rPr>
          <w:rFonts w:hint="eastAsia" w:ascii="宋体" w:hAnsi="宋体" w:eastAsia="宋体" w:cs="宋体"/>
          <w:color w:val="000000"/>
          <w:sz w:val="24"/>
          <w:szCs w:val="24"/>
          <w:highlight w:val="none"/>
          <w:lang w:val="en-US" w:eastAsia="zh-CN"/>
        </w:rPr>
        <w:t xml:space="preserve">实施方案；</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u w:val="none"/>
          <w:lang w:val="en-US" w:eastAsia="zh-CN"/>
        </w:rPr>
        <w:t xml:space="preserve">2026年东台市二轮土地承包到期再延长三十年第三方服务项目</w:t>
      </w:r>
      <w:r>
        <w:rPr>
          <w:rFonts w:hint="eastAsia" w:ascii="宋体" w:hAnsi="宋体" w:eastAsia="宋体" w:cs="宋体"/>
          <w:color w:val="000000"/>
          <w:sz w:val="24"/>
          <w:szCs w:val="24"/>
          <w:highlight w:val="none"/>
          <w:lang w:val="en-US" w:eastAsia="zh-CN"/>
        </w:rPr>
        <w:t xml:space="preserve">技术方案；</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u w:val="none"/>
          <w:lang w:val="en-US" w:eastAsia="zh-CN"/>
        </w:rPr>
        <w:t xml:space="preserve">2026年东台市二轮土地承包到期再延长三十年第三方服务项目</w:t>
      </w:r>
      <w:r>
        <w:rPr>
          <w:rFonts w:hint="eastAsia" w:ascii="宋体" w:hAnsi="宋体" w:eastAsia="宋体" w:cs="宋体"/>
          <w:color w:val="000000"/>
          <w:sz w:val="24"/>
          <w:szCs w:val="24"/>
          <w:highlight w:val="none"/>
          <w:lang w:val="en-US" w:eastAsia="zh-CN"/>
        </w:rPr>
        <w:t xml:space="preserve">工作报告；</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u w:val="none"/>
          <w:lang w:val="en-US" w:eastAsia="zh-CN"/>
        </w:rPr>
        <w:t xml:space="preserve">2026年东台市二轮土地承包到期再延长三十年第三方服务项目</w:t>
      </w:r>
      <w:r>
        <w:rPr>
          <w:rFonts w:hint="eastAsia" w:ascii="宋体" w:hAnsi="宋体" w:eastAsia="宋体" w:cs="宋体"/>
          <w:color w:val="000000"/>
          <w:sz w:val="24"/>
          <w:szCs w:val="24"/>
          <w:highlight w:val="none"/>
          <w:lang w:val="en-US" w:eastAsia="zh-CN"/>
        </w:rPr>
        <w:t xml:space="preserve">技术报告。</w:t>
      </w:r>
      <w:r/>
    </w:p>
    <w:p>
      <w:pPr>
        <w:pStyle w:val="857"/>
        <w:ind w:firstLine="482"/>
        <w:jc w:val="both"/>
        <w:keepLines w:val="0"/>
        <w:keepNext w:val="0"/>
        <w:pageBreakBefore w:val="0"/>
        <w:spacing w:beforeAutospacing="0" w:afterAutospacing="0" w:line="360" w:lineRule="exact"/>
        <w:widowControl w:val="off"/>
        <w:rPr>
          <w:rFonts w:hint="eastAsia" w:ascii="宋体" w:hAnsi="宋体" w:eastAsia="宋体" w:cs="宋体"/>
          <w:b/>
          <w:bCs/>
          <w:color w:val="000000"/>
          <w:sz w:val="24"/>
          <w:szCs w:val="24"/>
          <w:highlight w:val="none"/>
          <w:lang w:val="en-US" w:eastAsia="zh-CN"/>
        </w:rPr>
      </w:pPr>
      <w:r/>
      <w:bookmarkStart w:id="175" w:name="_Toc10007"/>
      <w:r/>
      <w:bookmarkStart w:id="176" w:name="_Toc11020"/>
      <w:r/>
      <w:bookmarkStart w:id="177" w:name="_Toc9368"/>
      <w:r/>
      <w:bookmarkStart w:id="178" w:name="_Toc29926"/>
      <w:r>
        <w:rPr>
          <w:rFonts w:hint="eastAsia" w:ascii="宋体" w:hAnsi="宋体" w:eastAsia="宋体" w:cs="宋体"/>
          <w:b/>
          <w:bCs/>
          <w:color w:val="000000"/>
          <w:sz w:val="24"/>
          <w:szCs w:val="24"/>
          <w:highlight w:val="none"/>
          <w:lang w:val="en-US" w:eastAsia="zh-CN"/>
        </w:rPr>
        <w:t xml:space="preserve">第三条：基本要求</w:t>
      </w:r>
      <w:bookmarkEnd w:id="175"/>
      <w:r/>
      <w:bookmarkEnd w:id="176"/>
      <w:r/>
      <w:bookmarkEnd w:id="177"/>
      <w:r/>
      <w:bookmarkEnd w:id="178"/>
      <w:r>
        <w:rPr>
          <w:rFonts w:hint="eastAsia" w:ascii="宋体" w:hAnsi="宋体" w:eastAsia="宋体" w:cs="宋体"/>
          <w:b/>
          <w:bCs/>
          <w:color w:val="000000"/>
          <w:sz w:val="24"/>
          <w:szCs w:val="24"/>
          <w:highlight w:val="none"/>
          <w:lang w:val="en-US" w:eastAsia="zh-CN"/>
        </w:rPr>
        <w:t xml:space="preserve"> </w:t>
      </w:r>
      <w:r/>
    </w:p>
    <w:p>
      <w:pPr>
        <w:pStyle w:val="857"/>
        <w:ind w:left="479" w:firstLine="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（一）技术标准与依据 </w:t>
      </w:r>
      <w:r/>
    </w:p>
    <w:p>
      <w:pPr>
        <w:pStyle w:val="857"/>
        <w:ind w:left="482" w:hanging="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"https://baike.baidu.com/item/%</w:instrText>
      </w:r>
      <w:r>
        <w:rPr>
          <w:rFonts w:hint="eastAsia" w:ascii="宋体" w:hAnsi="宋体" w:eastAsia="宋体" w:cs="宋体"/>
          <w:color w:val="000000"/>
          <w:sz w:val="24"/>
          <w:szCs w:val="24"/>
          <w:highlight w:val="none"/>
        </w:rPr>
        <w:instrText xml:space="preserve">E4%B8%AD%E5%8D%8E%E4%BA%BA%E6%B0%91%E5%85%B1%E5%92%8C%E5%9B%BD%E6%B0%91%E6%B3%95%E5%85%B8/19435116?fromModule=lemma_inlink" \t "https://baike.baidu.com/item/%E4%B8%AD%E5%8D%8E%E4%BA%BA%E6%B0%91%E5%85%B1%E5%92%8C%E5%9B%BD%E7%89%A9%E6%9D%83%E6%B3%95/_blank"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中华人民共和国民法典</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p>
    <w:p>
      <w:pPr>
        <w:pStyle w:val="857"/>
        <w:ind w:left="482" w:hanging="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《中华人民共和国土地管理法》</w:t>
      </w:r>
      <w:r/>
    </w:p>
    <w:p>
      <w:pPr>
        <w:pStyle w:val="857"/>
        <w:ind w:left="482" w:hanging="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《中华人民共和国</w:t>
      </w:r>
      <w:r>
        <w:rPr>
          <w:rFonts w:hint="eastAsia" w:ascii="宋体" w:hAnsi="宋体" w:eastAsia="宋体" w:cs="宋体"/>
          <w:color w:val="000000"/>
          <w:sz w:val="24"/>
          <w:szCs w:val="24"/>
          <w:highlight w:val="none"/>
          <w:lang w:val="en-US" w:eastAsia="zh-CN"/>
        </w:rPr>
        <w:t xml:space="preserve">农村土地承包</w:t>
      </w:r>
      <w:r>
        <w:rPr>
          <w:rFonts w:hint="eastAsia" w:ascii="宋体" w:hAnsi="宋体" w:eastAsia="宋体" w:cs="宋体"/>
          <w:color w:val="000000"/>
          <w:sz w:val="24"/>
          <w:szCs w:val="24"/>
          <w:highlight w:val="none"/>
        </w:rPr>
        <w:t xml:space="preserve">法》</w:t>
      </w:r>
      <w:r/>
    </w:p>
    <w:p>
      <w:pPr>
        <w:pStyle w:val="857"/>
        <w:ind w:left="482" w:hanging="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《中华人民共和国</w:t>
      </w:r>
      <w:r>
        <w:rPr>
          <w:rFonts w:hint="eastAsia" w:ascii="宋体" w:hAnsi="宋体" w:eastAsia="宋体" w:cs="宋体"/>
          <w:color w:val="000000"/>
          <w:sz w:val="24"/>
          <w:szCs w:val="24"/>
          <w:highlight w:val="none"/>
          <w:lang w:val="en-US" w:eastAsia="zh-CN"/>
        </w:rPr>
        <w:t xml:space="preserve">农村集体经济组织</w:t>
      </w:r>
      <w:r>
        <w:rPr>
          <w:rFonts w:hint="eastAsia" w:ascii="宋体" w:hAnsi="宋体" w:eastAsia="宋体" w:cs="宋体"/>
          <w:color w:val="000000"/>
          <w:sz w:val="24"/>
          <w:szCs w:val="24"/>
          <w:highlight w:val="none"/>
        </w:rPr>
        <w:t xml:space="preserve">法》</w:t>
      </w:r>
      <w:r/>
    </w:p>
    <w:p>
      <w:pPr>
        <w:pStyle w:val="857"/>
        <w:ind w:firstLine="24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农村土地承包合同管理办法</w:t>
      </w:r>
      <w:r>
        <w:rPr>
          <w:rFonts w:hint="eastAsia" w:ascii="宋体" w:hAnsi="宋体" w:eastAsia="宋体" w:cs="宋体"/>
          <w:color w:val="000000"/>
          <w:sz w:val="24"/>
          <w:szCs w:val="24"/>
          <w:highlight w:val="none"/>
          <w:lang w:eastAsia="zh-CN"/>
        </w:rPr>
        <w:t xml:space="preserve">》</w:t>
      </w:r>
      <w:r/>
    </w:p>
    <w:p>
      <w:pPr>
        <w:pStyle w:val="857"/>
        <w:ind w:left="482" w:hanging="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《农村土地承包经营权调查规程》(NY/T2537)</w:t>
      </w:r>
      <w:r/>
    </w:p>
    <w:p>
      <w:pPr>
        <w:pStyle w:val="857"/>
        <w:ind w:left="482" w:hanging="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《农村土地(耕地)承包合同(家庭承包方式) 示范文本》</w:t>
      </w:r>
      <w:r/>
    </w:p>
    <w:p>
      <w:pPr>
        <w:pStyle w:val="857"/>
        <w:ind w:firstLine="24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GB/T 21010-2017 土地利用现状分类</w:t>
      </w:r>
      <w:r/>
    </w:p>
    <w:p>
      <w:pPr>
        <w:pStyle w:val="857"/>
        <w:ind w:left="479" w:hanging="24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GB/T 13989-2012 国家基本比例尺地形图分幅与编号</w:t>
      </w:r>
      <w:r/>
    </w:p>
    <w:p>
      <w:pPr>
        <w:pStyle w:val="857"/>
        <w:ind w:left="479" w:hanging="24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GB/T 18314-2009 全球定位系统（GPS）测量规范</w:t>
      </w:r>
      <w:r/>
    </w:p>
    <w:p>
      <w:pPr>
        <w:pStyle w:val="857"/>
        <w:ind w:firstLine="24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CH/T 2009-2010 全球定位系统实时动态测量（RTK）技术规范</w:t>
      </w:r>
      <w:r/>
    </w:p>
    <w:p>
      <w:pPr>
        <w:pStyle w:val="857"/>
        <w:ind w:firstLine="24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GB/T 2260-2007 中华人民共和国行政区划代码</w:t>
      </w:r>
      <w:r/>
    </w:p>
    <w:p>
      <w:pPr>
        <w:pStyle w:val="857"/>
        <w:ind w:firstLine="24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GB/T 13923-2006 基础地理信息要素分类与代码</w:t>
      </w:r>
      <w:r/>
    </w:p>
    <w:p>
      <w:pPr>
        <w:pStyle w:val="857"/>
        <w:ind w:firstLine="24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GB/T 21010-2017 土地利用现状分类</w:t>
      </w:r>
      <w:r/>
    </w:p>
    <w:p>
      <w:pPr>
        <w:pStyle w:val="857"/>
        <w:ind w:firstLine="24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TD/T 1066-2021 不动产登记数据库标准</w:t>
      </w:r>
      <w:r/>
    </w:p>
    <w:p>
      <w:pPr>
        <w:pStyle w:val="857"/>
        <w:ind w:firstLine="24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CH/T 1001-2005 测绘技术总结编写规定</w:t>
      </w:r>
      <w:r/>
    </w:p>
    <w:p>
      <w:pPr>
        <w:pStyle w:val="857"/>
        <w:ind w:firstLine="24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CH/T 1004-2005 测绘技术设计规定</w:t>
      </w:r>
      <w:r/>
    </w:p>
    <w:p>
      <w:pPr>
        <w:pStyle w:val="857"/>
        <w:ind w:firstLine="24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GB/T 24356-2009 测绘成果质量检查与验收</w:t>
      </w:r>
      <w:r/>
    </w:p>
    <w:p>
      <w:pPr>
        <w:pStyle w:val="857"/>
        <w:ind w:firstLine="24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GB/T 18316—2008 数字测绘成果质量检查与验收</w:t>
      </w:r>
      <w:r/>
    </w:p>
    <w:p>
      <w:pPr>
        <w:pStyle w:val="857"/>
        <w:ind w:firstLine="24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2026年东台市二轮土地承包到期再延长三十年试点工作方案</w:t>
      </w:r>
      <w:r>
        <w:rPr>
          <w:rFonts w:hint="eastAsia" w:ascii="宋体" w:hAnsi="宋体" w:eastAsia="宋体" w:cs="宋体"/>
          <w:color w:val="000000"/>
          <w:sz w:val="24"/>
          <w:szCs w:val="24"/>
          <w:highlight w:val="none"/>
        </w:rPr>
        <w:t xml:space="preserve">》</w:t>
      </w:r>
      <w:r/>
    </w:p>
    <w:p>
      <w:pPr>
        <w:pStyle w:val="857"/>
        <w:ind w:firstLine="24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2026年东台市二轮土地承包到期再延长三十年试点工作档案管理办法。</w:t>
      </w:r>
      <w:r/>
    </w:p>
    <w:p>
      <w:pPr>
        <w:pStyle w:val="857"/>
        <w:ind w:left="479" w:firstLine="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（二）主要技术指标要求</w:t>
      </w:r>
      <w:r/>
    </w:p>
    <w:p>
      <w:pPr>
        <w:pStyle w:val="857"/>
        <w:ind w:left="479" w:firstLine="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坐标系统</w:t>
      </w:r>
      <w:r/>
    </w:p>
    <w:p>
      <w:pPr>
        <w:pStyle w:val="857"/>
        <w:ind w:left="479" w:firstLine="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 2000 国家大地坐标系（CGCS2000）。</w:t>
      </w:r>
      <w:r/>
    </w:p>
    <w:p>
      <w:pPr>
        <w:pStyle w:val="857"/>
        <w:ind w:left="479" w:firstLine="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地图投影采用高斯—克吕格投影， 3 度分带，中央子午线为120°。</w:t>
      </w:r>
      <w:r/>
    </w:p>
    <w:p>
      <w:pPr>
        <w:pStyle w:val="857"/>
        <w:ind w:left="479" w:firstLine="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高程系统</w:t>
      </w:r>
      <w:r/>
    </w:p>
    <w:p>
      <w:pPr>
        <w:pStyle w:val="857"/>
        <w:ind w:left="479" w:firstLine="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 1985 国家高程基准。</w:t>
      </w:r>
      <w:r/>
    </w:p>
    <w:p>
      <w:pPr>
        <w:pStyle w:val="857"/>
        <w:ind w:left="479" w:firstLine="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比例尺</w:t>
      </w:r>
      <w:r/>
    </w:p>
    <w:p>
      <w:pPr>
        <w:pStyle w:val="857"/>
        <w:ind w:left="479" w:firstLine="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比例尺不低于 1:2000。</w:t>
      </w:r>
      <w:r/>
    </w:p>
    <w:p>
      <w:pPr>
        <w:pStyle w:val="857"/>
        <w:ind w:left="479" w:firstLine="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计量单位</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（1）长度单位采用米（m），统计汇总登记采用千米（km），小数点后保留两位有效数字。</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（2）面积计算单位采用亩（mu），面积统计汇总单位采用亩（mu），保留2位小数。</w:t>
      </w:r>
      <w:r/>
    </w:p>
    <w:p>
      <w:pPr>
        <w:pStyle w:val="857"/>
        <w:ind w:left="479" w:firstLine="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bookmarkStart w:id="179" w:name="_Toc365462443"/>
      <w:r/>
      <w:bookmarkStart w:id="180" w:name="_Toc365533747"/>
      <w:r/>
      <w:bookmarkStart w:id="181" w:name="_Toc392608054"/>
      <w:r/>
      <w:bookmarkStart w:id="182" w:name="_Toc365380148"/>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面积量算</w:t>
      </w:r>
      <w:bookmarkEnd w:id="179"/>
      <w:r/>
      <w:bookmarkEnd w:id="180"/>
      <w:r/>
      <w:bookmarkEnd w:id="181"/>
      <w:r/>
      <w:bookmarkEnd w:id="182"/>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面积量算，平原地区面积采用地块水平投影面积，坡地等地块地表倾斜面的面积通过改正系数计算。改正系数可在外业调查时按照地块实测面积和调绘面积计算获得。</w:t>
      </w:r>
      <w:r/>
    </w:p>
    <w:p>
      <w:pPr>
        <w:pStyle w:val="857"/>
        <w:ind w:left="482" w:hanging="482"/>
        <w:jc w:val="both"/>
        <w:keepLines w:val="0"/>
        <w:keepNext w:val="0"/>
        <w:pageBreakBefore w:val="0"/>
        <w:spacing w:beforeAutospacing="0" w:afterAutospacing="0" w:line="360" w:lineRule="exact"/>
        <w:widowControl w:val="off"/>
        <w:rPr>
          <w:sz w:val="24"/>
          <w:szCs w:val="24"/>
          <w:highlight w:val="none"/>
        </w:rPr>
      </w:pPr>
      <w:r>
        <w:rPr>
          <w:rFonts w:hint="eastAsia" w:ascii="宋体" w:hAnsi="宋体" w:eastAsia="宋体" w:cs="宋体"/>
          <w:b/>
          <w:color w:val="000000"/>
          <w:sz w:val="24"/>
          <w:szCs w:val="24"/>
          <w:highlight w:val="none"/>
        </w:rPr>
        <w:t xml:space="preserve">三、技术资料</w:t>
      </w:r>
      <w:r/>
    </w:p>
    <w:p>
      <w:pPr>
        <w:pStyle w:val="857"/>
        <w:ind w:firstLine="480"/>
        <w:jc w:val="both"/>
        <w:keepLines w:val="0"/>
        <w:keepNext w:val="0"/>
        <w:pageBreakBefore w:val="0"/>
        <w:spacing w:beforeAutospacing="0" w:afterAutospacing="0" w:line="360" w:lineRule="exact"/>
        <w:widowControl w:val="off"/>
        <w:rPr>
          <w:sz w:val="24"/>
          <w:szCs w:val="24"/>
          <w:highlight w:val="none"/>
        </w:rPr>
      </w:pPr>
      <w:r>
        <w:rPr>
          <w:rFonts w:hint="eastAsia" w:ascii="宋体" w:hAnsi="宋体" w:eastAsia="宋体" w:cs="宋体"/>
          <w:color w:val="000000"/>
          <w:sz w:val="24"/>
          <w:szCs w:val="24"/>
          <w:highlight w:val="none"/>
        </w:rPr>
        <w:t xml:space="preserve">3.1乙方应按招标文件规定的时间向甲方提供服务（包含与服务相关的货物）的有关技术资料。</w:t>
      </w:r>
      <w:r/>
    </w:p>
    <w:p>
      <w:pPr>
        <w:pStyle w:val="857"/>
        <w:ind w:firstLine="480"/>
        <w:jc w:val="both"/>
        <w:keepLines w:val="0"/>
        <w:keepNext w:val="0"/>
        <w:pageBreakBefore w:val="0"/>
        <w:spacing w:beforeAutospacing="0" w:afterAutospacing="0" w:line="360" w:lineRule="exact"/>
        <w:widowControl w:val="off"/>
        <w:rPr>
          <w:sz w:val="24"/>
          <w:szCs w:val="24"/>
          <w:highlight w:val="none"/>
        </w:rPr>
      </w:pPr>
      <w:r>
        <w:rPr>
          <w:rFonts w:hint="eastAsia" w:ascii="宋体" w:hAnsi="宋体" w:eastAsia="宋体" w:cs="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57"/>
        <w:ind w:left="482" w:hanging="482"/>
        <w:jc w:val="both"/>
        <w:keepLines w:val="0"/>
        <w:keepNext w:val="0"/>
        <w:pageBreakBefore w:val="0"/>
        <w:spacing w:beforeAutospacing="0" w:afterAutospacing="0" w:line="360" w:lineRule="exact"/>
        <w:widowControl w:val="off"/>
        <w:rPr>
          <w:sz w:val="24"/>
          <w:szCs w:val="24"/>
          <w:highlight w:val="none"/>
        </w:rPr>
      </w:pPr>
      <w:r>
        <w:rPr>
          <w:rFonts w:hint="eastAsia" w:ascii="宋体" w:hAnsi="宋体" w:eastAsia="宋体" w:cs="宋体"/>
          <w:b/>
          <w:color w:val="000000"/>
          <w:sz w:val="24"/>
          <w:szCs w:val="24"/>
          <w:highlight w:val="none"/>
        </w:rPr>
        <w:t xml:space="preserve">四、知识产权</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4.1乙方应保证甲方在使用、接受本合同服务（包含与服务相关的货物）或其任何一部分时不受第三方提出侵犯其专利权、版权、商标权和工业设计权等知</w:t>
      </w:r>
      <w:r>
        <w:rPr>
          <w:rFonts w:hint="eastAsia" w:ascii="宋体" w:hAnsi="宋体" w:eastAsia="宋体" w:cs="宋体"/>
          <w:color w:val="000000"/>
          <w:sz w:val="24"/>
          <w:szCs w:val="24"/>
          <w:highlight w:val="none"/>
          <w:lang w:val="en-US" w:eastAsia="zh-CN"/>
        </w:rPr>
        <w:t xml:space="preserve">识产权的起诉。一旦出现侵权，由乙方负全部责任。</w:t>
      </w:r>
      <w:r/>
    </w:p>
    <w:p>
      <w:pPr>
        <w:pStyle w:val="857"/>
        <w:ind w:left="482" w:hanging="482"/>
        <w:jc w:val="both"/>
        <w:keepLines w:val="0"/>
        <w:keepNext w:val="0"/>
        <w:pageBreakBefore w:val="0"/>
        <w:spacing w:beforeAutospacing="0" w:afterAutospacing="0" w:line="360" w:lineRule="exact"/>
        <w:widowControl w:val="off"/>
        <w:rPr>
          <w:sz w:val="24"/>
          <w:szCs w:val="24"/>
          <w:highlight w:val="none"/>
        </w:rPr>
      </w:pPr>
      <w:r>
        <w:rPr>
          <w:rFonts w:hint="eastAsia" w:ascii="宋体" w:hAnsi="宋体" w:eastAsia="宋体" w:cs="宋体"/>
          <w:b/>
          <w:color w:val="000000"/>
          <w:sz w:val="24"/>
          <w:szCs w:val="24"/>
          <w:highlight w:val="none"/>
        </w:rPr>
        <w:t xml:space="preserve">五、产权担保</w:t>
      </w:r>
      <w:r/>
    </w:p>
    <w:p>
      <w:pPr>
        <w:pStyle w:val="857"/>
        <w:ind w:firstLine="480"/>
        <w:jc w:val="both"/>
        <w:keepLines w:val="0"/>
        <w:keepNext w:val="0"/>
        <w:pageBreakBefore w:val="0"/>
        <w:spacing w:beforeAutospacing="0" w:afterAutospacing="0" w:line="360" w:lineRule="exact"/>
        <w:widowControl w:val="off"/>
        <w:rPr>
          <w:sz w:val="24"/>
          <w:szCs w:val="24"/>
          <w:highlight w:val="none"/>
        </w:rPr>
      </w:pPr>
      <w:r>
        <w:rPr>
          <w:rFonts w:hint="eastAsia" w:ascii="宋体" w:hAnsi="宋体" w:eastAsia="宋体" w:cs="宋体"/>
          <w:color w:val="000000"/>
          <w:sz w:val="24"/>
          <w:szCs w:val="24"/>
          <w:highlight w:val="none"/>
        </w:rPr>
        <w:t xml:space="preserve">5.1乙方保证所交付的服务（包含与服务相关的货物）的所有权完全属于乙方且无任何抵押、查封等产权瑕疵。</w:t>
      </w:r>
      <w:r/>
    </w:p>
    <w:p>
      <w:pPr>
        <w:pStyle w:val="857"/>
        <w:ind w:left="482" w:hanging="482"/>
        <w:jc w:val="both"/>
        <w:keepLines w:val="0"/>
        <w:keepNext w:val="0"/>
        <w:pageBreakBefore w:val="0"/>
        <w:spacing w:beforeAutospacing="0" w:afterAutospacing="0" w:line="360" w:lineRule="exact"/>
        <w:widowControl w:val="off"/>
        <w:rPr>
          <w:sz w:val="24"/>
          <w:szCs w:val="24"/>
          <w:highlight w:val="none"/>
        </w:rPr>
      </w:pPr>
      <w:r>
        <w:rPr>
          <w:rFonts w:hint="eastAsia" w:ascii="宋体" w:hAnsi="宋体" w:eastAsia="宋体" w:cs="宋体"/>
          <w:b/>
          <w:color w:val="000000"/>
          <w:sz w:val="24"/>
          <w:szCs w:val="24"/>
          <w:highlight w:val="none"/>
        </w:rPr>
        <w:t xml:space="preserve">六、履约保证金</w:t>
      </w:r>
      <w:r/>
    </w:p>
    <w:p>
      <w:pPr>
        <w:pStyle w:val="857"/>
        <w:ind w:firstLine="480"/>
        <w:jc w:val="both"/>
        <w:keepLines w:val="0"/>
        <w:keepNext w:val="0"/>
        <w:pageBreakBefore w:val="0"/>
        <w:spacing w:beforeAutospacing="0" w:afterAutospacing="0" w:line="360" w:lineRule="exact"/>
        <w:widowControl w:val="off"/>
        <w:rPr>
          <w:rFonts w:ascii="SimSun" w:hAnsi="SimSun" w:eastAsia="SimSun" w:cs="SimSun"/>
          <w:color w:val="000000"/>
          <w:sz w:val="24"/>
          <w:szCs w:val="24"/>
        </w:rPr>
      </w:pPr>
      <w:r>
        <w:rPr>
          <w:rFonts w:hint="eastAsia" w:ascii="宋体" w:hAnsi="宋体" w:eastAsia="宋体" w:cs="宋体"/>
          <w:color w:val="000000"/>
          <w:sz w:val="24"/>
          <w:szCs w:val="24"/>
          <w:highlight w:val="none"/>
        </w:rPr>
        <w:t xml:space="preserve">6.1乙方交纳人民币</w:t>
      </w:r>
      <w:r>
        <w:rPr>
          <w:rFonts w:hint="eastAsia" w:ascii="宋体" w:hAnsi="宋体" w:eastAsia="宋体" w:cs="宋体"/>
          <w:color w:val="000000"/>
          <w:sz w:val="24"/>
          <w:szCs w:val="24"/>
          <w:highlight w:val="none"/>
          <w:u w:val="single"/>
          <w:lang w:val="en-US" w:eastAsia="zh-CN"/>
        </w:rPr>
        <w:t xml:space="preserve">10000.00</w:t>
      </w:r>
      <w:r>
        <w:rPr>
          <w:rFonts w:hint="eastAsia" w:ascii="宋体" w:hAnsi="宋体" w:eastAsia="宋体" w:cs="宋体"/>
          <w:color w:val="000000"/>
          <w:sz w:val="24"/>
          <w:szCs w:val="24"/>
          <w:highlight w:val="none"/>
        </w:rPr>
        <w:t xml:space="preserve">元作为本合同的履约保证金。</w:t>
      </w:r>
      <w:r>
        <w:rPr>
          <w:rFonts w:hint="eastAsia" w:ascii="宋体" w:hAnsi="宋体" w:eastAsia="宋体" w:cs="宋体"/>
          <w:color w:val="ff0000"/>
          <w:sz w:val="24"/>
          <w:szCs w:val="24"/>
          <w:highlight w:val="none"/>
        </w:rPr>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ff0000"/>
          <w:sz w:val="24"/>
          <w:szCs w:val="24"/>
          <w:highlight w:val="none"/>
        </w:rPr>
      </w:pPr>
      <w:r>
        <w:rPr>
          <w:rFonts w:ascii="SimSun" w:hAnsi="SimSun" w:eastAsia="SimSun" w:cs="SimSun"/>
          <w:color w:val="000000"/>
          <w:sz w:val="24"/>
        </w:rPr>
        <w:t xml:space="preserve">按《关于在政府采购活动中应用第三方信用报告落实“信易购”应用场景的通知》（东财购[2021]15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履约保证金（是/否）</w:t>
      </w:r>
      <w:r>
        <w:rPr>
          <w:rFonts w:ascii="SimSun" w:hAnsi="SimSun" w:eastAsia="SimSun" w:cs="SimSun"/>
          <w:color w:val="000000"/>
          <w:sz w:val="24"/>
          <w:u w:val="single"/>
        </w:rPr>
        <w:t xml:space="preserve"> 否 </w:t>
      </w:r>
      <w:r>
        <w:rPr>
          <w:rFonts w:ascii="SimSun" w:hAnsi="SimSun" w:eastAsia="SimSun" w:cs="SimSun"/>
          <w:color w:val="000000"/>
          <w:sz w:val="24"/>
        </w:rPr>
        <w:t xml:space="preserve">免收 ，降低履约保证金缴纳比例</w:t>
      </w:r>
      <w:r>
        <w:rPr>
          <w:rFonts w:ascii="SimSun" w:hAnsi="SimSun" w:eastAsia="SimSun" w:cs="SimSun"/>
          <w:color w:val="000000"/>
          <w:sz w:val="24"/>
          <w:u w:val="single"/>
        </w:rPr>
        <w:t xml:space="preserve"> 50% </w:t>
      </w:r>
      <w:r>
        <w:rPr>
          <w:rFonts w:ascii="SimSun" w:hAnsi="SimSun" w:eastAsia="SimSun" w:cs="SimSun"/>
          <w:color w:val="000000"/>
          <w:sz w:val="24"/>
        </w:rPr>
        <w:t xml:space="preserve">。</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2确需收取履约保证金的，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6.2.1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6.2.2 如以履约保函（保险）形式缴纳履约保证金，供应商可通过政府采购电子履约保函（保险）平台（www.jsdzbh.com）在线申请履约保函（保险）。</w:t>
      </w:r>
      <w:r/>
    </w:p>
    <w:p>
      <w:pPr>
        <w:pStyle w:val="857"/>
        <w:ind w:firstLine="480"/>
        <w:jc w:val="both"/>
        <w:keepLines w:val="0"/>
        <w:keepNext w:val="0"/>
        <w:pageBreakBefore w:val="0"/>
        <w:spacing w:beforeAutospacing="0" w:afterAutospacing="0" w:line="36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ind w:firstLine="480"/>
        <w:keepLines w:val="0"/>
        <w:keepNext w:val="0"/>
        <w:pageBreakBefore w:val="0"/>
        <w:spacing w:line="36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履约保证金的退还：</w:t>
      </w:r>
      <w:r/>
    </w:p>
    <w:p>
      <w:pPr>
        <w:ind w:firstLine="480"/>
        <w:keepLines w:val="0"/>
        <w:keepNext w:val="0"/>
        <w:pageBreakBefore w:val="0"/>
        <w:spacing w:line="36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.1方式：退还至投标人缴纳履约保证金的账户。如为保函，在到期时自行失效。</w:t>
      </w:r>
      <w:r/>
    </w:p>
    <w:p>
      <w:pPr>
        <w:ind w:firstLine="480"/>
        <w:keepLines w:val="0"/>
        <w:keepNext w:val="0"/>
        <w:pageBreakBefore w:val="0"/>
        <w:spacing w:line="36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.2时间：验收合格且采购人收到发票后30日内。</w:t>
      </w:r>
      <w:r/>
    </w:p>
    <w:p>
      <w:pPr>
        <w:ind w:firstLine="480"/>
        <w:keepLines w:val="0"/>
        <w:keepNext w:val="0"/>
        <w:pageBreakBefore w:val="0"/>
        <w:spacing w:line="36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.3条件：按合同要求全部履约完成并经采购人验收合格，且采购人收到中标人出具的发票。</w:t>
      </w:r>
      <w:r/>
    </w:p>
    <w:p>
      <w:pPr>
        <w:ind w:left="482" w:hanging="480"/>
        <w:keepLines w:val="0"/>
        <w:keepNext w:val="0"/>
        <w:pageBreakBefore w:val="0"/>
        <w:spacing w:line="36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.4不予退还情形：</w:t>
      </w:r>
      <w:r/>
    </w:p>
    <w:p>
      <w:pPr>
        <w:ind w:firstLine="480"/>
        <w:keepLines w:val="0"/>
        <w:keepNext w:val="0"/>
        <w:pageBreakBefore w:val="0"/>
        <w:spacing w:line="36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除不可抗力情况外，投标人出现下列情形之一的，其履约保证金，招标人将视情节决定不予退还或部分不予退还。</w:t>
      </w:r>
      <w:r/>
    </w:p>
    <w:p>
      <w:pPr>
        <w:ind w:firstLine="480"/>
        <w:keepLines w:val="0"/>
        <w:keepNext w:val="0"/>
        <w:pageBreakBefore w:val="0"/>
        <w:spacing w:line="36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ind w:left="479" w:firstLine="0"/>
        <w:keepLines w:val="0"/>
        <w:keepNext w:val="0"/>
        <w:pageBreakBefore w:val="0"/>
        <w:spacing w:line="36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（2）中标人不履行与采购人订立的合同的；</w:t>
      </w:r>
      <w:r/>
    </w:p>
    <w:p>
      <w:pPr>
        <w:ind w:left="479" w:firstLine="0"/>
        <w:keepLines w:val="0"/>
        <w:keepNext w:val="0"/>
        <w:pageBreakBefore w:val="0"/>
        <w:spacing w:line="36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（3）中标人所供货物或服务不符合招标文件规定要求的；</w:t>
      </w:r>
      <w:r/>
    </w:p>
    <w:p>
      <w:pPr>
        <w:ind w:left="479" w:firstLine="0"/>
        <w:keepLines w:val="0"/>
        <w:keepNext w:val="0"/>
        <w:pageBreakBefore w:val="0"/>
        <w:spacing w:line="36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（4）中标人采取欺骗、弄虚作假方式投标的或与其它投标人串通投标的；</w:t>
      </w:r>
      <w:r/>
    </w:p>
    <w:p>
      <w:pPr>
        <w:ind w:left="479" w:firstLine="0"/>
        <w:keepLines w:val="0"/>
        <w:keepNext w:val="0"/>
        <w:pageBreakBefore w:val="0"/>
        <w:spacing w:line="36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（5）中标人将合同内容转包、违法分包的；</w:t>
      </w:r>
      <w:r/>
    </w:p>
    <w:p>
      <w:pPr>
        <w:ind w:left="479" w:firstLine="0"/>
        <w:keepLines w:val="0"/>
        <w:keepNext w:val="0"/>
        <w:pageBreakBefore w:val="0"/>
        <w:spacing w:line="3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（6）中标人故意捏造事实或伪造证明材料，进行虚假恶意投诉或反映的。</w:t>
      </w:r>
      <w:r/>
    </w:p>
    <w:p>
      <w:pPr>
        <w:ind w:firstLine="480"/>
        <w:keepLines w:val="0"/>
        <w:keepNext w:val="0"/>
        <w:pageBreakBefore w:val="0"/>
        <w:spacing w:line="36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857"/>
        <w:ind w:left="482" w:hanging="482"/>
        <w:jc w:val="both"/>
        <w:keepLines w:val="0"/>
        <w:keepNext w:val="0"/>
        <w:pageBreakBefore w:val="0"/>
        <w:spacing w:beforeAutospacing="0" w:afterAutospacing="0" w:line="360" w:lineRule="exact"/>
        <w:widowControl w:val="off"/>
        <w:rPr>
          <w:sz w:val="24"/>
          <w:szCs w:val="24"/>
          <w:highlight w:val="none"/>
        </w:rPr>
      </w:pPr>
      <w:r>
        <w:rPr>
          <w:rFonts w:hint="eastAsia" w:ascii="宋体" w:hAnsi="宋体" w:eastAsia="宋体" w:cs="宋体"/>
          <w:b/>
          <w:color w:val="000000"/>
          <w:sz w:val="24"/>
          <w:szCs w:val="24"/>
          <w:highlight w:val="none"/>
        </w:rPr>
        <w:t xml:space="preserve">七、合同转包或分包</w:t>
      </w:r>
      <w:r/>
    </w:p>
    <w:p>
      <w:pPr>
        <w:pStyle w:val="857"/>
        <w:ind w:left="479" w:firstLine="0"/>
        <w:jc w:val="both"/>
        <w:keepLines w:val="0"/>
        <w:keepNext w:val="0"/>
        <w:pageBreakBefore w:val="0"/>
        <w:spacing w:beforeAutospacing="0" w:afterAutospacing="0" w:line="360" w:lineRule="exact"/>
        <w:widowControl w:val="off"/>
        <w:rPr>
          <w:sz w:val="24"/>
          <w:szCs w:val="24"/>
          <w:highlight w:val="none"/>
        </w:rPr>
      </w:pPr>
      <w:r>
        <w:rPr>
          <w:rFonts w:hint="eastAsia" w:ascii="宋体" w:hAnsi="宋体" w:eastAsia="宋体" w:cs="宋体"/>
          <w:color w:val="000000"/>
          <w:sz w:val="24"/>
          <w:szCs w:val="24"/>
          <w:highlight w:val="none"/>
        </w:rPr>
        <w:t xml:space="preserve">7.1乙方不得将合同标的转包给他人履行。</w:t>
      </w:r>
      <w:r/>
    </w:p>
    <w:p>
      <w:pPr>
        <w:pStyle w:val="857"/>
        <w:ind w:left="479" w:firstLine="0"/>
        <w:jc w:val="both"/>
        <w:keepLines w:val="0"/>
        <w:keepNext w:val="0"/>
        <w:pageBreakBefore w:val="0"/>
        <w:spacing w:beforeAutospacing="0" w:afterAutospacing="0" w:line="360" w:lineRule="exact"/>
        <w:widowControl w:val="off"/>
        <w:rPr>
          <w:sz w:val="24"/>
          <w:szCs w:val="24"/>
          <w:highlight w:val="none"/>
        </w:rPr>
      </w:pPr>
      <w:r>
        <w:rPr>
          <w:rFonts w:hint="eastAsia" w:ascii="宋体" w:hAnsi="宋体" w:eastAsia="宋体" w:cs="宋体"/>
          <w:color w:val="000000"/>
          <w:sz w:val="24"/>
          <w:szCs w:val="24"/>
          <w:highlight w:val="none"/>
        </w:rPr>
        <w:t xml:space="preserve">7.2乙方不得将合同标的分包给他人履行。</w:t>
      </w:r>
      <w:r/>
    </w:p>
    <w:p>
      <w:pPr>
        <w:pStyle w:val="857"/>
        <w:ind w:left="479" w:firstLine="0"/>
        <w:jc w:val="both"/>
        <w:keepLines w:val="0"/>
        <w:keepNext w:val="0"/>
        <w:pageBreakBefore w:val="0"/>
        <w:spacing w:beforeAutospacing="0" w:afterAutospacing="0" w:line="360" w:lineRule="exact"/>
        <w:widowControl w:val="off"/>
        <w:rPr>
          <w:sz w:val="24"/>
          <w:szCs w:val="24"/>
          <w:highlight w:val="none"/>
        </w:rPr>
      </w:pPr>
      <w:r>
        <w:rPr>
          <w:rFonts w:hint="eastAsia" w:ascii="宋体" w:hAnsi="宋体" w:eastAsia="宋体" w:cs="宋体"/>
          <w:color w:val="000000"/>
          <w:sz w:val="24"/>
          <w:szCs w:val="24"/>
          <w:highlight w:val="none"/>
        </w:rPr>
        <w:t xml:space="preserve">7.3乙方如有转包或未经甲方同意的分包行为，甲方有权解除合同。</w:t>
      </w:r>
      <w:r/>
    </w:p>
    <w:p>
      <w:pPr>
        <w:pStyle w:val="857"/>
        <w:ind w:left="482" w:hanging="482"/>
        <w:jc w:val="both"/>
        <w:keepLines w:val="0"/>
        <w:keepNext w:val="0"/>
        <w:pageBreakBefore w:val="0"/>
        <w:spacing w:beforeAutospacing="0" w:afterAutospacing="0" w:line="360" w:lineRule="exact"/>
        <w:widowControl w:val="off"/>
        <w:rPr>
          <w:sz w:val="24"/>
          <w:szCs w:val="24"/>
          <w:highlight w:val="none"/>
        </w:rPr>
      </w:pPr>
      <w:r>
        <w:rPr>
          <w:rFonts w:hint="eastAsia" w:ascii="宋体" w:hAnsi="宋体" w:eastAsia="宋体" w:cs="宋体"/>
          <w:b/>
          <w:color w:val="000000"/>
          <w:sz w:val="24"/>
          <w:szCs w:val="24"/>
          <w:highlight w:val="none"/>
        </w:rPr>
        <w:t xml:space="preserve">八、合同款项支付</w:t>
      </w:r>
      <w:r/>
    </w:p>
    <w:p>
      <w:pPr>
        <w:pStyle w:val="857"/>
        <w:ind w:left="479" w:firstLine="0"/>
        <w:jc w:val="both"/>
        <w:keepLines w:val="0"/>
        <w:keepNext w:val="0"/>
        <w:pageBreakBefore w:val="0"/>
        <w:spacing w:beforeAutospacing="0" w:afterAutospacing="0" w:line="360" w:lineRule="exact"/>
        <w:widowControl w:val="off"/>
        <w:rPr>
          <w:sz w:val="24"/>
          <w:szCs w:val="24"/>
          <w:highlight w:val="none"/>
        </w:rPr>
      </w:pPr>
      <w:r>
        <w:rPr>
          <w:rFonts w:hint="eastAsia" w:ascii="宋体" w:hAnsi="宋体" w:eastAsia="宋体" w:cs="宋体"/>
          <w:color w:val="000000"/>
          <w:sz w:val="24"/>
          <w:szCs w:val="24"/>
          <w:highlight w:val="none"/>
        </w:rPr>
        <w:t xml:space="preserve">8.1合同款项的支付方式及进度安排</w:t>
      </w:r>
      <w:r/>
    </w:p>
    <w:p>
      <w:pPr>
        <w:pStyle w:val="857"/>
        <w:ind w:firstLine="480"/>
        <w:jc w:val="both"/>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8.1.1 </w:t>
      </w:r>
      <w:r>
        <w:rPr>
          <w:rFonts w:hint="eastAsia" w:ascii="宋体" w:hAnsi="宋体" w:eastAsia="宋体" w:cs="宋体"/>
          <w:color w:val="000000"/>
          <w:sz w:val="24"/>
          <w:szCs w:val="24"/>
          <w:highlight w:val="none"/>
          <w:lang w:val="en-US" w:eastAsia="zh-CN"/>
        </w:rPr>
        <w:t xml:space="preserve">本项目落实预付款制度，预付款比例为</w:t>
      </w:r>
      <w:r>
        <w:rPr>
          <w:rFonts w:hint="eastAsia" w:ascii="宋体" w:hAnsi="宋体" w:eastAsia="宋体" w:cs="宋体"/>
          <w:color w:val="ff0000"/>
          <w:sz w:val="24"/>
          <w:szCs w:val="24"/>
          <w:highlight w:val="none"/>
          <w:u w:val="single"/>
          <w:lang w:val="en-US" w:eastAsia="zh-CN"/>
        </w:rPr>
        <w:t xml:space="preserve">30</w:t>
      </w:r>
      <w:r>
        <w:rPr>
          <w:rFonts w:hint="eastAsia" w:ascii="宋体" w:hAnsi="宋体" w:eastAsia="宋体" w:cs="宋体"/>
          <w:color w:val="ff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。在签订合同时，中标、成交供应商明确书面表示无需预付款或者主动要求降低预付款比例的，采购人可就预付款比例作相应调整。</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8.1.2 项目完成并通过甲方验收</w:t>
      </w:r>
      <w:r>
        <w:rPr>
          <w:rFonts w:hint="eastAsia" w:ascii="宋体" w:hAnsi="宋体" w:eastAsia="宋体" w:cs="宋体"/>
          <w:color w:val="000000"/>
          <w:sz w:val="24"/>
          <w:szCs w:val="24"/>
          <w:highlight w:val="none"/>
          <w:lang w:val="en-US" w:eastAsia="zh-CN"/>
        </w:rPr>
        <w:t xml:space="preserve">后</w:t>
      </w:r>
      <w:r>
        <w:rPr>
          <w:rFonts w:hint="eastAsia" w:ascii="宋体" w:hAnsi="宋体" w:eastAsia="宋体" w:cs="宋体"/>
          <w:color w:val="000000"/>
          <w:sz w:val="24"/>
          <w:szCs w:val="24"/>
          <w:highlight w:val="none"/>
        </w:rPr>
        <w:t xml:space="preserve">，按照成交单价和实际完成工作量</w:t>
      </w:r>
      <w:r>
        <w:rPr>
          <w:rFonts w:hint="eastAsia" w:ascii="宋体" w:hAnsi="宋体" w:eastAsia="宋体" w:cs="宋体"/>
          <w:color w:val="000000"/>
          <w:sz w:val="24"/>
          <w:szCs w:val="24"/>
          <w:highlight w:val="none"/>
          <w:lang w:val="en-US" w:eastAsia="zh-CN"/>
        </w:rPr>
        <w:t xml:space="preserve">进行审计</w:t>
      </w: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val="en-US" w:eastAsia="zh-CN"/>
        </w:rPr>
        <w:t xml:space="preserve">按审计价款</w:t>
      </w:r>
      <w:r>
        <w:rPr>
          <w:rFonts w:hint="eastAsia" w:ascii="宋体" w:hAnsi="宋体" w:eastAsia="宋体" w:cs="宋体"/>
          <w:color w:val="000000"/>
          <w:sz w:val="24"/>
          <w:szCs w:val="24"/>
          <w:highlight w:val="none"/>
        </w:rPr>
        <w:t xml:space="preserve">开具发票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甲方予以结算</w:t>
      </w:r>
      <w:r>
        <w:rPr>
          <w:rFonts w:hint="eastAsia" w:ascii="宋体" w:hAnsi="宋体" w:eastAsia="宋体" w:cs="宋体"/>
          <w:color w:val="000000"/>
          <w:sz w:val="24"/>
          <w:szCs w:val="24"/>
          <w:highlight w:val="none"/>
          <w:lang w:val="en-US" w:eastAsia="zh-CN"/>
        </w:rPr>
        <w:t xml:space="preserve">合同款的90%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质量保质期（2年）结束，付至合同款的100%。</w:t>
      </w:r>
      <w:r/>
    </w:p>
    <w:p>
      <w:pPr>
        <w:pStyle w:val="857"/>
        <w:ind w:left="482" w:hanging="482"/>
        <w:jc w:val="both"/>
        <w:keepLines w:val="0"/>
        <w:keepNext w:val="0"/>
        <w:pageBreakBefore w:val="0"/>
        <w:spacing w:beforeAutospacing="0" w:afterAutospacing="0" w:line="360" w:lineRule="exact"/>
        <w:widowControl w:val="off"/>
        <w:rPr>
          <w:sz w:val="24"/>
          <w:szCs w:val="24"/>
          <w:highlight w:val="none"/>
        </w:rPr>
      </w:pPr>
      <w:r>
        <w:rPr>
          <w:rFonts w:hint="eastAsia" w:ascii="宋体" w:hAnsi="宋体" w:eastAsia="宋体" w:cs="宋体"/>
          <w:b/>
          <w:color w:val="000000"/>
          <w:sz w:val="24"/>
          <w:szCs w:val="24"/>
          <w:highlight w:val="none"/>
        </w:rPr>
        <w:t xml:space="preserve">九、税费</w:t>
      </w:r>
      <w:r/>
    </w:p>
    <w:p>
      <w:pPr>
        <w:pStyle w:val="857"/>
        <w:ind w:left="479" w:firstLine="0"/>
        <w:jc w:val="both"/>
        <w:keepLines w:val="0"/>
        <w:keepNext w:val="0"/>
        <w:pageBreakBefore w:val="0"/>
        <w:spacing w:beforeAutospacing="0" w:afterAutospacing="0" w:line="360" w:lineRule="exact"/>
        <w:widowControl w:val="off"/>
        <w:rPr>
          <w:sz w:val="24"/>
          <w:szCs w:val="24"/>
          <w:highlight w:val="none"/>
        </w:rPr>
      </w:pPr>
      <w:r>
        <w:rPr>
          <w:rFonts w:hint="eastAsia" w:ascii="宋体" w:hAnsi="宋体" w:eastAsia="宋体" w:cs="宋体"/>
          <w:color w:val="000000"/>
          <w:sz w:val="24"/>
          <w:szCs w:val="24"/>
          <w:highlight w:val="none"/>
        </w:rPr>
        <w:t xml:space="preserve">9.1本合同执行中相关的一切税费均由乙方负担。</w:t>
      </w:r>
      <w:r/>
    </w:p>
    <w:p>
      <w:pPr>
        <w:pStyle w:val="857"/>
        <w:ind w:left="482" w:hanging="482"/>
        <w:jc w:val="both"/>
        <w:keepLines w:val="0"/>
        <w:keepNext w:val="0"/>
        <w:pageBreakBefore w:val="0"/>
        <w:spacing w:beforeAutospacing="0" w:afterAutospacing="0" w:line="360" w:lineRule="exact"/>
        <w:widowControl w:val="off"/>
        <w:rPr>
          <w:sz w:val="24"/>
          <w:szCs w:val="24"/>
          <w:highlight w:val="none"/>
        </w:rPr>
      </w:pPr>
      <w:r>
        <w:rPr>
          <w:rFonts w:hint="eastAsia" w:ascii="宋体" w:hAnsi="宋体" w:eastAsia="宋体" w:cs="宋体"/>
          <w:b/>
          <w:color w:val="000000"/>
          <w:sz w:val="24"/>
          <w:szCs w:val="24"/>
          <w:highlight w:val="none"/>
        </w:rPr>
        <w:t xml:space="preserve">十、项目验收</w:t>
      </w:r>
      <w:r/>
    </w:p>
    <w:p>
      <w:pPr>
        <w:pStyle w:val="857"/>
        <w:ind w:firstLine="480"/>
        <w:jc w:val="both"/>
        <w:keepLines w:val="0"/>
        <w:keepNext w:val="0"/>
        <w:pageBreakBefore w:val="0"/>
        <w:spacing w:beforeAutospacing="0" w:afterAutospacing="0" w:line="360" w:lineRule="exact"/>
        <w:widowControl w:val="off"/>
        <w:rPr>
          <w:sz w:val="24"/>
          <w:szCs w:val="24"/>
          <w:highlight w:val="none"/>
        </w:rPr>
      </w:pPr>
      <w:r>
        <w:rPr>
          <w:rFonts w:hint="eastAsia" w:ascii="宋体" w:hAnsi="宋体" w:eastAsia="宋体" w:cs="宋体"/>
          <w:color w:val="000000"/>
          <w:sz w:val="24"/>
          <w:szCs w:val="24"/>
          <w:highlight w:val="none"/>
        </w:rPr>
        <w:t xml:space="preserve">10.1甲方依法组织履约验收工作。</w:t>
      </w:r>
      <w:r/>
    </w:p>
    <w:p>
      <w:pPr>
        <w:pStyle w:val="857"/>
        <w:ind w:firstLine="480"/>
        <w:jc w:val="both"/>
        <w:keepLines w:val="0"/>
        <w:keepNext w:val="0"/>
        <w:pageBreakBefore w:val="0"/>
        <w:spacing w:beforeAutospacing="0" w:afterAutospacing="0" w:line="360" w:lineRule="exact"/>
        <w:widowControl w:val="off"/>
        <w:rPr>
          <w:sz w:val="24"/>
          <w:szCs w:val="24"/>
          <w:highlight w:val="none"/>
        </w:rPr>
      </w:pPr>
      <w:r>
        <w:rPr>
          <w:rFonts w:hint="eastAsia" w:ascii="宋体" w:hAnsi="宋体" w:eastAsia="宋体" w:cs="宋体"/>
          <w:color w:val="000000"/>
          <w:sz w:val="24"/>
          <w:szCs w:val="24"/>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57"/>
        <w:ind w:firstLine="480"/>
        <w:jc w:val="both"/>
        <w:keepLines w:val="0"/>
        <w:keepNext w:val="0"/>
        <w:pageBreakBefore w:val="0"/>
        <w:spacing w:beforeAutospacing="0" w:afterAutospacing="0" w:line="360" w:lineRule="exact"/>
        <w:widowControl w:val="off"/>
        <w:rPr>
          <w:sz w:val="24"/>
          <w:szCs w:val="24"/>
          <w:highlight w:val="none"/>
        </w:rPr>
      </w:pPr>
      <w:r>
        <w:rPr>
          <w:rFonts w:hint="eastAsia" w:ascii="宋体" w:hAnsi="宋体" w:eastAsia="宋体" w:cs="宋体"/>
          <w:color w:val="000000"/>
          <w:sz w:val="24"/>
          <w:szCs w:val="24"/>
          <w:highlight w:val="none"/>
        </w:rPr>
        <w:t xml:space="preserve">10.3对于实际使用人和甲方分离的项目，甲方邀请实际使用人参与验收。</w:t>
      </w:r>
      <w:r/>
    </w:p>
    <w:p>
      <w:pPr>
        <w:pStyle w:val="857"/>
        <w:ind w:firstLine="480"/>
        <w:jc w:val="both"/>
        <w:keepLines w:val="0"/>
        <w:keepNext w:val="0"/>
        <w:pageBreakBefore w:val="0"/>
        <w:spacing w:beforeAutospacing="0" w:afterAutospacing="0" w:line="360" w:lineRule="exact"/>
        <w:widowControl w:val="off"/>
        <w:rPr>
          <w:sz w:val="24"/>
          <w:szCs w:val="24"/>
          <w:highlight w:val="none"/>
        </w:rPr>
      </w:pPr>
      <w:r>
        <w:rPr>
          <w:rFonts w:hint="eastAsia" w:ascii="宋体" w:hAnsi="宋体" w:eastAsia="宋体" w:cs="宋体"/>
          <w:color w:val="000000"/>
          <w:sz w:val="24"/>
          <w:szCs w:val="24"/>
          <w:highlight w:val="none"/>
        </w:rPr>
        <w:t xml:space="preserve">10.4如有必要，甲方邀请参加本项目的其他供应商或第三方专业机构及专家参与验收，相关意见将作为验收书的参考资料。</w:t>
      </w:r>
      <w:r/>
    </w:p>
    <w:p>
      <w:pPr>
        <w:pStyle w:val="857"/>
        <w:ind w:firstLine="480"/>
        <w:jc w:val="both"/>
        <w:keepLines w:val="0"/>
        <w:keepNext w:val="0"/>
        <w:pageBreakBefore w:val="0"/>
        <w:spacing w:beforeAutospacing="0" w:afterAutospacing="0" w:line="360" w:lineRule="exact"/>
        <w:widowControl w:val="off"/>
        <w:rPr>
          <w:sz w:val="24"/>
          <w:szCs w:val="24"/>
          <w:highlight w:val="none"/>
        </w:rPr>
      </w:pPr>
      <w:r>
        <w:rPr>
          <w:rFonts w:hint="eastAsia" w:ascii="宋体" w:hAnsi="宋体" w:eastAsia="宋体" w:cs="宋体"/>
          <w:color w:val="000000"/>
          <w:sz w:val="24"/>
          <w:szCs w:val="24"/>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57"/>
        <w:ind w:firstLine="480"/>
        <w:jc w:val="both"/>
        <w:keepLines w:val="0"/>
        <w:keepNext w:val="0"/>
        <w:pageBreakBefore w:val="0"/>
        <w:spacing w:beforeAutospacing="0" w:afterAutospacing="0" w:line="360" w:lineRule="exact"/>
        <w:widowControl w:val="off"/>
        <w:rPr>
          <w:sz w:val="24"/>
          <w:szCs w:val="24"/>
          <w:highlight w:val="none"/>
        </w:rPr>
      </w:pPr>
      <w:r>
        <w:rPr>
          <w:rFonts w:hint="eastAsia" w:ascii="宋体" w:hAnsi="宋体" w:eastAsia="宋体" w:cs="宋体"/>
          <w:color w:val="000000"/>
          <w:sz w:val="24"/>
          <w:szCs w:val="24"/>
          <w:highlight w:val="none"/>
        </w:rPr>
        <w:t xml:space="preserve">10.6验收合格的项目,甲方根据采购合同的约定及时向乙方支付合同款项、退还履约保证金。验收不合格的项目，甲方依法及时处理。采购合同的履行、违约责任和解决争议的方式等适用《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000000"/>
          <w:sz w:val="24"/>
          <w:szCs w:val="24"/>
          <w:highlight w:val="none"/>
        </w:rPr>
        <w:t xml:space="preserve">中华</w:t>
      </w:r>
      <w:r>
        <w:rPr>
          <w:rFonts w:hint="eastAsia" w:ascii="宋体" w:hAnsi="宋体" w:eastAsia="宋体" w:cs="宋体"/>
          <w:color w:val="000000"/>
          <w:sz w:val="24"/>
          <w:szCs w:val="24"/>
          <w:highlight w:val="none"/>
        </w:rPr>
        <w:t xml:space="preserve">人民</w:t>
      </w:r>
      <w:r>
        <w:rPr>
          <w:rFonts w:hint="eastAsia" w:ascii="宋体" w:hAnsi="宋体" w:eastAsia="宋体" w:cs="宋体"/>
          <w:color w:val="000000"/>
          <w:sz w:val="24"/>
          <w:szCs w:val="24"/>
          <w:highlight w:val="none"/>
        </w:rPr>
        <w:t xml:space="preserve">共和国</w:t>
      </w:r>
      <w:r>
        <w:rPr>
          <w:rFonts w:hint="eastAsia" w:ascii="宋体" w:hAnsi="宋体" w:eastAsia="宋体" w:cs="宋体"/>
          <w:color w:val="000000"/>
          <w:sz w:val="24"/>
          <w:szCs w:val="24"/>
          <w:highlight w:val="none"/>
        </w:rPr>
        <w:t xml:space="preserve">民法典》。乙方在履约过程中有政府采购法律法规规定的违法违规情形的,甲方将及时报告本级财政部门。</w:t>
      </w:r>
      <w:r/>
    </w:p>
    <w:p>
      <w:pPr>
        <w:pStyle w:val="857"/>
        <w:ind w:left="482" w:hanging="482"/>
        <w:jc w:val="both"/>
        <w:keepLines w:val="0"/>
        <w:keepNext w:val="0"/>
        <w:pageBreakBefore w:val="0"/>
        <w:spacing w:beforeAutospacing="0" w:afterAutospacing="0" w:line="360" w:lineRule="exact"/>
        <w:widowControl w:val="off"/>
        <w:rPr>
          <w:sz w:val="24"/>
          <w:szCs w:val="24"/>
          <w:highlight w:val="none"/>
        </w:rPr>
      </w:pPr>
      <w:r>
        <w:rPr>
          <w:rFonts w:hint="eastAsia" w:ascii="宋体" w:hAnsi="宋体" w:eastAsia="宋体" w:cs="宋体"/>
          <w:b/>
          <w:color w:val="000000"/>
          <w:sz w:val="24"/>
          <w:szCs w:val="24"/>
          <w:highlight w:val="none"/>
        </w:rPr>
        <w:t xml:space="preserve">十一、违约责任</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11.1一方不按期履行合同，并经另一方提示后</w:t>
      </w:r>
      <w:r>
        <w:rPr>
          <w:rFonts w:hint="eastAsia" w:ascii="宋体" w:hAnsi="宋体" w:eastAsia="宋体" w:cs="宋体"/>
          <w:color w:val="000000"/>
          <w:sz w:val="24"/>
          <w:szCs w:val="24"/>
          <w:highlight w:val="none"/>
          <w:u w:val="single"/>
        </w:rPr>
        <w:t xml:space="preserve"> 7 </w:t>
      </w:r>
      <w:r>
        <w:rPr>
          <w:rFonts w:hint="eastAsia" w:ascii="宋体" w:hAnsi="宋体" w:eastAsia="宋体" w:cs="宋体"/>
          <w:color w:val="000000"/>
          <w:sz w:val="24"/>
          <w:szCs w:val="24"/>
          <w:highlight w:val="none"/>
        </w:rPr>
        <w:t xml:space="preserve">日内仍不履行合同的，守约方有权解除合同，违约方要承担相应的法律责任。</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11.2对因管理不善或未经甲方同意，造成甲方数据泄密的，甲方有权解除合同，且费用不予结算，并保留继续追究乙方法律责任的权利。</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11.3如因一方违约，双方未能就赔偿损失达成协议，引起诉讼时，违约方除应赔偿对方经济损失外，还应承担因诉讼支出的诉讼费、律师代理费等相关费用。</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11.4乙方所提供服务的标准不符合合同规定及招标文件规定标准的，甲方有权拒绝接受服务，并可单方面解除合同。</w:t>
      </w:r>
      <w:r/>
    </w:p>
    <w:p>
      <w:pPr>
        <w:pStyle w:val="857"/>
        <w:ind w:left="0" w:firstLine="482"/>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11.5乙方逾期提供服务的，延迟按</w:t>
      </w:r>
      <w:r>
        <w:rPr>
          <w:rFonts w:hint="eastAsia" w:ascii="宋体" w:hAnsi="宋体" w:eastAsia="宋体" w:cs="宋体"/>
          <w:color w:val="000000"/>
          <w:sz w:val="24"/>
          <w:szCs w:val="24"/>
          <w:highlight w:val="none"/>
          <w:u w:val="single"/>
          <w:lang w:val="en-US" w:eastAsia="zh-CN"/>
        </w:rPr>
        <w:t xml:space="preserve">200元/天</w:t>
      </w:r>
      <w:r>
        <w:rPr>
          <w:rFonts w:hint="eastAsia" w:ascii="宋体" w:hAnsi="宋体" w:eastAsia="宋体" w:cs="宋体"/>
          <w:color w:val="000000"/>
          <w:sz w:val="24"/>
          <w:szCs w:val="24"/>
          <w:highlight w:val="none"/>
          <w:lang w:val="en-US" w:eastAsia="zh-CN"/>
        </w:rPr>
        <w:t xml:space="preserve">罚款，由甲方从待付合同款项中扣除。逾期超过约定日期10个工作日不能提供服务的，甲方可解除本合同。乙方因逾期提供服务或因其他违约行为导致甲方解除合同的，乙方应向甲方支付合同价款总额5%的违约金，如造成甲方损失超过违约金的，超出部分由乙方继续承担赔偿责任。</w:t>
      </w:r>
      <w:r/>
    </w:p>
    <w:p>
      <w:pPr>
        <w:pStyle w:val="857"/>
        <w:ind w:left="0" w:firstLine="482"/>
        <w:jc w:val="both"/>
        <w:keepLines w:val="0"/>
        <w:keepNext w:val="0"/>
        <w:pageBreakBefore w:val="0"/>
        <w:spacing w:before="120" w:beforeAutospacing="0" w:after="12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11.6乙方承诺的常驻镇区工作人员不得随意更换，如需更换需经甲方同意，如不经甲方同意私自更换，罚款</w:t>
      </w:r>
      <w:r>
        <w:rPr>
          <w:rFonts w:hint="eastAsia" w:ascii="宋体" w:hAnsi="宋体" w:eastAsia="宋体" w:cs="宋体"/>
          <w:color w:val="000000"/>
          <w:sz w:val="24"/>
          <w:szCs w:val="24"/>
          <w:highlight w:val="none"/>
          <w:u w:val="single"/>
          <w:lang w:val="en-US" w:eastAsia="zh-CN"/>
        </w:rPr>
        <w:t xml:space="preserve">200元/人/天</w:t>
      </w:r>
      <w:r>
        <w:rPr>
          <w:rFonts w:hint="eastAsia" w:ascii="宋体" w:hAnsi="宋体" w:eastAsia="宋体" w:cs="宋体"/>
          <w:color w:val="000000"/>
          <w:sz w:val="24"/>
          <w:szCs w:val="24"/>
          <w:highlight w:val="none"/>
          <w:lang w:val="en-US" w:eastAsia="zh-CN"/>
        </w:rPr>
        <w:t xml:space="preserve">；常驻工作人员工作日不在岗，罚款</w:t>
      </w:r>
      <w:r>
        <w:rPr>
          <w:rFonts w:hint="eastAsia" w:ascii="宋体" w:hAnsi="宋体" w:eastAsia="宋体" w:cs="宋体"/>
          <w:color w:val="000000"/>
          <w:sz w:val="24"/>
          <w:szCs w:val="24"/>
          <w:highlight w:val="none"/>
          <w:u w:val="single"/>
          <w:lang w:val="en-US" w:eastAsia="zh-CN"/>
        </w:rPr>
        <w:t xml:space="preserve">200元/人/天</w:t>
      </w:r>
      <w:r>
        <w:rPr>
          <w:rFonts w:hint="eastAsia" w:ascii="宋体" w:hAnsi="宋体" w:eastAsia="宋体" w:cs="宋体"/>
          <w:color w:val="000000"/>
          <w:sz w:val="24"/>
          <w:szCs w:val="24"/>
          <w:highlight w:val="none"/>
          <w:lang w:val="en-US" w:eastAsia="zh-CN"/>
        </w:rPr>
        <w:t xml:space="preserve">；多次发现且拒不整改且给甲方项目推进造成影响的，甲方有权单方面解除合同。</w:t>
      </w:r>
      <w:r/>
    </w:p>
    <w:p>
      <w:pPr>
        <w:pStyle w:val="857"/>
        <w:ind w:left="482" w:hanging="482"/>
        <w:jc w:val="both"/>
        <w:keepLines w:val="0"/>
        <w:keepNext w:val="0"/>
        <w:pageBreakBefore w:val="0"/>
        <w:spacing w:beforeAutospacing="0" w:afterAutospacing="0" w:line="360" w:lineRule="exact"/>
        <w:widowControl w:val="off"/>
        <w:rPr>
          <w:sz w:val="24"/>
          <w:szCs w:val="24"/>
          <w:highlight w:val="none"/>
        </w:rPr>
      </w:pPr>
      <w:r>
        <w:rPr>
          <w:rFonts w:hint="eastAsia" w:ascii="宋体" w:hAnsi="宋体" w:eastAsia="宋体" w:cs="宋体"/>
          <w:b/>
          <w:color w:val="000000"/>
          <w:sz w:val="24"/>
          <w:szCs w:val="24"/>
          <w:highlight w:val="none"/>
        </w:rPr>
        <w:t xml:space="preserve">十二、不可抗力事件处理</w:t>
      </w:r>
      <w:r/>
    </w:p>
    <w:p>
      <w:pPr>
        <w:pStyle w:val="857"/>
        <w:ind w:firstLine="480"/>
        <w:jc w:val="both"/>
        <w:keepLines w:val="0"/>
        <w:keepNext w:val="0"/>
        <w:pageBreakBefore w:val="0"/>
        <w:spacing w:beforeAutospacing="0" w:afterAutospacing="0" w:line="360" w:lineRule="exact"/>
        <w:widowControl w:val="off"/>
        <w:rPr>
          <w:sz w:val="24"/>
          <w:szCs w:val="24"/>
          <w:highlight w:val="none"/>
        </w:rPr>
      </w:pPr>
      <w:r>
        <w:rPr>
          <w:rFonts w:hint="eastAsia" w:ascii="宋体" w:hAnsi="宋体" w:eastAsia="宋体" w:cs="宋体"/>
          <w:color w:val="000000"/>
          <w:sz w:val="24"/>
          <w:szCs w:val="24"/>
          <w:highlight w:val="none"/>
        </w:rPr>
        <w:t xml:space="preserve">12.1在合同有效期内，任何一方因不可抗力事件导致不能履行合同，则合同履行期可延长，其延长期与不可抗力影响期相同。</w:t>
      </w:r>
      <w:r/>
    </w:p>
    <w:p>
      <w:pPr>
        <w:pStyle w:val="857"/>
        <w:ind w:firstLine="480"/>
        <w:jc w:val="both"/>
        <w:keepLines w:val="0"/>
        <w:keepNext w:val="0"/>
        <w:pageBreakBefore w:val="0"/>
        <w:spacing w:beforeAutospacing="0" w:afterAutospacing="0" w:line="360" w:lineRule="exact"/>
        <w:widowControl w:val="off"/>
        <w:rPr>
          <w:sz w:val="24"/>
          <w:szCs w:val="24"/>
          <w:highlight w:val="none"/>
        </w:rPr>
      </w:pPr>
      <w:r>
        <w:rPr>
          <w:rFonts w:hint="eastAsia" w:ascii="宋体" w:hAnsi="宋体" w:eastAsia="宋体" w:cs="宋体"/>
          <w:color w:val="000000"/>
          <w:sz w:val="24"/>
          <w:szCs w:val="24"/>
          <w:highlight w:val="none"/>
        </w:rPr>
        <w:t xml:space="preserve">12.2不可抗力事件发生后，应立即通知对方，并寄送有关权威机构出具的证明。</w:t>
      </w:r>
      <w:r/>
    </w:p>
    <w:p>
      <w:pPr>
        <w:pStyle w:val="857"/>
        <w:ind w:firstLine="480"/>
        <w:jc w:val="both"/>
        <w:keepLines w:val="0"/>
        <w:keepNext w:val="0"/>
        <w:pageBreakBefore w:val="0"/>
        <w:spacing w:beforeAutospacing="0" w:afterAutospacing="0" w:line="360" w:lineRule="exact"/>
        <w:widowControl w:val="off"/>
        <w:rPr>
          <w:sz w:val="24"/>
          <w:szCs w:val="24"/>
          <w:highlight w:val="none"/>
        </w:rPr>
      </w:pPr>
      <w:r>
        <w:rPr>
          <w:rFonts w:hint="eastAsia" w:ascii="宋体" w:hAnsi="宋体" w:eastAsia="宋体" w:cs="宋体"/>
          <w:color w:val="000000"/>
          <w:sz w:val="24"/>
          <w:szCs w:val="24"/>
          <w:highlight w:val="none"/>
        </w:rPr>
        <w:t xml:space="preserve">12.3不可抗力事件延续120天以上，双方应通过友好协商，确定是否继续履行合同。</w:t>
      </w:r>
      <w:r/>
    </w:p>
    <w:p>
      <w:pPr>
        <w:pStyle w:val="857"/>
        <w:ind w:left="482" w:hanging="482"/>
        <w:jc w:val="both"/>
        <w:keepLines w:val="0"/>
        <w:keepNext w:val="0"/>
        <w:pageBreakBefore w:val="0"/>
        <w:spacing w:beforeAutospacing="0" w:afterAutospacing="0" w:line="360" w:lineRule="exact"/>
        <w:widowControl w:val="off"/>
        <w:rPr>
          <w:sz w:val="24"/>
          <w:szCs w:val="24"/>
          <w:highlight w:val="none"/>
        </w:rPr>
      </w:pPr>
      <w:r>
        <w:rPr>
          <w:rFonts w:hint="eastAsia" w:ascii="宋体" w:hAnsi="宋体" w:eastAsia="宋体" w:cs="宋体"/>
          <w:b/>
          <w:color w:val="000000"/>
          <w:sz w:val="24"/>
          <w:szCs w:val="24"/>
          <w:highlight w:val="none"/>
        </w:rPr>
        <w:t xml:space="preserve">十三、解决争议的方法</w:t>
      </w:r>
      <w:r/>
    </w:p>
    <w:p>
      <w:pPr>
        <w:pStyle w:val="857"/>
        <w:ind w:firstLine="480"/>
        <w:jc w:val="both"/>
        <w:keepLines w:val="0"/>
        <w:keepNext w:val="0"/>
        <w:pageBreakBefore w:val="0"/>
        <w:spacing w:beforeAutospacing="0" w:afterAutospacing="0" w:line="360" w:lineRule="exact"/>
        <w:widowControl w:val="off"/>
        <w:rPr>
          <w:sz w:val="24"/>
          <w:szCs w:val="24"/>
          <w:highlight w:val="none"/>
        </w:rPr>
      </w:pPr>
      <w:r>
        <w:rPr>
          <w:rFonts w:hint="eastAsia" w:ascii="宋体" w:hAnsi="宋体" w:eastAsia="宋体" w:cs="宋体"/>
          <w:color w:val="000000"/>
          <w:sz w:val="24"/>
          <w:szCs w:val="24"/>
          <w:highlight w:val="none"/>
        </w:rPr>
        <w:t xml:space="preserve">13.1双方在签订、履行合同中所发生的一切争议，应通过友好协商解决。如协商不成，由甲方住所地人民法院管辖。</w:t>
      </w:r>
      <w:r/>
    </w:p>
    <w:p>
      <w:pPr>
        <w:pStyle w:val="857"/>
        <w:ind w:left="482" w:hanging="482"/>
        <w:jc w:val="both"/>
        <w:keepLines w:val="0"/>
        <w:keepNext w:val="0"/>
        <w:pageBreakBefore w:val="0"/>
        <w:spacing w:beforeAutospacing="0" w:afterAutospacing="0" w:line="360" w:lineRule="exact"/>
        <w:widowControl w:val="off"/>
        <w:rPr>
          <w:sz w:val="24"/>
          <w:szCs w:val="24"/>
          <w:highlight w:val="none"/>
        </w:rPr>
      </w:pPr>
      <w:r>
        <w:rPr>
          <w:rFonts w:hint="eastAsia" w:ascii="宋体" w:hAnsi="宋体" w:eastAsia="宋体" w:cs="宋体"/>
          <w:b/>
          <w:color w:val="000000"/>
          <w:sz w:val="24"/>
          <w:szCs w:val="24"/>
          <w:highlight w:val="none"/>
        </w:rPr>
        <w:t xml:space="preserve">十四、合同生效及其</w:t>
      </w:r>
      <w:r>
        <w:rPr>
          <w:rFonts w:hint="eastAsia" w:ascii="宋体" w:hAnsi="宋体" w:eastAsia="宋体" w:cs="宋体"/>
          <w:b/>
          <w:color w:val="000000"/>
          <w:sz w:val="24"/>
          <w:szCs w:val="24"/>
          <w:highlight w:val="none"/>
          <w:lang w:eastAsia="zh-CN"/>
        </w:rPr>
        <w:t xml:space="preserve">他</w:t>
      </w:r>
      <w:r/>
    </w:p>
    <w:p>
      <w:pPr>
        <w:pStyle w:val="857"/>
        <w:ind w:firstLine="480"/>
        <w:jc w:val="both"/>
        <w:keepLines w:val="0"/>
        <w:keepNext w:val="0"/>
        <w:pageBreakBefore w:val="0"/>
        <w:spacing w:beforeAutospacing="0" w:afterAutospacing="0" w:line="360" w:lineRule="exact"/>
        <w:widowControl w:val="off"/>
        <w:rPr>
          <w:sz w:val="24"/>
          <w:szCs w:val="24"/>
          <w:highlight w:val="none"/>
        </w:rPr>
      </w:pPr>
      <w:r>
        <w:rPr>
          <w:rFonts w:hint="eastAsia" w:ascii="宋体" w:hAnsi="宋体" w:eastAsia="宋体" w:cs="宋体"/>
          <w:color w:val="000000"/>
          <w:sz w:val="24"/>
          <w:szCs w:val="24"/>
          <w:highlight w:val="none"/>
        </w:rPr>
        <w:t xml:space="preserve">14.1合同经双方法定代表人或授权委托代表人签字并加盖单位公章后生效。</w:t>
      </w:r>
      <w:r/>
    </w:p>
    <w:p>
      <w:pPr>
        <w:pStyle w:val="857"/>
        <w:ind w:firstLine="480"/>
        <w:jc w:val="both"/>
        <w:keepLines w:val="0"/>
        <w:keepNext w:val="0"/>
        <w:pageBreakBefore w:val="0"/>
        <w:spacing w:beforeAutospacing="0" w:afterAutospacing="0" w:line="360" w:lineRule="exact"/>
        <w:widowControl w:val="off"/>
        <w:rPr>
          <w:sz w:val="24"/>
          <w:szCs w:val="24"/>
          <w:highlight w:val="none"/>
        </w:rPr>
      </w:pPr>
      <w:r>
        <w:rPr>
          <w:rFonts w:hint="eastAsia" w:ascii="宋体" w:hAnsi="宋体" w:eastAsia="宋体" w:cs="宋体"/>
          <w:color w:val="000000"/>
          <w:sz w:val="24"/>
          <w:szCs w:val="24"/>
          <w:highlight w:val="none"/>
        </w:rPr>
        <w:t xml:space="preserve">14.2本合同未尽事宜，遵照《民法典》、《政府采购法》有关条文执行。</w:t>
      </w:r>
      <w:r/>
    </w:p>
    <w:p>
      <w:pPr>
        <w:pStyle w:val="857"/>
        <w:ind w:left="479" w:firstLine="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 本合同由下列文件共同构成：</w:t>
      </w:r>
      <w:r/>
    </w:p>
    <w:p>
      <w:pPr>
        <w:pStyle w:val="857"/>
        <w:ind w:left="479" w:firstLine="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（1）本合同书；</w:t>
      </w:r>
      <w:r/>
    </w:p>
    <w:p>
      <w:pPr>
        <w:pStyle w:val="857"/>
        <w:ind w:left="479" w:firstLine="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（2）中标通知书；</w:t>
      </w:r>
      <w:r/>
    </w:p>
    <w:p>
      <w:pPr>
        <w:pStyle w:val="857"/>
        <w:ind w:left="479" w:firstLine="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的招标文件及其补充（答疑）资料；</w:t>
      </w:r>
      <w:r/>
    </w:p>
    <w:p>
      <w:pPr>
        <w:pStyle w:val="857"/>
        <w:ind w:left="479" w:firstLine="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的投标文件及其补充（澄清）资料。</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14.4</w:t>
      </w:r>
      <w:r>
        <w:rPr>
          <w:rFonts w:hint="eastAsia" w:ascii="宋体" w:hAnsi="宋体" w:eastAsia="宋体" w:cs="宋体"/>
          <w:color w:val="000000"/>
          <w:sz w:val="24"/>
          <w:szCs w:val="24"/>
          <w:highlight w:val="none"/>
        </w:rPr>
        <w:t xml:space="preserve">本合同正本一式</w:t>
      </w:r>
      <w:r>
        <w:rPr>
          <w:rFonts w:hint="eastAsia" w:ascii="宋体" w:hAnsi="宋体" w:eastAsia="宋体" w:cs="宋体"/>
          <w:color w:val="000000"/>
          <w:sz w:val="24"/>
          <w:szCs w:val="24"/>
          <w:highlight w:val="none"/>
          <w:u w:val="single"/>
          <w:lang w:eastAsia="zh-CN"/>
        </w:rPr>
        <w:t xml:space="preserve">陆</w:t>
      </w:r>
      <w:r>
        <w:rPr>
          <w:rFonts w:hint="eastAsia" w:ascii="宋体" w:hAnsi="宋体" w:eastAsia="宋体" w:cs="宋体"/>
          <w:color w:val="000000"/>
          <w:sz w:val="24"/>
          <w:szCs w:val="24"/>
          <w:highlight w:val="none"/>
        </w:rPr>
        <w:t xml:space="preserve">份，具有同等法律效力，甲方、乙方各执</w:t>
      </w:r>
      <w:r>
        <w:rPr>
          <w:rFonts w:hint="eastAsia" w:ascii="宋体" w:hAnsi="宋体" w:eastAsia="宋体" w:cs="宋体"/>
          <w:color w:val="000000"/>
          <w:sz w:val="24"/>
          <w:szCs w:val="24"/>
          <w:highlight w:val="none"/>
          <w:u w:val="single"/>
          <w:lang w:eastAsia="zh-CN"/>
        </w:rPr>
        <w:t xml:space="preserve">贰</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lang w:eastAsia="zh-CN"/>
        </w:rPr>
        <w:t xml:space="preserve">，其余用于相关单位存档</w:t>
      </w:r>
      <w:r>
        <w:rPr>
          <w:rFonts w:hint="eastAsia" w:ascii="宋体" w:hAnsi="宋体" w:eastAsia="宋体" w:cs="宋体"/>
          <w:color w:val="000000"/>
          <w:sz w:val="24"/>
          <w:szCs w:val="24"/>
          <w:highlight w:val="none"/>
        </w:rPr>
        <w:t xml:space="preserve">。</w:t>
      </w:r>
      <w:r/>
    </w:p>
    <w:tbl>
      <w:tblPr>
        <w:tblStyle w:val="8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rHeight w:val="567" w:hRule="exact"/>
        </w:trPr>
        <w:tc>
          <w:tcPr>
            <w:tcBorders>
              <w:top w:val="none" w:color="000000" w:sz="4" w:space="0"/>
              <w:left w:val="none" w:color="000000" w:sz="4" w:space="0"/>
              <w:bottom w:val="none" w:color="000000" w:sz="4" w:space="0"/>
              <w:right w:val="none" w:color="000000" w:sz="4" w:space="0"/>
            </w:tcBorders>
            <w:tcW w:w="4261" w:type="dxa"/>
            <w:vAlign w:val="center"/>
            <w:textDirection w:val="lrTb"/>
            <w:noWrap w:val="false"/>
          </w:tcPr>
          <w:p>
            <w:pPr>
              <w:pStyle w:val="857"/>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rPr>
              <w:t xml:space="preserve">甲方：</w:t>
            </w:r>
            <w:r/>
          </w:p>
        </w:tc>
        <w:tc>
          <w:tcPr>
            <w:tcBorders>
              <w:top w:val="none" w:color="000000" w:sz="4" w:space="0"/>
              <w:left w:val="none" w:color="000000" w:sz="4" w:space="0"/>
              <w:bottom w:val="none" w:color="000000" w:sz="4" w:space="0"/>
              <w:right w:val="none" w:color="000000" w:sz="4" w:space="0"/>
            </w:tcBorders>
            <w:tcW w:w="4261" w:type="dxa"/>
            <w:vAlign w:val="center"/>
            <w:textDirection w:val="lrTb"/>
            <w:noWrap w:val="false"/>
          </w:tcPr>
          <w:p>
            <w:pPr>
              <w:pStyle w:val="857"/>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rPr>
              <w:t xml:space="preserve">乙方：</w:t>
            </w:r>
            <w:r/>
          </w:p>
        </w:tc>
      </w:tr>
      <w:tr>
        <w:trPr>
          <w:trHeight w:val="567" w:hRule="exact"/>
        </w:trPr>
        <w:tc>
          <w:tcPr>
            <w:tcBorders>
              <w:top w:val="none" w:color="000000" w:sz="4" w:space="0"/>
              <w:left w:val="none" w:color="000000" w:sz="4" w:space="0"/>
              <w:bottom w:val="none" w:color="000000" w:sz="4" w:space="0"/>
              <w:right w:val="none" w:color="000000" w:sz="4" w:space="0"/>
            </w:tcBorders>
            <w:tcW w:w="4261" w:type="dxa"/>
            <w:vAlign w:val="center"/>
            <w:textDirection w:val="lrTb"/>
            <w:noWrap w:val="false"/>
          </w:tcPr>
          <w:p>
            <w:pPr>
              <w:pStyle w:val="857"/>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rPr>
              <w:t xml:space="preserve">地址：</w:t>
            </w:r>
            <w:r/>
          </w:p>
        </w:tc>
        <w:tc>
          <w:tcPr>
            <w:tcBorders>
              <w:top w:val="none" w:color="000000" w:sz="4" w:space="0"/>
              <w:left w:val="none" w:color="000000" w:sz="4" w:space="0"/>
              <w:bottom w:val="none" w:color="000000" w:sz="4" w:space="0"/>
              <w:right w:val="none" w:color="000000" w:sz="4" w:space="0"/>
            </w:tcBorders>
            <w:tcW w:w="4261" w:type="dxa"/>
            <w:vAlign w:val="center"/>
            <w:textDirection w:val="lrTb"/>
            <w:noWrap w:val="false"/>
          </w:tcPr>
          <w:p>
            <w:pPr>
              <w:pStyle w:val="857"/>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rPr>
              <w:t xml:space="preserve">地址：</w:t>
            </w:r>
            <w:r/>
          </w:p>
        </w:tc>
      </w:tr>
      <w:tr>
        <w:trPr>
          <w:trHeight w:val="567" w:hRule="exact"/>
        </w:trPr>
        <w:tc>
          <w:tcPr>
            <w:tcBorders>
              <w:top w:val="none" w:color="000000" w:sz="4" w:space="0"/>
              <w:left w:val="none" w:color="000000" w:sz="4" w:space="0"/>
              <w:bottom w:val="none" w:color="000000" w:sz="4" w:space="0"/>
              <w:right w:val="none" w:color="000000" w:sz="4" w:space="0"/>
            </w:tcBorders>
            <w:tcW w:w="4261" w:type="dxa"/>
            <w:vAlign w:val="center"/>
            <w:textDirection w:val="lrTb"/>
            <w:noWrap w:val="false"/>
          </w:tcPr>
          <w:p>
            <w:pPr>
              <w:pStyle w:val="857"/>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61" w:type="dxa"/>
            <w:vAlign w:val="center"/>
            <w:textDirection w:val="lrTb"/>
            <w:noWrap w:val="false"/>
          </w:tcPr>
          <w:p>
            <w:pPr>
              <w:pStyle w:val="857"/>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rPr>
              <w:t xml:space="preserve">法定代表人或授权代表：</w:t>
            </w:r>
            <w:r/>
          </w:p>
        </w:tc>
      </w:tr>
      <w:tr>
        <w:trPr>
          <w:trHeight w:val="567" w:hRule="exact"/>
        </w:trPr>
        <w:tc>
          <w:tcPr>
            <w:tcBorders>
              <w:top w:val="none" w:color="000000" w:sz="4" w:space="0"/>
              <w:left w:val="none" w:color="000000" w:sz="4" w:space="0"/>
              <w:bottom w:val="none" w:color="000000" w:sz="4" w:space="0"/>
              <w:right w:val="none" w:color="000000" w:sz="4" w:space="0"/>
            </w:tcBorders>
            <w:tcW w:w="4261" w:type="dxa"/>
            <w:vAlign w:val="center"/>
            <w:textDirection w:val="lrTb"/>
            <w:noWrap w:val="false"/>
          </w:tcPr>
          <w:p>
            <w:pPr>
              <w:pStyle w:val="857"/>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61" w:type="dxa"/>
            <w:vAlign w:val="center"/>
            <w:textDirection w:val="lrTb"/>
            <w:noWrap w:val="false"/>
          </w:tcPr>
          <w:p>
            <w:pPr>
              <w:pStyle w:val="857"/>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p>
        </w:tc>
      </w:tr>
      <w:tr>
        <w:trPr>
          <w:trHeight w:val="567" w:hRule="exact"/>
        </w:trPr>
        <w:tc>
          <w:tcPr>
            <w:gridSpan w:val="2"/>
            <w:tcBorders>
              <w:top w:val="none" w:color="000000" w:sz="4" w:space="0"/>
              <w:left w:val="none" w:color="000000" w:sz="4" w:space="0"/>
              <w:bottom w:val="none" w:color="000000" w:sz="4" w:space="0"/>
              <w:right w:val="none" w:color="000000" w:sz="4" w:space="0"/>
            </w:tcBorders>
            <w:tcW w:w="8522" w:type="dxa"/>
            <w:vAlign w:val="center"/>
            <w:textDirection w:val="lrTb"/>
            <w:noWrap w:val="false"/>
          </w:tcPr>
          <w:p>
            <w:pPr>
              <w:pStyle w:val="857"/>
              <w:jc w:val="right"/>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签订日期：      年    月   日</w:t>
            </w:r>
            <w:r/>
          </w:p>
        </w:tc>
      </w:tr>
    </w:tbl>
    <w:p>
      <w:pPr>
        <w:pStyle w:val="857"/>
        <w:jc w:val="center"/>
        <w:keepLines w:val="0"/>
        <w:keepNext/>
        <w:pageBreakBefore w:val="0"/>
        <w:spacing w:beforeAutospacing="0" w:afterAutospacing="0" w:line="500" w:lineRule="exact"/>
        <w:widowControl w:val="off"/>
        <w:rPr>
          <w:rFonts w:hint="eastAsia" w:ascii="黑体" w:hAnsi="宋体" w:eastAsia="黑体" w:cs="黑体"/>
          <w:b/>
          <w:color w:val="000000"/>
          <w:sz w:val="44"/>
          <w:szCs w:val="44"/>
          <w:highlight w:val="none"/>
        </w:rPr>
      </w:pPr>
      <w:r/>
      <w:bookmarkStart w:id="183" w:name="_Toc479757211"/>
      <w:r/>
      <w:bookmarkStart w:id="184" w:name="_Toc120614244"/>
      <w:r/>
      <w:bookmarkStart w:id="185" w:name="_Toc462564139"/>
      <w:r/>
      <w:bookmarkStart w:id="186" w:name="_Toc16938590"/>
      <w:r/>
      <w:bookmarkStart w:id="187" w:name="_Toc20823346"/>
      <w:r/>
      <w:bookmarkStart w:id="188" w:name="_Hlt16619350"/>
      <w:r/>
      <w:bookmarkStart w:id="189" w:name="_Hlt16619369"/>
      <w:r>
        <w:rPr>
          <w:rFonts w:hint="eastAsia" w:ascii="黑体" w:hAnsi="宋体" w:eastAsia="黑体" w:cs="黑体"/>
          <w:b/>
          <w:color w:val="000000"/>
          <w:sz w:val="44"/>
          <w:szCs w:val="44"/>
          <w:highlight w:val="none"/>
        </w:rPr>
        <w:t xml:space="preserve">第</w:t>
      </w:r>
      <w:bookmarkEnd w:id="183"/>
      <w:r>
        <w:rPr>
          <w:rFonts w:hint="eastAsia" w:ascii="黑体" w:hAnsi="宋体" w:eastAsia="黑体" w:cs="黑体"/>
          <w:b/>
          <w:color w:val="000000"/>
          <w:sz w:val="44"/>
          <w:szCs w:val="44"/>
          <w:highlight w:val="none"/>
        </w:rPr>
        <w:t xml:space="preserve">四章 采购需求</w:t>
      </w:r>
      <w:bookmarkEnd w:id="184"/>
      <w:r/>
      <w:bookmarkEnd w:id="185"/>
      <w:r/>
      <w:bookmarkEnd w:id="186"/>
      <w:r/>
      <w:bookmarkEnd w:id="187"/>
      <w:r/>
      <w:bookmarkEnd w:id="188"/>
      <w:r/>
      <w:r/>
    </w:p>
    <w:p>
      <w:pPr>
        <w:pStyle w:val="857"/>
        <w:ind w:firstLine="480"/>
        <w:jc w:val="both"/>
        <w:keepLines w:val="0"/>
        <w:pageBreakBefore w:val="0"/>
        <w:spacing w:beforeAutospacing="0" w:afterAutospacing="0" w:line="360" w:lineRule="exact"/>
        <w:rPr>
          <w:rFonts w:hint="eastAsia" w:ascii="宋体" w:hAnsi="宋体" w:eastAsia="宋体" w:cs="宋体"/>
          <w:color w:val="000000"/>
          <w:sz w:val="24"/>
          <w:szCs w:val="24"/>
          <w:highlight w:val="none"/>
          <w:lang w:val="en-US" w:eastAsia="zh-CN"/>
        </w:rPr>
      </w:pPr>
      <w:r/>
      <w:bookmarkStart w:id="190" w:name="_Toc26554093"/>
      <w:r/>
      <w:bookmarkStart w:id="191" w:name="_Toc49090575"/>
      <w:r>
        <w:rPr>
          <w:rFonts w:hint="eastAsia" w:ascii="宋体" w:hAnsi="宋体" w:eastAsia="宋体" w:cs="宋体"/>
          <w:color w:val="000000"/>
          <w:sz w:val="24"/>
          <w:szCs w:val="24"/>
          <w:highlight w:val="none"/>
        </w:rPr>
        <w:t xml:space="preserve">项目属性:服务类项目。</w:t>
      </w:r>
      <w:r>
        <w:rPr>
          <w:rFonts w:hint="eastAsia" w:ascii="宋体" w:hAnsi="宋体" w:eastAsia="宋体" w:cs="宋体"/>
          <w:color w:val="000000"/>
          <w:sz w:val="24"/>
          <w:szCs w:val="24"/>
          <w:highlight w:val="none"/>
          <w:lang w:val="en-US" w:eastAsia="zh-CN"/>
        </w:rPr>
        <w:t xml:space="preserve">（此为固定内容）</w:t>
      </w:r>
      <w:bookmarkEnd w:id="190"/>
      <w:r/>
      <w:bookmarkEnd w:id="191"/>
      <w:r/>
      <w:r/>
    </w:p>
    <w:p>
      <w:pPr>
        <w:pStyle w:val="857"/>
        <w:ind w:firstLine="480"/>
        <w:jc w:val="both"/>
        <w:keepLines w:val="0"/>
        <w:pageBreakBefore w:val="0"/>
        <w:spacing w:beforeAutospacing="0" w:afterAutospacing="0" w:line="3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一、项目概况</w:t>
      </w:r>
      <w:r/>
    </w:p>
    <w:p>
      <w:pPr>
        <w:pStyle w:val="857"/>
        <w:ind w:firstLine="480"/>
        <w:jc w:val="both"/>
        <w:keepLines w:val="0"/>
        <w:pageBreakBefore w:val="0"/>
        <w:spacing w:beforeAutospacing="0" w:afterAutospacing="0" w:line="3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（一）采购人：</w:t>
      </w:r>
      <w:r>
        <w:rPr>
          <w:rFonts w:hint="eastAsia" w:ascii="宋体" w:hAnsi="宋体" w:eastAsia="宋体" w:cs="宋体"/>
          <w:b w:val="0"/>
          <w:bCs w:val="0"/>
          <w:color w:val="000000"/>
          <w:sz w:val="24"/>
          <w:szCs w:val="24"/>
          <w:highlight w:val="none"/>
          <w:lang w:val="en-US" w:eastAsia="zh-CN"/>
        </w:rPr>
        <w:t xml:space="preserve">东台市农业农村局</w:t>
      </w:r>
      <w:r/>
    </w:p>
    <w:p>
      <w:pPr>
        <w:pStyle w:val="857"/>
        <w:ind w:firstLine="480"/>
        <w:jc w:val="both"/>
        <w:keepLines w:val="0"/>
        <w:pageBreakBefore w:val="0"/>
        <w:spacing w:beforeAutospacing="0" w:afterAutospacing="0" w:line="3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（二）项目名称：</w:t>
      </w:r>
      <w:r>
        <w:rPr>
          <w:rFonts w:hint="eastAsia" w:ascii="宋体" w:hAnsi="宋体" w:eastAsia="宋体" w:cs="宋体"/>
          <w:color w:val="000000"/>
          <w:sz w:val="24"/>
          <w:szCs w:val="24"/>
          <w:highlight w:val="none"/>
          <w:u w:val="none"/>
          <w:lang w:val="en-US" w:eastAsia="zh-CN"/>
        </w:rPr>
        <w:t xml:space="preserve">2026年东台市二轮土地承包到期再延长三十年第三方服务项目</w:t>
      </w:r>
      <w:r/>
    </w:p>
    <w:p>
      <w:pPr>
        <w:pStyle w:val="857"/>
        <w:ind w:firstLine="480"/>
        <w:jc w:val="both"/>
        <w:keepLines w:val="0"/>
        <w:pageBreakBefore w:val="0"/>
        <w:spacing w:beforeAutospacing="0" w:afterAutospacing="0" w:line="360" w:lineRule="exact"/>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（三）项目内容：</w:t>
      </w:r>
      <w:r>
        <w:rPr>
          <w:rFonts w:hint="eastAsia" w:ascii="宋体" w:hAnsi="宋体" w:eastAsia="宋体" w:cs="宋体"/>
          <w:color w:val="000000"/>
          <w:sz w:val="24"/>
          <w:szCs w:val="24"/>
          <w:highlight w:val="none"/>
          <w:lang w:val="en-US" w:eastAsia="zh-CN"/>
        </w:rPr>
        <w:t xml:space="preserve">东台市二轮土地承包到期后再延长30年试点，现需聘请具备资质的第三方，对3镇26村的延包试点工作进行服务，包括但不限于：业务培训、资料收集、摸底核实、实测指界、制定方案、完善调查数据、数据修改入库、资料输出打印、审核公示、签订合同、完善证书、资料归档、材料装档汇交等工作。</w:t>
      </w:r>
      <w:r/>
    </w:p>
    <w:p>
      <w:pPr>
        <w:pStyle w:val="857"/>
        <w:ind w:firstLine="480"/>
        <w:jc w:val="both"/>
        <w:keepLines w:val="0"/>
        <w:pageBreakBefore w:val="0"/>
        <w:spacing w:beforeAutospacing="0" w:afterAutospacing="0" w:line="360" w:lineRule="exact"/>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（四）履行期限：</w:t>
      </w:r>
      <w:r>
        <w:rPr>
          <w:rFonts w:hint="eastAsia" w:ascii="宋体" w:hAnsi="宋体" w:eastAsia="宋体" w:cs="宋体"/>
          <w:color w:val="000000"/>
          <w:sz w:val="24"/>
          <w:szCs w:val="24"/>
          <w:highlight w:val="none"/>
          <w:lang w:val="en-US" w:eastAsia="zh-CN" w:bidi="ar-SA"/>
        </w:rPr>
        <w:t xml:space="preserve">项</w:t>
      </w:r>
      <w:r>
        <w:rPr>
          <w:rFonts w:hint="eastAsia" w:ascii="宋体" w:hAnsi="宋体" w:eastAsia="宋体" w:cs="宋体"/>
          <w:color w:val="auto"/>
          <w:sz w:val="24"/>
          <w:szCs w:val="24"/>
          <w:highlight w:val="none"/>
          <w:lang w:val="en-US" w:eastAsia="zh-CN" w:bidi="ar-SA"/>
        </w:rPr>
        <w:t xml:space="preserve">目截至2027年6月底完成，（开始时</w:t>
      </w:r>
      <w:r>
        <w:rPr>
          <w:rFonts w:hint="eastAsia" w:ascii="宋体" w:hAnsi="宋体" w:eastAsia="宋体" w:cs="宋体"/>
          <w:color w:val="000000"/>
          <w:sz w:val="24"/>
          <w:szCs w:val="24"/>
          <w:highlight w:val="none"/>
          <w:lang w:val="en-US" w:eastAsia="zh-CN" w:bidi="ar-SA"/>
        </w:rPr>
        <w:t xml:space="preserve">间以签订合同日期为准），具体实施内容及进度根据东台市农业农村局实际工作进度安排实施。</w:t>
      </w:r>
      <w:r/>
    </w:p>
    <w:p>
      <w:pPr>
        <w:pStyle w:val="857"/>
        <w:ind w:firstLine="480"/>
        <w:jc w:val="both"/>
        <w:keepLines w:val="0"/>
        <w:pageBreakBefore w:val="0"/>
        <w:spacing w:beforeAutospacing="0" w:afterAutospacing="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采购需求包括拟采购的标的及其需要满足的技术、商务要求。</w:t>
      </w:r>
      <w:r/>
    </w:p>
    <w:p>
      <w:pPr>
        <w:pStyle w:val="857"/>
        <w:jc w:val="both"/>
        <w:keepLines w:val="0"/>
        <w:pageBreakBefore w:val="0"/>
        <w:spacing w:beforeAutospacing="0" w:afterAutospacing="0" w:line="3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二、招标内容</w:t>
      </w:r>
      <w:r/>
    </w:p>
    <w:p>
      <w:pPr>
        <w:pStyle w:val="857"/>
        <w:jc w:val="center"/>
        <w:keepLines w:val="0"/>
        <w:keepNext w:val="0"/>
        <w:pageBreakBefore w:val="0"/>
        <w:spacing w:beforeAutospacing="0" w:afterAutospacing="0" w:line="360" w:lineRule="exact"/>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镇村摸排表（</w:t>
      </w:r>
      <w:r>
        <w:rPr>
          <w:rFonts w:hint="eastAsia" w:ascii="宋体" w:hAnsi="宋体" w:eastAsia="宋体" w:cs="宋体"/>
          <w:b/>
          <w:color w:val="000000"/>
          <w:sz w:val="24"/>
          <w:szCs w:val="24"/>
          <w:highlight w:val="none"/>
          <w:lang w:val="en-US" w:eastAsia="zh-CN"/>
        </w:rPr>
        <w:t xml:space="preserve">标段信息</w:t>
      </w:r>
      <w:r>
        <w:rPr>
          <w:rFonts w:hint="eastAsia" w:ascii="宋体" w:hAnsi="宋体" w:eastAsia="宋体" w:cs="宋体"/>
          <w:b/>
          <w:color w:val="000000"/>
          <w:sz w:val="24"/>
          <w:szCs w:val="24"/>
          <w:highlight w:val="none"/>
          <w:lang w:eastAsia="zh-CN"/>
        </w:rPr>
        <w:t xml:space="preserve">）</w:t>
      </w:r>
      <w:r/>
    </w:p>
    <w:tbl>
      <w:tblPr>
        <w:tblStyle w:val="85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1"/>
        <w:gridCol w:w="980"/>
        <w:gridCol w:w="1123"/>
        <w:gridCol w:w="1093"/>
        <w:gridCol w:w="1093"/>
        <w:gridCol w:w="1722"/>
        <w:gridCol w:w="1335"/>
      </w:tblGrid>
      <w:tr>
        <w:trPr>
          <w:trHeight w:val="690"/>
        </w:trPr>
        <w:tc>
          <w:tcPr>
            <w:shd w:val="clear" w:color="auto" w:fill="auto"/>
            <w:tcW w:w="687" w:type="pct"/>
            <w:vAlign w:val="center"/>
            <w:textDirection w:val="lrTb"/>
            <w:noWrap w:val="false"/>
          </w:tcPr>
          <w:p>
            <w:pPr>
              <w:pStyle w:val="857"/>
              <w:ind w:left="0" w:right="0" w:firstLine="0"/>
              <w:jc w:val="center"/>
              <w:keepLines w:val="0"/>
              <w:keepNext w:val="0"/>
              <w:pageBreakBefore w:val="0"/>
              <w:spacing w:beforeAutospacing="0" w:afterAutospacing="0" w:line="360" w:lineRule="exact"/>
              <w:widowControl w:val="off"/>
              <w:rPr>
                <w:rFonts w:hint="eastAsia" w:ascii="宋体" w:hAnsi="宋体" w:eastAsia="宋体" w:cs="宋体"/>
                <w:b/>
                <w:color w:val="000000"/>
                <w:sz w:val="24"/>
                <w:szCs w:val="24"/>
                <w:highlight w:val="none"/>
                <w:vertAlign w:val="baseline"/>
                <w:lang w:val="en-US" w:eastAsia="zh-CN" w:bidi="ar-SA"/>
              </w:rPr>
            </w:pPr>
            <w:r>
              <w:rPr>
                <w:rFonts w:hint="eastAsia" w:ascii="宋体" w:hAnsi="宋体" w:eastAsia="宋体" w:cs="宋体"/>
                <w:b/>
                <w:color w:val="000000"/>
                <w:sz w:val="24"/>
                <w:szCs w:val="24"/>
                <w:highlight w:val="none"/>
                <w:vertAlign w:val="baseline"/>
                <w:lang w:eastAsia="zh-CN"/>
              </w:rPr>
              <w:t xml:space="preserve">标段号</w:t>
            </w:r>
            <w:r/>
          </w:p>
        </w:tc>
        <w:tc>
          <w:tcPr>
            <w:shd w:val="clear" w:color="auto" w:fill="auto"/>
            <w:tcW w:w="575" w:type="pct"/>
            <w:vAlign w:val="center"/>
            <w:textDirection w:val="lrTb"/>
            <w:noWrap w:val="false"/>
          </w:tcPr>
          <w:p>
            <w:pPr>
              <w:pStyle w:val="857"/>
              <w:ind w:left="0" w:right="0" w:firstLine="0"/>
              <w:jc w:val="center"/>
              <w:keepLines w:val="0"/>
              <w:keepNext w:val="0"/>
              <w:pageBreakBefore w:val="0"/>
              <w:spacing w:beforeAutospacing="0" w:afterAutospacing="0" w:line="360" w:lineRule="exact"/>
              <w:widowControl w:val="off"/>
              <w:rPr>
                <w:rFonts w:hint="eastAsia" w:ascii="宋体" w:hAnsi="宋体" w:eastAsia="宋体" w:cs="宋体"/>
                <w:b/>
                <w:color w:val="000000"/>
                <w:sz w:val="24"/>
                <w:szCs w:val="24"/>
                <w:highlight w:val="none"/>
                <w:vertAlign w:val="baseline"/>
                <w:lang w:val="en-US" w:eastAsia="zh-CN" w:bidi="ar-SA"/>
              </w:rPr>
            </w:pPr>
            <w:r>
              <w:rPr>
                <w:rFonts w:hint="eastAsia" w:ascii="宋体" w:hAnsi="宋体" w:eastAsia="宋体" w:cs="宋体"/>
                <w:b/>
                <w:color w:val="000000"/>
                <w:sz w:val="24"/>
                <w:szCs w:val="24"/>
                <w:highlight w:val="none"/>
                <w:vertAlign w:val="baseline"/>
                <w:lang w:eastAsia="zh-CN"/>
              </w:rPr>
              <w:t xml:space="preserve">镇区</w:t>
            </w:r>
            <w:r/>
          </w:p>
        </w:tc>
        <w:tc>
          <w:tcPr>
            <w:shd w:val="clear" w:color="auto" w:fill="auto"/>
            <w:tcW w:w="659" w:type="pct"/>
            <w:vAlign w:val="center"/>
            <w:textDirection w:val="lrTb"/>
            <w:noWrap w:val="false"/>
          </w:tcPr>
          <w:p>
            <w:pPr>
              <w:pStyle w:val="857"/>
              <w:ind w:left="0" w:right="0" w:firstLine="0"/>
              <w:jc w:val="center"/>
              <w:keepLines w:val="0"/>
              <w:keepNext w:val="0"/>
              <w:pageBreakBefore w:val="0"/>
              <w:spacing w:beforeAutospacing="0" w:afterAutospacing="0" w:line="360" w:lineRule="exact"/>
              <w:widowControl w:val="off"/>
              <w:rPr>
                <w:rFonts w:hint="eastAsia" w:ascii="宋体" w:hAnsi="宋体" w:eastAsia="宋体" w:cs="宋体"/>
                <w:b/>
                <w:color w:val="000000"/>
                <w:sz w:val="24"/>
                <w:szCs w:val="24"/>
                <w:highlight w:val="none"/>
                <w:vertAlign w:val="baseline"/>
                <w:lang w:val="en-US" w:eastAsia="zh-CN" w:bidi="ar-SA"/>
              </w:rPr>
            </w:pPr>
            <w:r>
              <w:rPr>
                <w:rFonts w:hint="eastAsia" w:ascii="宋体" w:hAnsi="宋体" w:eastAsia="宋体" w:cs="宋体"/>
                <w:b/>
                <w:color w:val="000000"/>
                <w:sz w:val="24"/>
                <w:szCs w:val="24"/>
                <w:highlight w:val="none"/>
                <w:vertAlign w:val="baseline"/>
                <w:lang w:eastAsia="zh-CN"/>
              </w:rPr>
              <w:t xml:space="preserve">试点镇</w:t>
            </w:r>
            <w:r/>
          </w:p>
        </w:tc>
        <w:tc>
          <w:tcPr>
            <w:shd w:val="clear" w:color="auto" w:fill="auto"/>
            <w:tcW w:w="641" w:type="pct"/>
            <w:vAlign w:val="center"/>
            <w:textDirection w:val="lrTb"/>
            <w:noWrap w:val="false"/>
          </w:tcPr>
          <w:p>
            <w:pPr>
              <w:pStyle w:val="857"/>
              <w:ind w:left="0" w:right="0" w:firstLine="0"/>
              <w:jc w:val="center"/>
              <w:keepLines w:val="0"/>
              <w:keepNext w:val="0"/>
              <w:pageBreakBefore w:val="0"/>
              <w:spacing w:beforeAutospacing="0" w:afterAutospacing="0" w:line="360" w:lineRule="exact"/>
              <w:widowControl w:val="off"/>
              <w:rPr>
                <w:rFonts w:hint="eastAsia" w:ascii="宋体" w:hAnsi="宋体" w:eastAsia="宋体" w:cs="宋体"/>
                <w:b/>
                <w:color w:val="000000"/>
                <w:sz w:val="24"/>
                <w:szCs w:val="24"/>
                <w:highlight w:val="none"/>
                <w:vertAlign w:val="baseline"/>
                <w:lang w:val="en-US" w:eastAsia="zh-CN" w:bidi="ar-SA"/>
              </w:rPr>
            </w:pPr>
            <w:r>
              <w:rPr>
                <w:rFonts w:hint="eastAsia" w:ascii="宋体" w:hAnsi="宋体" w:eastAsia="宋体" w:cs="宋体"/>
                <w:b/>
                <w:color w:val="000000"/>
                <w:sz w:val="24"/>
                <w:szCs w:val="24"/>
                <w:highlight w:val="none"/>
                <w:vertAlign w:val="baseline"/>
                <w:lang w:eastAsia="zh-CN"/>
              </w:rPr>
              <w:t xml:space="preserve">试点村</w:t>
            </w:r>
            <w:r/>
          </w:p>
        </w:tc>
        <w:tc>
          <w:tcPr>
            <w:shd w:val="clear" w:color="auto" w:fill="auto"/>
            <w:tcW w:w="641" w:type="pct"/>
            <w:vAlign w:val="center"/>
            <w:textDirection w:val="lrTb"/>
            <w:noWrap w:val="false"/>
          </w:tcPr>
          <w:p>
            <w:pPr>
              <w:pStyle w:val="857"/>
              <w:ind w:left="0" w:right="0" w:firstLine="0"/>
              <w:jc w:val="center"/>
              <w:keepLines w:val="0"/>
              <w:keepNext w:val="0"/>
              <w:pageBreakBefore w:val="0"/>
              <w:spacing w:beforeAutospacing="0" w:afterAutospacing="0" w:line="360" w:lineRule="exact"/>
              <w:widowControl w:val="off"/>
              <w:rPr>
                <w:rFonts w:hint="eastAsia" w:ascii="宋体" w:hAnsi="宋体" w:eastAsia="宋体" w:cs="宋体"/>
                <w:b/>
                <w:color w:val="000000"/>
                <w:sz w:val="24"/>
                <w:szCs w:val="24"/>
                <w:highlight w:val="none"/>
                <w:vertAlign w:val="baseline"/>
                <w:lang w:val="en-US" w:eastAsia="zh-CN" w:bidi="ar-SA"/>
              </w:rPr>
            </w:pPr>
            <w:r>
              <w:rPr>
                <w:rFonts w:hint="eastAsia" w:ascii="宋体" w:hAnsi="宋体" w:eastAsia="宋体" w:cs="宋体"/>
                <w:b/>
                <w:color w:val="000000"/>
                <w:sz w:val="24"/>
                <w:szCs w:val="24"/>
                <w:highlight w:val="none"/>
                <w:vertAlign w:val="baseline"/>
                <w:lang w:eastAsia="zh-CN"/>
              </w:rPr>
              <w:t xml:space="preserve">二轮承包</w:t>
            </w:r>
            <w:r/>
          </w:p>
        </w:tc>
        <w:tc>
          <w:tcPr>
            <w:shd w:val="clear" w:color="auto" w:fill="auto"/>
            <w:tcW w:w="1010" w:type="pct"/>
            <w:vAlign w:val="center"/>
            <w:textDirection w:val="lrTb"/>
            <w:noWrap w:val="false"/>
          </w:tcPr>
          <w:p>
            <w:pPr>
              <w:pStyle w:val="857"/>
              <w:ind w:left="0" w:right="0" w:firstLine="0"/>
              <w:jc w:val="center"/>
              <w:keepLines w:val="0"/>
              <w:keepNext w:val="0"/>
              <w:pageBreakBefore w:val="0"/>
              <w:spacing w:beforeAutospacing="0" w:afterAutospacing="0" w:line="360" w:lineRule="exact"/>
              <w:widowControl w:val="off"/>
              <w:rPr>
                <w:rFonts w:hint="eastAsia" w:ascii="宋体" w:hAnsi="宋体" w:eastAsia="宋体" w:cs="宋体"/>
                <w:b/>
                <w:color w:val="000000"/>
                <w:sz w:val="24"/>
                <w:szCs w:val="24"/>
                <w:highlight w:val="none"/>
                <w:vertAlign w:val="baseline"/>
                <w:lang w:val="en-US" w:eastAsia="zh-CN" w:bidi="ar-SA"/>
              </w:rPr>
            </w:pPr>
            <w:r>
              <w:rPr>
                <w:rFonts w:hint="eastAsia" w:ascii="宋体" w:hAnsi="宋体" w:eastAsia="宋体" w:cs="宋体"/>
                <w:b/>
                <w:color w:val="000000"/>
                <w:sz w:val="24"/>
                <w:szCs w:val="24"/>
                <w:highlight w:val="none"/>
                <w:vertAlign w:val="baseline"/>
                <w:lang w:eastAsia="zh-CN"/>
              </w:rPr>
              <w:t xml:space="preserve">二轮承包总人口</w:t>
            </w:r>
            <w:r/>
          </w:p>
        </w:tc>
        <w:tc>
          <w:tcPr>
            <w:shd w:val="clear" w:color="auto" w:fill="auto"/>
            <w:tcW w:w="783" w:type="pct"/>
            <w:vAlign w:val="center"/>
            <w:textDirection w:val="lrTb"/>
            <w:noWrap w:val="false"/>
          </w:tcPr>
          <w:p>
            <w:pPr>
              <w:pStyle w:val="857"/>
              <w:ind w:left="0" w:right="0" w:firstLine="0"/>
              <w:jc w:val="center"/>
              <w:keepLines w:val="0"/>
              <w:keepNext w:val="0"/>
              <w:pageBreakBefore w:val="0"/>
              <w:spacing w:beforeAutospacing="0" w:afterAutospacing="0" w:line="360" w:lineRule="exact"/>
              <w:widowControl w:val="off"/>
              <w:rPr>
                <w:rFonts w:hint="eastAsia" w:ascii="宋体" w:hAnsi="宋体" w:eastAsia="宋体" w:cs="宋体"/>
                <w:b/>
                <w:color w:val="000000"/>
                <w:sz w:val="24"/>
                <w:szCs w:val="24"/>
                <w:highlight w:val="none"/>
                <w:vertAlign w:val="baseline"/>
                <w:lang w:val="en-US" w:eastAsia="zh-CN" w:bidi="ar-SA"/>
              </w:rPr>
            </w:pPr>
            <w:r>
              <w:rPr>
                <w:rFonts w:hint="eastAsia" w:ascii="宋体" w:hAnsi="宋体" w:eastAsia="宋体" w:cs="宋体"/>
                <w:b/>
                <w:color w:val="000000"/>
                <w:sz w:val="24"/>
                <w:szCs w:val="24"/>
                <w:highlight w:val="none"/>
                <w:vertAlign w:val="baseline"/>
                <w:lang w:eastAsia="zh-CN"/>
              </w:rPr>
              <w:t xml:space="preserve">二轮承包总面积</w:t>
            </w:r>
            <w:r/>
          </w:p>
        </w:tc>
      </w:tr>
      <w:tr>
        <w:trPr/>
        <w:tc>
          <w:tcPr>
            <w:tcW w:w="687" w:type="pct"/>
            <w:vAlign w:val="center"/>
            <w:textDirection w:val="lrTb"/>
            <w:noWrap w:val="false"/>
          </w:tcPr>
          <w:p>
            <w:pPr>
              <w:jc w:val="center"/>
              <w:keepLines w:val="0"/>
              <w:pageBreakBefore w:val="0"/>
              <w:spacing w:line="360" w:lineRule="exact"/>
              <w:rPr>
                <w:rFonts w:hint="eastAsia" w:ascii="宋体" w:hAnsi="宋体" w:eastAsia="宋体" w:cs="宋体"/>
                <w:b/>
                <w:bCs w:val="0"/>
                <w:color w:val="000000"/>
                <w:sz w:val="24"/>
                <w:szCs w:val="24"/>
                <w:highlight w:val="none"/>
                <w:vertAlign w:val="baseline"/>
                <w:lang w:eastAsia="zh-CN"/>
              </w:rPr>
            </w:pPr>
            <w:r>
              <w:rPr>
                <w:rFonts w:hint="eastAsia" w:ascii="宋体" w:hAnsi="宋体" w:eastAsia="宋体" w:cs="宋体"/>
                <w:b/>
                <w:bCs w:val="0"/>
                <w:color w:val="000000"/>
                <w:sz w:val="21"/>
                <w:szCs w:val="21"/>
                <w:highlight w:val="none"/>
                <w:vertAlign w:val="baseline"/>
                <w:lang w:eastAsia="zh-CN"/>
              </w:rPr>
              <w:t xml:space="preserve">采购包一</w:t>
            </w:r>
            <w:r/>
          </w:p>
        </w:tc>
        <w:tc>
          <w:tcPr>
            <w:tcW w:w="575"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val="0"/>
                <w:bCs/>
                <w:color w:val="000000"/>
                <w:sz w:val="21"/>
                <w:szCs w:val="21"/>
                <w:highlight w:val="none"/>
                <w:vertAlign w:val="baseline"/>
                <w:lang w:eastAsia="zh-CN"/>
              </w:rPr>
              <w:t xml:space="preserve">梁垛镇</w:t>
            </w:r>
            <w:r/>
          </w:p>
        </w:tc>
        <w:tc>
          <w:tcPr>
            <w:tcW w:w="659"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val="0"/>
                <w:bCs/>
                <w:color w:val="000000"/>
                <w:sz w:val="21"/>
                <w:szCs w:val="21"/>
                <w:highlight w:val="none"/>
                <w:vertAlign w:val="baseline"/>
                <w:lang w:eastAsia="zh-CN"/>
              </w:rPr>
              <w:t xml:space="preserve">梁垛镇</w:t>
            </w:r>
            <w:r/>
          </w:p>
        </w:tc>
        <w:tc>
          <w:tcPr>
            <w:tcW w:w="641"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641"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val="0"/>
                <w:bCs/>
                <w:color w:val="000000"/>
                <w:sz w:val="21"/>
                <w:szCs w:val="21"/>
                <w:highlight w:val="none"/>
                <w:vertAlign w:val="baseline"/>
                <w:lang w:val="en-US" w:eastAsia="zh-CN"/>
              </w:rPr>
              <w:t xml:space="preserve">25450</w:t>
            </w:r>
            <w:r/>
          </w:p>
        </w:tc>
        <w:tc>
          <w:tcPr>
            <w:tcW w:w="1010"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val="0"/>
                <w:bCs/>
                <w:color w:val="000000"/>
                <w:sz w:val="21"/>
                <w:szCs w:val="21"/>
                <w:highlight w:val="none"/>
                <w:vertAlign w:val="baseline"/>
                <w:lang w:val="en-US" w:eastAsia="zh-CN"/>
              </w:rPr>
              <w:t xml:space="preserve">78432</w:t>
            </w:r>
            <w:r/>
          </w:p>
        </w:tc>
        <w:tc>
          <w:tcPr>
            <w:tcW w:w="783"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val="0"/>
                <w:bCs/>
                <w:color w:val="000000"/>
                <w:sz w:val="21"/>
                <w:szCs w:val="21"/>
                <w:highlight w:val="none"/>
                <w:vertAlign w:val="baseline"/>
                <w:lang w:val="en-US" w:eastAsia="zh-CN"/>
              </w:rPr>
              <w:t xml:space="preserve">92265.27</w:t>
            </w:r>
            <w:r/>
          </w:p>
        </w:tc>
      </w:tr>
      <w:tr>
        <w:trPr/>
        <w:tc>
          <w:tcPr>
            <w:tcW w:w="687" w:type="pct"/>
            <w:vAlign w:val="center"/>
            <w:textDirection w:val="lrTb"/>
            <w:noWrap w:val="false"/>
          </w:tcPr>
          <w:p>
            <w:pPr>
              <w:jc w:val="center"/>
              <w:keepLines w:val="0"/>
              <w:pageBreakBefore w:val="0"/>
              <w:spacing w:line="360" w:lineRule="exact"/>
              <w:rPr>
                <w:rFonts w:hint="eastAsia" w:ascii="宋体" w:hAnsi="宋体" w:eastAsia="宋体" w:cs="宋体"/>
                <w:b/>
                <w:bCs w:val="0"/>
                <w:color w:val="000000"/>
                <w:sz w:val="24"/>
                <w:szCs w:val="24"/>
                <w:highlight w:val="none"/>
                <w:vertAlign w:val="baseline"/>
                <w:lang w:eastAsia="zh-CN"/>
              </w:rPr>
            </w:pPr>
            <w:r>
              <w:rPr>
                <w:rFonts w:hint="eastAsia" w:ascii="宋体" w:hAnsi="宋体" w:eastAsia="宋体" w:cs="宋体"/>
                <w:b/>
                <w:bCs w:val="0"/>
                <w:color w:val="000000"/>
                <w:sz w:val="21"/>
                <w:szCs w:val="21"/>
                <w:highlight w:val="none"/>
                <w:vertAlign w:val="baseline"/>
                <w:lang w:eastAsia="zh-CN"/>
              </w:rPr>
              <w:t xml:space="preserve">采购包二</w:t>
            </w:r>
            <w:r/>
          </w:p>
        </w:tc>
        <w:tc>
          <w:tcPr>
            <w:tcW w:w="575"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val="0"/>
                <w:bCs/>
                <w:color w:val="000000"/>
                <w:sz w:val="21"/>
                <w:szCs w:val="21"/>
                <w:highlight w:val="none"/>
                <w:vertAlign w:val="baseline"/>
                <w:lang w:eastAsia="zh-CN"/>
              </w:rPr>
              <w:t xml:space="preserve">三仓镇</w:t>
            </w:r>
            <w:r/>
          </w:p>
        </w:tc>
        <w:tc>
          <w:tcPr>
            <w:tcW w:w="659"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val="0"/>
                <w:bCs/>
                <w:color w:val="000000"/>
                <w:sz w:val="21"/>
                <w:szCs w:val="21"/>
                <w:highlight w:val="none"/>
                <w:vertAlign w:val="baseline"/>
                <w:lang w:eastAsia="zh-CN"/>
              </w:rPr>
              <w:t xml:space="preserve">三仓镇</w:t>
            </w:r>
            <w:r/>
          </w:p>
        </w:tc>
        <w:tc>
          <w:tcPr>
            <w:tcW w:w="641"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641"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val="0"/>
                <w:bCs/>
                <w:color w:val="000000"/>
                <w:sz w:val="21"/>
                <w:szCs w:val="21"/>
                <w:highlight w:val="none"/>
                <w:vertAlign w:val="baseline"/>
                <w:lang w:val="en-US" w:eastAsia="zh-CN"/>
              </w:rPr>
              <w:t xml:space="preserve">22908</w:t>
            </w:r>
            <w:r/>
          </w:p>
        </w:tc>
        <w:tc>
          <w:tcPr>
            <w:tcW w:w="1010"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val="0"/>
                <w:bCs/>
                <w:color w:val="000000"/>
                <w:sz w:val="21"/>
                <w:szCs w:val="21"/>
                <w:highlight w:val="none"/>
                <w:vertAlign w:val="baseline"/>
                <w:lang w:val="en-US" w:eastAsia="zh-CN"/>
              </w:rPr>
              <w:t xml:space="preserve">63941</w:t>
            </w:r>
            <w:r/>
          </w:p>
        </w:tc>
        <w:tc>
          <w:tcPr>
            <w:tcW w:w="783"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val="0"/>
                <w:bCs/>
                <w:color w:val="000000"/>
                <w:sz w:val="21"/>
                <w:szCs w:val="21"/>
                <w:highlight w:val="none"/>
                <w:vertAlign w:val="baseline"/>
                <w:lang w:val="en-US" w:eastAsia="zh-CN"/>
              </w:rPr>
              <w:t xml:space="preserve">133241.135</w:t>
            </w:r>
            <w:r/>
          </w:p>
        </w:tc>
      </w:tr>
      <w:tr>
        <w:trPr/>
        <w:tc>
          <w:tcPr>
            <w:tcW w:w="687" w:type="pct"/>
            <w:vAlign w:val="center"/>
            <w:vMerge w:val="restart"/>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bCs w:val="0"/>
                <w:color w:val="000000"/>
                <w:sz w:val="21"/>
                <w:szCs w:val="21"/>
                <w:highlight w:val="none"/>
                <w:vertAlign w:val="baseline"/>
                <w:lang w:eastAsia="zh-CN"/>
              </w:rPr>
              <w:t xml:space="preserve">采购包三</w:t>
            </w:r>
            <w:r/>
          </w:p>
        </w:tc>
        <w:tc>
          <w:tcPr>
            <w:tcW w:w="575" w:type="pct"/>
            <w:vAlign w:val="center"/>
            <w:vMerge w:val="restart"/>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val="0"/>
                <w:bCs/>
                <w:color w:val="000000"/>
                <w:sz w:val="21"/>
                <w:szCs w:val="21"/>
                <w:highlight w:val="none"/>
                <w:vertAlign w:val="baseline"/>
                <w:lang w:eastAsia="zh-CN"/>
              </w:rPr>
              <w:t xml:space="preserve">溱东镇</w:t>
            </w:r>
            <w:r/>
          </w:p>
        </w:tc>
        <w:tc>
          <w:tcPr>
            <w:tcW w:w="659"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641"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val="0"/>
                <w:bCs/>
                <w:color w:val="000000"/>
                <w:sz w:val="21"/>
                <w:szCs w:val="21"/>
                <w:highlight w:val="none"/>
                <w:vertAlign w:val="baseline"/>
                <w:lang w:eastAsia="zh-CN"/>
              </w:rPr>
              <w:t xml:space="preserve">鲍庄村</w:t>
            </w:r>
            <w:r/>
          </w:p>
        </w:tc>
        <w:tc>
          <w:tcPr>
            <w:tcW w:w="641"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val="0"/>
                <w:bCs/>
                <w:color w:val="000000"/>
                <w:sz w:val="21"/>
                <w:szCs w:val="21"/>
                <w:highlight w:val="none"/>
                <w:vertAlign w:val="baseline"/>
                <w:lang w:val="en-US" w:eastAsia="zh-CN"/>
              </w:rPr>
              <w:t xml:space="preserve">920</w:t>
            </w:r>
            <w:r/>
          </w:p>
        </w:tc>
        <w:tc>
          <w:tcPr>
            <w:tcW w:w="1010"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val="0"/>
                <w:bCs/>
                <w:color w:val="000000"/>
                <w:sz w:val="21"/>
                <w:szCs w:val="21"/>
                <w:highlight w:val="none"/>
                <w:vertAlign w:val="baseline"/>
                <w:lang w:val="en-US" w:eastAsia="zh-CN"/>
              </w:rPr>
              <w:t xml:space="preserve">2840</w:t>
            </w:r>
            <w:r/>
          </w:p>
        </w:tc>
        <w:tc>
          <w:tcPr>
            <w:tcW w:w="783"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val="0"/>
                <w:bCs/>
                <w:color w:val="000000"/>
                <w:sz w:val="21"/>
                <w:szCs w:val="21"/>
                <w:highlight w:val="none"/>
                <w:vertAlign w:val="baseline"/>
                <w:lang w:val="en-US" w:eastAsia="zh-CN"/>
              </w:rPr>
              <w:t xml:space="preserve">4356.97</w:t>
            </w:r>
            <w:r/>
          </w:p>
        </w:tc>
      </w:tr>
      <w:tr>
        <w:trPr>
          <w:trHeight w:val="302"/>
        </w:trPr>
        <w:tc>
          <w:tcPr>
            <w:tcW w:w="687"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575"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659"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夏龙村</w:t>
            </w:r>
            <w:r/>
          </w:p>
        </w:tc>
        <w:tc>
          <w:tcPr>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647</w:t>
            </w:r>
            <w:r/>
          </w:p>
        </w:tc>
        <w:tc>
          <w:tcPr>
            <w:shd w:val="clear" w:color="auto" w:fill="auto"/>
            <w:tcW w:w="101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1910</w:t>
            </w:r>
            <w:r/>
          </w:p>
        </w:tc>
        <w:tc>
          <w:tcPr>
            <w:shd w:val="clear" w:color="auto" w:fill="auto"/>
            <w:tcW w:w="783"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3049.811</w:t>
            </w:r>
            <w:r/>
          </w:p>
        </w:tc>
      </w:tr>
      <w:tr>
        <w:trPr/>
        <w:tc>
          <w:tcPr>
            <w:tcW w:w="687"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575" w:type="pct"/>
            <w:vAlign w:val="center"/>
            <w:vMerge w:val="restart"/>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val="0"/>
                <w:bCs/>
                <w:color w:val="000000"/>
                <w:sz w:val="21"/>
                <w:szCs w:val="21"/>
                <w:highlight w:val="none"/>
                <w:vertAlign w:val="baseline"/>
                <w:lang w:eastAsia="zh-CN"/>
              </w:rPr>
              <w:t xml:space="preserve">时堰镇</w:t>
            </w:r>
            <w:r/>
          </w:p>
        </w:tc>
        <w:tc>
          <w:tcPr>
            <w:tcW w:w="659"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建东村</w:t>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412</w:t>
            </w:r>
            <w:r/>
          </w:p>
        </w:tc>
        <w:tc>
          <w:tcPr>
            <w:shd w:val="clear" w:color="auto" w:fill="auto"/>
            <w:tcW w:w="101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1305</w:t>
            </w:r>
            <w:r/>
          </w:p>
        </w:tc>
        <w:tc>
          <w:tcPr>
            <w:shd w:val="clear" w:color="auto" w:fill="auto"/>
            <w:tcW w:w="783"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1348.23</w:t>
            </w:r>
            <w:r/>
          </w:p>
        </w:tc>
      </w:tr>
      <w:tr>
        <w:trPr/>
        <w:tc>
          <w:tcPr>
            <w:tcW w:w="687"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575"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659"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存山村</w:t>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329</w:t>
            </w:r>
            <w:r/>
          </w:p>
        </w:tc>
        <w:tc>
          <w:tcPr>
            <w:shd w:val="clear" w:color="auto" w:fill="auto"/>
            <w:tcW w:w="101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1251</w:t>
            </w:r>
            <w:r/>
          </w:p>
        </w:tc>
        <w:tc>
          <w:tcPr>
            <w:shd w:val="clear" w:color="auto" w:fill="auto"/>
            <w:tcW w:w="783"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1142.76</w:t>
            </w:r>
            <w:r/>
          </w:p>
        </w:tc>
      </w:tr>
      <w:tr>
        <w:trPr/>
        <w:tc>
          <w:tcPr>
            <w:tcW w:w="687"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575" w:type="pct"/>
            <w:vAlign w:val="center"/>
            <w:vMerge w:val="restart"/>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val="0"/>
                <w:bCs/>
                <w:color w:val="000000"/>
                <w:sz w:val="21"/>
                <w:szCs w:val="21"/>
                <w:highlight w:val="none"/>
                <w:vertAlign w:val="baseline"/>
                <w:lang w:eastAsia="zh-CN"/>
              </w:rPr>
              <w:t xml:space="preserve">五烈镇</w:t>
            </w:r>
            <w:r/>
          </w:p>
        </w:tc>
        <w:tc>
          <w:tcPr>
            <w:tcW w:w="659"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摹云村</w:t>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693</w:t>
            </w:r>
            <w:r/>
          </w:p>
        </w:tc>
        <w:tc>
          <w:tcPr>
            <w:shd w:val="clear" w:color="auto" w:fill="auto"/>
            <w:tcW w:w="101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2184</w:t>
            </w:r>
            <w:r/>
          </w:p>
        </w:tc>
        <w:tc>
          <w:tcPr>
            <w:shd w:val="clear" w:color="auto" w:fill="auto"/>
            <w:tcW w:w="783"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2671</w:t>
            </w:r>
            <w:r/>
          </w:p>
        </w:tc>
      </w:tr>
      <w:tr>
        <w:trPr/>
        <w:tc>
          <w:tcPr>
            <w:tcW w:w="687"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575"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659"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四新村</w:t>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938</w:t>
            </w:r>
            <w:r/>
          </w:p>
        </w:tc>
        <w:tc>
          <w:tcPr>
            <w:shd w:val="clear" w:color="auto" w:fill="auto"/>
            <w:tcW w:w="101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2520</w:t>
            </w:r>
            <w:r/>
          </w:p>
        </w:tc>
        <w:tc>
          <w:tcPr>
            <w:shd w:val="clear" w:color="auto" w:fill="auto"/>
            <w:tcW w:w="783"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3643</w:t>
            </w:r>
            <w:r/>
          </w:p>
        </w:tc>
      </w:tr>
      <w:tr>
        <w:trPr/>
        <w:tc>
          <w:tcPr>
            <w:tcW w:w="687"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575"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659"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谢庄村</w:t>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1055</w:t>
            </w:r>
            <w:r/>
          </w:p>
        </w:tc>
        <w:tc>
          <w:tcPr>
            <w:shd w:val="clear" w:color="auto" w:fill="auto"/>
            <w:tcW w:w="101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2794</w:t>
            </w:r>
            <w:r/>
          </w:p>
        </w:tc>
        <w:tc>
          <w:tcPr>
            <w:shd w:val="clear" w:color="auto" w:fill="auto"/>
            <w:tcW w:w="783"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3670</w:t>
            </w:r>
            <w:r/>
          </w:p>
        </w:tc>
      </w:tr>
      <w:tr>
        <w:trPr/>
        <w:tc>
          <w:tcPr>
            <w:tcW w:w="687"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575"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659"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祁联村</w:t>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1447</w:t>
            </w:r>
            <w:r/>
          </w:p>
        </w:tc>
        <w:tc>
          <w:tcPr>
            <w:shd w:val="clear" w:color="auto" w:fill="auto"/>
            <w:tcW w:w="101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4063</w:t>
            </w:r>
            <w:r/>
          </w:p>
        </w:tc>
        <w:tc>
          <w:tcPr>
            <w:shd w:val="clear" w:color="auto" w:fill="auto"/>
            <w:tcW w:w="783"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5165</w:t>
            </w:r>
            <w:r/>
          </w:p>
        </w:tc>
      </w:tr>
      <w:tr>
        <w:trPr/>
        <w:tc>
          <w:tcPr>
            <w:tcW w:w="687"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575"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659"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博岳村</w:t>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1498</w:t>
            </w:r>
            <w:r/>
          </w:p>
        </w:tc>
        <w:tc>
          <w:tcPr>
            <w:shd w:val="clear" w:color="auto" w:fill="auto"/>
            <w:tcW w:w="101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4494</w:t>
            </w:r>
            <w:r/>
          </w:p>
        </w:tc>
        <w:tc>
          <w:tcPr>
            <w:shd w:val="clear" w:color="auto" w:fill="auto"/>
            <w:tcW w:w="783"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4875</w:t>
            </w:r>
            <w:r/>
          </w:p>
        </w:tc>
      </w:tr>
      <w:tr>
        <w:trPr/>
        <w:tc>
          <w:tcPr>
            <w:tcW w:w="687"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575"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659"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廉贻村</w:t>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1491</w:t>
            </w:r>
            <w:r/>
          </w:p>
        </w:tc>
        <w:tc>
          <w:tcPr>
            <w:shd w:val="clear" w:color="auto" w:fill="auto"/>
            <w:tcW w:w="101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4943</w:t>
            </w:r>
            <w:r/>
          </w:p>
        </w:tc>
        <w:tc>
          <w:tcPr>
            <w:shd w:val="clear" w:color="auto" w:fill="auto"/>
            <w:tcW w:w="783"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6013</w:t>
            </w:r>
            <w:r/>
          </w:p>
        </w:tc>
      </w:tr>
      <w:tr>
        <w:trPr/>
        <w:tc>
          <w:tcPr>
            <w:tcW w:w="687"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575" w:type="pct"/>
            <w:vAlign w:val="center"/>
            <w:vMerge w:val="restart"/>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val="0"/>
                <w:bCs/>
                <w:color w:val="000000"/>
                <w:sz w:val="21"/>
                <w:szCs w:val="21"/>
                <w:highlight w:val="none"/>
                <w:vertAlign w:val="baseline"/>
                <w:lang w:eastAsia="zh-CN"/>
              </w:rPr>
              <w:t xml:space="preserve">安丰镇</w:t>
            </w:r>
            <w:r/>
          </w:p>
        </w:tc>
        <w:tc>
          <w:tcPr>
            <w:tcW w:w="659"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五进村</w:t>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650</w:t>
            </w:r>
            <w:r/>
          </w:p>
        </w:tc>
        <w:tc>
          <w:tcPr>
            <w:shd w:val="clear" w:color="auto" w:fill="auto"/>
            <w:tcW w:w="101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1978</w:t>
            </w:r>
            <w:r/>
          </w:p>
        </w:tc>
        <w:tc>
          <w:tcPr>
            <w:shd w:val="clear" w:color="auto" w:fill="auto"/>
            <w:tcW w:w="783"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2789</w:t>
            </w:r>
            <w:r/>
          </w:p>
        </w:tc>
      </w:tr>
      <w:tr>
        <w:trPr/>
        <w:tc>
          <w:tcPr>
            <w:tcW w:w="687"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575"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659"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通榆村</w:t>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888</w:t>
            </w:r>
            <w:r/>
          </w:p>
        </w:tc>
        <w:tc>
          <w:tcPr>
            <w:shd w:val="clear" w:color="auto" w:fill="auto"/>
            <w:tcW w:w="101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2866</w:t>
            </w:r>
            <w:r/>
          </w:p>
        </w:tc>
        <w:tc>
          <w:tcPr>
            <w:shd w:val="clear" w:color="auto" w:fill="auto"/>
            <w:tcW w:w="783"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3488.18</w:t>
            </w:r>
            <w:r/>
          </w:p>
        </w:tc>
      </w:tr>
      <w:tr>
        <w:trPr/>
        <w:tc>
          <w:tcPr>
            <w:tcW w:w="687"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575" w:type="pct"/>
            <w:vAlign w:val="center"/>
            <w:vMerge w:val="restart"/>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val="0"/>
                <w:bCs/>
                <w:color w:val="000000"/>
                <w:sz w:val="21"/>
                <w:szCs w:val="21"/>
                <w:highlight w:val="none"/>
                <w:vertAlign w:val="baseline"/>
                <w:lang w:eastAsia="zh-CN"/>
              </w:rPr>
              <w:t xml:space="preserve">富安镇</w:t>
            </w:r>
            <w:r/>
          </w:p>
        </w:tc>
        <w:tc>
          <w:tcPr>
            <w:tcW w:w="659"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久胜村</w:t>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1167</w:t>
            </w:r>
            <w:r/>
          </w:p>
        </w:tc>
        <w:tc>
          <w:tcPr>
            <w:shd w:val="clear" w:color="auto" w:fill="auto"/>
            <w:tcW w:w="101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3601</w:t>
            </w:r>
            <w:r/>
          </w:p>
        </w:tc>
        <w:tc>
          <w:tcPr>
            <w:shd w:val="clear" w:color="auto" w:fill="auto"/>
            <w:tcW w:w="783"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6579.33</w:t>
            </w:r>
            <w:r/>
          </w:p>
        </w:tc>
      </w:tr>
      <w:tr>
        <w:trPr/>
        <w:tc>
          <w:tcPr>
            <w:tcW w:w="687"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575"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659"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富民村</w:t>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1273</w:t>
            </w:r>
            <w:r/>
          </w:p>
        </w:tc>
        <w:tc>
          <w:tcPr>
            <w:shd w:val="clear" w:color="auto" w:fill="auto"/>
            <w:tcW w:w="101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4340</w:t>
            </w:r>
            <w:r/>
          </w:p>
        </w:tc>
        <w:tc>
          <w:tcPr>
            <w:shd w:val="clear" w:color="auto" w:fill="auto"/>
            <w:tcW w:w="783"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7322.09</w:t>
            </w:r>
            <w:r/>
          </w:p>
        </w:tc>
      </w:tr>
      <w:tr>
        <w:trPr/>
        <w:tc>
          <w:tcPr>
            <w:tcW w:w="687"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575" w:type="pct"/>
            <w:vAlign w:val="center"/>
            <w:vMerge w:val="restart"/>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val="0"/>
                <w:bCs/>
                <w:color w:val="000000"/>
                <w:sz w:val="21"/>
                <w:szCs w:val="21"/>
                <w:highlight w:val="none"/>
                <w:vertAlign w:val="baseline"/>
                <w:lang w:eastAsia="zh-CN"/>
              </w:rPr>
              <w:t xml:space="preserve">南沈灶村</w:t>
            </w:r>
            <w:r/>
          </w:p>
        </w:tc>
        <w:tc>
          <w:tcPr>
            <w:tcW w:w="659"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晨光村</w:t>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779</w:t>
            </w:r>
            <w:r/>
          </w:p>
        </w:tc>
        <w:tc>
          <w:tcPr>
            <w:shd w:val="clear" w:color="auto" w:fill="auto"/>
            <w:tcW w:w="101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2302</w:t>
            </w:r>
            <w:r/>
          </w:p>
        </w:tc>
        <w:tc>
          <w:tcPr>
            <w:shd w:val="clear" w:color="auto" w:fill="auto"/>
            <w:tcW w:w="783"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4363.17</w:t>
            </w:r>
            <w:r/>
          </w:p>
        </w:tc>
      </w:tr>
      <w:tr>
        <w:trPr/>
        <w:tc>
          <w:tcPr>
            <w:tcW w:w="687"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575"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659"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才琴村</w:t>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790</w:t>
            </w:r>
            <w:r/>
          </w:p>
        </w:tc>
        <w:tc>
          <w:tcPr>
            <w:shd w:val="clear" w:color="auto" w:fill="auto"/>
            <w:tcW w:w="101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2466</w:t>
            </w:r>
            <w:r/>
          </w:p>
        </w:tc>
        <w:tc>
          <w:tcPr>
            <w:shd w:val="clear" w:color="auto" w:fill="auto"/>
            <w:tcW w:w="783"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3814.65</w:t>
            </w:r>
            <w:r/>
          </w:p>
        </w:tc>
      </w:tr>
      <w:tr>
        <w:trPr/>
        <w:tc>
          <w:tcPr>
            <w:tcW w:w="687"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575" w:type="pct"/>
            <w:vAlign w:val="center"/>
            <w:vMerge w:val="restart"/>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val="0"/>
                <w:bCs/>
                <w:color w:val="000000"/>
                <w:sz w:val="21"/>
                <w:szCs w:val="21"/>
                <w:highlight w:val="none"/>
                <w:vertAlign w:val="baseline"/>
                <w:lang w:eastAsia="zh-CN"/>
              </w:rPr>
              <w:t xml:space="preserve">东台镇</w:t>
            </w:r>
            <w:r/>
          </w:p>
        </w:tc>
        <w:tc>
          <w:tcPr>
            <w:tcW w:w="659"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富旗村</w:t>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1038</w:t>
            </w:r>
            <w:r/>
          </w:p>
        </w:tc>
        <w:tc>
          <w:tcPr>
            <w:shd w:val="clear" w:color="auto" w:fill="auto"/>
            <w:tcW w:w="101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2914</w:t>
            </w:r>
            <w:r/>
          </w:p>
        </w:tc>
        <w:tc>
          <w:tcPr>
            <w:shd w:val="clear" w:color="auto" w:fill="auto"/>
            <w:tcW w:w="783"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5070</w:t>
            </w:r>
            <w:r/>
          </w:p>
        </w:tc>
      </w:tr>
      <w:tr>
        <w:trPr/>
        <w:tc>
          <w:tcPr>
            <w:tcW w:w="687"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575"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tcW w:w="659" w:type="pct"/>
            <w:vAlign w:val="center"/>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华灶村</w:t>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910</w:t>
            </w:r>
            <w:r/>
          </w:p>
        </w:tc>
        <w:tc>
          <w:tcPr>
            <w:shd w:val="clear" w:color="auto" w:fill="auto"/>
            <w:tcW w:w="101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2560</w:t>
            </w:r>
            <w:r/>
          </w:p>
        </w:tc>
        <w:tc>
          <w:tcPr>
            <w:shd w:val="clear" w:color="auto" w:fill="auto"/>
            <w:tcW w:w="783"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4850</w:t>
            </w:r>
            <w:r/>
          </w:p>
        </w:tc>
      </w:tr>
      <w:tr>
        <w:trPr/>
        <w:tc>
          <w:tcPr>
            <w:tcW w:w="687"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shd w:val="clear" w:color="auto" w:fill="auto"/>
            <w:tcW w:w="575"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经济开发区</w:t>
            </w:r>
            <w:r/>
          </w:p>
        </w:tc>
        <w:tc>
          <w:tcPr>
            <w:shd w:val="clear" w:color="auto" w:fill="auto"/>
            <w:tcW w:w="659"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双新村</w:t>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809</w:t>
            </w:r>
            <w:r/>
          </w:p>
        </w:tc>
        <w:tc>
          <w:tcPr>
            <w:shd w:val="clear" w:color="auto" w:fill="auto"/>
            <w:tcW w:w="101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2280.7</w:t>
            </w:r>
            <w:r/>
          </w:p>
        </w:tc>
        <w:tc>
          <w:tcPr>
            <w:shd w:val="clear" w:color="auto" w:fill="auto"/>
            <w:tcW w:w="783"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3768.303</w:t>
            </w:r>
            <w:r/>
          </w:p>
        </w:tc>
      </w:tr>
      <w:tr>
        <w:trPr/>
        <w:tc>
          <w:tcPr>
            <w:tcW w:w="687"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shd w:val="clear" w:color="auto" w:fill="auto"/>
            <w:tcW w:w="575"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高新区</w:t>
            </w:r>
            <w:r/>
          </w:p>
        </w:tc>
        <w:tc>
          <w:tcPr>
            <w:shd w:val="clear" w:color="auto" w:fill="auto"/>
            <w:tcW w:w="659"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钱陈社区</w:t>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1123</w:t>
            </w:r>
            <w:r/>
          </w:p>
        </w:tc>
        <w:tc>
          <w:tcPr>
            <w:shd w:val="clear" w:color="auto" w:fill="auto"/>
            <w:tcW w:w="101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3678</w:t>
            </w:r>
            <w:r/>
          </w:p>
        </w:tc>
        <w:tc>
          <w:tcPr>
            <w:shd w:val="clear" w:color="auto" w:fill="auto"/>
            <w:tcW w:w="783"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4384.77</w:t>
            </w:r>
            <w:r/>
          </w:p>
        </w:tc>
      </w:tr>
      <w:tr>
        <w:trPr/>
        <w:tc>
          <w:tcPr>
            <w:tcW w:w="687" w:type="pct"/>
            <w:vAlign w:val="center"/>
            <w:vMerge w:val="restart"/>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bCs w:val="0"/>
                <w:color w:val="000000"/>
                <w:sz w:val="21"/>
                <w:szCs w:val="21"/>
                <w:highlight w:val="none"/>
                <w:vertAlign w:val="baseline"/>
                <w:lang w:eastAsia="zh-CN"/>
              </w:rPr>
              <w:t xml:space="preserve">采购包四</w:t>
            </w:r>
            <w:r/>
          </w:p>
        </w:tc>
        <w:tc>
          <w:tcPr>
            <w:shd w:val="clear" w:color="auto" w:fill="auto"/>
            <w:tcW w:w="575" w:type="pct"/>
            <w:vAlign w:val="center"/>
            <w:vMerge w:val="restart"/>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eastAsia="zh-CN"/>
              </w:rPr>
              <w:t xml:space="preserve">头灶镇</w:t>
            </w:r>
            <w:r/>
          </w:p>
        </w:tc>
        <w:tc>
          <w:tcPr>
            <w:shd w:val="clear" w:color="auto" w:fill="auto"/>
            <w:tcW w:w="659"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陈章村</w:t>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1060</w:t>
            </w:r>
            <w:r/>
          </w:p>
        </w:tc>
        <w:tc>
          <w:tcPr>
            <w:shd w:val="clear" w:color="auto" w:fill="auto"/>
            <w:tcW w:w="101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2997</w:t>
            </w:r>
            <w:r/>
          </w:p>
        </w:tc>
        <w:tc>
          <w:tcPr>
            <w:shd w:val="clear" w:color="auto" w:fill="auto"/>
            <w:tcW w:w="783"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9815.62</w:t>
            </w:r>
            <w:r/>
          </w:p>
        </w:tc>
      </w:tr>
      <w:tr>
        <w:trPr/>
        <w:tc>
          <w:tcPr>
            <w:tcW w:w="687"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shd w:val="clear" w:color="auto" w:fill="auto"/>
            <w:tcW w:w="575" w:type="pct"/>
            <w:vAlign w:val="center"/>
            <w:vMerge w:val="continue"/>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r>
            <w:r/>
          </w:p>
        </w:tc>
        <w:tc>
          <w:tcPr>
            <w:shd w:val="clear" w:color="auto" w:fill="auto"/>
            <w:tcW w:w="659"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十五灶村</w:t>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1586</w:t>
            </w:r>
            <w:r/>
          </w:p>
        </w:tc>
        <w:tc>
          <w:tcPr>
            <w:shd w:val="clear" w:color="auto" w:fill="auto"/>
            <w:tcW w:w="1010"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4607</w:t>
            </w:r>
            <w:r/>
          </w:p>
        </w:tc>
        <w:tc>
          <w:tcPr>
            <w:shd w:val="clear" w:color="auto" w:fill="auto"/>
            <w:tcW w:w="783"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10136.27</w:t>
            </w:r>
            <w:r/>
          </w:p>
        </w:tc>
      </w:tr>
      <w:tr>
        <w:trPr/>
        <w:tc>
          <w:tcPr>
            <w:tcW w:w="687"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shd w:val="clear" w:color="auto" w:fill="auto"/>
            <w:tcW w:w="575" w:type="pct"/>
            <w:vAlign w:val="center"/>
            <w:vMerge w:val="restart"/>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许河镇</w:t>
            </w:r>
            <w:r/>
          </w:p>
        </w:tc>
        <w:tc>
          <w:tcPr>
            <w:shd w:val="clear" w:color="auto" w:fill="auto"/>
            <w:tcW w:w="659"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杨河村</w:t>
            </w:r>
            <w:r/>
          </w:p>
        </w:tc>
        <w:tc>
          <w:tcPr>
            <w:shd w:val="clear" w:color="auto" w:fill="auto"/>
            <w:tcW w:w="641" w:type="pct"/>
            <w:vAlign w:val="center"/>
            <w:textDirection w:val="lrTb"/>
            <w:noWrap w:val="false"/>
          </w:tcPr>
          <w:p>
            <w:pPr>
              <w:jc w:val="center"/>
              <w:keepLines w:val="0"/>
              <w:pageBreakBefore w:val="0"/>
              <w:spacing w:line="360" w:lineRule="exact"/>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761</w:t>
            </w:r>
            <w:r/>
          </w:p>
        </w:tc>
        <w:tc>
          <w:tcPr>
            <w:shd w:val="clear" w:color="auto" w:fill="auto"/>
            <w:tcW w:w="1010" w:type="pct"/>
            <w:vAlign w:val="center"/>
            <w:textDirection w:val="lrTb"/>
            <w:noWrap w:val="false"/>
          </w:tcPr>
          <w:p>
            <w:pPr>
              <w:jc w:val="center"/>
              <w:keepLines w:val="0"/>
              <w:pageBreakBefore w:val="0"/>
              <w:spacing w:line="360" w:lineRule="exact"/>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2075</w:t>
            </w:r>
            <w:r/>
          </w:p>
        </w:tc>
        <w:tc>
          <w:tcPr>
            <w:shd w:val="clear" w:color="auto" w:fill="auto"/>
            <w:tcW w:w="783" w:type="pct"/>
            <w:vAlign w:val="center"/>
            <w:textDirection w:val="lrTb"/>
            <w:noWrap w:val="false"/>
          </w:tcPr>
          <w:p>
            <w:pPr>
              <w:jc w:val="center"/>
              <w:keepLines w:val="0"/>
              <w:pageBreakBefore w:val="0"/>
              <w:spacing w:line="360" w:lineRule="exact"/>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4498</w:t>
            </w:r>
            <w:r/>
          </w:p>
        </w:tc>
      </w:tr>
      <w:tr>
        <w:trPr/>
        <w:tc>
          <w:tcPr>
            <w:tcW w:w="687"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shd w:val="clear" w:color="auto" w:fill="auto"/>
            <w:tcW w:w="575" w:type="pct"/>
            <w:vAlign w:val="center"/>
            <w:vMerge w:val="continue"/>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r>
            <w:r/>
          </w:p>
        </w:tc>
        <w:tc>
          <w:tcPr>
            <w:shd w:val="clear" w:color="auto" w:fill="auto"/>
            <w:tcW w:w="659"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元官村</w:t>
            </w:r>
            <w:r/>
          </w:p>
        </w:tc>
        <w:tc>
          <w:tcPr>
            <w:shd w:val="clear" w:color="auto" w:fill="auto"/>
            <w:tcW w:w="641" w:type="pct"/>
            <w:vAlign w:val="center"/>
            <w:textDirection w:val="lrTb"/>
            <w:noWrap w:val="false"/>
          </w:tcPr>
          <w:p>
            <w:pPr>
              <w:jc w:val="center"/>
              <w:keepLines w:val="0"/>
              <w:pageBreakBefore w:val="0"/>
              <w:spacing w:line="360" w:lineRule="exact"/>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737</w:t>
            </w:r>
            <w:r/>
          </w:p>
        </w:tc>
        <w:tc>
          <w:tcPr>
            <w:shd w:val="clear" w:color="auto" w:fill="auto"/>
            <w:tcW w:w="1010" w:type="pct"/>
            <w:vAlign w:val="center"/>
            <w:textDirection w:val="lrTb"/>
            <w:noWrap w:val="false"/>
          </w:tcPr>
          <w:p>
            <w:pPr>
              <w:jc w:val="center"/>
              <w:keepLines w:val="0"/>
              <w:pageBreakBefore w:val="0"/>
              <w:spacing w:line="360" w:lineRule="exact"/>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1764</w:t>
            </w:r>
            <w:r/>
          </w:p>
        </w:tc>
        <w:tc>
          <w:tcPr>
            <w:shd w:val="clear" w:color="auto" w:fill="auto"/>
            <w:tcW w:w="783" w:type="pct"/>
            <w:vAlign w:val="center"/>
            <w:textDirection w:val="lrTb"/>
            <w:noWrap w:val="false"/>
          </w:tcPr>
          <w:p>
            <w:pPr>
              <w:jc w:val="center"/>
              <w:keepLines w:val="0"/>
              <w:pageBreakBefore w:val="0"/>
              <w:spacing w:line="360" w:lineRule="exact"/>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4281</w:t>
            </w:r>
            <w:r/>
          </w:p>
        </w:tc>
      </w:tr>
      <w:tr>
        <w:trPr>
          <w:trHeight w:val="151"/>
        </w:trPr>
        <w:tc>
          <w:tcPr>
            <w:tcW w:w="687"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shd w:val="clear" w:color="auto" w:fill="auto"/>
            <w:tcW w:w="575" w:type="pct"/>
            <w:vAlign w:val="center"/>
            <w:vMerge w:val="restart"/>
            <w:textDirection w:val="lrTb"/>
            <w:noWrap w:val="false"/>
          </w:tcPr>
          <w:p>
            <w:pPr>
              <w:jc w:val="center"/>
              <w:keepLines w:val="0"/>
              <w:pageBreakBefore w:val="0"/>
              <w:spacing w:line="360" w:lineRule="exact"/>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弶港镇</w:t>
            </w:r>
            <w:r/>
          </w:p>
        </w:tc>
        <w:tc>
          <w:tcPr>
            <w:shd w:val="clear" w:color="auto" w:fill="auto"/>
            <w:tcW w:w="659" w:type="pct"/>
            <w:vAlign w:val="center"/>
            <w:vMerge w:val="restart"/>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r>
            <w:r/>
          </w:p>
        </w:tc>
        <w:tc>
          <w:tcPr>
            <w:shd w:val="clear" w:color="auto" w:fill="auto"/>
            <w:tcW w:w="641" w:type="pct"/>
            <w:vAlign w:val="center"/>
            <w:textDirection w:val="lrTb"/>
            <w:noWrap w:val="false"/>
          </w:tcPr>
          <w:p>
            <w:pPr>
              <w:jc w:val="center"/>
              <w:keepLines w:val="0"/>
              <w:pageBreakBefore w:val="0"/>
              <w:spacing w:line="360" w:lineRule="exact"/>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巴斗村</w:t>
            </w:r>
            <w:r/>
          </w:p>
        </w:tc>
        <w:tc>
          <w:tcPr>
            <w:shd w:val="clear" w:color="auto" w:fill="auto"/>
            <w:tcW w:w="641" w:type="pct"/>
            <w:vAlign w:val="center"/>
            <w:textDirection w:val="lrTb"/>
            <w:noWrap w:val="false"/>
          </w:tcPr>
          <w:p>
            <w:pPr>
              <w:jc w:val="center"/>
              <w:keepLines w:val="0"/>
              <w:pageBreakBefore w:val="0"/>
              <w:spacing w:line="360" w:lineRule="exact"/>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68</w:t>
            </w:r>
            <w:r/>
          </w:p>
        </w:tc>
        <w:tc>
          <w:tcPr>
            <w:shd w:val="clear" w:color="auto" w:fill="auto"/>
            <w:tcW w:w="1010" w:type="pct"/>
            <w:vAlign w:val="center"/>
            <w:textDirection w:val="lrTb"/>
            <w:noWrap w:val="false"/>
          </w:tcPr>
          <w:p>
            <w:pPr>
              <w:jc w:val="center"/>
              <w:keepLines w:val="0"/>
              <w:pageBreakBefore w:val="0"/>
              <w:spacing w:line="360" w:lineRule="exact"/>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208</w:t>
            </w:r>
            <w:r/>
          </w:p>
        </w:tc>
        <w:tc>
          <w:tcPr>
            <w:shd w:val="clear" w:color="auto" w:fill="auto"/>
            <w:tcW w:w="783" w:type="pct"/>
            <w:vAlign w:val="center"/>
            <w:textDirection w:val="lrTb"/>
            <w:noWrap w:val="false"/>
          </w:tcPr>
          <w:p>
            <w:pPr>
              <w:jc w:val="center"/>
              <w:keepLines w:val="0"/>
              <w:pageBreakBefore w:val="0"/>
              <w:spacing w:line="360" w:lineRule="exact"/>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1189.93</w:t>
            </w:r>
            <w:r/>
          </w:p>
        </w:tc>
      </w:tr>
      <w:tr>
        <w:trPr>
          <w:trHeight w:val="151"/>
        </w:trPr>
        <w:tc>
          <w:tcPr>
            <w:tcW w:w="687" w:type="pct"/>
            <w:vAlign w:val="center"/>
            <w:vMerge w:val="continue"/>
            <w:textDirection w:val="lrTb"/>
            <w:noWrap w:val="false"/>
          </w:tcPr>
          <w:p>
            <w:pPr>
              <w:jc w:val="center"/>
              <w:keepLines w:val="0"/>
              <w:pageBreakBefore w:val="0"/>
              <w:spacing w:line="360" w:lineRule="exact"/>
            </w:pPr>
            <w:r/>
            <w:r/>
          </w:p>
        </w:tc>
        <w:tc>
          <w:tcPr>
            <w:shd w:val="clear" w:color="auto" w:fill="auto"/>
            <w:tcW w:w="575" w:type="pct"/>
            <w:vAlign w:val="center"/>
            <w:vMerge w:val="continue"/>
            <w:textDirection w:val="lrTb"/>
            <w:noWrap w:val="false"/>
          </w:tcPr>
          <w:p>
            <w:pPr>
              <w:jc w:val="center"/>
              <w:keepLines w:val="0"/>
              <w:pageBreakBefore w:val="0"/>
              <w:spacing w:line="360" w:lineRule="exact"/>
            </w:pPr>
            <w:r/>
            <w:r/>
          </w:p>
        </w:tc>
        <w:tc>
          <w:tcPr>
            <w:shd w:val="clear" w:color="auto" w:fill="auto"/>
            <w:tcW w:w="659" w:type="pct"/>
            <w:vAlign w:val="center"/>
            <w:vMerge w:val="continue"/>
            <w:textDirection w:val="lrTb"/>
            <w:noWrap w:val="false"/>
          </w:tcPr>
          <w:p>
            <w:pPr>
              <w:jc w:val="center"/>
              <w:keepLines w:val="0"/>
              <w:pageBreakBefore w:val="0"/>
              <w:spacing w:line="360" w:lineRule="exact"/>
            </w:pPr>
            <w:r/>
            <w:r/>
          </w:p>
        </w:tc>
        <w:tc>
          <w:tcPr>
            <w:shd w:val="clear" w:color="auto" w:fill="auto"/>
            <w:tcW w:w="641" w:type="pct"/>
            <w:vAlign w:val="center"/>
            <w:textDirection w:val="lrTb"/>
            <w:noWrap w:val="false"/>
          </w:tcPr>
          <w:p>
            <w:pPr>
              <w:jc w:val="center"/>
              <w:keepLines w:val="0"/>
              <w:pageBreakBefore w:val="0"/>
              <w:spacing w:line="360" w:lineRule="exact"/>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姜墩村</w:t>
            </w:r>
            <w:r/>
          </w:p>
        </w:tc>
        <w:tc>
          <w:tcPr>
            <w:shd w:val="clear" w:color="auto" w:fill="auto"/>
            <w:tcW w:w="641" w:type="pct"/>
            <w:vAlign w:val="center"/>
            <w:textDirection w:val="lrTb"/>
            <w:noWrap w:val="false"/>
          </w:tcPr>
          <w:p>
            <w:pPr>
              <w:jc w:val="center"/>
              <w:keepLines w:val="0"/>
              <w:pageBreakBefore w:val="0"/>
              <w:spacing w:line="360" w:lineRule="exact"/>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1075</w:t>
            </w:r>
            <w:r/>
          </w:p>
        </w:tc>
        <w:tc>
          <w:tcPr>
            <w:shd w:val="clear" w:color="auto" w:fill="auto"/>
            <w:tcW w:w="1010" w:type="pct"/>
            <w:vAlign w:val="center"/>
            <w:textDirection w:val="lrTb"/>
            <w:noWrap w:val="false"/>
          </w:tcPr>
          <w:p>
            <w:pPr>
              <w:jc w:val="center"/>
              <w:keepLines w:val="0"/>
              <w:pageBreakBefore w:val="0"/>
              <w:spacing w:line="360" w:lineRule="exact"/>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3073</w:t>
            </w:r>
            <w:r/>
          </w:p>
        </w:tc>
        <w:tc>
          <w:tcPr>
            <w:shd w:val="clear" w:color="auto" w:fill="auto"/>
            <w:tcW w:w="783" w:type="pct"/>
            <w:vAlign w:val="center"/>
            <w:textDirection w:val="lrTb"/>
            <w:noWrap w:val="false"/>
          </w:tcPr>
          <w:p>
            <w:pPr>
              <w:jc w:val="center"/>
              <w:keepLines w:val="0"/>
              <w:pageBreakBefore w:val="0"/>
              <w:spacing w:line="360" w:lineRule="exact"/>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7644.53</w:t>
            </w:r>
            <w:r/>
          </w:p>
        </w:tc>
      </w:tr>
      <w:tr>
        <w:trPr/>
        <w:tc>
          <w:tcPr>
            <w:tcW w:w="687" w:type="pct"/>
            <w:vAlign w:val="center"/>
            <w:vMerge w:val="continue"/>
            <w:textDirection w:val="lrTb"/>
            <w:noWrap w:val="false"/>
          </w:tcPr>
          <w:p>
            <w:pPr>
              <w:jc w:val="center"/>
              <w:keepLines w:val="0"/>
              <w:pageBreakBefore w:val="0"/>
              <w:spacing w:line="360" w:lineRule="exact"/>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r>
            <w:r/>
          </w:p>
        </w:tc>
        <w:tc>
          <w:tcPr>
            <w:shd w:val="clear" w:color="auto" w:fill="auto"/>
            <w:tcW w:w="575"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新街镇</w:t>
            </w:r>
            <w:r/>
          </w:p>
        </w:tc>
        <w:tc>
          <w:tcPr>
            <w:shd w:val="clear" w:color="auto" w:fill="auto"/>
            <w:tcW w:w="659"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新街镇</w:t>
            </w:r>
            <w:r/>
          </w:p>
        </w:tc>
        <w:tc>
          <w:tcPr>
            <w:shd w:val="clear" w:color="auto" w:fill="auto"/>
            <w:tcW w:w="641" w:type="pct"/>
            <w:vAlign w:val="center"/>
            <w:textDirection w:val="lrTb"/>
            <w:noWrap w:val="false"/>
          </w:tcPr>
          <w:p>
            <w:pPr>
              <w:jc w:val="center"/>
              <w:keepLines w:val="0"/>
              <w:pageBreakBefore w:val="0"/>
              <w:spacing w:line="360" w:lineRule="exac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r>
            <w:r/>
          </w:p>
        </w:tc>
        <w:tc>
          <w:tcPr>
            <w:shd w:val="clear" w:color="auto" w:fill="auto"/>
            <w:tcW w:w="641" w:type="pct"/>
            <w:vAlign w:val="center"/>
            <w:textDirection w:val="lrTb"/>
            <w:noWrap w:val="false"/>
          </w:tcPr>
          <w:p>
            <w:pPr>
              <w:jc w:val="center"/>
              <w:keepLines w:val="0"/>
              <w:pageBreakBefore w:val="0"/>
              <w:spacing w:line="360" w:lineRule="exact"/>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13762</w:t>
            </w:r>
            <w:r/>
          </w:p>
        </w:tc>
        <w:tc>
          <w:tcPr>
            <w:shd w:val="clear" w:color="auto" w:fill="auto"/>
            <w:tcW w:w="1010" w:type="pct"/>
            <w:vAlign w:val="center"/>
            <w:textDirection w:val="lrTb"/>
            <w:noWrap w:val="false"/>
          </w:tcPr>
          <w:p>
            <w:pPr>
              <w:jc w:val="center"/>
              <w:keepLines w:val="0"/>
              <w:pageBreakBefore w:val="0"/>
              <w:spacing w:line="360" w:lineRule="exact"/>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39494</w:t>
            </w:r>
            <w:r/>
          </w:p>
        </w:tc>
        <w:tc>
          <w:tcPr>
            <w:shd w:val="clear" w:color="auto" w:fill="auto"/>
            <w:tcW w:w="783" w:type="pct"/>
            <w:vAlign w:val="center"/>
            <w:textDirection w:val="lrTb"/>
            <w:noWrap w:val="false"/>
          </w:tcPr>
          <w:p>
            <w:pPr>
              <w:jc w:val="center"/>
              <w:keepLines w:val="0"/>
              <w:pageBreakBefore w:val="0"/>
              <w:spacing w:line="360" w:lineRule="exact"/>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 xml:space="preserve">94509.05</w:t>
            </w:r>
            <w:r/>
          </w:p>
        </w:tc>
      </w:tr>
    </w:tbl>
    <w:p>
      <w:pPr>
        <w:pStyle w:val="857"/>
        <w:ind w:firstLine="482"/>
        <w:jc w:val="both"/>
        <w:keepLines w:val="0"/>
        <w:keepNext w:val="0"/>
        <w:pageBreakBefore w:val="0"/>
        <w:spacing w:beforeAutospacing="0" w:afterAutospacing="0" w:line="36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第一条、乙方根据甲方需求，提供下列服务</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1.业务培训：</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开展2026年</w:t>
      </w:r>
      <w:r>
        <w:rPr>
          <w:rFonts w:hint="eastAsia" w:ascii="宋体" w:hAnsi="宋体" w:eastAsia="宋体" w:cs="宋体"/>
          <w:color w:val="000000"/>
          <w:sz w:val="24"/>
          <w:szCs w:val="24"/>
          <w:highlight w:val="none"/>
          <w:u w:val="none"/>
          <w:lang w:val="en-US" w:eastAsia="zh-CN"/>
        </w:rPr>
        <w:t xml:space="preserve">东台市二轮土地承包到期再延长三十年第三方服务</w:t>
      </w:r>
      <w:r>
        <w:rPr>
          <w:rFonts w:hint="eastAsia" w:ascii="宋体" w:hAnsi="宋体" w:eastAsia="宋体" w:cs="宋体"/>
          <w:color w:val="000000"/>
          <w:sz w:val="24"/>
          <w:szCs w:val="24"/>
          <w:highlight w:val="none"/>
          <w:lang w:val="en-US" w:eastAsia="zh-CN"/>
        </w:rPr>
        <w:t xml:space="preserve">试点相关的讲座培训，包括政策解读、技术规范、工作要点。</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2.资料收集：</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收集作业区域范围内行政划分、行政区划名称、最新的行政区划代码，收集最新高精度影像图、第三次土地调查年度变更调查成果、集体土地所有权成果、三区三线成果、基本农田划定成果、国土空间规划成果、和既有的农村土地承包经营权数据库、汇交库，进行提取分析、加工处理，满足2026年东台市二轮土地承包到期后再延长 30 年技术服务项目所需基础数据。如有需要，应采用无人机对作业区域进行航空摄影，获取0.2米分辨率的高清正射影像。</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3.摸底核实：</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1998年二轮土地承包资料和农村土地承包经营权确权登记颁证数据，对农村土地承包情况开展摸底核实。主要摸清土地承包以来承包农户及家庭成员、承包地变化情况。掌握承包人员和土地变化现状，了解农户延包意愿。</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根据摸底调查情况，做好直接输出成果、内业图形属性修改后输出成果、需外业实测重新确权或增本确权三种类型的数据梳理和信息核对工作。</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4.实测指界：</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根据实际情况可采用室内判图法、野外调绘法、现场实测法等多种指界方法在调查底图上画出地块，填写预编码，同时在相关统计表中填写对应于图上的预编码及土地利用类型，等级，备注等其他信息。</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5.制定方案：</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摸清二轮延包试点过程中遇到的各类矛盾，进行分类汇总分析，协助地方因地制宜制定矛盾解决方案。根据汇总分析的调查成果，针对承包中出现的特殊人群、特殊情况制定有针对性的延包具体方案和办法，确保相关措施符合法律政策要求，充分反映村民意愿。</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6.完善调查数据：</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摸底情况汇总统计需调查测绘的地块信息，安排外业补充测绘，并按原确权要求处理相关测绘数据。结合摸底数据、二轮到期延包测绘数据、二轮到期延包方案处理最终二轮到期延包数据，并以村为单位制作成质检无错误的汇交包，上传到网签系统；指导并培训其他合作单位处理二轮到期延包数据，统一工作方法及数据成果标准。</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7.数据修改入库：</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外业指界、实测情况，进行内业图形修改、属性修改，将外业填写的统计表中的编号及其他信息填写到数据表中，并以地块编码为连接字段，将地块名称，权利人名称，合同面积，地类，等级等属性进行关联，将调查的地块与户籍信息关联挂接，补全界址点，界址线信息，建立形成完整的数据库。</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8.资料输出打印：</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根据最终的数据库成果，从系统中输出登记簿、承包方调查表、公示结果归户表、承包合同、地块示意图等图件表格成果等图件表格成果，并按照要求份数进行打印。</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9.审核公示：</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highlight w:val="none"/>
          <w:lang w:val="en-US" w:eastAsia="zh-CN"/>
        </w:rPr>
        <w:t xml:space="preserve">培训、指导并协助村组顺利开展二轮到期延包公示工作，在公示过程中若有信息变动的，在网签系统完善并修改相关内容（每标段不少于4人驻场，驻场时间不少于2个月，要求确保每村每周至少有2天驻村服务）。</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10.签订合同：</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全国合同网签系统平台及运维支持服务、收集标段内各村签章材料；汇总提交的签章申请材料，统一申请全镇各发包方电子签章；提供全国系统远程云服务支持。提供本标段内镇、村、组相关工作人员针对平台的使用培训（集中培训不少于3次）。</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11.完善证书：</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提供全国网签系统与不动产登记管理部门数据共享接口；提供完整二轮到期延包成果数据交予不动产登记管理部门，协助甲方参与数据移交共享工作。</w:t>
      </w:r>
      <w:r/>
    </w:p>
    <w:p>
      <w:pPr>
        <w:pStyle w:val="857"/>
        <w:ind w:left="479" w:firstLine="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12.资料归档：</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按照档案管理及据部、省两级要求，整理二轮到期延包档案材料（包括但不限于合同整理打印、签章图制作、归户表制作、数字化扫描等）。</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13.材料装档汇交：</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以户为单位，将最终的图件、表格成果装袋汇交。</w:t>
      </w:r>
      <w:r/>
    </w:p>
    <w:p>
      <w:pPr>
        <w:pStyle w:val="857"/>
        <w:ind w:firstLine="482"/>
        <w:jc w:val="both"/>
        <w:keepLines w:val="0"/>
        <w:keepNext w:val="0"/>
        <w:pageBreakBefore w:val="0"/>
        <w:spacing w:beforeAutospacing="0" w:afterAutospacing="0" w:line="36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第二条：项目成果要求</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乙方提交的项目成果包括数据库成果、文字成果、图件成果、表格等成果。 </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1、数据库成果</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农村土地承包经营权延包数据库。</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2、图件表格成果</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1）登记簿；</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2）承包方调查表；</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3）公示结果归户表；</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4）承包合同；</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5）地块示意图。</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3、文字报告成果</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u w:val="none"/>
          <w:lang w:val="en-US" w:eastAsia="zh-CN"/>
        </w:rPr>
        <w:t xml:space="preserve">2026年东台市二轮土地承包到期再延长三十年第三方服务项目</w:t>
      </w:r>
      <w:r>
        <w:rPr>
          <w:rFonts w:hint="eastAsia" w:ascii="宋体" w:hAnsi="宋体" w:eastAsia="宋体" w:cs="宋体"/>
          <w:color w:val="000000"/>
          <w:sz w:val="24"/>
          <w:szCs w:val="24"/>
          <w:highlight w:val="none"/>
          <w:lang w:val="en-US" w:eastAsia="zh-CN"/>
        </w:rPr>
        <w:t xml:space="preserve">实施方案；</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u w:val="none"/>
          <w:lang w:val="en-US" w:eastAsia="zh-CN"/>
        </w:rPr>
        <w:t xml:space="preserve">2026年东台市二轮土地承包到期再延长三十年第三方服务项目</w:t>
      </w:r>
      <w:r>
        <w:rPr>
          <w:rFonts w:hint="eastAsia" w:ascii="宋体" w:hAnsi="宋体" w:eastAsia="宋体" w:cs="宋体"/>
          <w:color w:val="000000"/>
          <w:sz w:val="24"/>
          <w:szCs w:val="24"/>
          <w:highlight w:val="none"/>
          <w:lang w:val="en-US" w:eastAsia="zh-CN"/>
        </w:rPr>
        <w:t xml:space="preserve">技术方案；</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u w:val="none"/>
          <w:lang w:val="en-US" w:eastAsia="zh-CN"/>
        </w:rPr>
        <w:t xml:space="preserve">2026年东台市二轮土地承包到期再延长三十年第三方服务项目</w:t>
      </w:r>
      <w:r>
        <w:rPr>
          <w:rFonts w:hint="eastAsia" w:ascii="宋体" w:hAnsi="宋体" w:eastAsia="宋体" w:cs="宋体"/>
          <w:color w:val="000000"/>
          <w:sz w:val="24"/>
          <w:szCs w:val="24"/>
          <w:highlight w:val="none"/>
          <w:lang w:val="en-US" w:eastAsia="zh-CN"/>
        </w:rPr>
        <w:t xml:space="preserve">工作报告；</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u w:val="none"/>
          <w:lang w:val="en-US" w:eastAsia="zh-CN"/>
        </w:rPr>
        <w:t xml:space="preserve">2026年东台市二轮土地承包到期再延长三十年第三方服务项目</w:t>
      </w:r>
      <w:r>
        <w:rPr>
          <w:rFonts w:hint="eastAsia" w:ascii="宋体" w:hAnsi="宋体" w:eastAsia="宋体" w:cs="宋体"/>
          <w:color w:val="000000"/>
          <w:sz w:val="24"/>
          <w:szCs w:val="24"/>
          <w:highlight w:val="none"/>
          <w:lang w:val="en-US" w:eastAsia="zh-CN"/>
        </w:rPr>
        <w:t xml:space="preserve">技术报告。</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第三条：基本要求 </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（一）技术标准与依据 </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"https://baike.baidu.com/item/%</w:instrText>
      </w:r>
      <w:r>
        <w:rPr>
          <w:rFonts w:hint="eastAsia" w:ascii="宋体" w:hAnsi="宋体" w:eastAsia="宋体" w:cs="宋体"/>
          <w:color w:val="000000"/>
          <w:sz w:val="24"/>
          <w:szCs w:val="24"/>
          <w:highlight w:val="none"/>
        </w:rPr>
        <w:instrText xml:space="preserve">E4%B8%AD%E5%8D%8E%E4%BA%BA%E6%B0%91%E5%85%B1%E5%92%8C%E5%9B%BD%E6%B0%91%E6%B3%95%E5%85%B8/19435116?fromModule=lemma_inlink" \t "https://baike.baidu.com/item/%E4%B8%AD%E5%8D%8E%E4%BA%BA%E6%B0%91%E5%85%B1%E5%92%8C%E5%9B%BD%E7%89%A9%E6%9D%83%E6%B3%95/_blank"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中华人民共和国民法典</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《中华人民共和国土地管理法》</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《中华人民共和国</w:t>
      </w:r>
      <w:r>
        <w:rPr>
          <w:rFonts w:hint="eastAsia" w:ascii="宋体" w:hAnsi="宋体" w:eastAsia="宋体" w:cs="宋体"/>
          <w:color w:val="000000"/>
          <w:sz w:val="24"/>
          <w:szCs w:val="24"/>
          <w:highlight w:val="none"/>
          <w:lang w:val="en-US" w:eastAsia="zh-CN"/>
        </w:rPr>
        <w:t xml:space="preserve">农村土地承包</w:t>
      </w:r>
      <w:r>
        <w:rPr>
          <w:rFonts w:hint="eastAsia" w:ascii="宋体" w:hAnsi="宋体" w:eastAsia="宋体" w:cs="宋体"/>
          <w:color w:val="000000"/>
          <w:sz w:val="24"/>
          <w:szCs w:val="24"/>
          <w:highlight w:val="none"/>
        </w:rPr>
        <w:t xml:space="preserve">法》</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《中华人民共和国</w:t>
      </w:r>
      <w:r>
        <w:rPr>
          <w:rFonts w:hint="eastAsia" w:ascii="宋体" w:hAnsi="宋体" w:eastAsia="宋体" w:cs="宋体"/>
          <w:color w:val="000000"/>
          <w:sz w:val="24"/>
          <w:szCs w:val="24"/>
          <w:highlight w:val="none"/>
          <w:lang w:val="en-US" w:eastAsia="zh-CN"/>
        </w:rPr>
        <w:t xml:space="preserve">农村集体经济组织</w:t>
      </w:r>
      <w:r>
        <w:rPr>
          <w:rFonts w:hint="eastAsia" w:ascii="宋体" w:hAnsi="宋体" w:eastAsia="宋体" w:cs="宋体"/>
          <w:color w:val="000000"/>
          <w:sz w:val="24"/>
          <w:szCs w:val="24"/>
          <w:highlight w:val="none"/>
        </w:rPr>
        <w:t xml:space="preserve">法》</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农村土地承包合同管理办法</w:t>
      </w:r>
      <w:r>
        <w:rPr>
          <w:rFonts w:hint="eastAsia" w:ascii="宋体" w:hAnsi="宋体" w:eastAsia="宋体" w:cs="宋体"/>
          <w:color w:val="000000"/>
          <w:sz w:val="24"/>
          <w:szCs w:val="24"/>
          <w:highlight w:val="none"/>
          <w:lang w:eastAsia="zh-CN"/>
        </w:rPr>
        <w:t xml:space="preserve">》</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《农村土地承包经营权调查规程》(NY/T2537)</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《农村土地(耕地)承包合同(家庭承包方式) 示范文本》</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GB/T 21010-2017 土地利用现状分类</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GB/T 13989-2012 国家基本比例尺地形图分幅与编号</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GB/T 18314-2009 全球定位系统（GPS）测量规范</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CH/T 2009-2010 全球定位系统实时动态测量（RTK）技术规范</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GB/T 2260-2007 中华人民共和国行政区划代码</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GB/T 13923-2006 基础地理信息要素分类与代码</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GB/T 21010-2017 土地利用现状分类</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TD/T 1066-2021 不动产登记数据库标准</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CH/T 1001-2005 测绘技术总结编写规定</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CH/T 1004-2005 测绘技术设计规定</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GB/T 24356-2009 测绘成果质量检查与验收</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GB/T 18316—2008 数字测绘成果质量检查与验收</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none"/>
          <w:lang w:val="en-US" w:eastAsia="zh-CN"/>
        </w:rPr>
        <w:t xml:space="preserve">2026年东台市二轮土地承包到期再延长三十年</w:t>
      </w:r>
      <w:r>
        <w:rPr>
          <w:rFonts w:hint="eastAsia" w:ascii="宋体" w:hAnsi="宋体" w:eastAsia="宋体" w:cs="宋体"/>
          <w:color w:val="000000"/>
          <w:sz w:val="24"/>
          <w:szCs w:val="24"/>
          <w:highlight w:val="none"/>
          <w:lang w:val="en-US" w:eastAsia="zh-CN"/>
        </w:rPr>
        <w:t xml:space="preserve">试点工作方案</w:t>
      </w:r>
      <w:r>
        <w:rPr>
          <w:rFonts w:hint="eastAsia" w:ascii="宋体" w:hAnsi="宋体" w:eastAsia="宋体" w:cs="宋体"/>
          <w:color w:val="000000"/>
          <w:sz w:val="24"/>
          <w:szCs w:val="24"/>
          <w:highlight w:val="none"/>
        </w:rPr>
        <w:t xml:space="preserve">》</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u w:val="none"/>
          <w:lang w:val="en-US" w:eastAsia="zh-CN"/>
        </w:rPr>
        <w:t xml:space="preserve">2026年东台市二轮土地承包到期再延长三十年</w:t>
      </w:r>
      <w:r>
        <w:rPr>
          <w:rFonts w:hint="eastAsia" w:ascii="宋体" w:hAnsi="宋体" w:eastAsia="宋体" w:cs="宋体"/>
          <w:color w:val="000000"/>
          <w:sz w:val="24"/>
          <w:szCs w:val="24"/>
          <w:highlight w:val="none"/>
          <w:lang w:val="en-US" w:eastAsia="zh-CN"/>
        </w:rPr>
        <w:t xml:space="preserve">试点工作档案管理办法。</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（二）主要技术指标要求</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坐标系统</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 2000 国家大地坐标系（CGCS2000）。</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地图投影采用高斯—克吕格投影， 3 度分带，中央子午线为120°。</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高程系统</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 1985 国家高程基准。</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比例尺</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比例尺不低于 1:2000。</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计量单位</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（1）长度单位采用米（m），统计汇总登记采用千米（km），小数点后保留两位有效数字。</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（2）面积计算单位采用亩（mu），面积统计汇总单位采用亩（mu），保留2位小数。</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面积量算</w:t>
      </w:r>
      <w:r/>
    </w:p>
    <w:p>
      <w:pPr>
        <w:pStyle w:val="857"/>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面积量算，平原地区面积采用地块水平投影面积，坡地等地块地表倾斜面的面积通过改正系数计算。改正系数可在外业调查时按照地块实测面积和调绘面积计算获得。</w:t>
      </w:r>
      <w:r/>
    </w:p>
    <w:p>
      <w:pPr>
        <w:pStyle w:val="857"/>
        <w:ind w:firstLine="482"/>
        <w:jc w:val="both"/>
        <w:keepLines w:val="0"/>
        <w:keepNext w:val="0"/>
        <w:pageBreakBefore w:val="0"/>
        <w:spacing w:beforeAutospacing="0" w:afterAutospacing="0" w:line="36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三、采购标的对应的中小企业划分标准所属行业一览表</w:t>
      </w:r>
      <w:r/>
    </w:p>
    <w:tbl>
      <w:tblPr>
        <w:tblStyle w:val="847"/>
        <w:tblpPr w:horzAnchor="page" w:tblpX="2134" w:vertAnchor="text" w:tblpY="340" w:leftFromText="180" w:topFromText="0" w:rightFromText="180" w:bottomFromText="0"/>
        <w:tblW w:w="8057"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1245"/>
        <w:gridCol w:w="2591"/>
        <w:gridCol w:w="4221"/>
      </w:tblGrid>
      <w:tr>
        <w:trPr>
          <w:tblCellSpacing w:w="0" w:type="dxa"/>
          <w:trHeight w:val="424"/>
        </w:trPr>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857"/>
              <w:jc w:val="center"/>
              <w:keepLines w:val="0"/>
              <w:pageBreakBefore w:val="0"/>
              <w:spacing w:beforeAutospacing="0" w:afterAutospacing="0"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857"/>
              <w:ind w:firstLine="480"/>
              <w:jc w:val="center"/>
              <w:keepLines w:val="0"/>
              <w:pageBreakBefore w:val="0"/>
              <w:spacing w:beforeAutospacing="0" w:afterAutospacing="0"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4221" w:type="dxa"/>
            <w:vAlign w:val="center"/>
            <w:textDirection w:val="lrTb"/>
            <w:noWrap w:val="false"/>
          </w:tcPr>
          <w:p>
            <w:pPr>
              <w:pStyle w:val="857"/>
              <w:jc w:val="center"/>
              <w:keepLines w:val="0"/>
              <w:pageBreakBefore w:val="0"/>
              <w:spacing w:beforeAutospacing="0" w:afterAutospacing="0"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对应中小企业划分标准所属行业</w:t>
            </w:r>
            <w:r/>
          </w:p>
        </w:tc>
      </w:tr>
      <w:tr>
        <w:trP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857"/>
              <w:ind w:firstLine="480"/>
              <w:jc w:val="both"/>
              <w:keepLines w:val="0"/>
              <w:pageBreakBefore w:val="0"/>
              <w:spacing w:beforeAutospacing="0" w:afterAutospacing="0"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91" w:type="dxa"/>
            <w:vAlign w:val="center"/>
            <w:textDirection w:val="lrTb"/>
            <w:noWrap w:val="false"/>
          </w:tcPr>
          <w:p>
            <w:pPr>
              <w:pStyle w:val="857"/>
              <w:jc w:val="both"/>
              <w:keepLines w:val="0"/>
              <w:pageBreakBefore w:val="0"/>
              <w:spacing w:beforeAutospacing="0" w:afterAutospacing="0"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2026年东台市二轮土地承包到期再延长三十年第三方服务项目</w:t>
            </w:r>
            <w:r/>
          </w:p>
        </w:tc>
        <w:tc>
          <w:tcPr>
            <w:shd w:val="clear" w:color="auto" w:fill="auto"/>
            <w:tcBorders>
              <w:top w:val="single" w:color="000000" w:sz="4" w:space="0"/>
              <w:left w:val="single" w:color="000000" w:sz="4" w:space="0"/>
              <w:bottom w:val="single" w:color="000000" w:sz="4" w:space="0"/>
              <w:right w:val="single" w:color="000000" w:sz="4" w:space="0"/>
            </w:tcBorders>
            <w:tcW w:w="4221" w:type="dxa"/>
            <w:vAlign w:val="center"/>
            <w:textDirection w:val="lrTb"/>
            <w:noWrap w:val="false"/>
          </w:tcPr>
          <w:p>
            <w:pPr>
              <w:pStyle w:val="857"/>
              <w:ind w:firstLine="480"/>
              <w:jc w:val="center"/>
              <w:keepLines w:val="0"/>
              <w:pageBreakBefore w:val="0"/>
              <w:spacing w:beforeAutospacing="0" w:afterAutospacing="0"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其他未列明行业</w:t>
            </w:r>
            <w:r/>
          </w:p>
        </w:tc>
      </w:tr>
    </w:tbl>
    <w:p>
      <w:pPr>
        <w:pStyle w:val="857"/>
        <w:ind w:firstLine="482"/>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57"/>
        <w:ind w:firstLine="482"/>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57"/>
        <w:ind w:firstLine="482"/>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57"/>
        <w:ind w:firstLine="482"/>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57"/>
        <w:ind w:firstLine="482"/>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57"/>
        <w:ind w:firstLine="482"/>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57"/>
        <w:jc w:val="both"/>
        <w:keepLines w:val="0"/>
        <w:pageBreakBefore w:val="0"/>
        <w:spacing w:beforeAutospacing="0" w:afterAutospacing="0" w:line="360" w:lineRule="exact"/>
        <w:rPr>
          <w:highlight w:val="none"/>
        </w:rPr>
      </w:pPr>
      <w:r>
        <w:rPr>
          <w:rFonts w:hint="eastAsia" w:ascii="宋体" w:hAnsi="宋体" w:eastAsia="宋体" w:cs="宋体"/>
          <w:color w:val="000000"/>
          <w:sz w:val="24"/>
          <w:szCs w:val="24"/>
          <w:highlight w:val="none"/>
          <w:lang w:val="en-US" w:eastAsia="zh-CN"/>
        </w:rPr>
        <w:t xml:space="preserve"> </w:t>
      </w:r>
      <w:bookmarkStart w:id="192" w:name="_Toc120614281"/>
      <w:r/>
      <w:r/>
    </w:p>
    <w:p>
      <w:pPr>
        <w:keepLines w:val="0"/>
        <w:pageBreakBefore w:val="0"/>
        <w:spacing w:line="360" w:lineRule="exac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pStyle w:val="857"/>
        <w:jc w:val="center"/>
        <w:keepLines w:val="0"/>
        <w:keepNext/>
        <w:pageBreakBefore w:val="0"/>
        <w:spacing w:beforeAutospacing="0" w:afterAutospacing="0" w:line="500" w:lineRule="exact"/>
        <w:widowControl w:val="off"/>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857"/>
        <w:jc w:val="both"/>
        <w:keepLines w:val="0"/>
        <w:pageBreakBefore w:val="0"/>
        <w:spacing w:beforeAutospacing="0" w:afterAutospacing="0" w:line="360" w:lineRule="exact"/>
        <w:rPr>
          <w:highlight w:val="none"/>
        </w:rPr>
      </w:pPr>
      <w:r>
        <w:rPr>
          <w:highlight w:val="none"/>
        </w:rPr>
        <w:t xml:space="preserve"> </w:t>
      </w:r>
      <w:r/>
    </w:p>
    <w:p>
      <w:pPr>
        <w:ind w:firstLine="482"/>
        <w:keepLines w:val="0"/>
        <w:pageBreakBefore w:val="0"/>
        <w:spacing w:line="3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keepLines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857"/>
        <w:ind w:firstLine="441"/>
        <w:keepLines w:val="0"/>
        <w:keepNext w:val="0"/>
        <w:pageBreakBefore w:val="0"/>
        <w:spacing w:before="120" w:beforeAutospacing="0" w:after="120" w:afterAutospacing="0"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符合本项目资格条件的投标单位均可参加本项目四个采购包的投标，但一个投标单位只能中一个采购包，本项目的评标、定标顺序按采购包一、采购包二、采购包三、采购包四顺序进行，如投标人在前面采购包中被确定为中标人时，其响应文件不参与后续采购包的评审。</w:t>
      </w:r>
      <w:r>
        <w:rPr>
          <w:rFonts w:hint="eastAsia" w:ascii="宋体" w:hAnsi="宋体" w:eastAsia="宋体" w:cs="宋体"/>
          <w:color w:val="auto"/>
          <w:sz w:val="24"/>
          <w:szCs w:val="24"/>
          <w:highlight w:val="yellow"/>
          <w:lang w:val="en-US" w:eastAsia="zh-CN" w:bidi="ar-SA"/>
        </w:rPr>
        <w:t xml:space="preserve">（每个标段剔除前面标段的中标人，至少须满足3家，才能开启评审。）</w:t>
      </w:r>
      <w:r/>
    </w:p>
    <w:p>
      <w:pPr>
        <w:pStyle w:val="857"/>
        <w:ind w:firstLine="441"/>
        <w:keepLines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b/>
          <w:color w:val="000000"/>
          <w:highlight w:val="none"/>
        </w:rPr>
        <w:t xml:space="preserve">政府采购政策功能落实</w:t>
      </w:r>
      <w:r/>
    </w:p>
    <w:p>
      <w:pPr>
        <w:pStyle w:val="857"/>
        <w:ind w:firstLine="480"/>
        <w:keepLines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1、小微型企业价格扣除</w:t>
      </w:r>
      <w:r/>
    </w:p>
    <w:p>
      <w:pPr>
        <w:pStyle w:val="865"/>
        <w:ind w:firstLine="360"/>
        <w:keepLines w:val="0"/>
        <w:pageBreakBefore w:val="0"/>
        <w:spacing w:before="0" w:after="0" w:line="360" w:lineRule="exact"/>
        <w:rPr>
          <w:rFonts w:hint="eastAsia" w:ascii="宋体" w:hAnsi="宋体" w:eastAsia="宋体" w:cs="宋体"/>
          <w:highlight w:val="none"/>
        </w:rPr>
      </w:pPr>
      <w:r>
        <w:rPr>
          <w:rFonts w:hint="eastAsia" w:ascii="宋体" w:hAnsi="宋体" w:eastAsia="宋体" w:cs="宋体"/>
          <w:highlight w:val="none"/>
        </w:rPr>
        <w:t xml:space="preserve">（1）本项目若不专门面向中小企业采购，对</w:t>
      </w:r>
      <w:r>
        <w:rPr>
          <w:rFonts w:hint="eastAsia" w:ascii="宋体" w:hAnsi="宋体" w:eastAsia="宋体" w:cs="宋体"/>
          <w:highlight w:val="none"/>
          <w:lang w:val="en-US" w:eastAsia="zh-CN"/>
        </w:rPr>
        <w:t xml:space="preserve">符合规定的</w:t>
      </w:r>
      <w:r>
        <w:rPr>
          <w:rFonts w:hint="eastAsia" w:ascii="宋体" w:hAnsi="宋体" w:eastAsia="宋体" w:cs="宋体"/>
          <w:highlight w:val="none"/>
        </w:rPr>
        <w:t xml:space="preserve">小型和微型企业</w:t>
      </w:r>
      <w:r>
        <w:rPr>
          <w:rFonts w:hint="eastAsia" w:ascii="宋体" w:hAnsi="宋体" w:eastAsia="宋体" w:cs="宋体"/>
          <w:highlight w:val="none"/>
          <w:lang w:val="en-US" w:eastAsia="zh-CN"/>
        </w:rPr>
        <w:t xml:space="preserve">报价</w:t>
      </w:r>
      <w:r>
        <w:rPr>
          <w:rFonts w:hint="eastAsia" w:ascii="宋体" w:hAnsi="宋体" w:eastAsia="宋体" w:cs="宋体"/>
          <w:highlight w:val="none"/>
        </w:rPr>
        <w:t xml:space="preserve">给予20%的扣除价格，用扣除后的价格参与评审；若专门面向中小企业采购，不再对小型和微型企业</w:t>
      </w:r>
      <w:r>
        <w:rPr>
          <w:rFonts w:hint="eastAsia" w:ascii="宋体" w:hAnsi="宋体" w:eastAsia="宋体" w:cs="宋体"/>
          <w:highlight w:val="none"/>
          <w:lang w:val="en-US" w:eastAsia="zh-CN"/>
        </w:rPr>
        <w:t xml:space="preserve">报价</w:t>
      </w:r>
      <w:r>
        <w:rPr>
          <w:rFonts w:hint="eastAsia" w:ascii="宋体" w:hAnsi="宋体" w:eastAsia="宋体" w:cs="宋体"/>
          <w:highlight w:val="none"/>
        </w:rPr>
        <w:t xml:space="preserve">给予价格扣除。</w:t>
      </w:r>
      <w:r/>
    </w:p>
    <w:p>
      <w:pPr>
        <w:pStyle w:val="857"/>
        <w:ind w:firstLine="360"/>
        <w:keepLines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（2）供应商需按照采购文件的要求提供相应的《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rPr>
          <w:rFonts w:hint="eastAsia" w:ascii="宋体" w:hAnsi="宋体" w:eastAsia="宋体" w:cs="宋体"/>
          <w:color w:val="000000"/>
          <w:highlight w:val="none"/>
        </w:rPr>
        <w:t xml:space="preserve">》。</w:t>
      </w:r>
      <w:r/>
    </w:p>
    <w:p>
      <w:pPr>
        <w:pStyle w:val="857"/>
        <w:ind w:firstLine="360"/>
        <w:keepLines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（3）企业标准请参照《关于印发中小企业划型标准规定的通知》（工信部联企业</w:t>
      </w:r>
      <w:r>
        <w:rPr>
          <w:rFonts w:hint="eastAsia" w:ascii="宋体" w:hAnsi="宋体" w:eastAsia="宋体" w:cs="宋体"/>
          <w:color w:val="000000"/>
          <w:highlight w:val="none"/>
          <w:lang w:eastAsia="zh-CN"/>
        </w:rPr>
        <w:t xml:space="preserve">〔2011〕300号</w:t>
      </w:r>
      <w:r>
        <w:rPr>
          <w:rFonts w:hint="eastAsia" w:ascii="宋体" w:hAnsi="宋体" w:eastAsia="宋体" w:cs="宋体"/>
          <w:color w:val="000000"/>
          <w:highlight w:val="none"/>
        </w:rPr>
        <w:t xml:space="preserve">）文件规定自行填写。</w:t>
      </w:r>
      <w:r/>
    </w:p>
    <w:p>
      <w:pPr>
        <w:pStyle w:val="857"/>
        <w:ind w:firstLine="480"/>
        <w:keepLines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2、残疾人福利单位价格扣除</w:t>
      </w:r>
      <w:r/>
    </w:p>
    <w:p>
      <w:pPr>
        <w:pStyle w:val="857"/>
        <w:ind w:left="120" w:firstLine="360"/>
        <w:keepLines w:val="0"/>
        <w:pageBreakBefore w:val="0"/>
        <w:spacing w:beforeAutospacing="0" w:afterAutospacing="0" w:line="360" w:lineRule="exac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（1）本项目对残疾人福利性单位视同小型、微型企业，给予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857"/>
        <w:ind w:left="120" w:firstLine="360"/>
        <w:keepLines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（2）残疾人福利单位需按照采购文件的要求提供《残疾人福利性单位声明函》。</w:t>
      </w:r>
      <w:r/>
    </w:p>
    <w:p>
      <w:pPr>
        <w:pStyle w:val="857"/>
        <w:ind w:left="120" w:firstLine="360"/>
        <w:keepLines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（3）残疾人福利单位标准请参照《关于促进残疾人就业政府采购政策的通知》（财库〔2017〕141号）。</w:t>
      </w:r>
      <w:r/>
    </w:p>
    <w:p>
      <w:pPr>
        <w:pStyle w:val="857"/>
        <w:ind w:firstLine="480"/>
        <w:keepLines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3、监狱和戒毒企业价格扣除</w:t>
      </w:r>
      <w:r/>
    </w:p>
    <w:p>
      <w:pPr>
        <w:pStyle w:val="857"/>
        <w:ind w:left="120" w:firstLine="360"/>
        <w:keepLines w:val="0"/>
        <w:pageBreakBefore w:val="0"/>
        <w:spacing w:beforeAutospacing="0" w:afterAutospacing="0" w:line="360" w:lineRule="exac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（1）本项目对监狱和戒毒企业（简称监狱企业）视同小型、微型企业，给予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857"/>
        <w:ind w:firstLine="480"/>
        <w:keepLines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7"/>
        <w:ind w:firstLine="480"/>
        <w:keepLines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（3）监狱企业标准请参照《关于政府采购支持监狱企业发展有关问题的通知》（财库</w:t>
      </w:r>
      <w:r>
        <w:rPr>
          <w:rFonts w:hint="eastAsia" w:ascii="宋体" w:hAnsi="宋体" w:eastAsia="宋体" w:cs="宋体"/>
          <w:color w:val="000000"/>
          <w:highlight w:val="none"/>
          <w:lang w:eastAsia="zh-CN"/>
        </w:rPr>
        <w:t xml:space="preserve">〔2014〕68号</w:t>
      </w:r>
      <w:r>
        <w:rPr>
          <w:rFonts w:hint="eastAsia" w:ascii="宋体" w:hAnsi="宋体" w:eastAsia="宋体" w:cs="宋体"/>
          <w:color w:val="000000"/>
          <w:highlight w:val="none"/>
        </w:rPr>
        <w:t xml:space="preserve">）。</w:t>
      </w:r>
      <w:r/>
    </w:p>
    <w:p>
      <w:pPr>
        <w:pStyle w:val="857"/>
        <w:ind w:firstLine="480"/>
        <w:keepLines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4、残疾人福利单位、监狱企业属于小型、微型企业的，不重复享受政策。</w:t>
      </w:r>
      <w:r/>
    </w:p>
    <w:p>
      <w:pPr>
        <w:pStyle w:val="857"/>
        <w:ind w:firstLine="480"/>
        <w:keepLines w:val="0"/>
        <w:pageBreakBefore w:val="0"/>
        <w:spacing w:beforeAutospacing="0" w:afterAutospacing="0" w:line="3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highlight w:val="none"/>
          <w:u w:val="single"/>
        </w:rPr>
        <w:t xml:space="preserve">6%</w:t>
      </w:r>
      <w:r>
        <w:rPr>
          <w:rFonts w:hint="eastAsia" w:ascii="宋体" w:hAnsi="宋体" w:eastAsia="宋体" w:cs="宋体"/>
          <w:color w:val="000000"/>
          <w:highlight w:val="none"/>
        </w:rPr>
        <w:t xml:space="preserve">的价格扣除，用扣除后的价格参与评审。</w:t>
      </w:r>
      <w:r/>
    </w:p>
    <w:p>
      <w:pPr>
        <w:pStyle w:val="857"/>
        <w:ind w:left="120" w:firstLine="360"/>
        <w:keepLines w:val="0"/>
        <w:pageBreakBefore w:val="0"/>
        <w:spacing w:beforeAutospacing="0" w:afterAutospacing="0" w:line="360" w:lineRule="exac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6、联合体各方均为小型、微型企业（残疾人福利单位、监狱企业）的，联合体享受</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ind w:firstLine="480"/>
        <w:keepLines w:val="0"/>
        <w:pageBreakBefore w:val="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857"/>
        <w:ind w:firstLine="482"/>
        <w:keepLines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b/>
          <w:color w:val="000000"/>
          <w:highlight w:val="none"/>
        </w:rPr>
        <w:t xml:space="preserve">评标方法与评标标准</w:t>
      </w:r>
      <w:r/>
    </w:p>
    <w:tbl>
      <w:tblPr>
        <w:tblStyle w:val="8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400"/>
        <w:gridCol w:w="1243"/>
        <w:gridCol w:w="720"/>
        <w:gridCol w:w="4456"/>
      </w:tblGrid>
      <w:tr>
        <w:trPr>
          <w:trHeight w:val="543"/>
        </w:trPr>
        <w:tc>
          <w:tcPr>
            <w:tcBorders>
              <w:top w:val="single" w:color="auto" w:sz="4" w:space="0"/>
              <w:left w:val="single" w:color="auto" w:sz="4" w:space="0"/>
              <w:bottom w:val="single" w:color="auto" w:sz="4" w:space="0"/>
              <w:right w:val="single" w:color="auto" w:sz="4" w:space="0"/>
            </w:tcBorders>
            <w:tcW w:w="500" w:type="dxa"/>
            <w:vAlign w:val="center"/>
            <w:textDirection w:val="lrTb"/>
            <w:noWrap w:val="false"/>
          </w:tcPr>
          <w:p>
            <w:pPr>
              <w:pStyle w:val="857"/>
              <w:jc w:val="both"/>
              <w:keepLines w:val="0"/>
              <w:pageBreakBefore w:val="0"/>
              <w:spacing w:beforeAutospacing="0" w:afterAutospacing="0" w:line="360" w:lineRule="exact"/>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序</w:t>
            </w: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分部内容</w:t>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分项内容</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分值</w:t>
            </w:r>
            <w:r/>
          </w:p>
        </w:tc>
        <w:tc>
          <w:tcPr>
            <w:tcBorders>
              <w:top w:val="single" w:color="auto" w:sz="4" w:space="0"/>
              <w:left w:val="single" w:color="auto" w:sz="4" w:space="0"/>
              <w:bottom w:val="single" w:color="auto" w:sz="4" w:space="0"/>
              <w:right w:val="single" w:color="auto" w:sz="4" w:space="0"/>
            </w:tcBorders>
            <w:tcW w:w="4456" w:type="dxa"/>
            <w:vAlign w:val="center"/>
            <w:textDirection w:val="lrTb"/>
            <w:noWrap w:val="false"/>
          </w:tcPr>
          <w:p>
            <w:pPr>
              <w:ind w:firstLine="480"/>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打分要求</w:t>
            </w:r>
            <w:r/>
          </w:p>
        </w:tc>
      </w:tr>
      <w:tr>
        <w:trPr>
          <w:trHeight w:val="1245"/>
        </w:trPr>
        <w:tc>
          <w:tcPr>
            <w:tcBorders>
              <w:top w:val="single" w:color="auto" w:sz="4" w:space="0"/>
              <w:left w:val="single" w:color="auto" w:sz="4" w:space="0"/>
              <w:right w:val="single" w:color="auto" w:sz="4" w:space="0"/>
            </w:tcBorders>
            <w:tcW w:w="500"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一</w:t>
            </w:r>
            <w:r/>
          </w:p>
        </w:tc>
        <w:tc>
          <w:tcPr>
            <w:tcBorders>
              <w:top w:val="single" w:color="auto" w:sz="4" w:space="0"/>
              <w:left w:val="single" w:color="auto" w:sz="4" w:space="0"/>
              <w:right w:val="single" w:color="auto" w:sz="4" w:space="0"/>
            </w:tcBorders>
            <w:tcW w:w="1400"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价格部分</w:t>
            </w:r>
            <w:r/>
          </w:p>
        </w:tc>
        <w:tc>
          <w:tcPr>
            <w:tcBorders>
              <w:top w:val="single" w:color="auto" w:sz="4" w:space="0"/>
              <w:left w:val="single" w:color="auto" w:sz="4" w:space="0"/>
              <w:right w:val="single" w:color="auto" w:sz="4" w:space="0"/>
            </w:tcBorders>
            <w:tcW w:w="1243" w:type="dxa"/>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不需要实测户</w:t>
            </w:r>
            <w:r/>
          </w:p>
        </w:tc>
        <w:tc>
          <w:tcPr>
            <w:tcBorders>
              <w:top w:val="single" w:color="auto" w:sz="4" w:space="0"/>
              <w:left w:val="single" w:color="auto" w:sz="4" w:space="0"/>
              <w:right w:val="single" w:color="auto" w:sz="4" w:space="0"/>
            </w:tcBorders>
            <w:tcW w:w="720" w:type="dxa"/>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w:t>
            </w:r>
            <w:r/>
          </w:p>
        </w:tc>
        <w:tc>
          <w:tcPr>
            <w:tcBorders>
              <w:top w:val="single" w:color="auto" w:sz="4" w:space="0"/>
              <w:left w:val="single" w:color="auto" w:sz="4" w:space="0"/>
              <w:bottom w:val="single" w:color="auto" w:sz="4" w:space="0"/>
              <w:right w:val="single" w:color="auto" w:sz="4" w:space="0"/>
            </w:tcBorders>
            <w:tcW w:w="4456" w:type="dxa"/>
            <w:vAlign w:val="center"/>
            <w:textDirection w:val="lrTb"/>
            <w:noWrap w:val="false"/>
          </w:tcPr>
          <w:p>
            <w:pPr>
              <w:ind w:firstLine="480"/>
              <w:keepLines w:val="0"/>
              <w:keepNext w:val="0"/>
              <w:pageBreakBefore w:val="0"/>
              <w:spacing w:line="360" w:lineRule="exact"/>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满足招标文件要求且投标价格最低的投标报价为基准价，其价格分为满分。报价得分=(评标基准价/投标报价)×10</w:t>
            </w:r>
            <w:r/>
          </w:p>
        </w:tc>
      </w:tr>
      <w:tr>
        <w:trPr>
          <w:trHeight w:val="1245"/>
        </w:trPr>
        <w:tc>
          <w:tcPr>
            <w:tcBorders>
              <w:left w:val="single" w:color="auto" w:sz="4" w:space="0"/>
              <w:right w:val="single" w:color="auto" w:sz="4" w:space="0"/>
            </w:tcBorders>
            <w:tcW w:w="500"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left w:val="single" w:color="auto" w:sz="4" w:space="0"/>
              <w:right w:val="single" w:color="auto" w:sz="4" w:space="0"/>
            </w:tcBorders>
            <w:tcW w:w="1400"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auto" w:sz="4" w:space="0"/>
              <w:left w:val="single" w:color="auto" w:sz="4" w:space="0"/>
              <w:right w:val="single" w:color="auto" w:sz="4" w:space="0"/>
            </w:tcBorders>
            <w:tcW w:w="1243"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需要实测户</w:t>
            </w:r>
            <w:r/>
          </w:p>
        </w:tc>
        <w:tc>
          <w:tcPr>
            <w:tcBorders>
              <w:top w:val="single" w:color="auto" w:sz="4" w:space="0"/>
              <w:left w:val="single" w:color="auto" w:sz="4" w:space="0"/>
              <w:right w:val="single" w:color="auto" w:sz="4" w:space="0"/>
            </w:tcBorders>
            <w:tcW w:w="720" w:type="dxa"/>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4456" w:type="dxa"/>
            <w:vAlign w:val="center"/>
            <w:textDirection w:val="lrTb"/>
            <w:noWrap w:val="false"/>
          </w:tcPr>
          <w:p>
            <w:pPr>
              <w:ind w:firstLine="480"/>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满足招标文件要求且投标价格最低的投标报价为基准价，其价格分为满分。报价得分=(评标基准价/投标报价)×2</w:t>
            </w:r>
            <w:r/>
          </w:p>
        </w:tc>
      </w:tr>
      <w:tr>
        <w:trPr>
          <w:trHeight w:val="613"/>
        </w:trPr>
        <w:tc>
          <w:tcPr>
            <w:tcBorders>
              <w:top w:val="single" w:color="auto" w:sz="4" w:space="0"/>
              <w:left w:val="single" w:color="auto" w:sz="4" w:space="0"/>
              <w:right w:val="single" w:color="auto" w:sz="4" w:space="0"/>
            </w:tcBorders>
            <w:tcW w:w="500" w:type="dxa"/>
            <w:vAlign w:val="center"/>
            <w:vMerge w:val="restart"/>
            <w:textDirection w:val="lrTb"/>
            <w:noWrap w:val="false"/>
          </w:tcPr>
          <w:p>
            <w:pPr>
              <w:jc w:val="center"/>
              <w:spacing w:line="36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rPr>
              <w:t xml:space="preserve">二</w:t>
            </w:r>
            <w:r/>
          </w:p>
        </w:tc>
        <w:tc>
          <w:tcPr>
            <w:tcBorders>
              <w:top w:val="single" w:color="auto" w:sz="4" w:space="0"/>
              <w:left w:val="single" w:color="auto" w:sz="4" w:space="0"/>
              <w:right w:val="single" w:color="auto" w:sz="4" w:space="0"/>
            </w:tcBorders>
            <w:tcW w:w="1400" w:type="dxa"/>
            <w:vAlign w:val="center"/>
            <w:vMerge w:val="restart"/>
            <w:textDirection w:val="lrTb"/>
            <w:noWrap w:val="false"/>
          </w:tcPr>
          <w:p>
            <w:pPr>
              <w:jc w:val="center"/>
              <w:spacing w:line="36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rPr>
              <w:t xml:space="preserve">技术部分</w:t>
            </w:r>
            <w:r/>
          </w:p>
        </w:tc>
        <w:tc>
          <w:tcPr>
            <w:tcBorders>
              <w:top w:val="single" w:color="auto" w:sz="4" w:space="0"/>
              <w:left w:val="single" w:color="auto" w:sz="4" w:space="0"/>
              <w:right w:val="single" w:color="auto" w:sz="4" w:space="0"/>
            </w:tcBorders>
            <w:tcW w:w="1243" w:type="dxa"/>
            <w:vAlign w:val="center"/>
            <w:textDirection w:val="lrTb"/>
            <w:noWrap w:val="false"/>
          </w:tcPr>
          <w:p>
            <w:pPr>
              <w:jc w:val="center"/>
              <w:spacing w:line="36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rPr>
              <w:t xml:space="preserve">技术方案</w:t>
            </w:r>
            <w:r/>
          </w:p>
        </w:tc>
        <w:tc>
          <w:tcPr>
            <w:tcBorders>
              <w:top w:val="single" w:color="auto" w:sz="4" w:space="0"/>
              <w:left w:val="single" w:color="auto" w:sz="4" w:space="0"/>
              <w:right w:val="single" w:color="auto" w:sz="4" w:space="0"/>
            </w:tcBorders>
            <w:tcW w:w="720" w:type="dxa"/>
            <w:vAlign w:val="center"/>
            <w:textDirection w:val="lrTb"/>
            <w:noWrap w:val="false"/>
          </w:tcPr>
          <w:p>
            <w:pPr>
              <w:jc w:val="center"/>
              <w:spacing w:line="36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rPr>
              <w:t xml:space="preserve">12</w:t>
            </w:r>
            <w:r/>
          </w:p>
        </w:tc>
        <w:tc>
          <w:tcPr>
            <w:tcBorders>
              <w:top w:val="single" w:color="auto" w:sz="4" w:space="0"/>
              <w:left w:val="single" w:color="auto" w:sz="4" w:space="0"/>
              <w:bottom w:val="single" w:color="auto" w:sz="4" w:space="0"/>
              <w:right w:val="single" w:color="auto" w:sz="4" w:space="0"/>
            </w:tcBorders>
            <w:tcW w:w="4456" w:type="dxa"/>
            <w:vAlign w:val="center"/>
            <w:textDirection w:val="lrTb"/>
            <w:noWrap w:val="false"/>
          </w:tcPr>
          <w:p>
            <w:pPr>
              <w:pStyle w:val="857"/>
              <w:ind w:firstLine="480"/>
              <w:jc w:val="both"/>
              <w:spacing w:beforeAutospacing="0" w:afterAutospacing="0" w:line="36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rPr>
              <w:t xml:space="preserve">根据投标人提供的相应资料，就投标人对项目背景和现状、相关标准及规范、需求进行充分了解，建设目标和技术路线与用户需求吻合，技术方案是否满足本项目的总体要求等情况评分；技术方案全面的得10.9-12分；技术方案一般、较全面的得9.1-10.8分；技术方案差、不全面的得7.2-9分，未提供方案不得分。</w:t>
            </w:r>
            <w:r/>
          </w:p>
        </w:tc>
      </w:tr>
      <w:tr>
        <w:trPr>
          <w:trHeight w:val="1820"/>
        </w:trPr>
        <w:tc>
          <w:tcPr>
            <w:tcBorders>
              <w:left w:val="single" w:color="auto" w:sz="4" w:space="0"/>
              <w:right w:val="single" w:color="auto" w:sz="4" w:space="0"/>
            </w:tcBorders>
            <w:tcW w:w="500" w:type="dxa"/>
            <w:vAlign w:val="center"/>
            <w:vMerge w:val="continue"/>
            <w:textDirection w:val="lrTb"/>
            <w:noWrap w:val="false"/>
          </w:tcPr>
          <w:p>
            <w:pPr>
              <w:ind w:firstLine="480"/>
              <w:jc w:val="center"/>
              <w:spacing w:line="36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left w:val="single" w:color="auto" w:sz="4" w:space="0"/>
              <w:right w:val="single" w:color="auto" w:sz="4" w:space="0"/>
            </w:tcBorders>
            <w:tcW w:w="1400" w:type="dxa"/>
            <w:vAlign w:val="center"/>
            <w:vMerge w:val="continue"/>
            <w:textDirection w:val="lrTb"/>
            <w:noWrap w:val="false"/>
          </w:tcPr>
          <w:p>
            <w:pPr>
              <w:ind w:firstLine="480"/>
              <w:jc w:val="center"/>
              <w:spacing w:line="36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left w:val="single" w:color="auto" w:sz="4" w:space="0"/>
              <w:bottom w:val="single" w:color="auto" w:sz="4" w:space="0"/>
              <w:right w:val="single" w:color="auto" w:sz="4" w:space="0"/>
            </w:tcBorders>
            <w:tcW w:w="1243" w:type="dxa"/>
            <w:vAlign w:val="center"/>
            <w:textDirection w:val="lrTb"/>
            <w:noWrap w:val="false"/>
          </w:tcPr>
          <w:p>
            <w:pPr>
              <w:jc w:val="center"/>
              <w:spacing w:line="36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rPr>
              <w:t xml:space="preserve">实施方案</w:t>
            </w:r>
            <w:r/>
          </w:p>
        </w:tc>
        <w:tc>
          <w:tcPr>
            <w:tcBorders>
              <w:left w:val="single" w:color="auto" w:sz="4" w:space="0"/>
              <w:bottom w:val="single" w:color="auto" w:sz="4" w:space="0"/>
              <w:right w:val="single" w:color="auto" w:sz="4" w:space="0"/>
            </w:tcBorders>
            <w:tcW w:w="720" w:type="dxa"/>
            <w:vAlign w:val="center"/>
            <w:textDirection w:val="lrTb"/>
            <w:noWrap w:val="false"/>
          </w:tcPr>
          <w:p>
            <w:pPr>
              <w:jc w:val="center"/>
              <w:spacing w:line="36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rPr>
              <w:t xml:space="preserve">15</w:t>
            </w:r>
            <w:r/>
          </w:p>
        </w:tc>
        <w:tc>
          <w:tcPr>
            <w:tcBorders>
              <w:top w:val="single" w:color="auto" w:sz="4" w:space="0"/>
              <w:left w:val="single" w:color="auto" w:sz="4" w:space="0"/>
              <w:bottom w:val="single" w:color="auto" w:sz="4" w:space="0"/>
              <w:right w:val="single" w:color="auto" w:sz="4" w:space="0"/>
            </w:tcBorders>
            <w:tcW w:w="4456" w:type="dxa"/>
            <w:vAlign w:val="center"/>
            <w:textDirection w:val="lrTb"/>
            <w:noWrap w:val="false"/>
          </w:tcPr>
          <w:p>
            <w:pPr>
              <w:ind w:firstLine="480"/>
              <w:spacing w:line="36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rPr>
              <w:t xml:space="preserve">项目组织实施方案的科学性、合理性、规范性和可操作性，包括是否具有完备的管理组织、项目实施是否规范、是否有完善的质量管理体系；项目进度安排及进度控制是否科学合理；工期保障措施是否健全；保密措施是否完整且切实可行等情况评分；实施方案</w:t>
            </w:r>
            <w:r>
              <w:rPr>
                <w:rFonts w:hint="eastAsia" w:ascii="宋体" w:hAnsi="宋体" w:eastAsia="宋体" w:cs="宋体"/>
                <w:color w:val="000000"/>
                <w:sz w:val="24"/>
                <w:highlight w:val="none"/>
              </w:rPr>
              <w:t xml:space="preserve">全面的得13.6-15分；实施方案一般、较全面的得11.4-13.5分；实施方案差、不全面的得9-11.3分，未提供方案不得分。</w:t>
            </w:r>
            <w:r/>
          </w:p>
        </w:tc>
      </w:tr>
      <w:tr>
        <w:trPr>
          <w:trHeight w:val="543"/>
        </w:trPr>
        <w:tc>
          <w:tcPr>
            <w:tcBorders>
              <w:left w:val="single" w:color="auto" w:sz="4" w:space="0"/>
              <w:right w:val="single" w:color="auto" w:sz="4" w:space="0"/>
            </w:tcBorders>
            <w:tcW w:w="500" w:type="dxa"/>
            <w:vAlign w:val="center"/>
            <w:vMerge w:val="continue"/>
            <w:textDirection w:val="lrTb"/>
            <w:noWrap w:val="false"/>
          </w:tcPr>
          <w:p>
            <w:pPr>
              <w:jc w:val="center"/>
              <w:spacing w:line="36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left w:val="single" w:color="auto" w:sz="4" w:space="0"/>
              <w:right w:val="single" w:color="auto" w:sz="4" w:space="0"/>
            </w:tcBorders>
            <w:tcW w:w="1400" w:type="dxa"/>
            <w:vAlign w:val="center"/>
            <w:vMerge w:val="continue"/>
            <w:textDirection w:val="lrTb"/>
            <w:noWrap w:val="false"/>
          </w:tcPr>
          <w:p>
            <w:pPr>
              <w:jc w:val="center"/>
              <w:spacing w:line="36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auto" w:sz="4" w:space="0"/>
              <w:left w:val="single" w:color="auto" w:sz="4" w:space="0"/>
              <w:right w:val="single" w:color="auto" w:sz="4" w:space="0"/>
            </w:tcBorders>
            <w:tcW w:w="1243" w:type="dxa"/>
            <w:vAlign w:val="center"/>
            <w:textDirection w:val="lrTb"/>
            <w:noWrap w:val="false"/>
          </w:tcPr>
          <w:p>
            <w:pPr>
              <w:jc w:val="center"/>
              <w:spacing w:line="360" w:lineRule="exact"/>
              <w:tabs>
                <w:tab w:val="left" w:pos="448"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rPr>
              <w:t xml:space="preserve">重点难点分析及应对措施</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rPr>
              <w:t xml:space="preserve">12</w:t>
            </w:r>
            <w:r/>
          </w:p>
        </w:tc>
        <w:tc>
          <w:tcPr>
            <w:tcBorders>
              <w:top w:val="single" w:color="auto" w:sz="4" w:space="0"/>
              <w:left w:val="single" w:color="auto" w:sz="4" w:space="0"/>
              <w:bottom w:val="single" w:color="auto" w:sz="4" w:space="0"/>
              <w:right w:val="single" w:color="auto" w:sz="4" w:space="0"/>
            </w:tcBorders>
            <w:tcW w:w="4456" w:type="dxa"/>
            <w:vAlign w:val="center"/>
            <w:textDirection w:val="lrTb"/>
            <w:noWrap w:val="false"/>
          </w:tcPr>
          <w:p>
            <w:pPr>
              <w:ind w:firstLine="480"/>
              <w:spacing w:line="36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rPr>
              <w:t xml:space="preserve">能够根据本地实际情况，结合本项目相关需求，充分合理利用现有数据及资料，分析本项目重点、难点工作，并为高质量的完成本项目提出合理化建议等情况评分；应对措施全面的得10.9-12分；应对措施一般、较全面的得9.1-10.8分；应对措施差、不全面的得7.2-9分，未提供方案不得分。</w:t>
            </w:r>
            <w:r/>
          </w:p>
        </w:tc>
      </w:tr>
      <w:tr>
        <w:trPr>
          <w:trHeight w:val="555"/>
        </w:trPr>
        <w:tc>
          <w:tcPr>
            <w:tcBorders>
              <w:left w:val="single" w:color="auto" w:sz="4" w:space="0"/>
              <w:right w:val="single" w:color="auto" w:sz="4" w:space="0"/>
            </w:tcBorders>
            <w:tcW w:w="500" w:type="dxa"/>
            <w:vAlign w:val="center"/>
            <w:vMerge w:val="continue"/>
            <w:textDirection w:val="lrTb"/>
            <w:noWrap w:val="false"/>
          </w:tcPr>
          <w:p>
            <w:pPr>
              <w:ind w:firstLine="480"/>
              <w:jc w:val="center"/>
              <w:spacing w:line="36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left w:val="single" w:color="auto" w:sz="4" w:space="0"/>
              <w:right w:val="single" w:color="auto" w:sz="4" w:space="0"/>
            </w:tcBorders>
            <w:tcW w:w="1400" w:type="dxa"/>
            <w:vAlign w:val="center"/>
            <w:vMerge w:val="continue"/>
            <w:textDirection w:val="lrTb"/>
            <w:noWrap w:val="false"/>
          </w:tcPr>
          <w:p>
            <w:pPr>
              <w:ind w:firstLine="480"/>
              <w:jc w:val="center"/>
              <w:spacing w:line="36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left w:val="single" w:color="auto" w:sz="4" w:space="0"/>
              <w:bottom w:val="single" w:color="auto" w:sz="4" w:space="0"/>
              <w:right w:val="single" w:color="auto" w:sz="4" w:space="0"/>
            </w:tcBorders>
            <w:tcW w:w="1243" w:type="dxa"/>
            <w:vAlign w:val="center"/>
            <w:textDirection w:val="lrTb"/>
            <w:noWrap w:val="false"/>
          </w:tcPr>
          <w:p>
            <w:pPr>
              <w:jc w:val="center"/>
              <w:spacing w:line="36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rPr>
              <w:t xml:space="preserve">质量保证措施</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rPr>
              <w:t xml:space="preserve">12</w:t>
            </w:r>
            <w:r/>
          </w:p>
        </w:tc>
        <w:tc>
          <w:tcPr>
            <w:tcBorders>
              <w:top w:val="single" w:color="auto" w:sz="4" w:space="0"/>
              <w:left w:val="single" w:color="auto" w:sz="4" w:space="0"/>
              <w:bottom w:val="single" w:color="auto" w:sz="4" w:space="0"/>
              <w:right w:val="single" w:color="auto" w:sz="4" w:space="0"/>
            </w:tcBorders>
            <w:tcW w:w="4456" w:type="dxa"/>
            <w:vAlign w:val="center"/>
            <w:textDirection w:val="lrTb"/>
            <w:noWrap w:val="false"/>
          </w:tcPr>
          <w:p>
            <w:pPr>
              <w:ind w:firstLine="480"/>
              <w:spacing w:line="36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rPr>
              <w:t xml:space="preserve">根据投标人组织机构及质量保证措施，做到机构健全，建立完整的工作台帐、工作信息收集、反馈等质量保证措施，质量管理关键点分析及应对等情况评分；质量保证措施全面的得10.9-12分；质量保证措施一般、较全面的得9.1-10.8分；质量保证措施差、不全面的得7.2-9分，未提供方案不得分。</w:t>
            </w:r>
            <w:r/>
          </w:p>
        </w:tc>
      </w:tr>
      <w:tr>
        <w:trPr>
          <w:trHeight w:val="555"/>
        </w:trPr>
        <w:tc>
          <w:tcPr>
            <w:tcBorders>
              <w:left w:val="single" w:color="auto" w:sz="4" w:space="0"/>
              <w:right w:val="single" w:color="auto" w:sz="4" w:space="0"/>
            </w:tcBorders>
            <w:tcW w:w="500" w:type="dxa"/>
            <w:vAlign w:val="center"/>
            <w:vMerge w:val="continue"/>
            <w:textDirection w:val="lrTb"/>
            <w:noWrap w:val="false"/>
          </w:tcPr>
          <w:p>
            <w:pPr>
              <w:jc w:val="center"/>
              <w:spacing w:line="36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left w:val="single" w:color="auto" w:sz="4" w:space="0"/>
              <w:right w:val="single" w:color="auto" w:sz="4" w:space="0"/>
            </w:tcBorders>
            <w:tcW w:w="1400" w:type="dxa"/>
            <w:vAlign w:val="center"/>
            <w:vMerge w:val="continue"/>
            <w:textDirection w:val="lrTb"/>
            <w:noWrap w:val="false"/>
          </w:tcPr>
          <w:p>
            <w:pPr>
              <w:jc w:val="center"/>
              <w:spacing w:line="36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spacing w:line="36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rPr>
              <w:t xml:space="preserve">售后服务</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rPr>
              <w:t xml:space="preserve">7</w:t>
            </w:r>
            <w:r/>
          </w:p>
        </w:tc>
        <w:tc>
          <w:tcPr>
            <w:tcBorders>
              <w:top w:val="single" w:color="auto" w:sz="4" w:space="0"/>
              <w:left w:val="single" w:color="auto" w:sz="4" w:space="0"/>
              <w:bottom w:val="single" w:color="auto" w:sz="4" w:space="0"/>
              <w:right w:val="single" w:color="auto" w:sz="4" w:space="0"/>
            </w:tcBorders>
            <w:tcW w:w="4456" w:type="dxa"/>
            <w:vAlign w:val="center"/>
            <w:textDirection w:val="lrTb"/>
            <w:noWrap w:val="false"/>
          </w:tcPr>
          <w:p>
            <w:pPr>
              <w:ind w:firstLine="480"/>
              <w:spacing w:line="36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rPr>
              <w:t xml:space="preserve">根据投标人承诺质量负责承诺、其他服务及满足招标人在项目实施期间内因需求变化和其他特殊原因提出的额外要求的承诺情况评分；售后服务全面的得6.4-7分；售后服务措施一般、较全面的得5.26-6.3分；售后服务措施差、不全面的得4.2-5.25分，未提供方案不得分。</w:t>
            </w:r>
            <w:r/>
          </w:p>
        </w:tc>
      </w:tr>
      <w:tr>
        <w:trPr>
          <w:trHeight w:val="533"/>
        </w:trPr>
        <w:tc>
          <w:tcPr>
            <w:tcBorders>
              <w:left w:val="single" w:color="auto" w:sz="4" w:space="0"/>
              <w:right w:val="single" w:color="auto" w:sz="4" w:space="0"/>
            </w:tcBorders>
            <w:tcW w:w="500" w:type="dxa"/>
            <w:vAlign w:val="center"/>
            <w:vMerge w:val="restart"/>
            <w:textDirection w:val="lrTb"/>
            <w:noWrap w:val="false"/>
          </w:tcPr>
          <w:p>
            <w:pPr>
              <w:jc w:val="center"/>
              <w:spacing w:line="36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rPr>
              <w:t xml:space="preserve">三</w:t>
            </w:r>
            <w:r/>
          </w:p>
        </w:tc>
        <w:tc>
          <w:tcPr>
            <w:tcBorders>
              <w:left w:val="single" w:color="auto" w:sz="4" w:space="0"/>
              <w:right w:val="single" w:color="auto" w:sz="4" w:space="0"/>
            </w:tcBorders>
            <w:tcW w:w="1400" w:type="dxa"/>
            <w:vAlign w:val="center"/>
            <w:vMerge w:val="restart"/>
            <w:textDirection w:val="lrTb"/>
            <w:noWrap w:val="false"/>
          </w:tcPr>
          <w:p>
            <w:pPr>
              <w:jc w:val="center"/>
              <w:spacing w:line="36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rPr>
              <w:t xml:space="preserve">企业能力</w:t>
            </w:r>
            <w:r/>
          </w:p>
        </w:tc>
        <w:tc>
          <w:tcPr>
            <w:tcBorders>
              <w:top w:val="single" w:color="auto" w:sz="4" w:space="0"/>
              <w:left w:val="single" w:color="auto" w:sz="4" w:space="0"/>
              <w:right w:val="single" w:color="auto" w:sz="4" w:space="0"/>
            </w:tcBorders>
            <w:tcW w:w="1243" w:type="dxa"/>
            <w:vAlign w:val="center"/>
            <w:textDirection w:val="lrTb"/>
            <w:noWrap w:val="false"/>
          </w:tcPr>
          <w:p>
            <w:pPr>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企业</w:t>
            </w:r>
            <w:r/>
          </w:p>
          <w:p>
            <w:pPr>
              <w:jc w:val="center"/>
              <w:spacing w:line="36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rPr>
              <w:t xml:space="preserve">资信</w:t>
            </w:r>
            <w:r/>
          </w:p>
        </w:tc>
        <w:tc>
          <w:tcPr>
            <w:tcBorders>
              <w:top w:val="single" w:color="auto" w:sz="4" w:space="0"/>
              <w:left w:val="single" w:color="auto" w:sz="4" w:space="0"/>
              <w:right w:val="single" w:color="auto" w:sz="4" w:space="0"/>
            </w:tcBorders>
            <w:tcW w:w="720" w:type="dxa"/>
            <w:vAlign w:val="center"/>
            <w:textDirection w:val="lrTb"/>
            <w:noWrap w:val="false"/>
          </w:tcPr>
          <w:p>
            <w:pPr>
              <w:jc w:val="center"/>
              <w:spacing w:line="36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rPr>
              <w:t xml:space="preserve">6</w:t>
            </w:r>
            <w:r/>
          </w:p>
        </w:tc>
        <w:tc>
          <w:tcPr>
            <w:tcBorders>
              <w:top w:val="single" w:color="auto" w:sz="4" w:space="0"/>
              <w:left w:val="single" w:color="auto" w:sz="4" w:space="0"/>
              <w:bottom w:val="single" w:color="auto" w:sz="4" w:space="0"/>
              <w:right w:val="single" w:color="auto" w:sz="4" w:space="0"/>
            </w:tcBorders>
            <w:tcW w:w="4456" w:type="dxa"/>
            <w:vAlign w:val="center"/>
            <w:textDirection w:val="lrTb"/>
            <w:noWrap w:val="false"/>
          </w:tcPr>
          <w:p>
            <w:pPr>
              <w:pStyle w:val="857"/>
              <w:ind w:firstLine="480"/>
              <w:jc w:val="both"/>
              <w:spacing w:beforeAutospacing="0" w:afterAutospacing="0" w:line="360" w:lineRule="exact"/>
              <w:rPr>
                <w:rFonts w:hint="eastAsia" w:ascii="宋体" w:hAnsi="宋体" w:eastAsia="宋体" w:cs="宋体"/>
                <w:color w:val="000000"/>
                <w:highlight w:val="none"/>
              </w:rPr>
            </w:pPr>
            <w:r>
              <w:rPr>
                <w:rFonts w:hint="eastAsia" w:ascii="宋体" w:hAnsi="宋体" w:eastAsia="宋体" w:cs="宋体"/>
                <w:color w:val="000000"/>
              </w:rPr>
              <w:t xml:space="preserve">投标人具有有效的信息安全管理体系认证证书</w:t>
            </w:r>
            <w:r>
              <w:rPr>
                <w:rFonts w:hint="eastAsia" w:ascii="宋体" w:hAnsi="宋体" w:eastAsia="宋体" w:cs="宋体"/>
                <w:color w:val="000000"/>
                <w:highlight w:val="none"/>
              </w:rPr>
              <w:t xml:space="preserve">、</w:t>
            </w:r>
            <w:r>
              <w:rPr>
                <w:rFonts w:hint="eastAsia"/>
                <w:highlight w:val="none"/>
              </w:rPr>
              <w:t xml:space="preserve">信息技术服务管理体系认证证书</w:t>
            </w:r>
            <w:r>
              <w:rPr>
                <w:rFonts w:hint="eastAsia"/>
                <w:highlight w:val="none"/>
                <w:lang w:eastAsia="zh-CN"/>
              </w:rPr>
              <w:t xml:space="preserve">、</w:t>
            </w:r>
            <w:r>
              <w:rPr>
                <w:rFonts w:hint="eastAsia" w:ascii="宋体" w:hAnsi="宋体" w:eastAsia="宋体" w:cs="宋体"/>
                <w:color w:val="000000"/>
                <w:highlight w:val="none"/>
              </w:rPr>
              <w:t xml:space="preserve">质量管理体系认证证书、环境管理体系认证证书、职业健康安全管理体系认证证书</w:t>
            </w:r>
            <w:r>
              <w:rPr>
                <w:rFonts w:hint="eastAsia"/>
                <w:highlight w:val="none"/>
              </w:rPr>
              <w:t xml:space="preserve">、测量管理体系认证证书，</w:t>
            </w:r>
            <w:r>
              <w:rPr>
                <w:rFonts w:hint="eastAsia" w:ascii="宋体" w:hAnsi="宋体" w:eastAsia="宋体" w:cs="宋体"/>
                <w:color w:val="000000"/>
                <w:highlight w:val="none"/>
              </w:rPr>
              <w:t xml:space="preserve">每提供1个得1分，本项最高得6分。</w:t>
            </w:r>
            <w:r/>
          </w:p>
          <w:p>
            <w:pPr>
              <w:pStyle w:val="857"/>
              <w:ind w:firstLine="480"/>
              <w:jc w:val="both"/>
              <w:spacing w:beforeAutospacing="0" w:afterAutospacing="0" w:line="36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rPr>
              <w:t xml:space="preserve">【注：提供证书原件扫描件加盖CA电子签章，体系认证证书需提供在有效期内的相应证书原件扫描件和国家认证认可监督委员会网站查询截图加盖CA电子签章。】</w:t>
            </w:r>
            <w:r/>
          </w:p>
        </w:tc>
      </w:tr>
      <w:tr>
        <w:trPr>
          <w:trHeight w:val="533"/>
        </w:trPr>
        <w:tc>
          <w:tcPr>
            <w:tcBorders>
              <w:left w:val="single" w:color="auto" w:sz="4" w:space="0"/>
              <w:right w:val="single" w:color="auto" w:sz="4" w:space="0"/>
            </w:tcBorders>
            <w:tcW w:w="500" w:type="dxa"/>
            <w:vAlign w:val="center"/>
            <w:vMerge w:val="continue"/>
            <w:textDirection w:val="lrTb"/>
            <w:noWrap w:val="false"/>
          </w:tcPr>
          <w:p>
            <w:pPr>
              <w:ind w:firstLine="480"/>
              <w:jc w:val="left"/>
              <w:spacing w:line="36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left w:val="single" w:color="auto" w:sz="4" w:space="0"/>
              <w:right w:val="single" w:color="auto" w:sz="4" w:space="0"/>
            </w:tcBorders>
            <w:tcW w:w="1400" w:type="dxa"/>
            <w:vAlign w:val="center"/>
            <w:vMerge w:val="continue"/>
            <w:textDirection w:val="lrTb"/>
            <w:noWrap w:val="false"/>
          </w:tcPr>
          <w:p>
            <w:pPr>
              <w:jc w:val="center"/>
              <w:spacing w:line="36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auto" w:sz="4" w:space="0"/>
              <w:left w:val="single" w:color="auto" w:sz="4" w:space="0"/>
              <w:right w:val="single" w:color="auto" w:sz="4" w:space="0"/>
            </w:tcBorders>
            <w:tcW w:w="1243" w:type="dxa"/>
            <w:vAlign w:val="center"/>
            <w:textDirection w:val="lrTb"/>
            <w:noWrap w:val="false"/>
          </w:tcPr>
          <w:p>
            <w:pPr>
              <w:jc w:val="center"/>
              <w:spacing w:line="36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rPr>
              <w:t xml:space="preserve">技术人员</w:t>
            </w:r>
            <w:r/>
          </w:p>
        </w:tc>
        <w:tc>
          <w:tcPr>
            <w:tcBorders>
              <w:top w:val="single" w:color="auto" w:sz="4" w:space="0"/>
              <w:left w:val="single" w:color="auto" w:sz="4" w:space="0"/>
              <w:right w:val="single" w:color="auto" w:sz="4" w:space="0"/>
            </w:tcBorders>
            <w:tcW w:w="720" w:type="dxa"/>
            <w:vAlign w:val="center"/>
            <w:textDirection w:val="lrTb"/>
            <w:noWrap w:val="false"/>
          </w:tcPr>
          <w:p>
            <w:pPr>
              <w:jc w:val="center"/>
              <w:spacing w:line="360" w:lineRule="exact"/>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lang w:val="en-US" w:eastAsia="zh-CN"/>
              </w:rPr>
              <w:t xml:space="preserve">18</w:t>
            </w:r>
            <w:r/>
          </w:p>
        </w:tc>
        <w:tc>
          <w:tcPr>
            <w:tcBorders>
              <w:top w:val="single" w:color="auto" w:sz="4" w:space="0"/>
              <w:left w:val="single" w:color="auto" w:sz="4" w:space="0"/>
              <w:bottom w:val="single" w:color="auto" w:sz="4" w:space="0"/>
              <w:right w:val="single" w:color="auto" w:sz="4" w:space="0"/>
            </w:tcBorders>
            <w:tcW w:w="4456" w:type="dxa"/>
            <w:vAlign w:val="center"/>
            <w:textDirection w:val="lrTb"/>
            <w:noWrap w:val="false"/>
          </w:tcPr>
          <w:p>
            <w:pPr>
              <w:ind w:firstLine="480"/>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1.项目负责人：</w:t>
            </w:r>
            <w:r/>
          </w:p>
          <w:p>
            <w:pPr>
              <w:ind w:firstLine="480"/>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rPr>
              <w:t xml:space="preserve">（1）具备测绘或土地专</w:t>
            </w:r>
            <w:r>
              <w:rPr>
                <w:rFonts w:hint="eastAsia" w:ascii="宋体" w:hAnsi="宋体" w:eastAsia="宋体" w:cs="宋体"/>
                <w:color w:val="000000"/>
                <w:sz w:val="24"/>
                <w:highlight w:val="none"/>
              </w:rPr>
              <w:t xml:space="preserve">业高级</w:t>
            </w:r>
            <w:r>
              <w:rPr>
                <w:rFonts w:hint="eastAsia" w:ascii="宋体" w:hAnsi="宋体" w:eastAsia="宋体" w:cs="宋体"/>
                <w:color w:val="000000"/>
                <w:sz w:val="24"/>
                <w:highlight w:val="none"/>
                <w:lang w:val="en-US" w:eastAsia="zh-CN"/>
              </w:rPr>
              <w:t xml:space="preserve">及以上</w:t>
            </w:r>
            <w:r>
              <w:rPr>
                <w:rFonts w:hint="eastAsia" w:ascii="宋体" w:hAnsi="宋体" w:eastAsia="宋体" w:cs="宋体"/>
                <w:color w:val="000000"/>
                <w:sz w:val="24"/>
                <w:highlight w:val="none"/>
              </w:rPr>
              <w:t xml:space="preserve">职称得2分，</w:t>
            </w:r>
            <w:r>
              <w:rPr>
                <w:rFonts w:hint="eastAsia" w:ascii="宋体" w:hAnsi="宋体" w:eastAsia="宋体" w:cs="宋体"/>
                <w:color w:val="000000"/>
                <w:sz w:val="24"/>
                <w:highlight w:val="none"/>
                <w:lang w:val="en-US" w:eastAsia="zh-CN"/>
              </w:rPr>
              <w:t xml:space="preserve">中</w:t>
            </w:r>
            <w:r>
              <w:rPr>
                <w:rFonts w:hint="eastAsia" w:ascii="宋体" w:hAnsi="宋体" w:eastAsia="宋体" w:cs="宋体"/>
                <w:color w:val="000000"/>
                <w:sz w:val="24"/>
                <w:highlight w:val="none"/>
              </w:rPr>
              <w:t xml:space="preserve">级</w:t>
            </w:r>
            <w:r>
              <w:rPr>
                <w:rFonts w:hint="eastAsia" w:ascii="宋体" w:hAnsi="宋体" w:eastAsia="宋体" w:cs="宋体"/>
                <w:color w:val="000000"/>
                <w:sz w:val="24"/>
                <w:highlight w:val="none"/>
                <w:lang w:val="en-US" w:eastAsia="zh-CN"/>
              </w:rPr>
              <w:t xml:space="preserve">及以上</w:t>
            </w:r>
            <w:r>
              <w:rPr>
                <w:rFonts w:hint="eastAsia" w:ascii="宋体" w:hAnsi="宋体" w:eastAsia="宋体" w:cs="宋体"/>
                <w:color w:val="000000"/>
                <w:sz w:val="24"/>
                <w:highlight w:val="none"/>
              </w:rPr>
              <w:t xml:space="preserve">得1分，最高得2分。</w:t>
            </w:r>
            <w:r/>
          </w:p>
          <w:p>
            <w:pPr>
              <w:ind w:firstLine="480"/>
              <w:spacing w:line="360" w:lineRule="exact"/>
              <w:rPr>
                <w:rFonts w:hint="eastAsia" w:ascii="宋体" w:hAnsi="宋体" w:eastAsia="宋体" w:cs="宋体"/>
                <w:color w:val="000000"/>
                <w:sz w:val="24"/>
                <w:lang w:eastAsia="zh-CN"/>
              </w:rPr>
            </w:pPr>
            <w:r>
              <w:rPr>
                <w:rFonts w:hint="eastAsia" w:ascii="宋体" w:hAnsi="宋体" w:eastAsia="宋体" w:cs="宋体"/>
                <w:color w:val="000000"/>
                <w:sz w:val="24"/>
                <w:highlight w:val="none"/>
              </w:rPr>
              <w:t xml:space="preserve">（2）具备核心涉</w:t>
            </w:r>
            <w:r>
              <w:rPr>
                <w:rFonts w:hint="eastAsia" w:ascii="宋体" w:hAnsi="宋体" w:eastAsia="宋体" w:cs="宋体"/>
                <w:color w:val="000000"/>
                <w:sz w:val="24"/>
              </w:rPr>
              <w:t xml:space="preserve">密培训证书或通过地理信息安全保密培训合格的得1分。</w:t>
            </w:r>
            <w:r/>
          </w:p>
          <w:p>
            <w:pPr>
              <w:ind w:firstLine="480"/>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2.技术负责人：</w:t>
            </w:r>
            <w:r/>
          </w:p>
          <w:p>
            <w:pPr>
              <w:ind w:firstLine="480"/>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rPr>
              <w:t xml:space="preserve">（1）具备测</w:t>
            </w:r>
            <w:r>
              <w:rPr>
                <w:rFonts w:hint="eastAsia" w:ascii="宋体" w:hAnsi="宋体" w:eastAsia="宋体" w:cs="宋体"/>
                <w:color w:val="000000"/>
                <w:sz w:val="24"/>
                <w:highlight w:val="none"/>
              </w:rPr>
              <w:t xml:space="preserve">绘或土地专业高级</w:t>
            </w:r>
            <w:r>
              <w:rPr>
                <w:rFonts w:hint="eastAsia" w:ascii="宋体" w:hAnsi="宋体" w:eastAsia="宋体" w:cs="宋体"/>
                <w:color w:val="000000"/>
                <w:sz w:val="24"/>
                <w:highlight w:val="none"/>
                <w:lang w:val="en-US" w:eastAsia="zh-CN"/>
              </w:rPr>
              <w:t xml:space="preserve">及以上</w:t>
            </w:r>
            <w:r>
              <w:rPr>
                <w:rFonts w:hint="eastAsia" w:ascii="宋体" w:hAnsi="宋体" w:eastAsia="宋体" w:cs="宋体"/>
                <w:color w:val="000000"/>
                <w:sz w:val="24"/>
                <w:highlight w:val="none"/>
              </w:rPr>
              <w:t xml:space="preserve">职称得2分，</w:t>
            </w:r>
            <w:r>
              <w:rPr>
                <w:rFonts w:hint="eastAsia" w:ascii="宋体" w:hAnsi="宋体" w:eastAsia="宋体" w:cs="宋体"/>
                <w:color w:val="000000"/>
                <w:sz w:val="24"/>
                <w:highlight w:val="none"/>
                <w:lang w:val="en-US" w:eastAsia="zh-CN"/>
              </w:rPr>
              <w:t xml:space="preserve">中</w:t>
            </w:r>
            <w:r>
              <w:rPr>
                <w:rFonts w:hint="eastAsia" w:ascii="宋体" w:hAnsi="宋体" w:eastAsia="宋体" w:cs="宋体"/>
                <w:color w:val="000000"/>
                <w:sz w:val="24"/>
                <w:highlight w:val="none"/>
              </w:rPr>
              <w:t xml:space="preserve">级</w:t>
            </w:r>
            <w:r>
              <w:rPr>
                <w:rFonts w:hint="eastAsia" w:ascii="宋体" w:hAnsi="宋体" w:eastAsia="宋体" w:cs="宋体"/>
                <w:color w:val="000000"/>
                <w:sz w:val="24"/>
                <w:highlight w:val="none"/>
                <w:lang w:val="en-US" w:eastAsia="zh-CN"/>
              </w:rPr>
              <w:t xml:space="preserve">及以上</w:t>
            </w:r>
            <w:r>
              <w:rPr>
                <w:rFonts w:hint="eastAsia" w:ascii="宋体" w:hAnsi="宋体" w:eastAsia="宋体" w:cs="宋体"/>
                <w:color w:val="000000"/>
                <w:sz w:val="24"/>
                <w:highlight w:val="none"/>
              </w:rPr>
              <w:t xml:space="preserve">得1分，最高得2分。</w:t>
            </w:r>
            <w:r/>
          </w:p>
          <w:p>
            <w:pPr>
              <w:ind w:firstLine="480"/>
              <w:spacing w:line="360" w:lineRule="exact"/>
              <w:rPr>
                <w:rFonts w:hint="eastAsia" w:ascii="宋体" w:hAnsi="宋体" w:eastAsia="宋体" w:cs="宋体"/>
                <w:color w:val="000000"/>
                <w:sz w:val="24"/>
              </w:rPr>
            </w:pPr>
            <w:r>
              <w:rPr>
                <w:rFonts w:hint="eastAsia" w:ascii="宋体" w:hAnsi="宋体" w:eastAsia="宋体" w:cs="宋体"/>
                <w:color w:val="000000"/>
                <w:sz w:val="24"/>
                <w:highlight w:val="none"/>
              </w:rPr>
              <w:t xml:space="preserve">（2）具备核心涉密</w:t>
            </w:r>
            <w:r>
              <w:rPr>
                <w:rFonts w:hint="eastAsia" w:ascii="宋体" w:hAnsi="宋体" w:eastAsia="宋体" w:cs="宋体"/>
                <w:color w:val="000000"/>
                <w:sz w:val="24"/>
              </w:rPr>
              <w:t xml:space="preserve">培训证书或通过地理信息安全保密培训合格的得1分。</w:t>
            </w:r>
            <w:r/>
          </w:p>
          <w:p>
            <w:pPr>
              <w:ind w:firstLine="480"/>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rPr>
              <w:t xml:space="preserve">3.质量负责人：</w:t>
            </w:r>
            <w:r/>
          </w:p>
          <w:p>
            <w:pPr>
              <w:ind w:firstLine="480"/>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（1）具备测绘或土地专业高级</w:t>
            </w:r>
            <w:r>
              <w:rPr>
                <w:rFonts w:hint="eastAsia" w:ascii="宋体" w:hAnsi="宋体" w:eastAsia="宋体" w:cs="宋体"/>
                <w:color w:val="000000"/>
                <w:sz w:val="24"/>
                <w:highlight w:val="none"/>
                <w:lang w:val="en-US" w:eastAsia="zh-CN"/>
              </w:rPr>
              <w:t xml:space="preserve">及以上</w:t>
            </w:r>
            <w:r>
              <w:rPr>
                <w:rFonts w:hint="eastAsia" w:ascii="宋体" w:hAnsi="宋体" w:eastAsia="宋体" w:cs="宋体"/>
                <w:color w:val="000000"/>
                <w:sz w:val="24"/>
                <w:highlight w:val="none"/>
              </w:rPr>
              <w:t xml:space="preserve">职称得2分，</w:t>
            </w:r>
            <w:r>
              <w:rPr>
                <w:rFonts w:hint="eastAsia" w:ascii="宋体" w:hAnsi="宋体" w:eastAsia="宋体" w:cs="宋体"/>
                <w:color w:val="000000"/>
                <w:sz w:val="24"/>
                <w:highlight w:val="none"/>
                <w:lang w:val="en-US" w:eastAsia="zh-CN"/>
              </w:rPr>
              <w:t xml:space="preserve">中</w:t>
            </w:r>
            <w:r>
              <w:rPr>
                <w:rFonts w:hint="eastAsia" w:ascii="宋体" w:hAnsi="宋体" w:eastAsia="宋体" w:cs="宋体"/>
                <w:color w:val="000000"/>
                <w:sz w:val="24"/>
                <w:highlight w:val="none"/>
              </w:rPr>
              <w:t xml:space="preserve">级</w:t>
            </w:r>
            <w:r>
              <w:rPr>
                <w:rFonts w:hint="eastAsia" w:ascii="宋体" w:hAnsi="宋体" w:eastAsia="宋体" w:cs="宋体"/>
                <w:color w:val="000000"/>
                <w:sz w:val="24"/>
                <w:highlight w:val="none"/>
                <w:lang w:val="en-US" w:eastAsia="zh-CN"/>
              </w:rPr>
              <w:t xml:space="preserve">及以上</w:t>
            </w:r>
            <w:r>
              <w:rPr>
                <w:rFonts w:hint="eastAsia" w:ascii="宋体" w:hAnsi="宋体" w:eastAsia="宋体" w:cs="宋体"/>
                <w:color w:val="000000"/>
                <w:sz w:val="24"/>
                <w:highlight w:val="none"/>
              </w:rPr>
              <w:t xml:space="preserve">得1分，最高得2分。</w:t>
            </w:r>
            <w:r/>
          </w:p>
          <w:p>
            <w:pPr>
              <w:ind w:firstLine="480"/>
              <w:spacing w:line="360" w:lineRule="exact"/>
              <w:rPr>
                <w:rFonts w:ascii="宋体" w:hAnsi="宋体" w:eastAsia="宋体" w:cs="宋体"/>
                <w:color w:val="000000"/>
                <w:sz w:val="24"/>
              </w:rPr>
            </w:pPr>
            <w:r>
              <w:rPr>
                <w:rFonts w:hint="eastAsia" w:ascii="宋体" w:hAnsi="宋体" w:eastAsia="宋体" w:cs="宋体"/>
                <w:color w:val="000000"/>
                <w:sz w:val="24"/>
                <w:highlight w:val="none"/>
              </w:rPr>
              <w:t xml:space="preserve">（2）具备核心</w:t>
            </w:r>
            <w:r>
              <w:rPr>
                <w:rFonts w:hint="eastAsia" w:ascii="宋体" w:hAnsi="宋体" w:eastAsia="宋体" w:cs="宋体"/>
                <w:color w:val="000000"/>
                <w:sz w:val="24"/>
              </w:rPr>
              <w:t xml:space="preserve">涉密培训证书或通过地理信息安全保密培训合格的得1分。</w:t>
            </w:r>
            <w:r/>
          </w:p>
          <w:p>
            <w:pPr>
              <w:ind w:firstLine="480"/>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4.数据资料管理员：</w:t>
            </w:r>
            <w:r/>
          </w:p>
          <w:p>
            <w:pPr>
              <w:ind w:firstLine="480"/>
              <w:spacing w:line="360"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具备国家有关部门颁发的档案人员上岗资格证书或档案专业技术职称的得2分。</w:t>
            </w:r>
            <w:r/>
          </w:p>
          <w:p>
            <w:pPr>
              <w:ind w:firstLine="480"/>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具备核心</w:t>
            </w:r>
            <w:r>
              <w:rPr>
                <w:rFonts w:hint="eastAsia" w:ascii="宋体" w:hAnsi="宋体" w:eastAsia="宋体" w:cs="宋体"/>
                <w:color w:val="000000"/>
                <w:sz w:val="24"/>
              </w:rPr>
              <w:t xml:space="preserve">涉密培训证书或通过地理信息安全保密培训合格的得1分</w:t>
            </w:r>
            <w:r>
              <w:rPr>
                <w:rFonts w:hint="eastAsia" w:ascii="宋体" w:hAnsi="宋体" w:eastAsia="宋体" w:cs="宋体"/>
                <w:color w:val="000000"/>
                <w:sz w:val="24"/>
                <w:highlight w:val="none"/>
              </w:rPr>
              <w:t xml:space="preserve">。</w:t>
            </w:r>
            <w:r/>
          </w:p>
          <w:p>
            <w:pPr>
              <w:pStyle w:val="857"/>
              <w:ind w:firstLine="480"/>
              <w:jc w:val="both"/>
              <w:spacing w:beforeAutospacing="0" w:afterAutospacing="0" w:line="3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5.项目组其他成员（除上述人员外）</w:t>
            </w:r>
            <w:r/>
          </w:p>
          <w:p>
            <w:pPr>
              <w:pStyle w:val="857"/>
              <w:ind w:firstLine="480"/>
              <w:jc w:val="both"/>
              <w:spacing w:beforeAutospacing="0" w:afterAutospacing="0" w:line="3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（1）具备测绘类专业或土地类专业或档案专业中级及以上职称或注册测绘师或农村土地承包延包工作培训证书的，每提供一个得1分，最高得3分。</w:t>
            </w:r>
            <w:r/>
          </w:p>
          <w:p>
            <w:pPr>
              <w:pStyle w:val="857"/>
              <w:ind w:firstLine="480"/>
              <w:jc w:val="both"/>
              <w:spacing w:beforeAutospacing="0" w:afterAutospacing="0" w:line="3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w:t>
            </w:r>
            <w:r>
              <w:rPr>
                <w:rFonts w:hint="eastAsia" w:ascii="宋体" w:hAnsi="宋体" w:eastAsia="宋体" w:cs="宋体"/>
                <w:color w:val="000000"/>
                <w:sz w:val="24"/>
                <w:highlight w:val="none"/>
                <w:lang w:val="en-US" w:eastAsia="zh-CN"/>
              </w:rPr>
              <w:t xml:space="preserve">具备国家有关部门颁发的档案人员上岗资格证书或档案专业技术职称的，</w:t>
            </w:r>
            <w:r>
              <w:rPr>
                <w:rFonts w:hint="eastAsia" w:ascii="宋体" w:hAnsi="宋体" w:eastAsia="宋体" w:cs="宋体"/>
                <w:color w:val="000000"/>
                <w:highlight w:val="none"/>
              </w:rPr>
              <w:t xml:space="preserve">每提供一个得1分，最高得3分。</w:t>
            </w:r>
            <w:r/>
          </w:p>
          <w:p>
            <w:pPr>
              <w:pStyle w:val="857"/>
              <w:ind w:firstLine="480"/>
              <w:jc w:val="both"/>
              <w:spacing w:beforeAutospacing="0" w:afterAutospacing="0" w:line="360" w:lineRule="exact"/>
              <w:rPr>
                <w:rFonts w:hint="eastAsia" w:ascii="宋体" w:hAnsi="宋体" w:eastAsia="宋体" w:cs="宋体"/>
                <w:color w:val="000000"/>
              </w:rPr>
            </w:pPr>
            <w:r>
              <w:rPr>
                <w:rFonts w:hint="eastAsia" w:ascii="宋体" w:hAnsi="宋体" w:eastAsia="宋体" w:cs="宋体"/>
                <w:color w:val="000000"/>
              </w:rPr>
              <w:t xml:space="preserve">【注:1、以上人员不重复计分；</w:t>
            </w:r>
            <w:r/>
          </w:p>
          <w:p>
            <w:pPr>
              <w:pStyle w:val="857"/>
              <w:ind w:firstLine="480"/>
              <w:jc w:val="both"/>
              <w:spacing w:beforeAutospacing="0" w:afterAutospacing="0" w:line="360" w:lineRule="exact"/>
              <w:rPr>
                <w:rFonts w:hint="eastAsia" w:ascii="宋体" w:hAnsi="宋体" w:eastAsia="宋体" w:cs="宋体"/>
                <w:color w:val="000000"/>
              </w:rPr>
            </w:pPr>
            <w:r>
              <w:rPr>
                <w:rFonts w:hint="eastAsia" w:ascii="宋体" w:hAnsi="宋体" w:eastAsia="宋体" w:cs="宋体"/>
                <w:color w:val="000000"/>
              </w:rPr>
              <w:t xml:space="preserve">2、须提供本单位为其缴纳的近3个月中的任意1个月的社保证明材料扫描件加盖CA电子签章。以上人员要求的相关职称证书、资格证书等证明材料，提供证书原件扫描件加盖CA电子签章，未提供不得分；</w:t>
            </w:r>
            <w:r/>
          </w:p>
          <w:p>
            <w:pPr>
              <w:pStyle w:val="857"/>
              <w:ind w:firstLine="480"/>
              <w:jc w:val="both"/>
              <w:spacing w:beforeAutospacing="0" w:afterAutospacing="0"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rPr>
              <w:t xml:space="preserve">3、因事业单位改制等原因保留事业单位身份，实际工作单位为企业，社会保险由事业单位缴纳的，提供拟投入人员身份所在事业单位或其上级主管单位、国资委、人社部门、事业单位改革领导小组等单位出具的身份证明文件扫描件，并提供社保机构出具的其身份所在事业单位为其缴纳社保的社保缴费证明（并加盖缴费证明专用章）扫描件，所提供证明材料不完整或无法证明拟投入人员身份来源的，不予认可。】</w:t>
            </w:r>
            <w:r/>
          </w:p>
        </w:tc>
      </w:tr>
      <w:tr>
        <w:trPr>
          <w:trHeight w:val="533"/>
        </w:trPr>
        <w:tc>
          <w:tcPr>
            <w:tcBorders>
              <w:left w:val="single" w:color="auto" w:sz="4" w:space="0"/>
              <w:right w:val="single" w:color="auto" w:sz="4" w:space="0"/>
            </w:tcBorders>
            <w:tcW w:w="500" w:type="dxa"/>
            <w:vAlign w:val="center"/>
            <w:textDirection w:val="lrTb"/>
            <w:noWrap w:val="false"/>
          </w:tcPr>
          <w:p>
            <w:pPr>
              <w:pStyle w:val="857"/>
              <w:jc w:val="both"/>
              <w:spacing w:beforeAutospacing="0" w:afterAutospacing="0"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rPr>
              <w:t xml:space="preserve">四</w:t>
            </w:r>
            <w:r/>
          </w:p>
        </w:tc>
        <w:tc>
          <w:tcPr>
            <w:tcBorders>
              <w:left w:val="single" w:color="auto" w:sz="4" w:space="0"/>
              <w:right w:val="single" w:color="auto" w:sz="4" w:space="0"/>
            </w:tcBorders>
            <w:tcW w:w="1400" w:type="dxa"/>
            <w:vAlign w:val="center"/>
            <w:textDirection w:val="lrTb"/>
            <w:noWrap w:val="false"/>
          </w:tcPr>
          <w:p>
            <w:pPr>
              <w:pStyle w:val="857"/>
              <w:ind w:firstLine="240"/>
              <w:jc w:val="center"/>
              <w:spacing w:beforeAutospacing="0" w:afterAutospacing="0"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rPr>
              <w:t xml:space="preserve">其他</w:t>
            </w:r>
            <w:r/>
          </w:p>
        </w:tc>
        <w:tc>
          <w:tcPr>
            <w:tcBorders>
              <w:top w:val="single" w:color="auto" w:sz="4" w:space="0"/>
              <w:left w:val="single" w:color="auto" w:sz="4" w:space="0"/>
              <w:right w:val="single" w:color="auto" w:sz="4" w:space="0"/>
            </w:tcBorders>
            <w:tcW w:w="1243" w:type="dxa"/>
            <w:vAlign w:val="center"/>
            <w:textDirection w:val="lrTb"/>
            <w:noWrap w:val="false"/>
          </w:tcPr>
          <w:p>
            <w:pPr>
              <w:pStyle w:val="857"/>
              <w:jc w:val="center"/>
              <w:spacing w:beforeAutospacing="0" w:afterAutospacing="0"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rPr>
              <w:t xml:space="preserve">业绩</w:t>
            </w:r>
            <w:r/>
          </w:p>
        </w:tc>
        <w:tc>
          <w:tcPr>
            <w:tcBorders>
              <w:top w:val="single" w:color="auto" w:sz="4" w:space="0"/>
              <w:left w:val="single" w:color="auto" w:sz="4" w:space="0"/>
              <w:right w:val="single" w:color="auto" w:sz="4" w:space="0"/>
            </w:tcBorders>
            <w:tcW w:w="720" w:type="dxa"/>
            <w:vAlign w:val="center"/>
            <w:textDirection w:val="lrTb"/>
            <w:noWrap w:val="false"/>
          </w:tcPr>
          <w:p>
            <w:pPr>
              <w:pStyle w:val="857"/>
              <w:jc w:val="center"/>
              <w:spacing w:beforeAutospacing="0" w:afterAutospacing="0"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rPr>
              <w:t xml:space="preserve">6</w:t>
            </w:r>
            <w:r/>
          </w:p>
        </w:tc>
        <w:tc>
          <w:tcPr>
            <w:tcBorders>
              <w:top w:val="single" w:color="auto" w:sz="4" w:space="0"/>
              <w:left w:val="single" w:color="auto" w:sz="4" w:space="0"/>
              <w:right w:val="single" w:color="auto" w:sz="4" w:space="0"/>
            </w:tcBorders>
            <w:tcW w:w="4456" w:type="dxa"/>
            <w:vAlign w:val="center"/>
            <w:textDirection w:val="lrTb"/>
            <w:noWrap w:val="false"/>
          </w:tcPr>
          <w:p>
            <w:pPr>
              <w:pStyle w:val="857"/>
              <w:ind w:firstLine="480"/>
              <w:jc w:val="both"/>
              <w:spacing w:beforeAutospacing="0" w:afterAutospacing="0" w:line="360" w:lineRule="exact"/>
              <w:rPr>
                <w:rFonts w:hint="eastAsia" w:ascii="宋体" w:hAnsi="宋体" w:eastAsia="宋体" w:cs="宋体"/>
                <w:color w:val="000000"/>
              </w:rPr>
            </w:pPr>
            <w:r>
              <w:rPr>
                <w:rFonts w:hint="eastAsia" w:ascii="宋体" w:hAnsi="宋体" w:eastAsia="宋体" w:cs="宋体"/>
                <w:color w:val="000000"/>
              </w:rPr>
              <w:t xml:space="preserve">投标人自202</w:t>
            </w:r>
            <w:r>
              <w:rPr>
                <w:rFonts w:hint="eastAsia" w:ascii="宋体" w:hAnsi="宋体" w:eastAsia="宋体" w:cs="宋体"/>
                <w:color w:val="000000"/>
                <w:lang w:val="en-US" w:eastAsia="zh-CN"/>
              </w:rPr>
              <w:t xml:space="preserve">0年</w:t>
            </w:r>
            <w:r>
              <w:rPr>
                <w:rFonts w:hint="eastAsia" w:ascii="宋体" w:hAnsi="宋体" w:eastAsia="宋体" w:cs="宋体"/>
                <w:color w:val="000000"/>
              </w:rPr>
              <w:t xml:space="preserve">以来</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以合同签订日期为准）具有二轮土地承包到期再延长三十年项目业绩或</w:t>
            </w:r>
            <w:r>
              <w:rPr>
                <w:rFonts w:hint="eastAsia" w:ascii="宋体" w:hAnsi="宋体" w:eastAsia="宋体" w:cs="宋体"/>
                <w:color w:val="000000"/>
                <w:lang w:val="en-US" w:eastAsia="zh-CN"/>
              </w:rPr>
              <w:t xml:space="preserve">土地权籍调查</w:t>
            </w:r>
            <w:r>
              <w:rPr>
                <w:rFonts w:hint="eastAsia" w:ascii="宋体" w:hAnsi="宋体" w:eastAsia="宋体" w:cs="宋体"/>
                <w:color w:val="000000"/>
              </w:rPr>
              <w:t xml:space="preserve">项目业绩的，每提供一个业绩得2分，最高得6分。</w:t>
            </w:r>
            <w:r/>
          </w:p>
          <w:p>
            <w:pPr>
              <w:pStyle w:val="857"/>
              <w:ind w:firstLine="480"/>
              <w:jc w:val="both"/>
              <w:spacing w:beforeAutospacing="0" w:afterAutospacing="0"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rPr>
              <w:t xml:space="preserve">【注：提供的合同原件扫描件加盖CA电子签章为准。】</w:t>
            </w:r>
            <w:r/>
          </w:p>
        </w:tc>
      </w:tr>
    </w:tbl>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pStyle w:val="857"/>
        <w:jc w:val="center"/>
        <w:keepNext/>
        <w:pageBreakBefore w:val="0"/>
        <w:spacing w:beforeAutospacing="0" w:afterAutospacing="0" w:line="240" w:lineRule="auto"/>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t xml:space="preserve">第六章  投标文件格式</w:t>
      </w:r>
      <w:r/>
    </w:p>
    <w:p>
      <w:pPr>
        <w:pStyle w:val="857"/>
        <w:jc w:val="center"/>
        <w:keepNext/>
        <w:pageBreakBefore w:val="0"/>
        <w:spacing w:beforeAutospacing="0" w:afterAutospacing="0" w:line="240" w:lineRule="auto"/>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57"/>
        <w:jc w:val="center"/>
        <w:keepNext/>
        <w:pageBreakBefore w:val="0"/>
        <w:spacing w:beforeAutospacing="0" w:afterAutospacing="0" w:line="240" w:lineRule="auto"/>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57"/>
        <w:jc w:val="center"/>
        <w:keepNext/>
        <w:pageBreakBefore w:val="0"/>
        <w:spacing w:beforeAutospacing="0" w:afterAutospacing="0" w:line="240" w:lineRule="auto"/>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57"/>
        <w:jc w:val="center"/>
        <w:keepNext/>
        <w:pageBreakBefore w:val="0"/>
        <w:spacing w:beforeAutospacing="0" w:afterAutospacing="0" w:line="240" w:lineRule="auto"/>
        <w:rPr>
          <w:highlight w:val="none"/>
        </w:rPr>
      </w:pPr>
      <w:r>
        <w:rPr>
          <w:rFonts w:hint="eastAsia" w:ascii="黑体" w:hAnsi="宋体" w:eastAsia="黑体" w:cs="黑体"/>
          <w:color w:val="000000"/>
          <w:sz w:val="44"/>
          <w:szCs w:val="44"/>
          <w:highlight w:val="none"/>
        </w:rPr>
        <w:t xml:space="preserve"> </w:t>
      </w:r>
      <w:r/>
    </w:p>
    <w:p>
      <w:pPr>
        <w:pStyle w:val="857"/>
        <w:jc w:val="center"/>
        <w:pageBreakBefore w:val="0"/>
        <w:spacing w:beforeAutospacing="0" w:afterAutospacing="0" w:line="240" w:lineRule="auto"/>
        <w:rPr>
          <w:highlight w:val="none"/>
        </w:rPr>
      </w:pPr>
      <w:r/>
      <w:bookmarkStart w:id="193" w:name="_Hlt26671244"/>
      <w:r/>
      <w:bookmarkEnd w:id="193"/>
      <w:r/>
      <w:bookmarkStart w:id="194" w:name="_Toc26554094"/>
      <w:r/>
      <w:bookmarkEnd w:id="194"/>
      <w:r/>
      <w:bookmarkStart w:id="195" w:name="_Hlt26955039"/>
      <w:r/>
      <w:bookmarkEnd w:id="195"/>
      <w:r/>
      <w:bookmarkStart w:id="196" w:name="_Toc120614282"/>
      <w:r/>
      <w:bookmarkStart w:id="197" w:name="_Toc49090576"/>
      <w:r>
        <w:rPr>
          <w:rFonts w:hint="eastAsia" w:ascii="宋体" w:hAnsi="宋体" w:eastAsia="宋体" w:cs="宋体"/>
          <w:b/>
          <w:color w:val="000000"/>
          <w:sz w:val="72"/>
          <w:szCs w:val="72"/>
          <w:highlight w:val="none"/>
        </w:rPr>
        <w:t xml:space="preserve">投  标  文  件</w:t>
      </w:r>
      <w:r/>
    </w:p>
    <w:p>
      <w:pPr>
        <w:pStyle w:val="857"/>
        <w:jc w:val="center"/>
        <w:pageBreakBefore w:val="0"/>
        <w:spacing w:beforeAutospacing="0" w:afterAutospacing="0" w:line="240" w:lineRule="auto"/>
        <w:rPr>
          <w:highlight w:val="none"/>
        </w:rPr>
      </w:pPr>
      <w:r>
        <w:rPr>
          <w:highlight w:val="none"/>
        </w:rPr>
        <w:t xml:space="preserve"> </w:t>
      </w:r>
      <w:r/>
    </w:p>
    <w:p>
      <w:pPr>
        <w:pStyle w:val="857"/>
        <w:jc w:val="center"/>
        <w:pageBreakBefore w:val="0"/>
        <w:spacing w:beforeAutospacing="0" w:afterAutospacing="0" w:line="240" w:lineRule="auto"/>
        <w:rPr>
          <w:highlight w:val="none"/>
        </w:rPr>
      </w:pPr>
      <w:r>
        <w:rPr>
          <w:highlight w:val="none"/>
        </w:rPr>
        <w:t xml:space="preserve"> </w:t>
      </w:r>
      <w:r/>
    </w:p>
    <w:p>
      <w:pPr>
        <w:pStyle w:val="857"/>
        <w:jc w:val="center"/>
        <w:pageBreakBefore w:val="0"/>
        <w:spacing w:beforeAutospacing="0" w:afterAutospacing="0" w:line="240" w:lineRule="auto"/>
        <w:rPr>
          <w:highlight w:val="none"/>
        </w:rPr>
      </w:pPr>
      <w:r>
        <w:rPr>
          <w:highlight w:val="none"/>
        </w:rPr>
        <w:t xml:space="preserve"> </w:t>
      </w:r>
      <w:r/>
    </w:p>
    <w:p>
      <w:pPr>
        <w:pStyle w:val="857"/>
        <w:jc w:val="center"/>
        <w:pageBreakBefore w:val="0"/>
        <w:spacing w:beforeAutospacing="0" w:afterAutospacing="0" w:line="240" w:lineRule="auto"/>
        <w:rPr>
          <w:highlight w:val="none"/>
        </w:rPr>
      </w:pPr>
      <w:r>
        <w:rPr>
          <w:highlight w:val="none"/>
        </w:rPr>
        <w:t xml:space="preserve"> </w:t>
      </w:r>
      <w:r/>
    </w:p>
    <w:p>
      <w:pPr>
        <w:pStyle w:val="857"/>
        <w:jc w:val="center"/>
        <w:pageBreakBefore w:val="0"/>
        <w:spacing w:beforeAutospacing="0" w:afterAutospacing="0" w:line="240" w:lineRule="auto"/>
        <w:rPr>
          <w:highlight w:val="none"/>
        </w:rPr>
      </w:pPr>
      <w:r>
        <w:rPr>
          <w:highlight w:val="none"/>
        </w:rPr>
        <w:t xml:space="preserve"> </w:t>
      </w:r>
      <w:r/>
    </w:p>
    <w:p>
      <w:pPr>
        <w:pStyle w:val="857"/>
        <w:ind w:firstLine="1084"/>
        <w:jc w:val="both"/>
        <w:pageBreakBefore w:val="0"/>
        <w:spacing w:beforeAutospacing="0" w:afterAutospacing="0" w:line="240" w:lineRule="auto"/>
        <w:rPr>
          <w:highlight w:val="none"/>
        </w:rPr>
      </w:pPr>
      <w:r>
        <w:rPr>
          <w:rFonts w:hint="eastAsia" w:ascii="宋体" w:hAnsi="宋体" w:eastAsia="宋体" w:cs="宋体"/>
          <w:b/>
          <w:color w:val="000000"/>
          <w:sz w:val="36"/>
          <w:szCs w:val="36"/>
          <w:highlight w:val="none"/>
        </w:rPr>
        <w:t xml:space="preserve">项目 名 称：</w:t>
      </w:r>
      <w:r>
        <w:rPr>
          <w:rFonts w:hint="eastAsia" w:ascii="宋体" w:hAnsi="宋体" w:eastAsia="宋体" w:cs="宋体"/>
          <w:b/>
          <w:color w:val="000000"/>
          <w:sz w:val="36"/>
          <w:szCs w:val="36"/>
          <w:highlight w:val="none"/>
          <w:u w:val="single"/>
        </w:rPr>
        <w:t xml:space="preserve">               </w:t>
      </w:r>
      <w:r/>
    </w:p>
    <w:p>
      <w:pPr>
        <w:pStyle w:val="857"/>
        <w:ind w:firstLine="1084"/>
        <w:jc w:val="both"/>
        <w:pageBreakBefore w:val="0"/>
        <w:spacing w:beforeAutospacing="0" w:afterAutospacing="0" w:line="240" w:lineRule="auto"/>
        <w:rPr>
          <w:highlight w:val="none"/>
        </w:rPr>
      </w:pPr>
      <w:r>
        <w:rPr>
          <w:rFonts w:hint="eastAsia" w:ascii="宋体" w:hAnsi="宋体" w:eastAsia="宋体" w:cs="宋体"/>
          <w:b/>
          <w:color w:val="000000"/>
          <w:sz w:val="36"/>
          <w:szCs w:val="36"/>
          <w:highlight w:val="none"/>
        </w:rPr>
        <w:t xml:space="preserve">项目 编 号：</w:t>
      </w:r>
      <w:r>
        <w:rPr>
          <w:rFonts w:hint="eastAsia" w:ascii="宋体" w:hAnsi="宋体" w:eastAsia="宋体" w:cs="宋体"/>
          <w:b/>
          <w:color w:val="000000"/>
          <w:sz w:val="36"/>
          <w:szCs w:val="36"/>
          <w:highlight w:val="none"/>
          <w:u w:val="single"/>
        </w:rPr>
        <w:t xml:space="preserve">               </w:t>
      </w:r>
      <w:r/>
    </w:p>
    <w:p>
      <w:pPr>
        <w:pStyle w:val="857"/>
        <w:jc w:val="both"/>
        <w:pageBreakBefore w:val="0"/>
        <w:spacing w:beforeAutospacing="0" w:afterAutospacing="0" w:line="240" w:lineRule="auto"/>
        <w:rPr>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        </w:t>
      </w:r>
      <w:r/>
    </w:p>
    <w:p>
      <w:pPr>
        <w:pStyle w:val="857"/>
        <w:jc w:val="both"/>
        <w:pageBreakBefore w:val="0"/>
        <w:spacing w:beforeAutospacing="0" w:afterAutospacing="0" w:line="240" w:lineRule="auto"/>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857"/>
        <w:jc w:val="center"/>
        <w:pageBreakBefore w:val="0"/>
        <w:spacing w:beforeAutospacing="0" w:afterAutospacing="0" w:line="240" w:lineRule="auto"/>
        <w:rPr>
          <w:highlight w:val="none"/>
        </w:rPr>
      </w:pPr>
      <w:r>
        <w:rPr>
          <w:highlight w:val="none"/>
        </w:rPr>
        <w:t xml:space="preserve"> </w:t>
      </w:r>
      <w:r/>
    </w:p>
    <w:p>
      <w:pPr>
        <w:pStyle w:val="857"/>
        <w:jc w:val="both"/>
        <w:pageBreakBefore w:val="0"/>
        <w:spacing w:beforeAutospacing="0" w:afterAutospacing="0" w:line="240" w:lineRule="auto"/>
        <w:rPr>
          <w:highlight w:val="none"/>
        </w:rPr>
      </w:pPr>
      <w:r>
        <w:rPr>
          <w:highlight w:val="none"/>
        </w:rPr>
        <w:t xml:space="preserve"> </w:t>
      </w:r>
      <w:r/>
    </w:p>
    <w:p>
      <w:pPr>
        <w:pStyle w:val="857"/>
        <w:jc w:val="center"/>
        <w:pageBreakBefore w:val="0"/>
        <w:spacing w:beforeAutospacing="0" w:afterAutospacing="0" w:line="240" w:lineRule="auto"/>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57"/>
        <w:jc w:val="center"/>
        <w:pageBreakBefore w:val="0"/>
        <w:spacing w:beforeAutospacing="0" w:afterAutospacing="0" w:line="240" w:lineRule="auto"/>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57"/>
        <w:jc w:val="center"/>
        <w:pageBreakBefore w:val="0"/>
        <w:spacing w:beforeAutospacing="0" w:afterAutospacing="0" w:line="240" w:lineRule="auto"/>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57"/>
        <w:jc w:val="center"/>
        <w:pageBreakBefore w:val="0"/>
        <w:spacing w:beforeAutospacing="0" w:afterAutospacing="0" w:line="240" w:lineRule="auto"/>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57"/>
        <w:jc w:val="center"/>
        <w:pageBreakBefore w:val="0"/>
        <w:spacing w:beforeAutospacing="0" w:afterAutospacing="0" w:line="240" w:lineRule="auto"/>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ageBreakBefore w:val="0"/>
        <w:spacing w:line="240" w:lineRule="auto"/>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pStyle w:val="857"/>
        <w:jc w:val="center"/>
        <w:pageBreakBefore w:val="0"/>
        <w:spacing w:beforeAutospacing="0" w:afterAutospacing="0" w:line="240" w:lineRule="auto"/>
        <w:rPr>
          <w:highlight w:val="none"/>
        </w:rPr>
      </w:pPr>
      <w:r>
        <w:rPr>
          <w:rFonts w:hint="eastAsia" w:ascii="宋体" w:hAnsi="宋体" w:eastAsia="宋体" w:cs="宋体"/>
          <w:b/>
          <w:color w:val="000000"/>
          <w:sz w:val="32"/>
          <w:szCs w:val="32"/>
          <w:highlight w:val="none"/>
        </w:rPr>
        <w:t xml:space="preserve">投标文件目录</w:t>
      </w:r>
      <w:r/>
    </w:p>
    <w:p>
      <w:pPr>
        <w:pStyle w:val="857"/>
        <w:ind w:left="480"/>
        <w:jc w:val="both"/>
        <w:pageBreakBefore w:val="0"/>
        <w:spacing w:beforeAutospacing="0" w:afterAutospacing="0" w:line="24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r>
      <w:r/>
    </w:p>
    <w:p>
      <w:pPr>
        <w:pStyle w:val="857"/>
        <w:ind w:left="480"/>
        <w:jc w:val="both"/>
        <w:pageBreakBefore w:val="0"/>
        <w:spacing w:beforeAutospacing="0" w:afterAutospacing="0" w:line="24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firstLine="480"/>
        <w:jc w:val="left"/>
        <w:pageBreakBefore w:val="0"/>
        <w:spacing w:line="240" w:lineRule="auto"/>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二、上一年度的财务状况报表（至少提供资产负债表、利润表、现金流量表，</w:t>
      </w:r>
      <w:r/>
    </w:p>
    <w:p>
      <w:pPr>
        <w:pStyle w:val="857"/>
        <w:jc w:val="both"/>
        <w:pageBreakBefore w:val="0"/>
        <w:spacing w:beforeAutospacing="0" w:afterAutospacing="0" w:line="240" w:lineRule="auto"/>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投标人成立不满一年无需提供）</w:t>
      </w:r>
      <w:r/>
    </w:p>
    <w:p>
      <w:pPr>
        <w:pStyle w:val="857"/>
        <w:ind w:left="480"/>
        <w:jc w:val="both"/>
        <w:pageBreakBefore w:val="0"/>
        <w:spacing w:beforeAutospacing="0" w:afterAutospacing="0" w:line="24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857"/>
        <w:ind w:firstLine="480"/>
        <w:jc w:val="both"/>
        <w:pageBreakBefore w:val="0"/>
        <w:spacing w:beforeAutospacing="0" w:afterAutospacing="0" w:line="24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57"/>
        <w:ind w:firstLine="480"/>
        <w:jc w:val="both"/>
        <w:pageBreakBefore w:val="0"/>
        <w:spacing w:beforeAutospacing="0" w:afterAutospacing="0" w:line="24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857"/>
        <w:ind w:firstLine="480"/>
        <w:jc w:val="both"/>
        <w:pageBreakBefore w:val="0"/>
        <w:spacing w:beforeAutospacing="0" w:afterAutospacing="0" w:line="360" w:lineRule="exact"/>
        <w:rPr>
          <w:rFonts w:hint="eastAsia" w:ascii="宋体" w:hAnsi="宋体" w:eastAsia="宋体" w:cs="宋体"/>
          <w:color w:val="000000"/>
          <w:sz w:val="24"/>
          <w:szCs w:val="24"/>
          <w:highlight w:val="none"/>
          <w:lang w:eastAsia="zh-CN"/>
        </w:rPr>
      </w:pPr>
      <w:r>
        <w:rPr>
          <w:rFonts w:hint="eastAsia" w:ascii="宋体" w:hAnsi="宋体" w:eastAsia="宋体" w:cs="宋体"/>
          <w:i w:val="0"/>
          <w:iCs/>
          <w:color w:val="000000"/>
          <w:highlight w:val="none"/>
          <w:u w:val="none"/>
        </w:rPr>
        <w:t xml:space="preserve">六、</w:t>
      </w:r>
      <w:r>
        <w:rPr>
          <w:rFonts w:hint="eastAsia" w:ascii="宋体" w:hAnsi="宋体" w:eastAsia="宋体" w:cs="宋体"/>
          <w:color w:val="000000"/>
          <w:sz w:val="24"/>
          <w:szCs w:val="24"/>
          <w:highlight w:val="none"/>
        </w:rPr>
        <w:t xml:space="preserve">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格式自拟</w:t>
      </w:r>
      <w:r>
        <w:rPr>
          <w:rFonts w:hint="eastAsia" w:ascii="宋体" w:hAnsi="宋体" w:eastAsia="宋体" w:cs="宋体"/>
          <w:color w:val="000000"/>
          <w:sz w:val="24"/>
          <w:szCs w:val="24"/>
          <w:highlight w:val="none"/>
          <w:lang w:eastAsia="zh-CN"/>
        </w:rPr>
        <w:t xml:space="preserve">）</w:t>
      </w:r>
      <w:r/>
    </w:p>
    <w:p>
      <w:pPr>
        <w:pStyle w:val="857"/>
        <w:ind w:firstLine="480"/>
        <w:jc w:val="both"/>
        <w:pageBreakBefore w:val="0"/>
        <w:spacing w:beforeAutospacing="0" w:afterAutospacing="0" w:line="240" w:lineRule="auto"/>
        <w:rPr>
          <w:rFonts w:hint="eastAsia" w:cs="Times New Roman"/>
          <w:color w:val="auto"/>
          <w:sz w:val="24"/>
          <w:szCs w:val="22"/>
          <w:highlight w:val="none"/>
          <w:lang w:val="en-US" w:eastAsia="zh-CN" w:bidi="ar-SA"/>
        </w:rPr>
      </w:pPr>
      <w:r>
        <w:rPr>
          <w:rFonts w:hint="eastAsia" w:cs="Times New Roman"/>
          <w:color w:val="auto"/>
          <w:sz w:val="24"/>
          <w:szCs w:val="22"/>
          <w:highlight w:val="none"/>
          <w:lang w:val="en-US" w:eastAsia="zh-CN" w:bidi="ar-SA"/>
        </w:rPr>
        <w:t xml:space="preserve">七、投标人法定代表人身份证明和投标文件签署授权委托书（另附法定代表人和被授权人的身份证复印件）</w:t>
      </w:r>
      <w:r/>
    </w:p>
    <w:p>
      <w:pPr>
        <w:pStyle w:val="857"/>
        <w:ind w:left="480"/>
        <w:jc w:val="both"/>
        <w:pageBreakBefore w:val="0"/>
        <w:spacing w:beforeAutospacing="0" w:afterAutospacing="0" w:line="240" w:lineRule="auto"/>
        <w:rPr>
          <w:rFonts w:hint="eastAsia" w:cs="Times New Roman"/>
          <w:color w:val="auto"/>
          <w:sz w:val="24"/>
          <w:szCs w:val="22"/>
          <w:highlight w:val="none"/>
          <w:lang w:val="en-US" w:eastAsia="zh-CN" w:bidi="ar-SA"/>
        </w:rPr>
      </w:pPr>
      <w:r>
        <w:rPr>
          <w:rFonts w:hint="eastAsia" w:cs="Times New Roman"/>
          <w:color w:val="auto"/>
          <w:sz w:val="24"/>
          <w:szCs w:val="22"/>
          <w:highlight w:val="none"/>
          <w:lang w:val="en-US" w:eastAsia="zh-CN" w:bidi="ar-SA"/>
        </w:rPr>
        <w:t xml:space="preserve">八、投标人为被授权人缴纳的社会养老保险证明</w:t>
      </w:r>
      <w:r/>
    </w:p>
    <w:p>
      <w:pPr>
        <w:pStyle w:val="857"/>
        <w:ind w:left="480"/>
        <w:jc w:val="both"/>
        <w:pageBreakBefore w:val="0"/>
        <w:spacing w:beforeAutospacing="0" w:afterAutospacing="0" w:line="240" w:lineRule="auto"/>
        <w:rPr>
          <w:rFonts w:hint="eastAsia" w:eastAsia="宋体" w:cs="Times New Roman"/>
          <w:color w:val="auto"/>
          <w:sz w:val="24"/>
          <w:szCs w:val="22"/>
          <w:highlight w:val="none"/>
          <w:lang w:val="en-US" w:eastAsia="zh-CN" w:bidi="ar-SA"/>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000000"/>
          <w:highlight w:val="none"/>
          <w:u w:val="none"/>
          <w:lang w:eastAsia="zh-CN"/>
        </w:rPr>
        <w:t xml:space="preserve">、</w:t>
      </w:r>
      <w:r>
        <w:rPr>
          <w:rFonts w:hint="eastAsia" w:ascii="宋体" w:hAnsi="宋体" w:eastAsia="宋体" w:cs="宋体"/>
          <w:i w:val="0"/>
          <w:iCs/>
          <w:color w:val="000000"/>
          <w:highlight w:val="none"/>
          <w:u w:val="none"/>
        </w:rPr>
        <w:t xml:space="preserve">特定资格要求的证明文件</w:t>
      </w:r>
      <w:r/>
    </w:p>
    <w:p>
      <w:pPr>
        <w:pStyle w:val="857"/>
        <w:ind w:left="480"/>
        <w:jc w:val="both"/>
        <w:pageBreakBefore w:val="0"/>
        <w:spacing w:beforeAutospacing="0" w:afterAutospacing="0" w:line="24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十</w:t>
      </w:r>
      <w:r>
        <w:rPr>
          <w:rFonts w:hint="eastAsia" w:ascii="宋体" w:hAnsi="宋体" w:eastAsia="宋体" w:cs="宋体"/>
          <w:i w:val="0"/>
          <w:iCs/>
          <w:color w:val="000000"/>
          <w:highlight w:val="none"/>
          <w:u w:val="none"/>
        </w:rPr>
        <w:t xml:space="preserve">、投标函</w:t>
      </w:r>
      <w:r/>
    </w:p>
    <w:p>
      <w:pPr>
        <w:pStyle w:val="857"/>
        <w:ind w:firstLine="480"/>
        <w:jc w:val="both"/>
        <w:pageBreakBefore w:val="0"/>
        <w:spacing w:beforeAutospacing="0" w:afterAutospacing="0" w:line="240" w:lineRule="auto"/>
        <w:rPr>
          <w:rFonts w:hint="eastAsia" w:ascii="宋体" w:hAnsi="宋体" w:eastAsia="宋体" w:cs="宋体"/>
          <w:i w:val="0"/>
          <w:iCs/>
          <w:color w:val="auto"/>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一</w:t>
      </w:r>
      <w:r>
        <w:rPr>
          <w:rFonts w:hint="eastAsia" w:ascii="宋体" w:hAnsi="宋体" w:eastAsia="宋体" w:cs="宋体"/>
          <w:i w:val="0"/>
          <w:iCs/>
          <w:color w:val="000000"/>
          <w:highlight w:val="none"/>
          <w:u w:val="none"/>
        </w:rPr>
        <w:t xml:space="preserve">、</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rPr>
          <w:rFonts w:hint="eastAsia" w:ascii="宋体" w:hAnsi="宋体" w:eastAsia="宋体" w:cs="宋体"/>
          <w:i w:val="0"/>
          <w:iCs/>
          <w:color w:val="auto"/>
          <w:highlight w:val="none"/>
          <w:u w:val="none"/>
          <w:lang w:eastAsia="zh-CN"/>
        </w:rPr>
        <w:t xml:space="preserve">（如有）</w:t>
      </w:r>
      <w:r/>
    </w:p>
    <w:p>
      <w:pPr>
        <w:pStyle w:val="857"/>
        <w:ind w:firstLine="480"/>
        <w:jc w:val="both"/>
        <w:pageBreakBefore w:val="0"/>
        <w:spacing w:beforeAutospacing="0" w:afterAutospacing="0" w:line="240" w:lineRule="auto"/>
        <w:rPr>
          <w:rFonts w:hint="eastAsia" w:ascii="宋体" w:hAnsi="宋体" w:eastAsia="宋体" w:cs="宋体"/>
          <w:i w:val="0"/>
          <w:iCs/>
          <w:color w:val="auto"/>
          <w:highlight w:val="none"/>
          <w:u w:val="none"/>
          <w:lang w:eastAsia="zh-CN"/>
        </w:rPr>
      </w:pPr>
      <w:r>
        <w:rPr>
          <w:rFonts w:hint="eastAsia" w:ascii="宋体" w:hAnsi="宋体" w:eastAsia="宋体" w:cs="宋体"/>
          <w:i w:val="0"/>
          <w:iCs/>
          <w:color w:val="auto"/>
          <w:highlight w:val="none"/>
          <w:u w:val="none"/>
          <w:lang w:eastAsia="zh-CN"/>
        </w:rPr>
        <w:t xml:space="preserve">十</w:t>
      </w:r>
      <w:r>
        <w:rPr>
          <w:rFonts w:hint="eastAsia" w:ascii="宋体" w:hAnsi="宋体" w:eastAsia="宋体" w:cs="宋体"/>
          <w:i w:val="0"/>
          <w:iCs/>
          <w:color w:val="auto"/>
          <w:highlight w:val="none"/>
          <w:u w:val="none"/>
          <w:lang w:val="en-US" w:eastAsia="zh-CN"/>
        </w:rPr>
        <w:t xml:space="preserve">二</w:t>
      </w:r>
      <w:r>
        <w:rPr>
          <w:rFonts w:hint="eastAsia" w:ascii="宋体" w:hAnsi="宋体" w:eastAsia="宋体" w:cs="宋体"/>
          <w:i w:val="0"/>
          <w:iCs/>
          <w:color w:val="auto"/>
          <w:highlight w:val="none"/>
          <w:u w:val="none"/>
          <w:lang w:eastAsia="zh-CN"/>
        </w:rPr>
        <w:t xml:space="preserve">、残疾人福利性单位声明函（如有）</w:t>
      </w:r>
      <w:r/>
    </w:p>
    <w:p>
      <w:pPr>
        <w:pStyle w:val="857"/>
        <w:ind w:firstLine="480"/>
        <w:jc w:val="both"/>
        <w:pageBreakBefore w:val="0"/>
        <w:spacing w:beforeAutospacing="0" w:afterAutospacing="0" w:line="240" w:lineRule="auto"/>
        <w:rPr>
          <w:rFonts w:hint="eastAsia" w:cs="Times New Roman"/>
          <w:color w:val="auto"/>
          <w:sz w:val="24"/>
          <w:szCs w:val="22"/>
          <w:highlight w:val="none"/>
          <w:lang w:val="en-US" w:eastAsia="zh-CN" w:bidi="ar-SA"/>
        </w:rPr>
      </w:pPr>
      <w:r>
        <w:rPr>
          <w:rFonts w:hint="eastAsia" w:ascii="宋体" w:hAnsi="宋体" w:eastAsia="宋体" w:cs="宋体"/>
          <w:i w:val="0"/>
          <w:iCs/>
          <w:color w:val="000000"/>
          <w:highlight w:val="none"/>
          <w:u w:val="none"/>
          <w:lang w:eastAsia="zh-CN"/>
        </w:rPr>
        <w:t xml:space="preserve">十</w:t>
      </w: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、联合体协议</w:t>
      </w:r>
      <w:r>
        <w:rPr>
          <w:rFonts w:hint="eastAsia" w:ascii="宋体" w:hAnsi="宋体" w:eastAsia="宋体" w:cs="宋体"/>
          <w:i w:val="0"/>
          <w:iCs/>
          <w:color w:val="000000"/>
          <w:highlight w:val="none"/>
          <w:u w:val="none"/>
          <w:lang w:eastAsia="zh-CN"/>
        </w:rPr>
        <w:t xml:space="preserve">（如有）</w:t>
      </w:r>
      <w:r/>
    </w:p>
    <w:p>
      <w:pPr>
        <w:pStyle w:val="857"/>
        <w:ind w:firstLine="480"/>
        <w:jc w:val="both"/>
        <w:pageBreakBefore w:val="0"/>
        <w:spacing w:beforeAutospacing="0" w:afterAutospacing="0" w:line="240" w:lineRule="auto"/>
        <w:rPr>
          <w:rFonts w:hint="eastAsia" w:ascii="宋体" w:hAnsi="宋体" w:eastAsia="宋体" w:cs="宋体"/>
          <w:i w:val="0"/>
          <w:iCs/>
          <w:color w:val="000000"/>
          <w:highlight w:val="none"/>
          <w:u w:val="none"/>
          <w:lang w:eastAsia="zh-CN"/>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w:t>
      </w:r>
      <w:r>
        <w:rPr>
          <w:rFonts w:hint="eastAsia" w:cs="Times New Roman"/>
          <w:color w:val="auto"/>
          <w:sz w:val="24"/>
          <w:szCs w:val="22"/>
          <w:highlight w:val="none"/>
          <w:lang w:val="en-US" w:eastAsia="zh-CN" w:bidi="ar-SA"/>
        </w:rPr>
        <w:t xml:space="preserve">投标人的服务承诺</w:t>
      </w:r>
      <w:r/>
    </w:p>
    <w:p>
      <w:pPr>
        <w:pStyle w:val="857"/>
        <w:ind w:firstLine="480"/>
        <w:jc w:val="both"/>
        <w:pageBreakBefore w:val="0"/>
        <w:spacing w:beforeAutospacing="0" w:afterAutospacing="0" w:line="24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五</w:t>
      </w:r>
      <w:r>
        <w:rPr>
          <w:rFonts w:hint="eastAsia" w:ascii="宋体" w:hAnsi="宋体" w:eastAsia="宋体" w:cs="宋体"/>
          <w:i w:val="0"/>
          <w:iCs/>
          <w:color w:val="000000"/>
          <w:highlight w:val="none"/>
          <w:u w:val="none"/>
        </w:rPr>
        <w:t xml:space="preserve">、投标分项报价表</w:t>
      </w:r>
      <w:r/>
    </w:p>
    <w:p>
      <w:pPr>
        <w:pStyle w:val="857"/>
        <w:ind w:firstLine="480"/>
        <w:jc w:val="both"/>
        <w:pageBreakBefore w:val="0"/>
        <w:spacing w:beforeAutospacing="0" w:afterAutospacing="0" w:line="240" w:lineRule="auto"/>
        <w:rPr>
          <w:rFonts w:hint="eastAsia" w:ascii="宋体" w:hAnsi="宋体" w:eastAsia="宋体" w:cs="宋体"/>
          <w:i w:val="0"/>
          <w:iCs/>
          <w:color w:val="000000"/>
          <w:highlight w:val="none"/>
          <w:u w:val="none"/>
          <w:lang w:eastAsia="zh-CN"/>
        </w:rPr>
      </w:pPr>
      <w:r>
        <w:rPr>
          <w:rFonts w:hint="eastAsia" w:ascii="宋体" w:hAnsi="宋体" w:eastAsia="宋体" w:cs="宋体"/>
          <w:i w:val="0"/>
          <w:iCs/>
          <w:color w:val="000000"/>
          <w:highlight w:val="none"/>
          <w:u w:val="none"/>
          <w:lang w:eastAsia="zh-CN"/>
        </w:rPr>
        <w:t xml:space="preserve">十</w:t>
      </w:r>
      <w:r>
        <w:rPr>
          <w:rFonts w:hint="eastAsia" w:ascii="宋体" w:hAnsi="宋体" w:eastAsia="宋体" w:cs="宋体"/>
          <w:i w:val="0"/>
          <w:iCs/>
          <w:color w:val="000000"/>
          <w:highlight w:val="none"/>
          <w:u w:val="none"/>
          <w:lang w:val="en-US" w:eastAsia="zh-CN"/>
        </w:rPr>
        <w:t xml:space="preserve">六</w:t>
      </w:r>
      <w:r>
        <w:rPr>
          <w:rFonts w:hint="eastAsia" w:ascii="宋体" w:hAnsi="宋体" w:eastAsia="宋体" w:cs="宋体"/>
          <w:i w:val="0"/>
          <w:iCs/>
          <w:color w:val="000000"/>
          <w:highlight w:val="none"/>
          <w:u w:val="none"/>
          <w:lang w:eastAsia="zh-CN"/>
        </w:rPr>
        <w:t xml:space="preserve">、技术要求响应及偏离表</w:t>
      </w:r>
      <w:r/>
    </w:p>
    <w:p>
      <w:pPr>
        <w:pStyle w:val="857"/>
        <w:ind w:firstLine="480"/>
        <w:jc w:val="both"/>
        <w:pageBreakBefore w:val="0"/>
        <w:spacing w:beforeAutospacing="0" w:afterAutospacing="0" w:line="240" w:lineRule="auto"/>
        <w:rPr>
          <w:rFonts w:hint="eastAsia" w:ascii="宋体" w:hAnsi="宋体" w:eastAsia="宋体" w:cs="宋体"/>
          <w:i w:val="0"/>
          <w:iCs/>
          <w:color w:val="000000"/>
          <w:highlight w:val="none"/>
          <w:u w:val="none"/>
          <w:lang w:eastAsia="zh-CN"/>
        </w:rPr>
      </w:pPr>
      <w:r>
        <w:rPr>
          <w:rFonts w:hint="eastAsia" w:ascii="宋体" w:hAnsi="宋体" w:eastAsia="宋体" w:cs="宋体"/>
          <w:i w:val="0"/>
          <w:iCs/>
          <w:color w:val="000000"/>
          <w:highlight w:val="none"/>
          <w:u w:val="none"/>
          <w:lang w:eastAsia="zh-CN"/>
        </w:rPr>
        <w:t xml:space="preserve">十</w:t>
      </w:r>
      <w:r>
        <w:rPr>
          <w:rFonts w:hint="eastAsia" w:ascii="宋体" w:hAnsi="宋体" w:eastAsia="宋体" w:cs="宋体"/>
          <w:i w:val="0"/>
          <w:iCs/>
          <w:color w:val="000000"/>
          <w:highlight w:val="none"/>
          <w:u w:val="none"/>
          <w:lang w:val="en-US" w:eastAsia="zh-CN"/>
        </w:rPr>
        <w:t xml:space="preserve">七</w:t>
      </w:r>
      <w:r>
        <w:rPr>
          <w:rFonts w:hint="eastAsia" w:ascii="宋体" w:hAnsi="宋体" w:eastAsia="宋体" w:cs="宋体"/>
          <w:i w:val="0"/>
          <w:iCs/>
          <w:color w:val="000000"/>
          <w:highlight w:val="none"/>
          <w:u w:val="none"/>
          <w:lang w:eastAsia="zh-CN"/>
        </w:rPr>
        <w:t xml:space="preserve">、商务要求响应及偏离表</w:t>
      </w:r>
      <w:r/>
    </w:p>
    <w:p>
      <w:pPr>
        <w:pStyle w:val="857"/>
        <w:ind w:firstLine="480"/>
        <w:jc w:val="both"/>
        <w:pageBreakBefore w:val="0"/>
        <w:spacing w:beforeAutospacing="0" w:afterAutospacing="0" w:line="240" w:lineRule="auto"/>
        <w:rPr>
          <w:rFonts w:hint="eastAsia" w:ascii="宋体" w:hAnsi="宋体" w:eastAsia="宋体" w:cs="宋体"/>
          <w:i w:val="0"/>
          <w:iCs/>
          <w:color w:val="000000"/>
          <w:highlight w:val="none"/>
          <w:u w:val="none"/>
          <w:lang w:eastAsia="zh-CN"/>
        </w:rPr>
      </w:pPr>
      <w:r>
        <w:rPr>
          <w:rFonts w:hint="eastAsia" w:ascii="宋体" w:hAnsi="宋体" w:eastAsia="宋体" w:cs="宋体"/>
          <w:i w:val="0"/>
          <w:iCs/>
          <w:color w:val="000000"/>
          <w:highlight w:val="none"/>
          <w:u w:val="none"/>
          <w:lang w:eastAsia="zh-CN"/>
        </w:rPr>
        <w:t xml:space="preserve">十</w:t>
      </w:r>
      <w:r>
        <w:rPr>
          <w:rFonts w:hint="eastAsia" w:ascii="宋体" w:hAnsi="宋体" w:eastAsia="宋体" w:cs="宋体"/>
          <w:i w:val="0"/>
          <w:iCs/>
          <w:color w:val="000000"/>
          <w:highlight w:val="none"/>
          <w:u w:val="none"/>
          <w:lang w:val="en-US" w:eastAsia="zh-CN"/>
        </w:rPr>
        <w:t xml:space="preserve">八</w:t>
      </w:r>
      <w:r>
        <w:rPr>
          <w:rFonts w:hint="eastAsia" w:ascii="宋体" w:hAnsi="宋体" w:eastAsia="宋体" w:cs="宋体"/>
          <w:i w:val="0"/>
          <w:iCs/>
          <w:color w:val="000000"/>
          <w:highlight w:val="none"/>
          <w:u w:val="none"/>
          <w:lang w:eastAsia="zh-CN"/>
        </w:rPr>
        <w:t xml:space="preserve">、供应商拟投入本项目服务人员一览表</w:t>
      </w:r>
      <w:r/>
    </w:p>
    <w:p>
      <w:pPr>
        <w:pStyle w:val="857"/>
        <w:ind w:firstLine="480"/>
        <w:jc w:val="both"/>
        <w:pageBreakBefore w:val="0"/>
        <w:spacing w:beforeAutospacing="0" w:afterAutospacing="0" w:line="240" w:lineRule="auto"/>
        <w:rPr>
          <w:rFonts w:hint="eastAsia" w:ascii="宋体" w:hAnsi="宋体" w:eastAsia="宋体" w:cs="宋体"/>
          <w:i w:val="0"/>
          <w:iCs/>
          <w:color w:val="000000"/>
          <w:highlight w:val="none"/>
          <w:u w:val="none"/>
          <w:lang w:eastAsia="zh-CN"/>
        </w:rPr>
      </w:pPr>
      <w:r>
        <w:rPr>
          <w:rFonts w:hint="eastAsia" w:ascii="宋体" w:hAnsi="宋体" w:eastAsia="宋体" w:cs="宋体"/>
          <w:i w:val="0"/>
          <w:iCs/>
          <w:color w:val="000000"/>
          <w:highlight w:val="none"/>
          <w:u w:val="none"/>
          <w:lang w:val="en-US" w:eastAsia="zh-CN"/>
        </w:rPr>
        <w:t xml:space="preserve">十九</w:t>
      </w:r>
      <w:r>
        <w:rPr>
          <w:rFonts w:hint="eastAsia" w:ascii="宋体" w:hAnsi="宋体" w:eastAsia="宋体" w:cs="宋体"/>
          <w:i w:val="0"/>
          <w:iCs/>
          <w:color w:val="000000"/>
          <w:highlight w:val="none"/>
          <w:u w:val="none"/>
          <w:lang w:eastAsia="zh-CN"/>
        </w:rPr>
        <w:t xml:space="preserve">、盐城市政府采购事前信用承诺书</w:t>
      </w:r>
      <w:r/>
    </w:p>
    <w:p>
      <w:pPr>
        <w:pStyle w:val="857"/>
        <w:ind w:firstLine="480"/>
        <w:jc w:val="both"/>
        <w:pageBreakBefore w:val="0"/>
        <w:spacing w:beforeAutospacing="0" w:afterAutospacing="0" w:line="240" w:lineRule="auto"/>
        <w:rPr>
          <w:rFonts w:hint="eastAsia" w:ascii="宋体" w:hAnsi="宋体" w:eastAsia="宋体" w:cs="宋体"/>
          <w:i w:val="0"/>
          <w:iCs/>
          <w:color w:val="000000"/>
          <w:highlight w:val="none"/>
          <w:u w:val="none"/>
          <w:lang w:eastAsia="zh-CN"/>
        </w:rPr>
      </w:pPr>
      <w:r>
        <w:rPr>
          <w:rFonts w:hint="eastAsia" w:ascii="宋体" w:hAnsi="宋体" w:eastAsia="宋体" w:cs="宋体"/>
          <w:i w:val="0"/>
          <w:iCs/>
          <w:color w:val="000000"/>
          <w:highlight w:val="none"/>
          <w:u w:val="none"/>
          <w:lang w:eastAsia="zh-CN"/>
        </w:rPr>
        <w:t xml:space="preserve">二十、与评审有关的其他材料</w:t>
      </w:r>
      <w:r/>
    </w:p>
    <w:p>
      <w:pPr>
        <w:pStyle w:val="857"/>
        <w:ind w:firstLine="480"/>
        <w:jc w:val="both"/>
        <w:pageBreakBefore w:val="0"/>
        <w:spacing w:beforeAutospacing="0" w:afterAutospacing="0" w:line="240" w:lineRule="auto"/>
        <w:rPr>
          <w:rFonts w:ascii="宋体" w:hAnsi="宋体" w:eastAsia="宋体" w:cs="宋体"/>
          <w:color w:val="000000"/>
          <w:highlight w:val="none"/>
        </w:rPr>
      </w:pPr>
      <w:r>
        <w:rPr>
          <w:rFonts w:ascii="宋体" w:hAnsi="宋体" w:eastAsia="宋体" w:cs="宋体"/>
          <w:color w:val="000000"/>
          <w:highlight w:val="none"/>
        </w:rPr>
      </w:r>
      <w:r/>
    </w:p>
    <w:p>
      <w:pPr>
        <w:pStyle w:val="857"/>
        <w:ind w:firstLine="480"/>
        <w:jc w:val="both"/>
        <w:pageBreakBefore w:val="0"/>
        <w:spacing w:beforeAutospacing="0" w:afterAutospacing="0" w:line="240" w:lineRule="auto"/>
        <w:rPr>
          <w:highlight w:val="none"/>
        </w:rPr>
      </w:pPr>
      <w:r>
        <w:rPr>
          <w:highlight w:val="none"/>
        </w:rPr>
      </w:r>
      <w:r/>
    </w:p>
    <w:p>
      <w:pPr>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br w:type="page" w:clear="all"/>
      </w:r>
      <w:r/>
    </w:p>
    <w:p>
      <w:pPr>
        <w:pStyle w:val="857"/>
        <w:jc w:val="both"/>
        <w:pageBreakBefore w:val="0"/>
        <w:spacing w:beforeAutospacing="0" w:afterAutospacing="0" w:line="240" w:lineRule="auto"/>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857"/>
        <w:jc w:val="both"/>
        <w:pageBreakBefore w:val="0"/>
        <w:spacing w:beforeAutospacing="0" w:afterAutospacing="0" w:line="240" w:lineRule="auto"/>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表</w:t>
      </w:r>
      <w:r/>
    </w:p>
    <w:p>
      <w:pPr>
        <w:jc w:val="left"/>
        <w:pageBreakBefore w:val="0"/>
        <w:spacing w:line="240" w:lineRule="auto"/>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（至少提供资产负债表、利润表、现金流量表，投标人成立不满一年无需提供）</w:t>
      </w:r>
      <w:r/>
    </w:p>
    <w:p>
      <w:pPr>
        <w:pStyle w:val="857"/>
        <w:jc w:val="both"/>
        <w:pageBreakBefore w:val="0"/>
        <w:spacing w:beforeAutospacing="0" w:afterAutospacing="0" w:line="240" w:lineRule="auto"/>
        <w:rPr>
          <w:highlight w:val="none"/>
        </w:rPr>
      </w:pPr>
      <w:r>
        <w:rPr>
          <w:highlight w:val="none"/>
        </w:rPr>
        <w:t xml:space="preserve">  </w:t>
      </w: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857"/>
        <w:ind w:firstLine="492"/>
        <w:jc w:val="both"/>
        <w:pageBreakBefore w:val="0"/>
        <w:spacing w:beforeAutospacing="0" w:afterAutospacing="0" w:line="240" w:lineRule="auto"/>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857"/>
        <w:ind w:firstLine="492"/>
        <w:jc w:val="both"/>
        <w:pageBreakBefore w:val="0"/>
        <w:spacing w:beforeAutospacing="0" w:afterAutospacing="0" w:line="240" w:lineRule="auto"/>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57"/>
        <w:jc w:val="both"/>
        <w:pageBreakBefore w:val="0"/>
        <w:spacing w:beforeAutospacing="0" w:afterAutospacing="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57"/>
        <w:jc w:val="both"/>
        <w:pageBreakBefore w:val="0"/>
        <w:spacing w:beforeAutospacing="0" w:afterAutospacing="0" w:line="240" w:lineRule="auto"/>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857"/>
        <w:ind w:firstLine="480"/>
        <w:jc w:val="both"/>
        <w:pageBreakBefore w:val="0"/>
        <w:spacing w:beforeAutospacing="0" w:afterAutospacing="0" w:line="240" w:lineRule="auto"/>
        <w:rPr>
          <w:highlight w:val="none"/>
        </w:rPr>
      </w:pPr>
      <w:r/>
      <w:bookmarkStart w:id="198" w:name="_Toc120614284"/>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198"/>
      <w:r/>
      <w:r/>
    </w:p>
    <w:p>
      <w:pPr>
        <w:pStyle w:val="857"/>
        <w:jc w:val="both"/>
        <w:pageBreakBefore w:val="0"/>
        <w:spacing w:beforeAutospacing="0" w:afterAutospacing="0" w:line="240" w:lineRule="auto"/>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857"/>
        <w:jc w:val="both"/>
        <w:pageBreakBefore w:val="0"/>
        <w:spacing w:beforeAutospacing="0" w:afterAutospacing="0" w:line="240" w:lineRule="auto"/>
        <w:rPr>
          <w:highlight w:val="none"/>
        </w:rPr>
      </w:pPr>
      <w:r>
        <w:rPr>
          <w:rFonts w:hint="eastAsia" w:ascii="宋体" w:hAnsi="宋体" w:eastAsia="宋体" w:cs="宋体"/>
          <w:b/>
          <w:color w:val="000000"/>
          <w:sz w:val="44"/>
          <w:szCs w:val="44"/>
          <w:highlight w:val="none"/>
        </w:rPr>
        <w:t xml:space="preserve">       声  明</w:t>
      </w:r>
      <w:r/>
    </w:p>
    <w:p>
      <w:pPr>
        <w:pStyle w:val="857"/>
        <w:jc w:val="both"/>
        <w:pageBreakBefore w:val="0"/>
        <w:spacing w:beforeAutospacing="0" w:afterAutospacing="0" w:line="240" w:lineRule="auto"/>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57"/>
        <w:jc w:val="both"/>
        <w:pageBreakBefore w:val="0"/>
        <w:spacing w:beforeAutospacing="0" w:afterAutospacing="0" w:line="240" w:lineRule="auto"/>
        <w:rPr>
          <w:highlight w:val="none"/>
        </w:rPr>
      </w:pPr>
      <w:r>
        <w:rPr>
          <w:highlight w:val="none"/>
        </w:rPr>
        <w:t xml:space="preserve"> </w:t>
      </w:r>
      <w:r/>
    </w:p>
    <w:p>
      <w:pPr>
        <w:pStyle w:val="857"/>
        <w:jc w:val="both"/>
        <w:pageBreakBefore w:val="0"/>
        <w:spacing w:beforeAutospacing="0" w:afterAutospacing="0" w:line="240" w:lineRule="auto"/>
        <w:rPr>
          <w:highlight w:val="none"/>
        </w:rPr>
      </w:pPr>
      <w:r>
        <w:rPr>
          <w:rFonts w:hint="eastAsia" w:ascii="宋体" w:hAnsi="宋体" w:eastAsia="宋体" w:cs="宋体"/>
          <w:color w:val="000000"/>
          <w:highlight w:val="none"/>
        </w:rPr>
        <w:t xml:space="preserve">   </w:t>
      </w:r>
      <w:r/>
    </w:p>
    <w:p>
      <w:pPr>
        <w:pStyle w:val="857"/>
        <w:jc w:val="both"/>
        <w:pageBreakBefore w:val="0"/>
        <w:spacing w:beforeAutospacing="0" w:afterAutospacing="0" w:line="240" w:lineRule="auto"/>
        <w:rPr>
          <w:highlight w:val="none"/>
        </w:rPr>
      </w:pPr>
      <w:r>
        <w:rPr>
          <w:highlight w:val="none"/>
        </w:rPr>
        <w:t xml:space="preserve"> </w:t>
      </w:r>
      <w:r/>
    </w:p>
    <w:p>
      <w:pPr>
        <w:pStyle w:val="857"/>
        <w:jc w:val="both"/>
        <w:pageBreakBefore w:val="0"/>
        <w:spacing w:beforeAutospacing="0" w:afterAutospacing="0" w:line="240" w:lineRule="auto"/>
        <w:rPr>
          <w:rFonts w:hint="eastAsia" w:ascii="黑体" w:hAnsi="宋体" w:eastAsia="黑体" w:cs="黑体"/>
          <w:i/>
          <w:color w:val="000000"/>
          <w:sz w:val="32"/>
          <w:szCs w:val="32"/>
          <w:highlight w:val="none"/>
          <w:u w:val="single"/>
          <w:lang w:eastAsia="zh-CN"/>
        </w:rPr>
      </w:pPr>
      <w:r>
        <w:rPr>
          <w:rFonts w:hint="eastAsia" w:ascii="黑体" w:hAnsi="宋体" w:eastAsia="黑体" w:cs="黑体"/>
          <w:i/>
          <w:color w:val="000000"/>
          <w:sz w:val="32"/>
          <w:szCs w:val="32"/>
          <w:highlight w:val="none"/>
          <w:u w:val="single"/>
        </w:rPr>
        <w:t xml:space="preserve">六、单位负责人为同一人或者存在直接控股、管理关系的不同供应商，不得参加同一合同项下的政府采购活动。</w:t>
      </w:r>
      <w:r>
        <w:rPr>
          <w:rFonts w:hint="eastAsia" w:ascii="黑体" w:hAnsi="宋体" w:eastAsia="黑体" w:cs="黑体"/>
          <w:i/>
          <w:color w:val="000000"/>
          <w:sz w:val="32"/>
          <w:szCs w:val="32"/>
          <w:highlight w:val="none"/>
          <w:u w:val="single"/>
          <w:lang w:eastAsia="zh-CN"/>
        </w:rPr>
        <w:t xml:space="preserve">（</w:t>
      </w:r>
      <w:r>
        <w:rPr>
          <w:rFonts w:hint="eastAsia" w:ascii="黑体" w:hAnsi="宋体" w:eastAsia="黑体" w:cs="黑体"/>
          <w:i/>
          <w:color w:val="000000"/>
          <w:sz w:val="32"/>
          <w:szCs w:val="32"/>
          <w:highlight w:val="none"/>
          <w:u w:val="single"/>
          <w:lang w:val="en-US" w:eastAsia="zh-CN"/>
        </w:rPr>
        <w:t xml:space="preserve">格式自拟</w:t>
      </w:r>
      <w:r>
        <w:rPr>
          <w:rFonts w:hint="eastAsia" w:ascii="黑体" w:hAnsi="宋体" w:eastAsia="黑体" w:cs="黑体"/>
          <w:i/>
          <w:color w:val="000000"/>
          <w:sz w:val="32"/>
          <w:szCs w:val="32"/>
          <w:highlight w:val="none"/>
          <w:u w:val="single"/>
          <w:lang w:eastAsia="zh-CN"/>
        </w:rPr>
        <w:t xml:space="preserve">）</w:t>
      </w:r>
      <w:r/>
    </w:p>
    <w:p>
      <w:pPr>
        <w:pStyle w:val="857"/>
        <w:jc w:val="both"/>
        <w:pageBreakBefore w:val="0"/>
        <w:spacing w:beforeAutospacing="0" w:afterAutospacing="0" w:line="240" w:lineRule="auto"/>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br w:type="page" w:clear="all"/>
      </w:r>
      <w:r/>
    </w:p>
    <w:p>
      <w:pPr>
        <w:pStyle w:val="857"/>
        <w:jc w:val="both"/>
        <w:spacing w:beforeAutospacing="0" w:afterAutospacing="0"/>
      </w:pPr>
      <w:r>
        <w:rPr>
          <w:rFonts w:hint="eastAsia" w:ascii="黑体" w:hAnsi="宋体" w:eastAsia="黑体" w:cs="黑体"/>
          <w:i/>
          <w:color w:val="000000"/>
          <w:sz w:val="32"/>
          <w:szCs w:val="32"/>
          <w:highlight w:val="none"/>
          <w:u w:val="single"/>
        </w:rPr>
        <w:t xml:space="preserve">七、</w:t>
      </w:r>
      <w:r>
        <w:rPr>
          <w:rFonts w:hint="eastAsia" w:ascii="黑体" w:hAnsi="宋体" w:eastAsia="黑体" w:cs="黑体"/>
          <w:i/>
          <w:color w:val="000000"/>
          <w:sz w:val="32"/>
          <w:szCs w:val="32"/>
          <w:u w:val="single"/>
        </w:rPr>
        <w:t xml:space="preserve">投标人法定代表人身份证明和投标文件签署授权委托书（另附法定代表人和被授权人的身份证复印件）</w:t>
      </w:r>
      <w:r/>
    </w:p>
    <w:p>
      <w:pPr>
        <w:pStyle w:val="857"/>
        <w:jc w:val="center"/>
        <w:pageBreakBefore w:val="0"/>
        <w:spacing w:beforeAutospacing="0" w:afterAutospacing="0" w:line="240" w:lineRule="auto"/>
        <w:rPr>
          <w:rFonts w:hint="eastAsia" w:ascii="黑体" w:eastAsia="黑体" w:hAnsiTheme="minorHAnsi" w:cstheme="minorBidi"/>
          <w:b/>
          <w:bCs/>
          <w:sz w:val="32"/>
          <w:szCs w:val="32"/>
          <w:lang w:val="en-US" w:eastAsia="zh-CN" w:bidi="ar-SA"/>
        </w:rPr>
      </w:pPr>
      <w:r>
        <w:rPr>
          <w:rFonts w:hint="eastAsia" w:ascii="黑体" w:eastAsia="黑体" w:hAnsiTheme="minorHAnsi" w:cstheme="minorBidi"/>
          <w:b/>
          <w:bCs/>
          <w:sz w:val="32"/>
          <w:szCs w:val="32"/>
          <w:lang w:val="en-US" w:eastAsia="zh-CN" w:bidi="ar-SA"/>
        </w:rPr>
        <w:t xml:space="preserve">法定代表人身份证明</w:t>
      </w:r>
      <w:r/>
    </w:p>
    <w:p>
      <w:pPr>
        <w:spacing w:line="600" w:lineRule="exact"/>
        <w:rPr>
          <w:rFonts w:hint="eastAsia" w:ascii="宋体" w:hAnsi="宋体" w:eastAsia="宋体" w:cs="宋体"/>
          <w:sz w:val="24"/>
        </w:rPr>
      </w:pPr>
      <w:r/>
      <w:bookmarkStart w:id="199" w:name="_格式3__银行出具的资信证明"/>
      <w:r/>
      <w:bookmarkStart w:id="200" w:name="_Hlt26671380"/>
      <w:r/>
      <w:bookmarkStart w:id="201" w:name="_Hlt26955070"/>
      <w:r>
        <w:rPr>
          <w:rFonts w:hint="eastAsia" w:ascii="宋体" w:hAnsi="宋体" w:eastAsia="宋体" w:cs="宋体"/>
          <w:sz w:val="24"/>
          <w:u w:val="single"/>
        </w:rPr>
        <w:t xml:space="preserve">                          </w:t>
      </w:r>
      <w:r>
        <w:rPr>
          <w:rFonts w:hint="eastAsia" w:ascii="宋体" w:hAnsi="宋体" w:eastAsia="宋体" w:cs="宋体"/>
          <w:sz w:val="24"/>
        </w:rPr>
        <w:t xml:space="preserve">：（采购人名称）</w:t>
      </w:r>
      <w:r/>
    </w:p>
    <w:p>
      <w:pPr>
        <w:ind w:firstLine="480"/>
        <w:spacing w:line="600" w:lineRule="exact"/>
        <w:rPr>
          <w:rFonts w:hint="eastAsia" w:ascii="宋体" w:hAnsi="宋体" w:eastAsia="宋体" w:cs="宋体"/>
          <w:sz w:val="24"/>
        </w:rPr>
      </w:pPr>
      <w:r>
        <w:rPr>
          <w:rFonts w:hint="eastAsia" w:ascii="宋体" w:hAnsi="宋体" w:eastAsia="宋体" w:cs="宋体"/>
          <w:sz w:val="24"/>
          <w:u w:val="single"/>
        </w:rPr>
        <w:t xml:space="preserve">  （法定代表人姓名） </w:t>
      </w:r>
      <w:r>
        <w:rPr>
          <w:rFonts w:hint="eastAsia" w:ascii="宋体" w:hAnsi="宋体" w:eastAsia="宋体" w:cs="宋体"/>
          <w:sz w:val="24"/>
        </w:rPr>
        <w:t xml:space="preserve">在</w:t>
      </w:r>
      <w:r>
        <w:rPr>
          <w:rFonts w:hint="eastAsia" w:ascii="宋体" w:hAnsi="宋体" w:eastAsia="宋体" w:cs="宋体"/>
          <w:sz w:val="24"/>
          <w:u w:val="single"/>
        </w:rPr>
        <w:t xml:space="preserve">     （</w:t>
      </w:r>
      <w:r>
        <w:rPr>
          <w:rFonts w:hint="eastAsia" w:ascii="宋体" w:hAnsi="宋体" w:eastAsia="宋体" w:cs="宋体"/>
          <w:sz w:val="24"/>
          <w:u w:val="single"/>
          <w:lang w:eastAsia="zh-CN"/>
        </w:rPr>
        <w:t xml:space="preserve">投标人</w:t>
      </w:r>
      <w:r>
        <w:rPr>
          <w:rFonts w:hint="eastAsia" w:ascii="宋体" w:hAnsi="宋体" w:eastAsia="宋体" w:cs="宋体"/>
          <w:sz w:val="24"/>
          <w:u w:val="single"/>
        </w:rPr>
        <w:t xml:space="preserve">名称）     </w:t>
      </w:r>
      <w:r>
        <w:rPr>
          <w:rFonts w:hint="eastAsia" w:ascii="宋体" w:hAnsi="宋体" w:eastAsia="宋体" w:cs="宋体"/>
          <w:sz w:val="24"/>
        </w:rPr>
        <w:t xml:space="preserve"> 任</w:t>
      </w:r>
      <w:r>
        <w:rPr>
          <w:rFonts w:hint="eastAsia" w:ascii="宋体" w:hAnsi="宋体" w:eastAsia="宋体" w:cs="宋体"/>
          <w:sz w:val="24"/>
          <w:u w:val="single"/>
        </w:rPr>
        <w:t xml:space="preserve">（职务名称）</w:t>
      </w:r>
      <w:r>
        <w:rPr>
          <w:rFonts w:hint="eastAsia" w:ascii="宋体" w:hAnsi="宋体" w:eastAsia="宋体" w:cs="宋体"/>
          <w:sz w:val="24"/>
        </w:rPr>
        <w:t xml:space="preserve">职务，是</w:t>
      </w:r>
      <w:r>
        <w:rPr>
          <w:rFonts w:hint="eastAsia" w:ascii="宋体" w:hAnsi="宋体" w:eastAsia="宋体" w:cs="宋体"/>
          <w:sz w:val="24"/>
          <w:u w:val="single"/>
        </w:rPr>
        <w:t xml:space="preserve">        （</w:t>
      </w:r>
      <w:r>
        <w:rPr>
          <w:rFonts w:hint="eastAsia" w:ascii="宋体" w:hAnsi="宋体" w:eastAsia="宋体" w:cs="宋体"/>
          <w:sz w:val="24"/>
          <w:u w:val="single"/>
          <w:lang w:eastAsia="zh-CN"/>
        </w:rPr>
        <w:t xml:space="preserve">投标人</w:t>
      </w:r>
      <w:r>
        <w:rPr>
          <w:rFonts w:hint="eastAsia" w:ascii="宋体" w:hAnsi="宋体" w:eastAsia="宋体" w:cs="宋体"/>
          <w:sz w:val="24"/>
          <w:u w:val="single"/>
        </w:rPr>
        <w:t xml:space="preserve">名称）      </w:t>
      </w:r>
      <w:r>
        <w:rPr>
          <w:rFonts w:hint="eastAsia" w:ascii="宋体" w:hAnsi="宋体" w:eastAsia="宋体" w:cs="宋体"/>
          <w:sz w:val="24"/>
        </w:rPr>
        <w:t xml:space="preserve">的法定代表人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联系电话（手机号码）</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sz w:val="24"/>
        </w:rPr>
        <w:t xml:space="preserve">。</w:t>
      </w:r>
      <w:r/>
    </w:p>
    <w:p>
      <w:pPr>
        <w:spacing w:line="600" w:lineRule="exact"/>
        <w:rPr>
          <w:rFonts w:hint="eastAsia" w:ascii="宋体" w:hAnsi="宋体" w:eastAsia="宋体" w:cs="宋体"/>
          <w:sz w:val="24"/>
        </w:rPr>
      </w:pPr>
      <w:r>
        <w:rPr>
          <w:rFonts w:hint="eastAsia" w:ascii="宋体" w:hAnsi="宋体" w:eastAsia="宋体" w:cs="宋体"/>
          <w:sz w:val="24"/>
        </w:rPr>
      </w:r>
      <w:r/>
    </w:p>
    <w:p>
      <w:pPr>
        <w:ind w:firstLine="480"/>
        <w:spacing w:line="600" w:lineRule="exact"/>
        <w:rPr>
          <w:rFonts w:hint="eastAsia" w:ascii="宋体" w:hAnsi="宋体" w:eastAsia="宋体" w:cs="宋体"/>
          <w:sz w:val="24"/>
        </w:rPr>
      </w:pPr>
      <w:r>
        <w:rPr>
          <w:rFonts w:hint="eastAsia" w:ascii="宋体" w:hAnsi="宋体" w:eastAsia="宋体" w:cs="宋体"/>
          <w:sz w:val="24"/>
        </w:rPr>
        <w:t xml:space="preserve">特此证明。</w:t>
      </w:r>
      <w:r/>
    </w:p>
    <w:p>
      <w:pPr>
        <w:ind w:firstLine="4560"/>
        <w:spacing w:line="600" w:lineRule="exact"/>
        <w:rPr>
          <w:rFonts w:hint="eastAsia" w:ascii="宋体" w:hAnsi="宋体" w:eastAsia="宋体" w:cs="宋体"/>
          <w:sz w:val="24"/>
        </w:rPr>
      </w:pPr>
      <w:r>
        <w:rPr>
          <w:rFonts w:hint="eastAsia" w:ascii="宋体" w:hAnsi="宋体" w:eastAsia="宋体" w:cs="宋体"/>
          <w:sz w:val="24"/>
          <w:lang w:eastAsia="zh-CN"/>
        </w:rPr>
        <w:t xml:space="preserve">投标人</w:t>
      </w:r>
      <w:r>
        <w:rPr>
          <w:rFonts w:hint="eastAsia" w:ascii="宋体" w:hAnsi="宋体" w:eastAsia="宋体" w:cs="宋体"/>
          <w:sz w:val="24"/>
        </w:rPr>
        <w:t xml:space="preserve">（盖单位公章）      </w:t>
      </w:r>
      <w:r/>
    </w:p>
    <w:p>
      <w:pPr>
        <w:ind w:firstLine="1200"/>
        <w:spacing w:line="600" w:lineRule="exact"/>
        <w:rPr>
          <w:rFonts w:hint="eastAsia" w:ascii="宋体" w:hAnsi="宋体" w:eastAsia="宋体" w:cs="宋体"/>
          <w:sz w:val="24"/>
        </w:rPr>
      </w:pPr>
      <w:r>
        <w:rPr>
          <w:rFonts w:hint="eastAsia" w:ascii="宋体" w:hAnsi="宋体" w:eastAsia="宋体" w:cs="宋体"/>
          <w:sz w:val="24"/>
        </w:rPr>
      </w:r>
      <w:r/>
    </w:p>
    <w:p>
      <w:pPr>
        <w:ind w:firstLine="2126"/>
        <w:jc w:val="right"/>
        <w:spacing w:line="600" w:lineRule="exact"/>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 </w:t>
      </w:r>
      <w:r/>
    </w:p>
    <w:p>
      <w:pPr>
        <w:jc w:val="left"/>
        <w:spacing w:line="600" w:lineRule="exact"/>
        <w:rPr>
          <w:rFonts w:hint="eastAsia" w:ascii="宋体" w:hAnsi="宋体" w:eastAsia="宋体" w:cs="宋体"/>
          <w:b/>
          <w:bCs/>
          <w:sz w:val="24"/>
        </w:rPr>
      </w:pPr>
      <w:r>
        <w:rPr>
          <w:rFonts w:hint="eastAsia" w:ascii="宋体" w:hAnsi="宋体" w:eastAsia="宋体" w:cs="宋体"/>
          <w:b/>
          <w:bCs/>
          <w:sz w:val="24"/>
        </w:rPr>
      </w:r>
      <w:r/>
    </w:p>
    <w:p>
      <w:pPr>
        <w:jc w:val="left"/>
        <w:spacing w:line="600" w:lineRule="exact"/>
        <w:rPr>
          <w:rFonts w:hint="eastAsia" w:ascii="宋体" w:hAnsi="宋体" w:eastAsia="宋体" w:cs="宋体"/>
          <w:b/>
          <w:bCs/>
          <w:sz w:val="24"/>
        </w:rPr>
      </w:pPr>
      <w:r>
        <w:rPr>
          <w:rFonts w:hint="eastAsia" w:ascii="宋体" w:hAnsi="宋体" w:eastAsia="宋体" w:cs="宋体"/>
          <w:b/>
          <w:bCs/>
          <w:sz w:val="24"/>
        </w:rPr>
        <w:t xml:space="preserve">（附：法定代表人身份证正反面复印件）</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400" w:lineRule="exact"/>
        <w:rPr>
          <w:rFonts w:hint="eastAsia" w:ascii="黑体" w:eastAsia="黑体"/>
          <w:sz w:val="28"/>
        </w:rPr>
      </w:pPr>
      <w:r>
        <w:rPr>
          <w:rFonts w:ascii="仿宋_GB2312" w:eastAsia="仿宋_GB2312"/>
          <w:color w:val="auto"/>
          <w:sz w:val="24"/>
          <w:highlight w:val="none"/>
        </w:rPr>
        <w:br w:type="page" w:clear="all"/>
      </w:r>
      <w:r>
        <w:rPr>
          <w:rFonts w:hint="eastAsia" w:ascii="黑体" w:hAnsi="Calibri" w:eastAsia="黑体" w:cs="Times New Roman"/>
          <w:b/>
          <w:bCs/>
          <w:sz w:val="32"/>
          <w:szCs w:val="32"/>
          <w:lang w:eastAsia="zh-CN"/>
        </w:rPr>
        <w:t xml:space="preserve">投标文件</w:t>
      </w:r>
      <w:r>
        <w:rPr>
          <w:rFonts w:hint="eastAsia" w:ascii="黑体" w:eastAsia="黑体"/>
          <w:b/>
          <w:bCs/>
          <w:sz w:val="32"/>
          <w:szCs w:val="32"/>
        </w:rPr>
        <w:t xml:space="preserve">签署授权委托书</w:t>
      </w:r>
      <w:r/>
    </w:p>
    <w:p>
      <w:pPr>
        <w:jc w:val="center"/>
        <w:spacing w:line="400" w:lineRule="exact"/>
        <w:rPr>
          <w:rFonts w:hint="eastAsia" w:ascii="黑体" w:eastAsia="黑体"/>
          <w:b/>
          <w:sz w:val="28"/>
        </w:rPr>
      </w:pPr>
      <w:r>
        <w:rPr>
          <w:rFonts w:hint="eastAsia" w:ascii="黑体" w:eastAsia="黑体"/>
          <w:b/>
          <w:sz w:val="28"/>
        </w:rPr>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本授权委托书声明：我</w:t>
      </w:r>
      <w:r>
        <w:rPr>
          <w:rFonts w:hint="eastAsia" w:ascii="宋体" w:hAnsi="宋体" w:eastAsia="宋体" w:cs="宋体"/>
          <w:sz w:val="24"/>
          <w:u w:val="single"/>
        </w:rPr>
        <w:t xml:space="preserve">       （姓名）      </w:t>
      </w:r>
      <w:r>
        <w:rPr>
          <w:rFonts w:hint="eastAsia" w:ascii="宋体" w:hAnsi="宋体" w:eastAsia="宋体" w:cs="宋体"/>
          <w:sz w:val="24"/>
        </w:rPr>
        <w:t xml:space="preserve">系</w:t>
      </w:r>
      <w:r>
        <w:rPr>
          <w:rFonts w:hint="eastAsia" w:ascii="宋体" w:hAnsi="宋体" w:eastAsia="宋体" w:cs="宋体"/>
          <w:sz w:val="24"/>
          <w:u w:val="single"/>
        </w:rPr>
        <w:t xml:space="preserve">      （</w:t>
      </w:r>
      <w:r>
        <w:rPr>
          <w:rFonts w:hint="eastAsia" w:ascii="宋体" w:hAnsi="宋体" w:eastAsia="宋体" w:cs="宋体"/>
          <w:sz w:val="24"/>
          <w:u w:val="single"/>
          <w:lang w:eastAsia="zh-CN"/>
        </w:rPr>
        <w:t xml:space="preserve">投标人</w:t>
      </w:r>
      <w:r>
        <w:rPr>
          <w:rFonts w:hint="eastAsia" w:ascii="宋体" w:hAnsi="宋体" w:eastAsia="宋体" w:cs="宋体"/>
          <w:sz w:val="24"/>
          <w:u w:val="single"/>
        </w:rPr>
        <w:t xml:space="preserve">名称）        </w:t>
      </w:r>
      <w:r>
        <w:rPr>
          <w:rFonts w:hint="eastAsia" w:ascii="宋体" w:hAnsi="宋体" w:eastAsia="宋体" w:cs="宋体"/>
          <w:sz w:val="24"/>
        </w:rPr>
        <w:t xml:space="preserve"> 的法定代表人，现授权</w:t>
      </w:r>
      <w:r>
        <w:rPr>
          <w:rFonts w:hint="eastAsia" w:ascii="宋体" w:hAnsi="宋体" w:eastAsia="宋体" w:cs="宋体"/>
          <w:sz w:val="24"/>
          <w:u w:val="single"/>
        </w:rPr>
        <w:t xml:space="preserve">         （</w:t>
      </w:r>
      <w:r>
        <w:rPr>
          <w:rFonts w:hint="eastAsia" w:ascii="宋体" w:hAnsi="宋体" w:eastAsia="宋体" w:cs="宋体"/>
          <w:sz w:val="24"/>
          <w:u w:val="single"/>
          <w:lang w:eastAsia="zh-CN"/>
        </w:rPr>
        <w:t xml:space="preserve">投标人</w:t>
      </w:r>
      <w:r>
        <w:rPr>
          <w:rFonts w:hint="eastAsia" w:ascii="宋体" w:hAnsi="宋体" w:eastAsia="宋体" w:cs="宋体"/>
          <w:sz w:val="24"/>
          <w:u w:val="single"/>
        </w:rPr>
        <w:t xml:space="preserve">名称）</w:t>
      </w:r>
      <w:r>
        <w:rPr>
          <w:rFonts w:hint="eastAsia" w:ascii="宋体" w:hAnsi="宋体" w:eastAsia="宋体" w:cs="宋体"/>
          <w:sz w:val="24"/>
        </w:rPr>
        <w:t xml:space="preserve">的</w:t>
      </w:r>
      <w:r>
        <w:rPr>
          <w:rFonts w:hint="eastAsia" w:ascii="宋体" w:hAnsi="宋体" w:eastAsia="宋体" w:cs="宋体"/>
          <w:sz w:val="24"/>
          <w:u w:val="single"/>
        </w:rPr>
        <w:t xml:space="preserve">        （姓名）         </w:t>
      </w:r>
      <w:r>
        <w:rPr>
          <w:rFonts w:hint="eastAsia" w:ascii="宋体" w:hAnsi="宋体" w:eastAsia="宋体" w:cs="宋体"/>
          <w:sz w:val="24"/>
        </w:rPr>
        <w:t xml:space="preserve">为我公司签署本项目的</w:t>
      </w:r>
      <w:r>
        <w:rPr>
          <w:rFonts w:hint="eastAsia" w:ascii="宋体" w:hAnsi="宋体" w:eastAsia="宋体" w:cs="宋体"/>
          <w:sz w:val="24"/>
          <w:lang w:eastAsia="zh-CN"/>
        </w:rPr>
        <w:t xml:space="preserve">投标文件</w:t>
      </w:r>
      <w:r>
        <w:rPr>
          <w:rFonts w:hint="eastAsia" w:ascii="宋体" w:hAnsi="宋体" w:eastAsia="宋体" w:cs="宋体"/>
          <w:sz w:val="24"/>
        </w:rPr>
        <w:t xml:space="preserve">的法定代表人授权委托代理，我承认</w:t>
      </w:r>
      <w:r>
        <w:rPr>
          <w:rFonts w:hint="eastAsia" w:ascii="宋体" w:hAnsi="宋体" w:eastAsia="宋体" w:cs="宋体"/>
          <w:sz w:val="24"/>
          <w:lang w:eastAsia="zh-CN"/>
        </w:rPr>
        <w:t xml:space="preserve">被授权人</w:t>
      </w:r>
      <w:r>
        <w:rPr>
          <w:rFonts w:hint="eastAsia" w:ascii="宋体" w:hAnsi="宋体" w:eastAsia="宋体" w:cs="宋体"/>
          <w:sz w:val="24"/>
        </w:rPr>
        <w:t xml:space="preserve">全权代表我所签署的本项目的</w:t>
      </w:r>
      <w:r>
        <w:rPr>
          <w:rFonts w:hint="eastAsia" w:ascii="宋体" w:hAnsi="宋体" w:eastAsia="宋体" w:cs="宋体"/>
          <w:sz w:val="24"/>
          <w:lang w:eastAsia="zh-CN"/>
        </w:rPr>
        <w:t xml:space="preserve">投标文件</w:t>
      </w:r>
      <w:r>
        <w:rPr>
          <w:rFonts w:hint="eastAsia" w:ascii="宋体" w:hAnsi="宋体" w:eastAsia="宋体" w:cs="宋体"/>
          <w:sz w:val="24"/>
        </w:rPr>
        <w:t xml:space="preserve">的内容。</w:t>
      </w:r>
      <w:r/>
    </w:p>
    <w:p>
      <w:pPr>
        <w:spacing w:line="400" w:lineRule="exact"/>
        <w:rPr>
          <w:rFonts w:hint="eastAsia" w:ascii="宋体" w:hAnsi="宋体" w:eastAsia="宋体" w:cs="宋体"/>
          <w:sz w:val="24"/>
        </w:rPr>
      </w:pPr>
      <w:r>
        <w:rPr>
          <w:rFonts w:hint="eastAsia" w:ascii="宋体" w:hAnsi="宋体" w:eastAsia="宋体" w:cs="宋体"/>
          <w:sz w:val="24"/>
        </w:rPr>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特此委托。</w:t>
      </w:r>
      <w:r/>
    </w:p>
    <w:p>
      <w:pPr>
        <w:ind w:firstLine="480"/>
        <w:spacing w:line="400" w:lineRule="exact"/>
        <w:rPr>
          <w:rFonts w:hint="eastAsia" w:ascii="宋体" w:hAnsi="宋体" w:eastAsia="宋体" w:cs="宋体"/>
          <w:sz w:val="24"/>
        </w:rPr>
      </w:pPr>
      <w:r>
        <w:rPr>
          <w:rFonts w:hint="eastAsia" w:ascii="宋体" w:hAnsi="宋体" w:eastAsia="宋体" w:cs="宋体"/>
          <w:sz w:val="24"/>
        </w:rPr>
      </w:r>
      <w:r/>
    </w:p>
    <w:p>
      <w:pPr>
        <w:ind w:firstLine="480"/>
        <w:spacing w:line="400" w:lineRule="exact"/>
        <w:rPr>
          <w:rFonts w:hint="eastAsia" w:ascii="宋体" w:hAnsi="宋体" w:eastAsia="宋体" w:cs="宋体"/>
          <w:sz w:val="24"/>
        </w:rPr>
      </w:pPr>
      <w:r>
        <w:rPr>
          <w:rFonts w:hint="eastAsia" w:ascii="宋体" w:hAnsi="宋体" w:eastAsia="宋体" w:cs="宋体"/>
          <w:sz w:val="24"/>
        </w:rPr>
      </w:r>
      <w:r/>
    </w:p>
    <w:p>
      <w:pPr>
        <w:ind w:firstLine="2126"/>
        <w:keepLines w:val="0"/>
        <w:keepNext w:val="0"/>
        <w:pageBreakBefore w:val="0"/>
        <w:spacing w:line="400" w:lineRule="exact"/>
        <w:widowControl w:val="off"/>
        <w:rPr>
          <w:rFonts w:hint="eastAsia" w:ascii="宋体" w:hAnsi="宋体" w:eastAsia="宋体" w:cs="宋体"/>
          <w:sz w:val="24"/>
          <w:u w:val="single"/>
        </w:rPr>
      </w:pPr>
      <w:r>
        <w:rPr>
          <w:rFonts w:hint="eastAsia" w:ascii="宋体" w:hAnsi="宋体" w:eastAsia="宋体" w:cs="宋体"/>
          <w:color w:val="auto"/>
          <w:sz w:val="24"/>
          <w:highlight w:val="none"/>
        </w:rPr>
        <w:t xml:space="preserve">代理</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sz w:val="24"/>
          <w:lang w:eastAsia="zh-CN"/>
        </w:rPr>
        <w:t xml:space="preserve">被授权人</w:t>
      </w:r>
      <w:r>
        <w:rPr>
          <w:rFonts w:hint="eastAsia" w:ascii="宋体" w:hAnsi="宋体" w:eastAsia="宋体" w:cs="宋体"/>
          <w:color w:val="auto"/>
          <w:sz w:val="24"/>
          <w:highlight w:val="none"/>
          <w:lang w:val="en-US" w:eastAsia="zh-CN"/>
        </w:rPr>
        <w:t xml:space="preserve">）</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 性别：</w:t>
      </w:r>
      <w:r>
        <w:rPr>
          <w:rFonts w:hint="eastAsia" w:ascii="宋体" w:hAnsi="宋体" w:eastAsia="宋体" w:cs="宋体"/>
          <w:sz w:val="24"/>
          <w:u w:val="single"/>
        </w:rPr>
        <w:t xml:space="preserve">      </w:t>
      </w:r>
      <w:r>
        <w:rPr>
          <w:rFonts w:hint="eastAsia" w:ascii="宋体" w:hAnsi="宋体" w:eastAsia="宋体" w:cs="宋体"/>
          <w:sz w:val="24"/>
        </w:rPr>
        <w:t xml:space="preserve">  年龄：</w:t>
      </w:r>
      <w:r>
        <w:rPr>
          <w:rFonts w:hint="eastAsia" w:ascii="宋体" w:hAnsi="宋体" w:eastAsia="宋体" w:cs="宋体"/>
          <w:sz w:val="24"/>
          <w:u w:val="single"/>
        </w:rPr>
        <w:t xml:space="preserve">         </w:t>
      </w:r>
      <w:r/>
    </w:p>
    <w:p>
      <w:pPr>
        <w:ind w:firstLine="2126"/>
        <w:keepLines w:val="0"/>
        <w:keepNext w:val="0"/>
        <w:pageBreakBefore w:val="0"/>
        <w:spacing w:line="400" w:lineRule="exact"/>
        <w:widowControl w:val="off"/>
        <w:rPr>
          <w:rFonts w:hint="eastAsia" w:ascii="宋体" w:hAnsi="宋体" w:eastAsia="宋体" w:cs="宋体"/>
          <w:sz w:val="24"/>
          <w:u w:val="single"/>
        </w:rPr>
      </w:pPr>
      <w:r>
        <w:rPr>
          <w:rFonts w:hint="eastAsia" w:ascii="宋体" w:hAnsi="宋体" w:eastAsia="宋体" w:cs="宋体"/>
          <w:sz w:val="24"/>
          <w:u w:val="single"/>
        </w:rPr>
      </w:r>
      <w:r/>
    </w:p>
    <w:p>
      <w:pPr>
        <w:ind w:firstLine="2126"/>
        <w:keepLines w:val="0"/>
        <w:keepNext w:val="0"/>
        <w:pageBreakBefore w:val="0"/>
        <w:spacing w:line="400" w:lineRule="exact"/>
        <w:widowControl w:val="off"/>
        <w:rPr>
          <w:rFonts w:hint="eastAsia" w:ascii="宋体" w:hAnsi="宋体" w:eastAsia="宋体" w:cs="宋体"/>
          <w:sz w:val="24"/>
          <w:u w:val="single"/>
        </w:rPr>
      </w:pPr>
      <w:r>
        <w:rPr>
          <w:rFonts w:hint="eastAsia" w:ascii="宋体" w:hAnsi="宋体" w:eastAsia="宋体" w:cs="宋体"/>
          <w:sz w:val="24"/>
        </w:rPr>
        <w:t xml:space="preserve">身份证号码：</w:t>
      </w:r>
      <w:r>
        <w:rPr>
          <w:rFonts w:hint="eastAsia" w:ascii="宋体" w:hAnsi="宋体" w:eastAsia="宋体" w:cs="宋体"/>
          <w:sz w:val="24"/>
          <w:u w:val="single"/>
        </w:rPr>
        <w:t xml:space="preserve">                        </w:t>
      </w:r>
      <w:r>
        <w:rPr>
          <w:rFonts w:hint="eastAsia" w:ascii="宋体" w:hAnsi="宋体" w:eastAsia="宋体" w:cs="宋体"/>
          <w:sz w:val="24"/>
        </w:rPr>
        <w:t xml:space="preserve">  职务：</w:t>
      </w:r>
      <w:r>
        <w:rPr>
          <w:rFonts w:hint="eastAsia" w:ascii="宋体" w:hAnsi="宋体" w:eastAsia="宋体" w:cs="宋体"/>
          <w:sz w:val="24"/>
          <w:u w:val="single"/>
        </w:rPr>
        <w:t xml:space="preserve">        </w:t>
      </w:r>
      <w:r/>
    </w:p>
    <w:p>
      <w:pPr>
        <w:pStyle w:val="862"/>
        <w:rPr>
          <w:rFonts w:hint="eastAsia" w:ascii="宋体" w:hAnsi="宋体" w:eastAsia="宋体" w:cs="宋体"/>
        </w:rPr>
      </w:pPr>
      <w:r>
        <w:rPr>
          <w:rFonts w:hint="eastAsia" w:ascii="宋体" w:hAnsi="宋体" w:eastAsia="宋体" w:cs="宋体"/>
        </w:rPr>
      </w:r>
      <w:r/>
    </w:p>
    <w:p>
      <w:pPr>
        <w:ind w:firstLine="2126"/>
        <w:keepLines w:val="0"/>
        <w:keepNext w:val="0"/>
        <w:pageBreakBefore w:val="0"/>
        <w:spacing w:line="400" w:lineRule="exact"/>
        <w:widowControl w:val="off"/>
        <w:rPr>
          <w:rFonts w:hint="eastAsia" w:ascii="宋体" w:hAnsi="宋体" w:eastAsia="宋体" w:cs="宋体"/>
          <w:sz w:val="24"/>
          <w:u w:val="single"/>
        </w:rPr>
      </w:pPr>
      <w:r>
        <w:rPr>
          <w:rFonts w:hint="eastAsia" w:ascii="宋体" w:hAnsi="宋体" w:eastAsia="宋体" w:cs="宋体"/>
          <w:sz w:val="24"/>
          <w:szCs w:val="22"/>
          <w:lang w:val="en-US" w:eastAsia="zh-CN"/>
        </w:rPr>
        <w:t xml:space="preserve">联系号码（手机号码）;</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 </w:t>
      </w:r>
      <w:r/>
    </w:p>
    <w:p>
      <w:pPr>
        <w:ind w:firstLine="2126"/>
        <w:keepLines w:val="0"/>
        <w:keepNext w:val="0"/>
        <w:pageBreakBefore w:val="0"/>
        <w:spacing w:line="400" w:lineRule="exact"/>
        <w:widowControl w:val="off"/>
        <w:rPr>
          <w:rFonts w:hint="eastAsia" w:ascii="宋体" w:hAnsi="宋体" w:eastAsia="宋体" w:cs="宋体"/>
          <w:sz w:val="24"/>
          <w:u w:val="single"/>
        </w:rPr>
      </w:pPr>
      <w:r>
        <w:rPr>
          <w:rFonts w:hint="eastAsia" w:ascii="宋体" w:hAnsi="宋体" w:eastAsia="宋体" w:cs="宋体"/>
          <w:sz w:val="24"/>
          <w:u w:val="single"/>
        </w:rPr>
      </w:r>
      <w:r/>
    </w:p>
    <w:p>
      <w:pPr>
        <w:ind w:firstLine="2126"/>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lang w:eastAsia="zh-CN"/>
        </w:rPr>
        <w:t xml:space="preserve">投标人</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（盖单位公章）</w:t>
      </w:r>
      <w:r/>
    </w:p>
    <w:p>
      <w:pPr>
        <w:ind w:firstLine="2126"/>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r>
      <w:r/>
    </w:p>
    <w:p>
      <w:pPr>
        <w:ind w:firstLine="2126"/>
        <w:keepLines w:val="0"/>
        <w:keepNext w:val="0"/>
        <w:pageBreakBefore w:val="0"/>
        <w:spacing w:line="400" w:lineRule="exact"/>
        <w:widowControl w:val="off"/>
        <w:rPr>
          <w:rFonts w:hint="eastAsia" w:ascii="宋体" w:hAnsi="宋体" w:eastAsia="宋体" w:cs="宋体"/>
          <w:sz w:val="24"/>
          <w:u w:val="single"/>
        </w:rPr>
      </w:pPr>
      <w:r>
        <w:rPr>
          <w:rFonts w:hint="eastAsia" w:ascii="宋体" w:hAnsi="宋体" w:eastAsia="宋体" w:cs="宋体"/>
          <w:sz w:val="24"/>
        </w:rPr>
        <w:t xml:space="preserve">法定代表人：</w:t>
      </w:r>
      <w:r>
        <w:rPr>
          <w:rFonts w:hint="eastAsia" w:ascii="宋体" w:hAnsi="宋体" w:eastAsia="宋体" w:cs="宋体"/>
          <w:sz w:val="24"/>
          <w:u w:val="single"/>
        </w:rPr>
        <w:t xml:space="preserve">                         </w:t>
      </w:r>
      <w:r>
        <w:rPr>
          <w:rFonts w:hint="eastAsia" w:ascii="宋体" w:hAnsi="宋体" w:eastAsia="宋体" w:cs="宋体"/>
          <w:sz w:val="24"/>
        </w:rPr>
        <w:t xml:space="preserve">（盖章）</w:t>
      </w:r>
      <w:r/>
    </w:p>
    <w:p>
      <w:pPr>
        <w:ind w:firstLine="2126"/>
        <w:keepLines w:val="0"/>
        <w:keepNext w:val="0"/>
        <w:pageBreakBefore w:val="0"/>
        <w:spacing w:line="400" w:lineRule="exact"/>
        <w:widowControl w:val="off"/>
        <w:rPr>
          <w:rFonts w:hint="eastAsia" w:ascii="宋体" w:hAnsi="宋体" w:eastAsia="宋体" w:cs="宋体"/>
          <w:sz w:val="24"/>
          <w:u w:val="single"/>
        </w:rPr>
      </w:pPr>
      <w:r>
        <w:rPr>
          <w:rFonts w:hint="eastAsia" w:ascii="宋体" w:hAnsi="宋体" w:eastAsia="宋体" w:cs="宋体"/>
          <w:sz w:val="24"/>
          <w:u w:val="single"/>
        </w:rPr>
      </w:r>
      <w:r/>
    </w:p>
    <w:p>
      <w:pPr>
        <w:ind w:firstLine="2126"/>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授权委托日期：</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ind w:firstLine="2126"/>
        <w:spacing w:line="400" w:lineRule="exact"/>
        <w:rPr>
          <w:rFonts w:hint="eastAsia" w:ascii="宋体" w:hAnsi="宋体" w:eastAsia="宋体" w:cs="宋体"/>
          <w:sz w:val="24"/>
        </w:rPr>
      </w:pPr>
      <w:r>
        <w:rPr>
          <w:rFonts w:hint="eastAsia" w:ascii="宋体" w:hAnsi="宋体" w:eastAsia="宋体" w:cs="宋体"/>
          <w:sz w:val="24"/>
        </w:rPr>
      </w:r>
      <w:r/>
    </w:p>
    <w:p>
      <w:pPr>
        <w:jc w:val="left"/>
        <w:spacing w:line="400" w:lineRule="exact"/>
        <w:rPr>
          <w:rFonts w:hint="eastAsia" w:ascii="宋体" w:hAnsi="宋体" w:eastAsia="宋体" w:cs="宋体"/>
          <w:b/>
          <w:bCs/>
          <w:sz w:val="24"/>
        </w:rPr>
      </w:pPr>
      <w:r>
        <w:rPr>
          <w:rFonts w:hint="eastAsia" w:ascii="宋体" w:hAnsi="宋体" w:eastAsia="宋体" w:cs="宋体"/>
          <w:b/>
          <w:bCs/>
          <w:sz w:val="24"/>
        </w:rPr>
        <w:t xml:space="preserve">（附：</w:t>
      </w:r>
      <w:r>
        <w:rPr>
          <w:rFonts w:hint="eastAsia" w:ascii="宋体" w:hAnsi="宋体" w:eastAsia="宋体" w:cs="宋体"/>
          <w:b/>
          <w:bCs/>
          <w:sz w:val="24"/>
          <w:lang w:eastAsia="zh-CN"/>
        </w:rPr>
        <w:t xml:space="preserve">被授权人</w:t>
      </w:r>
      <w:r>
        <w:rPr>
          <w:rFonts w:hint="eastAsia" w:ascii="宋体" w:hAnsi="宋体" w:eastAsia="宋体" w:cs="宋体"/>
          <w:b/>
          <w:bCs/>
          <w:sz w:val="24"/>
        </w:rPr>
        <w:t xml:space="preserve">身份证正反面复印件）</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57"/>
        <w:jc w:val="both"/>
        <w:pageBreakBefore w:val="0"/>
        <w:spacing w:beforeAutospacing="0" w:afterAutospacing="0" w:line="240" w:lineRule="auto"/>
        <w:rPr>
          <w:highlight w:val="none"/>
        </w:rPr>
      </w:pPr>
      <w:r>
        <w:rPr>
          <w:highlight w:val="none"/>
        </w:rPr>
        <w:t xml:space="preserve"> </w:t>
      </w:r>
      <w:r/>
    </w:p>
    <w:p>
      <w:pPr>
        <w:pStyle w:val="857"/>
        <w:ind w:firstLine="3390"/>
        <w:jc w:val="both"/>
        <w:keepLines/>
        <w:keepNext/>
        <w:pageBreakBefore w:val="0"/>
        <w:spacing w:before="260" w:beforeAutospacing="0" w:after="260" w:afterAutospacing="0" w:line="240" w:lineRule="auto"/>
        <w:rPr>
          <w:rFonts w:hint="eastAsia" w:cs="Times New Roman"/>
          <w:color w:val="auto"/>
          <w:sz w:val="24"/>
          <w:szCs w:val="22"/>
          <w:highlight w:val="none"/>
          <w:lang w:val="en-US" w:eastAsia="zh-CN" w:bidi="ar-SA"/>
        </w:rPr>
      </w:pPr>
      <w:r>
        <w:rPr>
          <w:rFonts w:hint="eastAsia" w:cs="Times New Roman"/>
          <w:color w:val="auto"/>
          <w:sz w:val="24"/>
          <w:szCs w:val="22"/>
          <w:highlight w:val="none"/>
          <w:lang w:val="en-US" w:eastAsia="zh-CN" w:bidi="ar-SA"/>
        </w:rPr>
      </w:r>
      <w:r/>
    </w:p>
    <w:p>
      <w:pPr>
        <w:pStyle w:val="857"/>
        <w:ind w:firstLine="3390"/>
        <w:jc w:val="both"/>
        <w:keepLines/>
        <w:keepNext/>
        <w:pageBreakBefore w:val="0"/>
        <w:spacing w:before="260" w:beforeAutospacing="0" w:after="260" w:afterAutospacing="0" w:line="240" w:lineRule="auto"/>
        <w:rPr>
          <w:rFonts w:hint="eastAsia" w:cs="Times New Roman"/>
          <w:color w:val="auto"/>
          <w:sz w:val="24"/>
          <w:szCs w:val="22"/>
          <w:highlight w:val="none"/>
          <w:lang w:val="en-US" w:eastAsia="zh-CN" w:bidi="ar-SA"/>
        </w:rPr>
      </w:pPr>
      <w:r>
        <w:rPr>
          <w:rFonts w:hint="eastAsia" w:cs="Times New Roman"/>
          <w:color w:val="auto"/>
          <w:sz w:val="24"/>
          <w:szCs w:val="22"/>
          <w:highlight w:val="none"/>
          <w:lang w:val="en-US" w:eastAsia="zh-CN" w:bidi="ar-SA"/>
        </w:rPr>
      </w:r>
      <w:r/>
    </w:p>
    <w:p>
      <w:pPr>
        <w:pStyle w:val="857"/>
        <w:ind w:firstLine="3390"/>
        <w:jc w:val="both"/>
        <w:keepLines/>
        <w:keepNext/>
        <w:pageBreakBefore w:val="0"/>
        <w:spacing w:before="260" w:beforeAutospacing="0" w:after="260" w:afterAutospacing="0" w:line="240" w:lineRule="auto"/>
        <w:rPr>
          <w:rFonts w:hint="eastAsia" w:cs="Times New Roman"/>
          <w:color w:val="auto"/>
          <w:sz w:val="24"/>
          <w:szCs w:val="22"/>
          <w:highlight w:val="none"/>
          <w:lang w:val="en-US" w:eastAsia="zh-CN" w:bidi="ar-SA"/>
        </w:rPr>
      </w:pPr>
      <w:r>
        <w:rPr>
          <w:rFonts w:hint="eastAsia" w:cs="Times New Roman"/>
          <w:color w:val="auto"/>
          <w:sz w:val="24"/>
          <w:szCs w:val="22"/>
          <w:highlight w:val="none"/>
          <w:lang w:val="en-US" w:eastAsia="zh-CN" w:bidi="ar-SA"/>
        </w:rPr>
      </w:r>
      <w:r/>
    </w:p>
    <w:p>
      <w:pPr>
        <w:rPr>
          <w:rFonts w:hint="eastAsia" w:cs="Times New Roman"/>
          <w:color w:val="auto"/>
          <w:sz w:val="24"/>
          <w:szCs w:val="22"/>
          <w:highlight w:val="none"/>
          <w:lang w:val="en-US" w:eastAsia="zh-CN" w:bidi="ar-SA"/>
        </w:rPr>
      </w:pPr>
      <w:r>
        <w:rPr>
          <w:rFonts w:hint="eastAsia" w:cs="Times New Roman"/>
          <w:color w:val="auto"/>
          <w:sz w:val="24"/>
          <w:szCs w:val="22"/>
          <w:highlight w:val="none"/>
          <w:lang w:val="en-US" w:eastAsia="zh-CN" w:bidi="ar-SA"/>
        </w:rPr>
        <w:br w:type="page" w:clear="all"/>
      </w:r>
      <w:r/>
    </w:p>
    <w:p>
      <w:pPr>
        <w:pStyle w:val="857"/>
        <w:numPr>
          <w:ilvl w:val="0"/>
          <w:numId w:val="0"/>
        </w:numPr>
        <w:jc w:val="center"/>
        <w:keepLines/>
        <w:keepNext/>
        <w:pageBreakBefore w:val="0"/>
        <w:spacing w:before="260" w:beforeAutospacing="0" w:after="260" w:afterAutospacing="0" w:line="240" w:lineRule="auto"/>
        <w:rPr>
          <w:rFonts w:hint="eastAsia" w:ascii="黑体" w:hAnsi="宋体" w:eastAsia="黑体" w:cs="黑体"/>
          <w:i/>
          <w:color w:val="000000"/>
          <w:sz w:val="32"/>
          <w:szCs w:val="32"/>
          <w:u w:val="single"/>
          <w:lang w:val="en-US" w:eastAsia="zh-CN"/>
        </w:rPr>
      </w:pPr>
      <w:r>
        <w:rPr>
          <w:rFonts w:hint="eastAsia" w:ascii="黑体" w:hAnsi="宋体" w:eastAsia="黑体" w:cs="黑体"/>
          <w:i/>
          <w:color w:val="000000"/>
          <w:sz w:val="32"/>
          <w:szCs w:val="32"/>
          <w:lang w:val="en-US" w:eastAsia="zh-CN" w:bidi="ar-SA"/>
        </w:rPr>
        <w:t xml:space="preserve">八、</w:t>
      </w:r>
      <w:r>
        <w:rPr>
          <w:rFonts w:hint="eastAsia" w:ascii="黑体" w:hAnsi="宋体" w:eastAsia="黑体" w:cs="黑体"/>
          <w:i/>
          <w:color w:val="000000"/>
          <w:sz w:val="32"/>
          <w:szCs w:val="32"/>
          <w:u w:val="single"/>
          <w:lang w:val="en-US" w:eastAsia="zh-CN"/>
        </w:rPr>
        <w:t xml:space="preserve">投标人为被授权人缴纳的社会养老保险证明</w:t>
      </w:r>
      <w:r/>
    </w:p>
    <w:p>
      <w:pPr>
        <w:rPr>
          <w:rFonts w:hint="eastAsia" w:ascii="黑体" w:hAnsi="宋体" w:eastAsia="黑体" w:cs="黑体"/>
          <w:i/>
          <w:color w:val="000000"/>
          <w:sz w:val="32"/>
          <w:szCs w:val="32"/>
          <w:lang w:val="en-US" w:eastAsia="zh-CN" w:bidi="ar-SA"/>
        </w:rPr>
      </w:pPr>
      <w:r>
        <w:rPr>
          <w:rFonts w:hint="eastAsia" w:ascii="黑体" w:hAnsi="宋体" w:eastAsia="黑体" w:cs="黑体"/>
          <w:i/>
          <w:color w:val="000000"/>
          <w:sz w:val="32"/>
          <w:szCs w:val="32"/>
          <w:lang w:val="en-US" w:eastAsia="zh-CN" w:bidi="ar-SA"/>
        </w:rPr>
        <w:br w:type="page" w:clear="all"/>
      </w:r>
      <w:r/>
    </w:p>
    <w:p>
      <w:pPr>
        <w:pStyle w:val="857"/>
        <w:numPr>
          <w:ilvl w:val="0"/>
          <w:numId w:val="0"/>
        </w:numPr>
        <w:jc w:val="center"/>
        <w:keepLines/>
        <w:keepNext/>
        <w:pageBreakBefore w:val="0"/>
        <w:spacing w:before="260" w:beforeAutospacing="0" w:after="260" w:afterAutospacing="0" w:line="240" w:lineRule="auto"/>
        <w:rPr>
          <w:rFonts w:hint="eastAsia" w:ascii="黑体" w:hAnsi="宋体" w:eastAsia="黑体" w:cs="黑体"/>
          <w:i/>
          <w:color w:val="000000"/>
          <w:sz w:val="32"/>
          <w:szCs w:val="32"/>
          <w:u w:val="single"/>
          <w:lang w:val="en-US" w:eastAsia="zh-CN"/>
        </w:rPr>
      </w:pPr>
      <w:r>
        <w:rPr>
          <w:rFonts w:hint="eastAsia" w:ascii="黑体" w:hAnsi="宋体" w:eastAsia="黑体" w:cs="黑体"/>
          <w:i/>
          <w:color w:val="000000"/>
          <w:sz w:val="32"/>
          <w:szCs w:val="32"/>
          <w:lang w:val="en-US" w:eastAsia="zh-CN" w:bidi="ar-SA"/>
        </w:rPr>
        <w:t xml:space="preserve">九、</w:t>
      </w:r>
      <w:r>
        <w:rPr>
          <w:rFonts w:hint="eastAsia" w:ascii="黑体" w:hAnsi="宋体" w:eastAsia="黑体" w:cs="黑体"/>
          <w:i/>
          <w:color w:val="000000"/>
          <w:sz w:val="32"/>
          <w:szCs w:val="32"/>
          <w:u w:val="single"/>
          <w:lang w:val="en-US" w:eastAsia="zh-CN"/>
        </w:rPr>
        <w:t xml:space="preserve">特定资格要求的证明文件</w:t>
      </w:r>
      <w:r/>
    </w:p>
    <w:p>
      <w:pPr>
        <w:pStyle w:val="857"/>
        <w:numPr>
          <w:ilvl w:val="0"/>
          <w:numId w:val="0"/>
        </w:numPr>
        <w:jc w:val="center"/>
        <w:keepLines/>
        <w:keepNext/>
        <w:pageBreakBefore w:val="0"/>
        <w:spacing w:before="260" w:beforeAutospacing="0" w:after="260" w:afterAutospacing="0" w:line="240" w:lineRule="auto"/>
        <w:rPr>
          <w:rFonts w:ascii="黑体" w:hAnsi="宋体" w:eastAsia="黑体" w:cs="黑体"/>
          <w:b/>
          <w:color w:val="000000"/>
          <w:sz w:val="32"/>
          <w:szCs w:val="32"/>
          <w:highlight w:val="none"/>
        </w:rPr>
      </w:pPr>
      <w:r>
        <w:rPr>
          <w:rFonts w:hint="eastAsia" w:ascii="宋体" w:hAnsi="宋体" w:eastAsia="宋体" w:cs="宋体"/>
          <w:b/>
          <w:color w:val="000000"/>
          <w:highlight w:val="none"/>
        </w:rPr>
        <w:br w:type="page" w:clear="all"/>
      </w:r>
      <w:r>
        <w:rPr>
          <w:rFonts w:hint="eastAsia" w:ascii="黑体" w:hAnsi="宋体" w:eastAsia="黑体" w:cs="黑体"/>
          <w:b/>
          <w:color w:val="000000"/>
          <w:sz w:val="32"/>
          <w:szCs w:val="32"/>
          <w:highlight w:val="none"/>
          <w:lang w:val="en-US" w:eastAsia="zh-CN"/>
        </w:rPr>
        <w:t xml:space="preserve">十</w:t>
      </w:r>
      <w:r>
        <w:rPr>
          <w:rFonts w:hint="eastAsia" w:ascii="黑体" w:hAnsi="宋体" w:eastAsia="黑体" w:cs="黑体"/>
          <w:b/>
          <w:color w:val="000000"/>
          <w:sz w:val="32"/>
          <w:szCs w:val="32"/>
          <w:highlight w:val="none"/>
        </w:rPr>
        <w:t xml:space="preserve">、投标函</w:t>
      </w:r>
      <w:r/>
    </w:p>
    <w:p>
      <w:pPr>
        <w:pStyle w:val="857"/>
        <w:pageBreakBefore w:val="0"/>
        <w:spacing w:beforeAutospacing="0" w:afterAutospacing="0" w:line="240" w:lineRule="auto"/>
        <w:rPr>
          <w:rFonts w:hint="default" w:eastAsia="宋体"/>
          <w:highlight w:val="none"/>
          <w:lang w:val="en-US"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val="en-US" w:eastAsia="zh-CN"/>
        </w:rPr>
        <w:t xml:space="preserve">               （采购人）</w:t>
      </w:r>
      <w:r/>
    </w:p>
    <w:p>
      <w:pPr>
        <w:pStyle w:val="857"/>
        <w:ind w:firstLine="480"/>
        <w:pageBreakBefore w:val="0"/>
        <w:spacing w:beforeAutospacing="0" w:afterAutospacing="0" w:line="240" w:lineRule="auto"/>
        <w:rPr>
          <w:highlight w:val="none"/>
        </w:rPr>
      </w:pPr>
      <w:r>
        <w:rPr>
          <w:rFonts w:hint="eastAsia" w:ascii="宋体" w:hAnsi="宋体" w:eastAsia="宋体" w:cs="宋体"/>
          <w:color w:val="000000"/>
          <w:highlight w:val="none"/>
        </w:rPr>
        <w:t xml:space="preserve">根据贵方的</w:t>
      </w:r>
      <w:r>
        <w:rPr>
          <w:rFonts w:hint="eastAsia" w:ascii="宋体" w:hAnsi="宋体" w:eastAsia="宋体" w:cs="宋体"/>
          <w:color w:val="000000"/>
          <w:highlight w:val="none"/>
          <w:u w:val="single"/>
          <w:lang w:val="en-US" w:eastAsia="zh-CN"/>
        </w:rPr>
        <w:t xml:space="preserve">               （项目名称、编号）</w:t>
      </w:r>
      <w:r>
        <w:rPr>
          <w:rFonts w:hint="eastAsia" w:ascii="宋体" w:hAnsi="宋体" w:eastAsia="宋体" w:cs="宋体"/>
          <w:color w:val="000000"/>
          <w:highlight w:val="none"/>
        </w:rPr>
        <w:t xml:space="preserve">招标文件，正式授权下述签字人______(姓名)代表我方______________（投标人的名称），全权处理本次项目投标的有关事宜。</w:t>
      </w:r>
      <w:r/>
    </w:p>
    <w:p>
      <w:pPr>
        <w:pStyle w:val="857"/>
        <w:ind w:firstLine="480"/>
        <w:pageBreakBefore w:val="0"/>
        <w:spacing w:beforeAutospacing="0" w:afterAutospacing="0" w:line="240" w:lineRule="auto"/>
        <w:rPr>
          <w:highlight w:val="none"/>
        </w:rPr>
      </w:pPr>
      <w:r>
        <w:rPr>
          <w:rFonts w:hint="eastAsia" w:ascii="宋体" w:hAnsi="宋体" w:eastAsia="宋体" w:cs="宋体"/>
          <w:color w:val="000000"/>
          <w:highlight w:val="none"/>
        </w:rPr>
        <w:t xml:space="preserve">据此函，__________签字人兹宣布同意如下：</w:t>
      </w:r>
      <w:r/>
    </w:p>
    <w:p>
      <w:pPr>
        <w:pStyle w:val="857"/>
        <w:ind w:firstLine="480"/>
        <w:pageBreakBefore w:val="0"/>
        <w:spacing w:beforeAutospacing="0" w:afterAutospacing="0" w:line="240" w:lineRule="auto"/>
        <w:rPr>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857"/>
        <w:ind w:firstLine="480"/>
        <w:pageBreakBefore w:val="0"/>
        <w:spacing w:beforeAutospacing="0" w:afterAutospacing="0" w:line="240" w:lineRule="auto"/>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857"/>
        <w:ind w:firstLine="480"/>
        <w:pageBreakBefore w:val="0"/>
        <w:spacing w:beforeAutospacing="0" w:afterAutospacing="0" w:line="240" w:lineRule="auto"/>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857"/>
        <w:ind w:firstLine="480"/>
        <w:pageBreakBefore w:val="0"/>
        <w:spacing w:beforeAutospacing="0" w:afterAutospacing="0" w:line="240" w:lineRule="auto"/>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857"/>
        <w:ind w:firstLine="480"/>
        <w:pageBreakBefore w:val="0"/>
        <w:spacing w:beforeAutospacing="0" w:afterAutospacing="0" w:line="240" w:lineRule="auto"/>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857"/>
        <w:ind w:firstLine="480"/>
        <w:pageBreakBefore w:val="0"/>
        <w:spacing w:beforeAutospacing="0" w:afterAutospacing="0" w:line="240" w:lineRule="auto"/>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857"/>
        <w:ind w:firstLine="480"/>
        <w:pageBreakBefore w:val="0"/>
        <w:spacing w:beforeAutospacing="0" w:afterAutospacing="0" w:line="240" w:lineRule="auto"/>
        <w:rPr>
          <w:highlight w:val="none"/>
        </w:rPr>
      </w:pPr>
      <w:r>
        <w:rPr>
          <w:rFonts w:hint="eastAsia" w:ascii="宋体" w:hAnsi="宋体" w:eastAsia="宋体" w:cs="宋体"/>
          <w:color w:val="000000"/>
          <w:highlight w:val="none"/>
        </w:rPr>
        <w:t xml:space="preserve">7.与本投标有关的正式通讯地址为：</w:t>
      </w:r>
      <w:r/>
    </w:p>
    <w:p>
      <w:pPr>
        <w:pStyle w:val="857"/>
        <w:ind w:left="420" w:firstLine="480"/>
        <w:pageBreakBefore w:val="0"/>
        <w:spacing w:beforeAutospacing="0" w:afterAutospacing="0" w:line="240" w:lineRule="auto"/>
        <w:rPr>
          <w:highlight w:val="none"/>
        </w:rPr>
      </w:pPr>
      <w:r>
        <w:rPr>
          <w:rFonts w:hint="eastAsia" w:ascii="宋体" w:hAnsi="宋体" w:eastAsia="宋体" w:cs="宋体"/>
          <w:color w:val="000000"/>
          <w:highlight w:val="none"/>
        </w:rPr>
        <w:t xml:space="preserve">地          址：</w:t>
      </w:r>
      <w:r/>
    </w:p>
    <w:p>
      <w:pPr>
        <w:pStyle w:val="857"/>
        <w:ind w:left="420" w:firstLine="480"/>
        <w:pageBreakBefore w:val="0"/>
        <w:spacing w:beforeAutospacing="0" w:afterAutospacing="0" w:line="240" w:lineRule="auto"/>
        <w:rPr>
          <w:highlight w:val="none"/>
        </w:rPr>
      </w:pPr>
      <w:r>
        <w:rPr>
          <w:rFonts w:hint="eastAsia" w:ascii="宋体" w:hAnsi="宋体" w:eastAsia="宋体" w:cs="宋体"/>
          <w:color w:val="000000"/>
          <w:highlight w:val="none"/>
        </w:rPr>
        <w:t xml:space="preserve">邮          编：</w:t>
      </w:r>
      <w:r/>
    </w:p>
    <w:p>
      <w:pPr>
        <w:pStyle w:val="857"/>
        <w:ind w:left="420" w:firstLine="480"/>
        <w:pageBreakBefore w:val="0"/>
        <w:spacing w:beforeAutospacing="0" w:afterAutospacing="0" w:line="240" w:lineRule="auto"/>
        <w:rPr>
          <w:highlight w:val="none"/>
        </w:rPr>
      </w:pPr>
      <w:r>
        <w:rPr>
          <w:rFonts w:hint="eastAsia" w:ascii="宋体" w:hAnsi="宋体" w:eastAsia="宋体" w:cs="宋体"/>
          <w:color w:val="000000"/>
          <w:highlight w:val="none"/>
        </w:rPr>
        <w:t xml:space="preserve">电          话：</w:t>
      </w:r>
      <w:r/>
    </w:p>
    <w:p>
      <w:pPr>
        <w:pStyle w:val="857"/>
        <w:ind w:left="420" w:firstLine="480"/>
        <w:pageBreakBefore w:val="0"/>
        <w:spacing w:beforeAutospacing="0" w:afterAutospacing="0" w:line="240" w:lineRule="auto"/>
        <w:rPr>
          <w:highlight w:val="none"/>
        </w:rPr>
      </w:pPr>
      <w:r>
        <w:rPr>
          <w:rFonts w:hint="eastAsia" w:ascii="宋体" w:hAnsi="宋体" w:eastAsia="宋体" w:cs="宋体"/>
          <w:color w:val="000000"/>
          <w:highlight w:val="none"/>
        </w:rPr>
        <w:t xml:space="preserve">传          真：</w:t>
      </w:r>
      <w:r/>
    </w:p>
    <w:p>
      <w:pPr>
        <w:pStyle w:val="857"/>
        <w:ind w:left="420" w:firstLine="480"/>
        <w:pageBreakBefore w:val="0"/>
        <w:spacing w:beforeAutospacing="0" w:afterAutospacing="0" w:line="240" w:lineRule="auto"/>
        <w:rPr>
          <w:highlight w:val="none"/>
        </w:rPr>
      </w:pPr>
      <w:r>
        <w:rPr>
          <w:rFonts w:hint="eastAsia" w:ascii="宋体" w:hAnsi="宋体" w:eastAsia="宋体" w:cs="宋体"/>
          <w:color w:val="000000"/>
          <w:highlight w:val="none"/>
        </w:rPr>
        <w:t xml:space="preserve">投标人开户行：</w:t>
      </w:r>
      <w:r/>
    </w:p>
    <w:p>
      <w:pPr>
        <w:pStyle w:val="857"/>
        <w:ind w:left="420" w:firstLine="480"/>
        <w:pageBreakBefore w:val="0"/>
        <w:spacing w:beforeAutospacing="0" w:afterAutospacing="0" w:line="240" w:lineRule="auto"/>
        <w:rPr>
          <w:highlight w:val="none"/>
        </w:rPr>
      </w:pPr>
      <w:r>
        <w:rPr>
          <w:rFonts w:hint="eastAsia" w:ascii="宋体" w:hAnsi="宋体" w:eastAsia="宋体" w:cs="宋体"/>
          <w:color w:val="000000"/>
          <w:highlight w:val="none"/>
        </w:rPr>
        <w:t xml:space="preserve">账          号： </w:t>
      </w:r>
      <w:r/>
    </w:p>
    <w:p>
      <w:pPr>
        <w:pStyle w:val="857"/>
        <w:ind w:left="420" w:firstLine="480"/>
        <w:pageBreakBefore w:val="0"/>
        <w:spacing w:beforeAutospacing="0" w:afterAutospacing="0" w:line="240" w:lineRule="auto"/>
        <w:rPr>
          <w:highlight w:val="none"/>
        </w:rPr>
      </w:pPr>
      <w:r>
        <w:rPr>
          <w:rFonts w:hint="eastAsia" w:ascii="宋体" w:hAnsi="宋体" w:eastAsia="宋体" w:cs="宋体"/>
          <w:color w:val="000000"/>
          <w:highlight w:val="none"/>
        </w:rPr>
        <w:t xml:space="preserve">日           期：________年____月____日</w:t>
      </w:r>
      <w:r/>
    </w:p>
    <w:p>
      <w:pPr>
        <w:pStyle w:val="857"/>
        <w:ind w:firstLine="240"/>
        <w:jc w:val="center"/>
        <w:pageBreakBefore w:val="0"/>
        <w:spacing w:beforeAutospacing="0" w:afterAutospacing="0" w:line="240" w:lineRule="auto"/>
        <w:rPr>
          <w:highlight w:val="none"/>
        </w:rPr>
      </w:pPr>
      <w:r>
        <w:rPr>
          <w:highlight w:val="none"/>
        </w:rPr>
        <w:t xml:space="preserve"> </w:t>
      </w:r>
      <w:r/>
    </w:p>
    <w:p>
      <w:pPr>
        <w:pStyle w:val="857"/>
        <w:ind w:firstLine="240"/>
        <w:jc w:val="center"/>
        <w:pageBreakBefore w:val="0"/>
        <w:spacing w:beforeAutospacing="0" w:afterAutospacing="0" w:line="240" w:lineRule="auto"/>
        <w:rPr>
          <w:highlight w:val="none"/>
        </w:rPr>
      </w:pPr>
      <w:r>
        <w:rPr>
          <w:highlight w:val="none"/>
        </w:rPr>
        <w:t xml:space="preserve"> </w:t>
      </w:r>
      <w:r/>
    </w:p>
    <w:p>
      <w:pPr>
        <w:pStyle w:val="857"/>
        <w:ind w:firstLine="240"/>
        <w:jc w:val="center"/>
        <w:pageBreakBefore w:val="0"/>
        <w:spacing w:beforeAutospacing="0" w:afterAutospacing="0" w:line="240" w:lineRule="auto"/>
        <w:rPr>
          <w:highlight w:val="none"/>
        </w:rPr>
      </w:pPr>
      <w:r>
        <w:rPr>
          <w:highlight w:val="none"/>
        </w:rPr>
        <w:t xml:space="preserve"> </w:t>
      </w:r>
      <w:r/>
    </w:p>
    <w:p>
      <w:pPr>
        <w:pStyle w:val="857"/>
        <w:ind w:firstLine="240"/>
        <w:jc w:val="center"/>
        <w:pageBreakBefore w:val="0"/>
        <w:spacing w:beforeAutospacing="0" w:afterAutospacing="0" w:line="240" w:lineRule="auto"/>
        <w:rPr>
          <w:highlight w:val="none"/>
        </w:rPr>
      </w:pPr>
      <w:r>
        <w:rPr>
          <w:highlight w:val="none"/>
        </w:rPr>
        <w:t xml:space="preserve"> </w:t>
      </w:r>
      <w:r/>
    </w:p>
    <w:p>
      <w:pPr>
        <w:pStyle w:val="857"/>
        <w:ind w:firstLine="240"/>
        <w:jc w:val="center"/>
        <w:pageBreakBefore w:val="0"/>
        <w:spacing w:beforeAutospacing="0" w:afterAutospacing="0" w:line="240" w:lineRule="auto"/>
        <w:rPr>
          <w:highlight w:val="none"/>
        </w:rPr>
      </w:pPr>
      <w:r>
        <w:rPr>
          <w:highlight w:val="none"/>
        </w:rPr>
        <w:t xml:space="preserve"> </w:t>
      </w:r>
      <w:r/>
    </w:p>
    <w:p>
      <w:pPr>
        <w:pStyle w:val="857"/>
        <w:ind w:firstLine="240"/>
        <w:jc w:val="center"/>
        <w:pageBreakBefore w:val="0"/>
        <w:spacing w:beforeAutospacing="0" w:afterAutospacing="0" w:line="240" w:lineRule="auto"/>
        <w:rPr>
          <w:highlight w:val="none"/>
        </w:rPr>
      </w:pPr>
      <w:r>
        <w:rPr>
          <w:highlight w:val="none"/>
        </w:rPr>
      </w:r>
      <w:r/>
    </w:p>
    <w:p>
      <w:pPr>
        <w:pStyle w:val="857"/>
        <w:ind w:firstLine="240"/>
        <w:jc w:val="center"/>
        <w:pageBreakBefore w:val="0"/>
        <w:spacing w:beforeAutospacing="0" w:afterAutospacing="0" w:line="240" w:lineRule="auto"/>
        <w:rPr>
          <w:highlight w:val="none"/>
        </w:rPr>
      </w:pPr>
      <w:r>
        <w:rPr>
          <w:highlight w:val="none"/>
        </w:rPr>
      </w:r>
      <w:r/>
    </w:p>
    <w:p>
      <w:pPr>
        <w:pStyle w:val="857"/>
        <w:ind w:firstLine="240"/>
        <w:jc w:val="center"/>
        <w:pageBreakBefore w:val="0"/>
        <w:spacing w:beforeAutospacing="0" w:afterAutospacing="0" w:line="240" w:lineRule="auto"/>
        <w:rPr>
          <w:highlight w:val="none"/>
        </w:rPr>
      </w:pPr>
      <w:r>
        <w:rPr>
          <w:highlight w:val="none"/>
        </w:rPr>
      </w:r>
      <w:r/>
    </w:p>
    <w:p>
      <w:pPr>
        <w:pStyle w:val="857"/>
        <w:ind w:firstLine="240"/>
        <w:jc w:val="center"/>
        <w:pageBreakBefore w:val="0"/>
        <w:spacing w:beforeAutospacing="0" w:afterAutospacing="0" w:line="240" w:lineRule="auto"/>
        <w:rPr>
          <w:highlight w:val="none"/>
        </w:rPr>
      </w:pPr>
      <w:r>
        <w:rPr>
          <w:highlight w:val="none"/>
        </w:rPr>
      </w:r>
      <w:r/>
    </w:p>
    <w:p>
      <w:pPr>
        <w:pStyle w:val="857"/>
        <w:ind w:firstLine="240"/>
        <w:jc w:val="center"/>
        <w:pageBreakBefore w:val="0"/>
        <w:spacing w:beforeAutospacing="0" w:afterAutospacing="0" w:line="240" w:lineRule="auto"/>
        <w:rPr>
          <w:highlight w:val="none"/>
        </w:rPr>
      </w:pPr>
      <w:r>
        <w:rPr>
          <w:highlight w:val="none"/>
        </w:rPr>
      </w:r>
      <w:r/>
    </w:p>
    <w:p>
      <w:pPr>
        <w:pStyle w:val="857"/>
        <w:ind w:firstLine="240"/>
        <w:jc w:val="center"/>
        <w:pageBreakBefore w:val="0"/>
        <w:spacing w:beforeAutospacing="0" w:afterAutospacing="0" w:line="240" w:lineRule="auto"/>
        <w:rPr>
          <w:highlight w:val="none"/>
        </w:rPr>
      </w:pPr>
      <w:r>
        <w:rPr>
          <w:highlight w:val="none"/>
        </w:rPr>
      </w:r>
      <w:r/>
    </w:p>
    <w:p>
      <w:pPr>
        <w:pStyle w:val="857"/>
        <w:ind w:firstLine="240"/>
        <w:jc w:val="center"/>
        <w:pageBreakBefore w:val="0"/>
        <w:spacing w:beforeAutospacing="0" w:afterAutospacing="0" w:line="240" w:lineRule="auto"/>
        <w:rPr>
          <w:highlight w:val="none"/>
        </w:rPr>
      </w:pPr>
      <w:r>
        <w:rPr>
          <w:highlight w:val="none"/>
        </w:rPr>
      </w:r>
      <w:r/>
    </w:p>
    <w:p>
      <w:pPr>
        <w:pStyle w:val="857"/>
        <w:ind w:firstLine="240"/>
        <w:jc w:val="center"/>
        <w:pageBreakBefore w:val="0"/>
        <w:spacing w:beforeAutospacing="0" w:afterAutospacing="0" w:line="240" w:lineRule="auto"/>
        <w:rPr>
          <w:highlight w:val="none"/>
        </w:rPr>
      </w:pPr>
      <w:r>
        <w:rPr>
          <w:highlight w:val="none"/>
        </w:rPr>
      </w:r>
      <w:r/>
    </w:p>
    <w:p>
      <w:pPr>
        <w:pStyle w:val="857"/>
        <w:ind w:firstLine="240"/>
        <w:jc w:val="center"/>
        <w:pageBreakBefore w:val="0"/>
        <w:spacing w:beforeAutospacing="0" w:afterAutospacing="0" w:line="240" w:lineRule="auto"/>
        <w:rPr>
          <w:highlight w:val="none"/>
        </w:rPr>
      </w:pPr>
      <w:r>
        <w:rPr>
          <w:highlight w:val="none"/>
        </w:rPr>
      </w:r>
      <w:r/>
    </w:p>
    <w:p>
      <w:pPr>
        <w:pStyle w:val="857"/>
        <w:ind w:firstLine="240"/>
        <w:jc w:val="center"/>
        <w:pageBreakBefore w:val="0"/>
        <w:spacing w:beforeAutospacing="0" w:afterAutospacing="0" w:line="240" w:lineRule="auto"/>
        <w:rPr>
          <w:highlight w:val="none"/>
        </w:rPr>
      </w:pPr>
      <w:r>
        <w:rPr>
          <w:highlight w:val="none"/>
        </w:rPr>
      </w:r>
      <w:r/>
    </w:p>
    <w:p>
      <w:pPr>
        <w:pStyle w:val="857"/>
        <w:ind w:firstLine="240"/>
        <w:jc w:val="center"/>
        <w:pageBreakBefore w:val="0"/>
        <w:spacing w:beforeAutospacing="0" w:afterAutospacing="0" w:line="240" w:lineRule="auto"/>
        <w:rPr>
          <w:highlight w:val="none"/>
        </w:rPr>
      </w:pPr>
      <w:r>
        <w:rPr>
          <w:highlight w:val="none"/>
        </w:rPr>
      </w:r>
      <w:r/>
    </w:p>
    <w:p>
      <w:pPr>
        <w:pStyle w:val="857"/>
        <w:jc w:val="center"/>
        <w:pageBreakBefore w:val="0"/>
        <w:spacing w:beforeAutospacing="0" w:afterAutospacing="0" w:line="240" w:lineRule="auto"/>
        <w:rPr>
          <w:highlight w:val="none"/>
        </w:rPr>
      </w:pPr>
      <w:r>
        <w:rPr>
          <w:highlight w:val="none"/>
        </w:rPr>
        <w:t xml:space="preserve"> </w:t>
      </w:r>
      <w:r/>
    </w:p>
    <w:p>
      <w:pPr>
        <w:pStyle w:val="857"/>
        <w:jc w:val="center"/>
        <w:pageBreakBefore w:val="0"/>
        <w:spacing w:beforeAutospacing="0" w:afterAutospacing="0" w:line="240" w:lineRule="auto"/>
        <w:rPr>
          <w:color w:val="auto"/>
          <w:highlight w:val="none"/>
        </w:rPr>
      </w:pPr>
      <w:r>
        <w:rPr>
          <w:rFonts w:hint="eastAsia" w:ascii="黑体" w:hAnsi="宋体" w:eastAsia="黑体" w:cs="黑体"/>
          <w:b/>
          <w:color w:val="auto"/>
          <w:sz w:val="32"/>
          <w:szCs w:val="32"/>
          <w:highlight w:val="none"/>
          <w:lang w:eastAsia="zh-CN"/>
        </w:rPr>
        <w:t xml:space="preserve">十</w:t>
      </w:r>
      <w:r>
        <w:rPr>
          <w:rFonts w:hint="eastAsia" w:ascii="黑体" w:hAnsi="宋体" w:eastAsia="黑体" w:cs="黑体"/>
          <w:b/>
          <w:color w:val="auto"/>
          <w:sz w:val="32"/>
          <w:szCs w:val="32"/>
          <w:highlight w:val="none"/>
          <w:lang w:val="en-US" w:eastAsia="zh-CN"/>
        </w:rPr>
        <w:t xml:space="preserve">一</w:t>
      </w:r>
      <w:r>
        <w:rPr>
          <w:rFonts w:hint="eastAsia" w:ascii="黑体" w:hAnsi="宋体" w:eastAsia="黑体" w:cs="黑体"/>
          <w:b/>
          <w:color w:val="auto"/>
          <w:sz w:val="32"/>
          <w:szCs w:val="32"/>
          <w:highlight w:val="none"/>
        </w:rPr>
        <w:t xml:space="preserve">、</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企业声明函（服务）（分包号：**）</w:t>
      </w:r>
      <w:r/>
    </w:p>
    <w:p>
      <w:pPr>
        <w:ind w:firstLine="480"/>
        <w:jc w:val="both"/>
        <w:pageBreakBefore w:val="0"/>
        <w:spacing w:line="240" w:lineRule="auto"/>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u w:val="single"/>
          <w:lang w:val="en-US" w:eastAsia="zh-CN"/>
        </w:rPr>
        <w:t xml:space="preserve">        </w:t>
      </w:r>
      <w:r>
        <w:rPr>
          <w:rFonts w:hint="eastAsia"/>
          <w:i/>
          <w:iCs/>
          <w:color w:val="auto"/>
          <w:sz w:val="24"/>
          <w:szCs w:val="24"/>
          <w:highlight w:val="none"/>
          <w:u w:val="single"/>
        </w:rPr>
        <w:t xml:space="preserve">（单位名称）</w:t>
      </w:r>
      <w:r>
        <w:rPr>
          <w:rFonts w:hint="eastAsia"/>
          <w:color w:val="auto"/>
          <w:sz w:val="24"/>
          <w:highlight w:val="none"/>
        </w:rPr>
        <w:t xml:space="preserve">组织的</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2"/>
        </w:numPr>
        <w:ind w:firstLine="480"/>
        <w:jc w:val="both"/>
        <w:pageBreakBefore w:val="0"/>
        <w:spacing w:line="240" w:lineRule="auto"/>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2"/>
        </w:numPr>
        <w:ind w:left="0" w:firstLine="480"/>
        <w:jc w:val="both"/>
        <w:pageBreakBefore w:val="0"/>
        <w:spacing w:line="240" w:lineRule="auto"/>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pageBreakBefore w:val="0"/>
        <w:spacing w:line="240" w:lineRule="auto"/>
        <w:rPr>
          <w:rFonts w:hint="eastAsia"/>
          <w:color w:val="auto"/>
          <w:sz w:val="24"/>
          <w:highlight w:val="none"/>
        </w:rPr>
      </w:pPr>
      <w:r>
        <w:rPr>
          <w:rFonts w:hint="eastAsia"/>
          <w:color w:val="auto"/>
          <w:sz w:val="24"/>
          <w:highlight w:val="none"/>
        </w:rPr>
        <w:t xml:space="preserve">……</w:t>
      </w:r>
      <w:r/>
    </w:p>
    <w:p>
      <w:pPr>
        <w:numPr>
          <w:ilvl w:val="0"/>
          <w:numId w:val="0"/>
        </w:numPr>
        <w:ind w:firstLine="480"/>
        <w:jc w:val="both"/>
        <w:pageBreakBefore w:val="0"/>
        <w:spacing w:line="240" w:lineRule="auto"/>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pageBreakBefore w:val="0"/>
        <w:spacing w:line="240" w:lineRule="auto"/>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857"/>
        <w:ind w:right="720"/>
        <w:jc w:val="both"/>
        <w:pageBreakBefore w:val="0"/>
        <w:spacing w:beforeAutospacing="0" w:afterAutospacing="0" w:line="240" w:lineRule="auto"/>
        <w:rPr>
          <w:color w:val="auto"/>
          <w:highlight w:val="none"/>
        </w:rPr>
      </w:pPr>
      <w:r>
        <w:rPr>
          <w:color w:val="auto"/>
          <w:highlight w:val="none"/>
        </w:rPr>
        <w:t xml:space="preserve"> </w:t>
      </w:r>
      <w:r/>
    </w:p>
    <w:p>
      <w:pPr>
        <w:pStyle w:val="857"/>
        <w:ind w:right="180" w:firstLine="360"/>
        <w:jc w:val="right"/>
        <w:pageBreakBefore w:val="0"/>
        <w:spacing w:beforeAutospacing="0" w:afterAutospacing="0" w:line="240" w:lineRule="auto"/>
        <w:rPr>
          <w:color w:val="auto"/>
          <w:highlight w:val="none"/>
        </w:rPr>
      </w:pPr>
      <w:r>
        <w:rPr>
          <w:rFonts w:hint="eastAsia" w:ascii="宋体" w:hAnsi="宋体" w:eastAsia="宋体" w:cs="宋体"/>
          <w:color w:val="auto"/>
          <w:highlight w:val="none"/>
        </w:rPr>
        <w:t xml:space="preserve">企业名称（加盖CA电子公章）：</w:t>
      </w:r>
      <w:r/>
    </w:p>
    <w:p>
      <w:pPr>
        <w:pStyle w:val="857"/>
        <w:ind w:right="480" w:firstLine="5400"/>
        <w:jc w:val="both"/>
        <w:pageBreakBefore w:val="0"/>
        <w:spacing w:beforeAutospacing="0" w:afterAutospacing="0" w:line="240" w:lineRule="auto"/>
        <w:rPr>
          <w:color w:val="auto"/>
          <w:highlight w:val="none"/>
        </w:rPr>
      </w:pPr>
      <w:r>
        <w:rPr>
          <w:rFonts w:hint="eastAsia" w:ascii="宋体" w:hAnsi="宋体" w:eastAsia="宋体" w:cs="宋体"/>
          <w:color w:val="auto"/>
          <w:highlight w:val="none"/>
        </w:rPr>
        <w:t xml:space="preserve">日  期：</w:t>
      </w:r>
      <w:r/>
    </w:p>
    <w:p>
      <w:pPr>
        <w:pStyle w:val="857"/>
        <w:ind w:firstLine="240"/>
        <w:jc w:val="both"/>
        <w:pageBreakBefore w:val="0"/>
        <w:spacing w:beforeAutospacing="0" w:afterAutospacing="0" w:line="240" w:lineRule="auto"/>
        <w:rPr>
          <w:color w:val="auto"/>
          <w:highlight w:val="none"/>
        </w:rPr>
      </w:pPr>
      <w:r>
        <w:rPr>
          <w:color w:val="auto"/>
          <w:highlight w:val="none"/>
        </w:rPr>
        <w:t xml:space="preserve"> </w:t>
      </w:r>
      <w:r/>
    </w:p>
    <w:p>
      <w:pPr>
        <w:pStyle w:val="857"/>
        <w:ind w:firstLine="480"/>
        <w:jc w:val="both"/>
        <w:pageBreakBefore w:val="0"/>
        <w:spacing w:beforeAutospacing="0" w:afterAutospacing="0" w:line="240" w:lineRule="auto"/>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57"/>
        <w:ind w:firstLine="480"/>
        <w:jc w:val="both"/>
        <w:pageBreakBefore w:val="0"/>
        <w:spacing w:beforeAutospacing="0" w:afterAutospacing="0" w:line="240" w:lineRule="auto"/>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857"/>
        <w:jc w:val="center"/>
        <w:pageBreakBefore w:val="0"/>
        <w:spacing w:beforeAutospacing="0" w:afterAutospacing="0" w:line="240" w:lineRule="auto"/>
        <w:rPr>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000000"/>
          <w:sz w:val="32"/>
          <w:szCs w:val="32"/>
          <w:highlight w:val="none"/>
          <w:lang w:eastAsia="zh-CN"/>
        </w:rPr>
        <w:t xml:space="preserve">十</w:t>
      </w:r>
      <w:r>
        <w:rPr>
          <w:rFonts w:hint="eastAsia" w:ascii="黑体" w:hAnsi="宋体" w:eastAsia="黑体" w:cs="黑体"/>
          <w:b/>
          <w:color w:val="000000"/>
          <w:sz w:val="32"/>
          <w:szCs w:val="32"/>
          <w:highlight w:val="none"/>
          <w:lang w:val="en-US" w:eastAsia="zh-CN"/>
        </w:rPr>
        <w:t xml:space="preserve">二</w:t>
      </w:r>
      <w:r>
        <w:rPr>
          <w:rFonts w:hint="eastAsia" w:ascii="黑体" w:hAnsi="宋体" w:eastAsia="黑体" w:cs="黑体"/>
          <w:b/>
          <w:color w:val="000000"/>
          <w:sz w:val="32"/>
          <w:szCs w:val="32"/>
          <w:highlight w:val="none"/>
        </w:rPr>
        <w:t xml:space="preserve">、残疾人福利性单位声明函（分包号：**）</w:t>
      </w:r>
      <w:r/>
    </w:p>
    <w:p>
      <w:pPr>
        <w:pStyle w:val="857"/>
        <w:ind w:firstLine="480"/>
        <w:jc w:val="both"/>
        <w:pageBreakBefore w:val="0"/>
        <w:spacing w:beforeAutospacing="0" w:afterAutospacing="0" w:line="240" w:lineRule="auto"/>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项目（分包号：**）采购活动由本单位提供服务。</w:t>
      </w:r>
      <w:r/>
    </w:p>
    <w:p>
      <w:pPr>
        <w:pStyle w:val="857"/>
        <w:ind w:firstLine="480"/>
        <w:jc w:val="both"/>
        <w:pageBreakBefore w:val="0"/>
        <w:spacing w:beforeAutospacing="0" w:afterAutospacing="0" w:line="240" w:lineRule="auto"/>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857"/>
        <w:ind w:firstLine="480"/>
        <w:jc w:val="both"/>
        <w:pageBreakBefore w:val="0"/>
        <w:spacing w:beforeAutospacing="0" w:afterAutospacing="0" w:line="240" w:lineRule="auto"/>
        <w:rPr>
          <w:highlight w:val="none"/>
        </w:rPr>
      </w:pPr>
      <w:r>
        <w:rPr>
          <w:highlight w:val="none"/>
        </w:rPr>
        <w:t xml:space="preserve"> </w:t>
      </w:r>
      <w:r/>
    </w:p>
    <w:p>
      <w:pPr>
        <w:pStyle w:val="857"/>
        <w:ind w:firstLine="480"/>
        <w:jc w:val="both"/>
        <w:pageBreakBefore w:val="0"/>
        <w:spacing w:beforeAutospacing="0" w:afterAutospacing="0" w:line="240" w:lineRule="auto"/>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857"/>
        <w:ind w:firstLine="480"/>
        <w:jc w:val="both"/>
        <w:pageBreakBefore w:val="0"/>
        <w:spacing w:beforeAutospacing="0" w:afterAutospacing="0" w:line="240" w:lineRule="auto"/>
        <w:rPr>
          <w:highlight w:val="none"/>
        </w:rPr>
      </w:pPr>
      <w:r>
        <w:rPr>
          <w:rFonts w:hint="eastAsia" w:ascii="宋体" w:hAnsi="宋体" w:eastAsia="宋体" w:cs="宋体"/>
          <w:color w:val="000000"/>
          <w:highlight w:val="none"/>
        </w:rPr>
        <w:t xml:space="preserve">2、中标人为残疾人福利单位的，此声明函将随中标结果同时公告，接受社会监督</w:t>
      </w:r>
      <w:r/>
    </w:p>
    <w:p>
      <w:pPr>
        <w:pStyle w:val="857"/>
        <w:ind w:firstLine="624"/>
        <w:jc w:val="both"/>
        <w:pageBreakBefore w:val="0"/>
        <w:spacing w:beforeAutospacing="0" w:afterAutospacing="0" w:line="240" w:lineRule="auto"/>
        <w:rPr>
          <w:highlight w:val="none"/>
        </w:rPr>
      </w:pPr>
      <w:r>
        <w:rPr>
          <w:highlight w:val="none"/>
        </w:rPr>
        <w:t xml:space="preserve"> </w:t>
      </w:r>
      <w:r/>
    </w:p>
    <w:p>
      <w:pPr>
        <w:pStyle w:val="857"/>
        <w:ind w:right="1560" w:firstLine="624"/>
        <w:jc w:val="center"/>
        <w:pageBreakBefore w:val="0"/>
        <w:spacing w:beforeAutospacing="0" w:afterAutospacing="0" w:line="240" w:lineRule="auto"/>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857"/>
        <w:ind w:right="1560" w:firstLine="480"/>
        <w:jc w:val="center"/>
        <w:pageBreakBefore w:val="0"/>
        <w:spacing w:beforeAutospacing="0" w:afterAutospacing="0" w:line="240" w:lineRule="auto"/>
        <w:tabs>
          <w:tab w:val="left" w:pos="4864" w:leader="none"/>
        </w:tabs>
        <w:rPr>
          <w:highlight w:val="none"/>
        </w:rPr>
      </w:pPr>
      <w:r>
        <w:rPr>
          <w:rFonts w:hint="eastAsia" w:ascii="宋体" w:hAnsi="宋体" w:eastAsia="宋体" w:cs="宋体"/>
          <w:color w:val="000000"/>
          <w:highlight w:val="none"/>
        </w:rPr>
        <w:t xml:space="preserve">        日  期：</w:t>
      </w:r>
      <w:r/>
    </w:p>
    <w:p>
      <w:pPr>
        <w:pStyle w:val="857"/>
        <w:jc w:val="center"/>
        <w:pageBreakBefore w:val="0"/>
        <w:spacing w:beforeAutospacing="0" w:afterAutospacing="0" w:line="240" w:lineRule="auto"/>
        <w:rPr>
          <w:highlight w:val="none"/>
        </w:rPr>
      </w:pPr>
      <w:r>
        <w:rPr>
          <w:highlight w:val="none"/>
        </w:rPr>
        <w:t xml:space="preserve"> </w:t>
      </w:r>
      <w:r/>
    </w:p>
    <w:p>
      <w:pPr>
        <w:pStyle w:val="857"/>
        <w:jc w:val="center"/>
        <w:pageBreakBefore w:val="0"/>
        <w:spacing w:beforeAutospacing="0" w:afterAutospacing="0" w:line="240" w:lineRule="auto"/>
        <w:rPr>
          <w:highlight w:val="none"/>
        </w:rPr>
      </w:pPr>
      <w:r>
        <w:rPr>
          <w:highlight w:val="none"/>
        </w:rPr>
        <w:t xml:space="preserve"> </w:t>
      </w:r>
      <w:r/>
    </w:p>
    <w:p>
      <w:pPr>
        <w:pStyle w:val="857"/>
        <w:jc w:val="center"/>
        <w:pageBreakBefore w:val="0"/>
        <w:spacing w:beforeAutospacing="0" w:afterAutospacing="0" w:line="240" w:lineRule="auto"/>
        <w:rPr>
          <w:highlight w:val="none"/>
        </w:rPr>
      </w:pPr>
      <w:r>
        <w:rPr>
          <w:highlight w:val="none"/>
        </w:rPr>
        <w:t xml:space="preserve"> </w:t>
      </w:r>
      <w:r/>
    </w:p>
    <w:p>
      <w:pPr>
        <w:pStyle w:val="857"/>
        <w:jc w:val="center"/>
        <w:pageBreakBefore w:val="0"/>
        <w:spacing w:beforeAutospacing="0" w:afterAutospacing="0" w:line="240" w:lineRule="auto"/>
        <w:rPr>
          <w:highlight w:val="none"/>
        </w:rPr>
      </w:pPr>
      <w:r>
        <w:rPr>
          <w:highlight w:val="none"/>
        </w:rPr>
        <w:t xml:space="preserve"> </w:t>
      </w:r>
      <w:r/>
    </w:p>
    <w:p>
      <w:pPr>
        <w:pStyle w:val="857"/>
        <w:jc w:val="center"/>
        <w:pageBreakBefore w:val="0"/>
        <w:spacing w:beforeAutospacing="0" w:afterAutospacing="0" w:line="240" w:lineRule="auto"/>
        <w:rPr>
          <w:highlight w:val="none"/>
        </w:rPr>
      </w:pPr>
      <w:r>
        <w:rPr>
          <w:highlight w:val="none"/>
        </w:rPr>
        <w:t xml:space="preserve"> </w:t>
      </w:r>
      <w:r/>
    </w:p>
    <w:p>
      <w:pPr>
        <w:pStyle w:val="857"/>
        <w:jc w:val="center"/>
        <w:pageBreakBefore w:val="0"/>
        <w:spacing w:beforeAutospacing="0" w:afterAutospacing="0" w:line="240" w:lineRule="auto"/>
        <w:rPr>
          <w:highlight w:val="none"/>
        </w:rPr>
      </w:pPr>
      <w:r>
        <w:rPr>
          <w:highlight w:val="none"/>
        </w:rPr>
        <w:t xml:space="preserve"> </w:t>
      </w:r>
      <w:r/>
    </w:p>
    <w:p>
      <w:pPr>
        <w:pStyle w:val="857"/>
        <w:jc w:val="center"/>
        <w:pageBreakBefore w:val="0"/>
        <w:spacing w:beforeAutospacing="0" w:afterAutospacing="0" w:line="240" w:lineRule="auto"/>
        <w:rPr>
          <w:highlight w:val="none"/>
        </w:rPr>
      </w:pPr>
      <w:r>
        <w:rPr>
          <w:highlight w:val="none"/>
        </w:rPr>
        <w:t xml:space="preserve"> </w:t>
      </w:r>
      <w:r/>
    </w:p>
    <w:p>
      <w:pPr>
        <w:pStyle w:val="857"/>
        <w:jc w:val="center"/>
        <w:pageBreakBefore w:val="0"/>
        <w:spacing w:beforeAutospacing="0" w:afterAutospacing="0" w:line="240" w:lineRule="auto"/>
        <w:rPr>
          <w:highlight w:val="none"/>
        </w:rPr>
      </w:pPr>
      <w:r>
        <w:rPr>
          <w:highlight w:val="none"/>
        </w:rPr>
        <w:t xml:space="preserve"> </w:t>
      </w:r>
      <w:r/>
    </w:p>
    <w:p>
      <w:pPr>
        <w:pStyle w:val="857"/>
        <w:jc w:val="center"/>
        <w:pageBreakBefore w:val="0"/>
        <w:spacing w:beforeAutospacing="0" w:afterAutospacing="0" w:line="240" w:lineRule="auto"/>
        <w:rPr>
          <w:highlight w:val="none"/>
        </w:rPr>
      </w:pPr>
      <w:r>
        <w:rPr>
          <w:highlight w:val="none"/>
        </w:rPr>
      </w:r>
      <w:r/>
    </w:p>
    <w:p>
      <w:pPr>
        <w:pStyle w:val="857"/>
        <w:jc w:val="center"/>
        <w:pageBreakBefore w:val="0"/>
        <w:spacing w:beforeAutospacing="0" w:afterAutospacing="0" w:line="240" w:lineRule="auto"/>
        <w:rPr>
          <w:highlight w:val="none"/>
        </w:rPr>
      </w:pPr>
      <w:r>
        <w:rPr>
          <w:highlight w:val="none"/>
        </w:rPr>
      </w:r>
      <w:r/>
    </w:p>
    <w:p>
      <w:pPr>
        <w:pStyle w:val="857"/>
        <w:jc w:val="center"/>
        <w:pageBreakBefore w:val="0"/>
        <w:spacing w:beforeAutospacing="0" w:afterAutospacing="0" w:line="240" w:lineRule="auto"/>
        <w:rPr>
          <w:highlight w:val="none"/>
        </w:rPr>
      </w:pPr>
      <w:r>
        <w:rPr>
          <w:highlight w:val="none"/>
        </w:rPr>
      </w:r>
      <w:r/>
    </w:p>
    <w:p>
      <w:pPr>
        <w:pStyle w:val="857"/>
        <w:jc w:val="center"/>
        <w:pageBreakBefore w:val="0"/>
        <w:spacing w:beforeAutospacing="0" w:afterAutospacing="0" w:line="240" w:lineRule="auto"/>
        <w:rPr>
          <w:highlight w:val="none"/>
        </w:rPr>
      </w:pPr>
      <w:r>
        <w:rPr>
          <w:highlight w:val="none"/>
        </w:rPr>
      </w:r>
      <w:r/>
    </w:p>
    <w:p>
      <w:pPr>
        <w:pStyle w:val="857"/>
        <w:jc w:val="center"/>
        <w:pageBreakBefore w:val="0"/>
        <w:spacing w:beforeAutospacing="0" w:afterAutospacing="0" w:line="240" w:lineRule="auto"/>
        <w:rPr>
          <w:highlight w:val="none"/>
        </w:rPr>
      </w:pPr>
      <w:r>
        <w:rPr>
          <w:highlight w:val="none"/>
        </w:rPr>
      </w:r>
      <w:r/>
    </w:p>
    <w:p>
      <w:pPr>
        <w:pStyle w:val="857"/>
        <w:jc w:val="center"/>
        <w:pageBreakBefore w:val="0"/>
        <w:spacing w:beforeAutospacing="0" w:afterAutospacing="0" w:line="240" w:lineRule="auto"/>
        <w:rPr>
          <w:highlight w:val="none"/>
        </w:rPr>
      </w:pPr>
      <w:r>
        <w:rPr>
          <w:highlight w:val="none"/>
        </w:rPr>
      </w:r>
      <w:r/>
    </w:p>
    <w:p>
      <w:pPr>
        <w:pStyle w:val="857"/>
        <w:jc w:val="center"/>
        <w:pageBreakBefore w:val="0"/>
        <w:spacing w:beforeAutospacing="0" w:afterAutospacing="0" w:line="240" w:lineRule="auto"/>
        <w:rPr>
          <w:highlight w:val="none"/>
        </w:rPr>
      </w:pPr>
      <w:r>
        <w:rPr>
          <w:highlight w:val="none"/>
        </w:rPr>
      </w:r>
      <w:r/>
    </w:p>
    <w:p>
      <w:pPr>
        <w:pStyle w:val="857"/>
        <w:jc w:val="center"/>
        <w:pageBreakBefore w:val="0"/>
        <w:spacing w:beforeAutospacing="0" w:afterAutospacing="0" w:line="240" w:lineRule="auto"/>
        <w:rPr>
          <w:highlight w:val="none"/>
        </w:rPr>
      </w:pPr>
      <w:r>
        <w:rPr>
          <w:highlight w:val="none"/>
        </w:rPr>
      </w:r>
      <w:r/>
    </w:p>
    <w:p>
      <w:pPr>
        <w:pStyle w:val="857"/>
        <w:jc w:val="center"/>
        <w:pageBreakBefore w:val="0"/>
        <w:spacing w:beforeAutospacing="0" w:afterAutospacing="0" w:line="240" w:lineRule="auto"/>
        <w:rPr>
          <w:highlight w:val="none"/>
        </w:rPr>
      </w:pPr>
      <w:r>
        <w:rPr>
          <w:highlight w:val="none"/>
        </w:rPr>
      </w:r>
      <w:r/>
    </w:p>
    <w:p>
      <w:pPr>
        <w:pStyle w:val="857"/>
        <w:jc w:val="center"/>
        <w:pageBreakBefore w:val="0"/>
        <w:spacing w:beforeAutospacing="0" w:afterAutospacing="0" w:line="240" w:lineRule="auto"/>
        <w:rPr>
          <w:highlight w:val="none"/>
        </w:rPr>
      </w:pPr>
      <w:r>
        <w:rPr>
          <w:highlight w:val="none"/>
        </w:rPr>
      </w:r>
      <w:r/>
    </w:p>
    <w:p>
      <w:pPr>
        <w:pStyle w:val="857"/>
        <w:jc w:val="center"/>
        <w:pageBreakBefore w:val="0"/>
        <w:spacing w:beforeAutospacing="0" w:afterAutospacing="0" w:line="240" w:lineRule="auto"/>
        <w:rPr>
          <w:highlight w:val="none"/>
        </w:rPr>
      </w:pPr>
      <w:r>
        <w:rPr>
          <w:highlight w:val="none"/>
        </w:rPr>
      </w:r>
      <w:r/>
    </w:p>
    <w:p>
      <w:pPr>
        <w:pStyle w:val="857"/>
        <w:jc w:val="center"/>
        <w:pageBreakBefore w:val="0"/>
        <w:spacing w:beforeAutospacing="0" w:afterAutospacing="0" w:line="240" w:lineRule="auto"/>
        <w:rPr>
          <w:highlight w:val="none"/>
        </w:rPr>
      </w:pPr>
      <w:r>
        <w:rPr>
          <w:highlight w:val="none"/>
        </w:rPr>
      </w:r>
      <w:r/>
    </w:p>
    <w:p>
      <w:pPr>
        <w:pStyle w:val="857"/>
        <w:jc w:val="center"/>
        <w:pageBreakBefore w:val="0"/>
        <w:spacing w:beforeAutospacing="0" w:afterAutospacing="0" w:line="240" w:lineRule="auto"/>
        <w:rPr>
          <w:highlight w:val="none"/>
        </w:rPr>
      </w:pPr>
      <w:r>
        <w:rPr>
          <w:highlight w:val="none"/>
        </w:rPr>
      </w:r>
      <w:r/>
    </w:p>
    <w:p>
      <w:pPr>
        <w:pStyle w:val="857"/>
        <w:jc w:val="center"/>
        <w:pageBreakBefore w:val="0"/>
        <w:spacing w:beforeAutospacing="0" w:afterAutospacing="0" w:line="240" w:lineRule="auto"/>
        <w:rPr>
          <w:highlight w:val="none"/>
        </w:rPr>
      </w:pPr>
      <w:r>
        <w:rPr>
          <w:highlight w:val="none"/>
        </w:rPr>
      </w:r>
      <w:r/>
    </w:p>
    <w:p>
      <w:pPr>
        <w:pStyle w:val="857"/>
        <w:jc w:val="center"/>
        <w:pageBreakBefore w:val="0"/>
        <w:spacing w:beforeAutospacing="0" w:afterAutospacing="0" w:line="240" w:lineRule="auto"/>
        <w:rPr>
          <w:highlight w:val="none"/>
        </w:rPr>
      </w:pPr>
      <w:r>
        <w:rPr>
          <w:highlight w:val="none"/>
        </w:rPr>
      </w:r>
      <w:r/>
    </w:p>
    <w:p>
      <w:pPr>
        <w:pStyle w:val="857"/>
        <w:jc w:val="center"/>
        <w:pageBreakBefore w:val="0"/>
        <w:spacing w:beforeAutospacing="0" w:afterAutospacing="0" w:line="240" w:lineRule="auto"/>
        <w:rPr>
          <w:highlight w:val="none"/>
        </w:rPr>
      </w:pPr>
      <w:r>
        <w:rPr>
          <w:highlight w:val="none"/>
        </w:rPr>
      </w:r>
      <w:r/>
    </w:p>
    <w:p>
      <w:pPr>
        <w:pStyle w:val="857"/>
        <w:jc w:val="center"/>
        <w:pageBreakBefore w:val="0"/>
        <w:spacing w:beforeAutospacing="0" w:afterAutospacing="0" w:line="240" w:lineRule="auto"/>
        <w:rPr>
          <w:highlight w:val="none"/>
        </w:rPr>
      </w:pPr>
      <w:r>
        <w:rPr>
          <w:highlight w:val="none"/>
        </w:rPr>
      </w:r>
      <w:r/>
    </w:p>
    <w:p>
      <w:pPr>
        <w:pStyle w:val="857"/>
        <w:jc w:val="center"/>
        <w:pageBreakBefore w:val="0"/>
        <w:spacing w:beforeAutospacing="0" w:afterAutospacing="0" w:line="240" w:lineRule="auto"/>
        <w:rPr>
          <w:highlight w:val="none"/>
        </w:rPr>
      </w:pPr>
      <w:r>
        <w:rPr>
          <w:highlight w:val="none"/>
        </w:rPr>
      </w:r>
      <w:r/>
    </w:p>
    <w:p>
      <w:pPr>
        <w:pStyle w:val="857"/>
        <w:jc w:val="center"/>
        <w:pageBreakBefore w:val="0"/>
        <w:spacing w:beforeAutospacing="0" w:afterAutospacing="0" w:line="240" w:lineRule="auto"/>
        <w:rPr>
          <w:highlight w:val="none"/>
        </w:rPr>
      </w:pPr>
      <w:r>
        <w:rPr>
          <w:highlight w:val="none"/>
        </w:rPr>
      </w:r>
      <w:r/>
    </w:p>
    <w:p>
      <w:pPr>
        <w:pageBreakBefore w:val="0"/>
        <w:spacing w:line="240" w:lineRule="auto"/>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br w:type="page" w:clear="all"/>
      </w:r>
      <w:r/>
    </w:p>
    <w:p>
      <w:pPr>
        <w:pStyle w:val="857"/>
        <w:jc w:val="center"/>
        <w:pageBreakBefore w:val="0"/>
        <w:spacing w:beforeAutospacing="0" w:afterAutospacing="0" w:line="240" w:lineRule="auto"/>
        <w:rPr>
          <w:highlight w:val="none"/>
        </w:rPr>
      </w:pPr>
      <w:r>
        <w:rPr>
          <w:rFonts w:hint="eastAsia" w:ascii="黑体" w:hAnsi="宋体" w:eastAsia="黑体" w:cs="黑体"/>
          <w:b/>
          <w:color w:val="000000"/>
          <w:sz w:val="32"/>
          <w:szCs w:val="32"/>
          <w:highlight w:val="none"/>
          <w:lang w:eastAsia="zh-CN"/>
        </w:rPr>
        <w:t xml:space="preserve">十</w:t>
      </w:r>
      <w:r>
        <w:rPr>
          <w:rFonts w:hint="eastAsia" w:ascii="黑体" w:hAnsi="宋体" w:eastAsia="黑体" w:cs="黑体"/>
          <w:b/>
          <w:color w:val="000000"/>
          <w:sz w:val="32"/>
          <w:szCs w:val="32"/>
          <w:highlight w:val="none"/>
          <w:lang w:val="en-US" w:eastAsia="zh-CN"/>
        </w:rPr>
        <w:t xml:space="preserve">三</w:t>
      </w:r>
      <w:r>
        <w:rPr>
          <w:rFonts w:hint="eastAsia" w:ascii="黑体" w:hAnsi="宋体" w:eastAsia="黑体" w:cs="黑体"/>
          <w:b/>
          <w:color w:val="000000"/>
          <w:sz w:val="32"/>
          <w:szCs w:val="32"/>
          <w:highlight w:val="none"/>
        </w:rPr>
        <w:t xml:space="preserve">、联合体协议（参考格式）（分包号：**）</w:t>
      </w:r>
      <w:r/>
    </w:p>
    <w:p>
      <w:pPr>
        <w:pStyle w:val="857"/>
        <w:jc w:val="both"/>
        <w:pageBreakBefore w:val="0"/>
        <w:spacing w:beforeAutospacing="0" w:afterAutospacing="0" w:line="240" w:lineRule="auto"/>
        <w:rPr>
          <w:highlight w:val="none"/>
        </w:rPr>
      </w:pPr>
      <w:r>
        <w:rPr>
          <w:rFonts w:hint="eastAsia" w:ascii="宋体" w:hAnsi="宋体" w:eastAsia="宋体" w:cs="宋体"/>
          <w:color w:val="000000"/>
          <w:highlight w:val="none"/>
        </w:rPr>
        <w:t xml:space="preserve">（联合体中各供应商全称）在此达成以下协议：</w:t>
      </w:r>
      <w:r/>
    </w:p>
    <w:p>
      <w:pPr>
        <w:pStyle w:val="857"/>
        <w:ind w:firstLine="645"/>
        <w:jc w:val="both"/>
        <w:pageBreakBefore w:val="0"/>
        <w:spacing w:beforeAutospacing="0" w:afterAutospacing="0" w:line="240" w:lineRule="auto"/>
        <w:rPr>
          <w:highlight w:val="none"/>
        </w:rPr>
      </w:pPr>
      <w:r>
        <w:rPr>
          <w:rFonts w:hint="eastAsia" w:ascii="宋体" w:hAnsi="宋体" w:eastAsia="宋体" w:cs="宋体"/>
          <w:color w:val="000000"/>
          <w:highlight w:val="none"/>
        </w:rPr>
        <w:t xml:space="preserve">1、我们</w:t>
      </w:r>
      <w:r>
        <w:rPr>
          <w:rFonts w:hint="eastAsia" w:ascii="宋体" w:hAnsi="宋体" w:eastAsia="宋体" w:cs="宋体"/>
          <w:color w:val="000000"/>
          <w:highlight w:val="none"/>
          <w:u w:val="single"/>
        </w:rPr>
        <w:t xml:space="preserve"> （供应商1），（供应商2） ，……</w:t>
      </w:r>
      <w:r>
        <w:rPr>
          <w:rFonts w:hint="eastAsia" w:ascii="宋体" w:hAnsi="宋体" w:eastAsia="宋体" w:cs="宋体"/>
          <w:color w:val="000000"/>
          <w:highlight w:val="none"/>
        </w:rPr>
        <w:t xml:space="preserve">自愿组成联合体，参加</w:t>
      </w:r>
      <w:r>
        <w:rPr>
          <w:rFonts w:hint="eastAsia" w:ascii="宋体" w:hAnsi="宋体" w:eastAsia="宋体" w:cs="宋体"/>
          <w:color w:val="000000"/>
          <w:highlight w:val="none"/>
          <w:lang w:val="en-US" w:eastAsia="zh-CN"/>
        </w:rPr>
        <w:t xml:space="preserve">采购人</w:t>
      </w:r>
      <w:r>
        <w:rPr>
          <w:rFonts w:hint="eastAsia" w:ascii="宋体" w:hAnsi="宋体" w:eastAsia="宋体" w:cs="宋体"/>
          <w:color w:val="000000"/>
          <w:highlight w:val="none"/>
        </w:rPr>
        <w:t xml:space="preserve">组织的采购编号为</w:t>
      </w:r>
      <w:r>
        <w:rPr>
          <w:rFonts w:hint="eastAsia" w:ascii="宋体" w:hAnsi="宋体" w:eastAsia="宋体" w:cs="宋体"/>
          <w:color w:val="000000"/>
          <w:highlight w:val="none"/>
          <w:u w:val="single"/>
        </w:rPr>
        <w:t xml:space="preserve">（编号全称），（项目全称）</w:t>
      </w:r>
      <w:r>
        <w:rPr>
          <w:rFonts w:hint="eastAsia" w:ascii="宋体" w:hAnsi="宋体" w:eastAsia="宋体" w:cs="宋体"/>
          <w:color w:val="000000"/>
          <w:highlight w:val="none"/>
        </w:rPr>
        <w:t xml:space="preserve">项目（分包号：**）的政府采购活动，我联合体指定</w:t>
      </w:r>
      <w:r>
        <w:rPr>
          <w:rFonts w:hint="eastAsia" w:ascii="宋体" w:hAnsi="宋体" w:eastAsia="宋体" w:cs="宋体"/>
          <w:color w:val="000000"/>
          <w:highlight w:val="none"/>
          <w:u w:val="single"/>
        </w:rPr>
        <w:t xml:space="preserve">（供应商*）</w:t>
      </w:r>
      <w:r>
        <w:rPr>
          <w:rFonts w:hint="eastAsia" w:ascii="宋体" w:hAnsi="宋体" w:eastAsia="宋体" w:cs="宋体"/>
          <w:color w:val="000000"/>
          <w:highlight w:val="none"/>
        </w:rPr>
        <w:t xml:space="preserve">为牵头单位（牵头单位必须为联合体成员）。</w:t>
      </w:r>
      <w:r/>
    </w:p>
    <w:p>
      <w:pPr>
        <w:pStyle w:val="857"/>
        <w:ind w:firstLine="645"/>
        <w:jc w:val="both"/>
        <w:pageBreakBefore w:val="0"/>
        <w:spacing w:beforeAutospacing="0" w:afterAutospacing="0" w:line="240" w:lineRule="auto"/>
        <w:rPr>
          <w:highlight w:val="none"/>
        </w:rPr>
      </w:pPr>
      <w:r>
        <w:rPr>
          <w:rFonts w:hint="eastAsia" w:ascii="宋体" w:hAnsi="宋体" w:eastAsia="宋体" w:cs="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57"/>
        <w:ind w:firstLine="645"/>
        <w:jc w:val="both"/>
        <w:pageBreakBefore w:val="0"/>
        <w:spacing w:beforeAutospacing="0" w:afterAutospacing="0" w:line="240" w:lineRule="auto"/>
        <w:rPr>
          <w:highlight w:val="none"/>
        </w:rPr>
      </w:pPr>
      <w:r>
        <w:rPr>
          <w:rFonts w:hint="eastAsia" w:ascii="宋体" w:hAnsi="宋体" w:eastAsia="宋体" w:cs="宋体"/>
          <w:color w:val="000000"/>
          <w:highlight w:val="none"/>
        </w:rPr>
        <w:t xml:space="preserve">3、其中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57"/>
        <w:ind w:firstLine="645"/>
        <w:jc w:val="both"/>
        <w:pageBreakBefore w:val="0"/>
        <w:spacing w:beforeAutospacing="0" w:afterAutospacing="0" w:line="240" w:lineRule="auto"/>
        <w:rPr>
          <w:highlight w:val="none"/>
        </w:rPr>
      </w:pPr>
      <w:r>
        <w:rPr>
          <w:highlight w:val="none"/>
        </w:rPr>
        <w:t xml:space="preserve"> </w:t>
      </w:r>
      <w:r/>
    </w:p>
    <w:p>
      <w:pPr>
        <w:pStyle w:val="857"/>
        <w:ind w:firstLine="645"/>
        <w:jc w:val="both"/>
        <w:pageBreakBefore w:val="0"/>
        <w:spacing w:beforeAutospacing="0" w:afterAutospacing="0" w:line="240" w:lineRule="auto"/>
        <w:rPr>
          <w:highlight w:val="none"/>
        </w:rPr>
      </w:pPr>
      <w:r>
        <w:rPr>
          <w:rFonts w:hint="eastAsia" w:ascii="宋体" w:hAnsi="宋体" w:eastAsia="宋体" w:cs="宋体"/>
          <w:color w:val="000000"/>
          <w:highlight w:val="none"/>
        </w:rPr>
        <w:t xml:space="preserve">备注：本招标文件中要求加盖CA电子签章的地方，仅需加盖牵头单位的CA电子签章。</w:t>
      </w:r>
      <w:r/>
    </w:p>
    <w:p>
      <w:pPr>
        <w:pStyle w:val="857"/>
        <w:ind w:firstLine="645"/>
        <w:jc w:val="both"/>
        <w:pageBreakBefore w:val="0"/>
        <w:spacing w:beforeAutospacing="0" w:afterAutospacing="0" w:line="240" w:lineRule="auto"/>
        <w:rPr>
          <w:highlight w:val="none"/>
        </w:rPr>
      </w:pPr>
      <w:r>
        <w:rPr>
          <w:rFonts w:hint="eastAsia" w:ascii="宋体" w:hAnsi="宋体" w:eastAsia="宋体" w:cs="宋体"/>
          <w:color w:val="000000"/>
          <w:highlight w:val="none"/>
        </w:rPr>
        <w:t xml:space="preserve">                               </w:t>
      </w:r>
      <w:r/>
    </w:p>
    <w:p>
      <w:pPr>
        <w:pStyle w:val="857"/>
        <w:ind w:firstLine="645"/>
        <w:jc w:val="right"/>
        <w:pageBreakBefore w:val="0"/>
        <w:spacing w:beforeAutospacing="0" w:afterAutospacing="0" w:line="240" w:lineRule="auto"/>
        <w:rPr>
          <w:highlight w:val="none"/>
        </w:rPr>
      </w:pPr>
      <w:r>
        <w:rPr>
          <w:rFonts w:hint="eastAsia" w:ascii="宋体" w:hAnsi="宋体" w:eastAsia="宋体" w:cs="宋体"/>
          <w:color w:val="000000"/>
          <w:highlight w:val="none"/>
        </w:rPr>
        <w:t xml:space="preserve">联合体中各供应商全称（公章）：     </w:t>
      </w:r>
      <w:r/>
    </w:p>
    <w:p>
      <w:pPr>
        <w:pStyle w:val="857"/>
        <w:ind w:firstLine="645"/>
        <w:jc w:val="both"/>
        <w:pageBreakBefore w:val="0"/>
        <w:spacing w:beforeAutospacing="0" w:afterAutospacing="0" w:line="240" w:lineRule="auto"/>
        <w:rPr>
          <w:highlight w:val="none"/>
        </w:rPr>
      </w:pPr>
      <w:r>
        <w:rPr>
          <w:rFonts w:hint="eastAsia" w:ascii="宋体" w:hAnsi="宋体" w:eastAsia="宋体" w:cs="宋体"/>
          <w:color w:val="000000"/>
          <w:highlight w:val="none"/>
        </w:rPr>
        <w:t xml:space="preserve">                                                          日期：</w:t>
      </w:r>
      <w:r/>
    </w:p>
    <w:p>
      <w:pPr>
        <w:pStyle w:val="857"/>
        <w:ind w:firstLine="645"/>
        <w:jc w:val="both"/>
        <w:pageBreakBefore w:val="0"/>
        <w:spacing w:beforeAutospacing="0" w:afterAutospacing="0" w:line="240" w:lineRule="auto"/>
        <w:rPr>
          <w:highlight w:val="none"/>
        </w:rPr>
      </w:pPr>
      <w:r>
        <w:rPr>
          <w:highlight w:val="none"/>
        </w:rPr>
        <w:t xml:space="preserve"> </w:t>
      </w:r>
      <w:r/>
    </w:p>
    <w:p>
      <w:pPr>
        <w:pStyle w:val="857"/>
        <w:jc w:val="both"/>
        <w:pageBreakBefore w:val="0"/>
        <w:spacing w:beforeAutospacing="0" w:afterAutospacing="0" w:line="240" w:lineRule="auto"/>
        <w:rPr>
          <w:highlight w:val="none"/>
        </w:rPr>
      </w:pPr>
      <w:r>
        <w:rPr>
          <w:highlight w:val="none"/>
        </w:rPr>
        <w:t xml:space="preserve"> </w:t>
      </w:r>
      <w:r/>
    </w:p>
    <w:p>
      <w:pPr>
        <w:pStyle w:val="857"/>
        <w:jc w:val="both"/>
        <w:pageBreakBefore w:val="0"/>
        <w:spacing w:beforeAutospacing="0" w:afterAutospacing="0" w:line="240" w:lineRule="auto"/>
        <w:rPr>
          <w:highlight w:val="none"/>
        </w:rPr>
      </w:pPr>
      <w:r>
        <w:rPr>
          <w:highlight w:val="none"/>
        </w:rPr>
        <w:t xml:space="preserve"> </w:t>
      </w:r>
      <w:r/>
    </w:p>
    <w:p>
      <w:pPr>
        <w:pStyle w:val="857"/>
        <w:jc w:val="both"/>
        <w:pageBreakBefore w:val="0"/>
        <w:spacing w:beforeAutospacing="0" w:afterAutospacing="0" w:line="240" w:lineRule="auto"/>
        <w:rPr>
          <w:highlight w:val="none"/>
        </w:rPr>
      </w:pPr>
      <w:r>
        <w:rPr>
          <w:highlight w:val="none"/>
        </w:rPr>
        <w:t xml:space="preserve"> </w:t>
      </w:r>
      <w:r/>
    </w:p>
    <w:p>
      <w:pPr>
        <w:pStyle w:val="857"/>
        <w:jc w:val="both"/>
        <w:pageBreakBefore w:val="0"/>
        <w:spacing w:beforeAutospacing="0" w:afterAutospacing="0" w:line="240" w:lineRule="auto"/>
        <w:rPr>
          <w:highlight w:val="none"/>
        </w:rPr>
      </w:pPr>
      <w:r>
        <w:rPr>
          <w:highlight w:val="none"/>
        </w:rPr>
        <w:t xml:space="preserve"> </w:t>
      </w:r>
      <w:r/>
    </w:p>
    <w:p>
      <w:pPr>
        <w:pStyle w:val="857"/>
        <w:jc w:val="both"/>
        <w:pageBreakBefore w:val="0"/>
        <w:spacing w:beforeAutospacing="0" w:afterAutospacing="0" w:line="240" w:lineRule="auto"/>
        <w:rPr>
          <w:highlight w:val="none"/>
        </w:rPr>
      </w:pPr>
      <w:r>
        <w:rPr>
          <w:highlight w:val="none"/>
        </w:rPr>
        <w:t xml:space="preserve"> </w:t>
      </w:r>
      <w:r/>
    </w:p>
    <w:p>
      <w:pPr>
        <w:pStyle w:val="857"/>
        <w:jc w:val="both"/>
        <w:pageBreakBefore w:val="0"/>
        <w:spacing w:beforeAutospacing="0" w:afterAutospacing="0" w:line="240" w:lineRule="auto"/>
        <w:rPr>
          <w:highlight w:val="none"/>
        </w:rPr>
      </w:pPr>
      <w:r>
        <w:rPr>
          <w:highlight w:val="none"/>
        </w:rPr>
      </w:r>
      <w:r/>
    </w:p>
    <w:p>
      <w:pPr>
        <w:pStyle w:val="857"/>
        <w:jc w:val="both"/>
        <w:pageBreakBefore w:val="0"/>
        <w:spacing w:beforeAutospacing="0" w:afterAutospacing="0" w:line="240" w:lineRule="auto"/>
        <w:rPr>
          <w:highlight w:val="none"/>
        </w:rPr>
      </w:pPr>
      <w:r>
        <w:rPr>
          <w:highlight w:val="none"/>
        </w:rPr>
      </w:r>
      <w:r/>
    </w:p>
    <w:p>
      <w:pPr>
        <w:pStyle w:val="857"/>
        <w:jc w:val="both"/>
        <w:pageBreakBefore w:val="0"/>
        <w:spacing w:beforeAutospacing="0" w:afterAutospacing="0" w:line="240" w:lineRule="auto"/>
        <w:rPr>
          <w:highlight w:val="none"/>
        </w:rPr>
      </w:pPr>
      <w:r>
        <w:rPr>
          <w:highlight w:val="none"/>
        </w:rPr>
      </w:r>
      <w:r/>
    </w:p>
    <w:p>
      <w:pPr>
        <w:pStyle w:val="857"/>
        <w:jc w:val="both"/>
        <w:pageBreakBefore w:val="0"/>
        <w:spacing w:beforeAutospacing="0" w:afterAutospacing="0" w:line="240" w:lineRule="auto"/>
        <w:rPr>
          <w:highlight w:val="none"/>
        </w:rPr>
      </w:pPr>
      <w:r>
        <w:rPr>
          <w:highlight w:val="none"/>
        </w:rPr>
      </w:r>
      <w:r/>
    </w:p>
    <w:p>
      <w:pPr>
        <w:pStyle w:val="857"/>
        <w:jc w:val="both"/>
        <w:pageBreakBefore w:val="0"/>
        <w:spacing w:beforeAutospacing="0" w:afterAutospacing="0" w:line="240" w:lineRule="auto"/>
        <w:rPr>
          <w:highlight w:val="none"/>
        </w:rPr>
      </w:pPr>
      <w:r>
        <w:rPr>
          <w:highlight w:val="none"/>
        </w:rPr>
      </w:r>
      <w:r/>
    </w:p>
    <w:p>
      <w:pPr>
        <w:pStyle w:val="857"/>
        <w:jc w:val="both"/>
        <w:pageBreakBefore w:val="0"/>
        <w:spacing w:beforeAutospacing="0" w:afterAutospacing="0" w:line="240" w:lineRule="auto"/>
        <w:rPr>
          <w:highlight w:val="none"/>
        </w:rPr>
      </w:pPr>
      <w:r>
        <w:rPr>
          <w:highlight w:val="none"/>
        </w:rPr>
      </w:r>
      <w:r/>
    </w:p>
    <w:p>
      <w:pPr>
        <w:pStyle w:val="857"/>
        <w:jc w:val="both"/>
        <w:pageBreakBefore w:val="0"/>
        <w:spacing w:beforeAutospacing="0" w:afterAutospacing="0" w:line="240" w:lineRule="auto"/>
        <w:rPr>
          <w:highlight w:val="none"/>
        </w:rPr>
      </w:pPr>
      <w:r>
        <w:rPr>
          <w:highlight w:val="none"/>
        </w:rPr>
      </w:r>
      <w:r/>
    </w:p>
    <w:p>
      <w:pPr>
        <w:pStyle w:val="857"/>
        <w:jc w:val="both"/>
        <w:pageBreakBefore w:val="0"/>
        <w:spacing w:beforeAutospacing="0" w:afterAutospacing="0" w:line="240" w:lineRule="auto"/>
        <w:rPr>
          <w:highlight w:val="none"/>
        </w:rPr>
      </w:pPr>
      <w:r>
        <w:rPr>
          <w:highlight w:val="none"/>
        </w:rPr>
      </w:r>
      <w:r/>
    </w:p>
    <w:p>
      <w:pPr>
        <w:pStyle w:val="857"/>
        <w:jc w:val="both"/>
        <w:pageBreakBefore w:val="0"/>
        <w:spacing w:beforeAutospacing="0" w:afterAutospacing="0" w:line="240" w:lineRule="auto"/>
        <w:rPr>
          <w:highlight w:val="none"/>
        </w:rPr>
      </w:pPr>
      <w:r>
        <w:rPr>
          <w:highlight w:val="none"/>
        </w:rPr>
      </w:r>
      <w:r/>
    </w:p>
    <w:p>
      <w:pPr>
        <w:pStyle w:val="857"/>
        <w:jc w:val="both"/>
        <w:pageBreakBefore w:val="0"/>
        <w:spacing w:beforeAutospacing="0" w:afterAutospacing="0" w:line="240" w:lineRule="auto"/>
        <w:rPr>
          <w:highlight w:val="none"/>
        </w:rPr>
      </w:pPr>
      <w:r>
        <w:rPr>
          <w:highlight w:val="none"/>
        </w:rPr>
      </w:r>
      <w:r/>
    </w:p>
    <w:p>
      <w:pPr>
        <w:pStyle w:val="857"/>
        <w:jc w:val="both"/>
        <w:pageBreakBefore w:val="0"/>
        <w:spacing w:beforeAutospacing="0" w:afterAutospacing="0" w:line="240" w:lineRule="auto"/>
        <w:rPr>
          <w:highlight w:val="none"/>
        </w:rPr>
      </w:pPr>
      <w:r>
        <w:rPr>
          <w:highlight w:val="none"/>
        </w:rPr>
      </w:r>
      <w:r/>
    </w:p>
    <w:p>
      <w:pPr>
        <w:pStyle w:val="857"/>
        <w:jc w:val="both"/>
        <w:pageBreakBefore w:val="0"/>
        <w:spacing w:beforeAutospacing="0" w:afterAutospacing="0" w:line="240" w:lineRule="auto"/>
        <w:rPr>
          <w:highlight w:val="none"/>
        </w:rPr>
      </w:pPr>
      <w:r>
        <w:rPr>
          <w:highlight w:val="none"/>
        </w:rPr>
      </w:r>
      <w:r/>
    </w:p>
    <w:p>
      <w:pPr>
        <w:pStyle w:val="857"/>
        <w:jc w:val="both"/>
        <w:pageBreakBefore w:val="0"/>
        <w:spacing w:beforeAutospacing="0" w:afterAutospacing="0" w:line="240" w:lineRule="auto"/>
        <w:rPr>
          <w:highlight w:val="none"/>
        </w:rPr>
      </w:pPr>
      <w:r>
        <w:rPr>
          <w:highlight w:val="none"/>
        </w:rPr>
      </w:r>
      <w:r/>
    </w:p>
    <w:p>
      <w:pPr>
        <w:pStyle w:val="857"/>
        <w:jc w:val="both"/>
        <w:pageBreakBefore w:val="0"/>
        <w:spacing w:beforeAutospacing="0" w:afterAutospacing="0" w:line="240" w:lineRule="auto"/>
        <w:rPr>
          <w:highlight w:val="none"/>
        </w:rPr>
      </w:pPr>
      <w:r>
        <w:rPr>
          <w:highlight w:val="none"/>
        </w:rPr>
      </w:r>
      <w:r/>
    </w:p>
    <w:p>
      <w:pPr>
        <w:pStyle w:val="857"/>
        <w:jc w:val="both"/>
        <w:pageBreakBefore w:val="0"/>
        <w:spacing w:beforeAutospacing="0" w:afterAutospacing="0" w:line="240" w:lineRule="auto"/>
        <w:rPr>
          <w:highlight w:val="none"/>
        </w:rPr>
      </w:pPr>
      <w:r>
        <w:rPr>
          <w:highlight w:val="none"/>
        </w:rPr>
      </w:r>
      <w:r/>
    </w:p>
    <w:p>
      <w:pPr>
        <w:pStyle w:val="857"/>
        <w:jc w:val="both"/>
        <w:pageBreakBefore w:val="0"/>
        <w:spacing w:beforeAutospacing="0" w:afterAutospacing="0" w:line="240" w:lineRule="auto"/>
        <w:rPr>
          <w:highlight w:val="none"/>
        </w:rPr>
      </w:pPr>
      <w:r>
        <w:rPr>
          <w:highlight w:val="none"/>
        </w:rPr>
      </w:r>
      <w:r/>
    </w:p>
    <w:p>
      <w:pPr>
        <w:rPr>
          <w:highlight w:val="none"/>
        </w:rPr>
      </w:pPr>
      <w:r>
        <w:rPr>
          <w:highlight w:val="none"/>
        </w:rPr>
        <w:br w:type="page" w:clear="all"/>
      </w:r>
      <w:r/>
    </w:p>
    <w:p>
      <w:pPr>
        <w:jc w:val="center"/>
        <w:rPr>
          <w:rFonts w:hint="eastAsia" w:eastAsia="黑体"/>
          <w:highlight w:val="none"/>
          <w:lang w:eastAsia="zh-CN"/>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四</w:t>
      </w:r>
      <w:r>
        <w:rPr>
          <w:rFonts w:hint="eastAsia" w:ascii="黑体" w:hAnsi="宋体" w:eastAsia="黑体" w:cs="黑体"/>
          <w:b/>
          <w:color w:val="000000"/>
          <w:sz w:val="32"/>
          <w:szCs w:val="32"/>
          <w:highlight w:val="none"/>
        </w:rPr>
        <w:t xml:space="preserve">、</w:t>
      </w:r>
      <w:r>
        <w:rPr>
          <w:rFonts w:hint="eastAsia" w:ascii="黑体" w:hAnsi="宋体" w:eastAsia="黑体" w:cs="黑体"/>
          <w:b/>
          <w:color w:val="000000"/>
          <w:sz w:val="32"/>
          <w:szCs w:val="32"/>
          <w:highlight w:val="none"/>
          <w:lang w:eastAsia="zh-CN"/>
        </w:rPr>
        <w:t xml:space="preserve">投标人的服务承诺</w:t>
      </w:r>
      <w:r/>
    </w:p>
    <w:p>
      <w:pPr>
        <w:spacing w:line="480" w:lineRule="exact"/>
        <w:rPr>
          <w:rFonts w:hint="eastAsia" w:ascii="宋体" w:hAnsi="宋体" w:eastAsia="宋体" w:cs="宋体"/>
          <w:sz w:val="24"/>
        </w:rPr>
      </w:pPr>
      <w:r>
        <w:rPr>
          <w:rFonts w:hint="eastAsia" w:ascii="宋体" w:hAnsi="宋体" w:eastAsia="宋体" w:cs="宋体"/>
          <w:sz w:val="24"/>
        </w:rPr>
        <w:t xml:space="preserve">如我方成交，郑重承诺如下：</w:t>
      </w:r>
      <w:r/>
    </w:p>
    <w:p>
      <w:pPr>
        <w:ind w:firstLine="420"/>
        <w:spacing w:line="480" w:lineRule="exact"/>
        <w:rPr>
          <w:rFonts w:hint="eastAsia" w:ascii="宋体" w:hAnsi="宋体" w:eastAsia="宋体" w:cs="宋体"/>
          <w:sz w:val="24"/>
        </w:rPr>
      </w:pPr>
      <w:r>
        <w:rPr>
          <w:rFonts w:hint="eastAsia" w:ascii="宋体" w:hAnsi="宋体" w:eastAsia="宋体" w:cs="宋体"/>
          <w:sz w:val="24"/>
        </w:rPr>
        <w:t xml:space="preserve">经认真分析，领会了贵方提供的</w:t>
      </w:r>
      <w:r>
        <w:rPr>
          <w:rFonts w:hint="eastAsia" w:ascii="宋体" w:hAnsi="宋体" w:eastAsia="宋体" w:cs="宋体"/>
          <w:color w:val="000000"/>
          <w:sz w:val="24"/>
          <w:szCs w:val="24"/>
          <w:u w:val="single"/>
        </w:rPr>
        <w:t xml:space="preserve">                                  （项目名称）</w:t>
      </w:r>
      <w:r>
        <w:rPr>
          <w:rFonts w:hint="eastAsia" w:ascii="宋体" w:hAnsi="宋体" w:eastAsia="宋体" w:cs="宋体"/>
          <w:sz w:val="24"/>
        </w:rPr>
        <w:t xml:space="preserve">的</w:t>
      </w:r>
      <w:r>
        <w:rPr>
          <w:rFonts w:hint="eastAsia" w:ascii="宋体" w:hAnsi="宋体" w:eastAsia="宋体" w:cs="宋体"/>
          <w:sz w:val="24"/>
          <w:lang w:val="en-US" w:eastAsia="zh-CN"/>
        </w:rPr>
        <w:t xml:space="preserve">招标</w:t>
      </w:r>
      <w:r>
        <w:rPr>
          <w:rFonts w:hint="eastAsia" w:ascii="宋体" w:hAnsi="宋体" w:eastAsia="宋体" w:cs="宋体"/>
          <w:sz w:val="24"/>
        </w:rPr>
        <w:t xml:space="preserve">文件，依据贵方</w:t>
      </w:r>
      <w:r>
        <w:rPr>
          <w:rFonts w:hint="eastAsia" w:ascii="宋体" w:hAnsi="宋体" w:eastAsia="宋体" w:cs="宋体"/>
          <w:sz w:val="24"/>
          <w:lang w:val="en-US" w:eastAsia="zh-CN"/>
        </w:rPr>
        <w:t xml:space="preserve">招标</w:t>
      </w:r>
      <w:r>
        <w:rPr>
          <w:rFonts w:hint="eastAsia" w:ascii="宋体" w:hAnsi="宋体" w:eastAsia="宋体" w:cs="宋体"/>
          <w:sz w:val="24"/>
        </w:rPr>
        <w:t xml:space="preserve">文件中提出的各项要求，我方在此郑重表示：</w:t>
      </w:r>
      <w:r/>
    </w:p>
    <w:p>
      <w:pPr>
        <w:ind w:firstLine="420"/>
        <w:spacing w:line="480" w:lineRule="exact"/>
        <w:rPr>
          <w:rFonts w:hint="eastAsia" w:ascii="宋体" w:hAnsi="宋体" w:eastAsia="宋体" w:cs="宋体"/>
          <w:sz w:val="24"/>
        </w:rPr>
      </w:pPr>
      <w:r>
        <w:rPr>
          <w:rFonts w:hint="eastAsia" w:ascii="宋体" w:hAnsi="宋体" w:eastAsia="宋体" w:cs="宋体"/>
          <w:sz w:val="24"/>
        </w:rPr>
        <w:t xml:space="preserve">1.我方保证按响应文件所列的人员及设备进场实施。</w:t>
      </w:r>
      <w:r/>
    </w:p>
    <w:p>
      <w:pPr>
        <w:ind w:firstLine="420"/>
        <w:spacing w:line="480" w:lineRule="exact"/>
        <w:rPr>
          <w:rFonts w:hint="eastAsia" w:ascii="宋体" w:hAnsi="宋体" w:eastAsia="宋体" w:cs="宋体"/>
          <w:sz w:val="24"/>
        </w:rPr>
      </w:pPr>
      <w:r>
        <w:rPr>
          <w:rFonts w:hint="eastAsia" w:ascii="宋体" w:hAnsi="宋体" w:eastAsia="宋体" w:cs="宋体"/>
          <w:sz w:val="24"/>
        </w:rPr>
        <w:t xml:space="preserve">2.我方保证按照</w:t>
      </w:r>
      <w:r>
        <w:rPr>
          <w:rFonts w:hint="eastAsia" w:ascii="宋体" w:hAnsi="宋体" w:eastAsia="宋体" w:cs="宋体"/>
          <w:sz w:val="24"/>
          <w:lang w:val="en-US" w:eastAsia="zh-CN"/>
        </w:rPr>
        <w:t xml:space="preserve">招标</w:t>
      </w:r>
      <w:r>
        <w:rPr>
          <w:rFonts w:hint="eastAsia" w:ascii="宋体" w:hAnsi="宋体" w:eastAsia="宋体" w:cs="宋体"/>
          <w:sz w:val="24"/>
        </w:rPr>
        <w:t xml:space="preserve">文件的质量要求进行实施。</w:t>
      </w:r>
      <w:r/>
    </w:p>
    <w:p>
      <w:pPr>
        <w:ind w:firstLine="420"/>
        <w:spacing w:line="480" w:lineRule="exact"/>
        <w:rPr>
          <w:rFonts w:hint="eastAsia" w:ascii="宋体" w:hAnsi="宋体" w:eastAsia="宋体" w:cs="宋体"/>
          <w:sz w:val="24"/>
        </w:rPr>
      </w:pPr>
      <w:r>
        <w:rPr>
          <w:rFonts w:hint="eastAsia" w:ascii="宋体" w:hAnsi="宋体" w:eastAsia="宋体" w:cs="宋体"/>
          <w:sz w:val="24"/>
        </w:rPr>
        <w:t xml:space="preserve">3.如果我们的响应文件被接受，我们将严格履行</w:t>
      </w:r>
      <w:r>
        <w:rPr>
          <w:rFonts w:hint="eastAsia" w:ascii="宋体" w:hAnsi="宋体" w:eastAsia="宋体" w:cs="宋体"/>
          <w:sz w:val="24"/>
          <w:lang w:val="en-US" w:eastAsia="zh-CN"/>
        </w:rPr>
        <w:t xml:space="preserve">招标</w:t>
      </w:r>
      <w:r>
        <w:rPr>
          <w:rFonts w:hint="eastAsia" w:ascii="宋体" w:hAnsi="宋体" w:eastAsia="宋体" w:cs="宋体"/>
          <w:sz w:val="24"/>
        </w:rPr>
        <w:t xml:space="preserve">文件中规定的每一项要求，按期、保质、保量履行义务。</w:t>
      </w:r>
      <w:r/>
    </w:p>
    <w:p>
      <w:pPr>
        <w:ind w:firstLine="420"/>
        <w:spacing w:line="480" w:lineRule="exact"/>
        <w:rPr>
          <w:rFonts w:hint="eastAsia" w:ascii="宋体" w:hAnsi="宋体" w:eastAsia="宋体" w:cs="宋体"/>
          <w:sz w:val="24"/>
        </w:rPr>
      </w:pPr>
      <w:r>
        <w:rPr>
          <w:rFonts w:hint="eastAsia" w:ascii="宋体" w:hAnsi="宋体" w:eastAsia="宋体" w:cs="宋体"/>
          <w:sz w:val="24"/>
        </w:rPr>
        <w:t xml:space="preserve">4.我方愿意承担</w:t>
      </w:r>
      <w:r>
        <w:rPr>
          <w:rFonts w:hint="eastAsia" w:ascii="宋体" w:hAnsi="宋体" w:eastAsia="宋体" w:cs="宋体"/>
          <w:sz w:val="24"/>
          <w:lang w:val="en-US" w:eastAsia="zh-CN"/>
        </w:rPr>
        <w:t xml:space="preserve">招标</w:t>
      </w:r>
      <w:r>
        <w:rPr>
          <w:rFonts w:hint="eastAsia" w:ascii="宋体" w:hAnsi="宋体" w:eastAsia="宋体" w:cs="宋体"/>
          <w:sz w:val="24"/>
        </w:rPr>
        <w:t xml:space="preserve">文件中对中标人规定的各项责任。</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5.如果我方中标，我方保证在中标后15天内在东台市内设立办公场所及配备相应资格的业务人员（中标后每标段项目组人员中至少有四名常驻东台）。</w:t>
      </w:r>
      <w:r/>
    </w:p>
    <w:p>
      <w:pPr>
        <w:ind w:firstLine="420"/>
        <w:spacing w:line="480" w:lineRule="exact"/>
        <w:rPr>
          <w:rFonts w:hint="eastAsia" w:ascii="宋体" w:hAnsi="宋体" w:eastAsia="宋体" w:cs="宋体"/>
          <w:sz w:val="24"/>
        </w:rPr>
      </w:pPr>
      <w:r>
        <w:rPr>
          <w:rFonts w:hint="eastAsia" w:ascii="宋体" w:hAnsi="宋体" w:eastAsia="宋体" w:cs="宋体"/>
          <w:sz w:val="24"/>
          <w:lang w:val="en-US" w:eastAsia="zh-CN"/>
        </w:rPr>
        <w:t xml:space="preserve">6</w:t>
      </w:r>
      <w:r>
        <w:rPr>
          <w:rFonts w:hint="eastAsia" w:ascii="宋体" w:hAnsi="宋体" w:eastAsia="宋体" w:cs="宋体"/>
          <w:sz w:val="24"/>
        </w:rPr>
        <w:t xml:space="preserve">.我方同意如发现我方提供的材料虚假或对磋商文件所要求说明的情况故意隐瞒或虚报，如中标则取消中标资格。</w:t>
      </w:r>
      <w:r/>
    </w:p>
    <w:p>
      <w:pPr>
        <w:ind w:firstLine="460"/>
        <w:spacing w:line="460" w:lineRule="exact"/>
        <w:rPr>
          <w:rFonts w:hint="eastAsia" w:ascii="宋体" w:hAnsi="宋体" w:eastAsia="宋体" w:cs="宋体"/>
          <w:sz w:val="24"/>
          <w:lang w:val="en-US" w:eastAsia="zh-CN"/>
        </w:rPr>
      </w:pPr>
      <w:r>
        <w:rPr>
          <w:rFonts w:hint="eastAsia" w:ascii="宋体" w:hAnsi="宋体" w:eastAsia="宋体" w:cs="宋体"/>
          <w:sz w:val="24"/>
          <w:lang w:val="en-US" w:eastAsia="zh-CN"/>
        </w:rPr>
      </w:r>
      <w:r/>
    </w:p>
    <w:p>
      <w:pPr>
        <w:ind w:firstLine="460"/>
        <w:spacing w:line="460" w:lineRule="exact"/>
        <w:rPr>
          <w:rFonts w:hint="eastAsia" w:ascii="宋体" w:hAnsi="宋体" w:eastAsia="宋体" w:cs="宋体"/>
          <w:sz w:val="24"/>
        </w:rPr>
      </w:pPr>
      <w:r>
        <w:rPr>
          <w:rFonts w:hint="eastAsia" w:ascii="宋体" w:hAnsi="宋体" w:eastAsia="宋体" w:cs="宋体"/>
          <w:sz w:val="24"/>
        </w:rPr>
      </w:r>
      <w:r/>
    </w:p>
    <w:p>
      <w:pPr>
        <w:ind w:firstLine="460"/>
        <w:spacing w:line="460" w:lineRule="exact"/>
        <w:rPr>
          <w:rFonts w:hint="eastAsia" w:ascii="宋体" w:hAnsi="宋体" w:eastAsia="宋体" w:cs="宋体"/>
          <w:sz w:val="24"/>
        </w:rPr>
      </w:pPr>
      <w:r>
        <w:rPr>
          <w:rFonts w:hint="eastAsia" w:ascii="宋体" w:hAnsi="宋体" w:eastAsia="宋体" w:cs="宋体"/>
          <w:sz w:val="24"/>
        </w:rPr>
      </w:r>
      <w:r/>
    </w:p>
    <w:p>
      <w:pPr>
        <w:ind w:firstLine="460"/>
        <w:spacing w:line="460" w:lineRule="exact"/>
        <w:rPr>
          <w:rFonts w:hint="eastAsia" w:ascii="宋体" w:hAnsi="宋体" w:eastAsia="宋体" w:cs="宋体"/>
          <w:sz w:val="24"/>
        </w:rPr>
      </w:pPr>
      <w:r>
        <w:rPr>
          <w:rFonts w:hint="eastAsia" w:ascii="宋体" w:hAnsi="宋体" w:eastAsia="宋体" w:cs="宋体"/>
          <w:sz w:val="24"/>
        </w:rPr>
      </w:r>
      <w:r/>
    </w:p>
    <w:p>
      <w:pPr>
        <w:ind w:firstLine="1680"/>
        <w:spacing w:line="460" w:lineRule="exact"/>
        <w:rPr>
          <w:rFonts w:hint="eastAsia" w:ascii="宋体" w:hAnsi="宋体" w:eastAsia="宋体" w:cs="宋体"/>
          <w:sz w:val="24"/>
        </w:rPr>
      </w:pPr>
      <w:r>
        <w:rPr>
          <w:rFonts w:hint="eastAsia" w:ascii="宋体" w:hAnsi="宋体" w:eastAsia="宋体" w:cs="宋体"/>
          <w:sz w:val="24"/>
        </w:rPr>
        <w:t xml:space="preserve">法定代表人或被授权人签字：</w:t>
      </w:r>
      <w:r/>
    </w:p>
    <w:p>
      <w:pPr>
        <w:ind w:firstLine="1680"/>
        <w:spacing w:line="460" w:lineRule="exact"/>
        <w:rPr>
          <w:rFonts w:hint="eastAsia" w:ascii="宋体" w:hAnsi="宋体" w:eastAsia="宋体" w:cs="宋体"/>
          <w:sz w:val="24"/>
        </w:rPr>
      </w:pPr>
      <w:r>
        <w:rPr>
          <w:rFonts w:hint="eastAsia" w:ascii="宋体" w:hAnsi="宋体" w:eastAsia="宋体" w:cs="宋体"/>
          <w:sz w:val="24"/>
        </w:rPr>
      </w:r>
      <w:r/>
    </w:p>
    <w:p>
      <w:pPr>
        <w:ind w:firstLine="1680"/>
        <w:spacing w:line="460" w:lineRule="exact"/>
        <w:rPr>
          <w:rFonts w:hint="eastAsia" w:ascii="宋体" w:hAnsi="宋体" w:eastAsia="宋体" w:cs="宋体"/>
          <w:sz w:val="24"/>
        </w:rPr>
      </w:pPr>
      <w:r>
        <w:rPr>
          <w:rFonts w:hint="eastAsia" w:ascii="宋体" w:hAnsi="宋体" w:eastAsia="宋体" w:cs="宋体"/>
          <w:sz w:val="24"/>
        </w:rPr>
      </w:r>
      <w:r/>
    </w:p>
    <w:p>
      <w:pPr>
        <w:ind w:firstLine="1680"/>
        <w:spacing w:line="460" w:lineRule="exact"/>
        <w:rPr>
          <w:rFonts w:hint="eastAsia" w:ascii="宋体" w:hAnsi="宋体" w:eastAsia="宋体" w:cs="宋体"/>
          <w:sz w:val="24"/>
        </w:rPr>
      </w:pPr>
      <w:r>
        <w:rPr>
          <w:rFonts w:hint="eastAsia" w:ascii="宋体" w:hAnsi="宋体" w:eastAsia="宋体" w:cs="宋体"/>
          <w:sz w:val="24"/>
        </w:rPr>
        <w:t xml:space="preserve">供应商（盖单位公章）：</w:t>
      </w:r>
      <w:r/>
    </w:p>
    <w:p>
      <w:pPr>
        <w:ind w:firstLine="1680"/>
        <w:spacing w:line="460" w:lineRule="exact"/>
        <w:rPr>
          <w:rFonts w:hint="eastAsia" w:ascii="宋体" w:hAnsi="宋体" w:eastAsia="宋体" w:cs="宋体"/>
          <w:sz w:val="24"/>
        </w:rPr>
      </w:pPr>
      <w:r>
        <w:rPr>
          <w:rFonts w:hint="eastAsia" w:ascii="宋体" w:hAnsi="宋体" w:eastAsia="宋体" w:cs="宋体"/>
          <w:sz w:val="24"/>
        </w:rPr>
      </w:r>
      <w:r/>
    </w:p>
    <w:p>
      <w:pPr>
        <w:ind w:firstLine="1680"/>
        <w:spacing w:line="460" w:lineRule="exact"/>
        <w:rPr>
          <w:rFonts w:hint="eastAsia" w:ascii="宋体" w:hAnsi="宋体" w:eastAsia="宋体" w:cs="宋体"/>
          <w:sz w:val="24"/>
        </w:rPr>
      </w:pPr>
      <w:r>
        <w:rPr>
          <w:rFonts w:hint="eastAsia" w:ascii="宋体" w:hAnsi="宋体" w:eastAsia="宋体" w:cs="宋体"/>
          <w:sz w:val="24"/>
        </w:rPr>
        <w:t xml:space="preserve"> </w:t>
      </w:r>
      <w:r/>
    </w:p>
    <w:p>
      <w:pPr>
        <w:jc w:val="right"/>
        <w:spacing w:line="460" w:lineRule="exact"/>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rPr>
          <w:highlight w:val="none"/>
        </w:rPr>
      </w:pPr>
      <w:r>
        <w:rPr>
          <w:highlight w:val="none"/>
        </w:rPr>
      </w:r>
      <w:r/>
    </w:p>
    <w:p>
      <w:pPr>
        <w:pStyle w:val="857"/>
        <w:jc w:val="both"/>
        <w:pageBreakBefore w:val="0"/>
        <w:spacing w:beforeAutospacing="0" w:afterAutospacing="0" w:line="240" w:lineRule="auto"/>
        <w:rPr>
          <w:highlight w:val="none"/>
        </w:rPr>
      </w:pPr>
      <w:r>
        <w:rPr>
          <w:highlight w:val="none"/>
        </w:rPr>
      </w:r>
      <w:r/>
    </w:p>
    <w:p>
      <w:pPr>
        <w:jc w:val="center"/>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br w:type="page" w:clear="all"/>
      </w:r>
      <w:r/>
    </w:p>
    <w:p>
      <w:pPr>
        <w:jc w:val="center"/>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五</w:t>
      </w:r>
      <w:r>
        <w:rPr>
          <w:rFonts w:hint="eastAsia" w:ascii="黑体" w:hAnsi="宋体" w:eastAsia="黑体" w:cs="黑体"/>
          <w:b/>
          <w:color w:val="000000"/>
          <w:sz w:val="32"/>
          <w:szCs w:val="32"/>
          <w:highlight w:val="none"/>
        </w:rPr>
        <w:t xml:space="preserve">、投标分项报价表（</w:t>
      </w:r>
      <w:r>
        <w:rPr>
          <w:rFonts w:hint="eastAsia" w:ascii="黑体" w:hAnsi="宋体" w:eastAsia="黑体" w:cs="黑体"/>
          <w:b/>
          <w:color w:val="000000"/>
          <w:sz w:val="32"/>
          <w:szCs w:val="32"/>
          <w:highlight w:val="none"/>
          <w:lang w:val="en-US" w:eastAsia="zh-CN"/>
        </w:rPr>
        <w:t xml:space="preserve">采购包***</w:t>
      </w:r>
      <w:r>
        <w:rPr>
          <w:rFonts w:hint="eastAsia" w:ascii="黑体" w:hAnsi="宋体" w:eastAsia="黑体" w:cs="黑体"/>
          <w:b/>
          <w:color w:val="000000"/>
          <w:sz w:val="32"/>
          <w:szCs w:val="32"/>
          <w:highlight w:val="none"/>
        </w:rPr>
        <w:t xml:space="preserve">）</w:t>
      </w:r>
      <w:r/>
    </w:p>
    <w:tbl>
      <w:tblPr>
        <w:tblStyle w:val="84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93"/>
        <w:gridCol w:w="5726"/>
      </w:tblGrid>
      <w:tr>
        <w:trPr>
          <w:trHeight w:val="690"/>
        </w:trPr>
        <w:tc>
          <w:tcPr>
            <w:tcW w:w="1639" w:type="pct"/>
            <w:vAlign w:val="center"/>
            <w:textDirection w:val="lrTb"/>
            <w:noWrap w:val="false"/>
          </w:tcPr>
          <w:p>
            <w:pPr>
              <w:jc w:val="center"/>
              <w:rPr>
                <w:rFonts w:hint="eastAsia" w:ascii="仿宋_GB2312" w:hAnsi="Times New Roman" w:eastAsia="仿宋_GB2312" w:cs="Times New Roman"/>
                <w:color w:val="000000"/>
                <w:sz w:val="24"/>
                <w:szCs w:val="24"/>
                <w:highlight w:val="none"/>
                <w:u w:val="none"/>
                <w:lang w:val="en-US" w:eastAsia="zh-CN"/>
              </w:rPr>
            </w:pPr>
            <w:r>
              <w:rPr>
                <w:rFonts w:hint="eastAsia" w:ascii="仿宋_GB2312" w:hAnsi="Times New Roman" w:eastAsia="仿宋_GB2312" w:cs="Times New Roman"/>
                <w:color w:val="000000"/>
                <w:sz w:val="24"/>
                <w:szCs w:val="24"/>
                <w:highlight w:val="none"/>
                <w:u w:val="none"/>
                <w:lang w:val="en-US" w:eastAsia="zh-CN"/>
              </w:rPr>
              <w:t xml:space="preserve">项目名称</w:t>
            </w:r>
            <w:r/>
          </w:p>
        </w:tc>
        <w:tc>
          <w:tcPr>
            <w:tcW w:w="3360" w:type="pct"/>
            <w:vAlign w:val="center"/>
            <w:textDirection w:val="lrTb"/>
            <w:noWrap w:val="false"/>
          </w:tcPr>
          <w:p>
            <w:pPr>
              <w:jc w:val="center"/>
              <w:rPr>
                <w:rFonts w:hint="eastAsia" w:ascii="仿宋_GB2312" w:hAnsi="Times New Roman" w:eastAsia="仿宋_GB2312" w:cs="Times New Roman"/>
                <w:color w:val="000000"/>
                <w:sz w:val="24"/>
                <w:szCs w:val="24"/>
                <w:highlight w:val="none"/>
                <w:u w:val="none"/>
                <w:lang w:val="en-US" w:eastAsia="zh-CN"/>
              </w:rPr>
            </w:pPr>
            <w:r>
              <w:rPr>
                <w:rFonts w:hint="eastAsia" w:ascii="仿宋_GB2312" w:hAnsi="Times New Roman" w:eastAsia="仿宋_GB2312" w:cs="Times New Roman"/>
                <w:color w:val="000000"/>
                <w:sz w:val="24"/>
                <w:szCs w:val="24"/>
                <w:highlight w:val="none"/>
                <w:u w:val="none"/>
                <w:lang w:val="en-US" w:eastAsia="zh-CN"/>
              </w:rPr>
              <w:t xml:space="preserve">2026年东台市二轮土地承包到期再延长三十年第三方服务项目</w:t>
            </w:r>
            <w:r/>
          </w:p>
        </w:tc>
      </w:tr>
      <w:tr>
        <w:trPr>
          <w:cantSplit/>
          <w:trHeight w:val="799"/>
        </w:trPr>
        <w:tc>
          <w:tcPr>
            <w:tcW w:w="1639" w:type="pct"/>
            <w:vAlign w:val="center"/>
            <w:textDirection w:val="lrTb"/>
            <w:noWrap w:val="false"/>
          </w:tcPr>
          <w:p>
            <w:pPr>
              <w:jc w:val="center"/>
              <w:rPr>
                <w:rFonts w:hint="eastAsia" w:ascii="仿宋_GB2312" w:hAnsi="Times New Roman" w:eastAsia="仿宋_GB2312" w:cs="Times New Roman"/>
                <w:color w:val="000000"/>
                <w:sz w:val="24"/>
                <w:szCs w:val="24"/>
                <w:highlight w:val="none"/>
                <w:u w:val="none"/>
                <w:lang w:val="en-US" w:eastAsia="zh-CN"/>
              </w:rPr>
            </w:pPr>
            <w:r>
              <w:rPr>
                <w:rFonts w:hint="eastAsia" w:ascii="仿宋_GB2312" w:hAnsi="Times New Roman" w:eastAsia="仿宋_GB2312" w:cs="Times New Roman"/>
                <w:color w:val="000000"/>
                <w:sz w:val="24"/>
                <w:szCs w:val="24"/>
                <w:highlight w:val="none"/>
                <w:u w:val="none"/>
                <w:lang w:val="en-US" w:eastAsia="zh-CN"/>
              </w:rPr>
              <w:t xml:space="preserve">不需要现场实测单价</w:t>
            </w:r>
            <w:r/>
          </w:p>
          <w:p>
            <w:pPr>
              <w:jc w:val="center"/>
              <w:rPr>
                <w:rFonts w:hint="eastAsia" w:ascii="仿宋_GB2312" w:hAnsi="Times New Roman" w:eastAsia="仿宋_GB2312" w:cs="Times New Roman"/>
                <w:color w:val="000000"/>
                <w:sz w:val="24"/>
                <w:szCs w:val="24"/>
                <w:highlight w:val="none"/>
                <w:u w:val="none"/>
                <w:lang w:val="en-US" w:eastAsia="zh-CN"/>
              </w:rPr>
            </w:pPr>
            <w:r>
              <w:rPr>
                <w:rFonts w:hint="eastAsia" w:ascii="仿宋_GB2312" w:hAnsi="Times New Roman" w:eastAsia="仿宋_GB2312" w:cs="Times New Roman"/>
                <w:color w:val="000000"/>
                <w:sz w:val="24"/>
                <w:szCs w:val="24"/>
                <w:highlight w:val="none"/>
                <w:u w:val="none"/>
                <w:lang w:val="en-US" w:eastAsia="zh-CN"/>
              </w:rPr>
              <w:t xml:space="preserve">（人民币）</w:t>
            </w:r>
            <w:r/>
          </w:p>
        </w:tc>
        <w:tc>
          <w:tcPr>
            <w:tcBorders>
              <w:bottom w:val="single" w:color="auto" w:sz="4" w:space="0"/>
            </w:tcBorders>
            <w:tcW w:w="3360" w:type="pct"/>
            <w:vAlign w:val="center"/>
            <w:textDirection w:val="lrTb"/>
            <w:noWrap w:val="false"/>
          </w:tcPr>
          <w:p>
            <w:pPr>
              <w:jc w:val="center"/>
              <w:rPr>
                <w:rFonts w:hint="eastAsia" w:ascii="仿宋_GB2312" w:hAnsi="Times New Roman" w:eastAsia="仿宋_GB2312" w:cs="Times New Roman"/>
                <w:color w:val="000000"/>
                <w:sz w:val="24"/>
                <w:szCs w:val="24"/>
                <w:highlight w:val="none"/>
                <w:u w:val="none"/>
                <w:lang w:val="en-US" w:eastAsia="zh-CN"/>
              </w:rPr>
            </w:pPr>
            <w:r>
              <w:rPr>
                <w:rFonts w:hint="eastAsia" w:ascii="仿宋_GB2312" w:hAnsi="Times New Roman" w:eastAsia="仿宋_GB2312" w:cs="Times New Roman"/>
                <w:color w:val="000000"/>
                <w:sz w:val="24"/>
                <w:szCs w:val="24"/>
                <w:highlight w:val="none"/>
                <w:u w:val="single"/>
                <w:lang w:val="en-US" w:eastAsia="zh-CN"/>
              </w:rPr>
              <w:t xml:space="preserve">                 </w:t>
            </w:r>
            <w:r>
              <w:rPr>
                <w:rFonts w:hint="eastAsia" w:ascii="仿宋_GB2312" w:hAnsi="Times New Roman" w:eastAsia="仿宋_GB2312" w:cs="Times New Roman"/>
                <w:color w:val="000000"/>
                <w:sz w:val="24"/>
                <w:szCs w:val="24"/>
                <w:highlight w:val="none"/>
                <w:u w:val="none"/>
                <w:lang w:val="en-US" w:eastAsia="zh-CN"/>
              </w:rPr>
              <w:t xml:space="preserve">元/户</w:t>
            </w:r>
            <w:r/>
          </w:p>
        </w:tc>
      </w:tr>
      <w:tr>
        <w:trPr>
          <w:cantSplit/>
          <w:trHeight w:val="1142"/>
        </w:trPr>
        <w:tc>
          <w:tcPr>
            <w:tcW w:w="1639" w:type="pct"/>
            <w:vAlign w:val="center"/>
            <w:textDirection w:val="lrTb"/>
            <w:noWrap w:val="false"/>
          </w:tcPr>
          <w:p>
            <w:pPr>
              <w:jc w:val="center"/>
              <w:rPr>
                <w:rFonts w:hint="eastAsia" w:ascii="仿宋_GB2312" w:hAnsi="Times New Roman" w:eastAsia="仿宋_GB2312" w:cs="Times New Roman"/>
                <w:color w:val="000000"/>
                <w:sz w:val="24"/>
                <w:szCs w:val="24"/>
                <w:highlight w:val="none"/>
                <w:u w:val="none"/>
                <w:lang w:val="en-US" w:eastAsia="zh-CN"/>
              </w:rPr>
            </w:pPr>
            <w:r>
              <w:rPr>
                <w:rFonts w:hint="eastAsia" w:ascii="仿宋_GB2312" w:hAnsi="Times New Roman" w:eastAsia="仿宋_GB2312" w:cs="Times New Roman"/>
                <w:color w:val="000000"/>
                <w:sz w:val="24"/>
                <w:szCs w:val="24"/>
                <w:highlight w:val="none"/>
                <w:u w:val="none"/>
                <w:lang w:val="en-US" w:eastAsia="zh-CN"/>
              </w:rPr>
              <w:t xml:space="preserve">需要现场实测单价</w:t>
            </w:r>
            <w:r/>
          </w:p>
          <w:p>
            <w:pPr>
              <w:jc w:val="center"/>
              <w:rPr>
                <w:rFonts w:hint="eastAsia" w:ascii="仿宋_GB2312" w:hAnsi="Times New Roman" w:eastAsia="仿宋_GB2312" w:cs="Times New Roman"/>
                <w:color w:val="000000"/>
                <w:sz w:val="24"/>
                <w:szCs w:val="24"/>
                <w:highlight w:val="none"/>
                <w:u w:val="none"/>
                <w:lang w:val="en-US" w:eastAsia="zh-CN"/>
              </w:rPr>
            </w:pPr>
            <w:r>
              <w:rPr>
                <w:rFonts w:hint="eastAsia" w:ascii="仿宋_GB2312" w:hAnsi="Times New Roman" w:eastAsia="仿宋_GB2312" w:cs="Times New Roman"/>
                <w:color w:val="000000"/>
                <w:sz w:val="24"/>
                <w:szCs w:val="24"/>
                <w:highlight w:val="none"/>
                <w:u w:val="none"/>
                <w:lang w:val="en-US" w:eastAsia="zh-CN"/>
              </w:rPr>
              <w:t xml:space="preserve">（人民币）</w:t>
            </w:r>
            <w:r/>
          </w:p>
        </w:tc>
        <w:tc>
          <w:tcPr>
            <w:tcBorders>
              <w:bottom w:val="single" w:color="auto" w:sz="4" w:space="0"/>
            </w:tcBorders>
            <w:tcW w:w="3360" w:type="pct"/>
            <w:vAlign w:val="center"/>
            <w:textDirection w:val="lrTb"/>
            <w:noWrap w:val="false"/>
          </w:tcPr>
          <w:p>
            <w:pPr>
              <w:jc w:val="center"/>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lang w:val="en-US" w:eastAsia="zh-CN"/>
              </w:rPr>
              <w:t xml:space="preserve">元/户</w:t>
            </w:r>
            <w:r/>
          </w:p>
        </w:tc>
      </w:tr>
      <w:tr>
        <w:trPr>
          <w:cantSplit/>
          <w:trHeight w:val="677"/>
        </w:trPr>
        <w:tc>
          <w:tcPr>
            <w:tcW w:w="1639" w:type="pct"/>
            <w:vAlign w:val="center"/>
            <w:textDirection w:val="lrTb"/>
            <w:noWrap w:val="false"/>
          </w:tcPr>
          <w:p>
            <w:pPr>
              <w:jc w:val="center"/>
              <w:rPr>
                <w:rFonts w:hint="eastAsia" w:ascii="仿宋_GB2312" w:hAnsi="Times New Roman" w:eastAsia="仿宋_GB2312" w:cs="Times New Roman"/>
                <w:color w:val="000000"/>
                <w:sz w:val="24"/>
                <w:szCs w:val="24"/>
                <w:highlight w:val="none"/>
                <w:u w:val="none"/>
                <w:lang w:val="en-US" w:eastAsia="zh-CN"/>
              </w:rPr>
            </w:pPr>
            <w:r>
              <w:rPr>
                <w:rFonts w:hint="eastAsia" w:ascii="仿宋_GB2312" w:hAnsi="Times New Roman" w:eastAsia="仿宋_GB2312" w:cs="Times New Roman"/>
                <w:color w:val="000000"/>
                <w:sz w:val="24"/>
                <w:szCs w:val="24"/>
                <w:highlight w:val="none"/>
                <w:u w:val="none"/>
                <w:lang w:val="en-US" w:eastAsia="zh-CN"/>
              </w:rPr>
              <w:t xml:space="preserve">总价</w:t>
            </w:r>
            <w:r/>
          </w:p>
          <w:p>
            <w:pPr>
              <w:jc w:val="center"/>
              <w:rPr>
                <w:rFonts w:hint="default" w:ascii="仿宋_GB2312" w:hAnsi="Times New Roman" w:eastAsia="仿宋_GB2312" w:cs="Times New Roman"/>
                <w:color w:val="000000"/>
                <w:sz w:val="24"/>
                <w:szCs w:val="24"/>
                <w:highlight w:val="none"/>
                <w:u w:val="none"/>
                <w:lang w:val="en-US" w:eastAsia="zh-CN"/>
              </w:rPr>
            </w:pPr>
            <w:r>
              <w:rPr>
                <w:rFonts w:hint="eastAsia" w:ascii="仿宋_GB2312" w:hAnsi="Times New Roman" w:eastAsia="仿宋_GB2312" w:cs="Times New Roman"/>
                <w:color w:val="000000"/>
                <w:sz w:val="24"/>
                <w:szCs w:val="24"/>
                <w:highlight w:val="none"/>
                <w:u w:val="none"/>
                <w:lang w:val="en-US" w:eastAsia="zh-CN"/>
              </w:rPr>
              <w:t xml:space="preserve">（人民币）</w:t>
            </w:r>
            <w:r/>
          </w:p>
        </w:tc>
        <w:tc>
          <w:tcPr>
            <w:tcBorders>
              <w:bottom w:val="single" w:color="auto" w:sz="4" w:space="0"/>
            </w:tcBorders>
            <w:tcW w:w="3360" w:type="pct"/>
            <w:vAlign w:val="center"/>
            <w:textDirection w:val="lrTb"/>
            <w:noWrap w:val="false"/>
          </w:tcPr>
          <w:p>
            <w:pPr>
              <w:jc w:val="center"/>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highlight w:val="none"/>
                <w:lang w:val="en-US" w:eastAsia="zh-CN"/>
              </w:rPr>
              <w:t xml:space="preserve">                  元</w:t>
            </w:r>
            <w:r/>
          </w:p>
        </w:tc>
      </w:tr>
    </w:tbl>
    <w:p>
      <w:pPr>
        <w:pStyle w:val="857"/>
        <w:ind w:firstLine="480"/>
        <w:jc w:val="both"/>
        <w:pageBreakBefore w:val="0"/>
        <w:spacing w:beforeAutospacing="0" w:afterAutospacing="0"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7"/>
        <w:ind w:firstLine="480"/>
        <w:jc w:val="both"/>
        <w:spacing w:beforeAutospacing="0" w:afterAutospacing="0" w:line="0" w:lineRule="atLeast"/>
        <w:rPr>
          <w:rFonts w:hint="eastAsia" w:ascii="仿宋_GB2312" w:hAnsi="Times New Roman" w:eastAsia="仿宋_GB2312" w:cs="Times New Roman"/>
          <w:color w:val="000000"/>
          <w:sz w:val="24"/>
          <w:szCs w:val="24"/>
          <w:highlight w:val="none"/>
          <w:u w:val="none"/>
          <w:lang w:val="en-US" w:eastAsia="zh-CN" w:bidi="ar-SA"/>
        </w:rPr>
      </w:pPr>
      <w:r>
        <w:rPr>
          <w:rFonts w:hint="eastAsia" w:ascii="仿宋_GB2312" w:hAnsi="Times New Roman" w:eastAsia="仿宋_GB2312" w:cs="Times New Roman"/>
          <w:color w:val="000000"/>
          <w:sz w:val="24"/>
          <w:szCs w:val="24"/>
          <w:highlight w:val="none"/>
          <w:u w:val="none"/>
          <w:lang w:val="en-US" w:eastAsia="zh-CN" w:bidi="ar-SA"/>
        </w:rPr>
        <w:t xml:space="preserve">备注：1.报价中包含但不限于人工、食宿费、差旅费、安全措施费、数据整理、成果出具、纸张等耗材、后续服务、税金、合理利润等与完成本项目服务相关的所有费用。</w:t>
      </w:r>
      <w:r/>
    </w:p>
    <w:p>
      <w:pPr>
        <w:pStyle w:val="857"/>
        <w:ind w:firstLine="480"/>
        <w:jc w:val="both"/>
        <w:spacing w:beforeAutospacing="0" w:afterAutospacing="0" w:line="0" w:lineRule="atLeast"/>
        <w:rPr>
          <w:rFonts w:hint="eastAsia" w:ascii="仿宋_GB2312" w:hAnsi="Times New Roman" w:eastAsia="仿宋_GB2312" w:cs="Times New Roman"/>
          <w:color w:val="000000"/>
          <w:sz w:val="24"/>
          <w:szCs w:val="24"/>
          <w:highlight w:val="none"/>
          <w:u w:val="none"/>
          <w:lang w:val="en-US" w:eastAsia="zh-CN" w:bidi="ar-SA"/>
        </w:rPr>
      </w:pPr>
      <w:r>
        <w:rPr>
          <w:rFonts w:hint="eastAsia" w:ascii="仿宋_GB2312" w:hAnsi="Times New Roman" w:eastAsia="仿宋_GB2312" w:cs="Times New Roman"/>
          <w:color w:val="000000"/>
          <w:sz w:val="24"/>
          <w:szCs w:val="24"/>
          <w:highlight w:val="yellow"/>
          <w:u w:val="none"/>
          <w:lang w:val="en-US" w:eastAsia="zh-CN" w:bidi="ar-SA"/>
        </w:rPr>
        <w:t xml:space="preserve">2.“开标一览表”及“投标分项报价表”中总价为单价汇总（示例：不需要现场实测单价30元/户，需要现场实测单价250元/户，则总价填写280元）</w:t>
      </w:r>
      <w:r>
        <w:rPr>
          <w:rFonts w:hint="eastAsia" w:ascii="仿宋_GB2312" w:hAnsi="Times New Roman" w:eastAsia="仿宋_GB2312" w:cs="Times New Roman"/>
          <w:color w:val="000000"/>
          <w:sz w:val="24"/>
          <w:szCs w:val="24"/>
          <w:highlight w:val="none"/>
          <w:u w:val="none"/>
          <w:lang w:val="en-US" w:eastAsia="zh-CN" w:bidi="ar-SA"/>
        </w:rPr>
        <w:t xml:space="preserve">。</w:t>
      </w:r>
      <w:r/>
    </w:p>
    <w:p>
      <w:pPr>
        <w:pStyle w:val="857"/>
        <w:ind w:firstLine="480"/>
        <w:jc w:val="both"/>
        <w:pageBreakBefore w:val="0"/>
        <w:spacing w:beforeAutospacing="0" w:afterAutospacing="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7"/>
        <w:ind w:firstLine="480"/>
        <w:jc w:val="both"/>
        <w:pageBreakBefore w:val="0"/>
        <w:spacing w:beforeAutospacing="0" w:afterAutospacing="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2400"/>
        <w:spacing w:line="600" w:lineRule="exact"/>
        <w:rPr>
          <w:rFonts w:hint="eastAsia" w:ascii="仿宋_GB2312" w:hAnsi="Times New Roman" w:eastAsia="仿宋_GB2312" w:cs="Times New Roman"/>
          <w:color w:val="000000"/>
          <w:sz w:val="24"/>
          <w:szCs w:val="24"/>
          <w:highlight w:val="none"/>
          <w:u w:val="none"/>
          <w:lang w:val="en-US" w:eastAsia="zh-CN" w:bidi="ar-SA"/>
        </w:rPr>
      </w:pPr>
      <w:r>
        <w:rPr>
          <w:rFonts w:hint="eastAsia" w:ascii="宋体" w:hAnsi="宋体" w:eastAsia="宋体" w:cs="宋体"/>
          <w:color w:val="000000"/>
          <w:sz w:val="24"/>
          <w:szCs w:val="24"/>
          <w:highlight w:val="none"/>
          <w:lang w:eastAsia="zh-CN"/>
        </w:rPr>
        <w:tab/>
      </w:r>
      <w:r>
        <w:rPr>
          <w:rFonts w:hint="eastAsia" w:ascii="宋体" w:hAnsi="宋体" w:eastAsia="宋体" w:cs="宋体"/>
          <w:color w:val="000000"/>
          <w:sz w:val="24"/>
          <w:szCs w:val="24"/>
          <w:highlight w:val="none"/>
          <w:lang w:val="en-US" w:eastAsia="zh-CN"/>
        </w:rPr>
        <w:t xml:space="preserve">      </w:t>
      </w:r>
      <w:r>
        <w:rPr>
          <w:rFonts w:hint="eastAsia" w:ascii="仿宋_GB2312" w:hAnsi="Times New Roman" w:eastAsia="仿宋_GB2312" w:cs="Times New Roman"/>
          <w:color w:val="000000"/>
          <w:sz w:val="24"/>
          <w:szCs w:val="24"/>
          <w:highlight w:val="none"/>
          <w:u w:val="none"/>
          <w:lang w:val="en-US" w:eastAsia="zh-CN" w:bidi="ar-SA"/>
        </w:rPr>
        <w:t xml:space="preserve"> 法定代表人或被授权人（签字）：</w:t>
      </w:r>
      <w:r/>
    </w:p>
    <w:p>
      <w:pPr>
        <w:ind w:firstLine="3360"/>
        <w:spacing w:line="600" w:lineRule="exact"/>
        <w:rPr>
          <w:rFonts w:hint="eastAsia" w:ascii="仿宋_GB2312" w:hAnsi="Times New Roman" w:eastAsia="仿宋_GB2312" w:cs="Times New Roman"/>
          <w:color w:val="000000"/>
          <w:sz w:val="24"/>
          <w:szCs w:val="24"/>
          <w:highlight w:val="none"/>
          <w:u w:val="none"/>
          <w:lang w:val="en-US" w:eastAsia="zh-CN" w:bidi="ar-SA"/>
        </w:rPr>
      </w:pPr>
      <w:r>
        <w:rPr>
          <w:rFonts w:hint="eastAsia" w:ascii="仿宋_GB2312" w:hAnsi="Times New Roman" w:eastAsia="仿宋_GB2312" w:cs="Times New Roman"/>
          <w:color w:val="000000"/>
          <w:sz w:val="24"/>
          <w:szCs w:val="24"/>
          <w:highlight w:val="none"/>
          <w:u w:val="none"/>
          <w:lang w:val="en-US" w:eastAsia="zh-CN" w:bidi="ar-SA"/>
        </w:rPr>
        <w:t xml:space="preserve">投标人（盖单位公章）：</w:t>
      </w:r>
      <w:r/>
    </w:p>
    <w:p>
      <w:pPr>
        <w:ind w:firstLine="1200"/>
        <w:spacing w:line="600" w:lineRule="exact"/>
        <w:rPr>
          <w:rFonts w:hint="eastAsia" w:ascii="仿宋_GB2312" w:hAnsi="Times New Roman" w:eastAsia="仿宋_GB2312" w:cs="Times New Roman"/>
          <w:color w:val="000000"/>
          <w:sz w:val="24"/>
          <w:szCs w:val="24"/>
          <w:highlight w:val="none"/>
          <w:u w:val="none"/>
          <w:lang w:val="en-US" w:eastAsia="zh-CN" w:bidi="ar-SA"/>
        </w:rPr>
      </w:pPr>
      <w:r>
        <w:rPr>
          <w:rFonts w:hint="eastAsia" w:ascii="仿宋_GB2312" w:hAnsi="Times New Roman" w:eastAsia="仿宋_GB2312" w:cs="Times New Roman"/>
          <w:color w:val="000000"/>
          <w:sz w:val="24"/>
          <w:szCs w:val="24"/>
          <w:highlight w:val="none"/>
          <w:u w:val="none"/>
          <w:lang w:val="en-US" w:eastAsia="zh-CN" w:bidi="ar-SA"/>
        </w:rPr>
        <w:t xml:space="preserve">                                 年    月    日</w:t>
      </w:r>
      <w:r/>
    </w:p>
    <w:p>
      <w:pPr>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br w:type="page" w:clear="all"/>
      </w:r>
      <w:r/>
    </w:p>
    <w:p>
      <w:pPr>
        <w:pStyle w:val="857"/>
        <w:jc w:val="center"/>
        <w:pageBreakBefore w:val="0"/>
        <w:spacing w:beforeAutospacing="0" w:afterAutospacing="0" w:line="240" w:lineRule="auto"/>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六</w:t>
      </w:r>
      <w:r>
        <w:rPr>
          <w:rFonts w:hint="eastAsia" w:ascii="黑体" w:hAnsi="宋体" w:eastAsia="黑体" w:cs="黑体"/>
          <w:b/>
          <w:color w:val="000000"/>
          <w:sz w:val="32"/>
          <w:szCs w:val="32"/>
          <w:highlight w:val="none"/>
        </w:rPr>
        <w:t xml:space="preserve">、技术要求响应及偏离表（分包号：**）</w:t>
      </w:r>
      <w:r/>
    </w:p>
    <w:tbl>
      <w:tblPr>
        <w:tblStyle w:val="84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7"/>
              <w:jc w:val="center"/>
              <w:pageBreakBefore w:val="0"/>
              <w:spacing w:beforeAutospacing="0" w:afterAutospacing="0" w:line="240" w:lineRule="auto"/>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7"/>
              <w:jc w:val="center"/>
              <w:pageBreakBefore w:val="0"/>
              <w:spacing w:beforeAutospacing="0" w:afterAutospacing="0" w:line="240" w:lineRule="auto"/>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7"/>
              <w:jc w:val="center"/>
              <w:pageBreakBefore w:val="0"/>
              <w:spacing w:beforeAutospacing="0" w:afterAutospacing="0" w:line="240" w:lineRule="auto"/>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pageBreakBefore w:val="0"/>
              <w:spacing w:beforeAutospacing="0" w:afterAutospacing="0" w:line="240" w:lineRule="auto"/>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pageBreakBefore w:val="0"/>
              <w:spacing w:beforeAutospacing="0" w:afterAutospacing="0" w:line="240" w:lineRule="auto"/>
              <w:rPr>
                <w:highlight w:val="none"/>
              </w:rPr>
            </w:pPr>
            <w:r>
              <w:rPr>
                <w:rFonts w:hint="eastAsia" w:ascii="宋体" w:hAnsi="宋体" w:eastAsia="宋体" w:cs="宋体"/>
                <w:color w:val="000000"/>
                <w:highlight w:val="none"/>
              </w:rPr>
              <w:t xml:space="preserve">证明</w:t>
            </w:r>
            <w:r/>
          </w:p>
          <w:p>
            <w:pPr>
              <w:pStyle w:val="857"/>
              <w:jc w:val="center"/>
              <w:pageBreakBefore w:val="0"/>
              <w:spacing w:beforeAutospacing="0" w:afterAutospacing="0" w:line="240" w:lineRule="auto"/>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7"/>
              <w:jc w:val="center"/>
              <w:pageBreakBefore w:val="0"/>
              <w:spacing w:beforeAutospacing="0" w:afterAutospacing="0" w:line="240" w:lineRule="auto"/>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r>
    </w:tbl>
    <w:p>
      <w:pPr>
        <w:pStyle w:val="857"/>
        <w:jc w:val="both"/>
        <w:pageBreakBefore w:val="0"/>
        <w:spacing w:beforeAutospacing="0" w:afterAutospacing="0" w:line="240" w:lineRule="auto"/>
        <w:rPr>
          <w:highlight w:val="none"/>
        </w:rPr>
      </w:pPr>
      <w:r>
        <w:rPr>
          <w:rFonts w:hint="eastAsia" w:ascii="宋体" w:hAnsi="宋体" w:eastAsia="宋体" w:cs="宋体"/>
          <w:color w:val="000000"/>
          <w:highlight w:val="none"/>
        </w:rPr>
        <w:t xml:space="preserve">注：行数不够，可自行添加。</w:t>
      </w:r>
      <w:r/>
    </w:p>
    <w:p>
      <w:pPr>
        <w:rPr>
          <w:rFonts w:hint="eastAsia" w:ascii="黑体" w:hAnsi="宋体" w:eastAsia="黑体" w:cs="黑体"/>
          <w:b/>
          <w:color w:val="000000"/>
          <w:sz w:val="32"/>
          <w:szCs w:val="32"/>
          <w:highlight w:val="none"/>
          <w:lang w:val="en-US" w:eastAsia="zh-CN"/>
        </w:rPr>
      </w:pPr>
      <w:r/>
      <w:bookmarkStart w:id="202" w:name="_Hlt26955054"/>
      <w:r>
        <w:rPr>
          <w:rFonts w:hint="eastAsia" w:ascii="黑体" w:hAnsi="宋体" w:eastAsia="黑体" w:cs="黑体"/>
          <w:b/>
          <w:color w:val="000000"/>
          <w:sz w:val="32"/>
          <w:szCs w:val="32"/>
          <w:highlight w:val="none"/>
          <w:lang w:val="en-US" w:eastAsia="zh-CN"/>
        </w:rPr>
        <w:br w:type="page" w:clear="all"/>
      </w:r>
      <w:r/>
    </w:p>
    <w:p>
      <w:pPr>
        <w:pStyle w:val="857"/>
        <w:jc w:val="center"/>
        <w:pageBreakBefore w:val="0"/>
        <w:spacing w:beforeAutospacing="0" w:afterAutospacing="0" w:line="240" w:lineRule="auto"/>
        <w:rPr>
          <w:highlight w:val="none"/>
        </w:rPr>
      </w:pPr>
      <w:r>
        <w:rPr>
          <w:rFonts w:hint="eastAsia" w:ascii="黑体" w:hAnsi="宋体" w:eastAsia="黑体" w:cs="黑体"/>
          <w:b/>
          <w:color w:val="000000"/>
          <w:sz w:val="32"/>
          <w:szCs w:val="32"/>
          <w:highlight w:val="none"/>
          <w:lang w:val="en-US" w:eastAsia="zh-CN"/>
        </w:rPr>
        <w:t xml:space="preserve">十七</w:t>
      </w:r>
      <w:r>
        <w:rPr>
          <w:rFonts w:hint="eastAsia" w:ascii="黑体" w:hAnsi="宋体" w:eastAsia="黑体" w:cs="黑体"/>
          <w:b/>
          <w:color w:val="000000"/>
          <w:sz w:val="32"/>
          <w:szCs w:val="32"/>
          <w:highlight w:val="none"/>
        </w:rPr>
        <w:t xml:space="preserve">、商务要求响应及偏离表（分包号：**）</w:t>
      </w:r>
      <w:r/>
    </w:p>
    <w:tbl>
      <w:tblPr>
        <w:tblStyle w:val="84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7"/>
              <w:jc w:val="center"/>
              <w:pageBreakBefore w:val="0"/>
              <w:spacing w:beforeAutospacing="0" w:afterAutospacing="0" w:line="240" w:lineRule="auto"/>
              <w:rPr>
                <w:highlight w:val="none"/>
              </w:rPr>
            </w:pPr>
            <w:r/>
            <w:bookmarkStart w:id="203" w:name="_Hlt26782999"/>
            <w:r/>
            <w:bookmarkStart w:id="204" w:name="_Hlt26580838"/>
            <w:r/>
            <w:bookmarkStart w:id="205" w:name="_Hlt26609391"/>
            <w:r/>
            <w:bookmarkStart w:id="206" w:name="_Hlt24879081"/>
            <w:r/>
            <w:bookmarkStart w:id="207" w:name="_Hlt26955056"/>
            <w:r/>
            <w:bookmarkStart w:id="208" w:name="_Hlt26671343"/>
            <w:r/>
            <w:bookmarkStart w:id="209" w:name="_Hlt26955064"/>
            <w:r/>
            <w:bookmarkStart w:id="210" w:name="_Hlt26671372"/>
            <w:r>
              <w:rPr>
                <w:rFonts w:hint="eastAsia" w:ascii="宋体" w:hAnsi="宋体" w:eastAsia="宋体" w:cs="宋体"/>
                <w:color w:val="000000"/>
                <w:highlight w:val="none"/>
              </w:rPr>
              <w:t xml:space="preserve">序号</w:t>
            </w:r>
            <w:bookmarkEnd w:id="203"/>
            <w:r/>
            <w:bookmarkEnd w:id="204"/>
            <w:r/>
            <w:bookmarkEnd w:id="205"/>
            <w:r/>
            <w:bookmarkEnd w:id="206"/>
            <w:r/>
            <w:bookmarkEnd w:id="207"/>
            <w:r/>
            <w:bookmarkEnd w:id="208"/>
            <w:r/>
            <w:bookmarkEnd w:id="209"/>
            <w:r/>
            <w:bookmarkEnd w:id="210"/>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7"/>
              <w:jc w:val="center"/>
              <w:pageBreakBefore w:val="0"/>
              <w:spacing w:beforeAutospacing="0" w:afterAutospacing="0" w:line="240" w:lineRule="auto"/>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7"/>
              <w:jc w:val="center"/>
              <w:pageBreakBefore w:val="0"/>
              <w:spacing w:beforeAutospacing="0" w:afterAutospacing="0" w:line="240" w:lineRule="auto"/>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7"/>
              <w:jc w:val="center"/>
              <w:pageBreakBefore w:val="0"/>
              <w:spacing w:beforeAutospacing="0" w:afterAutospacing="0" w:line="240" w:lineRule="auto"/>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7"/>
              <w:jc w:val="center"/>
              <w:pageBreakBefore w:val="0"/>
              <w:spacing w:beforeAutospacing="0" w:afterAutospacing="0" w:line="240" w:lineRule="auto"/>
              <w:rPr>
                <w:highlight w:val="none"/>
              </w:rPr>
            </w:pPr>
            <w:r>
              <w:rPr>
                <w:rFonts w:hint="eastAsia" w:ascii="宋体" w:hAnsi="宋体" w:eastAsia="宋体" w:cs="宋体"/>
                <w:color w:val="000000"/>
                <w:highlight w:val="none"/>
              </w:rPr>
              <w:t xml:space="preserve">证明</w:t>
            </w:r>
            <w:r/>
          </w:p>
          <w:p>
            <w:pPr>
              <w:pStyle w:val="857"/>
              <w:jc w:val="center"/>
              <w:pageBreakBefore w:val="0"/>
              <w:spacing w:beforeAutospacing="0" w:afterAutospacing="0" w:line="240" w:lineRule="auto"/>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7"/>
              <w:jc w:val="center"/>
              <w:pageBreakBefore w:val="0"/>
              <w:spacing w:beforeAutospacing="0" w:afterAutospacing="0" w:line="240" w:lineRule="auto"/>
              <w:rPr>
                <w:highlight w:val="none"/>
              </w:rPr>
            </w:pPr>
            <w:r>
              <w:rPr>
                <w:highlight w:val="none"/>
              </w:rPr>
              <w:t xml:space="preserve"> </w:t>
            </w:r>
            <w:r/>
          </w:p>
        </w:tc>
      </w:tr>
    </w:tbl>
    <w:p>
      <w:pPr>
        <w:pStyle w:val="857"/>
        <w:jc w:val="both"/>
        <w:pageBreakBefore w:val="0"/>
        <w:spacing w:beforeAutospacing="0" w:afterAutospacing="0" w:line="240" w:lineRule="auto"/>
        <w:rPr>
          <w:highlight w:val="none"/>
        </w:rPr>
      </w:pPr>
      <w:r>
        <w:rPr>
          <w:rFonts w:hint="eastAsia" w:ascii="宋体" w:hAnsi="宋体" w:eastAsia="宋体" w:cs="宋体"/>
          <w:color w:val="000000"/>
          <w:highlight w:val="none"/>
        </w:rPr>
        <w:t xml:space="preserve">注：行数不够，可自行添加。</w:t>
      </w:r>
      <w:r/>
    </w:p>
    <w:p>
      <w:pPr>
        <w:rPr>
          <w:rFonts w:hint="eastAsia" w:ascii="黑体" w:hAnsi="宋体" w:eastAsia="黑体" w:cs="黑体"/>
          <w:b/>
          <w:color w:val="000000"/>
          <w:sz w:val="32"/>
          <w:szCs w:val="32"/>
          <w:highlight w:val="none"/>
          <w:lang w:val="en-US" w:eastAsia="zh-CN"/>
        </w:rPr>
      </w:pPr>
      <w:r/>
      <w:bookmarkStart w:id="211" w:name="_Hlt26671374"/>
      <w:r/>
      <w:bookmarkStart w:id="212" w:name="_Hlt26609389"/>
      <w:r/>
      <w:bookmarkStart w:id="213" w:name="_格式2__法定代表人授权书"/>
      <w:r/>
      <w:bookmarkStart w:id="214" w:name="_Hlt26955066"/>
      <w:r/>
      <w:bookmarkStart w:id="215" w:name="_Toc462564146"/>
      <w:r>
        <w:rPr>
          <w:rFonts w:hint="eastAsia" w:ascii="黑体" w:hAnsi="宋体" w:eastAsia="黑体" w:cs="黑体"/>
          <w:b/>
          <w:color w:val="000000"/>
          <w:sz w:val="32"/>
          <w:szCs w:val="32"/>
          <w:highlight w:val="none"/>
          <w:lang w:val="en-US" w:eastAsia="zh-CN"/>
        </w:rPr>
        <w:br w:type="page" w:clear="all"/>
      </w:r>
      <w:r/>
    </w:p>
    <w:p>
      <w:pPr>
        <w:pStyle w:val="857"/>
        <w:jc w:val="center"/>
        <w:pageBreakBefore w:val="0"/>
        <w:spacing w:beforeAutospacing="0" w:afterAutospacing="0" w:line="240" w:lineRule="auto"/>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t xml:space="preserve">十八、</w:t>
      </w:r>
      <w:r>
        <w:rPr>
          <w:rFonts w:hint="eastAsia" w:ascii="黑体" w:hAnsi="Times New Roman" w:eastAsia="黑体" w:cs="Times New Roman"/>
          <w:b/>
          <w:bCs/>
          <w:sz w:val="32"/>
          <w:szCs w:val="32"/>
          <w:lang w:val="zh-CN"/>
        </w:rPr>
        <w:t xml:space="preserve">供应商拟投入本项目服务人员一览表</w:t>
      </w:r>
      <w:r/>
    </w:p>
    <w:p>
      <w:pPr>
        <w:rPr>
          <w:rFonts w:cs="宋体"/>
          <w:color w:val="auto"/>
          <w:sz w:val="24"/>
          <w:szCs w:val="24"/>
          <w:highlight w:val="none"/>
          <w:lang w:val="zh-CN"/>
        </w:rPr>
      </w:pPr>
      <w:r>
        <w:rPr>
          <w:rFonts w:hint="eastAsia"/>
          <w:color w:val="auto"/>
          <w:sz w:val="24"/>
          <w:szCs w:val="24"/>
          <w:lang w:val="zh-CN"/>
        </w:rPr>
        <w:t xml:space="preserve">项目名称：</w:t>
      </w:r>
      <w:r/>
    </w:p>
    <w:tbl>
      <w:tblPr>
        <w:tblStyle w:val="847"/>
        <w:tblpPr w:horzAnchor="margin" w:tblpXSpec="left" w:vertAnchor="text" w:tblpY="132" w:leftFromText="180" w:topFromText="0" w:rightFromText="180" w:bottomFromText="0"/>
        <w:tblW w:w="4997"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517"/>
        <w:gridCol w:w="593"/>
        <w:gridCol w:w="653"/>
        <w:gridCol w:w="619"/>
        <w:gridCol w:w="583"/>
        <w:gridCol w:w="576"/>
        <w:gridCol w:w="1025"/>
        <w:gridCol w:w="732"/>
        <w:gridCol w:w="1386"/>
        <w:gridCol w:w="1119"/>
        <w:gridCol w:w="714"/>
      </w:tblGrid>
      <w:tr>
        <w:trPr>
          <w:trHeight w:val="1300"/>
        </w:trPr>
        <w:tc>
          <w:tcPr>
            <w:tcBorders>
              <w:top w:val="single" w:color="auto" w:sz="4" w:space="0"/>
              <w:left w:val="single" w:color="auto" w:sz="4" w:space="0"/>
              <w:bottom w:val="single" w:color="auto" w:sz="4" w:space="0"/>
              <w:right w:val="single" w:color="auto" w:sz="4" w:space="0"/>
            </w:tcBorders>
            <w:tcW w:w="303" w:type="pct"/>
            <w:vAlign w:val="center"/>
            <w:textDirection w:val="lrTb"/>
            <w:noWrap w:val="false"/>
          </w:tcPr>
          <w:p>
            <w:pPr>
              <w:jc w:val="center"/>
              <w:rPr>
                <w:rFonts w:hint="eastAsia" w:ascii="仿宋" w:hAnsi="仿宋" w:eastAsia="仿宋" w:cs="仿宋"/>
                <w:color w:val="auto"/>
                <w:sz w:val="21"/>
                <w:szCs w:val="21"/>
              </w:rPr>
            </w:pPr>
            <w:r>
              <w:rPr>
                <w:rFonts w:hint="eastAsia" w:ascii="仿宋_GB2312" w:hAnsi="Times New Roman" w:eastAsia="仿宋_GB2312" w:cs="Times New Roman"/>
                <w:sz w:val="24"/>
              </w:rPr>
              <w:t xml:space="preserve">序</w:t>
            </w:r>
            <w:r>
              <w:rPr>
                <w:rFonts w:hint="eastAsia" w:ascii="仿宋_GB2312" w:hAnsi="Times New Roman" w:eastAsia="仿宋_GB2312" w:cs="Times New Roman"/>
                <w:sz w:val="24"/>
                <w:lang w:eastAsia="zh-CN"/>
              </w:rPr>
              <w:t xml:space="preserve">号</w:t>
            </w:r>
            <w:r/>
          </w:p>
        </w:tc>
        <w:tc>
          <w:tcPr>
            <w:tcBorders>
              <w:top w:val="single" w:color="auto" w:sz="4" w:space="0"/>
              <w:left w:val="single" w:color="auto" w:sz="4" w:space="0"/>
              <w:bottom w:val="single" w:color="auto" w:sz="4" w:space="0"/>
              <w:right w:val="single" w:color="auto" w:sz="4" w:space="0"/>
            </w:tcBorders>
            <w:tcW w:w="348" w:type="pct"/>
            <w:vAlign w:val="center"/>
            <w:textDirection w:val="lrTb"/>
            <w:noWrap w:val="false"/>
          </w:tcPr>
          <w:p>
            <w:pPr>
              <w:jc w:val="center"/>
              <w:rPr>
                <w:rFonts w:hint="eastAsia" w:ascii="仿宋" w:hAnsi="仿宋" w:eastAsia="仿宋" w:cs="仿宋"/>
                <w:color w:val="auto"/>
                <w:sz w:val="21"/>
                <w:szCs w:val="21"/>
              </w:rPr>
            </w:pPr>
            <w:r>
              <w:rPr>
                <w:rFonts w:hint="eastAsia" w:ascii="仿宋_GB2312" w:hAnsi="Times New Roman" w:eastAsia="仿宋_GB2312" w:cs="Times New Roman"/>
                <w:sz w:val="24"/>
              </w:rPr>
              <w:t xml:space="preserve">姓名</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rPr>
                <w:rFonts w:hint="eastAsia" w:ascii="仿宋" w:hAnsi="仿宋" w:eastAsia="仿宋" w:cs="仿宋"/>
                <w:color w:val="auto"/>
                <w:sz w:val="21"/>
                <w:szCs w:val="21"/>
              </w:rPr>
            </w:pPr>
            <w:r>
              <w:rPr>
                <w:rFonts w:hint="eastAsia" w:ascii="仿宋_GB2312" w:hAnsi="Times New Roman" w:eastAsia="仿宋_GB2312" w:cs="Times New Roman"/>
                <w:sz w:val="24"/>
              </w:rPr>
              <w:t xml:space="preserve">性别</w:t>
            </w:r>
            <w:r/>
          </w:p>
        </w:tc>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jc w:val="center"/>
              <w:rPr>
                <w:rFonts w:hint="eastAsia" w:ascii="仿宋" w:hAnsi="仿宋" w:eastAsia="仿宋" w:cs="仿宋"/>
                <w:color w:val="auto"/>
                <w:sz w:val="21"/>
                <w:szCs w:val="21"/>
                <w:lang w:eastAsia="zh-CN"/>
              </w:rPr>
            </w:pPr>
            <w:r>
              <w:rPr>
                <w:rFonts w:hint="eastAsia" w:ascii="仿宋_GB2312" w:hAnsi="Times New Roman" w:eastAsia="仿宋_GB2312" w:cs="Times New Roman"/>
                <w:sz w:val="24"/>
                <w:lang w:val="en-US" w:eastAsia="zh-CN"/>
              </w:rPr>
              <w:t xml:space="preserve">年龄</w:t>
            </w:r>
            <w:r/>
          </w:p>
        </w:tc>
        <w:tc>
          <w:tcPr>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jc w:val="center"/>
              <w:rPr>
                <w:rFonts w:hint="eastAsia" w:ascii="仿宋" w:hAnsi="仿宋" w:eastAsia="仿宋" w:cs="仿宋"/>
                <w:color w:val="auto"/>
                <w:sz w:val="21"/>
                <w:szCs w:val="21"/>
              </w:rPr>
            </w:pPr>
            <w:r>
              <w:rPr>
                <w:rFonts w:hint="eastAsia" w:ascii="仿宋_GB2312" w:hAnsi="Times New Roman" w:eastAsia="仿宋_GB2312" w:cs="Times New Roman"/>
                <w:sz w:val="24"/>
                <w:lang w:val="en-US" w:eastAsia="zh-CN"/>
              </w:rPr>
              <w:t xml:space="preserve">专业</w:t>
            </w:r>
            <w:r/>
          </w:p>
        </w:tc>
        <w:tc>
          <w:tcPr>
            <w:tcBorders>
              <w:top w:val="single" w:color="auto" w:sz="4" w:space="0"/>
              <w:left w:val="single" w:color="auto" w:sz="4" w:space="0"/>
              <w:bottom w:val="single" w:color="auto" w:sz="4" w:space="0"/>
              <w:right w:val="single" w:color="auto" w:sz="4" w:space="0"/>
            </w:tcBorders>
            <w:tcW w:w="338" w:type="pct"/>
            <w:vAlign w:val="center"/>
            <w:textDirection w:val="lrTb"/>
            <w:noWrap w:val="false"/>
          </w:tcPr>
          <w:p>
            <w:pPr>
              <w:jc w:val="center"/>
              <w:rPr>
                <w:rFonts w:hint="eastAsia" w:ascii="仿宋" w:hAnsi="仿宋" w:eastAsia="仿宋" w:cs="仿宋"/>
                <w:color w:val="auto"/>
                <w:sz w:val="21"/>
                <w:szCs w:val="21"/>
              </w:rPr>
            </w:pPr>
            <w:r>
              <w:rPr>
                <w:rFonts w:hint="eastAsia" w:ascii="仿宋_GB2312" w:hAnsi="Times New Roman" w:eastAsia="仿宋_GB2312" w:cs="Times New Roman"/>
                <w:sz w:val="24"/>
                <w:lang w:val="en-US" w:eastAsia="zh-CN"/>
              </w:rPr>
              <w:t xml:space="preserve">学历</w:t>
            </w:r>
            <w:r/>
          </w:p>
        </w:tc>
        <w:tc>
          <w:tcPr>
            <w:tcBorders>
              <w:top w:val="single" w:color="auto" w:sz="4" w:space="0"/>
              <w:left w:val="single" w:color="auto" w:sz="4" w:space="0"/>
              <w:bottom w:val="single" w:color="auto" w:sz="4" w:space="0"/>
              <w:right w:val="single" w:color="auto" w:sz="4" w:space="0"/>
            </w:tcBorders>
            <w:tcW w:w="601" w:type="pct"/>
            <w:vAlign w:val="center"/>
            <w:textDirection w:val="lrTb"/>
            <w:noWrap w:val="false"/>
          </w:tcPr>
          <w:p>
            <w:pPr>
              <w:jc w:val="center"/>
              <w:rPr>
                <w:rFonts w:hint="eastAsia" w:ascii="仿宋" w:hAnsi="仿宋" w:eastAsia="仿宋" w:cs="仿宋"/>
                <w:color w:val="auto"/>
                <w:sz w:val="21"/>
                <w:szCs w:val="21"/>
              </w:rPr>
            </w:pPr>
            <w:r>
              <w:rPr>
                <w:rFonts w:hint="eastAsia" w:ascii="仿宋_GB2312" w:hAnsi="Times New Roman" w:eastAsia="仿宋_GB2312" w:cs="Times New Roman"/>
                <w:sz w:val="24"/>
                <w:lang w:val="en-US" w:eastAsia="zh-CN"/>
              </w:rPr>
              <w:t xml:space="preserve">执业资格及证书号</w:t>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jc w:val="center"/>
              <w:rPr>
                <w:rFonts w:hint="eastAsia" w:ascii="仿宋" w:hAnsi="仿宋" w:eastAsia="仿宋" w:cs="仿宋"/>
                <w:color w:val="auto"/>
                <w:sz w:val="21"/>
                <w:szCs w:val="21"/>
                <w:lang w:val="en-US" w:eastAsia="zh-CN" w:bidi="ar-SA"/>
              </w:rPr>
            </w:pPr>
            <w:r>
              <w:rPr>
                <w:rFonts w:hint="eastAsia" w:ascii="仿宋_GB2312" w:hAnsi="Times New Roman" w:eastAsia="仿宋_GB2312" w:cs="Times New Roman"/>
                <w:sz w:val="24"/>
                <w:lang w:val="en-US" w:eastAsia="zh-CN"/>
              </w:rPr>
              <w:t xml:space="preserve">技术职称</w:t>
            </w:r>
            <w:r/>
          </w:p>
        </w:tc>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rPr>
                <w:rFonts w:hint="eastAsia" w:ascii="仿宋" w:hAnsi="仿宋" w:eastAsia="仿宋" w:cs="仿宋"/>
                <w:color w:val="auto"/>
                <w:sz w:val="21"/>
                <w:szCs w:val="21"/>
                <w:lang w:val="en-US" w:eastAsia="zh-CN" w:bidi="ar-SA"/>
              </w:rPr>
            </w:pPr>
            <w:r>
              <w:rPr>
                <w:rFonts w:hint="eastAsia" w:ascii="仿宋_GB2312" w:hAnsi="Times New Roman" w:eastAsia="仿宋_GB2312" w:cs="Times New Roman"/>
                <w:sz w:val="24"/>
                <w:lang w:val="en-US" w:eastAsia="zh-CN"/>
              </w:rPr>
              <w:t xml:space="preserve">相关工作年限而及工作经历</w:t>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rPr>
                <w:rFonts w:hint="eastAsia" w:ascii="仿宋" w:hAnsi="仿宋" w:eastAsia="仿宋" w:cs="仿宋"/>
                <w:color w:val="auto"/>
                <w:sz w:val="21"/>
                <w:szCs w:val="21"/>
                <w:lang w:val="en-US" w:eastAsia="zh-CN" w:bidi="ar-SA"/>
              </w:rPr>
            </w:pPr>
            <w:r>
              <w:rPr>
                <w:rFonts w:hint="eastAsia" w:ascii="仿宋_GB2312" w:hAnsi="Times New Roman" w:eastAsia="仿宋_GB2312" w:cs="Times New Roman"/>
                <w:sz w:val="24"/>
                <w:lang w:val="zh-CN" w:eastAsia="zh-CN"/>
              </w:rPr>
              <w:t xml:space="preserve">拟担任本项目何种工作</w:t>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仿宋" w:hAnsi="仿宋" w:eastAsia="仿宋" w:cs="仿宋"/>
                <w:color w:val="auto"/>
                <w:sz w:val="21"/>
                <w:szCs w:val="21"/>
              </w:rPr>
            </w:pPr>
            <w:r>
              <w:rPr>
                <w:rFonts w:hint="eastAsia" w:ascii="仿宋_GB2312" w:hAnsi="Times New Roman" w:eastAsia="仿宋_GB2312" w:cs="Times New Roman"/>
                <w:sz w:val="24"/>
                <w:lang w:val="en-US" w:eastAsia="zh-CN"/>
              </w:rPr>
              <w:t xml:space="preserve">备注</w:t>
            </w:r>
            <w:r/>
          </w:p>
        </w:tc>
      </w:tr>
      <w:tr>
        <w:trPr>
          <w:trHeight w:val="649"/>
        </w:trPr>
        <w:tc>
          <w:tcPr>
            <w:tcBorders>
              <w:top w:val="single" w:color="auto" w:sz="4" w:space="0"/>
              <w:left w:val="single" w:color="auto" w:sz="4" w:space="0"/>
              <w:bottom w:val="single" w:color="auto" w:sz="4" w:space="0"/>
              <w:right w:val="single" w:color="auto" w:sz="4" w:space="0"/>
            </w:tcBorders>
            <w:tcW w:w="303" w:type="pct"/>
            <w:vAlign w:val="center"/>
            <w:textDirection w:val="lrTb"/>
            <w:noWrap w:val="false"/>
          </w:tcPr>
          <w:p>
            <w:pPr>
              <w:pStyle w:val="849"/>
              <w:ind w:firstLine="0"/>
              <w:jc w:val="cente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48" w:type="pct"/>
            <w:vAlign w:val="center"/>
            <w:textDirection w:val="lrTb"/>
            <w:noWrap w:val="false"/>
          </w:tcPr>
          <w:p>
            <w:pPr>
              <w:pStyle w:val="849"/>
              <w:ind w:firstLine="0"/>
              <w:jc w:val="cente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pStyle w:val="849"/>
              <w:ind w:firstLine="0"/>
              <w:jc w:val="cente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pStyle w:val="849"/>
              <w:ind w:firstLine="0"/>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pStyle w:val="849"/>
              <w:ind w:firstLine="0"/>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8" w:type="pct"/>
            <w:vAlign w:val="center"/>
            <w:textDirection w:val="lrTb"/>
            <w:noWrap w:val="false"/>
          </w:tcPr>
          <w:p>
            <w:pPr>
              <w:pStyle w:val="849"/>
              <w:ind w:firstLine="0"/>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1" w:type="pct"/>
            <w:vAlign w:val="center"/>
            <w:textDirection w:val="lrTb"/>
            <w:noWrap w:val="false"/>
          </w:tcPr>
          <w:p>
            <w:pPr>
              <w:pStyle w:val="849"/>
              <w:ind w:firstLine="0"/>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pStyle w:val="849"/>
              <w:ind w:firstLine="0"/>
              <w:jc w:val="cente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3" w:type="pct"/>
            <w:vAlign w:val="top"/>
            <w:textDirection w:val="lrTb"/>
            <w:noWrap w:val="false"/>
          </w:tcPr>
          <w:p>
            <w:pPr>
              <w:pStyle w:val="849"/>
              <w:ind w:firstLine="0"/>
              <w:jc w:val="cente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6" w:type="pct"/>
            <w:vAlign w:val="top"/>
            <w:textDirection w:val="lrTb"/>
            <w:noWrap w:val="false"/>
          </w:tcPr>
          <w:p>
            <w:pPr>
              <w:pStyle w:val="849"/>
              <w:ind w:firstLine="0"/>
              <w:jc w:val="cente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19" w:type="pct"/>
            <w:vAlign w:val="top"/>
            <w:textDirection w:val="lrTb"/>
            <w:noWrap w:val="false"/>
          </w:tcPr>
          <w:p>
            <w:pPr>
              <w:pStyle w:val="849"/>
              <w:ind w:firstLine="0"/>
              <w:jc w:val="cente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rHeight w:val="674" w:hRule="exact"/>
        </w:trPr>
        <w:tc>
          <w:tcPr>
            <w:tcBorders>
              <w:top w:val="single" w:color="auto" w:sz="4" w:space="0"/>
              <w:left w:val="single" w:color="auto" w:sz="4" w:space="0"/>
              <w:bottom w:val="single" w:color="auto" w:sz="4" w:space="0"/>
              <w:right w:val="single" w:color="auto" w:sz="4" w:space="0"/>
            </w:tcBorders>
            <w:tcW w:w="303" w:type="pct"/>
            <w:vAlign w:val="center"/>
            <w:textDirection w:val="lrTb"/>
            <w:noWrap w:val="false"/>
          </w:tcPr>
          <w:p>
            <w:pPr>
              <w:pStyle w:val="849"/>
              <w:ind w:firstLine="0"/>
              <w:jc w:val="cente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48" w:type="pct"/>
            <w:vAlign w:val="center"/>
            <w:textDirection w:val="lrTb"/>
            <w:noWrap w:val="false"/>
          </w:tcPr>
          <w:p>
            <w:pPr>
              <w:pStyle w:val="849"/>
              <w:ind w:firstLine="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pStyle w:val="849"/>
              <w:ind w:firstLine="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pStyle w:val="849"/>
              <w:ind w:firstLine="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42" w:type="pct"/>
            <w:vAlign w:val="top"/>
            <w:textDirection w:val="lrTb"/>
            <w:noWrap w:val="false"/>
          </w:tcPr>
          <w:p>
            <w:pPr>
              <w:pStyle w:val="849"/>
              <w:ind w:firstLine="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8" w:type="pct"/>
            <w:vAlign w:val="center"/>
            <w:textDirection w:val="lrTb"/>
            <w:noWrap w:val="false"/>
          </w:tcPr>
          <w:p>
            <w:pPr>
              <w:pStyle w:val="849"/>
              <w:ind w:firstLine="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1" w:type="pct"/>
            <w:vAlign w:val="center"/>
            <w:textDirection w:val="lrTb"/>
            <w:noWrap w:val="false"/>
          </w:tcPr>
          <w:p>
            <w:pPr>
              <w:pStyle w:val="849"/>
              <w:ind w:firstLine="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pStyle w:val="849"/>
              <w:ind w:firstLine="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3" w:type="pct"/>
            <w:vAlign w:val="top"/>
            <w:textDirection w:val="lrTb"/>
            <w:noWrap w:val="false"/>
          </w:tcPr>
          <w:p>
            <w:pPr>
              <w:pStyle w:val="849"/>
              <w:ind w:firstLine="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6" w:type="pct"/>
            <w:vAlign w:val="top"/>
            <w:textDirection w:val="lrTb"/>
            <w:noWrap w:val="false"/>
          </w:tcPr>
          <w:p>
            <w:pPr>
              <w:pStyle w:val="849"/>
              <w:ind w:firstLine="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19" w:type="pct"/>
            <w:vAlign w:val="top"/>
            <w:textDirection w:val="lrTb"/>
            <w:noWrap w:val="false"/>
          </w:tcPr>
          <w:p>
            <w:pPr>
              <w:pStyle w:val="849"/>
              <w:ind w:firstLine="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rHeight w:val="674" w:hRule="exact"/>
        </w:trPr>
        <w:tc>
          <w:tcPr>
            <w:tcBorders>
              <w:top w:val="single" w:color="auto" w:sz="4" w:space="0"/>
              <w:left w:val="single" w:color="auto" w:sz="4" w:space="0"/>
              <w:bottom w:val="single" w:color="auto" w:sz="4" w:space="0"/>
              <w:right w:val="single" w:color="auto" w:sz="4" w:space="0"/>
            </w:tcBorders>
            <w:tcW w:w="303" w:type="pct"/>
            <w:vAlign w:val="center"/>
            <w:textDirection w:val="lrTb"/>
            <w:noWrap w:val="false"/>
          </w:tcPr>
          <w:p>
            <w:pPr>
              <w:pStyle w:val="849"/>
              <w:ind w:firstLine="0"/>
              <w:jc w:val="cente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48" w:type="pct"/>
            <w:vAlign w:val="center"/>
            <w:textDirection w:val="lrTb"/>
            <w:noWrap w:val="false"/>
          </w:tcPr>
          <w:p>
            <w:pPr>
              <w:pStyle w:val="849"/>
              <w:ind w:firstLine="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pStyle w:val="849"/>
              <w:ind w:firstLine="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pStyle w:val="849"/>
              <w:ind w:firstLine="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42" w:type="pct"/>
            <w:vAlign w:val="top"/>
            <w:textDirection w:val="lrTb"/>
            <w:noWrap w:val="false"/>
          </w:tcPr>
          <w:p>
            <w:pPr>
              <w:pStyle w:val="849"/>
              <w:ind w:firstLine="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8" w:type="pct"/>
            <w:vAlign w:val="center"/>
            <w:textDirection w:val="lrTb"/>
            <w:noWrap w:val="false"/>
          </w:tcPr>
          <w:p>
            <w:pPr>
              <w:pStyle w:val="849"/>
              <w:ind w:firstLine="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1" w:type="pct"/>
            <w:vAlign w:val="center"/>
            <w:textDirection w:val="lrTb"/>
            <w:noWrap w:val="false"/>
          </w:tcPr>
          <w:p>
            <w:pPr>
              <w:pStyle w:val="849"/>
              <w:ind w:firstLine="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pStyle w:val="849"/>
              <w:ind w:firstLine="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3" w:type="pct"/>
            <w:vAlign w:val="top"/>
            <w:textDirection w:val="lrTb"/>
            <w:noWrap w:val="false"/>
          </w:tcPr>
          <w:p>
            <w:pPr>
              <w:pStyle w:val="849"/>
              <w:ind w:firstLine="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6" w:type="pct"/>
            <w:vAlign w:val="top"/>
            <w:textDirection w:val="lrTb"/>
            <w:noWrap w:val="false"/>
          </w:tcPr>
          <w:p>
            <w:pPr>
              <w:pStyle w:val="849"/>
              <w:ind w:firstLine="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19" w:type="pct"/>
            <w:vAlign w:val="top"/>
            <w:textDirection w:val="lrTb"/>
            <w:noWrap w:val="false"/>
          </w:tcPr>
          <w:p>
            <w:pPr>
              <w:pStyle w:val="849"/>
              <w:ind w:firstLine="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rHeight w:val="653" w:hRule="exact"/>
        </w:trPr>
        <w:tc>
          <w:tcPr>
            <w:tcBorders>
              <w:top w:val="single" w:color="auto" w:sz="4" w:space="0"/>
              <w:left w:val="single" w:color="auto" w:sz="4" w:space="0"/>
              <w:bottom w:val="single" w:color="auto" w:sz="4" w:space="0"/>
              <w:right w:val="single" w:color="auto" w:sz="4" w:space="0"/>
            </w:tcBorders>
            <w:tcW w:w="303" w:type="pct"/>
            <w:vAlign w:val="center"/>
            <w:textDirection w:val="lrTb"/>
            <w:noWrap w:val="false"/>
          </w:tcPr>
          <w:p>
            <w:pPr>
              <w:pStyle w:val="849"/>
              <w:ind w:firstLine="0"/>
              <w:jc w:val="cente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48" w:type="pct"/>
            <w:vAlign w:val="center"/>
            <w:textDirection w:val="lrTb"/>
            <w:noWrap w:val="false"/>
          </w:tcPr>
          <w:p>
            <w:pPr>
              <w:pStyle w:val="849"/>
              <w:ind w:firstLine="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pStyle w:val="849"/>
              <w:ind w:firstLine="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pStyle w:val="849"/>
              <w:ind w:firstLine="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42" w:type="pct"/>
            <w:vAlign w:val="top"/>
            <w:textDirection w:val="lrTb"/>
            <w:noWrap w:val="false"/>
          </w:tcPr>
          <w:p>
            <w:pPr>
              <w:pStyle w:val="849"/>
              <w:ind w:firstLine="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8" w:type="pct"/>
            <w:vAlign w:val="center"/>
            <w:textDirection w:val="lrTb"/>
            <w:noWrap w:val="false"/>
          </w:tcPr>
          <w:p>
            <w:pPr>
              <w:pStyle w:val="849"/>
              <w:ind w:firstLine="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1" w:type="pct"/>
            <w:vAlign w:val="center"/>
            <w:textDirection w:val="lrTb"/>
            <w:noWrap w:val="false"/>
          </w:tcPr>
          <w:p>
            <w:pPr>
              <w:pStyle w:val="849"/>
              <w:ind w:firstLine="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pStyle w:val="849"/>
              <w:ind w:firstLine="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3" w:type="pct"/>
            <w:vAlign w:val="top"/>
            <w:textDirection w:val="lrTb"/>
            <w:noWrap w:val="false"/>
          </w:tcPr>
          <w:p>
            <w:pPr>
              <w:pStyle w:val="849"/>
              <w:ind w:firstLine="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6" w:type="pct"/>
            <w:vAlign w:val="top"/>
            <w:textDirection w:val="lrTb"/>
            <w:noWrap w:val="false"/>
          </w:tcPr>
          <w:p>
            <w:pPr>
              <w:pStyle w:val="849"/>
              <w:ind w:firstLine="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19" w:type="pct"/>
            <w:vAlign w:val="top"/>
            <w:textDirection w:val="lrTb"/>
            <w:noWrap w:val="false"/>
          </w:tcPr>
          <w:p>
            <w:pPr>
              <w:pStyle w:val="849"/>
              <w:ind w:firstLine="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rHeight w:val="764" w:hRule="exact"/>
        </w:trPr>
        <w:tc>
          <w:tcPr>
            <w:tcBorders>
              <w:top w:val="single" w:color="auto" w:sz="4" w:space="0"/>
              <w:left w:val="single" w:color="auto" w:sz="4" w:space="0"/>
              <w:bottom w:val="single" w:color="auto" w:sz="4" w:space="0"/>
              <w:right w:val="single" w:color="auto" w:sz="4" w:space="0"/>
            </w:tcBorders>
            <w:tcW w:w="303" w:type="pct"/>
            <w:vAlign w:val="center"/>
            <w:textDirection w:val="lrTb"/>
            <w:noWrap w:val="false"/>
          </w:tcPr>
          <w:p>
            <w:pPr>
              <w:pStyle w:val="849"/>
              <w:ind w:firstLine="0"/>
              <w:jc w:val="cente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48" w:type="pct"/>
            <w:vAlign w:val="center"/>
            <w:textDirection w:val="lrTb"/>
            <w:noWrap w:val="false"/>
          </w:tcPr>
          <w:p>
            <w:pPr>
              <w:pStyle w:val="849"/>
              <w:ind w:firstLine="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pStyle w:val="849"/>
              <w:ind w:firstLine="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63" w:type="pct"/>
            <w:vAlign w:val="center"/>
            <w:textDirection w:val="lrTb"/>
            <w:noWrap w:val="false"/>
          </w:tcPr>
          <w:p>
            <w:pPr>
              <w:pStyle w:val="849"/>
              <w:ind w:firstLine="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42" w:type="pct"/>
            <w:vAlign w:val="top"/>
            <w:textDirection w:val="lrTb"/>
            <w:noWrap w:val="false"/>
          </w:tcPr>
          <w:p>
            <w:pPr>
              <w:pStyle w:val="849"/>
              <w:ind w:firstLine="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8" w:type="pct"/>
            <w:vAlign w:val="center"/>
            <w:textDirection w:val="lrTb"/>
            <w:noWrap w:val="false"/>
          </w:tcPr>
          <w:p>
            <w:pPr>
              <w:pStyle w:val="849"/>
              <w:ind w:firstLine="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1" w:type="pct"/>
            <w:vAlign w:val="center"/>
            <w:textDirection w:val="lrTb"/>
            <w:noWrap w:val="false"/>
          </w:tcPr>
          <w:p>
            <w:pPr>
              <w:pStyle w:val="849"/>
              <w:ind w:firstLine="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pStyle w:val="849"/>
              <w:ind w:firstLine="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3" w:type="pct"/>
            <w:vAlign w:val="top"/>
            <w:textDirection w:val="lrTb"/>
            <w:noWrap w:val="false"/>
          </w:tcPr>
          <w:p>
            <w:pPr>
              <w:pStyle w:val="849"/>
              <w:ind w:firstLine="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6" w:type="pct"/>
            <w:vAlign w:val="top"/>
            <w:textDirection w:val="lrTb"/>
            <w:noWrap w:val="false"/>
          </w:tcPr>
          <w:p>
            <w:pPr>
              <w:pStyle w:val="849"/>
              <w:ind w:firstLine="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19" w:type="pct"/>
            <w:vAlign w:val="top"/>
            <w:textDirection w:val="lrTb"/>
            <w:noWrap w:val="false"/>
          </w:tcPr>
          <w:p>
            <w:pPr>
              <w:pStyle w:val="849"/>
              <w:ind w:firstLine="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bl>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Times New Roman" w:hAnsi="Times New Roman" w:eastAsia="宋体" w:cs="Times New Roman"/>
          <w:color w:val="auto"/>
          <w:sz w:val="24"/>
          <w:szCs w:val="24"/>
          <w:lang w:val="zh-CN"/>
        </w:rPr>
      </w:pPr>
      <w:r>
        <w:rPr>
          <w:rFonts w:hint="eastAsia" w:ascii="Times New Roman" w:hAnsi="Times New Roman" w:eastAsia="宋体" w:cs="Times New Roman"/>
          <w:color w:val="auto"/>
          <w:sz w:val="24"/>
          <w:szCs w:val="24"/>
          <w:lang w:val="zh-CN"/>
        </w:rPr>
        <w:t xml:space="preserve">说明</w:t>
      </w:r>
      <w:r/>
    </w:p>
    <w:p>
      <w:pPr>
        <w:rPr>
          <w:rFonts w:hint="eastAsia" w:ascii="Times New Roman" w:hAnsi="Times New Roman" w:eastAsia="宋体" w:cs="Times New Roman"/>
          <w:b/>
          <w:bCs/>
          <w:color w:val="auto"/>
          <w:sz w:val="24"/>
          <w:szCs w:val="24"/>
          <w:lang w:val="zh-CN"/>
        </w:rPr>
      </w:pPr>
      <w:r>
        <w:rPr>
          <w:rFonts w:hint="eastAsia" w:ascii="Times New Roman" w:hAnsi="Times New Roman" w:eastAsia="宋体" w:cs="Times New Roman"/>
          <w:b/>
          <w:bCs/>
          <w:color w:val="auto"/>
          <w:sz w:val="24"/>
          <w:szCs w:val="24"/>
          <w:lang w:val="zh-CN"/>
        </w:rPr>
        <w:t xml:space="preserve">1、“备注”栏，可填写该人员擅长的工作种类；</w:t>
      </w:r>
      <w:r/>
    </w:p>
    <w:p>
      <w:pPr>
        <w:rPr>
          <w:rFonts w:hint="eastAsia" w:ascii="Times New Roman" w:hAnsi="Times New Roman" w:eastAsia="宋体" w:cs="Times New Roman"/>
          <w:color w:val="auto"/>
          <w:sz w:val="24"/>
          <w:szCs w:val="24"/>
          <w:lang w:val="zh-CN"/>
        </w:rPr>
      </w:pPr>
      <w:r>
        <w:rPr>
          <w:rFonts w:hint="eastAsia" w:ascii="Times New Roman" w:hAnsi="Times New Roman" w:eastAsia="宋体" w:cs="Times New Roman"/>
          <w:color w:val="auto"/>
          <w:sz w:val="24"/>
          <w:szCs w:val="24"/>
          <w:lang w:val="zh-CN"/>
        </w:rPr>
        <w:t xml:space="preserve">2、如果行数不够，请自行增加。</w:t>
      </w:r>
      <w:r/>
    </w:p>
    <w:p>
      <w:pPr>
        <w:rPr>
          <w:rFonts w:hint="eastAsia" w:ascii="Times New Roman" w:hAnsi="Times New Roman" w:eastAsia="宋体" w:cs="Times New Roman"/>
          <w:color w:val="auto"/>
          <w:sz w:val="24"/>
          <w:szCs w:val="24"/>
          <w:lang w:val="zh-CN"/>
        </w:rPr>
      </w:pPr>
      <w:r>
        <w:rPr>
          <w:rFonts w:hint="eastAsia" w:ascii="Times New Roman" w:hAnsi="Times New Roman" w:eastAsia="宋体" w:cs="Times New Roman"/>
          <w:color w:val="auto"/>
          <w:sz w:val="24"/>
          <w:szCs w:val="24"/>
          <w:lang w:val="zh-CN"/>
        </w:rPr>
        <w:t xml:space="preserve">3、所有职称、证明均需要提供有效的复印件（扫描件）。</w:t>
      </w:r>
      <w:r/>
    </w:p>
    <w:p>
      <w:pPr>
        <w:jc w:val="center"/>
        <w:rPr>
          <w:rFonts w:hint="eastAsia" w:ascii="仿宋" w:hAnsi="仿宋" w:eastAsia="仿宋" w:cs="仿宋"/>
          <w:color w:val="auto"/>
          <w:sz w:val="28"/>
          <w:highlight w:val="none"/>
          <w:lang w:val="en-US" w:eastAsia="zh-CN"/>
        </w:rPr>
        <w:outlineLvl w:val="9"/>
      </w:pPr>
      <w:r>
        <w:rPr>
          <w:rFonts w:hint="eastAsia" w:ascii="仿宋" w:hAnsi="仿宋" w:eastAsia="仿宋" w:cs="仿宋"/>
          <w:color w:val="auto"/>
          <w:sz w:val="28"/>
          <w:highlight w:val="none"/>
          <w:lang w:val="en-US" w:eastAsia="zh-CN"/>
        </w:rPr>
      </w:r>
      <w:r/>
    </w:p>
    <w:p>
      <w:pPr>
        <w:pStyle w:val="862"/>
        <w:rPr>
          <w:rFonts w:hint="eastAsia" w:ascii="仿宋" w:hAnsi="仿宋" w:eastAsia="仿宋" w:cs="仿宋"/>
          <w:lang w:val="en-US" w:eastAsia="zh-CN"/>
        </w:rPr>
      </w:pPr>
      <w:r>
        <w:rPr>
          <w:rFonts w:hint="eastAsia" w:ascii="仿宋" w:hAnsi="仿宋" w:eastAsia="仿宋" w:cs="仿宋"/>
          <w:lang w:val="en-US" w:eastAsia="zh-CN"/>
        </w:rPr>
      </w:r>
      <w:r/>
    </w:p>
    <w:p>
      <w:pPr>
        <w:pStyle w:val="848"/>
        <w:tabs>
          <w:tab w:val="left" w:pos="1050" w:leader="none"/>
        </w:tabs>
        <w:rPr>
          <w:rFonts w:hint="eastAsia"/>
          <w:lang w:val="en-US" w:eastAsia="zh-CN"/>
        </w:rPr>
      </w:pPr>
      <w:r>
        <w:rPr>
          <w:rFonts w:hint="eastAsia"/>
          <w:lang w:val="en-US" w:eastAsia="zh-CN"/>
        </w:rPr>
      </w:r>
      <w:r/>
    </w:p>
    <w:p>
      <w:pPr>
        <w:ind w:firstLine="3360"/>
        <w:spacing w:line="460" w:lineRule="exact"/>
        <w:rPr>
          <w:rFonts w:hint="eastAsia" w:ascii="宋体" w:hAnsi="宋体" w:eastAsia="宋体" w:cs="宋体"/>
          <w:sz w:val="24"/>
          <w:highlight w:val="none"/>
        </w:rPr>
      </w:pPr>
      <w:r>
        <w:rPr>
          <w:rFonts w:hint="eastAsia" w:ascii="宋体" w:hAnsi="宋体" w:eastAsia="宋体" w:cs="宋体"/>
          <w:sz w:val="24"/>
          <w:szCs w:val="24"/>
        </w:rPr>
        <w:t xml:space="preserve">企业名称（加盖CA电子公章）</w:t>
      </w:r>
      <w:r>
        <w:rPr>
          <w:rFonts w:hint="eastAsia" w:ascii="宋体" w:hAnsi="宋体" w:eastAsia="宋体" w:cs="宋体"/>
          <w:sz w:val="24"/>
          <w:highlight w:val="none"/>
        </w:rPr>
        <w:t xml:space="preserve">：</w:t>
      </w:r>
      <w:r/>
    </w:p>
    <w:p>
      <w:pPr>
        <w:ind w:firstLine="1680"/>
        <w:spacing w:line="46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1680"/>
        <w:spacing w:line="460" w:lineRule="exact"/>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jc w:val="right"/>
        <w:spacing w:line="460" w:lineRule="exact"/>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br w:type="page" w:clear="all"/>
      </w:r>
      <w:r/>
    </w:p>
    <w:p>
      <w:pPr>
        <w:jc w:val="center"/>
        <w:pageBreakBefore w:val="0"/>
        <w:spacing w:before="50" w:after="50" w:line="240" w:lineRule="auto"/>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lang w:val="en-US" w:eastAsia="zh-CN"/>
        </w:rPr>
        <w:t xml:space="preserve">十九</w:t>
      </w:r>
      <w:r>
        <w:rPr>
          <w:rFonts w:hint="eastAsia" w:ascii="宋体" w:hAnsi="宋体" w:eastAsia="宋体" w:cs="宋体"/>
          <w:b/>
          <w:bCs/>
          <w:color w:val="000000"/>
          <w:sz w:val="32"/>
          <w:szCs w:val="32"/>
          <w:highlight w:val="none"/>
        </w:rPr>
        <w:t xml:space="preserve">、盐城市政府采购事前信用承诺书</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ind w:firstLine="480"/>
        <w:jc w:val="left"/>
        <w:keepLines w:val="0"/>
        <w:keepNext w:val="0"/>
        <w:pageBreakBefore w:val="0"/>
        <w:spacing w:line="360" w:lineRule="auto"/>
        <w:widowControl/>
        <w:rPr>
          <w:rFonts w:ascii="宋体" w:hAnsi="宋体" w:eastAsia="宋体" w:cs="宋体"/>
          <w:sz w:val="24"/>
          <w:highlight w:val="none"/>
        </w:rPr>
      </w:pPr>
      <w:r>
        <w:rPr>
          <w:rFonts w:hint="eastAsia" w:ascii="宋体" w:hAnsi="宋体" w:eastAsia="宋体" w:cs="宋体"/>
          <w:color w:val="000000"/>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（三）严格依照国家和省、市关于政府采购的法律、法规、规章、规范性文件，参加政府采购投标活动；积极履行社会责任，促进廉政建设；</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keepLines w:val="0"/>
        <w:keepNext w:val="0"/>
        <w:pageBreakBefore w:val="0"/>
        <w:spacing w:line="360" w:lineRule="auto"/>
        <w:widowControl/>
        <w:rPr>
          <w:rFonts w:ascii="宋体" w:hAnsi="宋体" w:eastAsia="宋体" w:cs="宋体"/>
          <w:sz w:val="24"/>
          <w:highlight w:val="none"/>
        </w:rPr>
      </w:pPr>
      <w:r>
        <w:rPr>
          <w:rFonts w:hint="eastAsia" w:ascii="宋体" w:hAnsi="宋体" w:eastAsia="宋体" w:cs="宋体"/>
          <w:color w:val="000000"/>
          <w:sz w:val="24"/>
          <w:highlight w:val="none"/>
        </w:rPr>
        <w:t xml:space="preserve">（六）自觉接受政府、行业组织、社会公众、新闻舆论的监督；</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（八）本人已认真阅读了上述承诺，并向本单位员工作了宣传教育。</w:t>
      </w:r>
      <w:r/>
    </w:p>
    <w:p>
      <w:pPr>
        <w:pStyle w:val="858"/>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9"/>
        <w:keepLines w:val="0"/>
        <w:keepNext w:val="0"/>
        <w:pageBreakBefore w:val="0"/>
        <w:spacing w:line="360" w:lineRule="auto"/>
      </w:pPr>
      <w:r/>
      <w:r/>
    </w:p>
    <w:p>
      <w:pPr>
        <w:jc w:val="left"/>
        <w:keepLines w:val="0"/>
        <w:keepNext w:val="0"/>
        <w:pageBreakBefore w:val="0"/>
        <w:spacing w:line="360" w:lineRule="auto"/>
        <w:widowControl/>
        <w:rPr>
          <w:rFonts w:ascii="宋体" w:hAnsi="宋体" w:eastAsia="宋体" w:cs="宋体"/>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法定代表人签名：</w:t>
      </w:r>
      <w:r/>
    </w:p>
    <w:p>
      <w:pPr>
        <w:jc w:val="both"/>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单位名称（盖章）：</w:t>
      </w:r>
      <w:r/>
    </w:p>
    <w:p>
      <w:pPr>
        <w:jc w:val="right"/>
        <w:keepLines w:val="0"/>
        <w:keepNext w:val="0"/>
        <w:pageBreakBefore w:val="0"/>
        <w:spacing w:line="360" w:lineRule="auto"/>
        <w:widowControl/>
        <w:rPr>
          <w:rFonts w:ascii="宋体" w:hAnsi="宋体" w:eastAsia="宋体" w:cs="宋体"/>
          <w:sz w:val="24"/>
          <w:highlight w:val="none"/>
        </w:rPr>
      </w:pP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p>
    <w:p>
      <w:pPr>
        <w:ind w:firstLine="1600"/>
        <w:pageBreakBefore w:val="0"/>
        <w:spacing w:line="240" w:lineRule="auto"/>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bookmarkEnd w:id="31"/>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189"/>
      <w:r/>
      <w:bookmarkEnd w:id="192"/>
      <w:r/>
      <w:bookmarkEnd w:id="196"/>
      <w:r/>
      <w:bookmarkEnd w:id="197"/>
      <w:r/>
      <w:bookmarkEnd w:id="199"/>
      <w:r/>
      <w:bookmarkEnd w:id="200"/>
      <w:r/>
      <w:bookmarkEnd w:id="201"/>
      <w:r/>
      <w:bookmarkEnd w:id="202"/>
      <w:r/>
      <w:bookmarkEnd w:id="211"/>
      <w:r/>
      <w:bookmarkEnd w:id="212"/>
      <w:r/>
      <w:bookmarkEnd w:id="213"/>
      <w:r/>
      <w:bookmarkEnd w:id="214"/>
      <w:r/>
      <w:bookmarkEnd w:id="215"/>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pStyle w:val="857"/>
        <w:jc w:val="center"/>
        <w:pageBreakBefore w:val="0"/>
        <w:spacing w:beforeAutospacing="0" w:afterAutospacing="0" w:line="240" w:lineRule="auto"/>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857"/>
        <w:jc w:val="both"/>
        <w:pageBreakBefore w:val="0"/>
        <w:spacing w:before="290" w:beforeAutospacing="0" w:afterAutospacing="0" w:line="24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857"/>
        <w:jc w:val="both"/>
        <w:pageBreakBefore w:val="0"/>
        <w:spacing w:beforeAutospacing="0" w:afterAutospacing="0" w:line="24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7"/>
        <w:jc w:val="both"/>
        <w:pageBreakBefore w:val="0"/>
        <w:spacing w:beforeAutospacing="0" w:afterAutospacing="0" w:line="24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7"/>
        <w:jc w:val="both"/>
        <w:pageBreakBefore w:val="0"/>
        <w:spacing w:beforeAutospacing="0" w:afterAutospacing="0" w:line="24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7"/>
        <w:jc w:val="both"/>
        <w:pageBreakBefore w:val="0"/>
        <w:spacing w:beforeAutospacing="0" w:afterAutospacing="0" w:line="24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7"/>
        <w:jc w:val="both"/>
        <w:pageBreakBefore w:val="0"/>
        <w:spacing w:beforeAutospacing="0" w:afterAutospacing="0" w:line="24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857"/>
        <w:jc w:val="both"/>
        <w:pageBreakBefore w:val="0"/>
        <w:spacing w:beforeAutospacing="0" w:afterAutospacing="0" w:line="24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7"/>
        <w:jc w:val="both"/>
        <w:pageBreakBefore w:val="0"/>
        <w:spacing w:beforeAutospacing="0" w:afterAutospacing="0" w:line="24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7"/>
        <w:jc w:val="both"/>
        <w:pageBreakBefore w:val="0"/>
        <w:spacing w:beforeAutospacing="0" w:afterAutospacing="0" w:line="24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7"/>
        <w:jc w:val="both"/>
        <w:pageBreakBefore w:val="0"/>
        <w:spacing w:beforeAutospacing="0" w:afterAutospacing="0" w:line="24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857"/>
        <w:jc w:val="both"/>
        <w:pageBreakBefore w:val="0"/>
        <w:spacing w:beforeAutospacing="0" w:afterAutospacing="0" w:line="24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857"/>
        <w:jc w:val="both"/>
        <w:pageBreakBefore w:val="0"/>
        <w:spacing w:beforeAutospacing="0" w:afterAutospacing="0" w:line="24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857"/>
        <w:jc w:val="both"/>
        <w:pageBreakBefore w:val="0"/>
        <w:spacing w:beforeAutospacing="0" w:afterAutospacing="0" w:line="24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857"/>
        <w:jc w:val="both"/>
        <w:pageBreakBefore w:val="0"/>
        <w:spacing w:beforeAutospacing="0" w:afterAutospacing="0" w:line="24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7"/>
        <w:jc w:val="both"/>
        <w:pageBreakBefore w:val="0"/>
        <w:spacing w:beforeAutospacing="0" w:afterAutospacing="0" w:line="24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857"/>
        <w:jc w:val="both"/>
        <w:pageBreakBefore w:val="0"/>
        <w:spacing w:beforeAutospacing="0" w:afterAutospacing="0" w:line="24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857"/>
        <w:jc w:val="both"/>
        <w:pageBreakBefore w:val="0"/>
        <w:spacing w:beforeAutospacing="0" w:afterAutospacing="0" w:line="24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857"/>
        <w:jc w:val="both"/>
        <w:pageBreakBefore w:val="0"/>
        <w:spacing w:beforeAutospacing="0" w:afterAutospacing="0" w:line="24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857"/>
        <w:pageBreakBefore w:val="0"/>
        <w:spacing w:beforeAutospacing="0" w:afterAutospacing="0" w:line="24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857"/>
        <w:jc w:val="both"/>
        <w:pageBreakBefore w:val="0"/>
        <w:spacing w:beforeAutospacing="0" w:afterAutospacing="0" w:line="24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857"/>
        <w:jc w:val="both"/>
        <w:pageBreakBefore w:val="0"/>
        <w:spacing w:beforeAutospacing="0" w:afterAutospacing="0" w:line="24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857"/>
        <w:jc w:val="both"/>
        <w:pageBreakBefore w:val="0"/>
        <w:spacing w:beforeAutospacing="0" w:afterAutospacing="0" w:line="24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857"/>
        <w:jc w:val="both"/>
        <w:pageBreakBefore w:val="0"/>
        <w:spacing w:beforeAutospacing="0" w:afterAutospacing="0" w:line="24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857"/>
        <w:jc w:val="both"/>
        <w:pageBreakBefore w:val="0"/>
        <w:spacing w:beforeAutospacing="0" w:afterAutospacing="0" w:line="24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857"/>
        <w:jc w:val="both"/>
        <w:pageBreakBefore w:val="0"/>
        <w:spacing w:beforeAutospacing="0" w:afterAutospacing="0" w:line="240" w:lineRule="auto"/>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857"/>
        <w:jc w:val="both"/>
        <w:pageBreakBefore w:val="0"/>
        <w:spacing w:beforeAutospacing="0" w:afterAutospacing="0" w:line="240" w:lineRule="auto"/>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857"/>
        <w:ind w:firstLine="480"/>
        <w:pageBreakBefore w:val="0"/>
        <w:spacing w:beforeAutospacing="0" w:afterAutospacing="0" w:line="240" w:lineRule="auto"/>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857"/>
        <w:ind w:firstLine="480"/>
        <w:pageBreakBefore w:val="0"/>
        <w:spacing w:beforeAutospacing="0" w:afterAutospacing="0" w:line="240" w:lineRule="auto"/>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57"/>
        <w:ind w:firstLine="480"/>
        <w:pageBreakBefore w:val="0"/>
        <w:spacing w:beforeAutospacing="0" w:afterAutospacing="0" w:line="240" w:lineRule="auto"/>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857"/>
        <w:ind w:firstLine="480"/>
        <w:pageBreakBefore w:val="0"/>
        <w:spacing w:beforeAutospacing="0" w:afterAutospacing="0" w:line="240" w:lineRule="auto"/>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857"/>
        <w:ind w:firstLine="480"/>
        <w:pageBreakBefore w:val="0"/>
        <w:spacing w:beforeAutospacing="0" w:afterAutospacing="0" w:line="240" w:lineRule="auto"/>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857"/>
        <w:ind w:firstLine="480"/>
        <w:pageBreakBefore w:val="0"/>
        <w:spacing w:beforeAutospacing="0" w:afterAutospacing="0" w:line="240" w:lineRule="auto"/>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57"/>
        <w:ind w:firstLine="420"/>
        <w:jc w:val="both"/>
        <w:pageBreakBefore w:val="0"/>
        <w:spacing w:beforeAutospacing="0" w:afterAutospacing="0" w:line="240" w:lineRule="auto"/>
        <w:rPr>
          <w:rFonts w:ascii="宋体" w:hAnsi="宋体" w:eastAsia="宋体" w:cs="宋体"/>
          <w:highlight w:val="none"/>
        </w:rPr>
      </w:pPr>
      <w:r>
        <w:rPr>
          <w:rFonts w:hint="eastAsia" w:ascii="宋体" w:hAnsi="宋体" w:eastAsia="宋体" w:cs="宋体"/>
          <w:highlight w:val="none"/>
        </w:rPr>
        <w:t xml:space="preserve"> </w:t>
      </w:r>
      <w:r/>
    </w:p>
    <w:p>
      <w:pPr>
        <w:pageBreakBefore w:val="0"/>
        <w:spacing w:line="240" w:lineRule="auto"/>
        <w:rPr>
          <w:highlight w:val="none"/>
        </w:rPr>
      </w:pPr>
      <w:r>
        <w:rPr>
          <w:highlight w:val="none"/>
        </w:r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等线">
    <w:panose1 w:val="02010600030101010101"/>
  </w:font>
  <w:font w:name="仿宋">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3">
    <w:name w:val="Heading 1 Char"/>
    <w:basedOn w:val="846"/>
    <w:link w:val="844"/>
    <w:uiPriority w:val="9"/>
    <w:rPr>
      <w:rFonts w:ascii="Arial" w:hAnsi="Arial" w:eastAsia="Arial" w:cs="Arial"/>
      <w:sz w:val="40"/>
      <w:szCs w:val="40"/>
    </w:rPr>
  </w:style>
  <w:style w:type="character" w:styleId="674">
    <w:name w:val="Heading 2 Char"/>
    <w:basedOn w:val="846"/>
    <w:link w:val="845"/>
    <w:uiPriority w:val="9"/>
    <w:rPr>
      <w:rFonts w:ascii="Arial" w:hAnsi="Arial" w:eastAsia="Arial" w:cs="Arial"/>
      <w:sz w:val="34"/>
    </w:rPr>
  </w:style>
  <w:style w:type="paragraph" w:styleId="675">
    <w:name w:val="Heading 3"/>
    <w:basedOn w:val="843"/>
    <w:next w:val="843"/>
    <w:link w:val="676"/>
    <w:uiPriority w:val="9"/>
    <w:unhideWhenUsed/>
    <w:qFormat/>
    <w:pPr>
      <w:keepLines/>
      <w:keepNext/>
      <w:spacing w:before="320" w:after="200"/>
      <w:outlineLvl w:val="2"/>
    </w:pPr>
    <w:rPr>
      <w:rFonts w:ascii="Arial" w:hAnsi="Arial" w:eastAsia="Arial" w:cs="Arial"/>
      <w:sz w:val="30"/>
      <w:szCs w:val="30"/>
    </w:rPr>
  </w:style>
  <w:style w:type="character" w:styleId="676">
    <w:name w:val="Heading 3 Char"/>
    <w:basedOn w:val="846"/>
    <w:link w:val="675"/>
    <w:uiPriority w:val="9"/>
    <w:rPr>
      <w:rFonts w:ascii="Arial" w:hAnsi="Arial" w:eastAsia="Arial" w:cs="Arial"/>
      <w:sz w:val="30"/>
      <w:szCs w:val="30"/>
    </w:rPr>
  </w:style>
  <w:style w:type="paragraph" w:styleId="677">
    <w:name w:val="Heading 4"/>
    <w:basedOn w:val="843"/>
    <w:next w:val="843"/>
    <w:link w:val="678"/>
    <w:uiPriority w:val="9"/>
    <w:unhideWhenUsed/>
    <w:qFormat/>
    <w:pPr>
      <w:keepLines/>
      <w:keepNext/>
      <w:spacing w:before="320" w:after="200"/>
      <w:outlineLvl w:val="3"/>
    </w:pPr>
    <w:rPr>
      <w:rFonts w:ascii="Arial" w:hAnsi="Arial" w:eastAsia="Arial" w:cs="Arial"/>
      <w:b/>
      <w:bCs/>
      <w:sz w:val="26"/>
      <w:szCs w:val="26"/>
    </w:rPr>
  </w:style>
  <w:style w:type="character" w:styleId="678">
    <w:name w:val="Heading 4 Char"/>
    <w:basedOn w:val="846"/>
    <w:link w:val="677"/>
    <w:uiPriority w:val="9"/>
    <w:rPr>
      <w:rFonts w:ascii="Arial" w:hAnsi="Arial" w:eastAsia="Arial" w:cs="Arial"/>
      <w:b/>
      <w:bCs/>
      <w:sz w:val="26"/>
      <w:szCs w:val="26"/>
    </w:rPr>
  </w:style>
  <w:style w:type="paragraph" w:styleId="679">
    <w:name w:val="Heading 5"/>
    <w:basedOn w:val="843"/>
    <w:next w:val="843"/>
    <w:link w:val="680"/>
    <w:uiPriority w:val="9"/>
    <w:unhideWhenUsed/>
    <w:qFormat/>
    <w:pPr>
      <w:keepLines/>
      <w:keepNext/>
      <w:spacing w:before="320" w:after="200"/>
      <w:outlineLvl w:val="4"/>
    </w:pPr>
    <w:rPr>
      <w:rFonts w:ascii="Arial" w:hAnsi="Arial" w:eastAsia="Arial" w:cs="Arial"/>
      <w:b/>
      <w:bCs/>
      <w:sz w:val="24"/>
      <w:szCs w:val="24"/>
    </w:rPr>
  </w:style>
  <w:style w:type="character" w:styleId="680">
    <w:name w:val="Heading 5 Char"/>
    <w:basedOn w:val="846"/>
    <w:link w:val="679"/>
    <w:uiPriority w:val="9"/>
    <w:rPr>
      <w:rFonts w:ascii="Arial" w:hAnsi="Arial" w:eastAsia="Arial" w:cs="Arial"/>
      <w:b/>
      <w:bCs/>
      <w:sz w:val="24"/>
      <w:szCs w:val="24"/>
    </w:rPr>
  </w:style>
  <w:style w:type="paragraph" w:styleId="681">
    <w:name w:val="Heading 6"/>
    <w:basedOn w:val="843"/>
    <w:next w:val="843"/>
    <w:link w:val="682"/>
    <w:uiPriority w:val="9"/>
    <w:unhideWhenUsed/>
    <w:qFormat/>
    <w:pPr>
      <w:keepLines/>
      <w:keepNext/>
      <w:spacing w:before="320" w:after="200"/>
      <w:outlineLvl w:val="5"/>
    </w:pPr>
    <w:rPr>
      <w:rFonts w:ascii="Arial" w:hAnsi="Arial" w:eastAsia="Arial" w:cs="Arial"/>
      <w:b/>
      <w:bCs/>
      <w:sz w:val="22"/>
      <w:szCs w:val="22"/>
    </w:rPr>
  </w:style>
  <w:style w:type="character" w:styleId="682">
    <w:name w:val="Heading 6 Char"/>
    <w:basedOn w:val="846"/>
    <w:link w:val="681"/>
    <w:uiPriority w:val="9"/>
    <w:rPr>
      <w:rFonts w:ascii="Arial" w:hAnsi="Arial" w:eastAsia="Arial" w:cs="Arial"/>
      <w:b/>
      <w:bCs/>
      <w:sz w:val="22"/>
      <w:szCs w:val="22"/>
    </w:rPr>
  </w:style>
  <w:style w:type="paragraph" w:styleId="683">
    <w:name w:val="Heading 7"/>
    <w:basedOn w:val="843"/>
    <w:next w:val="843"/>
    <w:link w:val="684"/>
    <w:uiPriority w:val="9"/>
    <w:unhideWhenUsed/>
    <w:qFormat/>
    <w:pPr>
      <w:keepLines/>
      <w:keepNext/>
      <w:spacing w:before="320" w:after="200"/>
      <w:outlineLvl w:val="6"/>
    </w:pPr>
    <w:rPr>
      <w:rFonts w:ascii="Arial" w:hAnsi="Arial" w:eastAsia="Arial" w:cs="Arial"/>
      <w:b/>
      <w:bCs/>
      <w:i/>
      <w:iCs/>
      <w:sz w:val="22"/>
      <w:szCs w:val="22"/>
    </w:rPr>
  </w:style>
  <w:style w:type="character" w:styleId="684">
    <w:name w:val="Heading 7 Char"/>
    <w:basedOn w:val="846"/>
    <w:link w:val="683"/>
    <w:uiPriority w:val="9"/>
    <w:rPr>
      <w:rFonts w:ascii="Arial" w:hAnsi="Arial" w:eastAsia="Arial" w:cs="Arial"/>
      <w:b/>
      <w:bCs/>
      <w:i/>
      <w:iCs/>
      <w:sz w:val="22"/>
      <w:szCs w:val="22"/>
    </w:rPr>
  </w:style>
  <w:style w:type="paragraph" w:styleId="685">
    <w:name w:val="Heading 8"/>
    <w:basedOn w:val="843"/>
    <w:next w:val="843"/>
    <w:link w:val="686"/>
    <w:uiPriority w:val="9"/>
    <w:unhideWhenUsed/>
    <w:qFormat/>
    <w:pPr>
      <w:keepLines/>
      <w:keepNext/>
      <w:spacing w:before="320" w:after="200"/>
      <w:outlineLvl w:val="7"/>
    </w:pPr>
    <w:rPr>
      <w:rFonts w:ascii="Arial" w:hAnsi="Arial" w:eastAsia="Arial" w:cs="Arial"/>
      <w:i/>
      <w:iCs/>
      <w:sz w:val="22"/>
      <w:szCs w:val="22"/>
    </w:rPr>
  </w:style>
  <w:style w:type="character" w:styleId="686">
    <w:name w:val="Heading 8 Char"/>
    <w:basedOn w:val="846"/>
    <w:link w:val="685"/>
    <w:uiPriority w:val="9"/>
    <w:rPr>
      <w:rFonts w:ascii="Arial" w:hAnsi="Arial" w:eastAsia="Arial" w:cs="Arial"/>
      <w:i/>
      <w:iCs/>
      <w:sz w:val="22"/>
      <w:szCs w:val="22"/>
    </w:rPr>
  </w:style>
  <w:style w:type="paragraph" w:styleId="687">
    <w:name w:val="Heading 9"/>
    <w:basedOn w:val="843"/>
    <w:next w:val="843"/>
    <w:link w:val="688"/>
    <w:uiPriority w:val="9"/>
    <w:unhideWhenUsed/>
    <w:qFormat/>
    <w:pPr>
      <w:keepLines/>
      <w:keepNext/>
      <w:spacing w:before="320" w:after="200"/>
      <w:outlineLvl w:val="8"/>
    </w:pPr>
    <w:rPr>
      <w:rFonts w:ascii="Arial" w:hAnsi="Arial" w:eastAsia="Arial" w:cs="Arial"/>
      <w:i/>
      <w:iCs/>
      <w:sz w:val="21"/>
      <w:szCs w:val="21"/>
    </w:rPr>
  </w:style>
  <w:style w:type="character" w:styleId="688">
    <w:name w:val="Heading 9 Char"/>
    <w:basedOn w:val="846"/>
    <w:link w:val="687"/>
    <w:uiPriority w:val="9"/>
    <w:rPr>
      <w:rFonts w:ascii="Arial" w:hAnsi="Arial" w:eastAsia="Arial" w:cs="Arial"/>
      <w:i/>
      <w:iCs/>
      <w:sz w:val="21"/>
      <w:szCs w:val="21"/>
    </w:rPr>
  </w:style>
  <w:style w:type="paragraph" w:styleId="689">
    <w:name w:val="List Paragraph"/>
    <w:basedOn w:val="843"/>
    <w:uiPriority w:val="34"/>
    <w:qFormat/>
    <w:pPr>
      <w:contextualSpacing/>
      <w:ind w:left="720"/>
    </w:pPr>
  </w:style>
  <w:style w:type="paragraph" w:styleId="690">
    <w:name w:val="No Spacing"/>
    <w:uiPriority w:val="1"/>
    <w:qFormat/>
    <w:pPr>
      <w:spacing w:before="0" w:after="0" w:line="240" w:lineRule="auto"/>
    </w:pPr>
  </w:style>
  <w:style w:type="paragraph" w:styleId="691">
    <w:name w:val="Title"/>
    <w:basedOn w:val="843"/>
    <w:next w:val="843"/>
    <w:link w:val="692"/>
    <w:uiPriority w:val="10"/>
    <w:qFormat/>
    <w:pPr>
      <w:contextualSpacing/>
      <w:spacing w:before="300" w:after="200"/>
    </w:pPr>
    <w:rPr>
      <w:sz w:val="48"/>
      <w:szCs w:val="48"/>
    </w:rPr>
  </w:style>
  <w:style w:type="character" w:styleId="692">
    <w:name w:val="Title Char"/>
    <w:basedOn w:val="846"/>
    <w:link w:val="691"/>
    <w:uiPriority w:val="10"/>
    <w:rPr>
      <w:sz w:val="48"/>
      <w:szCs w:val="48"/>
    </w:rPr>
  </w:style>
  <w:style w:type="paragraph" w:styleId="693">
    <w:name w:val="Subtitle"/>
    <w:basedOn w:val="843"/>
    <w:next w:val="843"/>
    <w:link w:val="694"/>
    <w:uiPriority w:val="11"/>
    <w:qFormat/>
    <w:pPr>
      <w:spacing w:before="200" w:after="200"/>
    </w:pPr>
    <w:rPr>
      <w:sz w:val="24"/>
      <w:szCs w:val="24"/>
    </w:rPr>
  </w:style>
  <w:style w:type="character" w:styleId="694">
    <w:name w:val="Subtitle Char"/>
    <w:basedOn w:val="846"/>
    <w:link w:val="693"/>
    <w:uiPriority w:val="11"/>
    <w:rPr>
      <w:sz w:val="24"/>
      <w:szCs w:val="24"/>
    </w:rPr>
  </w:style>
  <w:style w:type="paragraph" w:styleId="695">
    <w:name w:val="Quote"/>
    <w:basedOn w:val="843"/>
    <w:next w:val="843"/>
    <w:link w:val="696"/>
    <w:uiPriority w:val="29"/>
    <w:qFormat/>
    <w:pPr>
      <w:ind w:left="720" w:right="720"/>
    </w:pPr>
    <w:rPr>
      <w:i/>
    </w:rPr>
  </w:style>
  <w:style w:type="character" w:styleId="696">
    <w:name w:val="Quote Char"/>
    <w:link w:val="695"/>
    <w:uiPriority w:val="29"/>
    <w:rPr>
      <w:i/>
    </w:rPr>
  </w:style>
  <w:style w:type="paragraph" w:styleId="697">
    <w:name w:val="Intense Quote"/>
    <w:basedOn w:val="843"/>
    <w:next w:val="843"/>
    <w:link w:val="6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8">
    <w:name w:val="Intense Quote Char"/>
    <w:link w:val="697"/>
    <w:uiPriority w:val="30"/>
    <w:rPr>
      <w:i/>
    </w:rPr>
  </w:style>
  <w:style w:type="character" w:styleId="699">
    <w:name w:val="Header Char"/>
    <w:basedOn w:val="846"/>
    <w:link w:val="855"/>
    <w:uiPriority w:val="99"/>
  </w:style>
  <w:style w:type="character" w:styleId="700">
    <w:name w:val="Footer Char"/>
    <w:basedOn w:val="846"/>
    <w:link w:val="854"/>
    <w:uiPriority w:val="99"/>
  </w:style>
  <w:style w:type="paragraph" w:styleId="701">
    <w:name w:val="Caption"/>
    <w:basedOn w:val="843"/>
    <w:next w:val="843"/>
    <w:uiPriority w:val="35"/>
    <w:semiHidden/>
    <w:unhideWhenUsed/>
    <w:qFormat/>
    <w:pPr>
      <w:spacing w:line="276" w:lineRule="auto"/>
    </w:pPr>
    <w:rPr>
      <w:b/>
      <w:bCs/>
      <w:color w:val="4f81bd" w:themeColor="accent1"/>
      <w:sz w:val="18"/>
      <w:szCs w:val="18"/>
    </w:rPr>
  </w:style>
  <w:style w:type="character" w:styleId="702">
    <w:name w:val="Caption Char"/>
    <w:basedOn w:val="701"/>
    <w:link w:val="854"/>
    <w:uiPriority w:val="99"/>
  </w:style>
  <w:style w:type="table" w:styleId="703">
    <w:name w:val="Table Grid Light"/>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4">
    <w:name w:val="Plain Table 1"/>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2"/>
    <w:basedOn w:val="8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3"/>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name w:val="Plain Table 4"/>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name w:val="Plain Table 5"/>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9">
    <w:name w:val="Grid Table 1 Light"/>
    <w:basedOn w:val="8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0">
    <w:name w:val="Grid Table 1 Light - Accent 1"/>
    <w:basedOn w:val="8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1">
    <w:name w:val="Grid Table 1 Light - Accent 2"/>
    <w:basedOn w:val="8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2">
    <w:name w:val="Grid Table 1 Light - Accent 3"/>
    <w:basedOn w:val="8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3">
    <w:name w:val="Grid Table 1 Light - Accent 4"/>
    <w:basedOn w:val="8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4">
    <w:name w:val="Grid Table 1 Light - Accent 5"/>
    <w:basedOn w:val="8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5">
    <w:name w:val="Grid Table 1 Light - Accent 6"/>
    <w:basedOn w:val="8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6">
    <w:name w:val="Grid Table 2"/>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7">
    <w:name w:val="Grid Table 2 - Accent 1"/>
    <w:basedOn w:val="8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8">
    <w:name w:val="Grid Table 2 - Accent 2"/>
    <w:basedOn w:val="8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9">
    <w:name w:val="Grid Table 2 - Accent 3"/>
    <w:basedOn w:val="8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0">
    <w:name w:val="Grid Table 2 - Accent 4"/>
    <w:basedOn w:val="8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1">
    <w:name w:val="Grid Table 2 - Accent 5"/>
    <w:basedOn w:val="8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2">
    <w:name w:val="Grid Table 2 - Accent 6"/>
    <w:basedOn w:val="8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3">
    <w:name w:val="Grid Table 3"/>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1"/>
    <w:basedOn w:val="8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2"/>
    <w:basedOn w:val="8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3"/>
    <w:basedOn w:val="8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4"/>
    <w:basedOn w:val="8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5"/>
    <w:basedOn w:val="8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6"/>
    <w:basedOn w:val="8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4"/>
    <w:basedOn w:val="8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name w:val="Grid Table 4 - Accent 1"/>
    <w:basedOn w:val="8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2">
    <w:name w:val="Grid Table 4 - Accent 2"/>
    <w:basedOn w:val="8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3">
    <w:name w:val="Grid Table 4 - Accent 3"/>
    <w:basedOn w:val="8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4">
    <w:name w:val="Grid Table 4 - Accent 4"/>
    <w:basedOn w:val="8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5">
    <w:name w:val="Grid Table 4 - Accent 5"/>
    <w:basedOn w:val="8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6">
    <w:name w:val="Grid Table 4 - Accent 6"/>
    <w:basedOn w:val="8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7">
    <w:name w:val="Grid Table 5 Dark"/>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8">
    <w:name w:val="Grid Table 5 Dark- Accent 1"/>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39">
    <w:name w:val="Grid Table 5 Dark - Accent 2"/>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0">
    <w:name w:val="Grid Table 5 Dark - Accent 3"/>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1">
    <w:name w:val="Grid Table 5 Dark- Accent 4"/>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2">
    <w:name w:val="Grid Table 5 Dark - Accent 5"/>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3">
    <w:name w:val="Grid Table 5 Dark - Accent 6"/>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4">
    <w:name w:val="Grid Table 6 Colorful"/>
    <w:basedOn w:val="8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5">
    <w:name w:val="Grid Table 6 Colorful - Accent 1"/>
    <w:basedOn w:val="8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6">
    <w:name w:val="Grid Table 6 Colorful - Accent 2"/>
    <w:basedOn w:val="8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7">
    <w:name w:val="Grid Table 6 Colorful - Accent 3"/>
    <w:basedOn w:val="8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8">
    <w:name w:val="Grid Table 6 Colorful - Accent 4"/>
    <w:basedOn w:val="8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9">
    <w:name w:val="Grid Table 6 Colorful - Accent 5"/>
    <w:basedOn w:val="8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0">
    <w:name w:val="Grid Table 6 Colorful - Accent 6"/>
    <w:basedOn w:val="8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1">
    <w:name w:val="Grid Table 7 Colorful"/>
    <w:basedOn w:val="8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2">
    <w:name w:val="Grid Table 7 Colorful - Accent 1"/>
    <w:basedOn w:val="8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3">
    <w:name w:val="Grid Table 7 Colorful - Accent 2"/>
    <w:basedOn w:val="8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7 Colorful - Accent 3"/>
    <w:basedOn w:val="8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7 Colorful - Accent 4"/>
    <w:basedOn w:val="8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7 Colorful - Accent 5"/>
    <w:basedOn w:val="8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7">
    <w:name w:val="Grid Table 7 Colorful - Accent 6"/>
    <w:basedOn w:val="8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8">
    <w:name w:val="List Table 1 Light"/>
    <w:basedOn w:val="8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name w:val="List Table 1 Light - Accent 1"/>
    <w:basedOn w:val="84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0">
    <w:name w:val="List Table 1 Light - Accent 2"/>
    <w:basedOn w:val="84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1">
    <w:name w:val="List Table 1 Light - Accent 3"/>
    <w:basedOn w:val="84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2">
    <w:name w:val="List Table 1 Light - Accent 4"/>
    <w:basedOn w:val="84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3">
    <w:name w:val="List Table 1 Light - Accent 5"/>
    <w:basedOn w:val="84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4">
    <w:name w:val="List Table 1 Light - Accent 6"/>
    <w:basedOn w:val="84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5">
    <w:name w:val="List Table 2"/>
    <w:basedOn w:val="8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6">
    <w:name w:val="List Table 2 - Accent 1"/>
    <w:basedOn w:val="8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7">
    <w:name w:val="List Table 2 - Accent 2"/>
    <w:basedOn w:val="8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8">
    <w:name w:val="List Table 2 - Accent 3"/>
    <w:basedOn w:val="8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9">
    <w:name w:val="List Table 2 - Accent 4"/>
    <w:basedOn w:val="8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0">
    <w:name w:val="List Table 2 - Accent 5"/>
    <w:basedOn w:val="8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1">
    <w:name w:val="List Table 2 - Accent 6"/>
    <w:basedOn w:val="8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2">
    <w:name w:val="List Table 3"/>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3 - Accent 1"/>
    <w:basedOn w:val="8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4">
    <w:name w:val="List Table 3 - Accent 2"/>
    <w:basedOn w:val="8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5">
    <w:name w:val="List Table 3 - Accent 3"/>
    <w:basedOn w:val="8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6">
    <w:name w:val="List Table 3 - Accent 4"/>
    <w:basedOn w:val="8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7">
    <w:name w:val="List Table 3 - Accent 5"/>
    <w:basedOn w:val="8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78">
    <w:name w:val="List Table 3 - Accent 6"/>
    <w:basedOn w:val="8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9">
    <w:name w:val="List Table 4"/>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4 - Accent 1"/>
    <w:basedOn w:val="8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1">
    <w:name w:val="List Table 4 - Accent 2"/>
    <w:basedOn w:val="8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2">
    <w:name w:val="List Table 4 - Accent 3"/>
    <w:basedOn w:val="8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3">
    <w:name w:val="List Table 4 - Accent 4"/>
    <w:basedOn w:val="8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4">
    <w:name w:val="List Table 4 - Accent 5"/>
    <w:basedOn w:val="8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5">
    <w:name w:val="List Table 4 - Accent 6"/>
    <w:basedOn w:val="8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6">
    <w:name w:val="List Table 5 Dark"/>
    <w:basedOn w:val="8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1"/>
    <w:basedOn w:val="8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2"/>
    <w:basedOn w:val="8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3"/>
    <w:basedOn w:val="8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4"/>
    <w:basedOn w:val="8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5"/>
    <w:basedOn w:val="8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6"/>
    <w:basedOn w:val="8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6 Colorful"/>
    <w:basedOn w:val="8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4">
    <w:name w:val="List Table 6 Colorful - Accent 1"/>
    <w:basedOn w:val="8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5">
    <w:name w:val="List Table 6 Colorful - Accent 2"/>
    <w:basedOn w:val="8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6">
    <w:name w:val="List Table 6 Colorful - Accent 3"/>
    <w:basedOn w:val="8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7">
    <w:name w:val="List Table 6 Colorful - Accent 4"/>
    <w:basedOn w:val="8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8">
    <w:name w:val="List Table 6 Colorful - Accent 5"/>
    <w:basedOn w:val="8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99">
    <w:name w:val="List Table 6 Colorful - Accent 6"/>
    <w:basedOn w:val="8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0">
    <w:name w:val="List Table 7 Colorful"/>
    <w:basedOn w:val="8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1">
    <w:name w:val="List Table 7 Colorful - Accent 1"/>
    <w:basedOn w:val="8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2">
    <w:name w:val="List Table 7 Colorful - Accent 2"/>
    <w:basedOn w:val="8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3">
    <w:name w:val="List Table 7 Colorful - Accent 3"/>
    <w:basedOn w:val="8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4">
    <w:name w:val="List Table 7 Colorful - Accent 4"/>
    <w:basedOn w:val="8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5">
    <w:name w:val="List Table 7 Colorful - Accent 5"/>
    <w:basedOn w:val="8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6">
    <w:name w:val="List Table 7 Colorful - Accent 6"/>
    <w:basedOn w:val="8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7">
    <w:name w:val="Lined - Accent"/>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8">
    <w:name w:val="Lined - Accent 1"/>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9">
    <w:name w:val="Lined - Accent 2"/>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0">
    <w:name w:val="Lined - Accent 3"/>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1">
    <w:name w:val="Lined - Accent 4"/>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2">
    <w:name w:val="Lined - Accent 5"/>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3">
    <w:name w:val="Lined - Accent 6"/>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4">
    <w:name w:val="Bordered &amp; Lined - Accent"/>
    <w:basedOn w:val="8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Bordered &amp; Lined - Accent 1"/>
    <w:basedOn w:val="8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6">
    <w:name w:val="Bordered &amp; Lined - Accent 2"/>
    <w:basedOn w:val="8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7">
    <w:name w:val="Bordered &amp; Lined - Accent 3"/>
    <w:basedOn w:val="8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8">
    <w:name w:val="Bordered &amp; Lined - Accent 4"/>
    <w:basedOn w:val="8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9">
    <w:name w:val="Bordered &amp; Lined - Accent 5"/>
    <w:basedOn w:val="8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0">
    <w:name w:val="Bordered &amp; Lined - Accent 6"/>
    <w:basedOn w:val="8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1">
    <w:name w:val="Bordered"/>
    <w:basedOn w:val="8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2">
    <w:name w:val="Bordered - Accent 1"/>
    <w:basedOn w:val="8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3">
    <w:name w:val="Bordered - Accent 2"/>
    <w:basedOn w:val="8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4">
    <w:name w:val="Bordered - Accent 3"/>
    <w:basedOn w:val="8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5">
    <w:name w:val="Bordered - Accent 4"/>
    <w:basedOn w:val="8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6">
    <w:name w:val="Bordered - Accent 5"/>
    <w:basedOn w:val="8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7">
    <w:name w:val="Bordered - Accent 6"/>
    <w:basedOn w:val="8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8">
    <w:name w:val="footnote text"/>
    <w:basedOn w:val="843"/>
    <w:link w:val="829"/>
    <w:uiPriority w:val="99"/>
    <w:semiHidden/>
    <w:unhideWhenUsed/>
    <w:pPr>
      <w:spacing w:after="40" w:line="240" w:lineRule="auto"/>
    </w:pPr>
    <w:rPr>
      <w:sz w:val="18"/>
    </w:rPr>
  </w:style>
  <w:style w:type="character" w:styleId="829">
    <w:name w:val="Footnote Text Char"/>
    <w:link w:val="828"/>
    <w:uiPriority w:val="99"/>
    <w:rPr>
      <w:sz w:val="18"/>
    </w:rPr>
  </w:style>
  <w:style w:type="character" w:styleId="830">
    <w:name w:val="footnote reference"/>
    <w:basedOn w:val="846"/>
    <w:uiPriority w:val="99"/>
    <w:unhideWhenUsed/>
    <w:rPr>
      <w:vertAlign w:val="superscript"/>
    </w:rPr>
  </w:style>
  <w:style w:type="paragraph" w:styleId="831">
    <w:name w:val="endnote text"/>
    <w:basedOn w:val="843"/>
    <w:link w:val="832"/>
    <w:uiPriority w:val="99"/>
    <w:semiHidden/>
    <w:unhideWhenUsed/>
    <w:pPr>
      <w:spacing w:after="0" w:line="240" w:lineRule="auto"/>
    </w:pPr>
    <w:rPr>
      <w:sz w:val="20"/>
    </w:rPr>
  </w:style>
  <w:style w:type="character" w:styleId="832">
    <w:name w:val="Endnote Text Char"/>
    <w:link w:val="831"/>
    <w:uiPriority w:val="99"/>
    <w:rPr>
      <w:sz w:val="20"/>
    </w:rPr>
  </w:style>
  <w:style w:type="character" w:styleId="833">
    <w:name w:val="endnote reference"/>
    <w:basedOn w:val="846"/>
    <w:uiPriority w:val="99"/>
    <w:semiHidden/>
    <w:unhideWhenUsed/>
    <w:rPr>
      <w:vertAlign w:val="superscript"/>
    </w:rPr>
  </w:style>
  <w:style w:type="paragraph" w:styleId="834">
    <w:name w:val="toc 2"/>
    <w:basedOn w:val="843"/>
    <w:next w:val="843"/>
    <w:uiPriority w:val="39"/>
    <w:unhideWhenUsed/>
    <w:pPr>
      <w:ind w:left="283" w:right="0" w:firstLine="0"/>
      <w:spacing w:after="57"/>
    </w:pPr>
  </w:style>
  <w:style w:type="paragraph" w:styleId="835">
    <w:name w:val="toc 3"/>
    <w:basedOn w:val="843"/>
    <w:next w:val="843"/>
    <w:uiPriority w:val="39"/>
    <w:unhideWhenUsed/>
    <w:pPr>
      <w:ind w:left="567" w:right="0" w:firstLine="0"/>
      <w:spacing w:after="57"/>
    </w:pPr>
  </w:style>
  <w:style w:type="paragraph" w:styleId="836">
    <w:name w:val="toc 4"/>
    <w:basedOn w:val="843"/>
    <w:next w:val="843"/>
    <w:uiPriority w:val="39"/>
    <w:unhideWhenUsed/>
    <w:pPr>
      <w:ind w:left="850" w:right="0" w:firstLine="0"/>
      <w:spacing w:after="57"/>
    </w:pPr>
  </w:style>
  <w:style w:type="paragraph" w:styleId="837">
    <w:name w:val="toc 5"/>
    <w:basedOn w:val="843"/>
    <w:next w:val="843"/>
    <w:uiPriority w:val="39"/>
    <w:unhideWhenUsed/>
    <w:pPr>
      <w:ind w:left="1134" w:right="0" w:firstLine="0"/>
      <w:spacing w:after="57"/>
    </w:pPr>
  </w:style>
  <w:style w:type="paragraph" w:styleId="838">
    <w:name w:val="toc 6"/>
    <w:basedOn w:val="843"/>
    <w:next w:val="843"/>
    <w:uiPriority w:val="39"/>
    <w:unhideWhenUsed/>
    <w:pPr>
      <w:ind w:left="1417" w:right="0" w:firstLine="0"/>
      <w:spacing w:after="57"/>
    </w:pPr>
  </w:style>
  <w:style w:type="paragraph" w:styleId="839">
    <w:name w:val="toc 8"/>
    <w:basedOn w:val="843"/>
    <w:next w:val="843"/>
    <w:uiPriority w:val="39"/>
    <w:unhideWhenUsed/>
    <w:pPr>
      <w:ind w:left="1984" w:right="0" w:firstLine="0"/>
      <w:spacing w:after="57"/>
    </w:pPr>
  </w:style>
  <w:style w:type="paragraph" w:styleId="840">
    <w:name w:val="toc 9"/>
    <w:basedOn w:val="843"/>
    <w:next w:val="843"/>
    <w:uiPriority w:val="39"/>
    <w:unhideWhenUsed/>
    <w:pPr>
      <w:ind w:left="2268" w:right="0" w:firstLine="0"/>
      <w:spacing w:after="57"/>
    </w:pPr>
  </w:style>
  <w:style w:type="paragraph" w:styleId="841">
    <w:name w:val="TOC Heading"/>
    <w:uiPriority w:val="39"/>
    <w:unhideWhenUsed/>
  </w:style>
  <w:style w:type="paragraph" w:styleId="842">
    <w:name w:val="table of figures"/>
    <w:basedOn w:val="843"/>
    <w:next w:val="843"/>
    <w:uiPriority w:val="99"/>
    <w:unhideWhenUsed/>
    <w:pPr>
      <w:spacing w:after="0" w:afterAutospacing="0"/>
    </w:pPr>
  </w:style>
  <w:style w:type="paragraph" w:styleId="843"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44">
    <w:name w:val="Heading 1"/>
    <w:basedOn w:val="843"/>
    <w:next w:val="843"/>
    <w:uiPriority w:val="0"/>
    <w:qFormat/>
    <w:pPr>
      <w:jc w:val="left"/>
      <w:keepLines/>
      <w:keepNext/>
      <w:spacing w:before="100" w:beforeAutospacing="0" w:after="90" w:afterAutospacing="0" w:line="240" w:lineRule="auto"/>
      <w:outlineLvl w:val="0"/>
    </w:pPr>
    <w:rPr>
      <w:rFonts w:ascii="Arial" w:hAnsi="Arial" w:eastAsia="宋体" w:cs="Arial"/>
      <w:b/>
      <w:color w:val="000000"/>
      <w:sz w:val="32"/>
      <w:szCs w:val="21"/>
      <w:lang w:eastAsia="en-US"/>
    </w:rPr>
  </w:style>
  <w:style w:type="paragraph" w:styleId="845">
    <w:name w:val="Heading 2"/>
    <w:basedOn w:val="843"/>
    <w:next w:val="843"/>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46" w:default="1">
    <w:name w:val="Default Paragraph Font"/>
    <w:uiPriority w:val="1"/>
    <w:semiHidden/>
    <w:unhideWhenUsed/>
    <w:qFormat/>
  </w:style>
  <w:style w:type="table" w:styleId="847" w:default="1">
    <w:name w:val="Normal Table"/>
    <w:uiPriority w:val="99"/>
    <w:semiHidden/>
    <w:unhideWhenUsed/>
    <w:qFormat/>
    <w:tblPr>
      <w:tblCellMar>
        <w:left w:w="108" w:type="dxa"/>
        <w:top w:w="0" w:type="dxa"/>
        <w:right w:w="108" w:type="dxa"/>
        <w:bottom w:w="0" w:type="dxa"/>
      </w:tblCellMar>
    </w:tblPr>
  </w:style>
  <w:style w:type="paragraph" w:styleId="848">
    <w:name w:val="toc 7"/>
    <w:basedOn w:val="843"/>
    <w:next w:val="843"/>
    <w:uiPriority w:val="0"/>
    <w:qFormat/>
    <w:pPr>
      <w:ind w:left="2520"/>
    </w:pPr>
  </w:style>
  <w:style w:type="paragraph" w:styleId="849">
    <w:name w:val="Normal Indent"/>
    <w:basedOn w:val="843"/>
    <w:uiPriority w:val="0"/>
    <w:qFormat/>
    <w:pPr>
      <w:ind w:firstLine="420"/>
      <w:jc w:val="left"/>
    </w:pPr>
    <w:rPr>
      <w:rFonts w:ascii="宋体"/>
      <w:sz w:val="24"/>
    </w:rPr>
  </w:style>
  <w:style w:type="paragraph" w:styleId="850">
    <w:name w:val="annotation text"/>
    <w:basedOn w:val="843"/>
    <w:uiPriority w:val="0"/>
    <w:qFormat/>
    <w:pPr>
      <w:jc w:val="left"/>
    </w:pPr>
  </w:style>
  <w:style w:type="paragraph" w:styleId="851">
    <w:name w:val="Body Text"/>
    <w:basedOn w:val="843"/>
    <w:uiPriority w:val="0"/>
    <w:semiHidden/>
    <w:qFormat/>
    <w:rPr>
      <w:rFonts w:ascii="仿宋" w:hAnsi="仿宋" w:eastAsia="仿宋" w:cs="仿宋"/>
      <w:sz w:val="31"/>
      <w:szCs w:val="31"/>
      <w:lang w:val="en-US" w:eastAsia="en-US" w:bidi="ar-SA"/>
    </w:rPr>
  </w:style>
  <w:style w:type="paragraph" w:styleId="852">
    <w:name w:val="Body Text Indent"/>
    <w:basedOn w:val="843"/>
    <w:next w:val="853"/>
    <w:uiPriority w:val="99"/>
    <w:unhideWhenUsed/>
    <w:qFormat/>
    <w:pPr>
      <w:ind w:left="420"/>
      <w:spacing w:after="120"/>
    </w:pPr>
    <w:rPr>
      <w:rFonts w:ascii="Calibri" w:hAnsi="Calibri"/>
      <w:szCs w:val="22"/>
    </w:rPr>
  </w:style>
  <w:style w:type="paragraph" w:styleId="853">
    <w:name w:val="envelope return"/>
    <w:basedOn w:val="843"/>
    <w:uiPriority w:val="0"/>
    <w:qFormat/>
    <w:rPr>
      <w:rFonts w:ascii="Arial" w:hAnsi="Arial"/>
    </w:rPr>
  </w:style>
  <w:style w:type="paragraph" w:styleId="854">
    <w:name w:val="Footer"/>
    <w:basedOn w:val="843"/>
    <w:link w:val="864"/>
    <w:uiPriority w:val="0"/>
    <w:qFormat/>
    <w:pPr>
      <w:jc w:val="left"/>
      <w:tabs>
        <w:tab w:val="center" w:pos="4153" w:leader="none"/>
        <w:tab w:val="right" w:pos="8306" w:leader="none"/>
      </w:tabs>
    </w:pPr>
    <w:rPr>
      <w:sz w:val="18"/>
      <w:szCs w:val="18"/>
    </w:rPr>
  </w:style>
  <w:style w:type="paragraph" w:styleId="855">
    <w:name w:val="Header"/>
    <w:basedOn w:val="843"/>
    <w:link w:val="863"/>
    <w:uiPriority w:val="0"/>
    <w:qFormat/>
    <w:pPr>
      <w:jc w:val="center"/>
      <w:tabs>
        <w:tab w:val="center" w:pos="4153" w:leader="none"/>
        <w:tab w:val="right" w:pos="8306" w:leader="none"/>
      </w:tabs>
      <w:pBdr>
        <w:bottom w:val="single" w:color="auto" w:sz="6" w:space="1"/>
      </w:pBdr>
    </w:pPr>
    <w:rPr>
      <w:sz w:val="18"/>
      <w:szCs w:val="18"/>
    </w:rPr>
  </w:style>
  <w:style w:type="paragraph" w:styleId="856">
    <w:name w:val="toc 1"/>
    <w:basedOn w:val="843"/>
    <w:next w:val="843"/>
    <w:uiPriority w:val="0"/>
    <w:qFormat/>
  </w:style>
  <w:style w:type="paragraph" w:styleId="857">
    <w:name w:val="Normal (Web)"/>
    <w:basedOn w:val="843"/>
    <w:uiPriority w:val="0"/>
    <w:qFormat/>
    <w:pPr>
      <w:jc w:val="left"/>
      <w:spacing w:beforeAutospacing="1" w:afterAutospacing="1"/>
    </w:pPr>
    <w:rPr>
      <w:rFonts w:cs="Times New Roman"/>
      <w:sz w:val="24"/>
    </w:rPr>
  </w:style>
  <w:style w:type="paragraph" w:styleId="858">
    <w:name w:val="Body Text First Indent 2"/>
    <w:basedOn w:val="852"/>
    <w:next w:val="849"/>
    <w:uiPriority w:val="99"/>
    <w:qFormat/>
    <w:pPr>
      <w:ind w:firstLine="420"/>
    </w:pPr>
    <w:rPr>
      <w:rFonts w:cs="宋体"/>
    </w:rPr>
  </w:style>
  <w:style w:type="table" w:styleId="859">
    <w:name w:val="Table Grid"/>
    <w:basedOn w:val="84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0">
    <w:name w:val="Emphasis"/>
    <w:uiPriority w:val="0"/>
    <w:qFormat/>
    <w:rPr>
      <w:i/>
    </w:rPr>
  </w:style>
  <w:style w:type="character" w:styleId="861">
    <w:name w:val="Hyperlink"/>
    <w:basedOn w:val="846"/>
    <w:uiPriority w:val="0"/>
    <w:qFormat/>
    <w:rPr>
      <w:color w:val="0000ff"/>
      <w:u w:val="single"/>
    </w:rPr>
  </w:style>
  <w:style w:type="paragraph" w:styleId="862" w:customStyle="1">
    <w:name w:val="Default"/>
    <w:basedOn w:val="843"/>
    <w:uiPriority w:val="0"/>
    <w:semiHidden/>
    <w:qFormat/>
    <w:pPr>
      <w:jc w:val="left"/>
    </w:pPr>
    <w:rPr>
      <w:rFonts w:ascii="宋体" w:hAnsi="Calibri" w:cs="宋体"/>
      <w:color w:val="000000"/>
      <w:sz w:val="24"/>
    </w:rPr>
  </w:style>
  <w:style w:type="character" w:styleId="863" w:customStyle="1">
    <w:name w:val="页眉 Char"/>
    <w:basedOn w:val="846"/>
    <w:link w:val="855"/>
    <w:uiPriority w:val="0"/>
    <w:qFormat/>
    <w:rPr>
      <w:rFonts w:asciiTheme="minorHAnsi" w:hAnsiTheme="minorHAnsi" w:eastAsiaTheme="minorEastAsia" w:cstheme="minorBidi"/>
      <w:sz w:val="18"/>
      <w:szCs w:val="18"/>
    </w:rPr>
  </w:style>
  <w:style w:type="character" w:styleId="864" w:customStyle="1">
    <w:name w:val="页脚 Char"/>
    <w:basedOn w:val="846"/>
    <w:link w:val="854"/>
    <w:uiPriority w:val="0"/>
    <w:qFormat/>
    <w:rPr>
      <w:rFonts w:asciiTheme="minorHAnsi" w:hAnsiTheme="minorHAnsi" w:eastAsiaTheme="minorEastAsia" w:cstheme="minorBidi"/>
      <w:sz w:val="18"/>
      <w:szCs w:val="18"/>
    </w:rPr>
  </w:style>
  <w:style w:type="paragraph" w:styleId="865" w:customStyle="1">
    <w:name w:val="普通正文"/>
    <w:basedOn w:val="843"/>
    <w:uiPriority w:val="0"/>
    <w:qFormat/>
    <w:pPr>
      <w:ind w:firstLine="480"/>
      <w:jc w:val="left"/>
      <w:spacing w:before="120" w:after="120" w:line="360" w:lineRule="auto"/>
    </w:pPr>
    <w:rPr>
      <w:rFonts w:ascii="Arial" w:hAnsi="Arial" w:eastAsia="等线" w:cs="Arial"/>
      <w:sz w:val="24"/>
      <w:szCs w:val="24"/>
    </w:rPr>
  </w:style>
  <w:style w:type="paragraph" w:styleId="866" w:customStyle="1">
    <w:name w:val="正文首行缩进 21"/>
    <w:basedOn w:val="867"/>
    <w:uiPriority w:val="0"/>
    <w:qFormat/>
    <w:pPr>
      <w:ind w:firstLine="420"/>
    </w:pPr>
  </w:style>
  <w:style w:type="paragraph" w:styleId="867" w:customStyle="1">
    <w:name w:val="正文文本缩进1"/>
    <w:basedOn w:val="843"/>
    <w:uiPriority w:val="0"/>
    <w:qFormat/>
    <w:pPr>
      <w:ind w:left="420"/>
      <w:spacing w:after="120"/>
    </w:pPr>
  </w:style>
  <w:style w:type="numbering" w:styleId="8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杨翠萍</cp:lastModifiedBy>
  <cp:revision>277</cp:revision>
  <dcterms:created xsi:type="dcterms:W3CDTF">2014-10-29T12:08:00Z</dcterms:created>
  <dcterms:modified xsi:type="dcterms:W3CDTF">2026-04-17T07:09:16Z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65759699444F44BBBFCCC89CEABA8F49_13</vt:lpwstr>
  </property>
  <property fmtid="{D5CDD505-2E9C-101B-9397-08002B2CF9AE}" pid="4" name="KSOTemplateDocerSaveRecord">
    <vt:lpwstr>eyJoZGlkIjoiYjkyZmNhZmMwYTRkMzdjNDc0ZDBiODA4ZTNmNjg2YzYiLCJ1c2VySWQiOiIyMDI4OTY5NyJ9</vt:lpwstr>
  </property>
</Properties>
</file>