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41"/>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苏州市相城区政府采购</w:t>
      </w:r>
      <w:r/>
    </w:p>
    <w:p>
      <w:pPr>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竞争性磋商文件 </w:t>
      </w:r>
      <w:r/>
    </w:p>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color w:val="ff0000"/>
          <w:sz w:val="32"/>
          <w:szCs w:val="32"/>
          <w:highlight w:val="none"/>
        </w:rPr>
      </w:pPr>
      <w:r>
        <w:rPr>
          <w:rFonts w:hint="eastAsia" w:ascii="宋体" w:hAnsi="宋体" w:cs="宋体"/>
          <w:color w:val="ff0000"/>
          <w:sz w:val="32"/>
          <w:szCs w:val="32"/>
          <w:highlight w:val="none"/>
        </w:rPr>
      </w:r>
      <w:r/>
    </w:p>
    <w:p>
      <w:pPr>
        <w:pStyle w:val="1041"/>
        <w:ind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w:t>
      </w:r>
      <w:r/>
    </w:p>
    <w:p>
      <w:pPr>
        <w:ind w:left="2225" w:right="-506" w:hanging="623"/>
        <w:spacing w:line="360" w:lineRule="auto"/>
        <w:rPr>
          <w:rFonts w:hint="eastAsia" w:ascii="宋体" w:hAnsi="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项目编号：JSZC-320507-SZHJ-C2026-0003</w:t>
      </w:r>
      <w:r/>
    </w:p>
    <w:p>
      <w:pPr>
        <w:ind w:left="2225" w:right="-506" w:hanging="623"/>
        <w:spacing w:line="360" w:lineRule="auto"/>
        <w:rPr>
          <w:rFonts w:hint="eastAsia" w:ascii="宋体" w:hAnsi="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项目名称：</w:t>
      </w:r>
      <w:bookmarkStart w:id="0" w:name="OLE_LINK1"/>
      <w:r>
        <w:rPr>
          <w:rFonts w:hint="eastAsia" w:ascii="宋体" w:hAnsi="宋体" w:cs="宋体"/>
          <w:b/>
          <w:bCs/>
          <w:color w:val="000000" w:themeColor="text1"/>
          <w:sz w:val="32"/>
          <w:szCs w:val="32"/>
          <w:highlight w:val="none"/>
          <w:lang w:eastAsia="zh-CN"/>
          <w14:textFill>
            <w14:solidFill>
              <w14:schemeClr w14:val="tx1"/>
            </w14:solidFill>
          </w14:textFill>
        </w:rPr>
        <w:t xml:space="preserve">太湖、望虞河沿线水利工程运行管理</w:t>
      </w:r>
      <w:r/>
    </w:p>
    <w:p>
      <w:pPr>
        <w:ind w:left="2225" w:right="-506" w:hanging="623"/>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及防汛仓库日常管理</w:t>
      </w:r>
      <w:bookmarkEnd w:id="0"/>
      <w:r/>
      <w:r/>
    </w:p>
    <w:p>
      <w:pPr>
        <w:ind w:left="2225" w:right="-506" w:hanging="623"/>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采购单位：</w:t>
      </w:r>
      <w:r>
        <w:rPr>
          <w:rFonts w:hint="eastAsia" w:ascii="宋体" w:hAnsi="宋体" w:cs="宋体"/>
          <w:b/>
          <w:bCs/>
          <w:color w:val="000000" w:themeColor="text1"/>
          <w:sz w:val="32"/>
          <w:szCs w:val="32"/>
          <w:highlight w:val="none"/>
          <w:lang w:eastAsia="zh-CN"/>
          <w14:textFill>
            <w14:solidFill>
              <w14:schemeClr w14:val="tx1"/>
            </w14:solidFill>
          </w14:textFill>
        </w:rPr>
        <w:t xml:space="preserve">苏州市相城区水务局</w:t>
      </w:r>
      <w:r/>
    </w:p>
    <w:p>
      <w:pPr>
        <w:ind w:right="-506" w:firstLine="16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项目类别：服务类</w:t>
      </w:r>
      <w:r/>
    </w:p>
    <w:p>
      <w:pPr>
        <w:ind w:right="-506" w:firstLine="16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firstLine="2731"/>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506" w:firstLine="2731"/>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1041"/>
        <w:ind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jc w:val="center"/>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江苏鸿渐投资咨询管理有限公司</w:t>
      </w:r>
      <w:r/>
    </w:p>
    <w:p>
      <w:pPr>
        <w:ind w:right="-506" w:firstLine="1"/>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二○二</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bCs/>
          <w:color w:val="000000" w:themeColor="text1"/>
          <w:sz w:val="32"/>
          <w:szCs w:val="32"/>
          <w:highlight w:val="none"/>
          <w14:textFill>
            <w14:solidFill>
              <w14:schemeClr w14:val="tx1"/>
            </w14:solidFill>
          </w14:textFill>
        </w:rPr>
        <w:t xml:space="preserve">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四</w:t>
      </w:r>
      <w:r>
        <w:rPr>
          <w:rFonts w:hint="eastAsia" w:ascii="宋体" w:hAnsi="宋体" w:cs="宋体"/>
          <w:b/>
          <w:bCs/>
          <w:color w:val="000000" w:themeColor="text1"/>
          <w:sz w:val="32"/>
          <w:szCs w:val="32"/>
          <w:highlight w:val="none"/>
          <w14:textFill>
            <w14:solidFill>
              <w14:schemeClr w14:val="tx1"/>
            </w14:solidFill>
          </w14:textFill>
        </w:rPr>
        <w:t xml:space="preserve">月</w:t>
      </w:r>
      <w:r/>
    </w:p>
    <w:p>
      <w:pPr>
        <w:ind w:right="-506" w:firstLine="1"/>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6"/>
          <w:szCs w:val="32"/>
          <w:highlight w:val="none"/>
          <w14:textFill>
            <w14:solidFill>
              <w14:schemeClr w14:val="tx1"/>
            </w14:solidFill>
          </w14:textFill>
        </w:rPr>
        <w:t xml:space="preserve">目录</w:t>
      </w:r>
      <w:r/>
    </w:p>
    <w:p>
      <w:pPr>
        <w:pStyle w:val="1015"/>
        <w:tabs>
          <w:tab w:val="right" w:pos="9412" w:leader="dot"/>
        </w:tabs>
        <w:rPr>
          <w:sz w:val="32"/>
          <w:szCs w:val="28"/>
          <w:highlight w:val="none"/>
        </w:rPr>
      </w:pPr>
      <w:r>
        <w:rPr>
          <w:rFonts w:hint="eastAsia" w:ascii="宋体" w:hAnsi="宋体" w:cs="宋体"/>
          <w:b/>
          <w:bCs/>
          <w:color w:val="000000" w:themeColor="text1"/>
          <w:sz w:val="48"/>
          <w:szCs w:val="48"/>
          <w:highlight w:val="none"/>
          <w14:textFill>
            <w14:solidFill>
              <w14:schemeClr w14:val="tx1"/>
            </w14:solidFill>
          </w14:textFill>
        </w:rPr>
        <w:fldChar w:fldCharType="begin"/>
      </w:r>
      <w:r>
        <w:rPr>
          <w:rFonts w:hint="eastAsia" w:ascii="宋体" w:hAnsi="宋体" w:cs="宋体"/>
          <w:b/>
          <w:bCs/>
          <w:color w:val="000000" w:themeColor="text1"/>
          <w:sz w:val="48"/>
          <w:szCs w:val="48"/>
          <w:highlight w:val="none"/>
          <w14:textFill>
            <w14:solidFill>
              <w14:schemeClr w14:val="tx1"/>
            </w14:solidFill>
          </w14:textFill>
        </w:rPr>
        <w:instrText xml:space="preserve">TOC \o "1-3" \h \u </w:instrText>
      </w:r>
      <w:r>
        <w:rPr>
          <w:rFonts w:hint="eastAsia" w:ascii="宋体" w:hAnsi="宋体" w:cs="宋体"/>
          <w:b/>
          <w:bCs/>
          <w:color w:val="000000" w:themeColor="text1"/>
          <w:sz w:val="48"/>
          <w:szCs w:val="48"/>
          <w:highlight w:val="none"/>
          <w14:textFill>
            <w14:solidFill>
              <w14:schemeClr w14:val="tx1"/>
            </w14:solidFill>
          </w14:textFill>
        </w:rPr>
        <w:fldChar w:fldCharType="separate"/>
      </w:r>
      <w:r>
        <w:rPr>
          <w:highlight w:val="none"/>
        </w:rPr>
        <w:fldChar w:fldCharType="begin"/>
      </w:r>
      <w:r>
        <w:rPr>
          <w:highlight w:val="none"/>
        </w:rPr>
        <w:instrText xml:space="preserve"> HYPERLINK \l "_Toc16848" </w:instrText>
      </w:r>
      <w:r>
        <w:rPr>
          <w:highlight w:val="none"/>
        </w:rPr>
        <w:fldChar w:fldCharType="separate"/>
      </w:r>
      <w:r>
        <w:rPr>
          <w:rFonts w:hint="eastAsia" w:ascii="宋体" w:hAnsi="宋体" w:cs="宋体"/>
          <w:sz w:val="32"/>
          <w:szCs w:val="28"/>
          <w:highlight w:val="none"/>
        </w:rPr>
        <w:t xml:space="preserve">第一章 磋商邀请函</w:t>
      </w:r>
      <w:r>
        <w:rPr>
          <w:sz w:val="32"/>
          <w:szCs w:val="28"/>
          <w:highlight w:val="none"/>
        </w:rPr>
        <w:tab/>
      </w:r>
      <w:r>
        <w:rPr>
          <w:sz w:val="32"/>
          <w:szCs w:val="28"/>
          <w:highlight w:val="none"/>
        </w:rPr>
        <w:fldChar w:fldCharType="begin"/>
      </w:r>
      <w:r>
        <w:rPr>
          <w:sz w:val="32"/>
          <w:szCs w:val="28"/>
          <w:highlight w:val="none"/>
        </w:rPr>
        <w:instrText xml:space="preserve"> PAGEREF _Toc16848 \h </w:instrText>
      </w:r>
      <w:r>
        <w:rPr>
          <w:sz w:val="32"/>
          <w:szCs w:val="28"/>
          <w:highlight w:val="none"/>
        </w:rPr>
        <w:fldChar w:fldCharType="separate"/>
      </w:r>
      <w:r>
        <w:rPr>
          <w:sz w:val="32"/>
          <w:szCs w:val="28"/>
          <w:highlight w:val="none"/>
        </w:rPr>
        <w:t xml:space="preserve">5</w:t>
      </w:r>
      <w:r>
        <w:rPr>
          <w:sz w:val="32"/>
          <w:szCs w:val="28"/>
          <w:highlight w:val="none"/>
        </w:rPr>
        <w:fldChar w:fldCharType="end"/>
      </w:r>
      <w:r>
        <w:rPr>
          <w:sz w:val="32"/>
          <w:szCs w:val="28"/>
          <w:highlight w:val="none"/>
        </w:rPr>
        <w:fldChar w:fldCharType="end"/>
      </w:r>
      <w:r/>
    </w:p>
    <w:p>
      <w:pPr>
        <w:pStyle w:val="1015"/>
        <w:tabs>
          <w:tab w:val="right" w:pos="9412" w:leader="dot"/>
        </w:tabs>
        <w:rPr>
          <w:sz w:val="32"/>
          <w:szCs w:val="28"/>
          <w:highlight w:val="none"/>
        </w:rPr>
      </w:pPr>
      <w:r>
        <w:rPr>
          <w:highlight w:val="none"/>
        </w:rPr>
        <w:fldChar w:fldCharType="begin"/>
      </w:r>
      <w:r>
        <w:rPr>
          <w:highlight w:val="none"/>
        </w:rPr>
        <w:instrText xml:space="preserve"> HYPERLINK \l "_Toc9380" </w:instrText>
      </w:r>
      <w:r>
        <w:rPr>
          <w:highlight w:val="none"/>
        </w:rPr>
        <w:fldChar w:fldCharType="separate"/>
      </w:r>
      <w:r>
        <w:rPr>
          <w:rFonts w:hint="eastAsia" w:ascii="宋体" w:hAnsi="宋体" w:cs="宋体"/>
          <w:sz w:val="32"/>
          <w:szCs w:val="28"/>
          <w:highlight w:val="none"/>
        </w:rPr>
        <w:t xml:space="preserve">第二章 磋商须知</w:t>
      </w:r>
      <w:r>
        <w:rPr>
          <w:sz w:val="32"/>
          <w:szCs w:val="28"/>
          <w:highlight w:val="none"/>
        </w:rPr>
        <w:tab/>
      </w:r>
      <w:r>
        <w:rPr>
          <w:sz w:val="32"/>
          <w:szCs w:val="28"/>
          <w:highlight w:val="none"/>
        </w:rPr>
        <w:fldChar w:fldCharType="begin"/>
      </w:r>
      <w:r>
        <w:rPr>
          <w:sz w:val="32"/>
          <w:szCs w:val="28"/>
          <w:highlight w:val="none"/>
        </w:rPr>
        <w:instrText xml:space="preserve"> PAGEREF _Toc9380 \h </w:instrText>
      </w:r>
      <w:r>
        <w:rPr>
          <w:sz w:val="32"/>
          <w:szCs w:val="28"/>
          <w:highlight w:val="none"/>
        </w:rPr>
        <w:fldChar w:fldCharType="separate"/>
      </w:r>
      <w:r>
        <w:rPr>
          <w:sz w:val="32"/>
          <w:szCs w:val="28"/>
          <w:highlight w:val="none"/>
        </w:rPr>
        <w:t xml:space="preserve">8</w:t>
      </w:r>
      <w:r>
        <w:rPr>
          <w:sz w:val="32"/>
          <w:szCs w:val="28"/>
          <w:highlight w:val="none"/>
        </w:rPr>
        <w:fldChar w:fldCharType="end"/>
      </w:r>
      <w:r>
        <w:rPr>
          <w:sz w:val="32"/>
          <w:szCs w:val="28"/>
          <w:highlight w:val="none"/>
        </w:rPr>
        <w:fldChar w:fldCharType="end"/>
      </w:r>
      <w:r/>
    </w:p>
    <w:p>
      <w:pPr>
        <w:pStyle w:val="1015"/>
        <w:tabs>
          <w:tab w:val="right" w:pos="9412" w:leader="dot"/>
        </w:tabs>
        <w:rPr>
          <w:sz w:val="32"/>
          <w:szCs w:val="28"/>
          <w:highlight w:val="none"/>
        </w:rPr>
      </w:pPr>
      <w:r>
        <w:rPr>
          <w:highlight w:val="none"/>
        </w:rPr>
        <w:fldChar w:fldCharType="begin"/>
      </w:r>
      <w:r>
        <w:rPr>
          <w:highlight w:val="none"/>
        </w:rPr>
        <w:instrText xml:space="preserve"> HYPERLINK \l "_Toc9664" </w:instrText>
      </w:r>
      <w:r>
        <w:rPr>
          <w:highlight w:val="none"/>
        </w:rPr>
        <w:fldChar w:fldCharType="separate"/>
      </w:r>
      <w:r>
        <w:rPr>
          <w:rFonts w:hint="eastAsia" w:ascii="宋体" w:hAnsi="宋体" w:cs="宋体"/>
          <w:bCs/>
          <w:sz w:val="32"/>
          <w:szCs w:val="28"/>
          <w:highlight w:val="none"/>
        </w:rPr>
        <w:t xml:space="preserve">第三章 竞争性磋商文件</w:t>
      </w:r>
      <w:r>
        <w:rPr>
          <w:sz w:val="32"/>
          <w:szCs w:val="28"/>
          <w:highlight w:val="none"/>
        </w:rPr>
        <w:tab/>
      </w:r>
      <w:r>
        <w:rPr>
          <w:sz w:val="32"/>
          <w:szCs w:val="28"/>
          <w:highlight w:val="none"/>
        </w:rPr>
        <w:fldChar w:fldCharType="begin"/>
      </w:r>
      <w:r>
        <w:rPr>
          <w:sz w:val="32"/>
          <w:szCs w:val="28"/>
          <w:highlight w:val="none"/>
        </w:rPr>
        <w:instrText xml:space="preserve"> PAGEREF _Toc9664 \h </w:instrText>
      </w:r>
      <w:r>
        <w:rPr>
          <w:sz w:val="32"/>
          <w:szCs w:val="28"/>
          <w:highlight w:val="none"/>
        </w:rPr>
        <w:fldChar w:fldCharType="separate"/>
      </w:r>
      <w:r>
        <w:rPr>
          <w:sz w:val="32"/>
          <w:szCs w:val="28"/>
          <w:highlight w:val="none"/>
        </w:rPr>
        <w:t xml:space="preserve">13</w:t>
      </w:r>
      <w:r>
        <w:rPr>
          <w:sz w:val="32"/>
          <w:szCs w:val="28"/>
          <w:highlight w:val="none"/>
        </w:rPr>
        <w:fldChar w:fldCharType="end"/>
      </w:r>
      <w:r>
        <w:rPr>
          <w:sz w:val="32"/>
          <w:szCs w:val="28"/>
          <w:highlight w:val="none"/>
        </w:rPr>
        <w:fldChar w:fldCharType="end"/>
      </w:r>
      <w:r/>
    </w:p>
    <w:p>
      <w:pPr>
        <w:pStyle w:val="1015"/>
        <w:tabs>
          <w:tab w:val="right" w:pos="9412" w:leader="dot"/>
        </w:tabs>
        <w:rPr>
          <w:sz w:val="32"/>
          <w:szCs w:val="28"/>
          <w:highlight w:val="none"/>
        </w:rPr>
      </w:pPr>
      <w:r>
        <w:rPr>
          <w:highlight w:val="none"/>
        </w:rPr>
        <w:fldChar w:fldCharType="begin"/>
      </w:r>
      <w:r>
        <w:rPr>
          <w:highlight w:val="none"/>
        </w:rPr>
        <w:instrText xml:space="preserve"> HYPERLINK \l "_Toc17491" </w:instrText>
      </w:r>
      <w:r>
        <w:rPr>
          <w:highlight w:val="none"/>
        </w:rPr>
        <w:fldChar w:fldCharType="separate"/>
      </w:r>
      <w:r>
        <w:rPr>
          <w:rFonts w:hint="eastAsia" w:ascii="宋体" w:hAnsi="宋体" w:cs="宋体"/>
          <w:bCs/>
          <w:sz w:val="32"/>
          <w:szCs w:val="28"/>
          <w:highlight w:val="none"/>
        </w:rPr>
        <w:t xml:space="preserve">第四章 评审方法及评分标准</w:t>
      </w:r>
      <w:r>
        <w:rPr>
          <w:sz w:val="32"/>
          <w:szCs w:val="28"/>
          <w:highlight w:val="none"/>
        </w:rPr>
        <w:tab/>
      </w:r>
      <w:r>
        <w:rPr>
          <w:sz w:val="32"/>
          <w:szCs w:val="28"/>
          <w:highlight w:val="none"/>
        </w:rPr>
        <w:fldChar w:fldCharType="begin"/>
      </w:r>
      <w:r>
        <w:rPr>
          <w:sz w:val="32"/>
          <w:szCs w:val="28"/>
          <w:highlight w:val="none"/>
        </w:rPr>
        <w:instrText xml:space="preserve"> PAGEREF _Toc17491 \h </w:instrText>
      </w:r>
      <w:r>
        <w:rPr>
          <w:sz w:val="32"/>
          <w:szCs w:val="28"/>
          <w:highlight w:val="none"/>
        </w:rPr>
        <w:fldChar w:fldCharType="separate"/>
      </w:r>
      <w:r>
        <w:rPr>
          <w:sz w:val="32"/>
          <w:szCs w:val="28"/>
          <w:highlight w:val="none"/>
        </w:rPr>
        <w:t xml:space="preserve">23</w:t>
      </w:r>
      <w:r>
        <w:rPr>
          <w:sz w:val="32"/>
          <w:szCs w:val="28"/>
          <w:highlight w:val="none"/>
        </w:rPr>
        <w:fldChar w:fldCharType="end"/>
      </w:r>
      <w:r>
        <w:rPr>
          <w:sz w:val="32"/>
          <w:szCs w:val="28"/>
          <w:highlight w:val="none"/>
        </w:rPr>
        <w:fldChar w:fldCharType="end"/>
      </w:r>
      <w:r/>
    </w:p>
    <w:p>
      <w:pPr>
        <w:pStyle w:val="1015"/>
        <w:tabs>
          <w:tab w:val="right" w:pos="9412" w:leader="dot"/>
        </w:tabs>
        <w:rPr>
          <w:sz w:val="32"/>
          <w:szCs w:val="28"/>
          <w:highlight w:val="none"/>
        </w:rPr>
      </w:pPr>
      <w:r>
        <w:rPr>
          <w:highlight w:val="none"/>
        </w:rPr>
        <w:fldChar w:fldCharType="begin"/>
      </w:r>
      <w:r>
        <w:rPr>
          <w:highlight w:val="none"/>
        </w:rPr>
        <w:instrText xml:space="preserve"> HYPERLINK \l "_Toc26322" </w:instrText>
      </w:r>
      <w:r>
        <w:rPr>
          <w:highlight w:val="none"/>
        </w:rPr>
        <w:fldChar w:fldCharType="separate"/>
      </w:r>
      <w:r>
        <w:rPr>
          <w:rFonts w:hint="eastAsia" w:ascii="宋体" w:hAnsi="宋体" w:cs="宋体"/>
          <w:bCs/>
          <w:sz w:val="32"/>
          <w:szCs w:val="28"/>
          <w:highlight w:val="none"/>
        </w:rPr>
        <w:t xml:space="preserve">第五章 合同主要条款</w:t>
      </w:r>
      <w:r>
        <w:rPr>
          <w:sz w:val="32"/>
          <w:szCs w:val="28"/>
          <w:highlight w:val="none"/>
        </w:rPr>
        <w:tab/>
      </w:r>
      <w:r>
        <w:rPr>
          <w:sz w:val="32"/>
          <w:szCs w:val="28"/>
          <w:highlight w:val="none"/>
        </w:rPr>
        <w:fldChar w:fldCharType="begin"/>
      </w:r>
      <w:r>
        <w:rPr>
          <w:sz w:val="32"/>
          <w:szCs w:val="28"/>
          <w:highlight w:val="none"/>
        </w:rPr>
        <w:instrText xml:space="preserve"> PAGEREF _Toc26322 \h </w:instrText>
      </w:r>
      <w:r>
        <w:rPr>
          <w:sz w:val="32"/>
          <w:szCs w:val="28"/>
          <w:highlight w:val="none"/>
        </w:rPr>
        <w:fldChar w:fldCharType="separate"/>
      </w:r>
      <w:r>
        <w:rPr>
          <w:sz w:val="32"/>
          <w:szCs w:val="28"/>
          <w:highlight w:val="none"/>
        </w:rPr>
        <w:t xml:space="preserve">26</w:t>
      </w:r>
      <w:r>
        <w:rPr>
          <w:sz w:val="32"/>
          <w:szCs w:val="28"/>
          <w:highlight w:val="none"/>
        </w:rPr>
        <w:fldChar w:fldCharType="end"/>
      </w:r>
      <w:r>
        <w:rPr>
          <w:sz w:val="32"/>
          <w:szCs w:val="28"/>
          <w:highlight w:val="none"/>
        </w:rPr>
        <w:fldChar w:fldCharType="end"/>
      </w:r>
      <w:r/>
    </w:p>
    <w:p>
      <w:pPr>
        <w:pStyle w:val="1015"/>
        <w:tabs>
          <w:tab w:val="right" w:pos="9412" w:leader="dot"/>
        </w:tabs>
        <w:rPr>
          <w:sz w:val="32"/>
          <w:szCs w:val="28"/>
          <w:highlight w:val="none"/>
        </w:rPr>
      </w:pPr>
      <w:r>
        <w:rPr>
          <w:highlight w:val="none"/>
        </w:rPr>
        <w:fldChar w:fldCharType="begin"/>
      </w:r>
      <w:r>
        <w:rPr>
          <w:highlight w:val="none"/>
        </w:rPr>
        <w:instrText xml:space="preserve"> HYPERLINK \l "_Toc6367" </w:instrText>
      </w:r>
      <w:r>
        <w:rPr>
          <w:highlight w:val="none"/>
        </w:rPr>
        <w:fldChar w:fldCharType="separate"/>
      </w:r>
      <w:r>
        <w:rPr>
          <w:rFonts w:hint="eastAsia" w:ascii="宋体" w:hAnsi="宋体" w:cs="宋体"/>
          <w:sz w:val="32"/>
          <w:szCs w:val="28"/>
          <w:highlight w:val="none"/>
        </w:rPr>
        <w:t xml:space="preserve">第六章 附件</w:t>
      </w:r>
      <w:r>
        <w:rPr>
          <w:sz w:val="32"/>
          <w:szCs w:val="28"/>
          <w:highlight w:val="none"/>
        </w:rPr>
        <w:tab/>
      </w:r>
      <w:r>
        <w:rPr>
          <w:sz w:val="32"/>
          <w:szCs w:val="28"/>
          <w:highlight w:val="none"/>
        </w:rPr>
        <w:fldChar w:fldCharType="begin"/>
      </w:r>
      <w:r>
        <w:rPr>
          <w:sz w:val="32"/>
          <w:szCs w:val="28"/>
          <w:highlight w:val="none"/>
        </w:rPr>
        <w:instrText xml:space="preserve"> PAGEREF _Toc6367 \h </w:instrText>
      </w:r>
      <w:r>
        <w:rPr>
          <w:sz w:val="32"/>
          <w:szCs w:val="28"/>
          <w:highlight w:val="none"/>
        </w:rPr>
        <w:fldChar w:fldCharType="separate"/>
      </w:r>
      <w:r>
        <w:rPr>
          <w:sz w:val="32"/>
          <w:szCs w:val="28"/>
          <w:highlight w:val="none"/>
        </w:rPr>
        <w:t xml:space="preserve">34</w:t>
      </w:r>
      <w:r>
        <w:rPr>
          <w:sz w:val="32"/>
          <w:szCs w:val="28"/>
          <w:highlight w:val="none"/>
        </w:rPr>
        <w:fldChar w:fldCharType="end"/>
      </w:r>
      <w:r>
        <w:rPr>
          <w:sz w:val="32"/>
          <w:szCs w:val="28"/>
          <w:highlight w:val="none"/>
        </w:rPr>
        <w:fldChar w:fldCharType="end"/>
      </w:r>
      <w:r/>
    </w:p>
    <w:p>
      <w:pPr>
        <w:pStyle w:val="1041"/>
        <w:spacing w:line="480" w:lineRule="auto"/>
        <w:rPr>
          <w:rFonts w:hint="eastAsia" w:hAnsi="宋体" w:cs="宋体"/>
          <w:color w:val="000000" w:themeColor="text1"/>
          <w:sz w:val="48"/>
          <w:szCs w:val="48"/>
          <w:highlight w:val="none"/>
          <w14:textFill>
            <w14:solidFill>
              <w14:schemeClr w14:val="tx1"/>
            </w14:solidFill>
          </w14:textFill>
        </w:rPr>
      </w:pPr>
      <w:r>
        <w:rPr>
          <w:rFonts w:hint="eastAsia" w:hAnsi="宋体" w:cs="宋体"/>
          <w:bCs/>
          <w:color w:val="000000" w:themeColor="text1"/>
          <w:sz w:val="32"/>
          <w:szCs w:val="48"/>
          <w:highlight w:val="none"/>
          <w14:textFill>
            <w14:solidFill>
              <w14:schemeClr w14:val="tx1"/>
            </w14:solidFill>
          </w14:textFill>
        </w:rPr>
        <w:fldChar w:fldCharType="end"/>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left="899" w:right="-506" w:firstLine="2891"/>
        <w:spacing w:line="360" w:lineRule="auto"/>
        <w:rPr>
          <w:rFonts w:hint="eastAsia" w:ascii="宋体" w:hAnsi="宋体" w:cs="宋体"/>
          <w:b/>
          <w:color w:val="000000" w:themeColor="text1"/>
          <w:sz w:val="32"/>
          <w:szCs w:val="32"/>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680" w:right="1247" w:bottom="680" w:left="1247" w:header="851" w:footer="794" w:gutter="0"/>
          <w:pgNumType w:start="1"/>
          <w:cols w:num="1" w:sep="0" w:space="720" w:equalWidth="1"/>
          <w:docGrid w:linePitch="360"/>
        </w:sectPr>
      </w:pPr>
      <w:r>
        <w:rPr>
          <w:rFonts w:hint="eastAsia" w:ascii="宋体" w:hAnsi="宋体" w:cs="宋体"/>
          <w:b/>
          <w:color w:val="000000" w:themeColor="text1"/>
          <w:sz w:val="32"/>
          <w:szCs w:val="32"/>
          <w:highlight w:val="none"/>
          <w14:textFill>
            <w14:solidFill>
              <w14:schemeClr w14:val="tx1"/>
            </w14:solidFill>
          </w14:textFill>
        </w:rPr>
      </w:r>
      <w:r/>
    </w:p>
    <w:p>
      <w:pPr>
        <w:jc w:val="center"/>
        <w:rPr>
          <w:rFonts w:hint="eastAsia" w:ascii="宋体" w:hAnsi="宋体" w:cs="宋体"/>
          <w:color w:val="000000" w:themeColor="text1"/>
          <w:highlight w:val="none"/>
          <w14:textFill>
            <w14:solidFill>
              <w14:schemeClr w14:val="tx1"/>
            </w14:solidFill>
          </w14:textFill>
        </w:rPr>
      </w:pPr>
      <w:r/>
      <w:bookmarkStart w:id="1" w:name="_Toc15681"/>
      <w:r/>
      <w:bookmarkStart w:id="2" w:name="_Toc17003"/>
      <w:r/>
      <w:bookmarkStart w:id="3" w:name="_Toc12642"/>
      <w:r/>
      <w:bookmarkStart w:id="4" w:name="_Toc16121"/>
      <w:r>
        <w:rPr>
          <w:rFonts w:hint="eastAsia" w:ascii="宋体" w:hAnsi="宋体" w:cs="宋体"/>
          <w:b/>
          <w:color w:val="000000" w:themeColor="text1"/>
          <w:spacing w:val="20"/>
          <w:sz w:val="30"/>
          <w:highlight w:val="none"/>
          <w14:textFill>
            <w14:solidFill>
              <w14:schemeClr w14:val="tx1"/>
            </w14:solidFill>
          </w14:textFill>
        </w:rPr>
        <w:t xml:space="preserve">前 附 表</w:t>
      </w:r>
      <w:bookmarkEnd w:id="1"/>
      <w:r/>
      <w:bookmarkEnd w:id="2"/>
      <w:r/>
      <w:bookmarkEnd w:id="3"/>
      <w:r/>
      <w:bookmarkEnd w:id="4"/>
      <w:r/>
      <w:r/>
    </w:p>
    <w:tbl>
      <w:tblPr>
        <w:tblStyle w:val="996"/>
        <w:tblW w:w="4927" w:type="pct"/>
        <w:tblInd w:w="0" w:type="dxa"/>
        <w:tblLayout w:type="autofit"/>
        <w:tblCellMar>
          <w:left w:w="0" w:type="dxa"/>
          <w:top w:w="0" w:type="dxa"/>
          <w:right w:w="0" w:type="dxa"/>
          <w:bottom w:w="0" w:type="dxa"/>
        </w:tblCellMar>
        <w:tblLook w:val="04A0" w:firstRow="1" w:lastRow="0" w:firstColumn="1" w:lastColumn="0" w:noHBand="0" w:noVBand="1"/>
      </w:tblPr>
      <w:tblGrid>
        <w:gridCol w:w="829"/>
        <w:gridCol w:w="1958"/>
        <w:gridCol w:w="6923"/>
      </w:tblGrid>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               容</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JSZC-320507-SZHJ-C2026-0003</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太湖、望虞河沿线水利工程运行管理及防汛仓库日常管理</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tabs>
                <w:tab w:val="left" w:pos="252"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采购代理机构</w:t>
            </w:r>
            <w:r/>
          </w:p>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名称：江苏鸿渐投资咨询管理有限公司</w:t>
            </w:r>
            <w:r/>
          </w:p>
          <w:p>
            <w:pPr>
              <w:spacing w:line="3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地址：苏州市</w:t>
            </w:r>
            <w:r>
              <w:rPr>
                <w:rFonts w:hint="eastAsia" w:ascii="宋体" w:hAnsi="宋体" w:cs="宋体"/>
                <w:color w:val="000000" w:themeColor="text1"/>
                <w:szCs w:val="21"/>
                <w:highlight w:val="none"/>
                <w:lang w:val="en-US" w:eastAsia="zh-CN"/>
                <w14:textFill>
                  <w14:solidFill>
                    <w14:schemeClr w14:val="tx1"/>
                  </w14:solidFill>
                </w14:textFill>
              </w:rPr>
              <w:t xml:space="preserve">相城区</w:t>
            </w:r>
            <w:r>
              <w:rPr>
                <w:rFonts w:hint="eastAsia" w:ascii="宋体" w:hAnsi="宋体" w:cs="宋体"/>
                <w:color w:val="000000" w:themeColor="text1"/>
                <w:szCs w:val="21"/>
                <w:highlight w:val="none"/>
                <w:lang w:val="zh-CN"/>
                <w14:textFill>
                  <w14:solidFill>
                    <w14:schemeClr w14:val="tx1"/>
                  </w14:solidFill>
                </w14:textFill>
              </w:rPr>
              <w:t xml:space="preserve">相城大道666号中翔大厦25楼 </w:t>
            </w:r>
            <w:r/>
          </w:p>
          <w:p>
            <w:pPr>
              <w:spacing w:line="360" w:lineRule="exact"/>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葛思陇、魏瑜伽</w:t>
            </w:r>
            <w:r/>
          </w:p>
          <w:p>
            <w:pPr>
              <w:spacing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联系电话：0512-87770870</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苏州市相城区水务局</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lang w:eastAsia="zh-CN"/>
              </w:rPr>
              <w:t xml:space="preserve">相城区</w:t>
            </w:r>
            <w:r>
              <w:rPr>
                <w:rFonts w:hint="eastAsia" w:ascii="宋体" w:hAnsi="宋体" w:cs="宋体"/>
                <w:color w:val="auto"/>
                <w:szCs w:val="21"/>
                <w:highlight w:val="none"/>
                <w:lang w:val="en-US" w:eastAsia="zh-CN"/>
              </w:rPr>
              <w:t xml:space="preserve">元和街道古元路109</w:t>
            </w:r>
            <w:r>
              <w:rPr>
                <w:rFonts w:hint="eastAsia" w:ascii="宋体" w:hAnsi="宋体" w:cs="宋体"/>
                <w:color w:val="auto"/>
                <w:szCs w:val="21"/>
                <w:highlight w:val="none"/>
                <w:lang w:eastAsia="zh-CN"/>
              </w:rPr>
              <w:t xml:space="preserve">号</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刘磊</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lang w:val="en-US" w:eastAsia="zh-CN"/>
              </w:rPr>
              <w:t xml:space="preserve">0512-65751003</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lang w:val="zh-CN"/>
              </w:rPr>
            </w:pPr>
            <w:r>
              <w:rPr>
                <w:rFonts w:hint="eastAsia" w:ascii="宋体" w:hAnsi="宋体" w:cs="宋体"/>
                <w:szCs w:val="21"/>
                <w:highlight w:val="none"/>
                <w:lang w:val="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领取成交通知书时</w:t>
            </w:r>
            <w:r>
              <w:rPr>
                <w:rFonts w:hint="eastAsia" w:ascii="宋体" w:hAnsi="宋体" w:cs="宋体"/>
                <w:szCs w:val="21"/>
                <w:highlight w:val="none"/>
                <w:lang w:val="en-US" w:eastAsia="zh-CN"/>
              </w:rPr>
              <w:t xml:space="preserve">成交供应商</w:t>
            </w:r>
            <w:r>
              <w:rPr>
                <w:rFonts w:hint="eastAsia" w:ascii="宋体" w:hAnsi="宋体" w:cs="宋体"/>
                <w:szCs w:val="21"/>
                <w:highlight w:val="none"/>
              </w:rPr>
              <w:t xml:space="preserve">向招标代理机构一次性付清。本项目代理费金额</w:t>
            </w:r>
            <w:r>
              <w:rPr>
                <w:rFonts w:hint="eastAsia" w:ascii="宋体" w:hAnsi="宋体" w:cs="宋体"/>
                <w:szCs w:val="21"/>
                <w:highlight w:val="none"/>
              </w:rPr>
              <w:t xml:space="preserve">为</w:t>
            </w:r>
            <w:r>
              <w:rPr>
                <w:rFonts w:hint="eastAsia" w:ascii="宋体" w:hAnsi="宋体" w:cs="宋体"/>
                <w:szCs w:val="21"/>
                <w:highlight w:val="none"/>
                <w:lang w:val="en-US" w:eastAsia="zh-CN"/>
              </w:rPr>
              <w:t xml:space="preserve">18850</w:t>
            </w:r>
            <w:r>
              <w:rPr>
                <w:rFonts w:hint="eastAsia" w:ascii="宋体" w:hAnsi="宋体" w:cs="宋体"/>
                <w:szCs w:val="21"/>
                <w:highlight w:val="none"/>
              </w:rPr>
              <w:t xml:space="preserve">.00元，</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所投报价应当包含该项目代理服务费。</w:t>
            </w:r>
            <w:r>
              <w:rPr>
                <w:rFonts w:hint="eastAsia" w:ascii="宋体" w:hAnsi="宋体" w:cs="宋体"/>
                <w:szCs w:val="21"/>
                <w:highlight w:val="none"/>
                <w:lang w:val="en-US" w:eastAsia="zh-CN"/>
              </w:rPr>
              <w:t xml:space="preserve">成交</w:t>
            </w:r>
            <w:r>
              <w:rPr>
                <w:rFonts w:hint="eastAsia" w:ascii="宋体" w:hAnsi="宋体" w:cs="宋体"/>
                <w:szCs w:val="21"/>
                <w:highlight w:val="none"/>
              </w:rPr>
              <w:t xml:space="preserve">服务费的收取按差额定</w:t>
            </w:r>
            <w:r>
              <w:rPr>
                <w:rFonts w:hint="eastAsia" w:ascii="宋体" w:hAnsi="宋体" w:cs="宋体"/>
                <w:szCs w:val="21"/>
                <w:highlight w:val="none"/>
              </w:rPr>
              <w:t xml:space="preserve">率累进法计算。 </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收费标准：预算金额100万以下费率为预算金额的1.5%；</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预算金额100－500万费率为预算金额的1.1%。</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交纳账户名：江苏鸿渐投资咨询管理有限公司</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开户银行：苏州银行扬东支行</w:t>
            </w:r>
            <w:r/>
          </w:p>
          <w:p>
            <w:pPr>
              <w:ind w:right="360"/>
              <w:spacing w:line="360" w:lineRule="auto"/>
              <w:rPr>
                <w:rFonts w:hint="eastAsia" w:ascii="宋体" w:hAnsi="宋体" w:cs="宋体"/>
                <w:szCs w:val="21"/>
                <w:highlight w:val="none"/>
                <w:lang w:val="zh-CN"/>
              </w:rPr>
            </w:pPr>
            <w:r>
              <w:rPr>
                <w:rFonts w:hint="eastAsia" w:ascii="宋体" w:hAnsi="宋体" w:cs="宋体"/>
                <w:color w:val="auto"/>
                <w:sz w:val="21"/>
                <w:szCs w:val="21"/>
                <w:highlight w:val="none"/>
              </w:rPr>
              <w:t xml:space="preserve">账   号：7066100141120102000580</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详见采购文件第二章</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本项目不收取磋商保证金，</w:t>
            </w:r>
            <w:r>
              <w:rPr>
                <w:rFonts w:hint="eastAsia" w:ascii="宋体" w:hAnsi="宋体" w:cs="宋体"/>
                <w:szCs w:val="21"/>
                <w:highlight w:val="none"/>
              </w:rPr>
              <w:t xml:space="preserve">投标（响应）人应在投标（响应）文件中提交《投标（响应）保证承诺书》，否则为无效投标。</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响应文件提交截止之日起六十天（日历日）</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响应文件网上</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Theme="minorEastAsia" w:hAnsiTheme="minorEastAsia" w:eastAsiaTheme="minorEastAsia" w:cstheme="minorEastAsia"/>
                <w:i w:val="0"/>
                <w:iCs w:val="0"/>
                <w:caps w:val="0"/>
                <w:spacing w:val="0"/>
                <w:sz w:val="21"/>
                <w:szCs w:val="21"/>
                <w:highlight w:val="none"/>
                <w:shd w:val="clear" w:color="auto" w:fill="ffffff"/>
              </w:rPr>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2026-05-13</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 </w:t>
            </w:r>
            <w:r>
              <w:rPr>
                <w:rFonts w:hint="eastAsia" w:ascii="宋体" w:hAnsi="宋体" w:cs="宋体"/>
                <w:szCs w:val="21"/>
                <w:highlight w:val="none"/>
              </w:rPr>
              <w:t xml:space="preserve">（北京时间）</w:t>
            </w:r>
            <w:r/>
          </w:p>
          <w:p>
            <w:pPr>
              <w:jc w:val="left"/>
              <w:spacing w:line="312" w:lineRule="auto"/>
              <w:rPr>
                <w:rFonts w:hint="eastAsia" w:ascii="宋体" w:hAnsi="宋体" w:cs="宋体"/>
                <w:szCs w:val="21"/>
                <w:highlight w:val="none"/>
              </w:rPr>
            </w:pPr>
            <w:r>
              <w:rPr>
                <w:rFonts w:hint="eastAsia" w:ascii="宋体" w:hAnsi="宋体" w:cs="宋体"/>
                <w:b/>
                <w:bCs/>
                <w:szCs w:val="21"/>
                <w:highlight w:val="none"/>
              </w:rPr>
              <w:t xml:space="preserve">响应文件必须在截止时间前完成提交（上传），逾期提交（上传）的响应文件恕不接受。</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开启时间</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Theme="minorEastAsia" w:hAnsiTheme="minorEastAsia" w:eastAsiaTheme="minorEastAsia" w:cstheme="minorEastAsia"/>
                <w:i w:val="0"/>
                <w:iCs w:val="0"/>
                <w:caps w:val="0"/>
                <w:spacing w:val="0"/>
                <w:sz w:val="21"/>
                <w:szCs w:val="21"/>
                <w:highlight w:val="none"/>
                <w:shd w:val="clear" w:color="auto" w:fill="ffffff"/>
              </w:rPr>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2026-05-13</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 </w:t>
            </w:r>
            <w:r>
              <w:rPr>
                <w:rFonts w:hint="eastAsia" w:ascii="宋体" w:hAnsi="宋体" w:cs="宋体"/>
                <w:szCs w:val="21"/>
                <w:highlight w:val="none"/>
              </w:rPr>
              <w:t xml:space="preserve">（北京时间）</w:t>
            </w:r>
            <w:r/>
          </w:p>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Cs w:val="21"/>
                <w:highlight w:val="none"/>
              </w:rPr>
              <w:t xml:space="preserve">http://jszfcg.jsczt.cn/</w:t>
            </w:r>
            <w:r>
              <w:rPr>
                <w:rFonts w:hint="eastAsia" w:ascii="宋体" w:hAnsi="宋体" w:cs="宋体"/>
                <w:szCs w:val="21"/>
                <w:highlight w:val="none"/>
              </w:rPr>
              <w:fldChar w:fldCharType="end"/>
            </w:r>
            <w:r>
              <w:rPr>
                <w:rFonts w:hint="eastAsia" w:ascii="宋体" w:hAnsi="宋体" w:cs="宋体"/>
                <w:szCs w:val="21"/>
                <w:highlight w:val="none"/>
              </w:rPr>
              <w:t xml:space="preserve">）</w:t>
            </w:r>
            <w:r/>
          </w:p>
          <w:p>
            <w:pPr>
              <w:jc w:val="left"/>
              <w:spacing w:line="312" w:lineRule="auto"/>
              <w:rPr>
                <w:rFonts w:hint="eastAsia" w:ascii="宋体" w:hAnsi="宋体" w:cs="宋体"/>
                <w:szCs w:val="21"/>
                <w:highlight w:val="none"/>
              </w:rPr>
            </w:pPr>
            <w:r>
              <w:rPr>
                <w:rFonts w:hint="eastAsia" w:ascii="宋体" w:hAnsi="宋体" w:cs="宋体"/>
                <w:b/>
                <w:bCs/>
                <w:szCs w:val="21"/>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评审时间</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Theme="minorEastAsia" w:hAnsiTheme="minorEastAsia" w:eastAsiaTheme="minorEastAsia" w:cstheme="minorEastAsia"/>
                <w:i w:val="0"/>
                <w:iCs w:val="0"/>
                <w:caps w:val="0"/>
                <w:spacing w:val="0"/>
                <w:sz w:val="21"/>
                <w:szCs w:val="21"/>
                <w:highlight w:val="none"/>
                <w:shd w:val="clear" w:color="auto" w:fill="ffffff"/>
              </w:rPr>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2026-05-13</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 13:30 </w:t>
            </w:r>
            <w:r>
              <w:rPr>
                <w:rFonts w:hint="eastAsia" w:ascii="宋体" w:hAnsi="宋体" w:cs="宋体"/>
                <w:szCs w:val="21"/>
                <w:highlight w:val="none"/>
              </w:rPr>
              <w:t xml:space="preserve">（北京时间）</w:t>
            </w:r>
            <w:r/>
          </w:p>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Cs w:val="21"/>
                <w:highlight w:val="none"/>
              </w:rPr>
              <w:t xml:space="preserve">http://jszfcg.jsczt.cn/</w:t>
            </w:r>
            <w:r>
              <w:rPr>
                <w:rFonts w:hint="eastAsia" w:ascii="宋体" w:hAnsi="宋体" w:cs="宋体"/>
                <w:szCs w:val="21"/>
                <w:highlight w:val="none"/>
              </w:rPr>
              <w:fldChar w:fldCharType="end"/>
            </w:r>
            <w:r>
              <w:rPr>
                <w:rFonts w:hint="eastAsia" w:ascii="宋体" w:hAnsi="宋体" w:cs="宋体"/>
                <w:szCs w:val="21"/>
                <w:highlight w:val="none"/>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磋商响应</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人民币</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无</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pStyle w:val="1039"/>
              <w:ind w:firstLine="0"/>
              <w:spacing w:line="440" w:lineRule="exact"/>
              <w:rPr>
                <w:rFonts w:hint="eastAsia" w:ascii="宋体" w:hAnsi="宋体" w:cs="宋体"/>
                <w:szCs w:val="21"/>
                <w:highlight w:val="none"/>
              </w:rPr>
            </w:pPr>
            <w:r>
              <w:rPr>
                <w:rFonts w:hint="eastAsia" w:ascii="宋体" w:hAnsi="宋体" w:cs="宋体"/>
                <w:szCs w:val="21"/>
                <w:highlight w:val="none"/>
              </w:rPr>
              <w:t xml:space="preserve">确定出成交单位后，采购代理机构在法定时间内向成交单位发出成交通知书。成交通知书将成为合同的组成部分。</w:t>
            </w:r>
            <w:r/>
          </w:p>
          <w:p>
            <w:pPr>
              <w:pStyle w:val="1039"/>
              <w:ind w:firstLine="0"/>
              <w:spacing w:line="312" w:lineRule="auto"/>
              <w:rPr>
                <w:rFonts w:hint="eastAsia" w:ascii="宋体" w:hAnsi="宋体" w:cs="宋体"/>
                <w:szCs w:val="21"/>
                <w:highlight w:val="none"/>
              </w:rPr>
            </w:pPr>
            <w:r>
              <w:rPr>
                <w:rFonts w:hint="eastAsia" w:ascii="宋体" w:hAnsi="宋体" w:cs="宋体"/>
                <w:szCs w:val="21"/>
                <w:highlight w:val="none"/>
              </w:rPr>
              <w:t xml:space="preserve">请成交单位在成交结果公告届满之日起30日内,使用CA证书登录“苏采云”系统及时下载成交通知书。</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导致废标</w:t>
            </w:r>
            <w:r/>
          </w:p>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出现下列情形之一的，为废标：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（一）符合专业条件的</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或者对采购文件作实质响应的</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不足三家的；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（二）出现影响采购公正的违法、违规行为的；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（三）</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的报价均超过了采购预算，采购人不能支付的；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（四）因重大变故，采购任务取消的。</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投标无效因素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（一）有下列情形之一的，视为</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串通投标，其</w:t>
            </w:r>
            <w:r>
              <w:rPr>
                <w:rFonts w:hint="eastAsia" w:ascii="宋体" w:hAnsi="宋体" w:cs="宋体"/>
                <w:szCs w:val="21"/>
                <w:highlight w:val="none"/>
              </w:rPr>
              <w:t xml:space="preserve">响应</w:t>
            </w:r>
            <w:r>
              <w:rPr>
                <w:rFonts w:hint="eastAsia" w:ascii="宋体" w:hAnsi="宋体" w:cs="宋体"/>
                <w:szCs w:val="21"/>
                <w:highlight w:val="none"/>
                <w:lang w:val="zh-CN"/>
              </w:rPr>
              <w:t xml:space="preserve">无效：</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的响应文件由同一单位或者个人编制；</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委托同一单位或者个人办理磋商事宜；</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的响应文件载明的项目管理成员或者联系人员为同一人；</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的响应文件异常一致或者报价呈规律性差异；</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存在下列情况之一的，</w:t>
            </w:r>
            <w:r>
              <w:rPr>
                <w:rFonts w:hint="eastAsia" w:ascii="宋体" w:hAnsi="宋体" w:cs="宋体"/>
                <w:szCs w:val="21"/>
                <w:highlight w:val="none"/>
              </w:rPr>
              <w:t xml:space="preserve">响应</w:t>
            </w:r>
            <w:r>
              <w:rPr>
                <w:rFonts w:hint="eastAsia" w:ascii="宋体" w:hAnsi="宋体" w:cs="宋体"/>
                <w:szCs w:val="21"/>
                <w:highlight w:val="none"/>
                <w:lang w:val="zh-CN"/>
              </w:rPr>
              <w:t xml:space="preserve">无效:</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1</w:t>
            </w:r>
            <w:r>
              <w:rPr>
                <w:rFonts w:hint="eastAsia" w:ascii="宋体" w:hAnsi="宋体" w:cs="宋体"/>
                <w:szCs w:val="21"/>
                <w:highlight w:val="none"/>
              </w:rPr>
              <w:t xml:space="preserve">.</w:t>
            </w:r>
            <w:r>
              <w:rPr>
                <w:rFonts w:hint="eastAsia" w:ascii="宋体" w:hAnsi="宋体" w:cs="宋体"/>
                <w:szCs w:val="21"/>
                <w:highlight w:val="none"/>
                <w:lang w:val="zh-CN"/>
              </w:rPr>
              <w:t xml:space="preserve">未按照采购文件的规定提交投标（响应）保证承诺书的；</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2</w:t>
            </w:r>
            <w:r>
              <w:rPr>
                <w:rFonts w:hint="eastAsia" w:ascii="宋体" w:hAnsi="宋体" w:cs="宋体"/>
                <w:szCs w:val="21"/>
                <w:highlight w:val="none"/>
              </w:rPr>
              <w:t xml:space="preserve">.</w:t>
            </w:r>
            <w:r>
              <w:rPr>
                <w:rFonts w:hint="eastAsia" w:ascii="宋体" w:hAnsi="宋体" w:cs="宋体"/>
                <w:szCs w:val="21"/>
                <w:highlight w:val="none"/>
                <w:lang w:val="zh-CN"/>
              </w:rPr>
              <w:t xml:space="preserve">未按照采购文件规定要求签署、盖章；</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3</w:t>
            </w:r>
            <w:r>
              <w:rPr>
                <w:rFonts w:hint="eastAsia" w:ascii="宋体" w:hAnsi="宋体" w:cs="宋体"/>
                <w:szCs w:val="21"/>
                <w:highlight w:val="none"/>
              </w:rPr>
              <w:t xml:space="preserve">.</w:t>
            </w:r>
            <w:r>
              <w:rPr>
                <w:rFonts w:hint="eastAsia" w:ascii="宋体" w:hAnsi="宋体" w:cs="宋体"/>
                <w:szCs w:val="21"/>
                <w:highlight w:val="none"/>
                <w:lang w:val="zh-CN"/>
              </w:rPr>
              <w:t xml:space="preserve">不具备采购文件中规定资格要求；</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4</w:t>
            </w:r>
            <w:r>
              <w:rPr>
                <w:rFonts w:hint="eastAsia" w:ascii="宋体" w:hAnsi="宋体" w:cs="宋体"/>
                <w:szCs w:val="21"/>
                <w:highlight w:val="none"/>
              </w:rPr>
              <w:t xml:space="preserve">.</w:t>
            </w:r>
            <w:r>
              <w:rPr>
                <w:rFonts w:hint="eastAsia" w:ascii="宋体" w:hAnsi="宋体" w:cs="宋体"/>
                <w:szCs w:val="21"/>
                <w:highlight w:val="none"/>
                <w:lang w:val="zh-CN"/>
              </w:rPr>
              <w:t xml:space="preserve">响应文件含有采购人不能接受的附加条件的；</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w:t>
            </w:r>
            <w:r>
              <w:rPr>
                <w:rFonts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ascii="宋体" w:hAnsi="宋体" w:cs="宋体"/>
                <w:szCs w:val="21"/>
                <w:highlight w:val="none"/>
                <w:lang w:val="zh-CN"/>
              </w:rPr>
              <w:t xml:space="preserve">的电子</w:t>
            </w:r>
            <w:r>
              <w:rPr>
                <w:rFonts w:hint="eastAsia" w:ascii="宋体" w:hAnsi="宋体" w:cs="宋体"/>
                <w:szCs w:val="21"/>
                <w:highlight w:val="none"/>
              </w:rPr>
              <w:t xml:space="preserve">响应</w:t>
            </w:r>
            <w:r>
              <w:rPr>
                <w:rFonts w:ascii="宋体" w:hAnsi="宋体" w:cs="宋体"/>
                <w:szCs w:val="21"/>
                <w:highlight w:val="none"/>
                <w:lang w:val="zh-CN"/>
              </w:rPr>
              <w:t xml:space="preserve">文件制作机器码一致</w:t>
            </w:r>
            <w:r>
              <w:rPr>
                <w:rFonts w:hint="eastAsia" w:ascii="宋体" w:hAnsi="宋体" w:cs="宋体"/>
                <w:szCs w:val="21"/>
                <w:highlight w:val="none"/>
                <w:lang w:val="zh-CN"/>
              </w:rPr>
              <w:t xml:space="preserve">；</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w:t>
            </w:r>
            <w:r>
              <w:rPr>
                <w:rFonts w:hint="eastAsia" w:ascii="宋体" w:hAnsi="宋体" w:cs="宋体"/>
                <w:szCs w:val="21"/>
                <w:highlight w:val="none"/>
                <w:lang w:val="zh-CN"/>
              </w:rPr>
              <w:t xml:space="preserve">法律、法规和采购文件规定的其他无效情形。</w:t>
            </w:r>
            <w:r/>
          </w:p>
        </w:tc>
      </w:tr>
    </w:tbl>
    <w:p>
      <w:pPr>
        <w:rPr>
          <w:rFonts w:hint="eastAsia" w:ascii="宋体" w:hAnsi="宋体" w:cs="宋体"/>
          <w:color w:val="000000" w:themeColor="text1"/>
          <w:highlight w:val="none"/>
          <w14:textFill>
            <w14:solidFill>
              <w14:schemeClr w14:val="tx1"/>
            </w14:solidFill>
          </w14:textFill>
        </w:rPr>
      </w:pPr>
      <w:r/>
      <w:bookmarkStart w:id="5" w:name="_Toc16848"/>
      <w:r>
        <w:rPr>
          <w:rFonts w:hint="eastAsia" w:ascii="宋体" w:hAnsi="宋体" w:cs="宋体"/>
          <w:color w:val="000000" w:themeColor="text1"/>
          <w:highlight w:val="none"/>
          <w14:textFill>
            <w14:solidFill>
              <w14:schemeClr w14:val="tx1"/>
            </w14:solidFill>
          </w14:textFill>
        </w:rPr>
        <w:br w:type="page" w:clear="all"/>
      </w:r>
      <w:r/>
    </w:p>
    <w:p>
      <w:pPr>
        <w:pStyle w:val="986"/>
        <w:jc w:val="center"/>
        <w:spacing w:line="416" w:lineRule="auto"/>
        <w:rPr>
          <w:rFonts w:hint="eastAsia" w:ascii="宋体" w:hAnsi="宋体" w:cs="宋体"/>
          <w:color w:val="000000" w:themeColor="text1"/>
          <w:highlight w:val="none"/>
          <w14:textFill>
            <w14:solidFill>
              <w14:schemeClr w14:val="tx1"/>
            </w14:solidFill>
          </w14:textFill>
        </w:rPr>
      </w:pPr>
      <w:r/>
      <w:bookmarkStart w:id="36" w:name="_GoBack"/>
      <w:r/>
      <w:bookmarkEnd w:id="36"/>
      <w:r>
        <w:rPr>
          <w:rFonts w:hint="eastAsia" w:ascii="宋体" w:hAnsi="宋体" w:cs="宋体"/>
          <w:color w:val="000000" w:themeColor="text1"/>
          <w:highlight w:val="none"/>
          <w14:textFill>
            <w14:solidFill>
              <w14:schemeClr w14:val="tx1"/>
            </w14:solidFill>
          </w14:textFill>
        </w:rPr>
        <w:t xml:space="preserve">第一章 磋商邀请函</w:t>
      </w:r>
      <w:bookmarkEnd w:id="5"/>
      <w:r/>
      <w:r/>
    </w:p>
    <w:tbl>
      <w:tblPr>
        <w:tblStyle w:val="99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668"/>
      </w:tblGrid>
      <w:tr>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1018"/>
              <w:jc w:val="both"/>
              <w:keepLines w:val="0"/>
              <w:keepNext w:val="0"/>
              <w:pageBreakBefore w:val="0"/>
              <w:spacing w:before="0" w:beforeAutospacing="0" w:afterAutospacing="0" w:line="360" w:lineRule="auto"/>
              <w:widowControl/>
              <w:rPr>
                <w:rFonts w:hint="eastAsia" w:ascii="宋体" w:hAnsi="宋体" w:eastAsia="宋体" w:cs="宋体"/>
                <w:sz w:val="21"/>
                <w:szCs w:val="21"/>
                <w:highlight w:val="none"/>
              </w:rPr>
              <w:pBdr>
                <w:left w:val="none" w:color="auto" w:sz="0" w:space="0"/>
              </w:pBdr>
              <w:outlineLvl w:val="9"/>
              <w:suppressLineNumbers w:val="0"/>
            </w:pPr>
            <w:r/>
            <w:bookmarkStart w:id="6" w:name="_Toc20823274"/>
            <w:r/>
            <w:bookmarkStart w:id="7" w:name="_Toc403987204"/>
            <w:r/>
            <w:bookmarkStart w:id="8" w:name="_Toc16938518"/>
            <w:r/>
            <w:bookmarkStart w:id="9" w:name="_Toc120614213"/>
            <w:r/>
            <w:bookmarkStart w:id="10" w:name="_Toc513029202"/>
            <w:r>
              <w:rPr>
                <w:rFonts w:hint="eastAsia" w:ascii="宋体" w:hAnsi="宋体" w:eastAsia="宋体" w:cs="宋体"/>
                <w:sz w:val="21"/>
                <w:szCs w:val="21"/>
                <w:highlight w:val="none"/>
              </w:rPr>
              <w:t xml:space="preserve">项目概况</w:t>
            </w:r>
            <w:r/>
          </w:p>
          <w:p>
            <w:pPr>
              <w:pStyle w:val="1018"/>
              <w:jc w:val="both"/>
              <w:keepLines w:val="0"/>
              <w:keepNext w:val="0"/>
              <w:pageBreakBefore w:val="0"/>
              <w:spacing w:before="0" w:beforeAutospacing="0" w:afterAutospacing="0" w:line="360" w:lineRule="auto"/>
              <w:widowControl/>
              <w:rPr>
                <w:rFonts w:hint="eastAsia" w:ascii="宋体" w:hAnsi="宋体" w:eastAsia="宋体" w:cs="宋体"/>
                <w:sz w:val="21"/>
                <w:szCs w:val="21"/>
                <w:highlight w:val="none"/>
              </w:rPr>
              <w:pBdr>
                <w:left w:val="none" w:color="auto" w:sz="0" w:space="0"/>
              </w:pBdr>
              <w:outlineLvl w:val="9"/>
              <w:suppressLineNumbers w:val="0"/>
            </w:pPr>
            <w:r>
              <w:rPr>
                <w:rFonts w:hint="eastAsia" w:ascii="宋体" w:hAnsi="宋体" w:eastAsia="宋体" w:cs="宋体"/>
                <w:sz w:val="21"/>
                <w:szCs w:val="21"/>
                <w:highlight w:val="none"/>
              </w:rPr>
              <w:t xml:space="preserve">太湖、望虞河沿线水利工程运行管理及防汛仓库日常管理 JSZC-320507-SZHJ-C2026-0003 采购项目的潜在供应商应在“苏采云”系统 获取采购文件，</w:t>
            </w:r>
            <w:r>
              <w:rPr>
                <w:rFonts w:hint="eastAsia" w:ascii="宋体" w:hAnsi="宋体" w:eastAsia="宋体" w:cs="宋体"/>
                <w:sz w:val="21"/>
                <w:szCs w:val="21"/>
                <w:highlight w:val="none"/>
              </w:rPr>
              <w:t xml:space="preserve">并于2026-05-13 13:30 （北京时间）</w:t>
            </w:r>
            <w:r>
              <w:rPr>
                <w:rFonts w:hint="eastAsia" w:ascii="宋体" w:hAnsi="宋体" w:eastAsia="宋体" w:cs="宋体"/>
                <w:sz w:val="21"/>
                <w:szCs w:val="21"/>
                <w:highlight w:val="none"/>
              </w:rPr>
              <w:t xml:space="preserve">前提交响应文件。</w:t>
            </w:r>
            <w:r/>
          </w:p>
        </w:tc>
      </w:tr>
    </w:tbl>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一、项目基本情况</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项目编号：JSZC-320507-SZHJ-C2026-0003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项目名称：太湖、望虞河沿线水利工程运行管理及防汛仓库日常管理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采购方式：竞争性磋商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预算金额：135.000000万元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最高限价（如有）：135.000000万元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采购需求：</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对黄花泾船闸，琳圩河、岸石河、旺家角泵闸及太湖、望虞河沿线相城区水利工程管理中心所属的水利工程进行日常运行管理和日常设备保养，并做好设施设备维护、堤防及防汛道路保洁工作；做好黄花泾节水教育基地和区级防汛物资仓库的日常管理；根据上级调度指令对水利工程进行统一调度等。具体详见采购文件。</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合同履行期限：自签订合同之日起1年内。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本项目（是/否）接受联合体：否 </w:t>
      </w:r>
      <w:r/>
    </w:p>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二、申请人的资格要求：</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（一）满足《中华人民共和国政府采购法》第二十二条规定：</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1.具有独立承担民事责任的能力证明；</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2.具有良好的商业信誉和健全的财务会计制度；</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3.具有履行合同所必需的设备和专业技术能力；</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4.有依法缴纳税收和社会保障资金的良好记录</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5.参加政府采购活动前3年内</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在经营活动中没有重大违法记录；</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6.法律、行政法规规定的其他条件。</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（二）落实政府采购政策需满足的资格要求：</w:t>
      </w:r>
      <w:r/>
    </w:p>
    <w:p>
      <w:pPr>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（三）本项目的特定资格要求：</w:t>
      </w:r>
      <w:r/>
    </w:p>
    <w:p>
      <w:pPr>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1.未被“信用中国”网站（www.creditchina.gov.cn）列入失信被执行人、重大税收违法案件当事人名单、政府采购严重失信行为记录名单。</w:t>
      </w:r>
      <w:r/>
    </w:p>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三、获取采购文件</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时间：自磋商文件公告发布之日起5个工作日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地点：“苏采云”系统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方式：自行下载 </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售价：0.00元 </w:t>
      </w:r>
      <w:r/>
    </w:p>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四、响应文件提交</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截止时间：2026-05-13</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 </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13:30 （北京时间）</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地点：“苏采云”系统 </w:t>
      </w:r>
      <w:r/>
    </w:p>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五、开启</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时间：2026-05-13</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 </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13:30 （北京时间）</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地点：苏州市市辖区政府采购不见面虚拟开标室 </w:t>
      </w:r>
      <w:r/>
    </w:p>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六、公告期限</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自本公告发布之日起3个工作日。</w:t>
      </w:r>
      <w:r/>
    </w:p>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七、其他补充事宜</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1.政府采购监督管理部门监督电话：0512-67591005、0512-67591006。</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2.本次采购的有关信息将在中国政府采购网、江苏政府采购网、苏州市政府采购网上发布，敬请留意。</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3.采购文件的获取方式：</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（1）CA证书办理</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（2）参与采购活动</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（3）电子投标准备</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在系统操作过程中如有疑问，请按以下方式联系：</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注册咨询：13914088964；</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CA技术咨询电话：400-608-6099；</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签章使用问题：025-83633811、025-83633812、15380932027、15371015030；</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系统使用指导与咨询：联系电话：13914088964；智能客服：登录苏采云系统后，联系系统右下方智能客服图标进行咨询。本项目获取采购文件截止日期之后仍可以下载采购文件，但截止日期之后下载的采购文件，视为非有效方式且不作为供应商权益受到损害的证明材料和依据。</w:t>
      </w:r>
      <w:r/>
    </w:p>
    <w:p>
      <w:pPr>
        <w:pStyle w:val="1018"/>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4.根据苏州市财政局《关于深入开展苏州市政府采购合同信用融资业务的通知》相关要求，本项目支持政府采购合同信用融资。</w:t>
      </w:r>
      <w:r/>
    </w:p>
    <w:p>
      <w:pPr>
        <w:pStyle w:val="987"/>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1031"/>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八、凡对本次采购提出询问，请按以下方式联系。</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1.采购人信息</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单位名称：苏州市相城区水务局</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单位地址：相城区元和街道古元路109号</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联系人：刘磊</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联系电话：0512-65751003</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2.采购代理机构信息（如有）</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单位名称：江苏鸿渐投资咨询管理有限公司</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单位地址：苏州市相城区中翔大厦25楼</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联系人：葛思陇、魏瑜伽</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联系电话：0512-87770870</w:t>
      </w:r>
      <w:r/>
    </w:p>
    <w:p>
      <w:pPr>
        <w:pStyle w:val="1018"/>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3.项目联系方式</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项目联系人：葛思陇、魏瑜伽</w:t>
      </w:r>
      <w:r/>
    </w:p>
    <w:p>
      <w:pPr>
        <w:pStyle w:val="1018"/>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电话：0512-87770870</w:t>
      </w:r>
      <w:r/>
    </w:p>
    <w:p>
      <w:pPr>
        <w:pStyle w:val="1018"/>
        <w:jc w:val="both"/>
        <w:keepLines w:val="0"/>
        <w:keepNext w:val="0"/>
        <w:pageBreakBefore w:val="0"/>
        <w:spacing w:before="0" w:beforeAutospacing="0" w:afterAutospacing="0" w:line="360" w:lineRule="auto"/>
        <w:widowControl/>
        <w:rPr>
          <w:rFonts w:hint="eastAsia" w:ascii="宋体" w:hAnsi="宋体" w:eastAsia="宋体" w:cs="宋体"/>
          <w:i w:val="0"/>
          <w:iCs w:val="0"/>
          <w:caps w:val="0"/>
          <w:spacing w:val="0"/>
          <w:sz w:val="21"/>
          <w:szCs w:val="21"/>
          <w:highlight w:val="none"/>
          <w:shd w:val="clear" w:color="auto" w:fill="ffffff"/>
          <w:lang w:val="zh-CN"/>
        </w:rPr>
        <w:outlineLvl w:val="9"/>
        <w:suppressLineNumbers w:val="0"/>
      </w:pPr>
      <w:r>
        <w:rPr>
          <w:rFonts w:hint="eastAsia" w:ascii="宋体" w:hAnsi="宋体" w:eastAsia="宋体" w:cs="宋体"/>
          <w:i w:val="0"/>
          <w:iCs w:val="0"/>
          <w:caps w:val="0"/>
          <w:spacing w:val="0"/>
          <w:sz w:val="21"/>
          <w:szCs w:val="21"/>
          <w:highlight w:val="none"/>
          <w:shd w:val="clear" w:color="auto" w:fill="ffffff"/>
          <w:lang w:val="zh-CN"/>
        </w:rPr>
      </w:r>
      <w:bookmarkEnd w:id="6"/>
      <w:r/>
      <w:bookmarkEnd w:id="7"/>
      <w:r/>
      <w:bookmarkEnd w:id="8"/>
      <w:r/>
      <w:bookmarkEnd w:id="9"/>
      <w:r/>
      <w:bookmarkEnd w:id="10"/>
      <w:r/>
      <w:r/>
    </w:p>
    <w:p>
      <w:pPr>
        <w:pStyle w:val="1018"/>
        <w:jc w:val="both"/>
        <w:keepLines w:val="0"/>
        <w:keepNext w:val="0"/>
        <w:pageBreakBefore w:val="0"/>
        <w:spacing w:before="0" w:beforeAutospacing="0" w:afterAutospacing="0" w:line="240" w:lineRule="auto"/>
        <w:widowControl/>
        <w:rPr>
          <w:rFonts w:hint="eastAsia" w:ascii="宋体" w:hAnsi="宋体" w:eastAsia="宋体" w:cs="宋体"/>
          <w:i w:val="0"/>
          <w:iCs w:val="0"/>
          <w:caps w:val="0"/>
          <w:spacing w:val="0"/>
          <w:sz w:val="21"/>
          <w:szCs w:val="21"/>
          <w:highlight w:val="none"/>
          <w:shd w:val="clear" w:color="auto" w:fill="ffffff"/>
        </w:rPr>
        <w:sectPr>
          <w:headerReference w:type="default" r:id="rId10"/>
          <w:footerReference w:type="default" r:id="rId13"/>
          <w:footnotePr/>
          <w:endnotePr/>
          <w:type w:val="nextPage"/>
          <w:pgSz w:w="11906" w:h="16838" w:orient="portrait"/>
          <w:pgMar w:top="1134" w:right="1134" w:bottom="1134" w:left="1134" w:header="454" w:footer="794" w:gutter="0"/>
          <w:cols w:num="1" w:sep="0" w:space="720" w:equalWidth="1"/>
          <w:docGrid w:linePitch="360"/>
        </w:sectPr>
        <w:outlineLvl w:val="9"/>
        <w:suppressLineNumbers w:val="0"/>
      </w:pPr>
      <w:r/>
      <w:bookmarkStart w:id="11" w:name="_Toc73000674"/>
      <w:r/>
      <w:bookmarkStart w:id="12" w:name="_Toc68611035"/>
      <w:r/>
      <w:bookmarkStart w:id="13" w:name="_Toc11400"/>
      <w:r/>
      <w:bookmarkEnd w:id="11"/>
      <w:r/>
      <w:bookmarkEnd w:id="12"/>
      <w:r/>
      <w:bookmarkEnd w:id="13"/>
      <w:r/>
      <w:r/>
    </w:p>
    <w:p>
      <w:pPr>
        <w:pStyle w:val="986"/>
        <w:jc w:val="center"/>
        <w:spacing w:line="416" w:lineRule="auto"/>
        <w:rPr>
          <w:rFonts w:hint="eastAsia" w:ascii="宋体" w:hAnsi="宋体" w:cs="宋体"/>
          <w:color w:val="000000" w:themeColor="text1"/>
          <w:highlight w:val="none"/>
          <w14:textFill>
            <w14:solidFill>
              <w14:schemeClr w14:val="tx1"/>
            </w14:solidFill>
          </w14:textFill>
        </w:rPr>
      </w:pPr>
      <w:r/>
      <w:bookmarkStart w:id="14" w:name="_Toc9380"/>
      <w:r>
        <w:rPr>
          <w:rFonts w:hint="eastAsia" w:ascii="宋体" w:hAnsi="宋体" w:cs="宋体"/>
          <w:color w:val="000000" w:themeColor="text1"/>
          <w:highlight w:val="none"/>
          <w14:textFill>
            <w14:solidFill>
              <w14:schemeClr w14:val="tx1"/>
            </w14:solidFill>
          </w14:textFill>
        </w:rPr>
        <w:t xml:space="preserve">第二章 磋商须知</w:t>
      </w:r>
      <w:bookmarkEnd w:id="14"/>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一、响应文件的组成及要求</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封面</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开标一览表（具体按照“苏采云”系统填报）</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3.响应报价明细表</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资格审查响应文件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.1具有独立承担民事责任的能力证明。包括法人或者其他组织的营业执照等证明文件，自然人的身份证明；</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.2具有良好的商业信誉和健全的财务会计制度证明</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法人应提供</w:t>
      </w:r>
      <w:r>
        <w:rPr>
          <w:rFonts w:hint="eastAsia" w:ascii="宋体" w:hAnsi="宋体" w:eastAsia="宋体" w:cs="宋体"/>
          <w:b/>
          <w:color w:val="000000" w:themeColor="text1"/>
          <w:szCs w:val="21"/>
          <w:highlight w:val="none"/>
          <w:lang w:val="zh-CN"/>
          <w14:textFill>
            <w14:solidFill>
              <w14:schemeClr w14:val="tx1"/>
            </w14:solidFill>
          </w14:textFill>
        </w:rPr>
        <w:t xml:space="preserve">最近一期经审计的财务报告，其他组织、自然人及成立未满一年的法人应提供银行出具的资信证明）</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具有</w:t>
      </w:r>
      <w:r>
        <w:rPr>
          <w:rFonts w:hint="eastAsia" w:ascii="宋体" w:hAnsi="宋体" w:cs="宋体"/>
          <w:bCs/>
          <w:color w:val="000000" w:themeColor="text1"/>
          <w:szCs w:val="21"/>
          <w:highlight w:val="none"/>
          <w:lang w:val="zh-CN"/>
          <w14:textFill>
            <w14:solidFill>
              <w14:schemeClr w14:val="tx1"/>
            </w14:solidFill>
          </w14:textFill>
        </w:rPr>
        <w:t xml:space="preserve">履行合同所必需的设备和专业技术能力的证明材料；</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.4有依法缴纳税收和社会保障资金的良好记录</w:t>
      </w:r>
      <w:r>
        <w:rPr>
          <w:rFonts w:hint="eastAsia" w:ascii="宋体" w:hAnsi="宋体" w:cs="宋体"/>
          <w:b/>
          <w:color w:val="000000" w:themeColor="text1"/>
          <w:szCs w:val="21"/>
          <w:highlight w:val="none"/>
          <w:lang w:val="zh-CN"/>
          <w14:textFill>
            <w14:solidFill>
              <w14:schemeClr w14:val="tx1"/>
            </w14:solidFill>
          </w14:textFill>
        </w:rPr>
        <w:t xml:space="preserve">（响应单位</w:t>
      </w:r>
      <w:r>
        <w:rPr>
          <w:rFonts w:hint="eastAsia" w:ascii="宋体" w:hAnsi="宋体" w:cs="宋体"/>
          <w:b/>
          <w:bCs/>
          <w:color w:val="000000" w:themeColor="text1"/>
          <w:szCs w:val="21"/>
          <w:highlight w:val="none"/>
          <w:lang w:val="zh-CN"/>
          <w14:textFill>
            <w14:solidFill>
              <w14:schemeClr w14:val="tx1"/>
            </w14:solidFill>
          </w14:textFill>
        </w:rPr>
        <w:t xml:space="preserve">应提供提交投标文件截止时间前最</w:t>
      </w:r>
      <w:r>
        <w:rPr>
          <w:rFonts w:hint="eastAsia" w:ascii="宋体" w:hAnsi="宋体" w:cs="宋体"/>
          <w:b/>
          <w:bCs/>
          <w:color w:val="000000" w:themeColor="text1"/>
          <w:szCs w:val="21"/>
          <w:highlight w:val="none"/>
          <w14:textFill>
            <w14:solidFill>
              <w14:schemeClr w14:val="tx1"/>
            </w14:solidFill>
          </w14:textFill>
        </w:rPr>
        <w:t xml:space="preserve">近</w:t>
      </w:r>
      <w:r>
        <w:rPr>
          <w:rFonts w:hint="eastAsia" w:ascii="宋体" w:hAnsi="宋体" w:cs="宋体"/>
          <w:b/>
          <w:bCs/>
          <w:color w:val="000000" w:themeColor="text1"/>
          <w:szCs w:val="21"/>
          <w:highlight w:val="none"/>
          <w:lang w:val="en-US" w:eastAsia="zh-CN"/>
          <w14:textFill>
            <w14:solidFill>
              <w14:schemeClr w14:val="tx1"/>
            </w14:solidFill>
          </w14:textFill>
        </w:rPr>
        <w:t xml:space="preserve">任意</w:t>
      </w:r>
      <w:r>
        <w:rPr>
          <w:rFonts w:hint="eastAsia" w:ascii="宋体" w:hAnsi="宋体" w:cs="宋体"/>
          <w:b/>
          <w:bCs/>
          <w:color w:val="000000" w:themeColor="text1"/>
          <w:szCs w:val="21"/>
          <w:highlight w:val="none"/>
          <w:lang w:val="zh-CN"/>
          <w14:textFill>
            <w14:solidFill>
              <w14:schemeClr w14:val="tx1"/>
            </w14:solidFill>
          </w14:textFill>
        </w:rPr>
        <w:t xml:space="preserve">一期依法缴纳税收及缴纳社会保障资金的证明材料，如相关主管部门证明或银行代扣证明。投标人如依法享受缓缴、免缴税收、社会保障资金的应提供相关主管部门出具的证明材料）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.5参加政府采购活动前三年内，在经营活动中没有重大违法记录的书面声明函；</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6法律、行政法规规定的其他条件：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关于</w:t>
      </w:r>
      <w:r>
        <w:rPr>
          <w:rFonts w:hint="eastAsia" w:ascii="宋体" w:hAnsi="宋体" w:cs="宋体"/>
          <w:bCs/>
          <w:color w:val="000000" w:themeColor="text1"/>
          <w:szCs w:val="21"/>
          <w:highlight w:val="none"/>
          <w:lang w:val="zh-CN"/>
          <w14:textFill>
            <w14:solidFill>
              <w14:schemeClr w14:val="tx1"/>
            </w14:solidFill>
          </w14:textFill>
        </w:rPr>
        <w:t xml:space="preserve">资格文件声明函；</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.2响应单位情况表；</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.3磋商响应单位法定代表人身份证复印件；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.4法定代表人授权委托书（如有授权）；</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.5磋商响应单位授权代理人身份证复印件（如有授权）；</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7</w:t>
      </w:r>
      <w:r>
        <w:rPr>
          <w:rFonts w:hint="eastAsia" w:ascii="宋体" w:hAnsi="宋体" w:cs="宋体"/>
          <w:bCs/>
          <w:color w:val="000000" w:themeColor="text1"/>
          <w:szCs w:val="21"/>
          <w:highlight w:val="none"/>
          <w:lang w:val="zh-CN"/>
          <w14:textFill>
            <w14:solidFill>
              <w14:schemeClr w14:val="tx1"/>
            </w14:solidFill>
          </w14:textFill>
        </w:rPr>
        <w:t xml:space="preserve">其它有关资格证明的文件（</w:t>
      </w:r>
      <w:r>
        <w:rPr>
          <w:rFonts w:hint="eastAsia" w:ascii="宋体" w:hAnsi="宋体" w:cs="宋体"/>
          <w:bCs/>
          <w:color w:val="000000" w:themeColor="text1"/>
          <w:szCs w:val="21"/>
          <w:highlight w:val="none"/>
          <w14:textFill>
            <w14:solidFill>
              <w14:schemeClr w14:val="tx1"/>
            </w14:solidFill>
          </w14:textFill>
        </w:rPr>
        <w:t xml:space="preserve">如有</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5</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符合性审查响应文件</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.1磋商响应函；</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投标（响应）保证承诺书；</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《商务条款偏离表》；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《服务要求偏离表》；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其他有关符合性证明的文件（</w:t>
      </w:r>
      <w:r>
        <w:rPr>
          <w:rFonts w:hint="eastAsia" w:ascii="宋体" w:hAnsi="宋体" w:cs="宋体"/>
          <w:color w:val="000000" w:themeColor="text1"/>
          <w:szCs w:val="21"/>
          <w:highlight w:val="none"/>
          <w14:textFill>
            <w14:solidFill>
              <w14:schemeClr w14:val="tx1"/>
            </w14:solidFill>
          </w14:textFill>
        </w:rPr>
        <w:t xml:space="preserve">如有</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2"/>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6</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综合评审响应文件</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.1针对本项目的服务方案；</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拟投入</w:t>
      </w:r>
      <w:r>
        <w:rPr>
          <w:rFonts w:hint="eastAsia" w:ascii="宋体" w:hAnsi="宋体" w:eastAsia="宋体" w:cs="宋体"/>
          <w:color w:val="000000" w:themeColor="text1"/>
          <w:szCs w:val="21"/>
          <w:highlight w:val="none"/>
          <w:lang w:val="zh-CN"/>
          <w14:textFill>
            <w14:solidFill>
              <w14:schemeClr w14:val="tx1"/>
            </w14:solidFill>
          </w14:textFill>
        </w:rPr>
        <w:t xml:space="preserve">项目人员配置表；</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.3类似项目业绩表；</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采购需求及评分标准中所涉及到的其他材料等（如有）；</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注：</w:t>
      </w:r>
      <w:r>
        <w:rPr>
          <w:rFonts w:hint="eastAsia" w:ascii="宋体" w:hAnsi="宋体" w:cs="宋体"/>
          <w:b/>
          <w:bCs/>
          <w:color w:val="000000" w:themeColor="text1"/>
          <w:szCs w:val="21"/>
          <w:highlight w:val="none"/>
          <w:lang w:val="zh-CN"/>
          <w14:textFill>
            <w14:solidFill>
              <w14:schemeClr w14:val="tx1"/>
            </w14:solidFill>
          </w14:textFill>
        </w:rPr>
        <w:t xml:space="preserve">（1）以上</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6</w:t>
      </w:r>
      <w:r>
        <w:rPr>
          <w:rFonts w:hint="eastAsia" w:ascii="宋体" w:hAnsi="宋体" w:cs="宋体"/>
          <w:b/>
          <w:bCs/>
          <w:color w:val="000000" w:themeColor="text1"/>
          <w:szCs w:val="21"/>
          <w:highlight w:val="none"/>
          <w:lang w:val="zh-CN"/>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（2）以上</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为符合性审查须提供的资料，响应供应商必须提供并加盖电子公章。否则，磋商响应文件将被认定为未实质性响应。</w:t>
      </w:r>
      <w:r/>
    </w:p>
    <w:p>
      <w:pPr>
        <w:ind w:firstLine="843"/>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（3）制作电子响应文件时必须与</w:t>
      </w:r>
      <w:r>
        <w:rPr>
          <w:rFonts w:hint="eastAsia" w:ascii="宋体" w:hAnsi="宋体" w:cs="宋体"/>
          <w:b/>
          <w:bCs/>
          <w:color w:val="000000" w:themeColor="text1"/>
          <w:szCs w:val="21"/>
          <w:highlight w:val="none"/>
          <w14:textFill>
            <w14:solidFill>
              <w14:schemeClr w14:val="tx1"/>
            </w14:solidFill>
          </w14:textFill>
        </w:rPr>
        <w:t xml:space="preserve">响应</w:t>
      </w:r>
      <w:r>
        <w:rPr>
          <w:rFonts w:hint="eastAsia" w:ascii="宋体" w:hAnsi="宋体" w:cs="宋体"/>
          <w:b/>
          <w:bCs/>
          <w:color w:val="000000" w:themeColor="text1"/>
          <w:szCs w:val="21"/>
          <w:highlight w:val="none"/>
          <w:lang w:val="zh-CN"/>
          <w14:textFill>
            <w14:solidFill>
              <w14:schemeClr w14:val="tx1"/>
            </w14:solidFill>
          </w14:textFill>
        </w:rPr>
        <w:t xml:space="preserve">文件制作软件目录一一对应，将相关资料上传至相应模块。</w:t>
      </w:r>
      <w:r/>
    </w:p>
    <w:p>
      <w:pPr>
        <w:ind w:firstLine="843"/>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磋商响应文件编制要求：</w:t>
      </w:r>
      <w:r>
        <w:rPr>
          <w:rFonts w:hint="eastAsia" w:ascii="宋体" w:hAnsi="宋体" w:cs="宋体"/>
          <w:bCs/>
          <w:color w:val="000000" w:themeColor="text1"/>
          <w:szCs w:val="21"/>
          <w:highlight w:val="none"/>
          <w:lang w:val="zh-CN"/>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cs="宋体"/>
          <w:b/>
          <w:bCs/>
          <w:color w:val="000000" w:themeColor="text1"/>
          <w:szCs w:val="21"/>
          <w:highlight w:val="none"/>
          <w:lang w:val="zh-CN"/>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cs="宋体"/>
          <w:bCs/>
          <w:color w:val="000000" w:themeColor="text1"/>
          <w:szCs w:val="21"/>
          <w:highlight w:val="none"/>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（5）磋商过程中如有问题采购代理机构工作人员会及时通</w:t>
      </w:r>
      <w:r>
        <w:rPr>
          <w:rFonts w:hint="eastAsia" w:ascii="宋体" w:hAnsi="宋体" w:cs="宋体"/>
          <w:b/>
          <w:color w:val="000000" w:themeColor="text1"/>
          <w:szCs w:val="21"/>
          <w:highlight w:val="none"/>
          <w14:textFill>
            <w14:solidFill>
              <w14:schemeClr w14:val="tx1"/>
            </w14:solidFill>
          </w14:textFill>
        </w:rPr>
        <w:t xml:space="preserve">过</w:t>
      </w:r>
      <w:r>
        <w:rPr>
          <w:rFonts w:hint="eastAsia" w:ascii="宋体" w:hAnsi="宋体" w:cs="宋体"/>
          <w:b/>
          <w:color w:val="000000" w:themeColor="text1"/>
          <w:szCs w:val="21"/>
          <w:highlight w:val="none"/>
          <w:lang w:val="zh-CN"/>
          <w14:textFill>
            <w14:solidFill>
              <w14:schemeClr w14:val="tx1"/>
            </w14:solidFill>
          </w14:textFill>
        </w:rPr>
        <w:t xml:space="preserve">《投标供应商确认函》留存的手机号与供应商联系。请供应商确保该手机号磋商当日通讯畅通，否则导致的对供应商不利的后果由供应商自行承担。</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二、磋商程序</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采购代理机构按本须知规定的时间、地点主持磋商采购活动。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在磋商响应文件网上递交截止时间止成功解密的磋商供应商少于三家，则本次采购失败。</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由磋商小组审查供应商解密的响应文件。</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Cs w:val="21"/>
          <w:highlight w:val="none"/>
          <w:lang w:val="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highlight w:val="none"/>
          <w:lang w:val="zh-CN"/>
          <w14:textFill>
            <w14:solidFill>
              <w14:schemeClr w14:val="tx1"/>
            </w14:solidFill>
          </w14:textFill>
        </w:rPr>
        <w:t xml:space="preserve">磋商小组通过“苏采云”系统向供应商发布“磋商响应函”，供应商应当按照要求在</w:t>
      </w:r>
      <w:r>
        <w:rPr>
          <w:rFonts w:hint="eastAsia" w:ascii="宋体" w:hAnsi="宋体" w:cs="宋体"/>
          <w:b/>
          <w:color w:val="000000" w:themeColor="text1"/>
          <w:szCs w:val="21"/>
          <w:highlight w:val="none"/>
          <w14:textFill>
            <w14:solidFill>
              <w14:schemeClr w14:val="tx1"/>
            </w14:solidFill>
          </w14:textFill>
        </w:rPr>
        <w:t xml:space="preserve">“苏采云”系统</w:t>
      </w:r>
      <w:r>
        <w:rPr>
          <w:rFonts w:hint="eastAsia" w:ascii="宋体" w:hAnsi="宋体" w:cs="宋体"/>
          <w:b/>
          <w:color w:val="000000" w:themeColor="text1"/>
          <w:szCs w:val="21"/>
          <w:highlight w:val="none"/>
          <w:lang w:val="zh-CN"/>
          <w14:textFill>
            <w14:solidFill>
              <w14:schemeClr w14:val="tx1"/>
            </w14:solidFill>
          </w14:textFill>
        </w:rPr>
        <w:t xml:space="preserve">提交“磋商响应函”并加盖CA电子公章。</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10.供应商未在磋商小组规定的时间内在“苏采云”系统中提交最后报价的视为放弃磋商，其响应文件按无效响应处理，最后报价格式表须加盖公章,否则视为未提交最后报价。</w:t>
      </w:r>
      <w:r>
        <w:rPr>
          <w:rFonts w:hint="eastAsia" w:ascii="宋体" w:hAnsi="宋体" w:cs="宋体"/>
          <w:b/>
          <w:color w:val="000000" w:themeColor="text1"/>
          <w:szCs w:val="21"/>
          <w:highlight w:val="none"/>
          <w:lang w:val="zh-CN"/>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已提交响应文件的供应商，在提交最后报价之前，可以根据磋商情况退出磋商，并在“苏采云”系统中提交“退出磋商函”并加盖公章。</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*进入项目评审流程后，建议各响应单位法定代表人或代理人始终保持通讯顺畅，时刻关注不见面开标大厅，不离开不见面开标大厅。</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磋商小组根据磋商成交原则确定成交供应商，并将结果通知所有参加磋商的供应商。</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如磋商过程中出现本采购文件未尽事宜，由磋商小组根据政府采购有关法律、法规讨论决定。</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三、质疑处理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9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本次采购文件要求供应商在法定质疑期内一次性提出针对同一采购程序环节的质疑</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否则不予受理。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供应商提出质疑应当提交质疑函和必要的证明材料，质疑函应当包括下列内容：</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（1）供应商的姓名或者名称（以提供的营业执照副本复印件为准）、地址、邮编、联系人及联系电话；</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（2）质疑项目的名称、编号；</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（3）具体、明确的质疑事项和与质疑事项相关的请求；</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（4）事实依据；</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（5）必要的法律依据；</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（6）提出质疑的日期。</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themeColor="text1"/>
          <w:szCs w:val="21"/>
          <w:highlight w:val="none"/>
          <w:lang w:val="zh-CN"/>
          <w14:textFill>
            <w14:solidFill>
              <w14:schemeClr w14:val="tx1"/>
            </w14:solidFill>
          </w14:textFill>
        </w:rPr>
        <w:t xml:space="preserve">授权委托书</w:t>
      </w:r>
      <w:r>
        <w:rPr>
          <w:rFonts w:hint="eastAsia" w:ascii="宋体" w:hAnsi="宋体" w:cs="宋体"/>
          <w:color w:val="000000" w:themeColor="text1"/>
          <w:szCs w:val="21"/>
          <w:highlight w:val="none"/>
          <w:lang w:val="zh-CN"/>
          <w14:textFill>
            <w14:solidFill>
              <w14:schemeClr w14:val="tx1"/>
            </w14:solidFill>
          </w14:textFill>
        </w:rPr>
        <w:t xml:space="preserve">上应当载明代理人的姓名或者名称、代理事项、具体权限、期限和相关事项。</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Cs w:val="21"/>
          <w:highlight w:val="none"/>
          <w:lang w:val="zh-CN"/>
          <w14:textFill>
            <w14:solidFill>
              <w14:schemeClr w14:val="tx1"/>
            </w14:solidFill>
          </w14:textFill>
        </w:rPr>
        <w:t xml:space="preserve">《投标供应商确认函》</w:t>
      </w:r>
      <w:r>
        <w:rPr>
          <w:rFonts w:hint="eastAsia" w:ascii="宋体" w:hAnsi="宋体" w:cs="宋体"/>
          <w:color w:val="000000" w:themeColor="text1"/>
          <w:szCs w:val="21"/>
          <w:highlight w:val="none"/>
          <w:lang w:val="zh-CN"/>
          <w14:textFill>
            <w14:solidFill>
              <w14:schemeClr w14:val="tx1"/>
            </w14:solidFill>
          </w14:textFill>
        </w:rPr>
        <w:t xml:space="preserve">）与质疑函一起递交，否则不予受理。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接收质疑函的方式：书面形式（当场送达或邮寄方式）</w:t>
      </w:r>
      <w:r/>
    </w:p>
    <w:p>
      <w:pPr>
        <w:ind w:firstLine="420"/>
        <w:spacing w:line="360" w:lineRule="auto"/>
        <w:widowControl/>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质疑联系人：</w:t>
      </w:r>
      <w:r>
        <w:rPr>
          <w:rFonts w:hint="eastAsia" w:ascii="宋体" w:hAnsi="宋体" w:cs="宋体"/>
          <w:color w:val="000000" w:themeColor="text1"/>
          <w:szCs w:val="21"/>
          <w:highlight w:val="none"/>
          <w:lang w:eastAsia="zh-CN"/>
          <w14:textFill>
            <w14:solidFill>
              <w14:schemeClr w14:val="tx1"/>
            </w14:solidFill>
          </w14:textFill>
        </w:rPr>
        <w:t xml:space="preserve">葛思陇、魏瑜伽</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联系电话：</w:t>
      </w:r>
      <w:r>
        <w:rPr>
          <w:rFonts w:hint="eastAsia" w:ascii="宋体" w:hAnsi="宋体" w:cs="宋体"/>
          <w:bCs/>
          <w:color w:val="000000" w:themeColor="text1"/>
          <w:szCs w:val="21"/>
          <w:highlight w:val="none"/>
          <w:lang w:val="zh-CN"/>
          <w14:textFill>
            <w14:solidFill>
              <w14:schemeClr w14:val="tx1"/>
            </w14:solidFill>
          </w14:textFill>
        </w:rPr>
        <w:t xml:space="preserve">0512-87770870</w:t>
      </w:r>
      <w:r/>
    </w:p>
    <w:p>
      <w:pPr>
        <w:ind w:firstLine="420"/>
        <w:spacing w:line="360" w:lineRule="auto"/>
        <w:widowControl/>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现场递交地址:</w:t>
      </w:r>
      <w:r>
        <w:rPr>
          <w:rFonts w:hint="eastAsia" w:ascii="宋体" w:hAnsi="宋体" w:cs="宋体"/>
          <w:color w:val="000000" w:themeColor="text1"/>
          <w:szCs w:val="21"/>
          <w:highlight w:val="none"/>
          <w:lang w:eastAsia="zh-CN"/>
          <w14:textFill>
            <w14:solidFill>
              <w14:schemeClr w14:val="tx1"/>
            </w14:solidFill>
          </w14:textFill>
        </w:rPr>
        <w:t xml:space="preserve">苏州市相城大道666号中翔大厦25楼 </w:t>
      </w:r>
      <w:r/>
    </w:p>
    <w:p>
      <w:pPr>
        <w:ind w:firstLine="420"/>
        <w:spacing w:line="360" w:lineRule="auto"/>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邮寄收取地址:</w:t>
      </w:r>
      <w:r>
        <w:rPr>
          <w:rFonts w:hint="eastAsia" w:ascii="宋体" w:hAnsi="宋体" w:cs="宋体"/>
          <w:color w:val="000000" w:themeColor="text1"/>
          <w:szCs w:val="21"/>
          <w:highlight w:val="none"/>
          <w:lang w:eastAsia="zh-CN"/>
          <w14:textFill>
            <w14:solidFill>
              <w14:schemeClr w14:val="tx1"/>
            </w14:solidFill>
          </w14:textFill>
        </w:rPr>
        <w:t xml:space="preserve">苏州市相城大道666号中翔大厦25楼 </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四、响应无效条款</w:t>
      </w:r>
      <w:r/>
    </w:p>
    <w:p>
      <w:pPr>
        <w:pStyle w:val="1163"/>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存在下列情况之一的，响应无效:</w:t>
      </w:r>
      <w:r/>
    </w:p>
    <w:p>
      <w:pPr>
        <w:pStyle w:val="1163"/>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1</w:t>
      </w:r>
      <w:r>
        <w:rPr>
          <w:rFonts w:hint="eastAsia"/>
          <w:color w:val="000000" w:themeColor="text1"/>
          <w:sz w:val="21"/>
          <w:szCs w:val="21"/>
          <w:highlight w:val="none"/>
          <w:lang w:val="zh-CN" w:bidi="ar"/>
          <w14:textFill>
            <w14:solidFill>
              <w14:schemeClr w14:val="tx1"/>
            </w14:solidFill>
          </w14:textFill>
        </w:rPr>
        <w:t xml:space="preserve">）未按照采购文件的规定提交投标（响应）保证承诺书的；</w:t>
      </w:r>
      <w:r/>
    </w:p>
    <w:p>
      <w:pPr>
        <w:pStyle w:val="1163"/>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2</w:t>
      </w:r>
      <w:r>
        <w:rPr>
          <w:rFonts w:hint="eastAsia"/>
          <w:color w:val="000000" w:themeColor="text1"/>
          <w:sz w:val="21"/>
          <w:szCs w:val="21"/>
          <w:highlight w:val="none"/>
          <w:lang w:val="zh-CN" w:bidi="ar"/>
          <w14:textFill>
            <w14:solidFill>
              <w14:schemeClr w14:val="tx1"/>
            </w14:solidFill>
          </w14:textFill>
        </w:rPr>
        <w:t xml:space="preserve">）未按照采购文件规定要求签署、盖章；</w:t>
      </w:r>
      <w:r/>
    </w:p>
    <w:p>
      <w:pPr>
        <w:pStyle w:val="1163"/>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3</w:t>
      </w:r>
      <w:r>
        <w:rPr>
          <w:rFonts w:hint="eastAsia"/>
          <w:color w:val="000000" w:themeColor="text1"/>
          <w:sz w:val="21"/>
          <w:szCs w:val="21"/>
          <w:highlight w:val="none"/>
          <w:lang w:val="zh-CN" w:bidi="ar"/>
          <w14:textFill>
            <w14:solidFill>
              <w14:schemeClr w14:val="tx1"/>
            </w14:solidFill>
          </w14:textFill>
        </w:rPr>
        <w:t xml:space="preserve">）不具备采购文件中规定资格要求；</w:t>
      </w:r>
      <w:r/>
    </w:p>
    <w:p>
      <w:pPr>
        <w:pStyle w:val="1163"/>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4</w:t>
      </w:r>
      <w:r>
        <w:rPr>
          <w:rFonts w:hint="eastAsia"/>
          <w:color w:val="000000" w:themeColor="text1"/>
          <w:sz w:val="21"/>
          <w:szCs w:val="21"/>
          <w:highlight w:val="none"/>
          <w:lang w:val="zh-CN" w:bidi="ar"/>
          <w14:textFill>
            <w14:solidFill>
              <w14:schemeClr w14:val="tx1"/>
            </w14:solidFill>
          </w14:textFill>
        </w:rPr>
        <w:t xml:space="preserve">）响应文件含有采购人不能接受的附加条件的；</w:t>
      </w:r>
      <w:r/>
    </w:p>
    <w:p>
      <w:pPr>
        <w:pStyle w:val="1163"/>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5</w:t>
      </w:r>
      <w:r>
        <w:rPr>
          <w:rFonts w:hint="eastAsia"/>
          <w:color w:val="000000" w:themeColor="text1"/>
          <w:sz w:val="21"/>
          <w:szCs w:val="21"/>
          <w:highlight w:val="none"/>
          <w:lang w:val="zh-CN" w:bidi="ar"/>
          <w14:textFill>
            <w14:solidFill>
              <w14:schemeClr w14:val="tx1"/>
            </w14:solidFill>
          </w14:textFill>
        </w:rPr>
        <w:t xml:space="preserve">）不同</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val="zh-CN" w:bidi="ar"/>
          <w14:textFill>
            <w14:solidFill>
              <w14:schemeClr w14:val="tx1"/>
            </w14:solidFill>
          </w14:textFill>
        </w:rPr>
        <w:t xml:space="preserve">的电子投标文件制作机器码一致；</w:t>
      </w:r>
      <w:r/>
    </w:p>
    <w:p>
      <w:pPr>
        <w:pStyle w:val="1163"/>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6</w:t>
      </w:r>
      <w:r>
        <w:rPr>
          <w:rFonts w:hint="eastAsia"/>
          <w:color w:val="000000" w:themeColor="text1"/>
          <w:sz w:val="21"/>
          <w:szCs w:val="21"/>
          <w:highlight w:val="none"/>
          <w:lang w:val="zh-CN" w:bidi="ar"/>
          <w14:textFill>
            <w14:solidFill>
              <w14:schemeClr w14:val="tx1"/>
            </w14:solidFill>
          </w14:textFill>
        </w:rPr>
        <w:t xml:space="preserve">）法律、法规和采购文件规定的其他无效情形；</w:t>
      </w:r>
      <w:r/>
    </w:p>
    <w:p>
      <w:pPr>
        <w:pStyle w:val="1163"/>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应当遵循公平竞争的原则，不得恶意串通，不得妨碍其他</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的竞争行为，不得损害采购人或者其他</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的合法权益。</w:t>
      </w:r>
      <w:r/>
    </w:p>
    <w:p>
      <w:pPr>
        <w:pStyle w:val="1163"/>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磋商在过程中发现</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有上述情形的，磋商小组应当认定其响应无效，并书面报告本级财政部门。</w:t>
      </w:r>
      <w:r/>
    </w:p>
    <w:p>
      <w:pPr>
        <w:pStyle w:val="1163"/>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3.有下列情形之一的，视为</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恶意串通，其响应无效：</w:t>
      </w:r>
      <w:r/>
    </w:p>
    <w:p>
      <w:pPr>
        <w:pStyle w:val="1163"/>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的响应文件由同一单位或者个人编制；</w:t>
      </w:r>
      <w:r/>
    </w:p>
    <w:p>
      <w:pPr>
        <w:pStyle w:val="1163"/>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委托同一单位或者个人办理磋商事宜；</w:t>
      </w:r>
      <w:r/>
    </w:p>
    <w:p>
      <w:pPr>
        <w:pStyle w:val="1163"/>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的响应文件载明的项目管理成员或者联系人员为同一人；</w:t>
      </w:r>
      <w:r/>
    </w:p>
    <w:p>
      <w:pPr>
        <w:pStyle w:val="1163"/>
        <w:ind w:firstLine="420"/>
        <w:spacing w:before="0" w:beforeAutospacing="0" w:after="0" w:afterAutospacing="0" w:line="360" w:lineRule="auto"/>
        <w:widowControl w:val="off"/>
        <w:rPr>
          <w:rFonts w:hint="eastAsia"/>
          <w:b/>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（4）不同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的响应文件异常一致或者报价呈规律性差异；</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五、磋商文件的澄清和修改</w:t>
      </w:r>
      <w:r/>
    </w:p>
    <w:p>
      <w:pPr>
        <w:pStyle w:val="11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公告形式通知所有获取磋商文件的供应商；不足5日的，采购人、采购代理机构应当顺延提交首次响应文件截止时间。</w:t>
      </w:r>
      <w:r/>
    </w:p>
    <w:p>
      <w:pPr>
        <w:pStyle w:val="11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2.磋商文件的澄清、修改等内容与竞争性磋商文件在同一内容的表述上不一致时，以发出日期最接近磋商时间的公告为准。</w:t>
      </w:r>
      <w:r/>
    </w:p>
    <w:p>
      <w:pPr>
        <w:pStyle w:val="1163"/>
        <w:ind w:firstLine="420"/>
        <w:jc w:val="both"/>
        <w:spacing w:before="0" w:beforeAutospacing="0" w:after="0" w:afterAutospacing="0" w:line="360" w:lineRule="auto"/>
        <w:widowControl w:val="off"/>
        <w:rPr>
          <w:rFonts w:hint="eastAsia"/>
          <w:b/>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3.磋商文件的澄清、修改等内容均将在财政部门指定的政府采购信息发布媒体上发布，作为磋商文件的组成部分，对供应商起约束作用。</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lang w:val="zh-CN"/>
        </w:rPr>
        <w:t xml:space="preserve">六、</w:t>
      </w:r>
      <w:r>
        <w:rPr>
          <w:rFonts w:hint="eastAsia" w:ascii="宋体" w:hAnsi="宋体" w:cs="宋体"/>
          <w:b/>
          <w:szCs w:val="21"/>
          <w:highlight w:val="none"/>
        </w:rPr>
        <w:t xml:space="preserve">异常低价响应审查：</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ascii="宋体" w:hAnsi="宋体" w:cs="宋体"/>
          <w:b w:val="0"/>
          <w:bCs w:val="0"/>
          <w:color w:val="000000"/>
          <w:szCs w:val="21"/>
          <w:highlight w:val="none"/>
        </w:rPr>
        <w:t xml:space="preserve">1</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评审过程中出现下列情形之一的，磋商小组应当启动异常低价响应审查程序：</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（1）响应报价低于全部通过符合性审查供应商响应报价平均值50%的，即响应报价&lt;全部通过符合性审查供应商响应报价平均值×50%；</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（2）响应报价低于通过符合性审查的次低报价供应商响应报价50%的，即响应报价&lt;通过符合性审查的次低报价供应商响应报价×50%；</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（3）响应报价低于采购项目最高限价45%的，即响应报价&lt;采购项目最高限价×45%；</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（4）磋商小组基于专业判断，认为供应商报价过低，有可能影响产品质量或者不能诚信履约的其他情形。</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2</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3</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keepLines w:val="0"/>
        <w:keepNext w:val="0"/>
        <w:pageBreakBefore w:val="0"/>
        <w:spacing w:line="360" w:lineRule="auto"/>
        <w:widowControl/>
        <w:rPr>
          <w:rFonts w:ascii="宋体" w:hAnsi="宋体" w:cs="宋体"/>
          <w:b w:val="0"/>
          <w:bCs w:val="0"/>
          <w:szCs w:val="21"/>
          <w:highlight w:val="none"/>
        </w:rPr>
      </w:pPr>
      <w:r>
        <w:rPr>
          <w:rFonts w:hint="eastAsia" w:ascii="宋体" w:hAnsi="宋体" w:cs="宋体"/>
          <w:b w:val="0"/>
          <w:bCs w:val="0"/>
          <w:szCs w:val="21"/>
          <w:highlight w:val="none"/>
        </w:rPr>
        <w:t xml:space="preserve">注：异常低价审查有关要求，均以财政部发布的《关于推动解决政府采购异常低价问题的通知》（ 财库〔2026〕2号）为准。</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bidi="ar"/>
          <w14:textFill>
            <w14:solidFill>
              <w14:schemeClr w14:val="tx1"/>
            </w14:solidFill>
          </w14:textFill>
        </w:rPr>
        <w:t xml:space="preserve">七</w:t>
      </w:r>
      <w:r>
        <w:rPr>
          <w:rFonts w:hint="eastAsia" w:ascii="宋体" w:hAnsi="宋体" w:cs="宋体"/>
          <w:b/>
          <w:color w:val="000000" w:themeColor="text1"/>
          <w:szCs w:val="21"/>
          <w:highlight w:val="none"/>
          <w:lang w:bidi="ar"/>
          <w14:textFill>
            <w14:solidFill>
              <w14:schemeClr w14:val="tx1"/>
            </w14:solidFill>
          </w14:textFill>
        </w:rPr>
        <w:t xml:space="preserve">、响应文件计量单位和使用文字</w:t>
      </w:r>
      <w:r/>
    </w:p>
    <w:p>
      <w:pPr>
        <w:pStyle w:val="11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1.响应文件中所使用的计量单位，除竞争性磋商文件中有特殊要求外，均应使用中华人民共和国法定计量单位。</w:t>
      </w:r>
      <w:r/>
    </w:p>
    <w:p>
      <w:pPr>
        <w:pStyle w:val="1163"/>
        <w:ind w:firstLine="420"/>
        <w:jc w:val="both"/>
        <w:spacing w:before="0" w:beforeAutospacing="0" w:after="0" w:afterAutospacing="0" w:line="360" w:lineRule="auto"/>
        <w:widowControl w:val="off"/>
        <w:rPr>
          <w:rFonts w:hint="eastAsia"/>
          <w:b/>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2.响应文件应使用中文编制，响应文件中使用其他文字的，必须附有中文译本，且以中文译本为准。对于未附有中文译本和中文译本不准确的响应文件可能引起的对供应商不利的后果，采购人概不负责。</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八</w:t>
      </w:r>
      <w:r>
        <w:rPr>
          <w:rFonts w:hint="eastAsia" w:ascii="宋体" w:hAnsi="宋体" w:cs="宋体"/>
          <w:b/>
          <w:color w:val="000000" w:themeColor="text1"/>
          <w:szCs w:val="21"/>
          <w:highlight w:val="none"/>
          <w:lang w:val="zh-CN"/>
          <w14:textFill>
            <w14:solidFill>
              <w14:schemeClr w14:val="tx1"/>
            </w14:solidFill>
          </w14:textFill>
        </w:rPr>
        <w:t xml:space="preserve">、项目的终止</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出现下列情形之一的，将终止竞争性磋商采购活动：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因情况变化，不再符合规定的竞争性磋商采购方式适用情形的；</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出现影响采购公正的违法、违规行为的；</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在采购活动中因重大变故，采购任务取消的。</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cs="宋体"/>
          <w:b/>
          <w:color w:val="000000" w:themeColor="text1"/>
          <w:szCs w:val="21"/>
          <w:highlight w:val="none"/>
          <w:lang w:val="zh-CN"/>
          <w14:textFill>
            <w14:solidFill>
              <w14:schemeClr w14:val="tx1"/>
            </w14:solidFill>
          </w14:textFill>
        </w:rPr>
        <w:t xml:space="preserve">、评审内容的保密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磋商开始后，直到宣布授予成交</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合同为止，凡属于审查、澄清、评价和比较磋商响应文件的所有资料，有关授予合同的信息都不应向磋商供应商或与评审无关的其他人泄露。</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在磋商响应文件的审查、澄清、评价和比较以及授予合同的过程中，磋商供应商对采购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和磋商小组施加影响的任何行为，都将取消其成交资格。</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在评审期间，采购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将通过指定联络人与磋商供应商进行联系。</w:t>
      </w:r>
      <w:r/>
    </w:p>
    <w:p>
      <w:pPr>
        <w:ind w:left="0" w:firstLine="422"/>
        <w:jc w:val="both"/>
        <w:keepLines w:val="0"/>
        <w:keepNext w:val="0"/>
        <w:pageBreakBefore w:val="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十</w:t>
      </w:r>
      <w:r>
        <w:rPr>
          <w:rFonts w:hint="eastAsia" w:ascii="宋体" w:hAnsi="宋体" w:cs="宋体"/>
          <w:b/>
          <w:color w:val="000000" w:themeColor="text1"/>
          <w:szCs w:val="21"/>
          <w:highlight w:val="none"/>
          <w:lang w:val="zh-CN"/>
          <w14:textFill>
            <w14:solidFill>
              <w14:schemeClr w14:val="tx1"/>
            </w14:solidFill>
          </w14:textFill>
        </w:rPr>
        <w:t xml:space="preserve">、成交单位的确认</w:t>
      </w:r>
      <w:r/>
    </w:p>
    <w:p>
      <w:pPr>
        <w:ind w:left="0" w:firstLine="420"/>
        <w:jc w:val="both"/>
        <w:keepLines w:val="0"/>
        <w:keepNext w:val="0"/>
        <w:pageBreakBefore w:val="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磋商小组根据磋商供应商资格审查情况，对其响应文件进行评价和比较，按照评审办法和标准进行评审，由采购人授权评审委员会在候选供应商名单中直接确定成交供应商。</w:t>
      </w:r>
      <w:r/>
    </w:p>
    <w:p>
      <w:pPr>
        <w:ind w:left="0" w:firstLine="420"/>
        <w:jc w:val="both"/>
        <w:keepLines w:val="0"/>
        <w:keepNext w:val="0"/>
        <w:pageBreakBefore w:val="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bookmarkStart w:id="15" w:name="_Toc9664"/>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十一、成交通知书</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确定出成交单位后，采购代理机构在法定时间内向成交单位发出成交通知书。成交通知书将成为合同的组成部分。</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请成交单位在成交结果公告届满之日起30日内,使用CA证书登录“苏采云”系统及时下载成交通知书。</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采购单位对未成交单位不承担解释未成交原因的义务。</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成交单位应按成交通知书中规定的时间和地点，由法定代表人或代理人与甲方代表签订合同。否则按放弃处理。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签订合同及合同条款应以采购文件和成交单位的磋商响应文件及其澄清文件为依据。</w:t>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bookmarkStart w:id="16" w:name="_Hlk159490732"/>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十二、合同授予标准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采购单位将把合同授予其磋商响应文件在实质上响应采购文件要求和按本须知规定评选出的供应商。确定为成交的供应商必须具有实施本合同的能力和资源。</w:t>
      </w:r>
      <w:bookmarkEnd w:id="16"/>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十三、综合说明及其它要求：</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磋商供应商需明确详细的服务方案。</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磋商供应商必须承诺文件中提出的全部要求，如果其中某些条款不响应时，应在文件中逐条列出，未列出的视同响应。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3.磋商说明：</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（1）不符合供应商资格要求的响应文件将被认定为无效响应；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（2）最终报价超过采购预算或最高限价的不能成交；</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（3）响应文件签署不符合要求的，响应文件将被拒绝；</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bookmarkStart w:id="17" w:name="_Hlk159488097"/>
      <w:r>
        <w:rPr>
          <w:rFonts w:hint="eastAsia" w:ascii="宋体" w:hAnsi="宋体" w:eastAsia="宋体" w:cs="宋体"/>
          <w:color w:val="000000" w:themeColor="text1"/>
          <w:szCs w:val="21"/>
          <w:highlight w:val="none"/>
          <w:lang w:val="zh-CN"/>
          <w14:textFill>
            <w14:solidFill>
              <w14:schemeClr w14:val="tx1"/>
            </w14:solidFill>
          </w14:textFill>
        </w:rPr>
        <w:t xml:space="preserve">（4）实质性响应磋商文件不满三家或进入二次报价的不满三家或二次报价在采购预算内不满三家的，磋商采购失败。</w:t>
      </w:r>
      <w:bookmarkEnd w:id="17"/>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（5）不实质性响应采购文件的不能成交。</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十四、政府采购政策</w:t>
      </w:r>
      <w:r>
        <w:rPr>
          <w:rFonts w:hint="eastAsia" w:ascii="宋体" w:hAnsi="宋体" w:cs="宋体"/>
          <w:color w:val="000000" w:themeColor="text1"/>
          <w:szCs w:val="21"/>
          <w:highlight w:val="none"/>
          <w14:textFill>
            <w14:solidFill>
              <w14:schemeClr w14:val="tx1"/>
            </w14:solidFill>
          </w14:textFill>
        </w:rPr>
        <w:t xml:space="preserve">（如不涉及此项可忽略）</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1.小、微企业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Cs w:val="21"/>
          <w:highlight w:val="none"/>
          <w:lang w:val="zh-CN"/>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Cs w:val="21"/>
          <w:highlight w:val="none"/>
          <w:lang w:val="zh-CN"/>
          <w14:textFill>
            <w14:solidFill>
              <w14:schemeClr w14:val="tx1"/>
            </w14:solidFill>
          </w14:textFill>
        </w:rPr>
        <w:t xml:space="preserve">服务类项目中供应商若使用退休人员，将不享受相关扶持政策。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Cs w:val="21"/>
          <w:highlight w:val="none"/>
        </w:rPr>
        <w:t xml:space="preserve">其他未列明行业。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2.残疾人福利性单位</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3.监狱企业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4.绿色采购</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关于深入开展苏州市政府采购合同信用融资业务的通知</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根据苏州市财政局《关于深入开展苏州市政府采购合同信用融资业务的通知》相关要求，本项目支持政府采购合同信用融资。</w:t>
      </w:r>
      <w:r/>
    </w:p>
    <w:tbl>
      <w:tblPr>
        <w:tblStyle w:val="99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十五、关于对参与供应商信用记录的政府采购要求</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采购代理机构会在接收响应文件截止时间后，登录信用中国网站（www.creditchina.gov.cn/）、中国政府采购网（</w:t>
      </w:r>
      <w:bookmarkStart w:id="18" w:name="OLE_LINK4"/>
      <w:r/>
      <w:bookmarkStart w:id="19" w:name="OLE_LINK27"/>
      <w:r>
        <w:rPr>
          <w:rFonts w:hint="eastAsia" w:ascii="宋体" w:hAnsi="宋体" w:eastAsia="宋体" w:cs="宋体"/>
          <w:color w:val="000000" w:themeColor="text1"/>
          <w:szCs w:val="21"/>
          <w:highlight w:val="none"/>
          <w:lang w:val="zh-CN"/>
          <w14:textFill>
            <w14:solidFill>
              <w14:schemeClr w14:val="tx1"/>
            </w14:solidFill>
          </w14:textFill>
        </w:rPr>
        <w:t xml:space="preserve">www.ccgp.gov.cn/</w:t>
      </w:r>
      <w:bookmarkEnd w:id="18"/>
      <w:r/>
      <w:bookmarkEnd w:id="19"/>
      <w:r>
        <w:rPr>
          <w:rFonts w:hint="eastAsia" w:ascii="宋体" w:hAnsi="宋体" w:eastAsia="宋体" w:cs="宋体"/>
          <w:color w:val="000000" w:themeColor="text1"/>
          <w:szCs w:val="21"/>
          <w:highlight w:val="none"/>
          <w:lang w:val="zh-CN"/>
          <w14:textFill>
            <w14:solidFill>
              <w14:schemeClr w14:val="tx1"/>
            </w14:solidFill>
          </w14:textFill>
        </w:rPr>
        <w:t xml:space="preserve">）查询供应商的信用记录，并将查询结果递交评审小组。</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供应商若在经营活动中受到罚款的，请携带相关地方、部门对</w:t>
      </w:r>
      <w:bookmarkStart w:id="20" w:name="OLE_LINK49"/>
      <w:r/>
      <w:bookmarkStart w:id="21" w:name="OLE_LINK48"/>
      <w:r>
        <w:rPr>
          <w:rFonts w:hint="eastAsia" w:ascii="宋体" w:hAnsi="宋体" w:eastAsia="宋体" w:cs="宋体"/>
          <w:color w:val="000000" w:themeColor="text1"/>
          <w:szCs w:val="21"/>
          <w:highlight w:val="none"/>
          <w:lang w:val="zh-CN"/>
          <w14:textFill>
            <w14:solidFill>
              <w14:schemeClr w14:val="tx1"/>
            </w14:solidFill>
          </w14:textFill>
        </w:rPr>
        <w:t xml:space="preserve">较大数额</w:t>
      </w:r>
      <w:bookmarkEnd w:id="20"/>
      <w:r/>
      <w:bookmarkEnd w:id="21"/>
      <w:r>
        <w:rPr>
          <w:rFonts w:hint="eastAsia" w:ascii="宋体" w:hAnsi="宋体" w:eastAsia="宋体" w:cs="宋体"/>
          <w:color w:val="000000" w:themeColor="text1"/>
          <w:szCs w:val="21"/>
          <w:highlight w:val="none"/>
          <w:lang w:val="zh-CN"/>
          <w14:textFill>
            <w14:solidFill>
              <w14:schemeClr w14:val="tx1"/>
            </w14:solidFill>
          </w14:textFill>
        </w:rPr>
        <w:t xml:space="preserve">认定标准的证明材料，与响应文件一并提交。若无法提供，则可能承担响应无效等相应不利后果。</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对存在失信信息的供应商，由失信供应商进行确认。同时，采购代理机构工作人员应根据评审小组确认的失信信息，登陆到相关来源网站页面进行复核并打印，作为证据留存。</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十六、凡涉及采购文件的补充说明和修改，均以网上发布的通知为准。</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86"/>
        <w:jc w:val="center"/>
        <w:spacing w:line="416" w:lineRule="auto"/>
        <w:rPr>
          <w:rFonts w:hint="eastAsia" w:ascii="宋体" w:hAnsi="宋体" w:cs="宋体"/>
          <w:b w:val="0"/>
          <w:color w:val="auto"/>
          <w:highlight w:val="none"/>
        </w:rPr>
      </w:pPr>
      <w:r>
        <w:rPr>
          <w:rFonts w:hint="eastAsia" w:ascii="宋体" w:hAnsi="宋体" w:cs="宋体"/>
          <w:color w:val="auto"/>
          <w:highlight w:val="none"/>
        </w:rPr>
        <w:t xml:space="preserve">第三章 竞争性磋商文件</w:t>
      </w:r>
      <w:bookmarkEnd w:id="15"/>
      <w:r/>
      <w:r/>
    </w:p>
    <w:p>
      <w:pPr>
        <w:ind w:left="0" w:right="0"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苏州市相城区水务局</w:t>
      </w:r>
      <w:r>
        <w:rPr>
          <w:rFonts w:hint="eastAsia" w:ascii="宋体" w:hAnsi="宋体" w:cs="宋体"/>
          <w:color w:val="auto"/>
          <w:szCs w:val="21"/>
          <w:highlight w:val="none"/>
        </w:rPr>
        <w:t xml:space="preserve">委托，</w:t>
      </w:r>
      <w:r>
        <w:rPr>
          <w:rFonts w:hint="eastAsia" w:ascii="宋体" w:hAnsi="宋体" w:cs="宋体"/>
          <w:color w:val="auto"/>
          <w:szCs w:val="21"/>
          <w:highlight w:val="none"/>
          <w:lang w:eastAsia="zh-CN"/>
        </w:rPr>
        <w:t xml:space="preserve">江苏鸿渐投资咨询管理有限公司</w:t>
      </w:r>
      <w:r>
        <w:rPr>
          <w:rFonts w:hint="eastAsia" w:ascii="宋体" w:hAnsi="宋体" w:cs="宋体"/>
          <w:color w:val="auto"/>
          <w:szCs w:val="21"/>
          <w:highlight w:val="none"/>
        </w:rPr>
        <w:t xml:space="preserve">对其要求采购的</w:t>
      </w:r>
      <w:r>
        <w:rPr>
          <w:rFonts w:hint="eastAsia" w:ascii="宋体" w:hAnsi="宋体" w:cs="宋体"/>
          <w:color w:val="auto"/>
          <w:szCs w:val="21"/>
          <w:highlight w:val="none"/>
          <w:lang w:eastAsia="zh-CN"/>
        </w:rPr>
        <w:t xml:space="preserve">太湖、望虞河沿线水利工程运行管理及防汛仓库日常管理</w:t>
      </w:r>
      <w:r>
        <w:rPr>
          <w:rFonts w:hint="eastAsia" w:ascii="宋体" w:hAnsi="宋体" w:cs="宋体"/>
          <w:color w:val="auto"/>
          <w:szCs w:val="21"/>
          <w:highlight w:val="none"/>
        </w:rPr>
        <w:t xml:space="preserve">项目进行竞争性磋商采购，欢迎符合磋商采购文件资格条件的供应商前来参加磋商。</w:t>
      </w:r>
      <w:r/>
    </w:p>
    <w:p>
      <w:pPr>
        <w:ind w:left="0" w:right="0" w:firstLine="422"/>
        <w:jc w:val="both"/>
        <w:keepLines w:val="0"/>
        <w:keepNext w:val="0"/>
        <w:pageBreakBefore w:val="0"/>
        <w:spacing w:line="360" w:lineRule="auto"/>
        <w:widowControl w:val="off"/>
        <w:rPr>
          <w:rFonts w:hint="eastAsia" w:ascii="宋体" w:hAnsi="宋体" w:eastAsia="宋体" w:cs="宋体"/>
          <w:b w:val="0"/>
          <w:bCs w:val="0"/>
          <w:color w:val="auto"/>
          <w:szCs w:val="22"/>
          <w:highlight w:val="none"/>
          <w:lang w:eastAsia="zh-CN"/>
        </w:rPr>
      </w:pPr>
      <w:r/>
      <w:bookmarkStart w:id="22" w:name="_Toc9317"/>
      <w:r/>
      <w:bookmarkStart w:id="23" w:name="_Toc28181"/>
      <w:r>
        <w:rPr>
          <w:rFonts w:hint="eastAsia" w:ascii="宋体" w:hAnsi="宋体" w:cs="宋体"/>
          <w:b/>
          <w:bCs/>
          <w:color w:val="auto"/>
          <w:szCs w:val="22"/>
          <w:highlight w:val="none"/>
        </w:rPr>
        <w:t xml:space="preserve">一、采购编号：</w:t>
      </w:r>
      <w:bookmarkEnd w:id="22"/>
      <w:r/>
      <w:bookmarkEnd w:id="23"/>
      <w:r>
        <w:rPr>
          <w:rFonts w:hint="eastAsia" w:ascii="宋体" w:hAnsi="宋体" w:cs="宋体"/>
          <w:b w:val="0"/>
          <w:bCs w:val="0"/>
          <w:color w:val="auto"/>
          <w:szCs w:val="22"/>
          <w:highlight w:val="none"/>
        </w:rPr>
        <w:t xml:space="preserve">JSZC-320507-SZHJ-C2026-0003</w:t>
      </w:r>
      <w:r/>
    </w:p>
    <w:p>
      <w:pPr>
        <w:ind w:left="0" w:right="0" w:firstLine="422"/>
        <w:jc w:val="both"/>
        <w:keepLines w:val="0"/>
        <w:keepNext w:val="0"/>
        <w:pageBreakBefore w:val="0"/>
        <w:spacing w:line="360" w:lineRule="auto"/>
        <w:widowControl w:val="off"/>
        <w:rPr>
          <w:rFonts w:hint="eastAsia" w:ascii="宋体" w:hAnsi="宋体" w:cs="宋体"/>
          <w:color w:val="auto"/>
          <w:highlight w:val="none"/>
        </w:rPr>
      </w:pPr>
      <w:r/>
      <w:bookmarkStart w:id="24" w:name="_Toc15135"/>
      <w:r/>
      <w:bookmarkStart w:id="25" w:name="_Toc30844"/>
      <w:r>
        <w:rPr>
          <w:rFonts w:hint="eastAsia" w:ascii="宋体" w:hAnsi="宋体" w:cs="宋体"/>
          <w:b/>
          <w:bCs/>
          <w:color w:val="auto"/>
          <w:szCs w:val="22"/>
          <w:highlight w:val="none"/>
        </w:rPr>
        <w:t xml:space="preserve">二、采购内容：</w:t>
      </w:r>
      <w:bookmarkEnd w:id="24"/>
      <w:r/>
      <w:bookmarkEnd w:id="25"/>
      <w:r>
        <w:rPr>
          <w:rFonts w:hint="eastAsia" w:ascii="宋体" w:hAnsi="宋体" w:cs="宋体"/>
          <w:color w:val="auto"/>
          <w:szCs w:val="22"/>
          <w:highlight w:val="none"/>
          <w:lang w:eastAsia="zh-CN"/>
        </w:rPr>
        <w:t xml:space="preserve">太湖、望虞河沿线水利工程运行管理及防汛仓库日常管理</w:t>
      </w:r>
      <w:r/>
    </w:p>
    <w:p>
      <w:pPr>
        <w:ind w:left="0" w:right="0" w:firstLine="422"/>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
          <w:bCs/>
          <w:color w:val="auto"/>
          <w:szCs w:val="22"/>
          <w:highlight w:val="none"/>
        </w:rPr>
        <w:t xml:space="preserve">三、采购预算：</w:t>
      </w:r>
      <w:r>
        <w:rPr>
          <w:rFonts w:hint="eastAsia" w:ascii="宋体" w:hAnsi="宋体"/>
          <w:color w:val="auto"/>
          <w:szCs w:val="21"/>
          <w:highlight w:val="none"/>
        </w:rPr>
        <w:t xml:space="preserve">人民币壹佰</w:t>
      </w:r>
      <w:r>
        <w:rPr>
          <w:rFonts w:hint="eastAsia" w:ascii="宋体" w:hAnsi="宋体"/>
          <w:color w:val="auto"/>
          <w:szCs w:val="21"/>
          <w:highlight w:val="none"/>
          <w:lang w:val="en-US" w:eastAsia="zh-CN"/>
        </w:rPr>
        <w:t xml:space="preserve">叁</w:t>
      </w:r>
      <w:r>
        <w:rPr>
          <w:rFonts w:hint="eastAsia" w:ascii="宋体" w:hAnsi="宋体"/>
          <w:color w:val="auto"/>
          <w:szCs w:val="21"/>
          <w:highlight w:val="none"/>
        </w:rPr>
        <w:t xml:space="preserve">拾</w:t>
      </w:r>
      <w:r>
        <w:rPr>
          <w:rFonts w:hint="eastAsia" w:ascii="宋体" w:hAnsi="宋体"/>
          <w:color w:val="auto"/>
          <w:szCs w:val="21"/>
          <w:highlight w:val="none"/>
          <w:lang w:val="en-US"/>
        </w:rPr>
        <w:t xml:space="preserve">伍</w:t>
      </w:r>
      <w:r>
        <w:rPr>
          <w:rFonts w:hint="eastAsia" w:ascii="宋体" w:hAnsi="宋体"/>
          <w:color w:val="auto"/>
          <w:szCs w:val="21"/>
          <w:highlight w:val="none"/>
        </w:rPr>
        <w:t xml:space="preserve">万元整</w:t>
      </w:r>
      <w:r>
        <w:rPr>
          <w:rFonts w:hint="eastAsia" w:ascii="宋体" w:hAnsi="宋体" w:cs="宋体"/>
          <w:color w:val="auto"/>
          <w:szCs w:val="21"/>
          <w:highlight w:val="none"/>
        </w:rPr>
        <w:t xml:space="preserve">（¥1350000.00）。</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Cs w:val="22"/>
          <w:highlight w:val="none"/>
          <w:lang w:val="en-US" w:eastAsia="zh-CN"/>
        </w:rPr>
      </w:pPr>
      <w:r>
        <w:rPr>
          <w:rFonts w:hint="eastAsia" w:ascii="宋体" w:hAnsi="宋体" w:cs="宋体"/>
          <w:b/>
          <w:bCs/>
          <w:color w:val="auto"/>
          <w:szCs w:val="22"/>
          <w:highlight w:val="none"/>
        </w:rPr>
        <w:t xml:space="preserve">四、</w:t>
      </w:r>
      <w:r>
        <w:rPr>
          <w:rFonts w:hint="eastAsia" w:ascii="宋体" w:hAnsi="宋体" w:cs="宋体"/>
          <w:b/>
          <w:bCs/>
          <w:color w:val="auto"/>
          <w:szCs w:val="22"/>
          <w:highlight w:val="none"/>
          <w:lang w:val="en-US" w:eastAsia="zh-CN"/>
        </w:rPr>
        <w:t xml:space="preserve">最高限价：</w:t>
      </w:r>
      <w:r>
        <w:rPr>
          <w:rFonts w:hint="eastAsia" w:ascii="宋体" w:hAnsi="宋体"/>
          <w:color w:val="auto"/>
          <w:szCs w:val="21"/>
          <w:highlight w:val="none"/>
        </w:rPr>
        <w:t xml:space="preserve">人民币壹佰</w:t>
      </w:r>
      <w:r>
        <w:rPr>
          <w:rFonts w:hint="eastAsia" w:ascii="宋体" w:hAnsi="宋体"/>
          <w:color w:val="auto"/>
          <w:szCs w:val="21"/>
          <w:highlight w:val="none"/>
          <w:lang w:val="en-US" w:eastAsia="zh-CN"/>
        </w:rPr>
        <w:t xml:space="preserve">叁</w:t>
      </w:r>
      <w:r>
        <w:rPr>
          <w:rFonts w:hint="eastAsia" w:ascii="宋体" w:hAnsi="宋体"/>
          <w:color w:val="auto"/>
          <w:szCs w:val="21"/>
          <w:highlight w:val="none"/>
        </w:rPr>
        <w:t xml:space="preserve">拾</w:t>
      </w:r>
      <w:r>
        <w:rPr>
          <w:rFonts w:hint="eastAsia" w:ascii="宋体" w:hAnsi="宋体"/>
          <w:color w:val="auto"/>
          <w:szCs w:val="21"/>
          <w:highlight w:val="none"/>
          <w:lang w:val="en-US"/>
        </w:rPr>
        <w:t xml:space="preserve">伍</w:t>
      </w:r>
      <w:r>
        <w:rPr>
          <w:rFonts w:hint="eastAsia" w:ascii="宋体" w:hAnsi="宋体"/>
          <w:color w:val="auto"/>
          <w:szCs w:val="21"/>
          <w:highlight w:val="none"/>
        </w:rPr>
        <w:t xml:space="preserve">万元整</w:t>
      </w:r>
      <w:r>
        <w:rPr>
          <w:rFonts w:hint="eastAsia" w:ascii="宋体" w:hAnsi="宋体" w:cs="宋体"/>
          <w:color w:val="auto"/>
          <w:szCs w:val="21"/>
          <w:highlight w:val="none"/>
        </w:rPr>
        <w:t xml:space="preserve">（¥1350000.00）</w:t>
      </w:r>
      <w:r>
        <w:rPr>
          <w:rFonts w:hint="eastAsia" w:ascii="宋体" w:hAnsi="宋体" w:cs="宋体"/>
          <w:color w:val="auto"/>
          <w:szCs w:val="21"/>
          <w:highlight w:val="none"/>
          <w:lang w:eastAsia="zh-CN"/>
        </w:rPr>
        <w:t xml:space="preserve">。</w:t>
      </w:r>
      <w:r/>
    </w:p>
    <w:p>
      <w:pPr>
        <w:ind w:left="0" w:right="0" w:firstLine="422"/>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b/>
          <w:bCs/>
          <w:color w:val="auto"/>
          <w:szCs w:val="22"/>
          <w:highlight w:val="none"/>
        </w:rPr>
        <w:t xml:space="preserve">五、服务期限：</w:t>
      </w:r>
      <w:r>
        <w:rPr>
          <w:rFonts w:hint="eastAsia" w:ascii="宋体" w:hAnsi="宋体" w:cs="宋体"/>
          <w:color w:val="auto"/>
          <w:szCs w:val="21"/>
          <w:highlight w:val="none"/>
          <w:lang w:eastAsia="zh-CN"/>
        </w:rPr>
        <w:t xml:space="preserve">自签订合同之日起1年内。</w:t>
      </w:r>
      <w:r/>
    </w:p>
    <w:p>
      <w:pPr>
        <w:ind w:left="0" w:right="0" w:firstLine="843"/>
        <w:jc w:val="both"/>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b/>
          <w:bCs/>
          <w:color w:val="auto"/>
          <w:szCs w:val="22"/>
          <w:highlight w:val="none"/>
          <w:lang w:val="en-US" w:eastAsia="zh-CN"/>
        </w:rPr>
        <w:t xml:space="preserve">服务地点：</w:t>
      </w:r>
      <w:r>
        <w:rPr>
          <w:rFonts w:hint="eastAsia" w:ascii="宋体" w:hAnsi="宋体" w:cs="宋体"/>
          <w:color w:val="auto"/>
          <w:szCs w:val="21"/>
          <w:highlight w:val="none"/>
          <w:lang w:val="en-US" w:eastAsia="zh-CN"/>
        </w:rPr>
        <w:t xml:space="preserve">根据采购人要求。</w:t>
      </w:r>
      <w:r/>
    </w:p>
    <w:p>
      <w:pPr>
        <w:ind w:left="0" w:right="0" w:firstLine="422"/>
        <w:jc w:val="both"/>
        <w:keepLines w:val="0"/>
        <w:keepNext w:val="0"/>
        <w:pageBreakBefore w:val="0"/>
        <w:spacing w:line="360" w:lineRule="auto"/>
        <w:widowControl w:val="off"/>
        <w:rPr>
          <w:rStyle w:val="1079"/>
          <w:rFonts w:hint="eastAsia" w:ascii="宋体" w:hAnsi="宋体" w:cs="宋体"/>
          <w:b/>
          <w:bCs/>
          <w:color w:val="auto"/>
          <w:szCs w:val="21"/>
          <w:highlight w:val="none"/>
        </w:rPr>
      </w:pPr>
      <w:r>
        <w:rPr>
          <w:rStyle w:val="1079"/>
          <w:rFonts w:hint="eastAsia" w:ascii="宋体" w:hAnsi="宋体" w:cs="宋体"/>
          <w:b/>
          <w:bCs/>
          <w:color w:val="auto"/>
          <w:szCs w:val="21"/>
          <w:highlight w:val="none"/>
          <w:lang w:val="en-US" w:eastAsia="zh-CN"/>
        </w:rPr>
        <w:t xml:space="preserve">六、</w:t>
      </w:r>
      <w:r>
        <w:rPr>
          <w:rStyle w:val="1079"/>
          <w:rFonts w:hint="eastAsia" w:ascii="宋体" w:hAnsi="宋体" w:cs="宋体"/>
          <w:b/>
          <w:bCs/>
          <w:color w:val="auto"/>
          <w:szCs w:val="21"/>
          <w:highlight w:val="none"/>
        </w:rPr>
        <w:t xml:space="preserve">采购需求：</w:t>
      </w:r>
      <w:r/>
    </w:p>
    <w:p>
      <w:pPr>
        <w:ind w:left="0" w:right="0" w:firstLine="422"/>
        <w:jc w:val="both"/>
        <w:keepLines w:val="0"/>
        <w:keepNext w:val="0"/>
        <w:pageBreakBefore w:val="0"/>
        <w:spacing w:line="360" w:lineRule="auto"/>
        <w:widowControl w:val="off"/>
        <w:rPr>
          <w:b/>
          <w:color w:val="auto"/>
          <w:szCs w:val="21"/>
          <w:highlight w:val="none"/>
        </w:rPr>
      </w:pPr>
      <w:r>
        <w:rPr>
          <w:rFonts w:hint="eastAsia"/>
          <w:b/>
          <w:color w:val="auto"/>
          <w:szCs w:val="21"/>
          <w:highlight w:val="none"/>
        </w:rPr>
        <w:t xml:space="preserve">（一）项目概况：</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黄花泾船闸，琳圩河、岸石河、旺家角泵闸及太湖、望虞河沿线相城区水利工程管理中心所属的水利工程进行日常运行管理和日常设备保养，并做好设施设备维护、堤防及防汛道路保洁工作；做好黄花泾节水教育基地和区级防汛物资仓库的日常管理；根据上级调度指令对水利工程进行统一调度等。</w:t>
      </w:r>
      <w:r/>
    </w:p>
    <w:p>
      <w:pPr>
        <w:ind w:left="0" w:right="0" w:firstLine="422"/>
        <w:jc w:val="both"/>
        <w:keepLines w:val="0"/>
        <w:keepNext w:val="0"/>
        <w:pageBreakBefore w:val="0"/>
        <w:spacing w:line="360" w:lineRule="auto"/>
        <w:widowControl w:val="off"/>
        <w:rPr>
          <w:rFonts w:hint="eastAsia" w:eastAsia="宋体"/>
          <w:b/>
          <w:color w:val="auto"/>
          <w:szCs w:val="21"/>
          <w:highlight w:val="none"/>
          <w:lang w:eastAsia="zh-CN"/>
        </w:rPr>
      </w:pPr>
      <w:r>
        <w:rPr>
          <w:rFonts w:hint="eastAsia"/>
          <w:b/>
          <w:color w:val="auto"/>
          <w:szCs w:val="21"/>
          <w:highlight w:val="none"/>
        </w:rPr>
        <w:t xml:space="preserve">（二）基本情况</w:t>
      </w:r>
      <w:r>
        <w:rPr>
          <w:rFonts w:hint="eastAsia"/>
          <w:b/>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相城区所辖太湖大堤南起望亭镇钿钵头港南（与苏州市高新区接壤），北至望亭镇沙墩港，全长5.86公里,沿线有</w:t>
      </w:r>
      <w:r>
        <w:rPr>
          <w:rFonts w:hint="eastAsia" w:ascii="宋体" w:hAnsi="宋体" w:cs="宋体"/>
          <w:color w:val="auto"/>
          <w:szCs w:val="21"/>
          <w:highlight w:val="none"/>
          <w:lang w:val="en-US" w:eastAsia="zh-CN"/>
        </w:rPr>
        <w:t xml:space="preserve">闸站</w:t>
      </w:r>
      <w:r>
        <w:rPr>
          <w:rFonts w:hint="eastAsia" w:ascii="宋体" w:hAnsi="宋体" w:cs="宋体"/>
          <w:color w:val="auto"/>
          <w:szCs w:val="21"/>
          <w:highlight w:val="none"/>
        </w:rPr>
        <w:t xml:space="preserve">6座。望虞河堤防相城段西南至太湖沙墩港，东北与无锡鹅湖镇段相连，全长39.96公里，沿线有区水利工程管理中心管辖的</w:t>
      </w:r>
      <w:r>
        <w:rPr>
          <w:rFonts w:hint="eastAsia" w:ascii="宋体" w:hAnsi="宋体" w:cs="宋体"/>
          <w:color w:val="auto"/>
          <w:szCs w:val="21"/>
          <w:highlight w:val="none"/>
          <w:lang w:val="en-US" w:eastAsia="zh-CN"/>
        </w:rPr>
        <w:t xml:space="preserve">闸站24</w:t>
      </w:r>
      <w:r>
        <w:rPr>
          <w:rFonts w:hint="eastAsia" w:ascii="宋体" w:hAnsi="宋体" w:cs="宋体"/>
          <w:color w:val="auto"/>
          <w:szCs w:val="21"/>
          <w:highlight w:val="none"/>
        </w:rPr>
        <w:t xml:space="preserve">座。西塘河与朝阳河交界处黄花泾船闸内设有节水教育基地。永昌泾沿线有岸石河、琳圩河2座泵闸。春申湖东侧有旺家角泵闸。在黄埭镇设有区级防汛物资仓库，用于储存区级防汛物资和应急抢险器材。</w:t>
      </w:r>
      <w:r/>
    </w:p>
    <w:p>
      <w:pPr>
        <w:ind w:left="0" w:right="0" w:firstLine="422"/>
        <w:jc w:val="both"/>
        <w:keepLines w:val="0"/>
        <w:keepNext w:val="0"/>
        <w:pageBreakBefore w:val="0"/>
        <w:spacing w:line="360" w:lineRule="auto"/>
        <w:widowControl w:val="off"/>
        <w:rPr>
          <w:rFonts w:hint="eastAsia" w:eastAsia="宋体"/>
          <w:b/>
          <w:color w:val="auto"/>
          <w:szCs w:val="21"/>
          <w:highlight w:val="none"/>
          <w:lang w:eastAsia="zh-CN"/>
        </w:rPr>
      </w:pPr>
      <w:r>
        <w:rPr>
          <w:rFonts w:hint="eastAsia"/>
          <w:b/>
          <w:color w:val="auto"/>
          <w:szCs w:val="21"/>
          <w:highlight w:val="none"/>
        </w:rPr>
        <w:t xml:space="preserve">（三）管理要求</w:t>
      </w:r>
      <w:r>
        <w:rPr>
          <w:rFonts w:hint="eastAsia"/>
          <w:b/>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人员配置要求</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（1）对太湖、望虞河沿线</w:t>
      </w:r>
      <w:r>
        <w:rPr>
          <w:rFonts w:hint="eastAsia" w:ascii="宋体" w:hAnsi="宋体" w:cs="宋体"/>
          <w:color w:val="auto"/>
          <w:szCs w:val="21"/>
          <w:highlight w:val="none"/>
          <w:lang w:val="en-US" w:eastAsia="zh-CN"/>
        </w:rPr>
        <w:t xml:space="preserve">45.82千米</w:t>
      </w:r>
      <w:r>
        <w:rPr>
          <w:rFonts w:hint="eastAsia" w:ascii="宋体" w:hAnsi="宋体" w:cs="宋体"/>
          <w:color w:val="auto"/>
          <w:szCs w:val="21"/>
          <w:highlight w:val="none"/>
        </w:rPr>
        <w:t xml:space="preserve">堤防、3</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座闸</w:t>
      </w:r>
      <w:r>
        <w:rPr>
          <w:rFonts w:hint="eastAsia" w:ascii="宋体" w:hAnsi="宋体" w:cs="宋体"/>
          <w:color w:val="auto"/>
          <w:szCs w:val="21"/>
          <w:highlight w:val="none"/>
          <w:lang w:val="en-US" w:eastAsia="zh-CN"/>
        </w:rPr>
        <w:t xml:space="preserve">站</w:t>
      </w:r>
      <w:r>
        <w:rPr>
          <w:rFonts w:hint="eastAsia" w:ascii="宋体" w:hAnsi="宋体" w:cs="宋体"/>
          <w:color w:val="auto"/>
          <w:szCs w:val="21"/>
          <w:highlight w:val="none"/>
        </w:rPr>
        <w:t xml:space="preserve">及黄花泾船闸、岸石河、琳圩河、旺家角泵闸进行全面管理。根据运行管理工作需要，须配置工作人员</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名，其中经验丰富的项目负责人</w:t>
      </w:r>
      <w:r>
        <w:rPr>
          <w:rFonts w:hint="eastAsia" w:ascii="宋体" w:hAnsi="宋体" w:cs="宋体"/>
          <w:color w:val="auto"/>
          <w:szCs w:val="21"/>
          <w:highlight w:val="none"/>
          <w:lang w:val="en-US" w:eastAsia="zh-CN"/>
        </w:rPr>
        <w:t xml:space="preserve">兼</w:t>
      </w:r>
      <w:r>
        <w:rPr>
          <w:rFonts w:hint="eastAsia" w:ascii="宋体" w:hAnsi="宋体" w:cs="宋体"/>
          <w:color w:val="auto"/>
          <w:szCs w:val="21"/>
          <w:highlight w:val="none"/>
        </w:rPr>
        <w:t xml:space="preserve">资料员1名，持高低压电工证的机电设备日常检修维护人员1名。太湖沿线设1个管理工段，2名堤防管理人员。望虞河沿线设3个管理工段，6名堤防管理人员，冶长泾船闸设闸门操作人员</w:t>
      </w:r>
      <w:r>
        <w:rPr>
          <w:rFonts w:hint="eastAsia" w:ascii="宋体" w:hAnsi="宋体" w:cs="宋体"/>
          <w:color w:val="auto"/>
          <w:szCs w:val="21"/>
          <w:highlight w:val="none"/>
          <w:lang w:val="en-US" w:eastAsia="zh-CN"/>
        </w:rPr>
        <w:t xml:space="preserve">及过闸船只登记人员</w:t>
      </w:r>
      <w:r>
        <w:rPr>
          <w:rFonts w:hint="eastAsia" w:ascii="宋体" w:hAnsi="宋体" w:cs="宋体"/>
          <w:color w:val="auto"/>
          <w:szCs w:val="21"/>
          <w:highlight w:val="none"/>
        </w:rPr>
        <w:t xml:space="preserve">4名。黄花泾船闸及节水教育基地，设</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名管理人员。永昌泾沿线岸石河、琳圩河2座泵闸，设1名管理人员。旺家角泵闸设1名管理人员。位于黄埭镇的区级防汛物资仓库设1名管理人员。</w:t>
      </w:r>
      <w:r>
        <w:rPr>
          <w:rFonts w:hint="eastAsia" w:ascii="宋体" w:hAnsi="宋体" w:eastAsia="宋体" w:cs="宋体"/>
          <w:b/>
          <w:bCs w:val="0"/>
          <w:color w:val="auto"/>
          <w:sz w:val="21"/>
          <w:szCs w:val="21"/>
          <w:highlight w:val="none"/>
          <w:lang w:val="en-US" w:eastAsia="zh-CN" w:bidi="ar-SA"/>
        </w:rPr>
        <w:t xml:space="preserve">供应商对于工作人员可在投标文件中提供承诺函，后续签订合同时需将配备的符合采购需求的作业人员名单及相关信息材料提供给采购人。</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（2）在保障堤闸运行管理工作正常开展的基础上，精简优化管理组织架构，进一步提升运行管理队伍综合管理能力。原则上配置的工作人员</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具备一定的管理经验、从业经验或相应技能，不得超过法定退休年龄。运行管理单位需自行制定内部管理考核细则，经区水利工程管理中心审批核准后实施，采取不定期抽查或定期考核的方式对工作人员实施动态管理，增加或减少工作人员数量需向区水利工程管理中心报批及备案。</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（3）成交单位所有工作人员必须身体健康，能熟练使用电脑及手机，可自如使用苏堤巡或其他专项巡查app及视频监控系统。</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（4）实行1周7天工作制，每日工作时间8:30—16:30。在保障日常工作正常开展的情况下，可安排工作人员进行轮休。</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运行要求</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成交单位根据区水利工程管理中心的指令对太湖、望虞河沿线水利工程进行统一调度，要在接到指令后的半小时内对相关口门进行开启或者关闭。如发现不听从调度指令或擅自开关闸调水，第一次给予通报批评并处以合同款1%的罚款，再发现则自动解除合同关系。</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养护要求</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（1）按照《江苏省水闸技术管理办法》、《江苏省泵站技术管理办法》</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有关规定定期对本工程相关设备进行检查、检修保养及试验校核等工作，发现故障及时分析原因、初步排除，并上报区水利工程管理中心。</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认真执行例行保养和润滑五定制度，要求机电设备清洁，无渗油、无渗水、无积尘、无锈斑，状况良好，运行正常。根据规范要求和甲方指令更换启闭设备变速箱润滑油和液压油。严格执行各类电气设备的运行、操作、检修规程，杜绝人为重大设备事故的发生。</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（3）对闸站</w:t>
      </w:r>
      <w:r>
        <w:rPr>
          <w:rFonts w:hint="eastAsia" w:ascii="宋体" w:hAnsi="宋体" w:cs="宋体"/>
          <w:color w:val="auto"/>
          <w:szCs w:val="21"/>
          <w:highlight w:val="none"/>
          <w:lang w:val="en-US" w:eastAsia="zh-CN"/>
        </w:rPr>
        <w:t xml:space="preserve">管理</w:t>
      </w:r>
      <w:r>
        <w:rPr>
          <w:rFonts w:hint="eastAsia" w:ascii="宋体" w:hAnsi="宋体" w:cs="宋体"/>
          <w:color w:val="auto"/>
          <w:szCs w:val="21"/>
          <w:highlight w:val="none"/>
        </w:rPr>
        <w:t xml:space="preserve">房、闸室及附属建筑墙屋面大面积剥落、裂缝、渗漏，道路坍塌等情况，及时向甲方报告。保证闸站厂房、闸区内的照明器具、应急灯、消防指示灯等工作正常，保持完好。</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（4）设备、设施色标准确，油漆完好，无锈蚀。水位计完好有效，经常清洗水标尺。负责零星设备设施零部件更换工作。</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每年汛前、汛后对水闸设施设备进行例行保养。每月检查一次钢丝绳，并视情况重新涂刷油脂，每年涂刷油脂次数不少于两次。视情况定期清洗钢丝绳，在检查时要注意观察两侧钢丝绳是否平衡和钢丝绳是否有断丝，钢丝绳压板是否牢固。闸门两侧钢丝绳若不平衡，负责进行调整。如发现断丝情况及时向甲方反馈。</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（6）电气控制柜内指示灯、仪表指示准确，继电器及端子接线紧固，无灰尘、蜘蛛网，开、停操作可靠。</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（7）闸门表面外观整洁，附着的水生物、泥砂、污垢、杂物等应每个季度进行清除，闸门的联接紧固件应保持牢固。每月对闸门进行一次试运行，每季度对所有闸门进行一次整体清洗。</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（8）运行养护、安全、消防制度齐全及建立专门台帐；作业人员持证上岗，成交单位须自备必要的安全用具，包括领克棒、电工鞋，绝缘靴，安全带，安全帽等。</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设备运行、维护、保养资料应及时整理成册，交付甲方存档。有必要保存的原始数据记录整理后装订成册，交付甲方存档。年底将本年度所有的试验记录、运行记录、检修记录等装订成册，保证资料的完整性、正确性、规范性。</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（10）及时掌握水情、雨情、工情，做好信息上报和其它服务工作；</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非工作时间项目负责人电话必须24小时开机，随时接听，汛期、强降雨及台风期间工作时间运行人员30分钟到位，平时非工作时间1小时到位。特殊时期，按照区水利工程管理中心要求，成交单位应安排人员在非工作时间值班，提前告知值班人员名单、值班地点、联系方式。</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（12）运行时做好闸站运行前各系统设备的检查工作，对开机指令应详细记录、复核；指令执行完毕后，应向区水利工程管理中心报告。</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日常巡查及保洁</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巡查人员每日对大堤及闸站巡查次数不少于2次，检查挡墙、护坡、防汛通道、限高杆、减速带、警示及宣传标牌、闸站设施设备有无损坏，检查堤防及闸站管理管理范围内有无违规占用、乱垦乱种等问题。发现问题及时书面汇报甲方。</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巡查人员每日对防汛通道保洁次数不少于2次，确保堤防管理范围内无垃圾、杂物。每日对垃圾、杂物进行清理，定期对绿化进行施肥、喷药、除虫、修剪，对杂树、杂草进行清理，清理出的垃圾、杂物、杂树、杂草等运至垃圾处理点，车辆、工具自备，费用自理。</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（3）巡查人员每周对所有闸站进行一次全面卫生打扫，要求达到闸站地面干净，设备表面无灰尘、蜘蛛网、成年积垢和锈蚀，门窗可操作面无灰尘，无蜘蛛网。保洁用具自备。</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（4）对在水利工程管理范围内乱垦乱种行为及时进行制止，对种植的庄稼、蔬菜等及时进行清理，工具自备。</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（5）巡查人员在巡查时遵守交通法规，并确保巡查路上安全。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（6）巡查人员巡查时做好台账定期向甲方汇报。</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固定资产管理要求</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（1）成交单位在签订合同</w:t>
      </w:r>
      <w:r>
        <w:rPr>
          <w:rFonts w:hint="eastAsia" w:ascii="宋体" w:hAnsi="宋体" w:cs="宋体"/>
          <w:color w:val="auto"/>
          <w:szCs w:val="21"/>
          <w:highlight w:val="none"/>
          <w:lang w:val="en-US" w:eastAsia="zh-CN"/>
        </w:rPr>
        <w:t xml:space="preserve">后及时</w:t>
      </w:r>
      <w:r>
        <w:rPr>
          <w:rFonts w:hint="eastAsia" w:ascii="宋体" w:hAnsi="宋体" w:cs="宋体"/>
          <w:color w:val="auto"/>
          <w:szCs w:val="21"/>
          <w:highlight w:val="none"/>
        </w:rPr>
        <w:t xml:space="preserve">与区水利工程管理中心签署固定资产保管协议。对区水利工程管理中心提供的各闸站固定资产，成交单位负责使用、维护和管理。成交单位应加强对固定资产的管理，及时进行维护保养，使其保持良好的工作状态。</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（2）固定资产的管理、维护费用由成交单位承担。闸站及管理房的门窗、玻璃、灯具、开关、锁具、卫浴设施等损坏的维修等及电动巡逻车电瓶的更换等，由成交单位负责，费用由成交单位承担。</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固定资产若发生损坏或丢失，成交单位应及时报告区水利工程管理中心。因使用不当造成固定资产损坏的，由成交单位负责进行维修。因保管不善导致丢失的，由成交单位负责按照原来的品种、品牌、规格、型号等采购补齐。</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黄花泾节水教育馆管理要求</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（1）节水宣传</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按照</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要求负责做好黄花泾节水教育馆宣传活动；组织做好团体、散客等参观接待工作，及时报备水资源管理中心。</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（2）日常保洁</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做好黄花泾节水教育馆的日常保洁工作，定期对黄花泾节水教育馆内外进行保洁，擦拭展览橱窗，整理各类展品，及时清除展厅内的落尘、蜘蛛网，清理基地外的落叶、杂草和杂物，保持基地内部物品摆放整齐有序，内外环境整洁卫生。</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（3）日常维护</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节水教育设施进行日常维护，对老旧损坏的节水设施设备进行维修和更换，使设施设备保持良好的工作状态，能正常向观众进行演示。保障展馆展品及配套系统安全、正常、可靠运行和完好率要求，确保黄花泾节水教育馆实现科普服务功能。定期对橱窗和展板进行更新与维护，确保橱窗明净，展板字体清晰、颜色正常，并根据需要对局部展板标志及内容更新，确保宣传内容符合现阶段要求。更新外立面彩绘，做好外立面维护工作。</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（4）绿化管护</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做好黄花泾节水教育馆的绿化管护工作，定期对基地内的树木进行浇水、施肥、除虫，消除病虫害，及时进行修剪，清除枯枝、枯叶补植补栽，保持和提高基地内部绿化率。基地内花箱及花圃护栏更换为铝合金材质。维护植物造景，定期修剪施肥，保持树木花草繁茂，及时更换花圃干枯发黄软烂花卉，教育展馆周围重点区域，要求植株健硕丰满、无空秃、叶色浓绿、开花繁茂，发现缺株断垄或死亡，需立即补栽同品种、同规格的苗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（5）盆栽管护</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加强对黄花泾节水教育馆内盆栽的管护，及时进行浇水、施肥、添补更新。根据盆栽向阳或喜阴的习性及时调整盆栽摆放位置，夏季采取防晒措施，防止盆栽枝叶干枯。冬季根据需要对盆栽采取保温措施，防止盆栽冻伤。</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（6）互动菜园体验区管理</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黄花泾节水教育馆内部的菜地进行管理，及时对互动菜园体验区进行翻土，根据季节播撒应季菜种，定期进行施肥、浇水，出现病虫害时及时捉虫和喷撒农药，保持蔬菜良好长势，美化内部环境，并在成熟期及时进行收割和耕种。</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（7）安全保障</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设置完善的安全体系，做好安全保障工作。及时做好安全通道和护栏等安全设施更新，安全指示照明、引导灯及电源线更换等。定期进行消防设备的检查、更新和消防演练，提高黄花泾节水教育馆的防火能力。</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精细化管理</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配合区水利工程管理中心做好水利工程精细化管理工作。根据精细化管理的要求，细化目标任务，明晰工作标准，规范作业流程，健全管理制度，强化考核评价，构建信息平台，达到精细化管理的各项要求。</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区级防汛物资仓库管理要求</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区级防汛物资仓库进行日常管理。接到区防办的通知后，及时开启仓库大门，协助对防汛物资进行出库和入库。对出入库的防汛物资进行登、统记，定期进行清点，准确掌握防汛物资的品种、规格、数量、质量、去向等状况。每周至少对仓库进行一次全面保洁，保持环境卫生整洁、物品摆放有序、物资设备完好。</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其他管理要求</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（1）成交单位应提供</w:t>
      </w:r>
      <w:bookmarkStart w:id="26" w:name="_Hlk166660151"/>
      <w:r>
        <w:rPr>
          <w:rFonts w:hint="eastAsia" w:ascii="宋体" w:hAnsi="宋体" w:cs="宋体"/>
          <w:color w:val="auto"/>
          <w:szCs w:val="21"/>
          <w:highlight w:val="none"/>
        </w:rPr>
        <w:t xml:space="preserve">黄花泾节水教育馆</w:t>
      </w:r>
      <w:bookmarkEnd w:id="26"/>
      <w:r>
        <w:rPr>
          <w:rFonts w:hint="eastAsia" w:ascii="宋体" w:hAnsi="宋体" w:cs="宋体"/>
          <w:color w:val="auto"/>
          <w:szCs w:val="21"/>
          <w:highlight w:val="none"/>
        </w:rPr>
        <w:t xml:space="preserve">维护所需所有的物品和水利工程设施运行管理、日常养护所须的服装、设备、工具及易耗品等。服装指工作服、劳保鞋、防撞反光马甲等。设备指对机电设备进行维修保养时所须的各种设备及工具。易耗品指日常养护所需的黄油、油漆、润滑油、办公用品等。日常工具包括垃圾车、垃圾桶、清洁用具等。所有人员需统一着装，必要时配戴安全帽等安全护具。</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（2）本项目单次费用在500元以下的简单小修及零配件更换等，由成交单位负责，费用由成交单位承担。</w:t>
      </w:r>
      <w:r/>
    </w:p>
    <w:p>
      <w:pPr>
        <w:ind w:left="0" w:right="0" w:firstLine="422"/>
        <w:jc w:val="both"/>
        <w:keepLines w:val="0"/>
        <w:keepNext w:val="0"/>
        <w:pageBreakBefore w:val="0"/>
        <w:spacing w:line="360" w:lineRule="auto"/>
        <w:widowControl w:val="off"/>
        <w:rPr>
          <w:rFonts w:hint="eastAsia" w:eastAsia="宋体"/>
          <w:b/>
          <w:color w:val="auto"/>
          <w:szCs w:val="21"/>
          <w:highlight w:val="none"/>
          <w:lang w:eastAsia="zh-CN"/>
        </w:rPr>
      </w:pPr>
      <w:r>
        <w:rPr>
          <w:rFonts w:hint="eastAsia"/>
          <w:b/>
          <w:color w:val="auto"/>
          <w:szCs w:val="21"/>
          <w:highlight w:val="none"/>
        </w:rPr>
        <w:t xml:space="preserve">（四）检查考核</w:t>
      </w:r>
      <w:r>
        <w:rPr>
          <w:rFonts w:hint="eastAsia"/>
          <w:b/>
          <w:color w:val="auto"/>
          <w:szCs w:val="21"/>
          <w:highlight w:val="none"/>
          <w:lang w:eastAsia="zh-CN"/>
        </w:rPr>
        <w:t xml:space="preserve">：</w:t>
      </w:r>
      <w:r/>
    </w:p>
    <w:p>
      <w:pPr>
        <w:ind w:left="0" w:right="0" w:firstLine="420"/>
        <w:jc w:val="both"/>
        <w:keepLines w:val="0"/>
        <w:keepNext w:val="0"/>
        <w:pageBreakBefore w:val="0"/>
        <w:spacing w:line="360" w:lineRule="auto"/>
        <w:widowControl w:val="off"/>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巡视检查</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为查找堤防工程存在的隐患与损坏，确保工程安全、稳定运行，成交单位应有计划、有组织地对区水利工程管理中心所属的水利工程设施进行现场巡视、查勘、测量等，检查记录要及时整理，并签名归档。巡查人员要做到每天二次巡查，24小时保持通讯畅通，若发现违法、违规侵占水利工程管理范围和在堤防上乱垦乱种等行为的，应立即上报。通过开展日常巡查、定期检查（汛前、汛后及台风期前后）和专项核查（根据管理需要和堤防工况变化开展），及时发现问题并按规定流程进行处理。</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工作制定</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成交单位每周一上午上报本周工作计划及上周工作完成情况。严格执行工作计划，准时完成各项计划任务，并拍摄工作现场照片或者视频上传工作群。如有特殊情况（如异常恶劣的天气、临时任务等），汇报工管中心后对工作计划进行调整。</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根据工作需要，甲方向成交单位发出工作指令单，规定合理的完成时限。成交单位须在规定的时限内完成工作任务，并将完成情况汇报甲方。</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监督考核</w:t>
      </w:r>
      <w:r>
        <w:rPr>
          <w:rFonts w:hint="eastAsia" w:ascii="宋体" w:hAnsi="宋体" w:cs="宋体"/>
          <w:color w:val="auto"/>
          <w:szCs w:val="21"/>
          <w:highlight w:val="none"/>
          <w:lang w:eastAsia="zh-CN"/>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和太湖、望虞河沿线水利工程运行管理考核办法要求（详见附件），区工管中心每季度组织对成交单位负责的太湖、望虞河沿线水利工程运行管理情况进行考核（百分制考核），并及时把考核结果通报给成交单位，对存在的问题要求限期整改。考核内容包括管理制度、运行管理、安全生产、作业时间、文明作业等。</w:t>
      </w:r>
      <w:r/>
    </w:p>
    <w:p>
      <w:pPr>
        <w:ind w:left="0" w:right="0" w:firstLine="422"/>
        <w:jc w:val="both"/>
        <w:keepLines w:val="0"/>
        <w:keepNext w:val="0"/>
        <w:pageBreakBefore w:val="0"/>
        <w:spacing w:line="360" w:lineRule="auto"/>
        <w:widowControl w:val="off"/>
        <w:rPr>
          <w:b/>
          <w:color w:val="auto"/>
          <w:szCs w:val="21"/>
          <w:highlight w:val="none"/>
        </w:rPr>
      </w:pPr>
      <w:r>
        <w:rPr>
          <w:rFonts w:hint="eastAsia"/>
          <w:b/>
          <w:color w:val="auto"/>
          <w:szCs w:val="21"/>
          <w:highlight w:val="none"/>
          <w:lang w:val="en-US" w:eastAsia="zh-CN"/>
        </w:rPr>
        <w:t xml:space="preserve">七、</w:t>
      </w:r>
      <w:r>
        <w:rPr>
          <w:rFonts w:hint="eastAsia"/>
          <w:b/>
          <w:color w:val="auto"/>
          <w:szCs w:val="21"/>
          <w:highlight w:val="none"/>
        </w:rPr>
        <w:t xml:space="preserve">其他要求及综合说明：</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供应商提供的服务能够至少达到以上要求，同时明确具体的服务方案。</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供应商必须承诺磋商文件中提出的全部要求，如果其中某些条款不响应时，应在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服务要求偏离表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中逐条列出，未列出的视同响应。</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供应商应对所投项目的全部内容进行报价，只投其中部分内容者，其响应文件将被拒绝。成交供应商对服务缺陷不予更正，采购方有权另请其他单位更正，所发生的费用由成交供应商承担。</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本合同为固定总价合同，投标报价包括服务期限内完成该项目工作所需的所有费用，包括但不限于在承包期内需要的服务管理内容、各种税费、人工（工资薪金、五险一金、伙食费、工装费、加班费、体检费、福利费等）、劳保、维护、利润、税金、政策性文件规定及合同包含的所有风险、加班、福利、责任等各项应有费用，服务人员工资水平应不低于服务期内苏州市最低工资标准。</w:t>
      </w: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报价为最终报价，除非因特殊原因并经双方协商同意，</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不得再要求追加任何费用。同时，除非合同条款中另有规定，否则，</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所报价格在合同实施期间不因市场变化因素而变动。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供应商须承诺在防汛期间保证闸站正常运行，人员保持在位。</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如遇服务范围内有大的调整情况，采购单位将提前告知成交单位，合同内容经双方协商调整</w:t>
      </w:r>
      <w:r>
        <w:rPr>
          <w:rFonts w:hint="eastAsia" w:ascii="宋体" w:hAnsi="宋体" w:cs="宋体"/>
          <w:color w:val="auto"/>
          <w:szCs w:val="21"/>
          <w:highlight w:val="none"/>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若成交单位在服务期间出现重大责任问题或考核严重不合格将被解除服务合同，成交单位被解除服务合同后，本项目重新招标</w:t>
      </w:r>
      <w:r>
        <w:rPr>
          <w:rFonts w:hint="eastAsia" w:ascii="宋体" w:hAnsi="宋体" w:cs="宋体"/>
          <w:color w:val="auto"/>
          <w:szCs w:val="21"/>
          <w:highlight w:val="none"/>
        </w:rPr>
        <w:t xml:space="preserve">。</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成交单位工作人员在岗履行职责期间（包括上下班途中），发生自身的人身伤害、伤亡，均由成交单位负责处理并承担经济和道义上的责任，采购单位不承担任何责任。</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成交供应商对服务缺陷不予更正，甲方有权另请其他单位更正，所发生的费用由成交供应商承担。</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无论投标过程中的做法和结果如何，供应商自行承担所有与参加投标有关的全部费用。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若成交供应商在服务期间，违反下列规定将被解除服务合同，并扣除剩余待支付费用：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 严禁将服务转包他人。</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 出现重大责任事故。</w:t>
      </w:r>
      <w:r/>
    </w:p>
    <w:p>
      <w:pPr>
        <w:ind w:left="0" w:right="0" w:firstLine="420"/>
        <w:jc w:val="both"/>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13.3 泄露相关保密信息。</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pStyle w:val="986"/>
        <w:jc w:val="center"/>
        <w:spacing w:line="416" w:lineRule="auto"/>
        <w:rPr>
          <w:rStyle w:val="1073"/>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7" w:name="_Toc17491"/>
      <w:r/>
      <w:bookmarkStart w:id="28" w:name="_Toc9974"/>
      <w:r>
        <w:rPr>
          <w:rFonts w:hint="eastAsia" w:ascii="宋体" w:hAnsi="宋体" w:cs="宋体"/>
          <w:color w:val="000000" w:themeColor="text1"/>
          <w:highlight w:val="none"/>
          <w14:textFill>
            <w14:solidFill>
              <w14:schemeClr w14:val="tx1"/>
            </w14:solidFill>
          </w14:textFill>
        </w:rPr>
        <w:t xml:space="preserve">第四章 评审方法及评分标准</w:t>
      </w:r>
      <w:bookmarkEnd w:id="27"/>
      <w:r/>
      <w:r/>
    </w:p>
    <w:p>
      <w:pPr>
        <w:ind w:firstLine="422"/>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一、评审办法</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2.评审小组各成员独立对每个进入打分程序的有效磋商供应商的响应文件技术和资质部分以打分的形式进行评审和评价。 </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3.对评委的评分进行统计汇总，直接算术平均计算得分，计算出每个磋商供应商的得分，加上价格得分即为每个磋商供应商的综合得分。 </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4.如出现评审总得分最高的磋商供应商有两个或两个以上的，以磋商报价较低者优先作为成交人，如果磋商报价也相同的，则由采购人</w:t>
      </w:r>
      <w:r>
        <w:rPr>
          <w:rFonts w:hint="eastAsia" w:ascii="宋体" w:hAnsi="宋体" w:cs="宋体"/>
          <w:bCs/>
          <w:color w:val="000000" w:themeColor="text1"/>
          <w:szCs w:val="21"/>
          <w:highlight w:val="none"/>
          <w:lang w:val="en-US" w:eastAsia="zh-CN"/>
          <w14:textFill>
            <w14:solidFill>
              <w14:schemeClr w14:val="tx1"/>
            </w14:solidFill>
          </w14:textFill>
        </w:rPr>
        <w:t xml:space="preserve">或评审小组</w:t>
      </w:r>
      <w:r>
        <w:rPr>
          <w:rFonts w:hint="eastAsia" w:ascii="宋体" w:hAnsi="宋体" w:cs="宋体"/>
          <w:bCs/>
          <w:color w:val="000000" w:themeColor="text1"/>
          <w:szCs w:val="21"/>
          <w:highlight w:val="none"/>
          <w14:textFill>
            <w14:solidFill>
              <w14:schemeClr w14:val="tx1"/>
            </w14:solidFill>
          </w14:textFill>
        </w:rPr>
        <w:t xml:space="preserve">组织以抽签方式确定成交人。</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szCs w:val="22"/>
          <w:highlight w:val="none"/>
        </w:rPr>
        <w:t xml:space="preserve">针对中小型企业、残疾人福利企业和监狱企业的评审</w:t>
      </w:r>
      <w:r>
        <w:rPr>
          <w:rFonts w:hint="eastAsia" w:ascii="宋体" w:hAnsi="宋体" w:cs="宋体"/>
          <w:color w:val="000000" w:themeColor="text1"/>
          <w:szCs w:val="21"/>
          <w:highlight w:val="none"/>
          <w14:textFill>
            <w14:solidFill>
              <w14:schemeClr w14:val="tx1"/>
            </w14:solidFill>
          </w14:textFill>
        </w:rPr>
        <w:t xml:space="preserve">：</w:t>
      </w:r>
      <w:r/>
    </w:p>
    <w:p>
      <w:pPr>
        <w:ind w:firstLine="422"/>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本项目</w:t>
      </w:r>
      <w:r>
        <w:rPr>
          <w:rFonts w:hint="eastAsia" w:ascii="宋体" w:hAnsi="宋体" w:cs="宋体"/>
          <w:b/>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
          <w:bCs/>
          <w:color w:val="000000" w:themeColor="text1"/>
          <w:szCs w:val="21"/>
          <w:highlight w:val="none"/>
          <w14:textFill>
            <w14:solidFill>
              <w14:schemeClr w14:val="tx1"/>
            </w14:solidFill>
          </w14:textFill>
        </w:rPr>
        <w:t xml:space="preserve">面向中小企业采购。</w:t>
      </w:r>
      <w:r/>
    </w:p>
    <w:p>
      <w:pPr>
        <w:ind w:firstLine="420"/>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根据《政府采购促进中小企业发展管理办法》（财库〔2020〕46号）、《关于促进残疾人就业政府采购政策的通知》（财</w:t>
      </w:r>
      <w:r>
        <w:rPr>
          <w:rFonts w:hint="eastAsia" w:ascii="宋体" w:hAnsi="宋体" w:cs="宋体"/>
          <w:color w:val="000000" w:themeColor="text1"/>
          <w:szCs w:val="21"/>
          <w:highlight w:val="none"/>
          <w14:textFill>
            <w14:solidFill>
              <w14:schemeClr w14:val="tx1"/>
            </w14:solidFill>
          </w14:textFill>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宋体" w:hAnsi="宋体" w:cs="宋体"/>
          <w:b/>
          <w:bCs/>
          <w:color w:val="000000" w:themeColor="text1"/>
          <w:szCs w:val="21"/>
          <w:highlight w:val="none"/>
          <w14:textFill>
            <w14:solidFill>
              <w14:schemeClr w14:val="tx1"/>
            </w14:solidFill>
          </w14:textFill>
        </w:rPr>
        <w:t xml:space="preserve">服务类项目中供应商若使用退休人员，将不享受中小企业扶持政策。</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①填报“中小企业声明函”需严格按“工信部联企业〔2011〕300号通知中的《中小企业划型标准规定》进行。</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cs="宋体"/>
          <w:b/>
          <w:bCs/>
          <w:color w:val="auto"/>
          <w:szCs w:val="21"/>
          <w:highlight w:val="none"/>
        </w:rPr>
        <w:t xml:space="preserve">③若为专门面向中小企业采购的项目或者采购包，不再执行价格评审优惠的扶持政策</w:t>
      </w:r>
      <w:r>
        <w:rPr>
          <w:rFonts w:hint="eastAsia" w:ascii="宋体" w:hAnsi="宋体" w:cs="宋体"/>
          <w:b/>
          <w:bCs/>
          <w:color w:val="auto"/>
          <w:szCs w:val="21"/>
          <w:highlight w:val="none"/>
          <w:lang w:eastAsia="zh-CN"/>
        </w:rPr>
        <w:t xml:space="preserve">，</w:t>
      </w:r>
      <w:r>
        <w:rPr>
          <w:rFonts w:hint="eastAsia" w:ascii="宋体" w:hAnsi="宋体" w:eastAsia="宋体" w:cs="宋体"/>
          <w:b/>
          <w:bCs w:val="0"/>
          <w:color w:val="auto"/>
          <w:sz w:val="21"/>
          <w:szCs w:val="21"/>
          <w:highlight w:val="none"/>
          <w:lang w:val="en-US" w:eastAsia="zh-CN" w:bidi="ar-SA"/>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firstLine="422"/>
        <w:jc w:val="both"/>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二、评分标准</w:t>
      </w:r>
      <w:bookmarkEnd w:id="28"/>
      <w:r/>
      <w:r/>
    </w:p>
    <w:p>
      <w:pPr>
        <w:ind w:firstLine="422"/>
        <w:jc w:val="both"/>
        <w:keepLines w:val="0"/>
        <w:keepNext w:val="0"/>
        <w:pageBreakBefore w:val="0"/>
        <w:spacing w:line="360" w:lineRule="auto"/>
        <w:widowControl w:val="off"/>
        <w:tabs>
          <w:tab w:val="left" w:pos="0" w:leader="none"/>
        </w:tabs>
        <w:rPr>
          <w:rFonts w:ascii="宋体" w:hAnsi="宋体"/>
          <w:b/>
          <w:color w:val="auto"/>
          <w:szCs w:val="21"/>
          <w:highlight w:val="none"/>
        </w:rPr>
      </w:pPr>
      <w:r>
        <w:rPr>
          <w:rFonts w:ascii="宋体" w:hAnsi="宋体"/>
          <w:b/>
          <w:color w:val="auto"/>
          <w:szCs w:val="21"/>
          <w:highlight w:val="none"/>
        </w:rPr>
        <w:t xml:space="preserve">（一）投标报价（20分）</w:t>
      </w:r>
      <w:r/>
    </w:p>
    <w:p>
      <w:pPr>
        <w:ind w:firstLine="420"/>
        <w:jc w:val="both"/>
        <w:keepLines w:val="0"/>
        <w:keepNext w:val="0"/>
        <w:pageBreakBefore w:val="0"/>
        <w:spacing w:line="360" w:lineRule="auto"/>
        <w:widowControl w:val="off"/>
        <w:tabs>
          <w:tab w:val="left" w:pos="2870" w:leader="none"/>
        </w:tabs>
        <w:rPr>
          <w:rFonts w:ascii="宋体" w:hAnsi="宋体"/>
          <w:bCs/>
          <w:color w:val="auto"/>
          <w:szCs w:val="21"/>
          <w:highlight w:val="none"/>
        </w:rPr>
      </w:pPr>
      <w:r>
        <w:rPr>
          <w:rFonts w:ascii="宋体" w:hAnsi="宋体"/>
          <w:bCs/>
          <w:color w:val="auto"/>
          <w:szCs w:val="21"/>
          <w:highlight w:val="none"/>
        </w:rPr>
        <w:t xml:space="preserve">价格分采用低价优先法计算，即满足采购文件要求且投标价格最低的投标报价为评标基准价，其价格分为满分。其他响应单位的价格分统一按照下列公式计算：</w:t>
      </w:r>
      <w:r/>
    </w:p>
    <w:p>
      <w:pPr>
        <w:ind w:firstLine="420"/>
        <w:jc w:val="both"/>
        <w:keepLines w:val="0"/>
        <w:keepNext w:val="0"/>
        <w:pageBreakBefore w:val="0"/>
        <w:spacing w:line="360" w:lineRule="auto"/>
        <w:widowControl w:val="off"/>
        <w:tabs>
          <w:tab w:val="left" w:pos="2870" w:leader="none"/>
        </w:tabs>
        <w:rPr>
          <w:rFonts w:ascii="宋体" w:hAnsi="宋体"/>
          <w:bCs/>
          <w:color w:val="auto"/>
          <w:szCs w:val="21"/>
          <w:highlight w:val="none"/>
        </w:rPr>
      </w:pPr>
      <w:r>
        <w:rPr>
          <w:rFonts w:ascii="宋体" w:hAnsi="宋体"/>
          <w:bCs/>
          <w:color w:val="auto"/>
          <w:szCs w:val="21"/>
          <w:highlight w:val="none"/>
        </w:rPr>
        <w:t xml:space="preserve">投标报价得分=（评标基准价/投标报价）*20%*100（计算结果四舍五入，保留小数点后两位）</w:t>
      </w:r>
      <w:r/>
    </w:p>
    <w:p>
      <w:pPr>
        <w:ind w:firstLine="422"/>
        <w:jc w:val="both"/>
        <w:keepLines w:val="0"/>
        <w:keepNext w:val="0"/>
        <w:pageBreakBefore w:val="0"/>
        <w:spacing w:line="360" w:lineRule="auto"/>
        <w:widowControl w:val="off"/>
        <w:tabs>
          <w:tab w:val="left" w:pos="0" w:leader="none"/>
        </w:tabs>
        <w:rPr>
          <w:rFonts w:ascii="宋体" w:hAnsi="宋体"/>
          <w:b/>
          <w:color w:val="auto"/>
          <w:szCs w:val="21"/>
          <w:highlight w:val="none"/>
        </w:rPr>
      </w:pPr>
      <w:r>
        <w:rPr>
          <w:rFonts w:hint="eastAsia" w:ascii="宋体" w:hAnsi="宋体"/>
          <w:b/>
          <w:color w:val="auto"/>
          <w:szCs w:val="21"/>
          <w:highlight w:val="none"/>
        </w:rPr>
        <w:t xml:space="preserve">（二）技术部分（</w:t>
      </w:r>
      <w:r>
        <w:rPr>
          <w:rFonts w:ascii="宋体" w:hAnsi="宋体"/>
          <w:b/>
          <w:color w:val="auto"/>
          <w:szCs w:val="21"/>
          <w:highlight w:val="none"/>
        </w:rPr>
        <w:t xml:space="preserve">8</w:t>
      </w:r>
      <w:r>
        <w:rPr>
          <w:rFonts w:hint="eastAsia" w:ascii="宋体" w:hAnsi="宋体"/>
          <w:b/>
          <w:color w:val="auto"/>
          <w:szCs w:val="21"/>
          <w:highlight w:val="none"/>
        </w:rPr>
        <w:t xml:space="preserve">0分）</w:t>
      </w:r>
      <w:r/>
    </w:p>
    <w:p>
      <w:pPr>
        <w:ind w:firstLine="422"/>
        <w:jc w:val="both"/>
        <w:keepLines w:val="0"/>
        <w:keepNext w:val="0"/>
        <w:pageBreakBefore w:val="0"/>
        <w:spacing w:line="360" w:lineRule="auto"/>
        <w:widowControl w:val="off"/>
        <w:tabs>
          <w:tab w:val="left" w:pos="0" w:leader="none"/>
        </w:tabs>
        <w:rPr>
          <w:rFonts w:ascii="宋体" w:hAnsi="宋体" w:cs="宋体"/>
          <w:b/>
          <w:color w:val="auto"/>
          <w:szCs w:val="21"/>
          <w:highlight w:val="none"/>
        </w:rPr>
      </w:pPr>
      <w:r>
        <w:rPr>
          <w:rFonts w:ascii="宋体" w:hAnsi="宋体" w:cs="宋体"/>
          <w:b/>
          <w:color w:val="auto"/>
          <w:szCs w:val="21"/>
          <w:highlight w:val="none"/>
        </w:rPr>
        <w:t xml:space="preserve">1</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实施方案（</w:t>
      </w:r>
      <w:r>
        <w:rPr>
          <w:rFonts w:hint="eastAsia" w:ascii="宋体" w:hAnsi="宋体" w:cs="宋体"/>
          <w:b/>
          <w:color w:val="auto"/>
          <w:szCs w:val="21"/>
          <w:highlight w:val="none"/>
          <w:lang w:val="en-US" w:eastAsia="zh-CN"/>
        </w:rPr>
        <w:t xml:space="preserve">51</w:t>
      </w:r>
      <w:r>
        <w:rPr>
          <w:rFonts w:hint="eastAsia" w:ascii="宋体" w:hAnsi="宋体" w:cs="宋体"/>
          <w:b/>
          <w:color w:val="auto"/>
          <w:szCs w:val="21"/>
          <w:highlight w:val="none"/>
        </w:rPr>
        <w:t xml:space="preserve">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1.1项目</w:t>
      </w:r>
      <w:r>
        <w:rPr>
          <w:rFonts w:hint="eastAsia" w:ascii="宋体" w:hAnsi="宋体" w:cs="宋体"/>
          <w:bCs/>
          <w:color w:val="auto"/>
          <w:szCs w:val="21"/>
          <w:highlight w:val="none"/>
        </w:rPr>
        <w:t xml:space="preserve">管理内容（包括各系统设备的检查、设施设备的检修保养、日常巡查及保洁、区级防汛物资仓库管理等）（1</w:t>
      </w:r>
      <w:r>
        <w:rPr>
          <w:rFonts w:ascii="宋体" w:hAnsi="宋体" w:cs="宋体"/>
          <w:bCs/>
          <w:color w:val="auto"/>
          <w:szCs w:val="21"/>
          <w:highlight w:val="none"/>
        </w:rPr>
        <w:t xml:space="preserve">2分</w:t>
      </w:r>
      <w:r>
        <w:rPr>
          <w:rFonts w:hint="eastAsia" w:ascii="宋体" w:hAnsi="宋体" w:cs="宋体"/>
          <w:bCs/>
          <w:color w:val="auto"/>
          <w:szCs w:val="21"/>
          <w:highlight w:val="none"/>
        </w:rPr>
        <w:t xml:space="preserve">）</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方案科学合理、针对性强、操作性高的得</w:t>
      </w:r>
      <w:r>
        <w:rPr>
          <w:rFonts w:ascii="宋体" w:hAnsi="宋体" w:cs="宋体"/>
          <w:bCs/>
          <w:color w:val="auto"/>
          <w:szCs w:val="21"/>
          <w:highlight w:val="none"/>
        </w:rPr>
        <w:t xml:space="preserve">12</w:t>
      </w:r>
      <w:r>
        <w:rPr>
          <w:rFonts w:hint="eastAsia" w:ascii="宋体" w:hAnsi="宋体" w:cs="宋体"/>
          <w:bCs/>
          <w:color w:val="auto"/>
          <w:szCs w:val="21"/>
          <w:highlight w:val="none"/>
        </w:rPr>
        <w:t xml:space="preserve">分；方案较合理、针对性较强、操作性较高的得</w:t>
      </w: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分；方案针对性及可操作性一般的得</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分；方案针对性较弱、操作性较低的得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分；不提供不得分。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.2工程管理规划（含管理机构组建、制度建设、操作规程、各种预案、安全生产等）（1</w:t>
      </w:r>
      <w:r>
        <w:rPr>
          <w:rFonts w:ascii="宋体" w:hAnsi="宋体" w:cs="宋体"/>
          <w:bCs/>
          <w:color w:val="auto"/>
          <w:szCs w:val="21"/>
          <w:highlight w:val="none"/>
        </w:rPr>
        <w:t xml:space="preserve">2分</w:t>
      </w:r>
      <w:r>
        <w:rPr>
          <w:rFonts w:hint="eastAsia" w:ascii="宋体" w:hAnsi="宋体" w:cs="宋体"/>
          <w:bCs/>
          <w:color w:val="auto"/>
          <w:szCs w:val="21"/>
          <w:highlight w:val="none"/>
        </w:rPr>
        <w:t xml:space="preserve">）</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方案</w:t>
      </w:r>
      <w:r>
        <w:rPr>
          <w:rFonts w:hint="eastAsia" w:ascii="宋体" w:hAnsi="宋体" w:cs="宋体"/>
          <w:bCs/>
          <w:color w:val="auto"/>
          <w:szCs w:val="21"/>
          <w:highlight w:val="none"/>
        </w:rPr>
        <w:t xml:space="preserve">全面、合理、可行性高的得</w:t>
      </w:r>
      <w:r>
        <w:rPr>
          <w:rFonts w:ascii="宋体" w:hAnsi="宋体" w:cs="宋体"/>
          <w:bCs/>
          <w:color w:val="auto"/>
          <w:szCs w:val="21"/>
          <w:highlight w:val="none"/>
        </w:rPr>
        <w:t xml:space="preserve">12</w:t>
      </w:r>
      <w:r>
        <w:rPr>
          <w:rFonts w:hint="eastAsia" w:ascii="宋体" w:hAnsi="宋体" w:cs="宋体"/>
          <w:bCs/>
          <w:color w:val="auto"/>
          <w:szCs w:val="21"/>
          <w:highlight w:val="none"/>
        </w:rPr>
        <w:t xml:space="preserve">分；方案较全面、较合理、可行性较高的得</w:t>
      </w: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分；方案一般、可行性一般的得</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分；方案不全面、不太合理、可行性较低的得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分；不提供不得分。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进度计划及进度保障措施（</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针对本项目制定的进度计划及保障措施全面完善、思路清晰、合理可行的得</w:t>
      </w:r>
      <w:r>
        <w:rPr>
          <w:rFonts w:hint="eastAsia" w:ascii="宋体" w:hAnsi="宋体" w:cs="宋体"/>
          <w:bCs/>
          <w:color w:val="auto"/>
          <w:szCs w:val="21"/>
          <w:highlight w:val="none"/>
          <w:lang w:val="en-US" w:eastAsia="zh-CN"/>
        </w:rPr>
        <w:t xml:space="preserve">7</w:t>
      </w:r>
      <w:r>
        <w:rPr>
          <w:rFonts w:ascii="宋体" w:hAnsi="宋体" w:cs="宋体"/>
          <w:bCs/>
          <w:color w:val="auto"/>
          <w:szCs w:val="21"/>
          <w:highlight w:val="none"/>
        </w:rPr>
        <w:t xml:space="preserve">分</w:t>
      </w:r>
      <w:r>
        <w:rPr>
          <w:rFonts w:hint="eastAsia" w:ascii="宋体" w:hAnsi="宋体" w:cs="宋体"/>
          <w:bCs/>
          <w:color w:val="auto"/>
          <w:szCs w:val="21"/>
          <w:highlight w:val="none"/>
        </w:rPr>
        <w:t xml:space="preserve">；进度计划及保障措施较全面完善、思路较清晰、较合理、可行性较高的得</w:t>
      </w:r>
      <w:r>
        <w:rPr>
          <w:rFonts w:hint="eastAsia" w:ascii="宋体" w:hAnsi="宋体" w:eastAsia="宋体" w:cs="宋体"/>
          <w:bCs/>
          <w:color w:val="auto"/>
          <w:szCs w:val="21"/>
          <w:highlight w:val="none"/>
          <w:lang w:val="en-US" w:eastAsia="zh-CN"/>
        </w:rPr>
        <w:t xml:space="preserve">5</w:t>
      </w:r>
      <w:r>
        <w:rPr>
          <w:rFonts w:ascii="宋体" w:hAnsi="宋体" w:cs="宋体"/>
          <w:bCs/>
          <w:color w:val="auto"/>
          <w:szCs w:val="21"/>
          <w:highlight w:val="none"/>
        </w:rPr>
        <w:t xml:space="preserve">分</w:t>
      </w:r>
      <w:r>
        <w:rPr>
          <w:rFonts w:hint="eastAsia" w:ascii="宋体" w:hAnsi="宋体" w:cs="宋体"/>
          <w:bCs/>
          <w:color w:val="auto"/>
          <w:szCs w:val="21"/>
          <w:highlight w:val="none"/>
        </w:rPr>
        <w:t xml:space="preserve">；进度计划及保障措施一般、思路一般、可行性一般的得</w:t>
      </w:r>
      <w:r>
        <w:rPr>
          <w:rFonts w:ascii="宋体" w:hAnsi="宋体" w:cs="宋体"/>
          <w:bCs/>
          <w:color w:val="auto"/>
          <w:szCs w:val="21"/>
          <w:highlight w:val="none"/>
        </w:rPr>
        <w:t xml:space="preserve">2分</w:t>
      </w:r>
      <w:r>
        <w:rPr>
          <w:rFonts w:hint="eastAsia" w:ascii="宋体" w:hAnsi="宋体" w:cs="宋体"/>
          <w:bCs/>
          <w:color w:val="auto"/>
          <w:szCs w:val="21"/>
          <w:highlight w:val="none"/>
        </w:rPr>
        <w:t xml:space="preserve">；不提供不得分。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质量保证体系及保证措施（</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针对本项目的质量保证体系健全、质量保证措施合理可行的得</w:t>
      </w:r>
      <w:r>
        <w:rPr>
          <w:rFonts w:hint="eastAsia" w:ascii="宋体" w:hAnsi="宋体" w:cs="宋体"/>
          <w:bCs/>
          <w:color w:val="auto"/>
          <w:szCs w:val="21"/>
          <w:highlight w:val="none"/>
          <w:lang w:val="en-US" w:eastAsia="zh-CN"/>
        </w:rPr>
        <w:t xml:space="preserve">7</w:t>
      </w:r>
      <w:r>
        <w:rPr>
          <w:rFonts w:ascii="宋体" w:hAnsi="宋体" w:cs="宋体"/>
          <w:bCs/>
          <w:color w:val="auto"/>
          <w:szCs w:val="21"/>
          <w:highlight w:val="none"/>
        </w:rPr>
        <w:t xml:space="preserve">分；质量保证体系较健全</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质量保证措施较合理</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可行性较高</w:t>
      </w:r>
      <w:r>
        <w:rPr>
          <w:rFonts w:hint="eastAsia" w:ascii="宋体" w:hAnsi="宋体" w:cs="宋体"/>
          <w:bCs/>
          <w:color w:val="auto"/>
          <w:szCs w:val="21"/>
          <w:highlight w:val="none"/>
        </w:rPr>
        <w:t xml:space="preserve">的</w:t>
      </w:r>
      <w:r>
        <w:rPr>
          <w:rFonts w:ascii="宋体" w:hAnsi="宋体" w:cs="宋体"/>
          <w:bCs/>
          <w:color w:val="auto"/>
          <w:szCs w:val="21"/>
          <w:highlight w:val="none"/>
        </w:rPr>
        <w:t xml:space="preserve">得</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5</w:t>
      </w:r>
      <w:r>
        <w:rPr>
          <w:rFonts w:ascii="宋体" w:hAnsi="宋体" w:cs="宋体"/>
          <w:bCs/>
          <w:color w:val="auto"/>
          <w:szCs w:val="21"/>
          <w:highlight w:val="none"/>
        </w:rPr>
        <w:t xml:space="preserve">分；质量保证体系不太健全</w:t>
      </w:r>
      <w:r>
        <w:rPr>
          <w:rFonts w:hint="eastAsia" w:ascii="宋体" w:hAnsi="宋体" w:cs="宋体"/>
          <w:bCs/>
          <w:color w:val="auto"/>
          <w:szCs w:val="21"/>
          <w:highlight w:val="none"/>
        </w:rPr>
        <w:t xml:space="preserve">、基本合理、</w:t>
      </w:r>
      <w:r>
        <w:rPr>
          <w:rFonts w:ascii="宋体" w:hAnsi="宋体" w:cs="宋体"/>
          <w:bCs/>
          <w:color w:val="auto"/>
          <w:szCs w:val="21"/>
          <w:highlight w:val="none"/>
        </w:rPr>
        <w:t xml:space="preserve">可</w:t>
      </w:r>
      <w:r>
        <w:rPr>
          <w:rFonts w:hint="eastAsia" w:ascii="宋体" w:hAnsi="宋体" w:cs="宋体"/>
          <w:bCs/>
          <w:color w:val="auto"/>
          <w:szCs w:val="21"/>
          <w:highlight w:val="none"/>
        </w:rPr>
        <w:t xml:space="preserve">行</w:t>
      </w:r>
      <w:r>
        <w:rPr>
          <w:rFonts w:ascii="宋体" w:hAnsi="宋体" w:cs="宋体"/>
          <w:bCs/>
          <w:color w:val="auto"/>
          <w:szCs w:val="21"/>
          <w:highlight w:val="none"/>
        </w:rPr>
        <w:t xml:space="preserve">性</w:t>
      </w:r>
      <w:r>
        <w:rPr>
          <w:rFonts w:hint="eastAsia" w:ascii="宋体" w:hAnsi="宋体" w:cs="宋体"/>
          <w:bCs/>
          <w:color w:val="auto"/>
          <w:szCs w:val="21"/>
          <w:highlight w:val="none"/>
        </w:rPr>
        <w:t xml:space="preserve">一般</w:t>
      </w:r>
      <w:r>
        <w:rPr>
          <w:rFonts w:ascii="宋体" w:hAnsi="宋体" w:cs="宋体"/>
          <w:bCs/>
          <w:color w:val="auto"/>
          <w:szCs w:val="21"/>
          <w:highlight w:val="none"/>
        </w:rPr>
        <w:t xml:space="preserve">的得2分；</w:t>
      </w:r>
      <w:r>
        <w:rPr>
          <w:rFonts w:hint="eastAsia" w:ascii="宋体" w:hAnsi="宋体" w:cs="宋体"/>
          <w:bCs/>
          <w:color w:val="auto"/>
          <w:szCs w:val="21"/>
          <w:highlight w:val="none"/>
        </w:rPr>
        <w:t xml:space="preserve">不提供不得分。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1.5</w:t>
      </w:r>
      <w:r>
        <w:rPr>
          <w:rFonts w:hint="eastAsia" w:ascii="宋体" w:hAnsi="宋体" w:cs="宋体"/>
          <w:bCs/>
          <w:color w:val="auto"/>
          <w:szCs w:val="21"/>
          <w:highlight w:val="none"/>
        </w:rPr>
        <w:t xml:space="preserve">日常资料台帐管理方案（</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方案详尽完善、流程清晰明了、操作性高的得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分；方案较完善、流程较清晰、可操作性较高</w:t>
      </w:r>
      <w:r>
        <w:rPr>
          <w:rFonts w:hint="eastAsia" w:ascii="宋体" w:hAnsi="宋体" w:eastAsia="宋体" w:cs="宋体"/>
          <w:bCs/>
          <w:color w:val="auto"/>
          <w:szCs w:val="21"/>
          <w:highlight w:val="none"/>
        </w:rPr>
        <w:t xml:space="preserve">的得</w:t>
      </w:r>
      <w:r>
        <w:rPr>
          <w:rFonts w:hint="eastAsia" w:ascii="宋体" w:hAnsi="宋体" w:eastAsia="宋体" w:cs="宋体"/>
          <w:bCs/>
          <w:color w:val="auto"/>
          <w:szCs w:val="21"/>
          <w:highlight w:val="none"/>
          <w:lang w:val="en-US" w:eastAsia="zh-CN"/>
        </w:rPr>
        <w:t xml:space="preserve">5</w:t>
      </w:r>
      <w:r>
        <w:rPr>
          <w:rFonts w:hint="eastAsia" w:ascii="宋体" w:hAnsi="宋体" w:cs="宋体"/>
          <w:bCs/>
          <w:color w:val="auto"/>
          <w:szCs w:val="21"/>
          <w:highlight w:val="none"/>
        </w:rPr>
        <w:t xml:space="preserve">分；方案可操作性一般的得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分；不提供不得分。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合理化建议（</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提供的工程管理建议合理可行的得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分，提供的工程管理的建议较合理、可行性较高的得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分，提供的工程管理建议一般的得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w:t>
      </w:r>
      <w:r>
        <w:rPr>
          <w:rFonts w:hint="eastAsia"/>
          <w:bCs/>
          <w:color w:val="auto"/>
          <w:szCs w:val="21"/>
          <w:highlight w:val="none"/>
        </w:rPr>
        <w:t xml:space="preserve">；不提供不得分。</w:t>
      </w:r>
      <w:r/>
    </w:p>
    <w:p>
      <w:pPr>
        <w:ind w:firstLine="422"/>
        <w:jc w:val="both"/>
        <w:keepLines w:val="0"/>
        <w:keepNext w:val="0"/>
        <w:pageBreakBefore w:val="0"/>
        <w:spacing w:line="360" w:lineRule="auto"/>
        <w:widowControl w:val="off"/>
        <w:tabs>
          <w:tab w:val="left" w:pos="0" w:leader="none"/>
        </w:tabs>
        <w:rPr>
          <w:rFonts w:ascii="宋体" w:hAnsi="宋体" w:cs="宋体"/>
          <w:b/>
          <w:color w:val="auto"/>
          <w:szCs w:val="21"/>
          <w:highlight w:val="none"/>
        </w:rPr>
      </w:pPr>
      <w:r>
        <w:rPr>
          <w:rFonts w:ascii="宋体" w:hAnsi="宋体" w:cs="宋体"/>
          <w:b/>
          <w:color w:val="auto"/>
          <w:szCs w:val="21"/>
          <w:highlight w:val="none"/>
        </w:rPr>
        <w:t xml:space="preserve">2</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人员配备（</w:t>
      </w:r>
      <w:r>
        <w:rPr>
          <w:rFonts w:hint="eastAsia" w:ascii="宋体" w:hAnsi="宋体" w:cs="宋体"/>
          <w:b/>
          <w:color w:val="auto"/>
          <w:szCs w:val="21"/>
          <w:highlight w:val="none"/>
          <w:lang w:val="en-US" w:eastAsia="zh-CN"/>
        </w:rPr>
        <w:t xml:space="preserve">17</w:t>
      </w:r>
      <w:r>
        <w:rPr>
          <w:rFonts w:hint="eastAsia" w:ascii="宋体" w:hAnsi="宋体" w:cs="宋体"/>
          <w:b/>
          <w:color w:val="auto"/>
          <w:szCs w:val="21"/>
          <w:highlight w:val="none"/>
        </w:rPr>
        <w:t xml:space="preserve">分）</w:t>
      </w:r>
      <w:r/>
    </w:p>
    <w:p>
      <w:pPr>
        <w:ind w:firstLine="420"/>
        <w:jc w:val="both"/>
        <w:keepLines w:val="0"/>
        <w:keepNext w:val="0"/>
        <w:pageBreakBefore w:val="0"/>
        <w:spacing w:line="360" w:lineRule="auto"/>
        <w:widowControl w:val="off"/>
        <w:tabs>
          <w:tab w:val="left" w:pos="0" w:leader="none"/>
        </w:tabs>
        <w:rPr>
          <w:rFonts w:ascii="宋体" w:hAnsi="宋体" w:cs="宋体"/>
          <w:b/>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项目负责人（6分）：202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年1月以来作为项目负责人承担过水利工程</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堤防、水闸或泵站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运行管理、维护工作</w:t>
      </w:r>
      <w:r>
        <w:rPr>
          <w:rFonts w:hint="eastAsia" w:ascii="宋体" w:hAnsi="宋体" w:cs="宋体"/>
          <w:bCs/>
          <w:color w:val="auto"/>
          <w:szCs w:val="21"/>
          <w:highlight w:val="none"/>
          <w:lang w:val="en-US" w:eastAsia="zh-CN"/>
        </w:rPr>
        <w:t xml:space="preserve">业绩</w:t>
      </w:r>
      <w:r>
        <w:rPr>
          <w:rFonts w:hint="eastAsia" w:ascii="宋体" w:hAnsi="宋体" w:cs="宋体"/>
          <w:bCs/>
          <w:color w:val="auto"/>
          <w:szCs w:val="21"/>
          <w:highlight w:val="none"/>
        </w:rPr>
        <w:t xml:space="preserve">的得6分。</w:t>
      </w:r>
      <w:r/>
    </w:p>
    <w:p>
      <w:pPr>
        <w:ind w:firstLine="422"/>
        <w:jc w:val="both"/>
        <w:keepLines w:val="0"/>
        <w:keepNext w:val="0"/>
        <w:pageBreakBefore w:val="0"/>
        <w:spacing w:line="360" w:lineRule="auto"/>
        <w:widowControl w:val="off"/>
        <w:tabs>
          <w:tab w:val="left" w:pos="0" w:leader="none"/>
        </w:tabs>
        <w:rPr>
          <w:rFonts w:ascii="宋体" w:hAnsi="宋体" w:cs="宋体"/>
          <w:b/>
          <w:bCs/>
          <w:color w:val="auto"/>
          <w:szCs w:val="21"/>
          <w:highlight w:val="none"/>
        </w:rPr>
      </w:pPr>
      <w:r>
        <w:rPr>
          <w:rFonts w:ascii="宋体" w:hAnsi="宋体" w:cs="宋体"/>
          <w:b/>
          <w:bCs/>
          <w:color w:val="auto"/>
          <w:szCs w:val="21"/>
          <w:highlight w:val="none"/>
        </w:rPr>
        <w:t xml:space="preserve">注</w:t>
      </w:r>
      <w:r>
        <w:rPr>
          <w:rFonts w:hint="eastAsia" w:ascii="宋体" w:hAnsi="宋体" w:cs="宋体"/>
          <w:b/>
          <w:bCs/>
          <w:color w:val="auto"/>
          <w:szCs w:val="21"/>
          <w:highlight w:val="none"/>
        </w:rPr>
        <w:t xml:space="preserve">：提供委托合同以及能证明是否参与或承担过的相关情况的证明材料（如甲方证明材料件等）。</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项目负责人（</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分）：具有工程师及以上职称的得5分；具有</w:t>
      </w:r>
      <w:r>
        <w:rPr>
          <w:rFonts w:hint="eastAsia" w:ascii="宋体" w:hAnsi="宋体" w:cs="宋体"/>
          <w:bCs/>
          <w:color w:val="auto"/>
          <w:szCs w:val="21"/>
          <w:highlight w:val="none"/>
          <w:lang w:val="en-US" w:eastAsia="zh-CN"/>
        </w:rPr>
        <w:t xml:space="preserve">助理</w:t>
      </w:r>
      <w:r>
        <w:rPr>
          <w:rFonts w:hint="eastAsia" w:ascii="宋体" w:hAnsi="宋体" w:cs="宋体"/>
          <w:bCs/>
          <w:color w:val="auto"/>
          <w:szCs w:val="21"/>
          <w:highlight w:val="none"/>
        </w:rPr>
        <w:t xml:space="preserve">工程师职称的得3分。</w:t>
      </w:r>
      <w:r>
        <w:rPr>
          <w:rFonts w:hint="eastAsia" w:ascii="宋体" w:hAnsi="宋体" w:cs="宋体"/>
          <w:b/>
          <w:bCs/>
          <w:color w:val="auto"/>
          <w:szCs w:val="21"/>
          <w:highlight w:val="none"/>
        </w:rPr>
        <w:t xml:space="preserve">（须提供职称证书复印件）</w:t>
      </w:r>
      <w:r/>
    </w:p>
    <w:p>
      <w:pPr>
        <w:ind w:firstLine="420"/>
        <w:jc w:val="both"/>
        <w:keepLines w:val="0"/>
        <w:keepNext w:val="0"/>
        <w:pageBreakBefore w:val="0"/>
        <w:spacing w:line="360" w:lineRule="auto"/>
        <w:widowControl w:val="off"/>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2.3管理人员（</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年1月以来作为管理人员参与过水利工程</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堤防、水闸或泵站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运行管理、维护工作</w:t>
      </w:r>
      <w:r>
        <w:rPr>
          <w:rFonts w:hint="eastAsia" w:ascii="宋体" w:hAnsi="宋体" w:cs="宋体"/>
          <w:bCs/>
          <w:color w:val="auto"/>
          <w:szCs w:val="21"/>
          <w:highlight w:val="none"/>
          <w:lang w:val="en-US" w:eastAsia="zh-CN"/>
        </w:rPr>
        <w:t xml:space="preserve">的业绩</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且</w:t>
      </w:r>
      <w:r>
        <w:rPr>
          <w:rFonts w:hint="eastAsia" w:ascii="宋体" w:hAnsi="宋体" w:cs="宋体"/>
          <w:bCs/>
          <w:color w:val="auto"/>
          <w:szCs w:val="21"/>
          <w:highlight w:val="none"/>
        </w:rPr>
        <w:t xml:space="preserve">具备安全员、电工等与项目相关职业资格证书的</w:t>
      </w:r>
      <w:r>
        <w:rPr>
          <w:rFonts w:hint="eastAsia" w:ascii="宋体" w:hAnsi="宋体" w:cs="宋体"/>
          <w:bCs/>
          <w:color w:val="auto"/>
          <w:szCs w:val="21"/>
          <w:highlight w:val="none"/>
        </w:rPr>
        <w:t xml:space="preserve">，每提供一人得</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分，每人限评1次，最高得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2"/>
        <w:jc w:val="both"/>
        <w:keepLines w:val="0"/>
        <w:keepNext w:val="0"/>
        <w:pageBreakBefore w:val="0"/>
        <w:spacing w:line="360" w:lineRule="auto"/>
        <w:widowControl w:val="off"/>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注：提供人员证书复印件、委托合同以及能证明是否参与或承担过的相关情况的证明材料（如甲方证明材料件等）。</w:t>
      </w:r>
      <w:r/>
    </w:p>
    <w:p>
      <w:pPr>
        <w:ind w:firstLine="422"/>
        <w:jc w:val="both"/>
        <w:keepLines w:val="0"/>
        <w:keepNext w:val="0"/>
        <w:pageBreakBefore w:val="0"/>
        <w:spacing w:line="360" w:lineRule="auto"/>
        <w:widowControl w:val="off"/>
        <w:tabs>
          <w:tab w:val="left" w:pos="0" w:leader="none"/>
        </w:tabs>
        <w:rPr>
          <w:rFonts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响应单位综合实力（1</w:t>
      </w:r>
      <w:r>
        <w:rPr>
          <w:rFonts w:ascii="宋体" w:hAnsi="宋体" w:cs="宋体"/>
          <w:b/>
          <w:color w:val="auto"/>
          <w:szCs w:val="21"/>
          <w:highlight w:val="none"/>
        </w:rPr>
        <w:t xml:space="preserve">2</w:t>
      </w:r>
      <w:r>
        <w:rPr>
          <w:rFonts w:hint="eastAsia" w:ascii="宋体" w:hAnsi="宋体" w:cs="宋体"/>
          <w:b/>
          <w:color w:val="auto"/>
          <w:szCs w:val="21"/>
          <w:highlight w:val="none"/>
        </w:rPr>
        <w:t xml:space="preserve">分）</w:t>
      </w:r>
      <w:r/>
    </w:p>
    <w:p>
      <w:pPr>
        <w:ind w:firstLine="420"/>
        <w:jc w:val="both"/>
        <w:keepLines w:val="0"/>
        <w:keepNext w:val="0"/>
        <w:pageBreakBefore w:val="0"/>
        <w:spacing w:line="360" w:lineRule="auto"/>
        <w:widowControl w:val="off"/>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响应单位业绩：根据202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年1月以来，响应单位具有水利工程</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堤防、水闸或泵站</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运行管理、维护经验的，每提供一个得4分，最高得12分。</w:t>
      </w:r>
      <w:r/>
    </w:p>
    <w:p>
      <w:pPr>
        <w:ind w:firstLine="422"/>
        <w:jc w:val="both"/>
        <w:keepLines w:val="0"/>
        <w:keepNext w:val="0"/>
        <w:pageBreakBefore w:val="0"/>
        <w:spacing w:line="360" w:lineRule="auto"/>
        <w:widowControl w:val="off"/>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注：须提供委托合同等相关证明材料进行评审。  </w:t>
      </w:r>
      <w:r>
        <w:rPr>
          <w:rFonts w:hint="eastAsia" w:ascii="宋体" w:hAnsi="宋体" w:cs="宋体"/>
          <w:b/>
          <w:bCs/>
          <w:color w:val="auto"/>
          <w:szCs w:val="21"/>
          <w:highlight w:val="none"/>
        </w:rPr>
        <w:t xml:space="preserve"> </w:t>
      </w:r>
      <w:r/>
    </w:p>
    <w:p>
      <w:pPr>
        <w:ind w:firstLine="42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ind w:firstLine="422"/>
        <w:jc w:val="both"/>
        <w:keepLines w:val="0"/>
        <w:keepNext w:val="0"/>
        <w:pageBreakBefore w:val="0"/>
        <w:spacing w:line="360" w:lineRule="auto"/>
        <w:widowControl w:val="off"/>
        <w:tabs>
          <w:tab w:val="left" w:pos="567" w:leader="none"/>
        </w:tabs>
        <w:rPr>
          <w:rFonts w:hint="eastAsia" w:ascii="宋体" w:hAnsi="宋体"/>
          <w:b/>
          <w:bCs/>
          <w:color w:val="auto"/>
          <w:szCs w:val="21"/>
          <w:highlight w:val="none"/>
        </w:rPr>
      </w:pPr>
      <w:r>
        <w:rPr>
          <w:rFonts w:hint="eastAsia" w:ascii="宋体" w:hAnsi="宋体"/>
          <w:b/>
          <w:bCs/>
          <w:color w:val="auto"/>
          <w:szCs w:val="21"/>
          <w:highlight w:val="none"/>
        </w:rPr>
        <w:t xml:space="preserve">备注：</w:t>
      </w:r>
      <w:r>
        <w:rPr>
          <w:rFonts w:hint="eastAsia" w:ascii="宋体" w:hAnsi="宋体" w:cs="宋体"/>
          <w:b/>
          <w:bCs/>
          <w:color w:val="auto"/>
          <w:szCs w:val="21"/>
          <w:highlight w:val="none"/>
        </w:rPr>
        <w:t xml:space="preserve">针对评分标准</w:t>
      </w:r>
      <w:r>
        <w:rPr>
          <w:rFonts w:hint="eastAsia" w:ascii="宋体" w:hAnsi="宋体"/>
          <w:b/>
          <w:bCs/>
          <w:color w:val="auto"/>
          <w:szCs w:val="21"/>
          <w:highlight w:val="none"/>
        </w:rPr>
        <w:t xml:space="preserve">中评分的每一条，投标单位均应提供相关资料并作出相应说明供评委评判，不提供相关资料的视为不具备该项得分的条件。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02"/>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rPr>
          <w:rFonts w:hint="eastAsia" w:ascii="宋体" w:hAnsi="宋体" w:cs="宋体"/>
          <w:color w:val="auto"/>
          <w:highlight w:val="none"/>
        </w:rPr>
      </w:pPr>
      <w:r/>
      <w:bookmarkStart w:id="29" w:name="_Toc26322"/>
      <w:r>
        <w:rPr>
          <w:rFonts w:hint="eastAsia" w:ascii="宋体" w:hAnsi="宋体" w:cs="宋体"/>
          <w:color w:val="auto"/>
          <w:highlight w:val="none"/>
        </w:rPr>
        <w:br w:type="page" w:clear="all"/>
      </w:r>
      <w:r/>
    </w:p>
    <w:p>
      <w:pPr>
        <w:pStyle w:val="986"/>
        <w:jc w:val="center"/>
        <w:spacing w:line="416" w:lineRule="auto"/>
        <w:rPr>
          <w:rFonts w:hint="eastAsia" w:ascii="宋体" w:hAnsi="宋体" w:cs="宋体"/>
          <w:color w:val="auto"/>
          <w:highlight w:val="none"/>
        </w:rPr>
      </w:pPr>
      <w:r>
        <w:rPr>
          <w:rFonts w:hint="eastAsia" w:ascii="宋体" w:hAnsi="宋体" w:cs="宋体"/>
          <w:color w:val="auto"/>
          <w:highlight w:val="none"/>
        </w:rPr>
        <w:t xml:space="preserve">第五章 合同主要条款</w:t>
      </w:r>
      <w:bookmarkEnd w:id="29"/>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甲方（采购单位）：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pStyle w:val="1041"/>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乙方（成交单位）：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pStyle w:val="1039"/>
        <w:rPr>
          <w:rFonts w:hint="eastAsia"/>
          <w:highlight w:val="none"/>
          <w:lang w:val="zh-CN"/>
        </w:rPr>
      </w:pPr>
      <w:r>
        <w:rPr>
          <w:rFonts w:hint="eastAsia"/>
          <w:highlight w:val="none"/>
          <w:lang w:val="zh-CN"/>
        </w:rPr>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根据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苏州市政府</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采购项目编号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竞争性磋商</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文件及乙方的响应文件和成交通知书，甲乙双方就此次成交的</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 xml:space="preserve">事宜，签订本合同书。</w:t>
      </w:r>
      <w:r/>
    </w:p>
    <w:p>
      <w:pPr>
        <w:ind w:firstLine="422"/>
        <w:keepLines w:val="0"/>
        <w:keepNext w:val="0"/>
        <w:pageBreakBefore w:val="0"/>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一、下列文件为本合同不可分割部分：</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①成交通知书；</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②磋商文件； </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instrText xml:space="preserve"> = 3 \* GB3 </w:instrTex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③</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乙方的响应文件；</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④乙方在响应过程中所作的其它承诺、声明、书面澄清等；</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 xml:space="preserve">⑤合同附件（如有）；</w:t>
      </w:r>
      <w:r/>
    </w:p>
    <w:p>
      <w:pPr>
        <w:ind w:firstLine="420"/>
        <w:keepLines w:val="0"/>
        <w:keepNext w:val="0"/>
        <w:pageBreakBefore w:val="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lang w:val="zh-CN"/>
        </w:rPr>
        <w:t xml:space="preserve">以上与本合同具有同等法律效力。</w:t>
      </w:r>
      <w:r/>
    </w:p>
    <w:p>
      <w:pPr>
        <w:ind w:firstLine="422"/>
        <w:keepLines w:val="0"/>
        <w:keepNext w:val="0"/>
        <w:pageBreakBefore w:val="0"/>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二、合同内容：</w:t>
      </w:r>
      <w:r/>
    </w:p>
    <w:p>
      <w:pPr>
        <w:ind w:firstLine="420"/>
        <w:keepLines w:val="0"/>
        <w:keepNext w:val="0"/>
        <w:pageBreakBefore w:val="0"/>
        <w:spacing w:line="360" w:lineRule="auto"/>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1.服务内容及要求：</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详见采购文件。</w:t>
      </w:r>
      <w:r/>
    </w:p>
    <w:p>
      <w:pPr>
        <w:ind w:firstLine="420"/>
        <w:keepLines w:val="0"/>
        <w:keepNext w:val="0"/>
        <w:pageBreakBefore w:val="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2.服务期限：</w:t>
      </w:r>
      <w:r>
        <w:rPr>
          <w:rFonts w:hint="eastAsia" w:asciiTheme="minorEastAsia" w:hAnsiTheme="minorEastAsia" w:eastAsiaTheme="minorEastAsia" w:cstheme="minorEastAsia"/>
          <w:szCs w:val="21"/>
          <w:highlight w:val="none"/>
          <w:lang w:eastAsia="zh-CN"/>
        </w:rPr>
        <w:t xml:space="preserve">自签订合同之日起1年内</w:t>
      </w:r>
      <w:r>
        <w:rPr>
          <w:rFonts w:hint="eastAsia" w:asciiTheme="minorEastAsia" w:hAnsiTheme="minorEastAsia" w:eastAsiaTheme="minorEastAsia" w:cstheme="minorEastAsia"/>
          <w:szCs w:val="21"/>
          <w:highlight w:val="none"/>
        </w:rPr>
        <w:t xml:space="preserve">。</w:t>
      </w:r>
      <w:r/>
    </w:p>
    <w:p>
      <w:pPr>
        <w:pStyle w:val="1039"/>
        <w:ind w:firstLine="420"/>
        <w:keepLines w:val="0"/>
        <w:keepNext w:val="0"/>
        <w:pageBreakBefore w:val="0"/>
        <w:spacing w:line="360" w:lineRule="auto"/>
        <w:rPr>
          <w:rFonts w:hint="eastAsia"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szCs w:val="21"/>
          <w:highlight w:val="none"/>
          <w:lang w:val="en-US"/>
        </w:rPr>
        <w:t xml:space="preserve">3.</w:t>
      </w:r>
      <w:r>
        <w:rPr>
          <w:rFonts w:hint="eastAsia" w:asciiTheme="minorEastAsia" w:hAnsiTheme="minorEastAsia" w:eastAsiaTheme="minorEastAsia" w:cstheme="minorEastAsia"/>
          <w:color w:val="auto"/>
          <w:szCs w:val="21"/>
          <w:highlight w:val="none"/>
        </w:rPr>
        <w:t xml:space="preserve">服务地点：</w:t>
      </w:r>
      <w:r>
        <w:rPr>
          <w:rFonts w:hint="eastAsia" w:asciiTheme="minorEastAsia" w:hAnsiTheme="minorEastAsia" w:eastAsiaTheme="minorEastAsia" w:cstheme="minorEastAsia"/>
          <w:color w:val="auto"/>
          <w:szCs w:val="21"/>
          <w:highlight w:val="none"/>
          <w:lang w:val="en-US" w:eastAsia="zh-CN"/>
        </w:rPr>
        <w:t xml:space="preserve">根据甲方要求</w:t>
      </w:r>
      <w:r>
        <w:rPr>
          <w:rFonts w:hint="eastAsia" w:asciiTheme="minorEastAsia" w:hAnsiTheme="minorEastAsia" w:eastAsiaTheme="minorEastAsia" w:cstheme="minorEastAsia"/>
          <w:color w:val="auto"/>
          <w:szCs w:val="21"/>
          <w:highlight w:val="none"/>
        </w:rPr>
        <w:t xml:space="preserve">。</w:t>
      </w:r>
      <w:r/>
    </w:p>
    <w:p>
      <w:pPr>
        <w:ind w:firstLine="422"/>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color w:val="auto"/>
          <w:szCs w:val="21"/>
          <w:highlight w:val="none"/>
        </w:rPr>
        <w:t xml:space="preserve">三、合同价格及支付：</w:t>
      </w:r>
      <w:r/>
    </w:p>
    <w:p>
      <w:pPr>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rPr>
        <w:t xml:space="preserve">1.合同总价（大写）人民币</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元（¥</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bidi="ar"/>
        </w:rPr>
        <w:t xml:space="preserve">合同总价包括服务期限内完成该项目工作所需的所有费用，包括但不限于在承包期内需要的服务管理内容、各种税费、人工（工资薪金、五险一金、伙食费、工装费、加班费、体检费、福利费等）、劳保、维护、利润、税金、政策性文件规定及合同包含的所有风险、加班、福利、责任等各项应有费用，服务人员工资水平应不低于服务期内苏州市最低工资标准。响应报价为最终报价，除非因特殊原因并经双方协商同意，</w:t>
      </w:r>
      <w:r>
        <w:rPr>
          <w:rFonts w:hint="eastAsia" w:asciiTheme="minorEastAsia" w:hAnsiTheme="minorEastAsia" w:eastAsiaTheme="minorEastAsia" w:cstheme="minorEastAsia"/>
          <w:color w:val="auto"/>
          <w:szCs w:val="21"/>
          <w:highlight w:val="none"/>
          <w:lang w:val="en-US" w:eastAsia="zh-CN" w:bidi="ar"/>
        </w:rPr>
        <w:t xml:space="preserve">乙方</w:t>
      </w:r>
      <w:r>
        <w:rPr>
          <w:rFonts w:hint="eastAsia" w:asciiTheme="minorEastAsia" w:hAnsiTheme="minorEastAsia" w:eastAsiaTheme="minorEastAsia" w:cstheme="minorEastAsia"/>
          <w:color w:val="auto"/>
          <w:szCs w:val="21"/>
          <w:highlight w:val="none"/>
          <w:lang w:bidi="ar"/>
        </w:rPr>
        <w:t xml:space="preserve">不得再要求追加任何费用。同时，除非合同条款中另有规定，否则，</w:t>
      </w:r>
      <w:r>
        <w:rPr>
          <w:rFonts w:hint="eastAsia" w:asciiTheme="minorEastAsia" w:hAnsiTheme="minorEastAsia" w:eastAsiaTheme="minorEastAsia" w:cstheme="minorEastAsia"/>
          <w:color w:val="auto"/>
          <w:szCs w:val="21"/>
          <w:highlight w:val="none"/>
          <w:lang w:val="en-US" w:eastAsia="zh-CN" w:bidi="ar"/>
        </w:rPr>
        <w:t xml:space="preserve">乙方</w:t>
      </w:r>
      <w:r>
        <w:rPr>
          <w:rFonts w:hint="eastAsia" w:asciiTheme="minorEastAsia" w:hAnsiTheme="minorEastAsia" w:eastAsiaTheme="minorEastAsia" w:cstheme="minorEastAsia"/>
          <w:color w:val="auto"/>
          <w:szCs w:val="21"/>
          <w:highlight w:val="none"/>
          <w:lang w:bidi="ar"/>
        </w:rPr>
        <w:t xml:space="preserve">所报价格在合同实施期间不因市场变化因素而变动。</w:t>
      </w:r>
      <w:r/>
    </w:p>
    <w:p>
      <w:pPr>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2.付款步骤：</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合同签订生效后，在服务期内按季度分期支付。每季度对运行管理情况进行考核，根据考核结果支付进度款，每次支付进度款的70%，剩余30%的费用于服务期满后1年内支付。</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3.乙方要求付款时应提供合格的发票。</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4.付款方式：银行</w:t>
      </w:r>
      <w:r>
        <w:rPr>
          <w:rFonts w:hint="eastAsia" w:asciiTheme="minorEastAsia" w:hAnsiTheme="minorEastAsia" w:eastAsiaTheme="minorEastAsia" w:cstheme="minorEastAsia"/>
          <w:color w:val="auto"/>
          <w:szCs w:val="21"/>
          <w:highlight w:val="none"/>
          <w:lang w:val="en-US" w:eastAsia="zh-CN"/>
        </w:rPr>
        <w:t xml:space="preserve">转账</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具体支付方式甲方有权根据财务安排自主选择。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5.根据现行税法对甲方征收的与本合同有关的一切税费均由甲方承担；根据现行税法对乙方征收的与本合同有关的一切税费均由乙方承担。</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6.甲方支付此项费用外不再承担其它任何费用，包括因人员辞退、工伤事故等造成的赔偿金或补偿金等。</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7.若遇国家或地方政府政策性调整，双方另行协商。</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四、</w:t>
      </w:r>
      <w:r>
        <w:rPr>
          <w:rFonts w:hint="eastAsia" w:asciiTheme="minorEastAsia" w:hAnsiTheme="minorEastAsia" w:eastAsiaTheme="minorEastAsia" w:cstheme="minorEastAsia"/>
          <w:b/>
          <w:color w:val="auto"/>
          <w:szCs w:val="21"/>
          <w:highlight w:val="none"/>
        </w:rPr>
        <w:t xml:space="preserve">质量要求：</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1.乙方提供的服务均须为符合国家相关规范要求的合格正规服务。</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问题，乙方负责解决，发生的费用由乙方负责。</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五、</w:t>
      </w:r>
      <w:r>
        <w:rPr>
          <w:rFonts w:hint="eastAsia" w:asciiTheme="minorEastAsia" w:hAnsiTheme="minorEastAsia" w:eastAsiaTheme="minorEastAsia" w:cstheme="minorEastAsia"/>
          <w:b/>
          <w:color w:val="auto"/>
          <w:szCs w:val="21"/>
          <w:highlight w:val="none"/>
        </w:rPr>
        <w:t xml:space="preserve">甲、乙双方的责任：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（一）甲方责任：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1.甲方自本合同生效后向乙方提供本项目相关的资料，并指定专人作为甲方联系人予以协调工作。加强与乙方沟通，交流情况，互通信息。</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2.甲方应积极配合乙方工作人员履行好合同所规定的职责和义务。</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3.定期组织对乙方服务质量的考核、收集意见和建议，并将结果及时通报乙方。</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4.为乙方有效开展工作提供其他必要的便利。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（二）乙方责任：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1.严格按照甲方要求进行服务，接受甲方人员的安排、指导和监督。</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2.对服务项目包干范围的服务、管理承担全部责任，严格履行合同条款。</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3.进场后，严格按照甲方要求进行服务。</w:t>
      </w:r>
      <w:r/>
    </w:p>
    <w:p>
      <w:pPr>
        <w:ind w:firstLine="422"/>
        <w:keepLines w:val="0"/>
        <w:keepNext w:val="0"/>
        <w:pageBreakBefore w:val="0"/>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lang w:val="en-US" w:eastAsia="zh-CN"/>
          <w14:textFill>
            <w14:solidFill>
              <w14:schemeClr w14:val="tx1"/>
            </w14:solidFill>
          </w14:textFill>
        </w:rPr>
        <w:t xml:space="preserve">六</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、违约责任：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1.合同一方不履行合同义务或者履行合同义务不符合约定的，应当承担继续履行、采取补救措施或者赔偿损失等违约责任。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.甲方违约责任</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（1）在合同生效后，甲方无理由要求终止服务的，应向乙方偿付合同总价款的5%，作为违约金，违约金不足以补偿损失的，乙方有权要求甲方补足。</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（2）甲方逾期付款的应按照逾期付款金额的每天万分之四支付逾期付款违约金。</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（3）甲方违反合同规定，拒绝接受乙方提供服务，应当承担乙方由此造成的损失。</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.乙方违约责任</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（1）乙方不能提供服务（逾期超过五天视为不能提供），或提供服务不合格从而影响甲方按期正常运作的，应向甲方偿付合同总价款5%的违约金，违约金不足以补偿损失的甲方有权要求乙方补足。</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（2）乙方逾期提供服务的，应与甲方协商，甲方仍有需求的，乙方应立即提供服务并且按照逾期服务的每天万分之四支付逾期违约金，同时承担甲方因此遭致的损失费用。</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（3）乙方对提供的服务意见出现的遗漏或错误，乙方应在甲方限定的时间内完成修改或补充。</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七</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、保密要求：</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乙方及其工作人员除了应当遵守本合同有关资料要求及成果归属的规定外，还应当对服务过程中接触的所有资料及工作成果保密，不得向甲方指定人员以外的其他单位和人员泄露排查信息。因乙方原因造成相关资料和成果的泄露，甲方有权立即解除本合同，并承担相应经济和法律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2.乙方及其工作人员违反保密规定或者法律及本合同规定的其他禁止性规定，乙方承担一切经济和法律责任。</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八</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、不可抗力</w:t>
      </w:r>
      <w:r>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1.不可抗力（或甲、乙双方不能控制的原因）不能履行合同的，根据不可抗力的影响，部分或者全部免除责任，但合同一方迟延履行后发生不可抗力的，不能免除责任。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2.合同一方因不可抗力不能履行合同的，应当及时通知对方，以减轻可能给对方造成损失，并应当在合理期限内提供证明。</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九</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、合同的解除</w:t>
      </w:r>
      <w:r>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转让：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1.甲方和乙方协商一致，可以解除合同。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2.有下列情况之一，合同方可以解除合同：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rPr>
          <w:rFonts w:hint="eastAsia" w:ascii="宋体" w:hAnsi="宋体" w:eastAsia="宋体" w:cs="宋体"/>
          <w:color w:val="auto"/>
          <w:sz w:val="21"/>
          <w:szCs w:val="21"/>
          <w:highlight w:val="none"/>
          <w:lang w:eastAsia="zh-CN"/>
        </w:rPr>
        <w:t xml:space="preserve">因不可抗力致使不能实现合同目的，未受不可抗力影响的一方有权解除合同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（2）因合同一方违约导致合同不能履行，另一方有权解除合同；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3.有权解除合同的一方，应当在违约事实或不可抗力发生之后30天内书面通知对方提出解除合同，合同在书面通知到达对方时解除。</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stheme="minorEastAsia"/>
          <w:szCs w:val="21"/>
          <w:highlight w:val="none"/>
        </w:rPr>
        <w:t xml:space="preserve">合同的部分和全部都不得转让。</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w:t>
      </w:r>
      <w:bookmarkStart w:id="30" w:name="_Toc116711414"/>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未尽事宜：</w:t>
      </w:r>
      <w:r/>
    </w:p>
    <w:p>
      <w:pPr>
        <w:pStyle w:val="1041"/>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合同在执行过程中出现的未尽事宜，双方在不违背本合同和招标文件的原则下协商解决，协商结果以书面形式盖章记录在案，作为本合同的附件与本合同具有同等效力，但需要向</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提交一份备存。</w:t>
      </w:r>
      <w:bookmarkEnd w:id="30"/>
      <w:r/>
      <w:r/>
    </w:p>
    <w:p>
      <w:pPr>
        <w:pStyle w:val="1041"/>
        <w:ind w:firstLine="422"/>
        <w:keepLines w:val="0"/>
        <w:keepNext w:val="0"/>
        <w:pageBreakBefore w:val="0"/>
        <w:spacing w:line="360" w:lineRule="auto"/>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十</w:t>
      </w: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、合同生效及其他：</w:t>
      </w:r>
      <w:r/>
    </w:p>
    <w:p>
      <w:pPr>
        <w:pStyle w:val="1041"/>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stheme="minorEastAsia"/>
          <w:szCs w:val="21"/>
          <w:highlight w:val="none"/>
        </w:rPr>
        <w:t xml:space="preserve">乙方除应做好职工的安全生产教育外，还应为服务人员提供必要的劳动保护条件，还应为服务办理人身安全保险和意外伤害险，一切安全责任事故均由乙方负责（保险种类由乙方自行选择）；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2.本合同未尽之处双方协商解决，解决不成，双方向甲方所在地的人民法院提起诉讼。</w:t>
      </w:r>
      <w:r/>
    </w:p>
    <w:p>
      <w:pPr>
        <w:pStyle w:val="1041"/>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3.本合同经双方法定代表人或授权代表签字（或盖章）并经单位盖章后生效，</w:t>
      </w:r>
      <w:r>
        <w:rPr>
          <w:rFonts w:hint="eastAsia" w:asciiTheme="minorEastAsia" w:hAnsiTheme="minorEastAsia" w:eastAsiaTheme="minorEastAsia" w:cstheme="minorEastAsia"/>
          <w:color w:val="000000"/>
          <w:szCs w:val="21"/>
          <w:highlight w:val="none"/>
        </w:rPr>
        <w:t xml:space="preserve">并需在规定时间内进行网上公示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pStyle w:val="1041"/>
        <w:ind w:firstLine="420"/>
        <w:keepLines w:val="0"/>
        <w:keepNext w:val="0"/>
        <w:pageBreakBefore w:val="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4.合同份数：本合同一式陆份，甲方、乙方、采购代理机构各执贰份。</w:t>
      </w:r>
      <w:r/>
    </w:p>
    <w:p>
      <w:pPr>
        <w:ind w:firstLine="420"/>
        <w:keepLines w:val="0"/>
        <w:keepNext w:val="0"/>
        <w:pageBreakBefore w:val="0"/>
        <w:spacing w:line="360" w:lineRule="auto"/>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stheme="minorEastAsia"/>
          <w:color w:val="000000"/>
          <w:szCs w:val="21"/>
          <w:highlight w:val="none"/>
        </w:rPr>
        <w:t xml:space="preserve">本合同未尽事宜应按《中华人民共和国民法典》、《中华人民共和国政府采购法》以及其它相关法律、法规之规定解释。</w:t>
      </w:r>
      <w:r/>
    </w:p>
    <w:p>
      <w:pPr>
        <w:ind w:firstLine="420"/>
        <w:spacing w:line="360" w:lineRule="auto"/>
        <w:rPr>
          <w:highlight w:val="none"/>
        </w:rPr>
      </w:pPr>
      <w:r>
        <w:rPr>
          <w:highlight w:val="none"/>
        </w:rPr>
      </w:r>
      <w:r/>
    </w:p>
    <w:tbl>
      <w:tblPr>
        <w:tblStyle w:val="996"/>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甲方（盖章）：</w:t>
            </w:r>
            <w:r/>
          </w:p>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乙方（盖章）：</w:t>
            </w:r>
            <w:r/>
          </w:p>
        </w:tc>
      </w:tr>
      <w:tr>
        <w:trPr>
          <w:trHeight w:val="310"/>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帐号：</w:t>
            </w:r>
            <w:r/>
          </w:p>
        </w:tc>
      </w:tr>
      <w:tr>
        <w:trPr>
          <w:trHeight w:val="468"/>
        </w:trPr>
        <w:tc>
          <w:tcPr>
            <w:tcW w:w="466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tc>
        <w:tc>
          <w:tcPr>
            <w:tcW w:w="410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tc>
      </w:tr>
    </w:tbl>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ind w:right="115"/>
        <w:jc w:val="left"/>
        <w:spacing w:line="360" w:lineRule="auto"/>
        <w:tabs>
          <w:tab w:val="left" w:pos="9240" w:leader="none"/>
        </w:tabs>
        <w:rPr>
          <w:rFonts w:ascii="宋体" w:hAnsi="宋体" w:cs="宋体"/>
          <w:b/>
          <w:bCs/>
          <w:sz w:val="28"/>
          <w:szCs w:val="28"/>
          <w:highlight w:val="none"/>
        </w:rPr>
      </w:pPr>
      <w:r>
        <w:rPr>
          <w:rFonts w:hint="eastAsia" w:ascii="宋体" w:hAnsi="宋体" w:cs="宋体"/>
          <w:b/>
          <w:bCs/>
          <w:sz w:val="22"/>
          <w:szCs w:val="22"/>
          <w:highlight w:val="none"/>
        </w:rPr>
      </w:r>
      <w:r>
        <w:rPr>
          <w:rFonts w:hint="eastAsia" w:ascii="宋体" w:hAnsi="宋体" w:cs="宋体"/>
          <w:b/>
          <w:bCs/>
          <w:sz w:val="28"/>
          <w:szCs w:val="28"/>
          <w:highlight w:val="none"/>
        </w:rPr>
        <w:t xml:space="preserve">附件</w:t>
      </w:r>
      <w:r>
        <w:rPr>
          <w:rFonts w:hint="eastAsia" w:ascii="宋体" w:hAnsi="宋体" w:cs="宋体"/>
          <w:b/>
          <w:bCs/>
          <w:sz w:val="28"/>
          <w:szCs w:val="28"/>
          <w:highlight w:val="none"/>
        </w:rPr>
        <w:t xml:space="preserve">：</w:t>
      </w:r>
      <w:r>
        <w:rPr>
          <w:rFonts w:hint="eastAsia" w:ascii="宋体" w:hAnsi="宋体" w:cs="宋体"/>
          <w:b/>
          <w:bCs/>
          <w:sz w:val="28"/>
          <w:szCs w:val="28"/>
          <w:highlight w:val="none"/>
        </w:rPr>
      </w:r>
      <w:r/>
    </w:p>
    <w:p>
      <w:pPr>
        <w:ind w:right="115"/>
        <w:jc w:val="center"/>
        <w:spacing w:line="360" w:lineRule="auto"/>
        <w:tabs>
          <w:tab w:val="left" w:pos="924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太湖、望虞河沿线水利工程运行管理及防汛仓库日常管理考核办法</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为健全太湖、望虞河沿线水利工程管理监督考核机制，进一步提高运行管理质量，根据《江苏省水利工程管理条例》、《江苏省水利工程管理考核办法》等相关规定，特制定本考核办法。</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一、考核职责及分工</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相城区水利工程管理中心（以下简称工管中心）具体负责组织实施考核工作。结合社会监督检查(包括上级巡查反馈、沿河（湖）板块监督、新闻媒体曝光、12345阳光便民热线等)，工管中心采取定期检查、不定期抽查、全面巡查的考核机制。</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二、考核对象及范围</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考核对象：负责管理太湖、望虞河沿线水利工程设施和防汛物资仓库的第三方运行管理单位。</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考核范围：太湖、望虞河沿线水利工程管理范围内工程设施的管护情况和区级防汛物资仓库的管理情况。</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三、考核方式及方法</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工管中心每周安排专人检查，每季度组织一次全面检查考核，结合社会监督情况进行综合打分。</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日常巡查：第三方运行管理单位工作人员每日巡查不少于2次，工管中心工作人员每周巡查不少于1次，并不定期对第三方运行管理单位聘用人员出勤、工作等情况进行抽查。</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检查考核：对水利工程管护情况和区级防汛物资仓库管理情况进行考核检查并结合日常巡查、社会监督等进行综合打分，并同步推行信息化巡查，应用GPS或水印相机定位检查。</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社会监督：上级巡查反馈、沿河（湖）板块监督、新闻媒体曝光、12345阳光便民热线等社会责任内容。</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四、考核标准及内容</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（一）考核标准及要求</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堤防、节制闸日常运行管理按照苏州市堤防、水闸工程运行管理规程及精细化管理要求进行考核。运行管理单位应对堤防、闸站主要设备设施建立巡视检查制度, 根据设备系统运行特点开展检查：</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（1）日常巡查，周期为每日两次，主要加强对大堤及穿堤建筑物环境保洁、设备保养及异常情况检查；</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（2）经常检查，周期为每周一次, 检查范围为闸站范围内的水工建筑物等附属设施。闸站运行期间，主要结构部位应每班巡查一次；</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（3）定期检查，周期为每季一次，结合汛前和汛后检查，检查范围同经常检查；</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（4）特别检查，当闸站遭受台风、暴雨、高潮位、洪水、强烈地震等严重自然灾害、重大工程事故时进行的检查，检查范围主要是工程受损部位和重要部位。</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船闸管理人员应严格遵守岗位责任制和各项操作规程，科学调度，合理安排，确保船闸安全快速过闸。同时，还要做好设备的例行保养，勤检查、勤擦洗，发现故障及时排除，维护设备良好的技术状态。认真做好过闸船舶的登记工作，记好各项台账记录。在岗人员必须着装整齐，按规定佩戴胸牌。</w:t>
      </w:r>
      <w:r/>
    </w:p>
    <w:p>
      <w:pPr>
        <w:ind w:right="115" w:firstLine="420"/>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区级防汛物资仓库的管理人员接到区防办的通知后，应及时开启仓库大门，协助对防汛物资进行出库和入库，对出入库的防汛物资进行登、统记，定期进行清点，准确掌握防汛物资的品种、规格、数量、质量、去向等状况，保持环境卫生整洁、物品摆放有序、物资设备完好。</w:t>
      </w:r>
      <w:r/>
    </w:p>
    <w:p>
      <w:pPr>
        <w:ind w:right="115"/>
        <w:jc w:val="left"/>
        <w:spacing w:line="360" w:lineRule="auto"/>
        <w:tabs>
          <w:tab w:val="left" w:pos="9240" w:leader="none"/>
        </w:tabs>
        <w:rPr>
          <w:rFonts w:ascii="宋体" w:hAnsi="宋体" w:cs="宋体"/>
          <w:szCs w:val="21"/>
          <w:highlight w:val="none"/>
        </w:rPr>
      </w:pPr>
      <w:r>
        <w:rPr>
          <w:rFonts w:hint="eastAsia" w:ascii="宋体" w:hAnsi="宋体" w:cs="宋体"/>
          <w:szCs w:val="21"/>
          <w:highlight w:val="none"/>
        </w:rPr>
        <w:t xml:space="preserve">具体考核内容详见</w:t>
      </w:r>
      <w:r>
        <w:rPr>
          <w:rFonts w:hint="eastAsia" w:ascii="宋体" w:hAnsi="宋体" w:cs="宋体"/>
          <w:szCs w:val="21"/>
          <w:highlight w:val="none"/>
        </w:rPr>
        <w:t xml:space="preserve">评分明细标准</w:t>
      </w:r>
      <w:r>
        <w:rPr>
          <w:rFonts w:hint="eastAsia" w:ascii="宋体" w:hAnsi="宋体" w:cs="宋体"/>
          <w:szCs w:val="21"/>
          <w:highlight w:val="none"/>
        </w:rPr>
        <w:t xml:space="preserve">。</w:t>
      </w:r>
      <w:r/>
    </w:p>
    <w:p>
      <w:pPr>
        <w:ind w:right="115" w:firstLine="422"/>
        <w:jc w:val="left"/>
        <w:spacing w:line="360" w:lineRule="auto"/>
        <w:tabs>
          <w:tab w:val="left" w:pos="9240" w:leader="none"/>
        </w:tabs>
        <w:rPr>
          <w:rFonts w:ascii="宋体" w:hAnsi="宋体" w:cs="宋体"/>
          <w:b/>
          <w:bCs/>
          <w:szCs w:val="21"/>
          <w:highlight w:val="none"/>
        </w:rPr>
      </w:pPr>
      <w:r>
        <w:rPr>
          <w:rFonts w:hint="eastAsia" w:ascii="宋体" w:hAnsi="宋体" w:cs="宋体"/>
          <w:b/>
          <w:bCs/>
          <w:szCs w:val="21"/>
          <w:highlight w:val="none"/>
        </w:rPr>
        <w:t xml:space="preserve">（二）奖惩制度及退出机制</w:t>
      </w:r>
      <w:r/>
    </w:p>
    <w:p>
      <w:pPr>
        <w:ind w:firstLine="420"/>
        <w:jc w:val="left"/>
        <w:spacing w:line="360" w:lineRule="auto"/>
        <w:rPr>
          <w:rFonts w:ascii="宋体" w:hAnsi="宋体" w:cs="宋体"/>
          <w:b/>
          <w:bCs/>
          <w:szCs w:val="21"/>
          <w:highlight w:val="none"/>
        </w:rPr>
      </w:pPr>
      <w:r>
        <w:rPr>
          <w:rFonts w:hint="eastAsia" w:ascii="宋体" w:hAnsi="宋体" w:cs="宋体"/>
          <w:b/>
          <w:bCs/>
          <w:szCs w:val="21"/>
          <w:highlight w:val="none"/>
        </w:rPr>
        <w:t xml:space="preserve">管护经费依据考核结果支付，每季度支付一次。质量评价 95 分(含)以上为优，90分(含)至95分为良，80分(含)至90分为中，80分以下为差。服务评价结果为差的，80分以下每低于1分扣除合同金额1%，70分(含)以下解除合同。</w:t>
      </w:r>
      <w:r/>
    </w:p>
    <w:p>
      <w:pPr>
        <w:pStyle w:val="1039"/>
        <w:rPr>
          <w:highlight w:val="none"/>
        </w:rPr>
      </w:pPr>
      <w:r>
        <w:rPr>
          <w:highlight w:val="none"/>
        </w:rPr>
      </w:r>
      <w:r/>
    </w:p>
    <w:p>
      <w:pPr>
        <w:rPr>
          <w:rFonts w:ascii="宋体" w:hAnsi="宋体" w:cs="宋体"/>
          <w:szCs w:val="21"/>
          <w:highlight w:val="none"/>
        </w:rPr>
      </w:pPr>
      <w:r>
        <w:rPr>
          <w:rFonts w:ascii="宋体" w:hAnsi="宋体" w:cs="宋体"/>
          <w:szCs w:val="21"/>
          <w:highlight w:val="none"/>
        </w:rPr>
      </w:r>
      <w:r/>
    </w:p>
    <w:p>
      <w:pPr>
        <w:ind w:left="-44" w:hanging="134"/>
        <w:spacing w:line="360" w:lineRule="exact"/>
        <w:rPr>
          <w:rFonts w:ascii="宋体" w:hAnsi="宋体" w:cs="宋体"/>
          <w:szCs w:val="21"/>
          <w:highlight w:val="none"/>
        </w:rPr>
      </w:pPr>
      <w:r>
        <w:rPr>
          <w:rFonts w:ascii="宋体" w:hAnsi="宋体" w:cs="宋体"/>
          <w:szCs w:val="21"/>
          <w:highlight w:val="none"/>
        </w:rPr>
      </w:r>
      <w:r/>
    </w:p>
    <w:p>
      <w:pPr>
        <w:ind w:left="-44" w:hanging="134"/>
        <w:spacing w:line="360" w:lineRule="exact"/>
        <w:rPr>
          <w:rFonts w:ascii="宋体" w:hAnsi="宋体" w:cs="宋体"/>
          <w:szCs w:val="21"/>
          <w:highlight w:val="none"/>
        </w:rPr>
      </w:pPr>
      <w:r>
        <w:rPr>
          <w:rFonts w:ascii="宋体" w:hAnsi="宋体" w:cs="宋体"/>
          <w:szCs w:val="21"/>
          <w:highlight w:val="none"/>
        </w:rPr>
      </w:r>
      <w:r/>
    </w:p>
    <w:p>
      <w:pPr>
        <w:jc w:val="left"/>
        <w:widowControl/>
        <w:rPr>
          <w:rFonts w:ascii="宋体" w:hAnsi="宋体" w:cs="宋体"/>
          <w:szCs w:val="21"/>
          <w:highlight w:val="none"/>
        </w:rPr>
      </w:pPr>
      <w:r>
        <w:rPr>
          <w:rFonts w:ascii="宋体" w:hAnsi="宋体" w:cs="宋体"/>
          <w:szCs w:val="21"/>
          <w:highlight w:val="none"/>
        </w:rPr>
        <w:br w:type="page" w:clear="all"/>
      </w:r>
      <w:r/>
    </w:p>
    <w:p>
      <w:pPr>
        <w:ind w:left="-44" w:hanging="134"/>
        <w:jc w:val="center"/>
        <w:spacing w:line="360" w:lineRule="exact"/>
        <w:rPr>
          <w:rFonts w:ascii="宋体" w:hAnsi="宋体" w:cs="宋体"/>
          <w:b/>
          <w:szCs w:val="21"/>
          <w:highlight w:val="none"/>
        </w:rPr>
      </w:pPr>
      <w:r>
        <w:rPr>
          <w:rFonts w:hint="eastAsia" w:ascii="宋体" w:hAnsi="宋体" w:cs="宋体"/>
          <w:b/>
          <w:szCs w:val="21"/>
          <w:highlight w:val="none"/>
        </w:rPr>
        <w:t xml:space="preserve">评分明细标准</w:t>
      </w:r>
      <w:r/>
    </w:p>
    <w:tbl>
      <w:tblPr>
        <w:tblStyle w:val="996"/>
        <w:tblW w:w="9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9"/>
        <w:gridCol w:w="601"/>
        <w:gridCol w:w="5934"/>
        <w:gridCol w:w="2253"/>
      </w:tblGrid>
      <w:tr>
        <w:trPr>
          <w:cantSplit/>
          <w:jc w:val="center"/>
          <w:trHeight w:val="358"/>
        </w:trPr>
        <w:tc>
          <w:tcPr>
            <w:gridSpan w:val="3"/>
            <w:tcMar>
              <w:left w:w="14" w:type="dxa"/>
              <w:top w:w="14" w:type="dxa"/>
              <w:right w:w="14" w:type="dxa"/>
              <w:bottom w:w="0" w:type="dxa"/>
            </w:tcMar>
            <w:tcW w:w="7434"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检　查　考  核  内 容</w:t>
            </w:r>
            <w:r/>
          </w:p>
        </w:tc>
        <w:tc>
          <w:tcPr>
            <w:tcMar>
              <w:left w:w="14" w:type="dxa"/>
              <w:top w:w="14" w:type="dxa"/>
              <w:right w:w="14" w:type="dxa"/>
              <w:bottom w:w="0" w:type="dxa"/>
            </w:tcMar>
            <w:tcW w:w="2253"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扣分</w:t>
            </w:r>
            <w:r/>
          </w:p>
          <w:p>
            <w:pPr>
              <w:jc w:val="center"/>
              <w:rPr>
                <w:rFonts w:ascii="宋体" w:hAnsi="宋体" w:cs="宋体"/>
                <w:b/>
                <w:bCs/>
                <w:szCs w:val="21"/>
                <w:highlight w:val="none"/>
              </w:rPr>
            </w:pPr>
            <w:r>
              <w:rPr>
                <w:rFonts w:hint="eastAsia" w:ascii="宋体" w:hAnsi="宋体" w:cs="宋体"/>
                <w:b/>
                <w:bCs/>
                <w:szCs w:val="21"/>
                <w:highlight w:val="none"/>
              </w:rPr>
              <w:t xml:space="preserve">标准</w:t>
            </w:r>
            <w:r/>
          </w:p>
        </w:tc>
      </w:tr>
      <w:tr>
        <w:trPr>
          <w:cantSplit/>
          <w:jc w:val="center"/>
          <w:trHeight w:val="216"/>
        </w:trPr>
        <w:tc>
          <w:tcPr>
            <w:tcMar>
              <w:left w:w="14" w:type="dxa"/>
              <w:top w:w="14" w:type="dxa"/>
              <w:right w:w="14" w:type="dxa"/>
              <w:bottom w:w="0" w:type="dxa"/>
            </w:tcMar>
            <w:tcW w:w="899"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管理</w:t>
            </w:r>
            <w:r/>
          </w:p>
          <w:p>
            <w:pPr>
              <w:jc w:val="center"/>
              <w:rPr>
                <w:rFonts w:ascii="宋体" w:hAnsi="宋体" w:cs="宋体"/>
                <w:szCs w:val="21"/>
                <w:highlight w:val="none"/>
              </w:rPr>
            </w:pPr>
            <w:r>
              <w:rPr>
                <w:rFonts w:hint="eastAsia" w:ascii="宋体" w:hAnsi="宋体" w:cs="宋体"/>
                <w:szCs w:val="21"/>
                <w:highlight w:val="none"/>
              </w:rPr>
              <w:t xml:space="preserve">制度</w:t>
            </w:r>
            <w:r/>
          </w:p>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第三方管理单位与聘用人员没有签定劳动合同</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43"/>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未为聘用人员购买相应保险的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72"/>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未经批准减少工作人员、未按要求配置技术管理人员的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72"/>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新聘或已辞聘用人员未在3天内更新上报人员基本信息表</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95"/>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没有为聘用工作人员提供必要的劳动保护用品、劳动条件</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95"/>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未按时上报本周工作计划及上周工作完成情况的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每次扣3分</w:t>
            </w:r>
            <w:r/>
          </w:p>
        </w:tc>
      </w:tr>
      <w:tr>
        <w:trPr>
          <w:cantSplit/>
          <w:jc w:val="center"/>
          <w:trHeight w:val="295"/>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7</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日工作计划未按期完成又未上报调整的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每次扣3分</w:t>
            </w:r>
            <w:r/>
          </w:p>
        </w:tc>
      </w:tr>
      <w:tr>
        <w:trPr>
          <w:cantSplit/>
          <w:jc w:val="center"/>
          <w:trHeight w:val="295"/>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8</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在工作中弄虚作假、谎报、瞒报的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每次扣10分</w:t>
            </w:r>
            <w:r/>
          </w:p>
        </w:tc>
      </w:tr>
      <w:tr>
        <w:trPr>
          <w:cantSplit/>
          <w:jc w:val="center"/>
          <w:trHeight w:val="295"/>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9</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接到工作指令单后未按照规定期限完成的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每次扣5分</w:t>
            </w:r>
            <w:r/>
          </w:p>
        </w:tc>
      </w:tr>
      <w:tr>
        <w:trPr>
          <w:cantSplit/>
          <w:jc w:val="center"/>
          <w:trHeight w:val="295"/>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管理范围内违建、侵占、垦种等违法行为未及时上报的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每次扣5分</w:t>
            </w:r>
            <w:r/>
          </w:p>
        </w:tc>
      </w:tr>
      <w:tr>
        <w:trPr>
          <w:cantSplit/>
          <w:jc w:val="center"/>
          <w:trHeight w:val="281"/>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工作台账资料不全或者缺失</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每次扣3分</w:t>
            </w:r>
            <w:r/>
          </w:p>
        </w:tc>
      </w:tr>
      <w:tr>
        <w:trPr>
          <w:cantSplit/>
          <w:jc w:val="center"/>
          <w:trHeight w:val="300"/>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12</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未经批准擅自与其他单位有不正当合同关系的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一经发现解除合同，并追究法律责任</w:t>
            </w:r>
            <w:r/>
          </w:p>
        </w:tc>
      </w:tr>
      <w:tr>
        <w:trPr>
          <w:cantSplit/>
          <w:jc w:val="center"/>
          <w:trHeight w:val="241"/>
        </w:trPr>
        <w:tc>
          <w:tcPr>
            <w:tcMar>
              <w:left w:w="14" w:type="dxa"/>
              <w:top w:w="14" w:type="dxa"/>
              <w:right w:w="14" w:type="dxa"/>
              <w:bottom w:w="0" w:type="dxa"/>
            </w:tcMar>
            <w:tcW w:w="899"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运行</w:t>
            </w:r>
            <w:r/>
          </w:p>
          <w:p>
            <w:pPr>
              <w:jc w:val="center"/>
              <w:rPr>
                <w:rFonts w:ascii="宋体" w:hAnsi="宋体" w:cs="宋体"/>
                <w:szCs w:val="21"/>
                <w:highlight w:val="none"/>
              </w:rPr>
            </w:pPr>
            <w:r>
              <w:rPr>
                <w:rFonts w:hint="eastAsia" w:ascii="宋体" w:hAnsi="宋体" w:cs="宋体"/>
                <w:szCs w:val="21"/>
                <w:highlight w:val="none"/>
              </w:rPr>
              <w:t xml:space="preserve">管理</w:t>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13</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未按规定进行巡查、检查及考勤签到的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每次扣3分</w:t>
            </w:r>
            <w:r/>
          </w:p>
        </w:tc>
      </w:tr>
      <w:tr>
        <w:trPr>
          <w:cantSplit/>
          <w:jc w:val="center"/>
          <w:trHeight w:val="241"/>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14</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不执行调度指令的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第一次扣10分，第二次直接解除合同</w:t>
            </w:r>
            <w:r/>
          </w:p>
        </w:tc>
      </w:tr>
      <w:tr>
        <w:trPr>
          <w:cantSplit/>
          <w:jc w:val="center"/>
          <w:trHeight w:val="300"/>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15</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执行调度指令不及时的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每次扣10分</w:t>
            </w:r>
            <w:r/>
          </w:p>
        </w:tc>
      </w:tr>
      <w:tr>
        <w:trPr>
          <w:cantSplit/>
          <w:jc w:val="center"/>
          <w:trHeight w:val="330"/>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16</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上级巡查、社会监督、媒体曝光或市民群众投诉情况属实的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每次扣10分</w:t>
            </w:r>
            <w:r/>
          </w:p>
        </w:tc>
      </w:tr>
      <w:tr>
        <w:trPr>
          <w:cantSplit/>
          <w:jc w:val="center"/>
          <w:trHeight w:val="228"/>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因管护不到位出现堤防、闸站及相关设施损坏的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赔偿损失，每处扣5分</w:t>
            </w:r>
            <w:r/>
          </w:p>
        </w:tc>
      </w:tr>
      <w:tr>
        <w:trPr>
          <w:cantSplit/>
          <w:jc w:val="center"/>
          <w:trHeight w:val="300"/>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18</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因管护不到位导致工管中心提供的固定资产损坏或丢失的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赔偿损失，每次扣5分</w:t>
            </w:r>
            <w:r/>
          </w:p>
        </w:tc>
      </w:tr>
      <w:tr>
        <w:trPr>
          <w:cantSplit/>
          <w:jc w:val="center"/>
          <w:trHeight w:val="238"/>
        </w:trPr>
        <w:tc>
          <w:tcPr>
            <w:tcMar>
              <w:left w:w="14" w:type="dxa"/>
              <w:top w:w="14" w:type="dxa"/>
              <w:right w:w="14" w:type="dxa"/>
              <w:bottom w:w="0" w:type="dxa"/>
            </w:tcMar>
            <w:tcW w:w="899"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安全</w:t>
            </w:r>
            <w:r/>
          </w:p>
          <w:p>
            <w:pPr>
              <w:jc w:val="center"/>
              <w:rPr>
                <w:rFonts w:ascii="宋体" w:hAnsi="宋体" w:cs="宋体"/>
                <w:szCs w:val="21"/>
                <w:highlight w:val="none"/>
              </w:rPr>
            </w:pPr>
            <w:r>
              <w:rPr>
                <w:rFonts w:hint="eastAsia" w:ascii="宋体" w:hAnsi="宋体" w:cs="宋体"/>
                <w:szCs w:val="21"/>
                <w:highlight w:val="none"/>
              </w:rPr>
              <w:t xml:space="preserve">生产</w:t>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19</w:t>
            </w:r>
            <w:r/>
          </w:p>
        </w:tc>
        <w:tc>
          <w:tcPr>
            <w:tcBorders>
              <w:right w:val="single" w:color="auto" w:sz="4" w:space="0"/>
            </w:tcBorders>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未经批准擅自安排人员住在闸站的</w:t>
            </w:r>
            <w:r/>
          </w:p>
        </w:tc>
        <w:tc>
          <w:tcPr>
            <w:tcBorders>
              <w:left w:val="single" w:color="auto" w:sz="4" w:space="0"/>
              <w:bottom w:val="single" w:color="auto" w:sz="4" w:space="0"/>
              <w:right w:val="single" w:color="auto" w:sz="4" w:space="0"/>
            </w:tcBorders>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每次扣3分</w:t>
            </w:r>
            <w:r/>
          </w:p>
        </w:tc>
      </w:tr>
      <w:tr>
        <w:trPr>
          <w:cantSplit/>
          <w:jc w:val="center"/>
          <w:trHeight w:val="321"/>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20</w:t>
            </w:r>
            <w:r/>
          </w:p>
        </w:tc>
        <w:tc>
          <w:tcPr>
            <w:tcBorders>
              <w:right w:val="single" w:color="auto" w:sz="4" w:space="0"/>
            </w:tcBorders>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工作人员酒后作业</w:t>
            </w:r>
            <w:r/>
          </w:p>
        </w:tc>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每人次扣5分</w:t>
            </w:r>
            <w:r/>
          </w:p>
        </w:tc>
      </w:tr>
      <w:tr>
        <w:trPr>
          <w:cantSplit/>
          <w:jc w:val="center"/>
          <w:trHeight w:val="280"/>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Mar>
              <w:left w:w="14" w:type="dxa"/>
              <w:top w:w="14" w:type="dxa"/>
              <w:right w:w="14" w:type="dxa"/>
              <w:bottom w:w="0" w:type="dxa"/>
            </w:tcMar>
            <w:tcW w:w="60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21</w:t>
            </w:r>
            <w:r/>
          </w:p>
        </w:tc>
        <w:tc>
          <w:tcPr>
            <w:shd w:val="clear" w:color="auto" w:fill="auto"/>
            <w:tcBorders>
              <w:right w:val="single" w:color="auto" w:sz="4" w:space="0"/>
            </w:tcBorders>
            <w:tcMar>
              <w:left w:w="14" w:type="dxa"/>
              <w:top w:w="14" w:type="dxa"/>
              <w:right w:w="14" w:type="dxa"/>
              <w:bottom w:w="0" w:type="dxa"/>
            </w:tcMar>
            <w:tcW w:w="5934" w:type="dxa"/>
            <w:vAlign w:val="center"/>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工作场所存在安全隐患的</w:t>
            </w:r>
            <w:r/>
          </w:p>
        </w:tc>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eastAsia="宋体" w:cs="宋体"/>
                <w:szCs w:val="21"/>
                <w:highlight w:val="none"/>
              </w:rPr>
              <w:t xml:space="preserve">每处扣5分</w:t>
            </w:r>
            <w:r/>
          </w:p>
        </w:tc>
      </w:tr>
      <w:tr>
        <w:trPr>
          <w:cantSplit/>
          <w:jc w:val="center"/>
          <w:trHeight w:val="280"/>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22</w:t>
            </w:r>
            <w:r/>
          </w:p>
        </w:tc>
        <w:tc>
          <w:tcPr>
            <w:tcBorders>
              <w:right w:val="single" w:color="auto" w:sz="4" w:space="0"/>
            </w:tcBorders>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检查中发现的安全隐患不进行整改的</w:t>
            </w:r>
            <w:r/>
          </w:p>
        </w:tc>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每处扣10分</w:t>
            </w:r>
            <w:r/>
          </w:p>
        </w:tc>
      </w:tr>
      <w:tr>
        <w:trPr>
          <w:cantSplit/>
          <w:jc w:val="center"/>
          <w:trHeight w:val="229"/>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23</w:t>
            </w:r>
            <w:r/>
          </w:p>
        </w:tc>
        <w:tc>
          <w:tcPr>
            <w:tcBorders>
              <w:right w:val="single" w:color="auto" w:sz="4" w:space="0"/>
            </w:tcBorders>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检查发现存在安全隐患整改不及时的</w:t>
            </w:r>
            <w:r/>
          </w:p>
        </w:tc>
        <w:tc>
          <w:tcPr>
            <w:tcBorders>
              <w:top w:val="single" w:color="auto" w:sz="4" w:space="0"/>
              <w:left w:val="single" w:color="auto" w:sz="4" w:space="0"/>
              <w:right w:val="single" w:color="auto" w:sz="4" w:space="0"/>
            </w:tcBorders>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每处扣5分</w:t>
            </w:r>
            <w:r/>
          </w:p>
        </w:tc>
      </w:tr>
      <w:tr>
        <w:trPr>
          <w:cantSplit/>
          <w:jc w:val="center"/>
          <w:trHeight w:val="229"/>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24</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聘用的人员年龄、健康状况、文化素质不符合工作要求的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每人次扣5分</w:t>
            </w:r>
            <w:r/>
          </w:p>
        </w:tc>
      </w:tr>
      <w:tr>
        <w:trPr>
          <w:cantSplit/>
          <w:jc w:val="center"/>
          <w:trHeight w:val="229"/>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25</w:t>
            </w:r>
            <w:r/>
          </w:p>
        </w:tc>
        <w:tc>
          <w:tcPr>
            <w:tcMar>
              <w:left w:w="14" w:type="dxa"/>
              <w:top w:w="14" w:type="dxa"/>
              <w:right w:w="14" w:type="dxa"/>
              <w:bottom w:w="0" w:type="dxa"/>
            </w:tcMar>
            <w:tcW w:w="5934"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安全规程、设备操作程序、维修操作、监护制度执行不到位的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每</w:t>
            </w:r>
            <w:r>
              <w:rPr>
                <w:rFonts w:hint="eastAsia" w:ascii="宋体" w:hAnsi="宋体" w:cs="宋体"/>
                <w:color w:val="auto"/>
                <w:szCs w:val="21"/>
                <w:highlight w:val="none"/>
              </w:rPr>
              <w:t xml:space="preserve">次扣5分</w:t>
            </w:r>
            <w:r/>
          </w:p>
        </w:tc>
      </w:tr>
      <w:tr>
        <w:trPr>
          <w:cantSplit/>
          <w:jc w:val="center"/>
          <w:trHeight w:val="332"/>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26</w:t>
            </w:r>
            <w:r/>
          </w:p>
        </w:tc>
        <w:tc>
          <w:tcPr>
            <w:tcMar>
              <w:left w:w="14" w:type="dxa"/>
              <w:top w:w="14" w:type="dxa"/>
              <w:right w:w="14" w:type="dxa"/>
              <w:bottom w:w="0" w:type="dxa"/>
            </w:tcMar>
            <w:tcW w:w="5934"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未按要求作业导致内河水倒流入太湖、望虞河的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每次扣5分</w:t>
            </w:r>
            <w:r/>
          </w:p>
        </w:tc>
      </w:tr>
      <w:tr>
        <w:trPr>
          <w:cantSplit/>
          <w:jc w:val="center"/>
          <w:trHeight w:val="249"/>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27</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工作过程中发生交通事故，造成人员受伤或者车辆损坏的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每次扣10分</w:t>
            </w:r>
            <w:r/>
          </w:p>
        </w:tc>
      </w:tr>
      <w:tr>
        <w:trPr>
          <w:cantSplit/>
          <w:jc w:val="center"/>
          <w:trHeight w:val="249"/>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28</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出现重大安全责任事故，造成人员伤亡或者重大财产损失</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直接解除合同</w:t>
            </w:r>
            <w:r/>
          </w:p>
        </w:tc>
      </w:tr>
      <w:tr>
        <w:trPr>
          <w:cantSplit/>
          <w:jc w:val="center"/>
          <w:trHeight w:val="246"/>
        </w:trPr>
        <w:tc>
          <w:tcPr>
            <w:tcMar>
              <w:left w:w="14" w:type="dxa"/>
              <w:top w:w="14" w:type="dxa"/>
              <w:right w:w="14" w:type="dxa"/>
              <w:bottom w:w="0" w:type="dxa"/>
            </w:tcMar>
            <w:tcW w:w="899" w:type="dxa"/>
            <w:vAlign w:val="bottom"/>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作业</w:t>
            </w:r>
            <w:r/>
          </w:p>
          <w:p>
            <w:pPr>
              <w:jc w:val="center"/>
              <w:rPr>
                <w:rFonts w:ascii="宋体" w:hAnsi="宋体" w:cs="宋体"/>
                <w:szCs w:val="21"/>
                <w:highlight w:val="none"/>
              </w:rPr>
            </w:pPr>
            <w:r>
              <w:rPr>
                <w:rFonts w:hint="eastAsia" w:ascii="宋体" w:hAnsi="宋体" w:cs="宋体"/>
                <w:szCs w:val="21"/>
                <w:highlight w:val="none"/>
              </w:rPr>
              <w:t xml:space="preserve">时间</w:t>
            </w:r>
            <w:r/>
          </w:p>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29</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迟到或者早退、擅自换岗、离岗的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24"/>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30</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未按照要求进行值班值守的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每人次扣5分</w:t>
            </w:r>
            <w:r/>
          </w:p>
        </w:tc>
      </w:tr>
      <w:tr>
        <w:trPr>
          <w:cantSplit/>
          <w:jc w:val="center"/>
          <w:trHeight w:val="22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31</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迟到早退，作业时间不符合作业时间要求的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24"/>
        </w:trPr>
        <w:tc>
          <w:tcPr>
            <w:tcMar>
              <w:left w:w="14" w:type="dxa"/>
              <w:top w:w="14" w:type="dxa"/>
              <w:right w:w="14" w:type="dxa"/>
              <w:bottom w:w="0" w:type="dxa"/>
            </w:tcMar>
            <w:tcW w:w="899"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文明</w:t>
            </w:r>
            <w:r/>
          </w:p>
          <w:p>
            <w:pPr>
              <w:jc w:val="center"/>
              <w:rPr>
                <w:rFonts w:ascii="宋体" w:hAnsi="宋体" w:cs="宋体"/>
                <w:szCs w:val="21"/>
                <w:highlight w:val="none"/>
              </w:rPr>
            </w:pPr>
            <w:r>
              <w:rPr>
                <w:rFonts w:hint="eastAsia" w:ascii="宋体" w:hAnsi="宋体" w:cs="宋体"/>
                <w:szCs w:val="21"/>
                <w:highlight w:val="none"/>
              </w:rPr>
              <w:t xml:space="preserve">作业</w:t>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32</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工作人员上岗未着工作服，佩戴工作牌等标志的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每人次扣3分</w:t>
            </w:r>
            <w:r/>
          </w:p>
        </w:tc>
      </w:tr>
      <w:tr>
        <w:trPr>
          <w:cantSplit/>
          <w:jc w:val="center"/>
          <w:trHeight w:val="241"/>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33</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不文明作业（工作时抽烟，争吵、打架等违纪现象）</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每人次扣5分</w:t>
            </w:r>
            <w:r/>
          </w:p>
        </w:tc>
      </w:tr>
      <w:tr>
        <w:trPr>
          <w:cantSplit/>
          <w:jc w:val="center"/>
          <w:trHeight w:val="224"/>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34</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巡查车辆不置统一标记、不整洁的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每次扣3分</w:t>
            </w:r>
            <w:r/>
          </w:p>
        </w:tc>
      </w:tr>
      <w:tr>
        <w:trPr>
          <w:cantSplit/>
          <w:jc w:val="center"/>
          <w:trHeight w:val="241"/>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35</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工作人员将烟头、杂物或清理的垃圾随意抛洒、处置的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每次扣3分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36</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无故损毁办公用品、水利设施或借用的车辆等设备的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赔偿损失，每次扣10分</w:t>
            </w:r>
            <w:r/>
          </w:p>
        </w:tc>
      </w:tr>
      <w:tr>
        <w:trPr>
          <w:cantSplit/>
          <w:jc w:val="center"/>
          <w:trHeight w:val="247"/>
        </w:trPr>
        <w:tc>
          <w:tcPr>
            <w:tcMar>
              <w:left w:w="14" w:type="dxa"/>
              <w:top w:w="14" w:type="dxa"/>
              <w:right w:w="14" w:type="dxa"/>
              <w:bottom w:w="0" w:type="dxa"/>
            </w:tcMar>
            <w:tcW w:w="899"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仓库</w:t>
            </w:r>
            <w:r/>
          </w:p>
          <w:p>
            <w:pPr>
              <w:jc w:val="center"/>
              <w:rPr>
                <w:rFonts w:ascii="宋体" w:hAnsi="宋体" w:cs="宋体"/>
                <w:szCs w:val="21"/>
                <w:highlight w:val="none"/>
              </w:rPr>
            </w:pPr>
            <w:r>
              <w:rPr>
                <w:rFonts w:hint="eastAsia" w:ascii="宋体" w:hAnsi="宋体" w:cs="宋体"/>
                <w:szCs w:val="21"/>
                <w:highlight w:val="none"/>
              </w:rPr>
              <w:t xml:space="preserve">管理</w:t>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37</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接到通知后，未及时开启仓库大门，影响防汛抢险的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每次扣10分，第二次直接解除合同</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38</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因管理不善，导致防汛物资损坏或丢失的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赔偿损失，每次扣10分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39</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未及时对物资出入库情况进行登、统记，物资数量不清的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每次扣10分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40</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防汛物资或器材摆放杂乱的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41</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防汛物资仓库内外环境卫生脏乱差的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r>
        <w:trPr>
          <w:cantSplit/>
          <w:jc w:val="center"/>
          <w:trHeight w:val="247"/>
        </w:trPr>
        <w:tc>
          <w:tcPr>
            <w:tcMar>
              <w:left w:w="14" w:type="dxa"/>
              <w:top w:w="14" w:type="dxa"/>
              <w:right w:w="14" w:type="dxa"/>
              <w:bottom w:w="0" w:type="dxa"/>
            </w:tcMar>
            <w:tcW w:w="899"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环境</w:t>
            </w:r>
            <w:r/>
          </w:p>
          <w:p>
            <w:pPr>
              <w:jc w:val="center"/>
              <w:rPr>
                <w:rFonts w:ascii="宋体" w:hAnsi="宋体" w:cs="宋体"/>
                <w:szCs w:val="21"/>
                <w:highlight w:val="none"/>
              </w:rPr>
            </w:pPr>
            <w:r>
              <w:rPr>
                <w:rFonts w:hint="eastAsia" w:ascii="宋体" w:hAnsi="宋体" w:cs="宋体"/>
                <w:szCs w:val="21"/>
                <w:highlight w:val="none"/>
              </w:rPr>
              <w:t xml:space="preserve">保洁</w:t>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42</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大堤及闸站管理范围内垃圾、杂树杂草未清理的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43</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未及时对水利工程设施、设备进行日常保洁、养护的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44</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大堤及闸站内环境脏乱，堆积有物品或者垃圾的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45</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管理房内地面、窗台、展窗积灰，房顶有蜘蛛网，窗户玻璃脏污的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46</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闸站内及堤防沿线标识标牌脏污及非正常损坏的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r>
        <w:trPr>
          <w:cantSplit/>
          <w:jc w:val="center"/>
          <w:trHeight w:val="247"/>
        </w:trPr>
        <w:tc>
          <w:tcPr>
            <w:tcMar>
              <w:left w:w="14" w:type="dxa"/>
              <w:top w:w="14" w:type="dxa"/>
              <w:right w:w="14" w:type="dxa"/>
              <w:bottom w:w="0" w:type="dxa"/>
            </w:tcMar>
            <w:tcW w:w="899" w:type="dxa"/>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Mar>
              <w:left w:w="14" w:type="dxa"/>
              <w:top w:w="14" w:type="dxa"/>
              <w:right w:w="14" w:type="dxa"/>
              <w:bottom w:w="0" w:type="dxa"/>
            </w:tcMar>
            <w:tcW w:w="60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47</w:t>
            </w:r>
            <w:r/>
          </w:p>
        </w:tc>
        <w:tc>
          <w:tcPr>
            <w:tcMar>
              <w:left w:w="14" w:type="dxa"/>
              <w:top w:w="14" w:type="dxa"/>
              <w:right w:w="14" w:type="dxa"/>
              <w:bottom w:w="0" w:type="dxa"/>
            </w:tcMar>
            <w:tcW w:w="5934"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清理的垃圾未按要求集中处置或随意丢弃的</w:t>
            </w:r>
            <w:r/>
          </w:p>
        </w:tc>
        <w:tc>
          <w:tcPr>
            <w:tcMar>
              <w:left w:w="14" w:type="dxa"/>
              <w:top w:w="14" w:type="dxa"/>
              <w:right w:w="14" w:type="dxa"/>
              <w:bottom w:w="0" w:type="dxa"/>
            </w:tcMar>
            <w:tcW w:w="225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每处扣3分</w:t>
            </w:r>
            <w:r/>
          </w:p>
        </w:tc>
      </w:tr>
    </w:tbl>
    <w:p>
      <w:pPr>
        <w:rPr>
          <w:highlight w:val="none"/>
        </w:rPr>
      </w:pPr>
      <w:r>
        <w:rPr>
          <w:highlight w:val="none"/>
        </w:rPr>
      </w:r>
      <w:r/>
    </w:p>
    <w:p>
      <w:pPr>
        <w:pStyle w:val="1039"/>
        <w:ind w:firstLine="420"/>
        <w:rPr>
          <w:highlight w:val="none"/>
        </w:rPr>
      </w:pPr>
      <w:r>
        <w:rPr>
          <w:highlight w:val="none"/>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986"/>
        <w:jc w:val="center"/>
        <w:spacing w:line="416" w:lineRule="auto"/>
        <w:rPr>
          <w:rFonts w:hint="eastAsia" w:ascii="宋体" w:hAnsi="宋体" w:cs="宋体"/>
          <w:b w:val="0"/>
          <w:bCs w:val="0"/>
          <w:color w:val="000000" w:themeColor="text1"/>
          <w:highlight w:val="none"/>
          <w:lang w:val="en-US"/>
          <w14:textFill>
            <w14:solidFill>
              <w14:schemeClr w14:val="tx1"/>
            </w14:solidFill>
          </w14:textFill>
        </w:rPr>
      </w:pPr>
      <w:r/>
      <w:bookmarkStart w:id="31" w:name="_Toc6367"/>
      <w:r>
        <w:rPr>
          <w:rFonts w:hint="eastAsia" w:ascii="宋体" w:hAnsi="宋体" w:cs="宋体"/>
          <w:color w:val="000000" w:themeColor="text1"/>
          <w:highlight w:val="none"/>
          <w14:textFill>
            <w14:solidFill>
              <w14:schemeClr w14:val="tx1"/>
            </w14:solidFill>
          </w14:textFill>
        </w:rPr>
        <w:t xml:space="preserve">第六章</w:t>
      </w:r>
      <w:r>
        <w:rPr>
          <w:rFonts w:hint="eastAsia" w:ascii="宋体" w:hAnsi="宋体" w:cs="宋体"/>
          <w:color w:val="000000" w:themeColor="text1"/>
          <w:highlight w:val="none"/>
          <w:lang w:val="en-US"/>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附件</w:t>
      </w:r>
      <w:bookmarkEnd w:id="31"/>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附件1：</w:t>
      </w:r>
      <w:r>
        <w:rPr>
          <w:rFonts w:hint="eastAsia" w:ascii="宋体" w:hAnsi="宋体" w:cs="宋体"/>
          <w:b/>
          <w:color w:val="000000" w:themeColor="text1"/>
          <w:szCs w:val="21"/>
          <w:highlight w:val="none"/>
          <w:lang w:val="zh-CN"/>
          <w14:textFill>
            <w14:solidFill>
              <w14:schemeClr w14:val="tx1"/>
            </w14:solidFill>
          </w14:textFill>
        </w:rPr>
        <w:t xml:space="preserve">开标一览表（具体按照“苏采云”系统填报）</w:t>
      </w:r>
      <w:r/>
    </w:p>
    <w:p>
      <w:pPr>
        <w:jc w:val="center"/>
        <w:spacing w:before="240" w:after="240"/>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lang w:val="zh-CN"/>
          <w14:textFill>
            <w14:solidFill>
              <w14:schemeClr w14:val="tx1"/>
            </w14:solidFill>
          </w14:textFill>
        </w:rPr>
        <w:t xml:space="preserve">开标一览表</w:t>
      </w:r>
      <w:r/>
    </w:p>
    <w:p>
      <w:pPr>
        <w:jc w:val="left"/>
        <w:spacing w:before="240" w:after="240"/>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响应</w:t>
      </w:r>
      <w:r>
        <w:rPr>
          <w:rFonts w:hint="eastAsia" w:ascii="宋体" w:hAnsi="宋体" w:cs="宋体"/>
          <w:color w:val="000000"/>
          <w:sz w:val="22"/>
          <w:highlight w:val="none"/>
          <w:lang w:val="en-US" w:eastAsia="zh-CN"/>
        </w:rPr>
        <w:t xml:space="preserve">单位</w:t>
      </w:r>
      <w:r>
        <w:rPr>
          <w:rFonts w:ascii="宋体" w:hAnsi="宋体" w:cs="宋体"/>
          <w:color w:val="000000"/>
          <w:sz w:val="22"/>
          <w:highlight w:val="none"/>
        </w:rPr>
        <w:t xml:space="preserve">全称（加盖公章）：</w:t>
      </w:r>
      <w:r/>
    </w:p>
    <w:p>
      <w:pPr>
        <w:jc w:val="left"/>
        <w:spacing w:before="240" w:after="240"/>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项目编号：</w:t>
      </w:r>
      <w:r/>
    </w:p>
    <w:tbl>
      <w:tblPr>
        <w:tblStyle w:val="1023"/>
        <w:tblW w:w="0" w:type="auto"/>
        <w:tblInd w:w="59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0"/>
        <w:gridCol w:w="4575"/>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2"/>
                <w:highlight w:val="none"/>
              </w:rPr>
              <w:t xml:space="preserve">报价（元）</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sz w:val="24"/>
                <w:highlight w:val="none"/>
              </w:rPr>
            </w:r>
            <w:r/>
          </w:p>
        </w:tc>
      </w:tr>
      <w:tr>
        <w:trPr>
          <w:trHeight w:val="61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5" w:type="dxa"/>
            <w:vAlign w:val="center"/>
            <w:textDirection w:val="lrTb"/>
            <w:noWrap w:val="false"/>
          </w:tcPr>
          <w:p>
            <w:pPr>
              <w:jc w:val="left"/>
              <w:spacing w:line="85" w:lineRule="atLeast"/>
              <w:rPr>
                <w:rFonts w:hint="default" w:ascii="Calibri" w:hAnsi="Calibri"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响应报价</w:t>
            </w:r>
            <w:r>
              <w:rPr>
                <w:rFonts w:hint="eastAsia" w:ascii="宋体" w:hAnsi="宋体" w:eastAsia="Times New Roman" w:cs="宋体"/>
                <w:color w:val="000000"/>
                <w:sz w:val="22"/>
                <w:highlight w:val="none"/>
              </w:rPr>
              <w:t xml:space="preserve">：</w:t>
            </w:r>
            <w:r>
              <w:rPr>
                <w:rFonts w:hint="eastAsia" w:ascii="宋体" w:hAnsi="宋体" w:eastAsia="宋体" w:cs="宋体"/>
                <w:color w:val="000000"/>
                <w:sz w:val="22"/>
                <w:highlight w:val="none"/>
                <w:lang w:val="en-US" w:eastAsia="zh-CN"/>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sz w:val="22"/>
                <w:highlight w:val="none"/>
                <w:lang w:val="en-US" w:eastAsia="zh-CN"/>
              </w:rPr>
              <w:t xml:space="preserve">     ）</w:t>
            </w:r>
            <w:r/>
          </w:p>
        </w:tc>
      </w:tr>
    </w:tbl>
    <w:p>
      <w:pPr>
        <w:ind w:right="300" w:firstLine="440"/>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keepLines w:val="0"/>
        <w:keepNext w:val="0"/>
        <w:pageBreakBefore w:val="0"/>
        <w:widowControl w:val="off"/>
        <w:rPr>
          <w:rFonts w:hint="eastAsia" w:ascii="宋体" w:hAnsi="宋体" w:cs="宋体"/>
          <w:b/>
          <w:bCs/>
          <w:color w:val="000000" w:themeColor="text1"/>
          <w:highlight w:val="none"/>
          <w:lang w:val="en-US" w:eastAsia="zh-CN"/>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附件2</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响应报价明细表</w:t>
      </w:r>
      <w:r/>
    </w:p>
    <w:p>
      <w:pPr>
        <w:jc w:val="center"/>
        <w:rPr>
          <w:rFonts w:ascii="宋体" w:hAnsi="宋体"/>
          <w:szCs w:val="21"/>
          <w:highlight w:val="none"/>
          <w:u w:val="single"/>
        </w:rPr>
      </w:pPr>
      <w:r>
        <w:rPr>
          <w:rFonts w:hint="eastAsia" w:ascii="宋体" w:hAnsi="宋体" w:cs="宋体"/>
          <w:b/>
          <w:bCs/>
          <w:color w:val="000000" w:themeColor="text1"/>
          <w:highlight w:val="none"/>
          <w:lang w:val="en-US" w:eastAsia="zh-CN"/>
          <w14:textFill>
            <w14:solidFill>
              <w14:schemeClr w14:val="tx1"/>
            </w14:solidFill>
          </w14:textFill>
        </w:rPr>
        <w:t xml:space="preserve">响应报价明细表</w:t>
      </w:r>
      <w:r/>
    </w:p>
    <w:tbl>
      <w:tblPr>
        <w:tblStyle w:val="99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2142"/>
        <w:gridCol w:w="1289"/>
        <w:gridCol w:w="1289"/>
        <w:gridCol w:w="1289"/>
        <w:gridCol w:w="1290"/>
        <w:gridCol w:w="1300"/>
      </w:tblGrid>
      <w:tr>
        <w:trPr>
          <w:cantSplit/>
          <w:jc w:val="center"/>
          <w:trHeight w:val="50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eastAsia="宋体"/>
                <w:szCs w:val="21"/>
                <w:highlight w:val="none"/>
                <w:lang w:eastAsia="zh-CN"/>
              </w:rPr>
            </w:pPr>
            <w:r>
              <w:rPr>
                <w:rFonts w:ascii="宋体" w:hAnsi="宋体"/>
                <w:szCs w:val="21"/>
                <w:highlight w:val="none"/>
              </w:rPr>
              <w:t xml:space="preserve">单价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元</w:t>
            </w:r>
            <w:r>
              <w:rPr>
                <w:rFonts w:hint="eastAsia" w:ascii="宋体" w:hAnsi="宋体"/>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总价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元</w:t>
            </w:r>
            <w:r>
              <w:rPr>
                <w:rFonts w:hint="eastAsia" w:ascii="宋体" w:hAnsi="宋体"/>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响应报价</w:t>
            </w:r>
            <w:r>
              <w:rPr>
                <w:rFonts w:hint="eastAsia" w:ascii="宋体" w:hAnsi="宋体" w:eastAsia="Times New Roman" w:cs="宋体"/>
                <w:color w:val="000000"/>
                <w:sz w:val="22"/>
                <w:highlight w:val="none"/>
              </w:rPr>
              <w:t xml:space="preserve">：</w:t>
            </w:r>
            <w:r>
              <w:rPr>
                <w:rFonts w:hint="eastAsia" w:ascii="宋体" w:hAnsi="宋体" w:eastAsia="宋体" w:cs="宋体"/>
                <w:color w:val="000000"/>
                <w:sz w:val="22"/>
                <w:highlight w:val="none"/>
                <w:lang w:val="en-US" w:eastAsia="zh-CN"/>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sz w:val="22"/>
                <w:highlight w:val="none"/>
                <w:lang w:val="en-US" w:eastAsia="zh-CN"/>
              </w:rPr>
              <w:t xml:space="preserve">     ）</w:t>
            </w:r>
            <w:r/>
          </w:p>
        </w:tc>
      </w:tr>
    </w:tbl>
    <w:p>
      <w:pPr>
        <w:pStyle w:val="1039"/>
        <w:ind w:firstLine="479"/>
        <w:spacing w:line="360" w:lineRule="auto"/>
        <w:rPr>
          <w:b/>
          <w:szCs w:val="21"/>
          <w:highlight w:val="none"/>
        </w:rPr>
      </w:pPr>
      <w:r>
        <w:rPr>
          <w:rFonts w:hint="eastAsia"/>
          <w:b/>
          <w:szCs w:val="21"/>
          <w:highlight w:val="none"/>
        </w:rPr>
        <w:t xml:space="preserve">注：</w:t>
      </w:r>
      <w:r/>
    </w:p>
    <w:p>
      <w:pPr>
        <w:pStyle w:val="1039"/>
        <w:ind w:firstLine="479"/>
        <w:spacing w:line="360" w:lineRule="auto"/>
        <w:rPr>
          <w:b/>
          <w:szCs w:val="21"/>
          <w:highlight w:val="none"/>
        </w:rPr>
      </w:pPr>
      <w:r>
        <w:rPr>
          <w:rFonts w:hint="eastAsia"/>
          <w:b/>
          <w:szCs w:val="21"/>
          <w:highlight w:val="none"/>
        </w:rPr>
        <w:t xml:space="preserve">1</w:t>
      </w:r>
      <w:r>
        <w:rPr>
          <w:rFonts w:hint="eastAsia"/>
          <w:b/>
          <w:szCs w:val="21"/>
          <w:highlight w:val="none"/>
          <w:lang w:val="en-US" w:eastAsia="zh-CN"/>
        </w:rPr>
        <w:t xml:space="preserve">.</w:t>
      </w:r>
      <w:r>
        <w:rPr>
          <w:rFonts w:hint="eastAsia"/>
          <w:b/>
          <w:szCs w:val="21"/>
          <w:highlight w:val="none"/>
        </w:rPr>
        <w:t xml:space="preserve">以上表格仅供参考，</w:t>
      </w:r>
      <w:r>
        <w:rPr>
          <w:rFonts w:hint="eastAsia"/>
          <w:b/>
          <w:szCs w:val="21"/>
          <w:highlight w:val="none"/>
          <w:lang w:val="en-US" w:eastAsia="zh-CN"/>
        </w:rPr>
        <w:t xml:space="preserve">供应商</w:t>
      </w:r>
      <w:r>
        <w:rPr>
          <w:rFonts w:hint="eastAsia"/>
          <w:b/>
          <w:szCs w:val="21"/>
          <w:highlight w:val="none"/>
        </w:rPr>
        <w:t xml:space="preserve">可根据实际费用构成自行拟制。</w:t>
      </w:r>
      <w:r/>
    </w:p>
    <w:p>
      <w:pPr>
        <w:pStyle w:val="1039"/>
        <w:ind w:firstLine="479"/>
        <w:spacing w:line="360" w:lineRule="auto"/>
        <w:rPr>
          <w:b/>
          <w:szCs w:val="21"/>
          <w:highlight w:val="none"/>
        </w:rPr>
      </w:pPr>
      <w:r>
        <w:rPr>
          <w:b/>
          <w:szCs w:val="21"/>
          <w:highlight w:val="none"/>
        </w:rPr>
        <w:t xml:space="preserve">2</w:t>
      </w:r>
      <w:r>
        <w:rPr>
          <w:rFonts w:hint="eastAsia"/>
          <w:b/>
          <w:szCs w:val="21"/>
          <w:highlight w:val="none"/>
          <w:lang w:val="en-US" w:eastAsia="zh-CN"/>
        </w:rPr>
        <w:t xml:space="preserve">.</w:t>
      </w:r>
      <w:r>
        <w:rPr>
          <w:rFonts w:hint="eastAsia"/>
          <w:b/>
          <w:szCs w:val="21"/>
          <w:highlight w:val="none"/>
        </w:rPr>
        <w:t xml:space="preserve">此表合计金额须与开标一览表所报金额保持一致，若不一致的，以开标一览表为准。</w:t>
      </w:r>
      <w:r/>
    </w:p>
    <w:p>
      <w:pPr>
        <w:ind w:right="-210"/>
        <w:jc w:val="right"/>
        <w:rPr>
          <w:rFonts w:ascii="宋体" w:hAnsi="宋体" w:cs="宋体"/>
          <w:szCs w:val="21"/>
          <w:highlight w:val="none"/>
        </w:rPr>
      </w:pPr>
      <w:r>
        <w:rPr>
          <w:rFonts w:ascii="宋体" w:hAnsi="宋体" w:cs="宋体"/>
          <w:szCs w:val="21"/>
          <w:highlight w:val="none"/>
        </w:rPr>
      </w:r>
      <w:r/>
    </w:p>
    <w:p>
      <w:pPr>
        <w:ind w:right="-210"/>
        <w:jc w:val="right"/>
        <w:rPr>
          <w:rFonts w:ascii="宋体" w:hAnsi="宋体" w:cs="宋体"/>
          <w:szCs w:val="21"/>
          <w:highlight w:val="none"/>
        </w:rPr>
      </w:pPr>
      <w:r>
        <w:rPr>
          <w:rFonts w:ascii="宋体" w:hAnsi="宋体" w:cs="宋体"/>
          <w:szCs w:val="21"/>
          <w:highlight w:val="none"/>
        </w:rPr>
      </w:r>
      <w:r/>
    </w:p>
    <w:p>
      <w:pPr>
        <w:ind w:right="-210"/>
        <w:jc w:val="right"/>
        <w:rPr>
          <w:rFonts w:ascii="宋体" w:hAnsi="宋体" w:cs="宋体"/>
          <w:szCs w:val="21"/>
          <w:highlight w:val="none"/>
        </w:rPr>
      </w:pPr>
      <w:r>
        <w:rPr>
          <w:rFonts w:ascii="宋体" w:hAnsi="宋体" w:cs="宋体"/>
          <w:szCs w:val="21"/>
          <w:highlight w:val="none"/>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hAnsi="宋体" w:cs="宋体"/>
          <w:color w:val="000000" w:themeColor="text1"/>
          <w:highlight w:val="none"/>
          <w14:textFill>
            <w14:solidFill>
              <w14:schemeClr w14:val="tx1"/>
            </w14:solidFill>
          </w14:textFill>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right="615"/>
        <w:jc w:val="both"/>
        <w:spacing w:line="400" w:lineRule="exact"/>
        <w:rPr>
          <w:rFonts w:ascii="宋体" w:hAnsi="宋体" w:cs="宋体"/>
          <w:szCs w:val="21"/>
          <w:highlight w:val="none"/>
          <w:lang w:val="zh-CN"/>
        </w:rPr>
      </w:pPr>
      <w:r>
        <w:rPr>
          <w:rFonts w:ascii="宋体" w:hAnsi="宋体" w:cs="宋体"/>
          <w:szCs w:val="21"/>
          <w:highlight w:val="none"/>
          <w:lang w:val="zh-CN"/>
        </w:rPr>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关于</w:t>
      </w:r>
      <w:r>
        <w:rPr>
          <w:rFonts w:hint="eastAsia" w:ascii="宋体" w:hAnsi="宋体" w:cs="宋体"/>
          <w:b/>
          <w:bCs/>
          <w:color w:val="000000" w:themeColor="text1"/>
          <w:highlight w:val="none"/>
          <w:lang w:val="zh-CN"/>
          <w14:textFill>
            <w14:solidFill>
              <w14:schemeClr w14:val="tx1"/>
            </w14:solidFill>
          </w14:textFill>
        </w:rPr>
        <w:t xml:space="preserve">资格文件声明函</w:t>
      </w:r>
      <w:r/>
    </w:p>
    <w:p>
      <w:pPr>
        <w:ind w:firstLine="420"/>
        <w:jc w:val="center"/>
        <w:rPr>
          <w:rFonts w:ascii="宋体" w:hAnsi="宋体"/>
          <w:b/>
          <w:szCs w:val="21"/>
          <w:highlight w:val="none"/>
        </w:rPr>
      </w:pPr>
      <w:r>
        <w:rPr>
          <w:rFonts w:ascii="宋体" w:hAnsi="宋体"/>
          <w:b/>
          <w:szCs w:val="21"/>
          <w:highlight w:val="none"/>
        </w:rPr>
      </w:r>
      <w:r/>
    </w:p>
    <w:p>
      <w:pPr>
        <w:ind w:firstLine="420"/>
        <w:jc w:val="center"/>
        <w:rPr>
          <w:rFonts w:ascii="宋体" w:hAnsi="宋体"/>
          <w:b/>
          <w:szCs w:val="21"/>
          <w:highlight w:val="none"/>
        </w:rPr>
      </w:pPr>
      <w:r>
        <w:rPr>
          <w:rFonts w:ascii="宋体" w:hAnsi="宋体"/>
          <w:b/>
          <w:szCs w:val="21"/>
          <w:highlight w:val="none"/>
        </w:rPr>
        <w:t xml:space="preserve">关于资格文件的声明函</w:t>
      </w:r>
      <w:r/>
    </w:p>
    <w:p>
      <w:pPr>
        <w:ind w:firstLine="420"/>
        <w:jc w:val="center"/>
        <w:rPr>
          <w:rFonts w:ascii="宋体" w:hAnsi="宋体"/>
          <w:szCs w:val="21"/>
          <w:highlight w:val="none"/>
        </w:rPr>
      </w:pPr>
      <w:r>
        <w:rPr>
          <w:rFonts w:ascii="宋体" w:hAnsi="宋体"/>
          <w:szCs w:val="21"/>
          <w:highlight w:val="none"/>
        </w:rPr>
      </w:r>
      <w:r/>
    </w:p>
    <w:p>
      <w:pPr>
        <w:jc w:val="left"/>
        <w:spacing w:line="360" w:lineRule="auto"/>
        <w:rPr>
          <w:rFonts w:ascii="宋体" w:hAnsi="宋体"/>
          <w:szCs w:val="21"/>
          <w:highlight w:val="none"/>
        </w:rPr>
      </w:pPr>
      <w:r>
        <w:rPr>
          <w:rFonts w:hint="eastAsia" w:ascii="宋体" w:hAnsi="宋体"/>
          <w:szCs w:val="21"/>
          <w:highlight w:val="none"/>
          <w:u w:val="single"/>
          <w:lang w:val="en-US" w:eastAsia="zh-CN"/>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江苏鸿渐投资咨询管理有限公司</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本公司愿就由贵</w:t>
      </w:r>
      <w:r>
        <w:rPr>
          <w:rFonts w:hint="eastAsia" w:ascii="宋体" w:hAnsi="宋体"/>
          <w:szCs w:val="21"/>
          <w:highlight w:val="none"/>
        </w:rPr>
        <w:t xml:space="preserve">公司</w:t>
      </w:r>
      <w:r>
        <w:rPr>
          <w:rFonts w:ascii="宋体" w:hAnsi="宋体"/>
          <w:szCs w:val="21"/>
          <w:highlight w:val="none"/>
        </w:rPr>
        <w:t xml:space="preserve">组织实施的编号为</w:t>
      </w:r>
      <w:r>
        <w:rPr>
          <w:rFonts w:ascii="宋体" w:hAnsi="宋体"/>
          <w:szCs w:val="21"/>
          <w:highlight w:val="none"/>
          <w:u w:val="single"/>
        </w:rPr>
        <w:t xml:space="preserve">              </w:t>
      </w:r>
      <w:r>
        <w:rPr>
          <w:rFonts w:ascii="宋体" w:hAnsi="宋体"/>
          <w:szCs w:val="21"/>
          <w:highlight w:val="none"/>
        </w:rPr>
        <w:t xml:space="preserve">号的</w:t>
      </w:r>
      <w:r>
        <w:rPr>
          <w:rFonts w:hint="eastAsia" w:ascii="宋体" w:hAnsi="宋体"/>
          <w:szCs w:val="21"/>
          <w:highlight w:val="none"/>
        </w:rPr>
        <w:t xml:space="preserve">磋商采购</w:t>
      </w:r>
      <w:r>
        <w:rPr>
          <w:rFonts w:ascii="宋体" w:hAnsi="宋体"/>
          <w:szCs w:val="21"/>
          <w:highlight w:val="none"/>
        </w:rPr>
        <w:t xml:space="preserve">活动进行</w:t>
      </w:r>
      <w:r>
        <w:rPr>
          <w:rFonts w:hint="eastAsia" w:ascii="宋体" w:hAnsi="宋体"/>
          <w:szCs w:val="21"/>
          <w:highlight w:val="none"/>
        </w:rPr>
        <w:t xml:space="preserve">响应</w:t>
      </w:r>
      <w:r>
        <w:rPr>
          <w:rFonts w:ascii="宋体" w:hAnsi="宋体"/>
          <w:szCs w:val="21"/>
          <w:highlight w:val="none"/>
        </w:rPr>
        <w:t xml:space="preserve">。本公司所提交的</w:t>
      </w:r>
      <w:r>
        <w:rPr>
          <w:rFonts w:hint="eastAsia" w:ascii="宋体" w:hAnsi="宋体"/>
          <w:szCs w:val="21"/>
          <w:highlight w:val="none"/>
        </w:rPr>
        <w:t xml:space="preserve">响应</w:t>
      </w:r>
      <w:r>
        <w:rPr>
          <w:rFonts w:ascii="宋体" w:hAnsi="宋体"/>
          <w:szCs w:val="21"/>
          <w:highlight w:val="none"/>
        </w:rPr>
        <w:t xml:space="preserve">文件中所有关于</w:t>
      </w:r>
      <w:r>
        <w:rPr>
          <w:rFonts w:hint="eastAsia" w:ascii="宋体" w:hAnsi="宋体"/>
          <w:szCs w:val="21"/>
          <w:highlight w:val="none"/>
        </w:rPr>
        <w:t xml:space="preserve">磋商</w:t>
      </w:r>
      <w:r>
        <w:rPr>
          <w:rFonts w:ascii="宋体" w:hAnsi="宋体"/>
          <w:szCs w:val="21"/>
          <w:highlight w:val="none"/>
        </w:rPr>
        <w:t xml:space="preserve">资格的文件、证明和陈述均是真实的、准确的。若与真实情况不符，本公司愿意承担由此而产生的一切后果。</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1041"/>
        <w:rPr>
          <w:rFonts w:hint="eastAsia" w:hAnsi="宋体" w:cs="宋体"/>
          <w:color w:val="000000" w:themeColor="text1"/>
          <w:highlight w:val="none"/>
          <w14:textFill>
            <w14:solidFill>
              <w14:schemeClr w14:val="tx1"/>
            </w14:solidFill>
          </w14:textFill>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hAnsi="宋体" w:cs="宋体"/>
          <w:color w:val="000000" w:themeColor="text1"/>
          <w:highlight w:val="none"/>
          <w14:textFill>
            <w14:solidFill>
              <w14:schemeClr w14:val="tx1"/>
            </w14:solidFill>
          </w14:textFill>
        </w:rPr>
      </w:r>
      <w:r/>
    </w:p>
    <w:p>
      <w:pPr>
        <w:spacing w:line="360" w:lineRule="auto"/>
        <w:rPr>
          <w:rFonts w:hint="eastAsia"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4</w:t>
      </w:r>
      <w:r>
        <w:rPr>
          <w:rFonts w:hint="eastAsia" w:ascii="宋体" w:hAnsi="宋体" w:cs="宋体"/>
          <w:b/>
          <w:bCs/>
          <w:color w:val="000000" w:themeColor="text1"/>
          <w:highlight w:val="none"/>
          <w14:textFill>
            <w14:solidFill>
              <w14:schemeClr w14:val="tx1"/>
            </w14:solidFill>
          </w14:textFill>
        </w:rPr>
        <w:t xml:space="preserve">：响应单位情况表</w:t>
      </w:r>
      <w:r/>
    </w:p>
    <w:p>
      <w:pPr>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响应单位情况表</w:t>
      </w:r>
      <w:r/>
    </w:p>
    <w:tbl>
      <w:tblPr>
        <w:tblStyle w:val="996"/>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法定代表人</w:t>
            </w:r>
            <w:r/>
          </w:p>
        </w:tc>
        <w:tc>
          <w:tcPr>
            <w:tcW w:w="198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tcW w:w="1461"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成立日期</w:t>
            </w:r>
            <w:r/>
          </w:p>
        </w:tc>
        <w:tc>
          <w:tcPr>
            <w:gridSpan w:val="2"/>
            <w:tcW w:w="3138"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企业地址</w:t>
            </w:r>
            <w:r/>
          </w:p>
        </w:tc>
        <w:tc>
          <w:tcPr>
            <w:tcW w:w="198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tcW w:w="1461"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注册资本</w:t>
            </w:r>
            <w:r/>
          </w:p>
        </w:tc>
        <w:tc>
          <w:tcPr>
            <w:gridSpan w:val="2"/>
            <w:tcW w:w="3138" w:type="dxa"/>
            <w:textDirection w:val="lrTb"/>
            <w:noWrap w:val="false"/>
          </w:tcPr>
          <w:p>
            <w:pPr>
              <w:pStyle w:val="997"/>
              <w:ind w:firstLine="216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万元</w:t>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经营范围</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职工人数</w:t>
            </w:r>
            <w:r/>
          </w:p>
        </w:tc>
        <w:tc>
          <w:tcPr>
            <w:tcW w:w="198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gridSpan w:val="2"/>
            <w:tcW w:w="3517"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其中：有中高级以上职称的人数</w:t>
            </w:r>
            <w:r/>
          </w:p>
        </w:tc>
        <w:tc>
          <w:tcPr>
            <w:tcW w:w="1082"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vAlign w:val="center"/>
            <w:textDirection w:val="lrTb"/>
            <w:noWrap w:val="false"/>
          </w:tcPr>
          <w:p>
            <w:pPr>
              <w:pStyle w:val="99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资产总计</w:t>
            </w:r>
            <w:r/>
          </w:p>
        </w:tc>
        <w:tc>
          <w:tcPr>
            <w:tcW w:w="1980" w:type="dxa"/>
            <w:vAlign w:val="center"/>
            <w:textDirection w:val="lrTb"/>
            <w:noWrap w:val="false"/>
          </w:tcPr>
          <w:p>
            <w:pPr>
              <w:pStyle w:val="99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461" w:type="dxa"/>
            <w:vAlign w:val="center"/>
            <w:textDirection w:val="lrTb"/>
            <w:noWrap w:val="false"/>
          </w:tcPr>
          <w:p>
            <w:pPr>
              <w:pStyle w:val="99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净资产</w:t>
            </w:r>
            <w:r/>
          </w:p>
        </w:tc>
        <w:tc>
          <w:tcPr>
            <w:gridSpan w:val="2"/>
            <w:tcW w:w="3138" w:type="dxa"/>
            <w:vAlign w:val="center"/>
            <w:textDirection w:val="lrTb"/>
            <w:noWrap w:val="false"/>
          </w:tcPr>
          <w:p>
            <w:pPr>
              <w:pStyle w:val="99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万元</w:t>
            </w:r>
            <w:r/>
          </w:p>
        </w:tc>
      </w:tr>
      <w:tr>
        <w:trPr>
          <w:cantSplit/>
          <w:jc w:val="center"/>
          <w:trHeight w:val="57"/>
        </w:trPr>
        <w:tc>
          <w:tcPr>
            <w:tcW w:w="3060" w:type="dxa"/>
            <w:vAlign w:val="center"/>
            <w:textDirection w:val="lrTb"/>
            <w:noWrap w:val="false"/>
          </w:tcPr>
          <w:p>
            <w:pPr>
              <w:pStyle w:val="99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股东权益</w:t>
            </w:r>
            <w:r/>
          </w:p>
        </w:tc>
        <w:tc>
          <w:tcPr>
            <w:tcW w:w="1980" w:type="dxa"/>
            <w:vAlign w:val="center"/>
            <w:textDirection w:val="lrTb"/>
            <w:noWrap w:val="false"/>
          </w:tcPr>
          <w:p>
            <w:pPr>
              <w:pStyle w:val="99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461" w:type="dxa"/>
            <w:vAlign w:val="center"/>
            <w:textDirection w:val="lrTb"/>
            <w:noWrap w:val="false"/>
          </w:tcPr>
          <w:p>
            <w:pPr>
              <w:pStyle w:val="99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销售收入</w:t>
            </w:r>
            <w:r/>
          </w:p>
        </w:tc>
        <w:tc>
          <w:tcPr>
            <w:gridSpan w:val="2"/>
            <w:tcW w:w="3138" w:type="dxa"/>
            <w:vAlign w:val="center"/>
            <w:textDirection w:val="lrTb"/>
            <w:noWrap w:val="false"/>
          </w:tcPr>
          <w:p>
            <w:pPr>
              <w:pStyle w:val="99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实现利润</w:t>
            </w:r>
            <w:r/>
          </w:p>
        </w:tc>
        <w:tc>
          <w:tcPr>
            <w:tcW w:w="1980" w:type="dxa"/>
            <w:textDirection w:val="lrTb"/>
            <w:noWrap w:val="false"/>
          </w:tcPr>
          <w:p>
            <w:pPr>
              <w:pStyle w:val="997"/>
              <w:ind w:firstLine="63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c>
          <w:tcPr>
            <w:tcW w:w="1461"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gridSpan w:val="2"/>
            <w:tcW w:w="3138"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营业面积（含厂房面积）</w:t>
            </w:r>
            <w:r/>
          </w:p>
        </w:tc>
        <w:tc>
          <w:tcPr>
            <w:tcW w:w="1980" w:type="dxa"/>
            <w:vAlign w:val="center"/>
            <w:textDirection w:val="lrTb"/>
            <w:noWrap w:val="false"/>
          </w:tcPr>
          <w:p>
            <w:pPr>
              <w:pStyle w:val="99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平方米</w:t>
            </w:r>
            <w:r/>
          </w:p>
        </w:tc>
        <w:tc>
          <w:tcPr>
            <w:tcW w:w="1461"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w:t>
            </w:r>
            <w:r/>
          </w:p>
        </w:tc>
        <w:tc>
          <w:tcPr>
            <w:gridSpan w:val="2"/>
            <w:tcW w:w="3138"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自有面积         平方米</w:t>
            </w:r>
            <w:r/>
          </w:p>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承租面积         平方米</w:t>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单位简历及内设机构情况</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单位优势及特长</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近三年来完成或正在履行的重大合同情况</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最近2年内在经营过程中受到何种奖励或处分</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（包括财政、工商、税务、物价、技监部门稽查情况和结果）</w:t>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最近3年内有无因售假、售劣或是其他原因被消费者投诉或起诉的情况及说明</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（包括解决方式和结果）</w:t>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最近3年内主要负责人有无因经济犯罪被司法机关追究的情况及说明</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其他需要说明的情况</w:t>
            </w:r>
            <w:r/>
          </w:p>
        </w:tc>
        <w:tc>
          <w:tcPr>
            <w:gridSpan w:val="4"/>
            <w:tcW w:w="6579" w:type="dxa"/>
            <w:textDirection w:val="lrTb"/>
            <w:noWrap w:val="false"/>
          </w:tcPr>
          <w:p>
            <w:pPr>
              <w:pStyle w:val="99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bl>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1002"/>
        <w:ind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left"/>
        <w:widowControl/>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5</w:t>
      </w:r>
      <w:r>
        <w:rPr>
          <w:rFonts w:hint="eastAsia" w:ascii="宋体" w:hAnsi="宋体" w:cs="宋体"/>
          <w:b/>
          <w:bCs/>
          <w:color w:val="000000" w:themeColor="text1"/>
          <w:highlight w:val="none"/>
          <w14:textFill>
            <w14:solidFill>
              <w14:schemeClr w14:val="tx1"/>
            </w14:solidFill>
          </w14:textFill>
        </w:rPr>
        <w:t xml:space="preserve">：法定代表人授权委托书</w:t>
      </w:r>
      <w:r/>
    </w:p>
    <w:p>
      <w:pPr>
        <w:jc w:val="center"/>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法定代表人授权委托书</w:t>
      </w:r>
      <w:r/>
    </w:p>
    <w:p>
      <w:pPr>
        <w:ind w:firstLine="840"/>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本授权委托书声明：  我</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（姓名）系</w:t>
      </w:r>
      <w:r>
        <w:rPr>
          <w:rFonts w:hint="eastAsia" w:ascii="宋体" w:hAnsi="宋体" w:cs="宋体"/>
          <w:color w:val="000000" w:themeColor="text1"/>
          <w:szCs w:val="21"/>
          <w:highlight w:val="none"/>
          <w:u w:val="single"/>
          <w14:textFill>
            <w14:solidFill>
              <w14:schemeClr w14:val="tx1"/>
            </w14:solidFill>
          </w14:textFill>
        </w:rPr>
        <w:t xml:space="preserve">     （供应商名称）  </w:t>
      </w:r>
      <w:r>
        <w:rPr>
          <w:rFonts w:hint="eastAsia" w:ascii="宋体" w:hAnsi="宋体" w:cs="宋体"/>
          <w:b/>
          <w:i/>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的法定代表人（负责人），现授权委托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（姓名）为我公司授权代表（即代理人），以本公司的名义参加</w:t>
      </w:r>
      <w:r>
        <w:rPr>
          <w:rFonts w:hint="eastAsia" w:ascii="宋体" w:hAnsi="宋体" w:cs="宋体"/>
          <w:color w:val="000000" w:themeColor="text1"/>
          <w:szCs w:val="21"/>
          <w:highlight w:val="none"/>
          <w:u w:val="single"/>
          <w:lang w:eastAsia="zh-CN"/>
          <w14:textFill>
            <w14:solidFill>
              <w14:schemeClr w14:val="tx1"/>
            </w14:solidFill>
          </w14:textFill>
        </w:rPr>
        <w:t xml:space="preserve">江苏鸿渐投资咨询管理有限公司</w:t>
      </w:r>
      <w:r>
        <w:rPr>
          <w:rFonts w:hint="eastAsia" w:ascii="宋体" w:hAnsi="宋体" w:cs="宋体"/>
          <w:color w:val="000000" w:themeColor="text1"/>
          <w:szCs w:val="21"/>
          <w:highlight w:val="none"/>
          <w14:textFill>
            <w14:solidFill>
              <w14:schemeClr w14:val="tx1"/>
            </w14:solidFill>
          </w14:textFill>
        </w:rPr>
        <w:t xml:space="preserve">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授权代表无转委托权。特此委托。</w:t>
      </w:r>
      <w:r/>
    </w:p>
    <w:p>
      <w:pPr>
        <w:ind w:firstLine="840"/>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响应单位：（公章）</w:t>
      </w:r>
      <w:r/>
    </w:p>
    <w:p>
      <w:pPr>
        <w:ind w:firstLine="42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法定代表人（负责人）：（签字或盖章）</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被授权人：（签字或盖章）</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color w:val="000000" w:themeColor="text1"/>
          <w:szCs w:val="21"/>
          <w:highlight w:val="none"/>
          <w14:textFill>
            <w14:solidFill>
              <w14:schemeClr w14:val="tx1"/>
            </w14:solidFill>
          </w14:textFill>
        </w:rPr>
      </w:pPr>
      <w:r/>
      <w:bookmarkStart w:id="32" w:name="_Toc533358442"/>
      <w:r/>
      <w:bookmarkStart w:id="33" w:name="_Toc534559049"/>
      <w:r>
        <w:rPr>
          <w:rFonts w:hint="eastAsia" w:ascii="宋体" w:hAnsi="宋体" w:cs="宋体"/>
          <w:b/>
          <w:color w:val="000000" w:themeColor="text1"/>
          <w:szCs w:val="21"/>
          <w:highlight w:val="none"/>
          <w14:textFill>
            <w14:solidFill>
              <w14:schemeClr w14:val="tx1"/>
            </w14:solidFill>
          </w14:textFill>
        </w:rPr>
        <w:br w:type="page" w:clear="all"/>
      </w:r>
      <w:r/>
    </w:p>
    <w:p>
      <w:pPr>
        <w:jc w:val="left"/>
        <w:widowControl/>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附件</w:t>
      </w:r>
      <w:bookmarkEnd w:id="32"/>
      <w:r/>
      <w:bookmarkEnd w:id="33"/>
      <w:r>
        <w:rPr>
          <w:rFonts w:hint="eastAsia" w:ascii="宋体" w:hAnsi="宋体" w:cs="宋体"/>
          <w:b/>
          <w:color w:val="000000" w:themeColor="text1"/>
          <w:szCs w:val="21"/>
          <w:highlight w:val="none"/>
          <w:lang w:val="en-US" w:eastAsia="zh-CN"/>
          <w14:textFill>
            <w14:solidFill>
              <w14:schemeClr w14:val="tx1"/>
            </w14:solidFill>
          </w14:textFill>
        </w:rPr>
        <w:t xml:space="preserve">6</w:t>
      </w:r>
      <w:r>
        <w:rPr>
          <w:rFonts w:hint="eastAsia" w:ascii="宋体" w:hAnsi="宋体" w:cs="宋体"/>
          <w:b/>
          <w:color w:val="000000" w:themeColor="text1"/>
          <w:szCs w:val="21"/>
          <w:highlight w:val="none"/>
          <w14:textFill>
            <w14:solidFill>
              <w14:schemeClr w14:val="tx1"/>
            </w14:solidFill>
          </w14:textFill>
        </w:rPr>
        <w:t xml:space="preserve">：中小企业声明函</w:t>
      </w:r>
      <w:r>
        <w:rPr>
          <w:rFonts w:hint="eastAsia" w:ascii="宋体" w:hAnsi="宋体" w:cs="宋体"/>
          <w:b/>
          <w:color w:val="000000" w:themeColor="text1"/>
          <w:szCs w:val="21"/>
          <w:highlight w:val="none"/>
          <w:lang w:val="zh-CN"/>
          <w14:textFill>
            <w14:solidFill>
              <w14:schemeClr w14:val="tx1"/>
            </w14:solidFill>
          </w14:textFill>
        </w:rPr>
        <w:t xml:space="preserve">（具体按照“苏采云”系统填报）</w:t>
      </w:r>
      <w:r/>
    </w:p>
    <w:p>
      <w:pPr>
        <w:jc w:val="cente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jc w:val="center"/>
        <w:widowControl/>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中小企业声明函</w:t>
      </w:r>
      <w:r/>
    </w:p>
    <w:p>
      <w:pPr>
        <w:ind w:firstLine="420"/>
        <w:spacing w:line="480" w:lineRule="exact"/>
        <w:rPr>
          <w:rFonts w:hint="eastAsia" w:ascii="宋体" w:hAnsi="宋体"/>
          <w:szCs w:val="21"/>
          <w:highlight w:val="none"/>
          <w:u w:val="single"/>
        </w:rPr>
      </w:pPr>
      <w:r>
        <w:rPr>
          <w:rFonts w:hint="eastAsia" w:ascii="宋体" w:hAnsi="宋体"/>
          <w:szCs w:val="21"/>
          <w:highlight w:val="none"/>
          <w:u w:val="single"/>
        </w:rPr>
        <w:t xml:space="preserve">江苏鸿渐投资咨询管理有限公司：</w:t>
      </w:r>
      <w:r/>
    </w:p>
    <w:p>
      <w:pPr>
        <w:ind w:firstLine="420"/>
        <w:spacing w:line="480" w:lineRule="exact"/>
        <w:rPr>
          <w:rFonts w:ascii="宋体" w:hAnsi="宋体"/>
          <w:szCs w:val="21"/>
          <w:highlight w:val="none"/>
          <w:u w:val="single"/>
        </w:rPr>
      </w:pPr>
      <w:r>
        <w:rPr>
          <w:rFonts w:hint="eastAsia" w:ascii="宋体" w:hAnsi="宋体"/>
          <w:szCs w:val="21"/>
          <w:highlight w:val="none"/>
        </w:rPr>
        <w:t xml:space="preserve">本公司（联合体）郑重声明，根据《政府采购促进中小企业发展管理办法》（财库[20</w:t>
      </w:r>
      <w:r>
        <w:rPr>
          <w:rFonts w:ascii="宋体" w:hAnsi="宋体"/>
          <w:szCs w:val="21"/>
          <w:highlight w:val="none"/>
        </w:rPr>
        <w:t xml:space="preserve">20</w:t>
      </w:r>
      <w:r>
        <w:rPr>
          <w:rFonts w:hint="eastAsia" w:ascii="宋体" w:hAnsi="宋体"/>
          <w:szCs w:val="21"/>
          <w:highlight w:val="none"/>
        </w:rPr>
        <w:t xml:space="preserve">]</w:t>
      </w:r>
      <w:r>
        <w:rPr>
          <w:rFonts w:ascii="宋体" w:hAnsi="宋体"/>
          <w:szCs w:val="21"/>
          <w:highlight w:val="none"/>
        </w:rPr>
        <w:t xml:space="preserve">46</w:t>
      </w:r>
      <w:r>
        <w:rPr>
          <w:rFonts w:hint="eastAsia" w:ascii="宋体" w:hAnsi="宋体"/>
          <w:szCs w:val="21"/>
          <w:highlight w:val="none"/>
        </w:rPr>
        <w:t xml:space="preserve">号）的规定，本公司（联合体）参加</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（单位名称）</w:t>
      </w:r>
      <w:r>
        <w:rPr>
          <w:rFonts w:hint="eastAsia" w:ascii="宋体" w:hAnsi="宋体"/>
          <w:szCs w:val="21"/>
          <w:highlight w:val="none"/>
        </w:rPr>
        <w:t xml:space="preserve">的</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（项目名称）</w:t>
      </w:r>
      <w:r>
        <w:rPr>
          <w:rFonts w:hint="eastAsia" w:ascii="宋体" w:hAnsi="宋体"/>
          <w:szCs w:val="21"/>
          <w:highlight w:val="none"/>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（项目名称）</w:t>
      </w:r>
      <w:r>
        <w:rPr>
          <w:rFonts w:hint="eastAsia" w:ascii="宋体" w:hAnsi="宋体"/>
          <w:szCs w:val="21"/>
          <w:highlight w:val="none"/>
        </w:rPr>
        <w:t xml:space="preserve">，属于</w:t>
      </w:r>
      <w:r>
        <w:rPr>
          <w:rFonts w:hint="eastAsia" w:ascii="宋体" w:hAnsi="宋体"/>
          <w:szCs w:val="21"/>
          <w:highlight w:val="none"/>
          <w:u w:val="single"/>
        </w:rPr>
        <w:t xml:space="preserve">其他未列明行业</w:t>
      </w:r>
      <w:r>
        <w:rPr>
          <w:rFonts w:hint="eastAsia" w:ascii="宋体" w:hAnsi="宋体"/>
          <w:szCs w:val="21"/>
          <w:highlight w:val="none"/>
        </w:rPr>
        <w:t xml:space="preserve">；承接企业为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（企业名称）</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（□中型企业、□小型企业、□微型企业）</w:t>
      </w:r>
      <w:r>
        <w:rPr>
          <w:rFonts w:hint="eastAsia" w:ascii="宋体" w:hAnsi="宋体"/>
          <w:szCs w:val="21"/>
          <w:highlight w:val="none"/>
        </w:rPr>
        <w:t xml:space="preserve">；</w:t>
      </w:r>
      <w:r/>
    </w:p>
    <w:p>
      <w:pPr>
        <w:ind w:firstLine="420"/>
        <w:spacing w:line="480" w:lineRule="exact"/>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w:t>
      </w:r>
      <w:r>
        <w:rPr>
          <w:rFonts w:hint="eastAsia" w:ascii="宋体" w:hAnsi="宋体"/>
          <w:szCs w:val="21"/>
          <w:highlight w:val="none"/>
          <w:u w:val="single"/>
          <w:lang w:val="en-US" w:eastAsia="zh-CN"/>
        </w:rPr>
        <w:t xml:space="preserve">         </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项目</w:t>
      </w:r>
      <w:r>
        <w:rPr>
          <w:rFonts w:hint="eastAsia" w:ascii="宋体" w:hAnsi="宋体" w:cs="宋体"/>
          <w:szCs w:val="21"/>
          <w:highlight w:val="none"/>
          <w:u w:val="single"/>
          <w:lang w:val="zh-CN"/>
        </w:rPr>
        <w:t xml:space="preserve">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其他未列明行业</w:t>
      </w:r>
      <w:r>
        <w:rPr>
          <w:rFonts w:hint="eastAsia" w:ascii="宋体" w:hAnsi="宋体" w:cs="宋体"/>
          <w:szCs w:val="21"/>
          <w:highlight w:val="none"/>
          <w:lang w:val="zh-CN"/>
        </w:rPr>
        <w:t xml:space="preserve">；承接企业为</w:t>
      </w:r>
      <w:r>
        <w:rPr>
          <w:rFonts w:hint="eastAsia" w:ascii="宋体" w:hAnsi="宋体"/>
          <w:szCs w:val="21"/>
          <w:highlight w:val="none"/>
          <w:u w:val="single"/>
          <w:lang w:val="en-US" w:eastAsia="zh-CN"/>
        </w:rPr>
        <w:t xml:space="preserve">         </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（□中型企业、□小型企业、□微型企业）</w:t>
      </w:r>
      <w:r>
        <w:rPr>
          <w:rFonts w:hint="eastAsia" w:ascii="宋体" w:hAnsi="宋体"/>
          <w:szCs w:val="21"/>
          <w:highlight w:val="none"/>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本企业对上述声明内容的真实性负责。如有虚假，将依法承担相应责任。</w:t>
      </w:r>
      <w:r/>
    </w:p>
    <w:p>
      <w:pPr>
        <w:ind w:firstLine="567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企业名称(盖章)：</w:t>
      </w:r>
      <w:r/>
    </w:p>
    <w:p>
      <w:pPr>
        <w:ind w:firstLine="567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 期：</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中小企业划分标准详见“工信部联企业〔2011〕300号通知中的《中小企业划型标准规定》。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本项目所属行业：其他未列明行业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应对</w:t>
      </w:r>
      <w:r>
        <w:rPr>
          <w:rFonts w:hint="eastAsia" w:ascii="宋体" w:hAnsi="宋体" w:cs="宋体"/>
          <w:color w:val="000000" w:themeColor="text1"/>
          <w:szCs w:val="21"/>
          <w:highlight w:val="none"/>
          <w:lang w:val="zh-CN"/>
          <w14:textFill>
            <w14:solidFill>
              <w14:schemeClr w14:val="tx1"/>
            </w14:solidFill>
          </w14:textFill>
        </w:rPr>
        <w:t xml:space="preserve">照</w:t>
      </w:r>
      <w:r>
        <w:rPr>
          <w:rFonts w:hint="eastAsia" w:ascii="宋体" w:hAnsi="宋体" w:cs="宋体"/>
          <w:color w:val="000000" w:themeColor="text1"/>
          <w:szCs w:val="21"/>
          <w:highlight w:val="none"/>
          <w14:textFill>
            <w14:solidFill>
              <w14:schemeClr w14:val="tx1"/>
            </w14:solidFill>
          </w14:textFill>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从业人员、营业收入、资产总额填报上一年度数据，</w:t>
      </w:r>
      <w:r>
        <w:rPr>
          <w:rFonts w:hint="eastAsia" w:ascii="宋体" w:hAnsi="宋体" w:cs="宋体"/>
          <w:color w:val="000000" w:themeColor="text1"/>
          <w:szCs w:val="21"/>
          <w:highlight w:val="none"/>
          <w14:textFill>
            <w14:solidFill>
              <w14:schemeClr w14:val="tx1"/>
            </w14:solidFill>
          </w14:textFill>
        </w:rPr>
        <w:t xml:space="preserve">无上一年度数据的新成立企业可不填报</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新成立企业无上一年度从业人员、营业收入和资产总额数据的，根据其出具的《中小企业声明函》认可其为中小企业。</w:t>
      </w:r>
      <w:r/>
    </w:p>
    <w:p>
      <w:pPr>
        <w:ind w:firstLine="420"/>
        <w:spacing w:line="360" w:lineRule="auto"/>
        <w:rPr>
          <w:rFonts w:hint="eastAsia" w:ascii="宋体" w:hAnsi="宋体" w:cs="宋体"/>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6.供应商提供的声明函内容不实的，依照《中华人民共和国政府采购法》、《中华人民共和国政府采购法实施条例》、《政府采购促进中小企业发展管理办法》（财库〔2020〕46号等法律法规规定追究法律责任。</w:t>
      </w:r>
      <w:r/>
      <w:r>
        <w:rPr>
          <w:rFonts w:hint="eastAsia" w:ascii="宋体" w:hAnsi="宋体" w:cs="宋体"/>
          <w:b/>
          <w:bCs/>
          <w:color w:val="000000" w:themeColor="text1"/>
          <w:szCs w:val="21"/>
          <w:highlight w:val="none"/>
          <w:lang w:bidi="ar"/>
          <w14:textFill>
            <w14:solidFill>
              <w14:schemeClr w14:val="tx1"/>
            </w14:solidFill>
          </w14:textFill>
        </w:rPr>
      </w:r>
      <w:r>
        <w:rPr>
          <w:rFonts w:hint="eastAsia" w:ascii="宋体" w:hAnsi="宋体" w:cs="宋体"/>
          <w:b/>
          <w:bCs/>
          <w:color w:val="000000" w:themeColor="text1"/>
          <w:szCs w:val="21"/>
          <w:highlight w:val="none"/>
          <w:lang w:bidi="ar"/>
          <w14:textFill>
            <w14:solidFill>
              <w14:schemeClr w14:val="tx1"/>
            </w14:solidFill>
          </w14:textFill>
        </w:rPr>
      </w:r>
      <w:r/>
      <w:r>
        <w:rPr>
          <w:rFonts w:hint="eastAsia" w:ascii="宋体" w:hAnsi="宋体" w:cs="宋体"/>
          <w:highlight w:val="none"/>
          <w14:textFill>
            <w14:solidFill>
              <w14:schemeClr w14:val="tx1"/>
            </w14:solidFill>
          </w14:textFill>
        </w:rPr>
      </w:r>
    </w:p>
    <w:p>
      <w:pPr>
        <w:ind w:firstLine="420"/>
        <w:spacing w:line="360" w:lineRule="auto"/>
        <w:rPr>
          <w:rFonts w:hint="eastAsia" w:ascii="宋体" w:hAnsi="宋体" w:cs="宋体"/>
          <w:highlight w:val="none"/>
          <w14:textFill>
            <w14:solidFill>
              <w14:schemeClr w14:val="tx1"/>
            </w14:solidFill>
          </w14:textFill>
        </w:rPr>
      </w:pPr>
      <w:r>
        <w:rPr>
          <w:rFonts w:hint="eastAsia" w:ascii="宋体" w:hAnsi="宋体" w:cs="宋体"/>
          <w:highlight w:val="none"/>
          <w14:textFill>
            <w14:solidFill>
              <w14:schemeClr w14:val="tx1"/>
            </w14:solidFill>
          </w14:textFill>
        </w:rPr>
      </w:r>
      <w:r>
        <w:rPr>
          <w:rFonts w:hint="eastAsia" w:ascii="宋体" w:hAnsi="宋体" w:cs="宋体"/>
          <w:highlight w:val="none"/>
          <w14:textFill>
            <w14:solidFill>
              <w14:schemeClr w14:val="tx1"/>
            </w14:solidFill>
          </w14:textFill>
        </w:rPr>
      </w:r>
    </w:p>
    <w:p>
      <w:pPr>
        <w:ind w:firstLine="420"/>
        <w:spacing w:line="360" w:lineRule="auto"/>
        <w:rPr>
          <w:rFonts w:hint="eastAsia" w:ascii="宋体" w:hAnsi="宋体" w:cs="宋体"/>
          <w:highlight w:val="none"/>
          <w14:textFill>
            <w14:solidFill>
              <w14:schemeClr w14:val="tx1"/>
            </w14:solidFill>
          </w14:textFill>
        </w:rPr>
      </w:pPr>
      <w:r>
        <w:rPr>
          <w:rFonts w:hint="eastAsia" w:ascii="宋体" w:hAnsi="宋体" w:cs="宋体"/>
          <w:highlight w:val="none"/>
          <w14:textFill>
            <w14:solidFill>
              <w14:schemeClr w14:val="tx1"/>
            </w14:solidFill>
          </w14:textFill>
        </w:rPr>
      </w:r>
      <w:r>
        <w:rPr>
          <w:rFonts w:hint="eastAsia" w:ascii="宋体" w:hAnsi="宋体" w:cs="宋体"/>
          <w:highlight w:val="none"/>
          <w14:textFill>
            <w14:solidFill>
              <w14:schemeClr w14:val="tx1"/>
            </w14:solidFill>
          </w14:textFill>
        </w:rPr>
      </w:r>
    </w:p>
    <w:p>
      <w:pPr>
        <w:ind w:firstLine="420"/>
        <w:spacing w:line="360" w:lineRule="auto"/>
        <w:rPr>
          <w:rFonts w:hint="eastAsia" w:ascii="宋体" w:hAnsi="宋体" w:cs="宋体"/>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rPr>
          <w:rFonts w:hint="eastAsia" w:ascii="宋体" w:hAnsi="宋体" w:cs="宋体"/>
          <w:color w:val="000000" w:themeColor="text1"/>
          <w:szCs w:val="21"/>
          <w:highlight w:val="none"/>
          <w14:textFill>
            <w14:solidFill>
              <w14:schemeClr w14:val="tx1"/>
            </w14:solidFill>
          </w14:textFill>
        </w:rPr>
      </w:r>
    </w:p>
    <w:p>
      <w:pPr>
        <w:spacing w:line="360" w:lineRule="auto"/>
        <w:rPr>
          <w:rFonts w:hint="eastAsia" w:ascii="宋体" w:hAnsi="宋体" w:cs="宋体"/>
          <w:b/>
          <w:bCs/>
          <w:highlight w:val="none"/>
          <w:lang w:bidi="ar"/>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附件</w:t>
      </w:r>
      <w:r>
        <w:rPr>
          <w:rFonts w:hint="eastAsia" w:ascii="宋体" w:hAnsi="宋体" w:cs="宋体"/>
          <w:b/>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lang w:bidi="ar"/>
          <w14:textFill>
            <w14:solidFill>
              <w14:schemeClr w14:val="tx1"/>
            </w14:solidFill>
          </w14:textFill>
        </w:rPr>
        <w:t xml:space="preserve">：残疾人福利性单位声明函</w:t>
      </w:r>
      <w:r/>
    </w:p>
    <w:p>
      <w:pPr>
        <w:ind w:firstLine="422"/>
        <w:spacing w:line="360" w:lineRule="auto"/>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r>
      <w:r/>
    </w:p>
    <w:p>
      <w:pPr>
        <w:ind w:firstLine="422"/>
        <w:jc w:val="center"/>
        <w:spacing w:line="360" w:lineRule="auto"/>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残疾人福利性单位声明函</w:t>
      </w:r>
      <w:r/>
    </w:p>
    <w:p>
      <w:pPr>
        <w:jc w:val="left"/>
        <w:spacing w:line="480" w:lineRule="exact"/>
        <w:rPr>
          <w:rFonts w:hint="eastAsia" w:ascii="宋体" w:hAnsi="宋体"/>
          <w:szCs w:val="21"/>
          <w:highlight w:val="none"/>
          <w:u w:val="single"/>
        </w:rPr>
      </w:pPr>
      <w:r>
        <w:rPr>
          <w:rFonts w:hint="eastAsia" w:ascii="宋体" w:hAnsi="宋体"/>
          <w:szCs w:val="21"/>
          <w:highlight w:val="none"/>
          <w:u w:val="single"/>
        </w:rPr>
      </w:r>
      <w:r/>
    </w:p>
    <w:p>
      <w:pPr>
        <w:jc w:val="left"/>
        <w:spacing w:line="480" w:lineRule="exact"/>
        <w:rPr>
          <w:rFonts w:ascii="宋体" w:hAnsi="宋体"/>
          <w:szCs w:val="21"/>
          <w:highlight w:val="none"/>
        </w:rPr>
      </w:pPr>
      <w:r>
        <w:rPr>
          <w:rFonts w:hint="eastAsia" w:ascii="宋体" w:hAnsi="宋体"/>
          <w:szCs w:val="21"/>
          <w:highlight w:val="none"/>
          <w:u w:val="single"/>
        </w:rPr>
        <w:t xml:space="preserve">江苏鸿渐投资咨询管理有限公司：</w:t>
      </w:r>
      <w:r/>
    </w:p>
    <w:p>
      <w:pPr>
        <w:ind w:firstLine="420"/>
        <w:jc w:val="lef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中国残疾人联合会关于促进残疾人就业政府采购政策的通知》（财库〔2017〕141号）的规定，本单位为符合条件的残疾人福利性单位，且本单位参加贵中心组织实施的编号为</w:t>
      </w:r>
      <w:r>
        <w:rPr>
          <w:rFonts w:hint="eastAsia" w:ascii="宋体" w:hAnsi="宋体" w:cs="宋体"/>
          <w:bCs/>
          <w:color w:val="000000" w:themeColor="text1"/>
          <w:szCs w:val="21"/>
          <w:highlight w:val="none"/>
          <w:u w:val="single"/>
          <w:lang w:bidi="ar"/>
          <w14:textFill>
            <w14:solidFill>
              <w14:schemeClr w14:val="tx1"/>
            </w14:solidFill>
          </w14:textFill>
        </w:rPr>
        <w:t xml:space="preserve">              </w:t>
      </w:r>
      <w:r>
        <w:rPr>
          <w:rFonts w:hint="eastAsia" w:ascii="宋体" w:hAnsi="宋体" w:cs="宋体"/>
          <w:bCs/>
          <w:color w:val="000000" w:themeColor="text1"/>
          <w:szCs w:val="21"/>
          <w:highlight w:val="none"/>
          <w:lang w:bidi="ar"/>
          <w14:textFill>
            <w14:solidFill>
              <w14:schemeClr w14:val="tx1"/>
            </w14:solidFill>
          </w14:textFill>
        </w:rPr>
        <w:t xml:space="preserve">号的采购活动提供本单位制造的货物（由本单位承担工程/提供服务），或者提供其他残疾人福利性单位制造的货物（不包括使用非残疾人福利性单位注册商标的货物）。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本单位对上述声明的真实性负责。如有虚假，将依法承担相应责任。</w:t>
      </w:r>
      <w:r/>
    </w:p>
    <w:p>
      <w:pPr>
        <w:ind w:firstLine="420"/>
        <w:jc w:val="righ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单位名称(盖章)：</w:t>
      </w:r>
      <w:r/>
    </w:p>
    <w:p>
      <w:pPr>
        <w:ind w:firstLine="420"/>
        <w:jc w:val="righ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日  期：</w:t>
      </w:r>
      <w:r/>
    </w:p>
    <w:p>
      <w:pPr>
        <w:ind w:firstLine="525"/>
        <w:spacing w:line="360" w:lineRule="auto"/>
        <w:tabs>
          <w:tab w:val="left" w:pos="287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tabs>
          <w:tab w:val="left" w:pos="2023"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ab/>
      </w:r>
      <w:r/>
    </w:p>
    <w:p>
      <w:pPr>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8</w:t>
      </w:r>
      <w:r>
        <w:rPr>
          <w:rFonts w:hint="eastAsia" w:ascii="宋体" w:hAnsi="宋体" w:cs="宋体"/>
          <w:b/>
          <w:bCs/>
          <w:color w:val="000000" w:themeColor="text1"/>
          <w:highlight w:val="none"/>
          <w14:textFill>
            <w14:solidFill>
              <w14:schemeClr w14:val="tx1"/>
            </w14:solidFill>
          </w14:textFill>
        </w:rPr>
        <w:t xml:space="preserve">：磋商响应函</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磋商响应函</w:t>
      </w:r>
      <w:r/>
    </w:p>
    <w:p>
      <w:pPr>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 xml:space="preserve">江苏鸿渐投资咨询管理有限公司</w:t>
      </w:r>
      <w:r>
        <w:rPr>
          <w:rFonts w:hint="eastAsia" w:ascii="宋体" w:hAnsi="宋体" w:cs="宋体"/>
          <w:color w:val="000000" w:themeColor="text1"/>
          <w:szCs w:val="21"/>
          <w:highlight w:val="none"/>
          <w:lang w:val="zh-CN"/>
          <w14:textFill>
            <w14:solidFill>
              <w14:schemeClr w14:val="tx1"/>
            </w14:solidFill>
          </w14:textFill>
        </w:rPr>
        <w:t xml:space="preserve">：</w:t>
      </w:r>
      <w:r/>
    </w:p>
    <w:p>
      <w:pPr>
        <w:ind w:left="0"/>
        <w:keepLines w:val="0"/>
        <w:keepNext w:val="0"/>
        <w:pageBreakBefore w:val="0"/>
        <w:spacing w:line="400" w:lineRule="exact"/>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我方收到贵公司 </w:t>
      </w:r>
      <w:r>
        <w:rPr>
          <w:rFonts w:hint="eastAsia" w:ascii="宋体" w:hAnsi="宋体" w:cs="宋体"/>
          <w:color w:val="000000" w:themeColor="text1"/>
          <w:highlight w:val="none"/>
          <w:u w:val="single"/>
          <w:lang w:val="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号磋商采购文件，经仔细阅读和研究，我方决定参加磋商。并向贵公司承诺：</w:t>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愿意按照磋商采购文件的一切要求，提供以上所有服务。</w:t>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如果我们的响应文件被接受，我们将严格履行磋商采购文件中规定的每一项要求，按期、按质、按量履行服务义务。</w:t>
      </w:r>
      <w:r/>
    </w:p>
    <w:p>
      <w:pPr>
        <w:pStyle w:val="1154"/>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3</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我方同意按磋商采购文件中的规定，我方的响应文件有效期限为磋商开始后60天，如果我方在规定的有效期内撤回我方的响应文件，我方应承担响应责任。</w:t>
      </w:r>
      <w:r/>
    </w:p>
    <w:p>
      <w:pPr>
        <w:pStyle w:val="1154"/>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4</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54"/>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5</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我方认为贵方有权决定成交者，还认为贵方有权接受或拒绝所有的</w:t>
      </w:r>
      <w:r>
        <w:rPr>
          <w:rFonts w:hint="eastAsia" w:hAnsi="宋体" w:eastAsia="宋体" w:cs="宋体"/>
          <w:color w:val="000000" w:themeColor="text1"/>
          <w:sz w:val="21"/>
          <w:highlight w:val="none"/>
          <w14:textFill>
            <w14:solidFill>
              <w14:schemeClr w14:val="tx1"/>
            </w14:solidFill>
          </w14:textFill>
        </w:rPr>
        <w:t xml:space="preserve">供应商</w:t>
      </w:r>
      <w:r>
        <w:rPr>
          <w:rFonts w:hint="eastAsia" w:hAnsi="宋体" w:eastAsia="宋体" w:cs="宋体"/>
          <w:color w:val="000000" w:themeColor="text1"/>
          <w:sz w:val="21"/>
          <w:highlight w:val="none"/>
          <w:lang w:val="zh-CN"/>
          <w14:textFill>
            <w14:solidFill>
              <w14:schemeClr w14:val="tx1"/>
            </w14:solidFill>
          </w14:textFill>
        </w:rPr>
        <w:t xml:space="preserve">成交。</w:t>
      </w:r>
      <w:r/>
    </w:p>
    <w:p>
      <w:pPr>
        <w:pStyle w:val="1154"/>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6</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我方愿意遵守磋商采购文件中所列的收费标准。</w:t>
      </w:r>
      <w:r/>
    </w:p>
    <w:p>
      <w:pPr>
        <w:pStyle w:val="1154"/>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7</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1154"/>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8</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我方同意我方若无法按约定条款履行义务等行为，采购单位有权取消我方的成交资格。</w:t>
      </w:r>
      <w:r/>
    </w:p>
    <w:p>
      <w:pPr>
        <w:pStyle w:val="1154"/>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9</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如果我方被确定成交，我方愿意在签订合同时按规定的收费标准支付成交服务费，</w:t>
      </w:r>
      <w:r>
        <w:rPr>
          <w:rFonts w:hint="eastAsia" w:hAnsi="宋体" w:eastAsia="宋体" w:cs="宋体"/>
          <w:color w:val="000000" w:themeColor="text1"/>
          <w:sz w:val="21"/>
          <w:highlight w:val="none"/>
          <w14:textFill>
            <w14:solidFill>
              <w14:schemeClr w14:val="tx1"/>
            </w14:solidFill>
          </w14:textFill>
        </w:rPr>
        <w:t xml:space="preserve">如未按规定缴纳中标服务费，并可提出诉讼的权力。</w:t>
      </w:r>
      <w:r/>
    </w:p>
    <w:p>
      <w:pPr>
        <w:pStyle w:val="1154"/>
        <w:ind w:firstLine="420"/>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10</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14:textFill>
            <w14:solidFill>
              <w14:schemeClr w14:val="tx1"/>
            </w14:solidFill>
          </w14:textFill>
        </w:rPr>
        <w:t xml:space="preserve">与本磋商有关的通讯地址：</w:t>
      </w:r>
      <w:r/>
    </w:p>
    <w:p>
      <w:pPr>
        <w:pStyle w:val="1154"/>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单    位： </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联 系 人：</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1154"/>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地    址：</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邮政编码：</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1154"/>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联系电话：</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传    真：</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1154"/>
        <w:ind w:firstLine="425"/>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电子邮箱：</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w:t>
      </w:r>
      <w:r/>
    </w:p>
    <w:p>
      <w:pPr>
        <w:pStyle w:val="1154"/>
        <w:ind w:firstLine="425"/>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响应单位：（公章）</w:t>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法定代表人或代理人：（签字或签章）               </w:t>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1041"/>
        <w:rPr>
          <w:rFonts w:hint="eastAsia"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1041"/>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41"/>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spacing w:line="360" w:lineRule="auto"/>
        <w:rPr>
          <w:rFonts w:hint="eastAsia" w:ascii="宋体" w:hAnsi="宋体" w:cs="宋体"/>
          <w:b/>
          <w:bCs/>
          <w:color w:val="000000" w:themeColor="text1"/>
          <w:szCs w:val="24"/>
          <w:highlight w:val="none"/>
          <w14:textFill>
            <w14:solidFill>
              <w14:schemeClr w14:val="tx1"/>
            </w14:solidFill>
          </w14:textFill>
        </w:rPr>
        <w:sectPr>
          <w:footerReference w:type="default" r:id="rId14"/>
          <w:footnotePr/>
          <w:endnotePr/>
          <w:type w:val="nextPage"/>
          <w:pgSz w:w="11906" w:h="16838" w:orient="portrait"/>
          <w:pgMar w:top="850" w:right="1049" w:bottom="850" w:left="1179" w:header="624" w:footer="1020" w:gutter="0"/>
          <w:cols w:num="1" w:sep="0" w:space="720" w:equalWidth="1"/>
          <w:docGrid w:linePitch="360"/>
        </w:sectPr>
      </w:pPr>
      <w:r>
        <w:rPr>
          <w:rFonts w:hint="eastAsia" w:ascii="宋体" w:hAnsi="宋体" w:cs="宋体"/>
          <w:b/>
          <w:bCs/>
          <w:color w:val="000000" w:themeColor="text1"/>
          <w:szCs w:val="24"/>
          <w:highlight w:val="none"/>
          <w14:textFill>
            <w14:solidFill>
              <w14:schemeClr w14:val="tx1"/>
            </w14:solidFill>
          </w14:textFill>
        </w:rPr>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9</w:t>
      </w:r>
      <w:r>
        <w:rPr>
          <w:rFonts w:hint="eastAsia" w:ascii="宋体" w:hAnsi="宋体" w:cs="宋体"/>
          <w:b/>
          <w:bCs/>
          <w:color w:val="000000" w:themeColor="text1"/>
          <w:highlight w:val="none"/>
          <w14:textFill>
            <w14:solidFill>
              <w14:schemeClr w14:val="tx1"/>
            </w14:solidFill>
          </w14:textFill>
        </w:rPr>
        <w:t xml:space="preserve">：投标（响应）保证承诺书</w:t>
      </w:r>
      <w:r/>
    </w:p>
    <w:p>
      <w:pPr>
        <w:jc w:val="center"/>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投标（响应）保证承诺书</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1.自响应截止时间至本项目发布成交公告为止，撤销响应；</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2.成交后不依法与采购人签订合同；</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3.成交后不按本采购文件规定向贵方缴纳采购代理费。</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（盖公章）</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25"/>
        <w:spacing w:line="400" w:lineRule="exact"/>
        <w:tabs>
          <w:tab w:val="left" w:pos="287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41"/>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cs="宋体"/>
          <w:b/>
          <w:color w:val="000000" w:themeColor="text1"/>
          <w:sz w:val="22"/>
          <w:szCs w:val="21"/>
          <w:highlight w:val="none"/>
          <w14:textFill>
            <w14:solidFill>
              <w14:schemeClr w14:val="tx1"/>
            </w14:solidFill>
          </w14:textFill>
        </w:rPr>
        <w:outlineLvl w:val="1"/>
      </w:pPr>
      <w:r/>
      <w:bookmarkStart w:id="34" w:name="_Toc26516"/>
      <w:r/>
      <w:bookmarkStart w:id="35" w:name="_Toc24461"/>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10</w:t>
      </w:r>
      <w:r>
        <w:rPr>
          <w:rFonts w:hint="eastAsia" w:ascii="宋体" w:hAnsi="宋体" w:cs="宋体"/>
          <w:b/>
          <w:bCs/>
          <w:color w:val="000000" w:themeColor="text1"/>
          <w:highlight w:val="none"/>
          <w14:textFill>
            <w14:solidFill>
              <w14:schemeClr w14:val="tx1"/>
            </w14:solidFill>
          </w14:textFill>
        </w:rPr>
        <w:t xml:space="preserve">：</w:t>
      </w:r>
      <w:bookmarkEnd w:id="34"/>
      <w:r/>
      <w:bookmarkEnd w:id="35"/>
      <w:r>
        <w:rPr>
          <w:rFonts w:hint="eastAsia" w:ascii="宋体" w:hAnsi="宋体" w:cs="宋体"/>
          <w:b/>
          <w:bCs/>
          <w:color w:val="000000" w:themeColor="text1"/>
          <w:highlight w:val="none"/>
          <w14:textFill>
            <w14:solidFill>
              <w14:schemeClr w14:val="tx1"/>
            </w14:solidFill>
          </w14:textFill>
        </w:rPr>
        <w:t xml:space="preserve">商务条款偏离表、服务</w:t>
      </w:r>
      <w:r>
        <w:rPr>
          <w:rFonts w:hint="eastAsia" w:ascii="宋体" w:hAnsi="宋体" w:cs="宋体"/>
          <w:b/>
          <w:color w:val="000000" w:themeColor="text1"/>
          <w:sz w:val="22"/>
          <w:szCs w:val="21"/>
          <w:highlight w:val="none"/>
          <w14:textFill>
            <w14:solidFill>
              <w14:schemeClr w14:val="tx1"/>
            </w14:solidFill>
          </w14:textFill>
        </w:rPr>
        <w:t xml:space="preserve">要求偏离表</w:t>
      </w:r>
      <w:r/>
    </w:p>
    <w:p>
      <w:pPr>
        <w:pStyle w:val="1002"/>
        <w:ind w:firstLine="0"/>
        <w:jc w:val="center"/>
        <w:rPr>
          <w:rFonts w:hint="eastAsia" w:cs="宋体"/>
          <w:b/>
          <w:color w:val="000000" w:themeColor="text1"/>
          <w:sz w:val="22"/>
          <w:szCs w:val="21"/>
          <w:highlight w:val="none"/>
          <w14:textFill>
            <w14:solidFill>
              <w14:schemeClr w14:val="tx1"/>
            </w14:solidFill>
          </w14:textFill>
        </w:rPr>
      </w:pPr>
      <w:r>
        <w:rPr>
          <w:rFonts w:hint="eastAsia" w:cs="宋体"/>
          <w:b/>
          <w:color w:val="000000" w:themeColor="text1"/>
          <w:sz w:val="22"/>
          <w:szCs w:val="21"/>
          <w:highlight w:val="none"/>
          <w14:textFill>
            <w14:solidFill>
              <w14:schemeClr w14:val="tx1"/>
            </w14:solidFill>
          </w14:textFill>
        </w:rPr>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t xml:space="preserve">商务条款偏离表</w:t>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r>
      <w:r/>
    </w:p>
    <w:tbl>
      <w:tblPr>
        <w:tblStyle w:val="996"/>
        <w:tblW w:w="10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676"/>
        <w:gridCol w:w="2042"/>
        <w:gridCol w:w="2043"/>
        <w:gridCol w:w="2043"/>
        <w:gridCol w:w="2043"/>
      </w:tblGrid>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676" w:type="dxa"/>
            <w:vAlign w:val="center"/>
            <w:textDirection w:val="lrTb"/>
            <w:noWrap/>
          </w:tcPr>
          <w:p>
            <w:pPr>
              <w:ind w:left="54"/>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      目</w:t>
            </w:r>
            <w:r/>
          </w:p>
        </w:tc>
        <w:tc>
          <w:tcPr>
            <w:tcW w:w="2042"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2043"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响应情况</w:t>
            </w:r>
            <w:r/>
          </w:p>
        </w:tc>
        <w:tc>
          <w:tcPr>
            <w:tcW w:w="2043"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偏离说明</w:t>
            </w:r>
            <w:r/>
          </w:p>
        </w:tc>
        <w:tc>
          <w:tcPr>
            <w:tcW w:w="2043" w:type="dxa"/>
            <w:vAlign w:val="center"/>
            <w:textDirection w:val="lrTb"/>
            <w:noWrap/>
          </w:tcPr>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备注</w:t>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676" w:type="dxa"/>
            <w:vAlign w:val="center"/>
            <w:textDirection w:val="lrTb"/>
            <w:noWrap/>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676" w:type="dxa"/>
            <w:vAlign w:val="center"/>
            <w:textDirection w:val="lrTb"/>
            <w:noWrap/>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676" w:type="dxa"/>
            <w:vAlign w:val="center"/>
            <w:textDirection w:val="lrTb"/>
            <w:noWrap/>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676" w:type="dxa"/>
            <w:vAlign w:val="center"/>
            <w:textDirection w:val="lrTb"/>
            <w:noWrap/>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响应单位的响应文件（除服务要求部分）与采购文件规定的有偏离的，应在此表中说明。未在上表中说明的，如在响应文件其他内容中已有文字说明的，则以已有文字说明为准，否则，将被认为完全响应采购文件的规定。</w:t>
      </w:r>
      <w:r/>
    </w:p>
    <w:p>
      <w:pPr>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1002"/>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cs="宋体"/>
          <w:b/>
          <w:bCs/>
          <w:sz w:val="22"/>
          <w:szCs w:val="22"/>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r>
      <w:r>
        <w:rPr>
          <w:rFonts w:hint="eastAsia" w:ascii="宋体" w:hAnsi="宋体" w:cs="宋体"/>
          <w:b/>
          <w:color w:val="000000" w:themeColor="text1"/>
          <w:sz w:val="22"/>
          <w:szCs w:val="21"/>
          <w:highlight w:val="none"/>
          <w14:textFill>
            <w14:solidFill>
              <w14:schemeClr w14:val="tx1"/>
            </w14:solidFill>
          </w14:textFill>
        </w:rPr>
      </w:r>
      <w:r/>
    </w:p>
    <w:p>
      <w:pPr>
        <w:jc w:val="center"/>
        <w:spacing w:line="360" w:lineRule="auto"/>
        <w:widowControl/>
        <w:rPr>
          <w:rFonts w:hint="eastAsia" w:ascii="宋体" w:hAnsi="宋体" w:cs="宋体"/>
          <w:b/>
          <w:bCs/>
          <w:sz w:val="22"/>
          <w:szCs w:val="22"/>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t xml:space="preserve">服务要求偏离表</w:t>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r>
      <w:r/>
    </w:p>
    <w:tbl>
      <w:tblPr>
        <w:tblStyle w:val="996"/>
        <w:tblW w:w="10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1687"/>
        <w:gridCol w:w="2056"/>
        <w:gridCol w:w="2057"/>
        <w:gridCol w:w="2057"/>
        <w:gridCol w:w="2057"/>
      </w:tblGrid>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687" w:type="dxa"/>
            <w:vAlign w:val="center"/>
            <w:textDirection w:val="lrTb"/>
            <w:noWrap/>
          </w:tcPr>
          <w:p>
            <w:pPr>
              <w:ind w:left="54"/>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      目</w:t>
            </w:r>
            <w:r/>
          </w:p>
        </w:tc>
        <w:tc>
          <w:tcPr>
            <w:tcW w:w="2056"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2057"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响应情况</w:t>
            </w:r>
            <w:r/>
          </w:p>
        </w:tc>
        <w:tc>
          <w:tcPr>
            <w:tcW w:w="2057"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偏离说明</w:t>
            </w:r>
            <w:r/>
          </w:p>
        </w:tc>
        <w:tc>
          <w:tcPr>
            <w:tcW w:w="2057" w:type="dxa"/>
            <w:vAlign w:val="center"/>
            <w:textDirection w:val="lrTb"/>
            <w:noWrap/>
          </w:tcPr>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备注</w:t>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68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68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68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68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93"/>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68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注：响应单位应对照采购文件中服务要求等与采购文件的规定有偏离的，应在此表中申明与技术要求条文的偏差和例外</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未在上表中说明的，如在响应文件其他内容中已有文字说明的，则以已有文字说明为准，否则，将被认为完全响应采购文件的规定。</w:t>
      </w:r>
      <w:r/>
    </w:p>
    <w:p>
      <w:pPr>
        <w:ind w:firstLine="630"/>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1002"/>
        <w:ind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left"/>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11</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拟投入</w:t>
      </w:r>
      <w:r>
        <w:rPr>
          <w:rFonts w:hint="eastAsia" w:ascii="宋体" w:hAnsi="宋体" w:cs="宋体"/>
          <w:b/>
          <w:bCs/>
          <w:color w:val="000000" w:themeColor="text1"/>
          <w:highlight w:val="none"/>
          <w14:textFill>
            <w14:solidFill>
              <w14:schemeClr w14:val="tx1"/>
            </w14:solidFill>
          </w14:textFill>
        </w:rPr>
        <w:t xml:space="preserve">项目人员配置表</w:t>
      </w:r>
      <w:r/>
    </w:p>
    <w:p>
      <w:pPr>
        <w:jc w:val="left"/>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center"/>
        <w:spacing w:line="360" w:lineRule="auto"/>
        <w:rPr>
          <w:rStyle w:val="1079"/>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拟投入</w:t>
      </w:r>
      <w:r>
        <w:rPr>
          <w:rFonts w:hint="eastAsia" w:ascii="宋体" w:hAnsi="宋体" w:cs="宋体"/>
          <w:b/>
          <w:bCs/>
          <w:color w:val="000000" w:themeColor="text1"/>
          <w:szCs w:val="21"/>
          <w:highlight w:val="none"/>
          <w14:textFill>
            <w14:solidFill>
              <w14:schemeClr w14:val="tx1"/>
            </w14:solidFill>
          </w14:textFill>
        </w:rPr>
        <w:t xml:space="preserve">项目人员配置表</w:t>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bl>
      <w:tblPr>
        <w:tblStyle w:val="9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技术资质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在本项目拟任职务</w:t>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9"/>
            <w:tcBorders>
              <w:top w:val="single" w:color="auto" w:sz="4" w:space="0"/>
              <w:left w:val="single" w:color="auto" w:sz="4" w:space="0"/>
              <w:bottom w:val="single" w:color="auto" w:sz="4" w:space="0"/>
              <w:right w:val="single" w:color="auto" w:sz="4" w:space="0"/>
            </w:tcBorders>
            <w:tcW w:w="9458"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（可加行）</w:t>
            </w:r>
            <w:r/>
          </w:p>
        </w:tc>
      </w:tr>
    </w:tbl>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spacing w:line="500" w:lineRule="exact"/>
        <w:tabs>
          <w:tab w:val="left" w:pos="2663"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rPr>
          <w:rFonts w:hint="eastAsia" w:ascii="宋体" w:hAnsi="宋体" w:cs="宋体"/>
          <w:color w:val="000000" w:themeColor="text1"/>
          <w:szCs w:val="21"/>
          <w:highlight w:val="none"/>
          <w:lang w:eastAsia="zh-CN"/>
          <w14:textFill>
            <w14:solidFill>
              <w14:schemeClr w14:val="tx1"/>
            </w14:solidFill>
          </w14:textFill>
        </w:rPr>
        <w:tab/>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spacing w:line="48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12</w:t>
      </w:r>
      <w:r>
        <w:rPr>
          <w:rFonts w:hint="eastAsia" w:ascii="宋体" w:hAnsi="宋体" w:cs="宋体"/>
          <w:b/>
          <w:bCs/>
          <w:color w:val="000000" w:themeColor="text1"/>
          <w:highlight w:val="none"/>
          <w14:textFill>
            <w14:solidFill>
              <w14:schemeClr w14:val="tx1"/>
            </w14:solidFill>
          </w14:textFill>
        </w:rPr>
        <w:t xml:space="preserve">：类似项目业绩表</w:t>
      </w:r>
      <w:r/>
    </w:p>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类似项目业绩表</w:t>
      </w:r>
      <w:r/>
    </w:p>
    <w:p>
      <w:pPr>
        <w:pStyle w:val="1041"/>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996"/>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149"/>
        <w:gridCol w:w="1673"/>
        <w:gridCol w:w="2162"/>
        <w:gridCol w:w="2233"/>
      </w:tblGrid>
      <w:tr>
        <w:trPr>
          <w:jc w:val="center"/>
          <w:trHeight w:val="168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center"/>
              <w:spacing w:line="360" w:lineRule="auto"/>
              <w:tabs>
                <w:tab w:val="left" w:pos="6252"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项目时间</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tabs>
                <w:tab w:val="left" w:pos="6252"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采购单位</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61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bl>
    <w:p>
      <w:pPr>
        <w:spacing w:before="25" w:after="25"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p>
      <w:pPr>
        <w:pStyle w:val="1054"/>
        <w:ind w:firstLine="0"/>
        <w:jc w:val="right"/>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（全文完）</w:t>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p>
      <w:pPr>
        <w:pStyle w:val="1054"/>
        <w:ind w:firstLine="0"/>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0410684"/>
      <w:rPr/>
    </w:sdtPr>
    <w:sdtContent>
      <w:sdt>
        <w:sdtPr>
          <w15:appearance w15:val="boundingBox"/>
          <w:id w:val="490448134"/>
          <w:rPr/>
        </w:sdtPr>
        <w:sdtContent>
          <w:p>
            <w:pPr>
              <w:pStyle w:val="1009"/>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23</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39</w:t>
            </w:r>
            <w:r>
              <w:rPr>
                <w:b/>
                <w:bCs/>
                <w:sz w:val="24"/>
                <w:szCs w:val="24"/>
              </w:rPr>
              <w:fldChar w:fldCharType="end"/>
            </w:r>
            <w:r/>
          </w:p>
        </w:sdtContent>
      </w:sdt>
    </w:sdtContent>
  </w:sdt>
  <w:p>
    <w:pPr>
      <w:pStyle w:val="10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9"/>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rPr>
        <w:rFonts w:hint="eastAsia" w:hAnsi="宋体" w:eastAsia="宋体" w:cs="宋体"/>
        <w:sz w:val="18"/>
        <w:szCs w:val="18"/>
      </w:rPr>
    </w:pPr>
    <w:r>
      <w:rPr>
        <w:rFonts w:hint="eastAsia" w:hAnsi="宋体" w:eastAsia="宋体" w:cs="宋体"/>
        <w:sz w:val="18"/>
        <w:szCs w:val="18"/>
      </w:rPr>
      <w:tab/>
    </w:r>
    <w:r>
      <w:rPr>
        <w:rFonts w:hint="eastAsia" w:hAnsi="宋体" w:eastAsia="宋体" w:cs="宋体"/>
        <w:sz w:val="18"/>
        <w:szCs w:val="18"/>
      </w:rPr>
      <w:t xml:space="preserve">                                                              </w:t>
    </w:r>
    <w:r/>
  </w:p>
  <w:p>
    <w:pPr>
      <w:pStyle w:val="1154"/>
      <w:rPr>
        <w:rFonts w:hint="eastAsia" w:hAnsi="宋体" w:eastAsia="宋体" w:cs="宋体"/>
        <w:sz w:val="18"/>
        <w:szCs w:val="18"/>
      </w:rPr>
    </w:pPr>
    <w:r>
      <w:rPr>
        <w:rFonts w:hint="eastAsia" w:hAnsi="宋体" w:eastAsia="宋体" w:cs="宋体"/>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95"/>
    <w:link w:val="986"/>
    <w:uiPriority w:val="9"/>
    <w:rPr>
      <w:rFonts w:ascii="Arial" w:hAnsi="Arial" w:eastAsia="Arial" w:cs="Arial"/>
      <w:sz w:val="40"/>
      <w:szCs w:val="40"/>
    </w:rPr>
  </w:style>
  <w:style w:type="character" w:styleId="828">
    <w:name w:val="Heading 2 Char"/>
    <w:basedOn w:val="995"/>
    <w:link w:val="1166"/>
    <w:uiPriority w:val="9"/>
    <w:rPr>
      <w:rFonts w:ascii="Arial" w:hAnsi="Arial" w:eastAsia="Arial" w:cs="Arial"/>
      <w:sz w:val="34"/>
    </w:rPr>
  </w:style>
  <w:style w:type="character" w:styleId="829">
    <w:name w:val="Heading 3 Char"/>
    <w:basedOn w:val="995"/>
    <w:link w:val="988"/>
    <w:uiPriority w:val="9"/>
    <w:rPr>
      <w:rFonts w:ascii="Arial" w:hAnsi="Arial" w:eastAsia="Arial" w:cs="Arial"/>
      <w:sz w:val="30"/>
      <w:szCs w:val="30"/>
    </w:rPr>
  </w:style>
  <w:style w:type="character" w:styleId="830">
    <w:name w:val="Heading 4 Char"/>
    <w:basedOn w:val="995"/>
    <w:link w:val="989"/>
    <w:uiPriority w:val="9"/>
    <w:rPr>
      <w:rFonts w:ascii="Arial" w:hAnsi="Arial" w:eastAsia="Arial" w:cs="Arial"/>
      <w:b/>
      <w:bCs/>
      <w:sz w:val="26"/>
      <w:szCs w:val="26"/>
    </w:rPr>
  </w:style>
  <w:style w:type="character" w:styleId="831">
    <w:name w:val="Heading 5 Char"/>
    <w:basedOn w:val="995"/>
    <w:link w:val="990"/>
    <w:uiPriority w:val="9"/>
    <w:rPr>
      <w:rFonts w:ascii="Arial" w:hAnsi="Arial" w:eastAsia="Arial" w:cs="Arial"/>
      <w:b/>
      <w:bCs/>
      <w:sz w:val="24"/>
      <w:szCs w:val="24"/>
    </w:rPr>
  </w:style>
  <w:style w:type="character" w:styleId="832">
    <w:name w:val="Heading 6 Char"/>
    <w:basedOn w:val="995"/>
    <w:link w:val="991"/>
    <w:uiPriority w:val="9"/>
    <w:rPr>
      <w:rFonts w:ascii="Arial" w:hAnsi="Arial" w:eastAsia="Arial" w:cs="Arial"/>
      <w:b/>
      <w:bCs/>
      <w:sz w:val="22"/>
      <w:szCs w:val="22"/>
    </w:rPr>
  </w:style>
  <w:style w:type="character" w:styleId="833">
    <w:name w:val="Heading 7 Char"/>
    <w:basedOn w:val="995"/>
    <w:link w:val="992"/>
    <w:uiPriority w:val="9"/>
    <w:rPr>
      <w:rFonts w:ascii="Arial" w:hAnsi="Arial" w:eastAsia="Arial" w:cs="Arial"/>
      <w:b/>
      <w:bCs/>
      <w:i/>
      <w:iCs/>
      <w:sz w:val="22"/>
      <w:szCs w:val="22"/>
    </w:rPr>
  </w:style>
  <w:style w:type="character" w:styleId="834">
    <w:name w:val="Heading 8 Char"/>
    <w:basedOn w:val="995"/>
    <w:link w:val="993"/>
    <w:uiPriority w:val="9"/>
    <w:rPr>
      <w:rFonts w:ascii="Arial" w:hAnsi="Arial" w:eastAsia="Arial" w:cs="Arial"/>
      <w:i/>
      <w:iCs/>
      <w:sz w:val="22"/>
      <w:szCs w:val="22"/>
    </w:rPr>
  </w:style>
  <w:style w:type="character" w:styleId="835">
    <w:name w:val="Heading 9 Char"/>
    <w:basedOn w:val="995"/>
    <w:link w:val="994"/>
    <w:uiPriority w:val="9"/>
    <w:rPr>
      <w:rFonts w:ascii="Arial" w:hAnsi="Arial" w:eastAsia="Arial" w:cs="Arial"/>
      <w:i/>
      <w:iCs/>
      <w:sz w:val="21"/>
      <w:szCs w:val="21"/>
    </w:rPr>
  </w:style>
  <w:style w:type="paragraph" w:styleId="836">
    <w:name w:val="No Spacing"/>
    <w:uiPriority w:val="1"/>
    <w:qFormat/>
    <w:pPr>
      <w:spacing w:before="0" w:after="0" w:line="240" w:lineRule="auto"/>
    </w:pPr>
  </w:style>
  <w:style w:type="character" w:styleId="837">
    <w:name w:val="Title Char"/>
    <w:basedOn w:val="995"/>
    <w:link w:val="1019"/>
    <w:uiPriority w:val="10"/>
    <w:rPr>
      <w:sz w:val="48"/>
      <w:szCs w:val="48"/>
    </w:rPr>
  </w:style>
  <w:style w:type="paragraph" w:styleId="838">
    <w:name w:val="Subtitle"/>
    <w:basedOn w:val="985"/>
    <w:next w:val="985"/>
    <w:link w:val="839"/>
    <w:uiPriority w:val="11"/>
    <w:qFormat/>
    <w:pPr>
      <w:spacing w:before="200" w:after="200"/>
    </w:pPr>
    <w:rPr>
      <w:sz w:val="24"/>
      <w:szCs w:val="24"/>
    </w:rPr>
  </w:style>
  <w:style w:type="character" w:styleId="839">
    <w:name w:val="Subtitle Char"/>
    <w:basedOn w:val="995"/>
    <w:link w:val="838"/>
    <w:uiPriority w:val="11"/>
    <w:rPr>
      <w:sz w:val="24"/>
      <w:szCs w:val="24"/>
    </w:rPr>
  </w:style>
  <w:style w:type="paragraph" w:styleId="840">
    <w:name w:val="Quote"/>
    <w:basedOn w:val="985"/>
    <w:next w:val="985"/>
    <w:link w:val="841"/>
    <w:uiPriority w:val="29"/>
    <w:qFormat/>
    <w:pPr>
      <w:ind w:left="720" w:right="720"/>
    </w:pPr>
    <w:rPr>
      <w:i/>
    </w:rPr>
  </w:style>
  <w:style w:type="character" w:styleId="841">
    <w:name w:val="Quote Char"/>
    <w:link w:val="840"/>
    <w:uiPriority w:val="29"/>
    <w:rPr>
      <w:i/>
    </w:rPr>
  </w:style>
  <w:style w:type="paragraph" w:styleId="842">
    <w:name w:val="Intense Quote"/>
    <w:basedOn w:val="985"/>
    <w:next w:val="985"/>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character" w:styleId="844">
    <w:name w:val="Header Char"/>
    <w:basedOn w:val="995"/>
    <w:link w:val="1011"/>
    <w:uiPriority w:val="99"/>
  </w:style>
  <w:style w:type="character" w:styleId="845">
    <w:name w:val="Footer Char"/>
    <w:basedOn w:val="995"/>
    <w:link w:val="1009"/>
    <w:uiPriority w:val="99"/>
  </w:style>
  <w:style w:type="paragraph" w:styleId="846">
    <w:name w:val="Caption"/>
    <w:basedOn w:val="985"/>
    <w:next w:val="985"/>
    <w:uiPriority w:val="35"/>
    <w:semiHidden/>
    <w:unhideWhenUsed/>
    <w:qFormat/>
    <w:pPr>
      <w:spacing w:line="276" w:lineRule="auto"/>
    </w:pPr>
    <w:rPr>
      <w:b/>
      <w:bCs/>
      <w:color w:val="4f81bd" w:themeColor="accent1"/>
      <w:sz w:val="18"/>
      <w:szCs w:val="18"/>
    </w:rPr>
  </w:style>
  <w:style w:type="character" w:styleId="847">
    <w:name w:val="Caption Char"/>
    <w:basedOn w:val="846"/>
    <w:link w:val="1009"/>
    <w:uiPriority w:val="99"/>
  </w:style>
  <w:style w:type="table" w:styleId="848">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4">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5">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6">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7">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8">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9">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5">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6">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9">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0">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1">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2">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3">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4">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6">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7">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8">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9">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0">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1">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0">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1">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2">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3">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4">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5">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7">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8">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9">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0">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1">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2">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4">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5">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6">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7">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8">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9">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1">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2">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3">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4">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5">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6">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Footnote Text Char"/>
    <w:link w:val="1013"/>
    <w:uiPriority w:val="99"/>
    <w:rPr>
      <w:sz w:val="18"/>
    </w:rPr>
  </w:style>
  <w:style w:type="paragraph" w:styleId="974">
    <w:name w:val="endnote text"/>
    <w:basedOn w:val="985"/>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basedOn w:val="995"/>
    <w:uiPriority w:val="99"/>
    <w:semiHidden/>
    <w:unhideWhenUsed/>
    <w:rPr>
      <w:vertAlign w:val="superscript"/>
    </w:r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86">
    <w:name w:val="Heading 1"/>
    <w:basedOn w:val="985"/>
    <w:next w:val="985"/>
    <w:link w:val="1076"/>
    <w:uiPriority w:val="0"/>
    <w:qFormat/>
    <w:pPr>
      <w:keepLines/>
      <w:keepNext/>
      <w:spacing w:before="200" w:after="200"/>
      <w:outlineLvl w:val="0"/>
    </w:pPr>
    <w:rPr>
      <w:b/>
      <w:bCs/>
      <w:sz w:val="44"/>
      <w:szCs w:val="44"/>
      <w:lang w:val="zh-CN"/>
    </w:rPr>
  </w:style>
  <w:style w:type="paragraph" w:styleId="987">
    <w:name w:val="Heading 2"/>
    <w:basedOn w:val="985"/>
    <w:next w:val="985"/>
    <w:link w:val="1073"/>
    <w:uiPriority w:val="0"/>
    <w:qFormat/>
    <w:pPr>
      <w:keepLines/>
      <w:keepNext/>
      <w:spacing w:before="260" w:after="260" w:line="416" w:lineRule="auto"/>
      <w:outlineLvl w:val="1"/>
    </w:pPr>
    <w:rPr>
      <w:rFonts w:ascii="Cambria" w:hAnsi="Cambria"/>
      <w:b/>
      <w:bCs/>
      <w:sz w:val="32"/>
      <w:szCs w:val="32"/>
      <w:lang w:val="zh-CN"/>
    </w:rPr>
  </w:style>
  <w:style w:type="paragraph" w:styleId="988">
    <w:name w:val="Heading 3"/>
    <w:basedOn w:val="985"/>
    <w:next w:val="985"/>
    <w:link w:val="1098"/>
    <w:uiPriority w:val="0"/>
    <w:qFormat/>
    <w:pPr>
      <w:keepLines/>
      <w:keepNext/>
      <w:spacing w:before="260" w:after="260" w:line="416" w:lineRule="auto"/>
      <w:outlineLvl w:val="2"/>
    </w:pPr>
    <w:rPr>
      <w:b/>
      <w:szCs w:val="32"/>
      <w:lang w:val="zh-CN"/>
    </w:rPr>
  </w:style>
  <w:style w:type="paragraph" w:styleId="989">
    <w:name w:val="Heading 4"/>
    <w:basedOn w:val="985"/>
    <w:next w:val="985"/>
    <w:link w:val="1051"/>
    <w:uiPriority w:val="0"/>
    <w:qFormat/>
    <w:pPr>
      <w:keepNext/>
      <w:spacing w:before="240" w:after="60"/>
      <w:outlineLvl w:val="3"/>
    </w:pPr>
    <w:rPr>
      <w:b/>
      <w:bCs/>
      <w:sz w:val="28"/>
      <w:szCs w:val="28"/>
      <w:lang w:val="zh-CN"/>
    </w:rPr>
  </w:style>
  <w:style w:type="paragraph" w:styleId="990">
    <w:name w:val="Heading 5"/>
    <w:basedOn w:val="985"/>
    <w:next w:val="985"/>
    <w:link w:val="1072"/>
    <w:uiPriority w:val="0"/>
    <w:qFormat/>
    <w:pPr>
      <w:spacing w:before="240" w:after="60"/>
      <w:outlineLvl w:val="4"/>
    </w:pPr>
    <w:rPr>
      <w:b/>
      <w:bCs/>
      <w:i/>
      <w:iCs/>
      <w:sz w:val="26"/>
      <w:szCs w:val="26"/>
      <w:lang w:val="zh-CN"/>
    </w:rPr>
  </w:style>
  <w:style w:type="paragraph" w:styleId="991">
    <w:name w:val="Heading 6"/>
    <w:basedOn w:val="985"/>
    <w:next w:val="985"/>
    <w:link w:val="1099"/>
    <w:uiPriority w:val="0"/>
    <w:qFormat/>
    <w:pPr>
      <w:keepLines/>
      <w:keepNext/>
      <w:spacing w:line="317" w:lineRule="auto"/>
      <w:outlineLvl w:val="5"/>
    </w:pPr>
    <w:rPr>
      <w:rFonts w:ascii="Arial" w:hAnsi="Arial" w:eastAsia="黑体"/>
      <w:b/>
      <w:sz w:val="24"/>
      <w:szCs w:val="24"/>
      <w:lang w:val="zh-CN"/>
    </w:rPr>
  </w:style>
  <w:style w:type="paragraph" w:styleId="992">
    <w:name w:val="Heading 7"/>
    <w:basedOn w:val="985"/>
    <w:next w:val="985"/>
    <w:link w:val="1119"/>
    <w:uiPriority w:val="0"/>
    <w:qFormat/>
    <w:pPr>
      <w:keepLines/>
      <w:keepNext/>
      <w:spacing w:line="317" w:lineRule="auto"/>
      <w:outlineLvl w:val="6"/>
    </w:pPr>
    <w:rPr>
      <w:b/>
      <w:sz w:val="24"/>
      <w:szCs w:val="24"/>
      <w:lang w:val="zh-CN"/>
    </w:rPr>
  </w:style>
  <w:style w:type="paragraph" w:styleId="993">
    <w:name w:val="Heading 8"/>
    <w:basedOn w:val="985"/>
    <w:next w:val="985"/>
    <w:link w:val="1065"/>
    <w:uiPriority w:val="0"/>
    <w:qFormat/>
    <w:pPr>
      <w:keepLines/>
      <w:keepNext/>
      <w:spacing w:line="317" w:lineRule="auto"/>
      <w:outlineLvl w:val="7"/>
    </w:pPr>
    <w:rPr>
      <w:rFonts w:ascii="Arial" w:hAnsi="Arial" w:eastAsia="黑体"/>
      <w:sz w:val="24"/>
      <w:szCs w:val="24"/>
      <w:lang w:val="zh-CN"/>
    </w:rPr>
  </w:style>
  <w:style w:type="paragraph" w:styleId="994">
    <w:name w:val="Heading 9"/>
    <w:basedOn w:val="985"/>
    <w:next w:val="985"/>
    <w:link w:val="1109"/>
    <w:uiPriority w:val="0"/>
    <w:qFormat/>
    <w:pPr>
      <w:keepLines/>
      <w:keepNext/>
      <w:spacing w:line="317" w:lineRule="auto"/>
      <w:outlineLvl w:val="8"/>
    </w:pPr>
    <w:rPr>
      <w:rFonts w:ascii="Arial" w:hAnsi="Arial" w:eastAsia="黑体"/>
      <w:szCs w:val="24"/>
      <w:lang w:val="zh-CN"/>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Normal Indent"/>
    <w:basedOn w:val="985"/>
    <w:next w:val="985"/>
    <w:link w:val="1117"/>
    <w:uiPriority w:val="0"/>
    <w:qFormat/>
    <w:pPr>
      <w:ind w:firstLine="420"/>
      <w:jc w:val="left"/>
    </w:pPr>
    <w:rPr>
      <w:rFonts w:eastAsia="楷体_GB2312"/>
      <w:sz w:val="24"/>
      <w:lang w:val="zh-CN"/>
    </w:rPr>
  </w:style>
  <w:style w:type="paragraph" w:styleId="998">
    <w:name w:val="Document Map"/>
    <w:basedOn w:val="985"/>
    <w:link w:val="1050"/>
    <w:uiPriority w:val="99"/>
    <w:unhideWhenUsed/>
    <w:qFormat/>
    <w:rPr>
      <w:rFonts w:ascii="宋体"/>
      <w:sz w:val="18"/>
      <w:szCs w:val="18"/>
      <w:lang w:val="zh-CN"/>
    </w:rPr>
  </w:style>
  <w:style w:type="paragraph" w:styleId="999">
    <w:name w:val="annotation text"/>
    <w:basedOn w:val="985"/>
    <w:link w:val="1068"/>
    <w:uiPriority w:val="99"/>
    <w:qFormat/>
    <w:pPr>
      <w:jc w:val="left"/>
    </w:pPr>
    <w:rPr>
      <w:sz w:val="20"/>
      <w:lang w:val="zh-CN"/>
    </w:rPr>
  </w:style>
  <w:style w:type="paragraph" w:styleId="1000">
    <w:name w:val="Body Text 3"/>
    <w:basedOn w:val="985"/>
    <w:link w:val="1116"/>
    <w:uiPriority w:val="0"/>
    <w:qFormat/>
    <w:rPr>
      <w:sz w:val="16"/>
      <w:szCs w:val="24"/>
      <w:lang w:val="zh-CN"/>
    </w:rPr>
  </w:style>
  <w:style w:type="paragraph" w:styleId="1001">
    <w:name w:val="Body Text"/>
    <w:basedOn w:val="985"/>
    <w:link w:val="1086"/>
    <w:uiPriority w:val="0"/>
    <w:qFormat/>
    <w:pPr>
      <w:spacing w:after="120"/>
    </w:pPr>
    <w:rPr>
      <w:rFonts w:ascii="Calibri" w:hAnsi="Calibri"/>
      <w:szCs w:val="22"/>
    </w:rPr>
  </w:style>
  <w:style w:type="paragraph" w:styleId="1002">
    <w:name w:val="Body Text Indent"/>
    <w:basedOn w:val="985"/>
    <w:link w:val="1056"/>
    <w:uiPriority w:val="0"/>
    <w:qFormat/>
    <w:pPr>
      <w:ind w:firstLine="420"/>
      <w:spacing w:line="360" w:lineRule="auto"/>
    </w:pPr>
    <w:rPr>
      <w:rFonts w:ascii="宋体" w:hAnsi="宋体"/>
      <w:szCs w:val="24"/>
      <w:lang w:val="zh-CN"/>
    </w:rPr>
  </w:style>
  <w:style w:type="paragraph" w:styleId="1003">
    <w:name w:val="Block Text"/>
    <w:basedOn w:val="985"/>
    <w:uiPriority w:val="0"/>
    <w:qFormat/>
    <w:pPr>
      <w:ind w:left="630" w:right="-609" w:firstLine="420"/>
      <w:spacing w:line="360" w:lineRule="auto"/>
    </w:pPr>
    <w:rPr>
      <w:rFonts w:hint="eastAsia" w:ascii="仿宋_GB2312" w:eastAsia="仿宋_GB2312"/>
    </w:rPr>
  </w:style>
  <w:style w:type="paragraph" w:styleId="1004">
    <w:name w:val="toc 3"/>
    <w:basedOn w:val="985"/>
    <w:next w:val="985"/>
    <w:uiPriority w:val="39"/>
    <w:unhideWhenUsed/>
    <w:qFormat/>
    <w:pPr>
      <w:ind w:left="840"/>
    </w:pPr>
  </w:style>
  <w:style w:type="paragraph" w:styleId="1005">
    <w:name w:val="Plain Text"/>
    <w:basedOn w:val="985"/>
    <w:link w:val="1043"/>
    <w:uiPriority w:val="0"/>
    <w:qFormat/>
    <w:rPr>
      <w:rFonts w:ascii="宋体" w:hAnsi="Courier New" w:eastAsia="楷体_GB2312"/>
      <w:sz w:val="28"/>
      <w:lang w:val="zh-CN"/>
    </w:rPr>
  </w:style>
  <w:style w:type="paragraph" w:styleId="1006">
    <w:name w:val="Date"/>
    <w:basedOn w:val="985"/>
    <w:next w:val="985"/>
    <w:link w:val="1091"/>
    <w:uiPriority w:val="0"/>
    <w:qFormat/>
    <w:rPr>
      <w:sz w:val="20"/>
      <w:lang w:val="zh-CN"/>
    </w:rPr>
  </w:style>
  <w:style w:type="paragraph" w:styleId="1007">
    <w:name w:val="Body Text Indent 2"/>
    <w:basedOn w:val="985"/>
    <w:link w:val="1101"/>
    <w:uiPriority w:val="0"/>
    <w:qFormat/>
    <w:pPr>
      <w:ind w:firstLine="564"/>
    </w:pPr>
    <w:rPr>
      <w:rFonts w:ascii="宋体" w:hAnsi="宋体"/>
      <w:color w:val="ff0000"/>
      <w:sz w:val="24"/>
      <w:lang w:val="zh-CN"/>
    </w:rPr>
  </w:style>
  <w:style w:type="paragraph" w:styleId="1008">
    <w:name w:val="Balloon Text"/>
    <w:basedOn w:val="985"/>
    <w:link w:val="1095"/>
    <w:uiPriority w:val="0"/>
    <w:qFormat/>
    <w:rPr>
      <w:sz w:val="18"/>
      <w:szCs w:val="18"/>
      <w:lang w:val="zh-CN"/>
    </w:rPr>
  </w:style>
  <w:style w:type="paragraph" w:styleId="1009">
    <w:name w:val="Footer"/>
    <w:basedOn w:val="985"/>
    <w:link w:val="1121"/>
    <w:uiPriority w:val="99"/>
    <w:unhideWhenUsed/>
    <w:qFormat/>
    <w:pPr>
      <w:jc w:val="left"/>
      <w:tabs>
        <w:tab w:val="center" w:pos="4153" w:leader="none"/>
        <w:tab w:val="right" w:pos="8306" w:leader="none"/>
      </w:tabs>
    </w:pPr>
    <w:rPr>
      <w:sz w:val="18"/>
      <w:szCs w:val="18"/>
      <w:lang w:val="zh-CN"/>
    </w:rPr>
  </w:style>
  <w:style w:type="paragraph" w:styleId="1010">
    <w:name w:val="envelope return"/>
    <w:basedOn w:val="985"/>
    <w:uiPriority w:val="0"/>
    <w:qFormat/>
    <w:rPr>
      <w:rFonts w:ascii="Arial" w:hAnsi="Arial" w:eastAsia="楷体_GB2312"/>
      <w:sz w:val="26"/>
    </w:rPr>
  </w:style>
  <w:style w:type="paragraph" w:styleId="1011">
    <w:name w:val="Header"/>
    <w:basedOn w:val="985"/>
    <w:link w:val="1107"/>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1012">
    <w:name w:val="toc 1"/>
    <w:basedOn w:val="985"/>
    <w:next w:val="985"/>
    <w:uiPriority w:val="0"/>
    <w:qFormat/>
    <w:pPr>
      <w:jc w:val="left"/>
    </w:pPr>
    <w:rPr>
      <w:rFonts w:eastAsia="楷体_GB2312"/>
      <w:sz w:val="24"/>
    </w:rPr>
  </w:style>
  <w:style w:type="paragraph" w:styleId="1013">
    <w:name w:val="footnote text"/>
    <w:basedOn w:val="986"/>
    <w:next w:val="1003"/>
    <w:uiPriority w:val="0"/>
    <w:qFormat/>
    <w:pPr>
      <w:ind w:firstLine="3584"/>
      <w:jc w:val="left"/>
      <w:keepLines w:val="0"/>
      <w:keepNext w:val="0"/>
      <w:spacing w:before="0" w:after="0" w:line="360" w:lineRule="auto"/>
      <w:widowControl/>
    </w:pPr>
    <w:rPr>
      <w:rFonts w:ascii="Calibri" w:hAnsi="Calibri"/>
      <w:b w:val="0"/>
      <w:bCs w:val="0"/>
      <w:sz w:val="20"/>
      <w:szCs w:val="20"/>
    </w:rPr>
  </w:style>
  <w:style w:type="paragraph" w:styleId="1014">
    <w:name w:val="Body Text Indent 3"/>
    <w:basedOn w:val="985"/>
    <w:link w:val="1063"/>
    <w:uiPriority w:val="0"/>
    <w:qFormat/>
    <w:pPr>
      <w:ind w:firstLine="564"/>
      <w:spacing w:line="360" w:lineRule="auto"/>
    </w:pPr>
    <w:rPr>
      <w:rFonts w:ascii="宋体" w:hAnsi="宋体"/>
      <w:sz w:val="18"/>
      <w:lang w:val="zh-CN"/>
    </w:rPr>
  </w:style>
  <w:style w:type="paragraph" w:styleId="1015">
    <w:name w:val="toc 2"/>
    <w:basedOn w:val="985"/>
    <w:next w:val="985"/>
    <w:uiPriority w:val="39"/>
    <w:unhideWhenUsed/>
    <w:qFormat/>
    <w:pPr>
      <w:ind w:left="420"/>
    </w:pPr>
  </w:style>
  <w:style w:type="paragraph" w:styleId="1016">
    <w:name w:val="Body Text 2"/>
    <w:basedOn w:val="985"/>
    <w:link w:val="1111"/>
    <w:uiPriority w:val="0"/>
    <w:qFormat/>
    <w:pPr>
      <w:spacing w:line="480" w:lineRule="auto"/>
    </w:pPr>
    <w:rPr>
      <w:szCs w:val="24"/>
      <w:lang w:val="zh-CN"/>
    </w:rPr>
  </w:style>
  <w:style w:type="paragraph" w:styleId="1017">
    <w:name w:val="HTML Preformatted"/>
    <w:basedOn w:val="985"/>
    <w:link w:val="1085"/>
    <w:uiPriority w:val="0"/>
    <w:qFormat/>
    <w:rPr>
      <w:rFonts w:ascii="Courier New" w:hAnsi="Courier New"/>
      <w:sz w:val="20"/>
      <w:szCs w:val="24"/>
      <w:lang w:val="zh-CN"/>
    </w:rPr>
  </w:style>
  <w:style w:type="paragraph" w:styleId="1018">
    <w:name w:val="Normal (Web)"/>
    <w:basedOn w:val="985"/>
    <w:link w:val="1042"/>
    <w:uiPriority w:val="0"/>
    <w:unhideWhenUsed/>
    <w:qFormat/>
    <w:pPr>
      <w:jc w:val="left"/>
      <w:widowControl/>
    </w:pPr>
    <w:rPr>
      <w:rFonts w:ascii="宋体" w:hAnsi="宋体"/>
      <w:sz w:val="24"/>
      <w:szCs w:val="24"/>
      <w:lang w:val="zh-CN"/>
    </w:rPr>
  </w:style>
  <w:style w:type="paragraph" w:styleId="1019">
    <w:name w:val="Title"/>
    <w:basedOn w:val="985"/>
    <w:link w:val="1064"/>
    <w:uiPriority w:val="0"/>
    <w:qFormat/>
    <w:pPr>
      <w:jc w:val="center"/>
      <w:outlineLvl w:val="0"/>
    </w:pPr>
    <w:rPr>
      <w:rFonts w:ascii="Arial" w:hAnsi="Arial"/>
      <w:b/>
      <w:sz w:val="32"/>
      <w:szCs w:val="24"/>
      <w:lang w:val="zh-CN"/>
    </w:rPr>
  </w:style>
  <w:style w:type="paragraph" w:styleId="1020">
    <w:name w:val="annotation subject"/>
    <w:basedOn w:val="999"/>
    <w:next w:val="999"/>
    <w:link w:val="1087"/>
    <w:uiPriority w:val="0"/>
    <w:qFormat/>
    <w:rPr>
      <w:b/>
      <w:bCs/>
      <w:sz w:val="21"/>
      <w:szCs w:val="24"/>
    </w:rPr>
  </w:style>
  <w:style w:type="paragraph" w:styleId="1021">
    <w:name w:val="Body Text First Indent"/>
    <w:basedOn w:val="1001"/>
    <w:link w:val="1066"/>
    <w:uiPriority w:val="0"/>
    <w:qFormat/>
    <w:pPr>
      <w:ind w:firstLine="420"/>
      <w:spacing w:after="0" w:line="400" w:lineRule="exact"/>
    </w:pPr>
    <w:rPr>
      <w:rFonts w:ascii="Times New Roman" w:hAnsi="Times New Roman"/>
      <w:sz w:val="28"/>
      <w:szCs w:val="24"/>
      <w:lang w:val="zh-CN"/>
    </w:rPr>
  </w:style>
  <w:style w:type="paragraph" w:styleId="1022">
    <w:name w:val="Body Text First Indent 2"/>
    <w:basedOn w:val="1002"/>
    <w:link w:val="1162"/>
    <w:uiPriority w:val="99"/>
    <w:unhideWhenUsed/>
    <w:qFormat/>
    <w:pPr>
      <w:ind w:left="420"/>
      <w:spacing w:after="120" w:line="240" w:lineRule="auto"/>
    </w:pPr>
    <w:rPr>
      <w:rFonts w:ascii="Times New Roman" w:hAnsi="Times New Roman"/>
      <w:szCs w:val="20"/>
      <w:lang w:val="en-US"/>
    </w:rPr>
  </w:style>
  <w:style w:type="table" w:styleId="1023">
    <w:name w:val="Table Grid"/>
    <w:basedOn w:val="996"/>
    <w:uiPriority w:val="0"/>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4">
    <w:name w:val="Medium Grid 3"/>
    <w:basedOn w:val="996"/>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25">
    <w:name w:val="Medium Grid 3 Accent 1"/>
    <w:basedOn w:val="996"/>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26">
    <w:name w:val="Medium Grid 3 Accent 2"/>
    <w:basedOn w:val="996"/>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27">
    <w:name w:val="Medium Grid 3 Accent 3"/>
    <w:basedOn w:val="996"/>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28">
    <w:name w:val="Medium Grid 3 Accent 4"/>
    <w:basedOn w:val="996"/>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29">
    <w:name w:val="Medium Grid 3 Accent 5"/>
    <w:basedOn w:val="996"/>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30">
    <w:name w:val="Medium Grid 3 Accent 6"/>
    <w:basedOn w:val="996"/>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031">
    <w:name w:val="Strong"/>
    <w:uiPriority w:val="0"/>
    <w:qFormat/>
    <w:rPr>
      <w:b/>
      <w:bCs/>
    </w:rPr>
  </w:style>
  <w:style w:type="character" w:styleId="1032">
    <w:name w:val="page number"/>
    <w:basedOn w:val="995"/>
    <w:uiPriority w:val="0"/>
    <w:qFormat/>
  </w:style>
  <w:style w:type="character" w:styleId="1033">
    <w:name w:val="FollowedHyperlink"/>
    <w:uiPriority w:val="0"/>
    <w:qFormat/>
    <w:rPr>
      <w:rFonts w:ascii="Times New Roman" w:hAnsi="Times New Roman" w:eastAsia="宋体" w:cs="Times New Roman"/>
      <w:color w:val="585858"/>
      <w:u w:val="none"/>
    </w:rPr>
  </w:style>
  <w:style w:type="character" w:styleId="1034">
    <w:name w:val="Emphasis"/>
    <w:uiPriority w:val="0"/>
    <w:qFormat/>
  </w:style>
  <w:style w:type="character" w:styleId="1035">
    <w:name w:val="HTML Typewriter"/>
    <w:uiPriority w:val="0"/>
    <w:unhideWhenUsed/>
    <w:qFormat/>
    <w:rPr>
      <w:rFonts w:hint="eastAsia" w:ascii="宋体" w:hAnsi="宋体" w:eastAsia="宋体" w:cs="宋体"/>
      <w:sz w:val="24"/>
      <w:szCs w:val="24"/>
      <w:lang w:val="en-US" w:eastAsia="zh-CN" w:bidi="ar-SA"/>
    </w:rPr>
  </w:style>
  <w:style w:type="character" w:styleId="1036">
    <w:name w:val="Hyperlink"/>
    <w:uiPriority w:val="0"/>
    <w:qFormat/>
    <w:rPr>
      <w:color w:val="0000ff"/>
      <w:u w:val="single"/>
    </w:rPr>
  </w:style>
  <w:style w:type="character" w:styleId="1037">
    <w:name w:val="annotation reference"/>
    <w:uiPriority w:val="99"/>
    <w:qFormat/>
    <w:rPr>
      <w:rFonts w:ascii="Times New Roman" w:hAnsi="Times New Roman" w:eastAsia="宋体" w:cs="Times New Roman"/>
      <w:sz w:val="21"/>
      <w:szCs w:val="21"/>
    </w:rPr>
  </w:style>
  <w:style w:type="character" w:styleId="1038">
    <w:name w:val="footnote reference"/>
    <w:uiPriority w:val="0"/>
    <w:unhideWhenUsed/>
    <w:qFormat/>
    <w:rPr>
      <w:vertAlign w:val="superscript"/>
    </w:rPr>
  </w:style>
  <w:style w:type="paragraph" w:styleId="1039" w:customStyle="1">
    <w:name w:val="首行缩进"/>
    <w:basedOn w:val="985"/>
    <w:uiPriority w:val="0"/>
    <w:qFormat/>
    <w:pPr>
      <w:ind w:firstLine="480"/>
    </w:pPr>
    <w:rPr>
      <w:lang w:val="zh-CN"/>
    </w:rPr>
  </w:style>
  <w:style w:type="paragraph" w:styleId="1040" w:customStyle="1">
    <w:name w:val="正文文本11"/>
    <w:basedOn w:val="985"/>
    <w:uiPriority w:val="99"/>
    <w:qFormat/>
    <w:rPr>
      <w:rFonts w:ascii="楷体_GB2312" w:hAnsi="宋体" w:eastAsia="楷体_GB2312"/>
      <w:sz w:val="28"/>
      <w:szCs w:val="28"/>
    </w:rPr>
  </w:style>
  <w:style w:type="paragraph" w:styleId="1041" w:customStyle="1">
    <w:name w:val="段"/>
    <w:next w:val="985"/>
    <w:uiPriority w:val="0"/>
    <w:qFormat/>
    <w:pPr>
      <w:ind w:firstLine="200"/>
      <w:jc w:val="both"/>
    </w:pPr>
    <w:rPr>
      <w:rFonts w:ascii="宋体" w:hAnsi="Times New Roman" w:eastAsia="宋体" w:cs="Times New Roman"/>
      <w:sz w:val="21"/>
      <w:szCs w:val="22"/>
      <w:lang w:val="en-US" w:eastAsia="zh-CN" w:bidi="ar-SA"/>
    </w:rPr>
  </w:style>
  <w:style w:type="character" w:styleId="1042" w:customStyle="1">
    <w:name w:val="普通(网站) 字符"/>
    <w:link w:val="1018"/>
    <w:uiPriority w:val="0"/>
    <w:qFormat/>
    <w:rPr>
      <w:rFonts w:ascii="宋体" w:hAnsi="宋体" w:cs="宋体"/>
      <w:sz w:val="24"/>
      <w:szCs w:val="24"/>
    </w:rPr>
  </w:style>
  <w:style w:type="character" w:styleId="1043" w:customStyle="1">
    <w:name w:val="纯文本 字符"/>
    <w:link w:val="1005"/>
    <w:uiPriority w:val="0"/>
    <w:qFormat/>
    <w:rPr>
      <w:rFonts w:ascii="宋体" w:hAnsi="Courier New" w:eastAsia="楷体_GB2312"/>
      <w:sz w:val="28"/>
    </w:rPr>
  </w:style>
  <w:style w:type="character" w:styleId="1044" w:customStyle="1">
    <w:name w:val="font11"/>
    <w:uiPriority w:val="0"/>
    <w:qFormat/>
    <w:rPr>
      <w:rFonts w:hint="eastAsia" w:ascii="宋体" w:hAnsi="宋体" w:eastAsia="宋体" w:cs="宋体"/>
      <w:color w:val="000000"/>
      <w:sz w:val="24"/>
      <w:szCs w:val="24"/>
      <w:u w:val="none"/>
    </w:rPr>
  </w:style>
  <w:style w:type="character" w:styleId="1045" w:customStyle="1">
    <w:name w:val="blue"/>
    <w:uiPriority w:val="0"/>
    <w:qFormat/>
    <w:rPr>
      <w:rFonts w:ascii="Times New Roman" w:hAnsi="Times New Roman" w:eastAsia="宋体" w:cs="Times New Roman"/>
    </w:rPr>
  </w:style>
  <w:style w:type="character" w:styleId="1046" w:customStyle="1">
    <w:name w:val="grame"/>
    <w:uiPriority w:val="0"/>
    <w:qFormat/>
    <w:rPr>
      <w:rFonts w:ascii="Times New Roman" w:hAnsi="Times New Roman" w:eastAsia="宋体" w:cs="Times New Roman"/>
    </w:rPr>
  </w:style>
  <w:style w:type="character" w:styleId="1047" w:customStyle="1">
    <w:name w:val="Plain Text Char Char"/>
    <w:link w:val="1048"/>
    <w:uiPriority w:val="0"/>
    <w:qFormat/>
    <w:rPr>
      <w:rFonts w:ascii="宋体" w:hAnsi="Courier New" w:eastAsia="楷体_GB2312"/>
      <w:sz w:val="28"/>
    </w:rPr>
  </w:style>
  <w:style w:type="paragraph" w:styleId="1048" w:customStyle="1">
    <w:name w:val="纯文本4"/>
    <w:basedOn w:val="985"/>
    <w:link w:val="1047"/>
    <w:uiPriority w:val="0"/>
    <w:qFormat/>
    <w:rPr>
      <w:rFonts w:ascii="宋体" w:hAnsi="Courier New" w:eastAsia="楷体_GB2312"/>
      <w:sz w:val="28"/>
      <w:lang w:val="zh-CN"/>
    </w:rPr>
  </w:style>
  <w:style w:type="character" w:styleId="1049" w:customStyle="1">
    <w:name w:val="H4 Char2"/>
    <w:uiPriority w:val="0"/>
    <w:qFormat/>
    <w:rPr>
      <w:rFonts w:hint="default" w:ascii="Arial" w:hAnsi="Arial" w:eastAsia="黑体" w:cs="Arial"/>
      <w:b/>
      <w:sz w:val="28"/>
      <w:szCs w:val="28"/>
      <w:lang w:val="en-US" w:eastAsia="zh-CN"/>
    </w:rPr>
  </w:style>
  <w:style w:type="character" w:styleId="1050" w:customStyle="1">
    <w:name w:val="文档结构图 字符"/>
    <w:link w:val="998"/>
    <w:uiPriority w:val="99"/>
    <w:qFormat/>
    <w:rPr>
      <w:rFonts w:ascii="宋体"/>
      <w:sz w:val="18"/>
      <w:szCs w:val="18"/>
    </w:rPr>
  </w:style>
  <w:style w:type="character" w:styleId="1051" w:customStyle="1">
    <w:name w:val="标题 4 字符"/>
    <w:link w:val="989"/>
    <w:uiPriority w:val="0"/>
    <w:qFormat/>
    <w:rPr>
      <w:b/>
      <w:bCs/>
      <w:sz w:val="28"/>
      <w:szCs w:val="28"/>
    </w:rPr>
  </w:style>
  <w:style w:type="character" w:styleId="1052" w:customStyle="1">
    <w:name w:val="content1"/>
    <w:uiPriority w:val="0"/>
    <w:qFormat/>
    <w:rPr>
      <w:rFonts w:hint="eastAsia" w:ascii="??" w:hAnsi="??" w:eastAsia="??" w:cs="??"/>
      <w:sz w:val="16"/>
      <w:szCs w:val="16"/>
      <w:u w:val="none"/>
    </w:rPr>
  </w:style>
  <w:style w:type="character" w:styleId="1053" w:customStyle="1">
    <w:name w:val="Andy_正文 Char"/>
    <w:link w:val="1054"/>
    <w:uiPriority w:val="0"/>
    <w:qFormat/>
    <w:rPr>
      <w:rFonts w:ascii="Calibri" w:hAnsi="Calibri"/>
      <w:sz w:val="24"/>
      <w:szCs w:val="24"/>
    </w:rPr>
  </w:style>
  <w:style w:type="paragraph" w:styleId="1054" w:customStyle="1">
    <w:name w:val="Andy_正文"/>
    <w:basedOn w:val="985"/>
    <w:link w:val="1053"/>
    <w:uiPriority w:val="0"/>
    <w:qFormat/>
    <w:pPr>
      <w:ind w:firstLine="480"/>
      <w:spacing w:line="360" w:lineRule="auto"/>
    </w:pPr>
    <w:rPr>
      <w:rFonts w:ascii="Calibri" w:hAnsi="Calibri"/>
      <w:sz w:val="24"/>
      <w:szCs w:val="24"/>
      <w:lang w:val="zh-CN"/>
    </w:rPr>
  </w:style>
  <w:style w:type="character" w:styleId="1055" w:customStyle="1">
    <w:name w:val="text"/>
    <w:uiPriority w:val="0"/>
    <w:qFormat/>
    <w:rPr>
      <w:rFonts w:ascii="Times New Roman" w:hAnsi="Times New Roman" w:eastAsia="宋体" w:cs="Times New Roman"/>
    </w:rPr>
  </w:style>
  <w:style w:type="character" w:styleId="1056" w:customStyle="1">
    <w:name w:val="正文文本缩进 字符"/>
    <w:link w:val="1002"/>
    <w:uiPriority w:val="0"/>
    <w:qFormat/>
    <w:rPr>
      <w:rFonts w:ascii="宋体" w:hAnsi="宋体" w:cs="宋体"/>
      <w:sz w:val="21"/>
      <w:szCs w:val="24"/>
    </w:rPr>
  </w:style>
  <w:style w:type="character" w:styleId="1057" w:customStyle="1">
    <w:name w:val="font71"/>
    <w:uiPriority w:val="0"/>
    <w:qFormat/>
    <w:rPr>
      <w:rFonts w:hint="default" w:ascii="Times New Roman" w:hAnsi="Times New Roman" w:eastAsia="宋体" w:cs="Times New Roman"/>
      <w:color w:val="000000"/>
      <w:sz w:val="24"/>
      <w:szCs w:val="24"/>
      <w:u w:val="none"/>
    </w:rPr>
  </w:style>
  <w:style w:type="character" w:styleId="1058" w:customStyle="1">
    <w:name w:val="c lh15"/>
    <w:uiPriority w:val="0"/>
    <w:qFormat/>
    <w:rPr>
      <w:rFonts w:ascii="Times New Roman" w:hAnsi="Times New Roman" w:eastAsia="宋体" w:cs="Times New Roman"/>
    </w:rPr>
  </w:style>
  <w:style w:type="character" w:styleId="1059" w:customStyle="1">
    <w:name w:val="prodheadlines"/>
    <w:uiPriority w:val="0"/>
    <w:qFormat/>
    <w:rPr>
      <w:rFonts w:ascii="Times New Roman" w:hAnsi="Times New Roman" w:eastAsia="宋体" w:cs="Times New Roman"/>
    </w:rPr>
  </w:style>
  <w:style w:type="character" w:styleId="1060" w:customStyle="1">
    <w:name w:val="font41"/>
    <w:uiPriority w:val="0"/>
    <w:qFormat/>
    <w:rPr>
      <w:rFonts w:hint="eastAsia" w:ascii="宋体" w:hAnsi="宋体" w:eastAsia="宋体" w:cs="宋体"/>
      <w:b/>
      <w:color w:val="000000"/>
      <w:sz w:val="20"/>
      <w:szCs w:val="20"/>
      <w:u w:val="none"/>
    </w:rPr>
  </w:style>
  <w:style w:type="character" w:styleId="1061" w:customStyle="1">
    <w:name w:val="页脚 Char1"/>
    <w:uiPriority w:val="0"/>
    <w:qFormat/>
    <w:rPr>
      <w:rFonts w:hint="eastAsia" w:ascii="宋体" w:hAnsi="宋体" w:eastAsia="宋体" w:cs="宋体"/>
      <w:sz w:val="18"/>
      <w:szCs w:val="18"/>
      <w:lang w:val="en-US" w:eastAsia="zh-CN"/>
    </w:rPr>
  </w:style>
  <w:style w:type="character" w:styleId="1062" w:customStyle="1">
    <w:name w:val="正文文字首行缩进 Char"/>
    <w:uiPriority w:val="0"/>
    <w:qFormat/>
    <w:rPr>
      <w:rFonts w:ascii="Times New Roman" w:hAnsi="Times New Roman" w:eastAsia="宋体" w:cs="Times New Roman"/>
      <w:sz w:val="21"/>
      <w:szCs w:val="24"/>
    </w:rPr>
  </w:style>
  <w:style w:type="character" w:styleId="1063" w:customStyle="1">
    <w:name w:val="正文文本缩进 3 字符"/>
    <w:link w:val="1014"/>
    <w:uiPriority w:val="0"/>
    <w:qFormat/>
    <w:rPr>
      <w:rFonts w:ascii="宋体" w:hAnsi="宋体" w:eastAsia="宋体" w:cs="Times New Roman"/>
      <w:sz w:val="18"/>
      <w:szCs w:val="20"/>
    </w:rPr>
  </w:style>
  <w:style w:type="character" w:styleId="1064" w:customStyle="1">
    <w:name w:val="标题 字符"/>
    <w:link w:val="1019"/>
    <w:uiPriority w:val="0"/>
    <w:qFormat/>
    <w:rPr>
      <w:rFonts w:ascii="Arial" w:hAnsi="Arial"/>
      <w:b/>
      <w:sz w:val="32"/>
      <w:szCs w:val="24"/>
    </w:rPr>
  </w:style>
  <w:style w:type="character" w:styleId="1065" w:customStyle="1">
    <w:name w:val="标题 8 字符"/>
    <w:link w:val="993"/>
    <w:uiPriority w:val="0"/>
    <w:qFormat/>
    <w:rPr>
      <w:rFonts w:ascii="Arial" w:hAnsi="Arial" w:eastAsia="黑体"/>
      <w:sz w:val="24"/>
      <w:szCs w:val="24"/>
    </w:rPr>
  </w:style>
  <w:style w:type="character" w:styleId="1066" w:customStyle="1">
    <w:name w:val="正文文本首行缩进 字符"/>
    <w:link w:val="1021"/>
    <w:uiPriority w:val="0"/>
    <w:qFormat/>
    <w:rPr>
      <w:sz w:val="28"/>
      <w:szCs w:val="24"/>
    </w:rPr>
  </w:style>
  <w:style w:type="character" w:styleId="1067" w:customStyle="1">
    <w:name w:val="页眉 Char1"/>
    <w:uiPriority w:val="0"/>
    <w:qFormat/>
    <w:rPr>
      <w:rFonts w:hint="eastAsia" w:ascii="宋体" w:hAnsi="宋体" w:eastAsia="宋体" w:cs="宋体"/>
      <w:sz w:val="18"/>
      <w:szCs w:val="18"/>
      <w:lang w:val="en-US" w:eastAsia="zh-CN"/>
    </w:rPr>
  </w:style>
  <w:style w:type="character" w:styleId="1068" w:customStyle="1">
    <w:name w:val="批注文字 字符"/>
    <w:link w:val="999"/>
    <w:uiPriority w:val="99"/>
    <w:qFormat/>
    <w:rPr>
      <w:rFonts w:ascii="Times New Roman" w:hAnsi="Times New Roman" w:eastAsia="宋体" w:cs="Times New Roman"/>
      <w:szCs w:val="20"/>
    </w:rPr>
  </w:style>
  <w:style w:type="character" w:styleId="1069" w:customStyle="1">
    <w:name w:val="缩进正文 Char"/>
    <w:uiPriority w:val="0"/>
    <w:qFormat/>
    <w:rPr>
      <w:rFonts w:hint="eastAsia" w:ascii="仿宋_GB2312" w:hAnsi="Times New Roman" w:eastAsia="仿宋_GB2312" w:cs="宋体"/>
      <w:sz w:val="28"/>
      <w:lang w:val="en-US" w:eastAsia="zh-CN"/>
    </w:rPr>
  </w:style>
  <w:style w:type="character" w:styleId="1070" w:customStyle="1">
    <w:name w:val="章标题1 Char"/>
    <w:uiPriority w:val="0"/>
    <w:qFormat/>
    <w:rPr>
      <w:rFonts w:hint="eastAsia" w:ascii="宋体" w:hAnsi="宋体" w:eastAsia="宋体" w:cs="宋体"/>
      <w:b/>
      <w:sz w:val="32"/>
      <w:szCs w:val="32"/>
      <w:lang w:val="en-US" w:eastAsia="zh-CN"/>
    </w:rPr>
  </w:style>
  <w:style w:type="character" w:styleId="1071" w:customStyle="1">
    <w:name w:val="标题 2 Char"/>
    <w:uiPriority w:val="0"/>
    <w:qFormat/>
    <w:rPr>
      <w:rFonts w:ascii="Cambria" w:hAnsi="Cambria" w:eastAsia="宋体" w:cs="Times New Roman"/>
      <w:b/>
      <w:bCs/>
      <w:sz w:val="32"/>
      <w:szCs w:val="32"/>
    </w:rPr>
  </w:style>
  <w:style w:type="character" w:styleId="1072" w:customStyle="1">
    <w:name w:val="标题 5 字符"/>
    <w:link w:val="990"/>
    <w:uiPriority w:val="0"/>
    <w:qFormat/>
    <w:rPr>
      <w:b/>
      <w:bCs/>
      <w:i/>
      <w:iCs/>
      <w:sz w:val="26"/>
      <w:szCs w:val="26"/>
    </w:rPr>
  </w:style>
  <w:style w:type="character" w:styleId="1073" w:customStyle="1">
    <w:name w:val="标题 2 字符"/>
    <w:link w:val="987"/>
    <w:uiPriority w:val="0"/>
    <w:qFormat/>
    <w:rPr>
      <w:rFonts w:ascii="Cambria" w:hAnsi="Cambria"/>
      <w:b/>
      <w:bCs/>
      <w:sz w:val="32"/>
      <w:szCs w:val="32"/>
    </w:rPr>
  </w:style>
  <w:style w:type="character" w:styleId="1074" w:customStyle="1">
    <w:name w:val="unnamed4"/>
    <w:uiPriority w:val="0"/>
    <w:qFormat/>
    <w:rPr>
      <w:rFonts w:ascii="Times New Roman" w:hAnsi="Times New Roman" w:eastAsia="宋体" w:cs="Times New Roman"/>
    </w:rPr>
  </w:style>
  <w:style w:type="character" w:styleId="1075" w:customStyle="1">
    <w:name w:val="正文文本 Char1"/>
    <w:uiPriority w:val="99"/>
    <w:semiHidden/>
    <w:qFormat/>
    <w:rPr>
      <w:rFonts w:ascii="Times New Roman" w:hAnsi="Times New Roman" w:eastAsia="宋体" w:cs="Times New Roman"/>
      <w:szCs w:val="20"/>
    </w:rPr>
  </w:style>
  <w:style w:type="character" w:styleId="1076" w:customStyle="1">
    <w:name w:val="标题 1 字符"/>
    <w:link w:val="986"/>
    <w:uiPriority w:val="0"/>
    <w:qFormat/>
    <w:rPr>
      <w:b/>
      <w:bCs/>
      <w:sz w:val="44"/>
      <w:szCs w:val="44"/>
    </w:rPr>
  </w:style>
  <w:style w:type="character" w:styleId="1077" w:customStyle="1">
    <w:name w:val="font101"/>
    <w:uiPriority w:val="0"/>
    <w:qFormat/>
    <w:rPr>
      <w:rFonts w:hint="eastAsia" w:ascii="宋体" w:hAnsi="宋体" w:eastAsia="宋体" w:cs="宋体"/>
      <w:color w:val="ff0000"/>
      <w:sz w:val="20"/>
      <w:szCs w:val="20"/>
      <w:u w:val="none"/>
    </w:rPr>
  </w:style>
  <w:style w:type="character" w:styleId="1078" w:customStyle="1">
    <w:name w:val="font31"/>
    <w:uiPriority w:val="0"/>
    <w:qFormat/>
    <w:rPr>
      <w:rFonts w:hint="default" w:ascii="Arial" w:hAnsi="Arial" w:eastAsia="宋体" w:cs="Arial"/>
      <w:color w:val="000000"/>
      <w:sz w:val="20"/>
      <w:szCs w:val="20"/>
      <w:u w:val="none"/>
    </w:rPr>
  </w:style>
  <w:style w:type="character" w:styleId="1079" w:customStyle="1">
    <w:name w:val="NormalCharacter"/>
    <w:uiPriority w:val="99"/>
    <w:qFormat/>
  </w:style>
  <w:style w:type="character" w:styleId="1080" w:customStyle="1">
    <w:name w:val="--规划正文 Char1"/>
    <w:uiPriority w:val="0"/>
    <w:qFormat/>
    <w:rPr>
      <w:rFonts w:hint="eastAsia" w:ascii="宋体" w:hAnsi="宋体" w:eastAsia="宋体" w:cs="宋体"/>
      <w:sz w:val="21"/>
      <w:lang w:val="en-US" w:eastAsia="zh-CN"/>
    </w:rPr>
  </w:style>
  <w:style w:type="character" w:styleId="1081" w:customStyle="1">
    <w:name w:val="info4"/>
    <w:uiPriority w:val="0"/>
    <w:qFormat/>
    <w:rPr>
      <w:rFonts w:ascii="Times New Roman" w:hAnsi="Times New Roman" w:eastAsia="宋体" w:cs="Times New Roman"/>
    </w:rPr>
  </w:style>
  <w:style w:type="character" w:styleId="1082" w:customStyle="1">
    <w:name w:val="stylelianjie1"/>
    <w:basedOn w:val="995"/>
    <w:uiPriority w:val="0"/>
    <w:qFormat/>
  </w:style>
  <w:style w:type="character" w:styleId="1083" w:customStyle="1">
    <w:name w:val="mode"/>
    <w:uiPriority w:val="0"/>
    <w:qFormat/>
    <w:rPr>
      <w:rFonts w:ascii="Times New Roman" w:hAnsi="Times New Roman" w:eastAsia="宋体" w:cs="Times New Roman"/>
    </w:rPr>
  </w:style>
  <w:style w:type="character" w:styleId="1084" w:customStyle="1">
    <w:name w:val="标题 1 Char"/>
    <w:uiPriority w:val="0"/>
    <w:qFormat/>
    <w:rPr>
      <w:b/>
      <w:bCs/>
      <w:sz w:val="44"/>
      <w:szCs w:val="44"/>
    </w:rPr>
  </w:style>
  <w:style w:type="character" w:styleId="1085" w:customStyle="1">
    <w:name w:val="HTML 预设格式 字符"/>
    <w:link w:val="1017"/>
    <w:uiPriority w:val="0"/>
    <w:qFormat/>
    <w:rPr>
      <w:rFonts w:ascii="Courier New" w:hAnsi="Courier New"/>
      <w:szCs w:val="24"/>
    </w:rPr>
  </w:style>
  <w:style w:type="character" w:styleId="1086" w:customStyle="1">
    <w:name w:val="正文文本 字符"/>
    <w:link w:val="1001"/>
    <w:uiPriority w:val="0"/>
    <w:qFormat/>
  </w:style>
  <w:style w:type="character" w:styleId="1087" w:customStyle="1">
    <w:name w:val="批注主题 字符"/>
    <w:link w:val="1020"/>
    <w:uiPriority w:val="0"/>
    <w:qFormat/>
    <w:rPr>
      <w:rFonts w:ascii="Times New Roman" w:hAnsi="Times New Roman" w:eastAsia="宋体" w:cs="Times New Roman"/>
      <w:b/>
      <w:bCs/>
      <w:sz w:val="21"/>
      <w:szCs w:val="24"/>
    </w:rPr>
  </w:style>
  <w:style w:type="character" w:styleId="1088" w:customStyle="1">
    <w:name w:val="标题 4 Char"/>
    <w:uiPriority w:val="0"/>
    <w:qFormat/>
    <w:rPr>
      <w:rFonts w:ascii="Cambria" w:hAnsi="Cambria" w:eastAsia="宋体" w:cs="Times New Roman"/>
      <w:b/>
      <w:bCs/>
      <w:sz w:val="28"/>
      <w:szCs w:val="28"/>
    </w:rPr>
  </w:style>
  <w:style w:type="character" w:styleId="1089" w:customStyle="1">
    <w:name w:val="font"/>
    <w:uiPriority w:val="0"/>
    <w:qFormat/>
    <w:rPr>
      <w:rFonts w:ascii="Times New Roman" w:hAnsi="Times New Roman" w:eastAsia="宋体" w:cs="Times New Roman"/>
    </w:rPr>
  </w:style>
  <w:style w:type="character" w:styleId="1090" w:customStyle="1">
    <w:name w:val="proddescription"/>
    <w:uiPriority w:val="0"/>
    <w:qFormat/>
    <w:rPr>
      <w:rFonts w:ascii="Times New Roman" w:hAnsi="Times New Roman" w:eastAsia="宋体" w:cs="Times New Roman"/>
    </w:rPr>
  </w:style>
  <w:style w:type="character" w:styleId="1091" w:customStyle="1">
    <w:name w:val="日期 字符"/>
    <w:link w:val="1006"/>
    <w:uiPriority w:val="0"/>
    <w:qFormat/>
    <w:rPr>
      <w:rFonts w:ascii="Times New Roman" w:hAnsi="Times New Roman" w:eastAsia="宋体" w:cs="Times New Roman"/>
      <w:szCs w:val="20"/>
    </w:rPr>
  </w:style>
  <w:style w:type="character" w:styleId="1092" w:customStyle="1">
    <w:name w:val="15"/>
    <w:uiPriority w:val="0"/>
    <w:qFormat/>
    <w:rPr>
      <w:rFonts w:hint="default" w:ascii="Times New Roman" w:hAnsi="Times New Roman" w:eastAsia="宋体" w:cs="Times New Roman"/>
      <w:color w:val="0000ff"/>
      <w:u w:val="single"/>
    </w:rPr>
  </w:style>
  <w:style w:type="character" w:styleId="1093" w:customStyle="1">
    <w:name w:val="标题 3 Char"/>
    <w:uiPriority w:val="0"/>
    <w:qFormat/>
    <w:rPr>
      <w:b/>
      <w:bCs/>
      <w:sz w:val="32"/>
      <w:szCs w:val="32"/>
    </w:rPr>
  </w:style>
  <w:style w:type="character" w:styleId="1094" w:customStyle="1">
    <w:name w:val="font81"/>
    <w:uiPriority w:val="0"/>
    <w:qFormat/>
    <w:rPr>
      <w:rFonts w:hint="default" w:ascii="Arial" w:hAnsi="Arial" w:eastAsia="宋体" w:cs="Arial"/>
      <w:b/>
      <w:color w:val="000000"/>
      <w:sz w:val="20"/>
      <w:szCs w:val="20"/>
      <w:u w:val="none"/>
    </w:rPr>
  </w:style>
  <w:style w:type="character" w:styleId="1095" w:customStyle="1">
    <w:name w:val="批注框文本 字符"/>
    <w:link w:val="1008"/>
    <w:uiPriority w:val="0"/>
    <w:qFormat/>
    <w:rPr>
      <w:rFonts w:ascii="Times New Roman" w:hAnsi="Times New Roman" w:eastAsia="宋体" w:cs="Times New Roman"/>
      <w:sz w:val="18"/>
      <w:szCs w:val="18"/>
    </w:rPr>
  </w:style>
  <w:style w:type="character" w:styleId="1096" w:customStyle="1">
    <w:name w:val="font01"/>
    <w:uiPriority w:val="0"/>
    <w:qFormat/>
    <w:rPr>
      <w:rFonts w:hint="eastAsia" w:ascii="宋体" w:hAnsi="宋体" w:eastAsia="宋体" w:cs="宋体"/>
      <w:b/>
      <w:color w:val="000000"/>
      <w:sz w:val="24"/>
      <w:szCs w:val="24"/>
      <w:u w:val="none"/>
    </w:rPr>
  </w:style>
  <w:style w:type="character" w:styleId="1097" w:customStyle="1">
    <w:name w:val="第*章 Char"/>
    <w:uiPriority w:val="0"/>
    <w:qFormat/>
    <w:rPr>
      <w:rFonts w:hint="default" w:ascii="Arial" w:hAnsi="Arial" w:eastAsia="黑体" w:cs="Arial"/>
      <w:b/>
      <w:sz w:val="32"/>
      <w:szCs w:val="32"/>
    </w:rPr>
  </w:style>
  <w:style w:type="character" w:styleId="1098" w:customStyle="1">
    <w:name w:val="标题 3 字符"/>
    <w:link w:val="988"/>
    <w:uiPriority w:val="0"/>
    <w:qFormat/>
    <w:rPr>
      <w:b/>
      <w:sz w:val="21"/>
      <w:szCs w:val="32"/>
    </w:rPr>
  </w:style>
  <w:style w:type="character" w:styleId="1099" w:customStyle="1">
    <w:name w:val="标题 6 字符"/>
    <w:link w:val="991"/>
    <w:uiPriority w:val="0"/>
    <w:qFormat/>
    <w:rPr>
      <w:rFonts w:ascii="Arial" w:hAnsi="Arial" w:eastAsia="黑体"/>
      <w:b/>
      <w:sz w:val="24"/>
      <w:szCs w:val="24"/>
    </w:rPr>
  </w:style>
  <w:style w:type="character" w:styleId="1100" w:customStyle="1">
    <w:name w:val="标题 5 Char"/>
    <w:uiPriority w:val="0"/>
    <w:qFormat/>
    <w:rPr>
      <w:b/>
      <w:bCs/>
      <w:sz w:val="28"/>
      <w:szCs w:val="28"/>
    </w:rPr>
  </w:style>
  <w:style w:type="character" w:styleId="1101" w:customStyle="1">
    <w:name w:val="正文文本缩进 2 字符"/>
    <w:link w:val="1007"/>
    <w:uiPriority w:val="0"/>
    <w:qFormat/>
    <w:rPr>
      <w:rFonts w:ascii="宋体" w:hAnsi="宋体" w:eastAsia="宋体" w:cs="Times New Roman"/>
      <w:color w:val="ff0000"/>
      <w:sz w:val="24"/>
      <w:szCs w:val="20"/>
    </w:rPr>
  </w:style>
  <w:style w:type="character" w:styleId="1102" w:customStyle="1">
    <w:name w:val="font2"/>
    <w:uiPriority w:val="0"/>
    <w:qFormat/>
    <w:rPr>
      <w:rFonts w:ascii="Times New Roman" w:hAnsi="Times New Roman" w:eastAsia="宋体" w:cs="Times New Roman"/>
    </w:rPr>
  </w:style>
  <w:style w:type="character" w:styleId="1103" w:customStyle="1">
    <w:name w:val="font51"/>
    <w:basedOn w:val="995"/>
    <w:uiPriority w:val="0"/>
    <w:qFormat/>
    <w:rPr>
      <w:rFonts w:hint="default" w:ascii="Times New Roman" w:hAnsi="Times New Roman" w:eastAsia="宋体" w:cs="Times New Roman"/>
      <w:color w:val="000000"/>
      <w:sz w:val="24"/>
      <w:szCs w:val="24"/>
      <w:u w:val="none"/>
    </w:rPr>
  </w:style>
  <w:style w:type="character" w:styleId="1104" w:customStyle="1">
    <w:name w:val="四号 Char"/>
    <w:uiPriority w:val="0"/>
    <w:qFormat/>
    <w:rPr>
      <w:rFonts w:hint="eastAsia" w:ascii="楷体_GB2312" w:hAnsi="Times New Roman" w:eastAsia="楷体_GB2312" w:cs="楷体_GB2312"/>
      <w:sz w:val="24"/>
      <w:lang w:val="en-US" w:eastAsia="zh-CN"/>
    </w:rPr>
  </w:style>
  <w:style w:type="character" w:styleId="1105" w:customStyle="1">
    <w:name w:val="font91"/>
    <w:uiPriority w:val="0"/>
    <w:qFormat/>
    <w:rPr>
      <w:rFonts w:hint="eastAsia" w:ascii="宋体" w:hAnsi="宋体" w:eastAsia="宋体" w:cs="宋体"/>
      <w:color w:val="000000"/>
      <w:sz w:val="20"/>
      <w:szCs w:val="20"/>
      <w:u w:val="none"/>
    </w:rPr>
  </w:style>
  <w:style w:type="character" w:styleId="1106" w:customStyle="1">
    <w:name w:val="unnamed3"/>
    <w:uiPriority w:val="0"/>
    <w:qFormat/>
    <w:rPr>
      <w:rFonts w:ascii="Times New Roman" w:hAnsi="Times New Roman" w:eastAsia="宋体" w:cs="Times New Roman"/>
    </w:rPr>
  </w:style>
  <w:style w:type="character" w:styleId="1107" w:customStyle="1">
    <w:name w:val="页眉 字符"/>
    <w:link w:val="1011"/>
    <w:uiPriority w:val="0"/>
    <w:qFormat/>
    <w:rPr>
      <w:sz w:val="18"/>
      <w:szCs w:val="18"/>
    </w:rPr>
  </w:style>
  <w:style w:type="character" w:styleId="1108" w:customStyle="1">
    <w:name w:val="纯文本 Char1"/>
    <w:uiPriority w:val="99"/>
    <w:semiHidden/>
    <w:qFormat/>
    <w:rPr>
      <w:rFonts w:ascii="宋体" w:hAnsi="Courier New" w:eastAsia="宋体" w:cs="Courier New"/>
      <w:szCs w:val="21"/>
    </w:rPr>
  </w:style>
  <w:style w:type="character" w:styleId="1109" w:customStyle="1">
    <w:name w:val="标题 9 字符"/>
    <w:link w:val="994"/>
    <w:uiPriority w:val="0"/>
    <w:qFormat/>
    <w:rPr>
      <w:rFonts w:ascii="Arial" w:hAnsi="Arial" w:eastAsia="黑体"/>
      <w:sz w:val="21"/>
      <w:szCs w:val="24"/>
    </w:rPr>
  </w:style>
  <w:style w:type="character" w:styleId="1110" w:customStyle="1">
    <w:name w:val="gongsi12"/>
    <w:basedOn w:val="995"/>
    <w:uiPriority w:val="0"/>
    <w:qFormat/>
  </w:style>
  <w:style w:type="character" w:styleId="1111" w:customStyle="1">
    <w:name w:val="正文文本 2 字符"/>
    <w:link w:val="1016"/>
    <w:uiPriority w:val="0"/>
    <w:qFormat/>
    <w:rPr>
      <w:sz w:val="21"/>
      <w:szCs w:val="24"/>
    </w:rPr>
  </w:style>
  <w:style w:type="character" w:styleId="1112" w:customStyle="1">
    <w:name w:val="Plain Text Char"/>
    <w:link w:val="1113"/>
    <w:uiPriority w:val="0"/>
    <w:qFormat/>
    <w:rPr>
      <w:rFonts w:ascii="宋体" w:hAnsi="Courier New"/>
      <w:sz w:val="28"/>
      <w:szCs w:val="24"/>
    </w:rPr>
  </w:style>
  <w:style w:type="paragraph" w:styleId="1113" w:customStyle="1">
    <w:name w:val="纯文本1"/>
    <w:basedOn w:val="985"/>
    <w:link w:val="1112"/>
    <w:uiPriority w:val="0"/>
    <w:qFormat/>
    <w:rPr>
      <w:rFonts w:ascii="宋体" w:hAnsi="Courier New"/>
      <w:sz w:val="28"/>
      <w:szCs w:val="24"/>
      <w:lang w:val="zh-CN"/>
    </w:rPr>
  </w:style>
  <w:style w:type="character" w:styleId="1114" w:customStyle="1">
    <w:name w:val="标题 3 Char Char"/>
    <w:uiPriority w:val="0"/>
    <w:qFormat/>
    <w:rPr>
      <w:rFonts w:hint="eastAsia" w:ascii="宋体" w:hAnsi="宋体" w:eastAsia="宋体" w:cs="宋体"/>
      <w:b/>
      <w:sz w:val="32"/>
      <w:szCs w:val="32"/>
      <w:lang w:val="en-US" w:eastAsia="zh-CN"/>
    </w:rPr>
  </w:style>
  <w:style w:type="character" w:styleId="1115" w:customStyle="1">
    <w:name w:val="gray6"/>
    <w:uiPriority w:val="0"/>
    <w:qFormat/>
    <w:rPr>
      <w:rFonts w:ascii="Times New Roman" w:hAnsi="Times New Roman" w:eastAsia="宋体" w:cs="Times New Roman"/>
    </w:rPr>
  </w:style>
  <w:style w:type="character" w:styleId="1116" w:customStyle="1">
    <w:name w:val="正文文本 3 字符"/>
    <w:link w:val="1000"/>
    <w:uiPriority w:val="0"/>
    <w:qFormat/>
    <w:rPr>
      <w:sz w:val="16"/>
      <w:szCs w:val="24"/>
    </w:rPr>
  </w:style>
  <w:style w:type="character" w:styleId="1117" w:customStyle="1">
    <w:name w:val="正文缩进 字符"/>
    <w:link w:val="997"/>
    <w:uiPriority w:val="0"/>
    <w:qFormat/>
    <w:rPr>
      <w:rFonts w:eastAsia="楷体_GB2312"/>
      <w:sz w:val="24"/>
    </w:rPr>
  </w:style>
  <w:style w:type="character" w:styleId="1118" w:customStyle="1">
    <w:name w:val="style9"/>
    <w:uiPriority w:val="0"/>
    <w:qFormat/>
    <w:rPr>
      <w:rFonts w:ascii="Times New Roman" w:hAnsi="Times New Roman" w:eastAsia="宋体" w:cs="Times New Roman"/>
    </w:rPr>
  </w:style>
  <w:style w:type="character" w:styleId="1119" w:customStyle="1">
    <w:name w:val="标题 7 字符"/>
    <w:link w:val="992"/>
    <w:uiPriority w:val="0"/>
    <w:qFormat/>
    <w:rPr>
      <w:b/>
      <w:sz w:val="24"/>
      <w:szCs w:val="24"/>
    </w:rPr>
  </w:style>
  <w:style w:type="character" w:styleId="1120" w:customStyle="1">
    <w:name w:val="font61"/>
    <w:basedOn w:val="995"/>
    <w:uiPriority w:val="0"/>
    <w:qFormat/>
    <w:rPr>
      <w:rFonts w:hint="default" w:ascii="方正仿宋简体" w:hAnsi="方正仿宋简体" w:eastAsia="方正仿宋简体" w:cs="方正仿宋简体"/>
      <w:color w:val="000000"/>
      <w:sz w:val="24"/>
      <w:szCs w:val="24"/>
      <w:u w:val="none"/>
    </w:rPr>
  </w:style>
  <w:style w:type="character" w:styleId="1121" w:customStyle="1">
    <w:name w:val="页脚 字符"/>
    <w:link w:val="1009"/>
    <w:uiPriority w:val="99"/>
    <w:qFormat/>
    <w:rPr>
      <w:sz w:val="18"/>
      <w:szCs w:val="18"/>
    </w:rPr>
  </w:style>
  <w:style w:type="character" w:styleId="1122" w:customStyle="1">
    <w:name w:val="正文文本缩进 Char1"/>
    <w:uiPriority w:val="99"/>
    <w:semiHidden/>
    <w:qFormat/>
    <w:rPr>
      <w:sz w:val="21"/>
    </w:rPr>
  </w:style>
  <w:style w:type="character" w:styleId="1123" w:customStyle="1">
    <w:name w:val="font21"/>
    <w:uiPriority w:val="0"/>
    <w:qFormat/>
    <w:rPr>
      <w:rFonts w:hint="eastAsia" w:ascii="宋体" w:hAnsi="宋体" w:eastAsia="宋体" w:cs="宋体"/>
      <w:color w:val="000000"/>
      <w:sz w:val="18"/>
      <w:szCs w:val="18"/>
    </w:rPr>
  </w:style>
  <w:style w:type="character" w:styleId="1124" w:customStyle="1">
    <w:name w:val="样式 小三 加粗"/>
    <w:uiPriority w:val="0"/>
    <w:qFormat/>
    <w:rPr>
      <w:rFonts w:hint="eastAsia" w:ascii="宋体" w:hAnsi="宋体" w:eastAsia="宋体" w:cs="宋体"/>
      <w:b/>
      <w:sz w:val="32"/>
    </w:rPr>
  </w:style>
  <w:style w:type="character" w:styleId="1125" w:customStyle="1">
    <w:name w:val="--规划正文 Char Char"/>
    <w:uiPriority w:val="0"/>
    <w:qFormat/>
    <w:rPr>
      <w:rFonts w:hint="eastAsia" w:ascii="宋体" w:hAnsi="宋体" w:eastAsia="宋体" w:cs="宋体"/>
      <w:sz w:val="24"/>
      <w:szCs w:val="24"/>
      <w:lang w:val="en-US" w:eastAsia="zh-CN"/>
    </w:rPr>
  </w:style>
  <w:style w:type="character" w:styleId="1126" w:customStyle="1">
    <w:name w:val="apple-style-span"/>
    <w:uiPriority w:val="0"/>
    <w:qFormat/>
  </w:style>
  <w:style w:type="paragraph" w:styleId="1127" w:customStyle="1">
    <w:name w:val="正文首行缩进1"/>
    <w:basedOn w:val="1001"/>
    <w:uiPriority w:val="0"/>
    <w:qFormat/>
    <w:pPr>
      <w:ind w:firstLine="420"/>
    </w:pPr>
    <w:rPr>
      <w:rFonts w:ascii="Times New Roman" w:hAnsi="Times New Roman"/>
      <w:sz w:val="20"/>
      <w:szCs w:val="24"/>
    </w:rPr>
  </w:style>
  <w:style w:type="paragraph" w:styleId="1128" w:customStyle="1">
    <w:name w:val="正文 1.1"/>
    <w:basedOn w:val="985"/>
    <w:next w:val="1129"/>
    <w:uiPriority w:val="0"/>
    <w:qFormat/>
    <w:pPr>
      <w:ind w:left="980" w:hanging="980"/>
      <w:spacing w:line="360" w:lineRule="auto"/>
      <w:outlineLvl w:val="1"/>
    </w:pPr>
    <w:rPr>
      <w:rFonts w:ascii="仿宋" w:hAnsi="仿宋" w:eastAsia="仿宋"/>
      <w:b/>
      <w:sz w:val="28"/>
      <w:szCs w:val="21"/>
    </w:rPr>
  </w:style>
  <w:style w:type="paragraph" w:styleId="1129" w:customStyle="1">
    <w:name w:val="正文 1.1.1"/>
    <w:basedOn w:val="985"/>
    <w:next w:val="985"/>
    <w:uiPriority w:val="0"/>
    <w:qFormat/>
    <w:pPr>
      <w:spacing w:line="360" w:lineRule="auto"/>
      <w:tabs>
        <w:tab w:val="left" w:pos="851" w:leader="none"/>
      </w:tabs>
      <w:outlineLvl w:val="2"/>
    </w:pPr>
    <w:rPr>
      <w:rFonts w:ascii="宋体" w:hAnsi="宋体"/>
      <w:color w:val="ff0000"/>
      <w:sz w:val="28"/>
      <w:szCs w:val="21"/>
    </w:rPr>
  </w:style>
  <w:style w:type="paragraph" w:styleId="1130" w:customStyle="1">
    <w:name w:val="正文2"/>
    <w:basedOn w:val="985"/>
    <w:uiPriority w:val="0"/>
    <w:qFormat/>
    <w:pPr>
      <w:ind w:firstLine="200"/>
      <w:jc w:val="left"/>
      <w:spacing w:after="160" w:line="360" w:lineRule="auto"/>
      <w:widowControl/>
    </w:pPr>
    <w:rPr>
      <w:rFonts w:ascii="Verdana" w:hAnsi="Verdana" w:eastAsia="黑体"/>
      <w:lang w:eastAsia="en-US"/>
    </w:rPr>
  </w:style>
  <w:style w:type="paragraph" w:styleId="1131">
    <w:name w:val="List Paragraph"/>
    <w:basedOn w:val="985"/>
    <w:uiPriority w:val="34"/>
    <w:qFormat/>
    <w:pPr>
      <w:ind w:firstLine="420"/>
      <w:jc w:val="left"/>
      <w:widowControl/>
    </w:pPr>
    <w:rPr>
      <w:sz w:val="24"/>
      <w:szCs w:val="24"/>
    </w:rPr>
  </w:style>
  <w:style w:type="paragraph" w:styleId="1132" w:customStyle="1">
    <w:name w:val="_Style 4"/>
    <w:basedOn w:val="985"/>
    <w:uiPriority w:val="0"/>
    <w:qFormat/>
    <w:pPr>
      <w:ind w:left="420" w:hanging="420"/>
      <w:tabs>
        <w:tab w:val="left" w:pos="420" w:leader="none"/>
      </w:tabs>
    </w:pPr>
    <w:rPr>
      <w:sz w:val="24"/>
      <w:szCs w:val="24"/>
    </w:rPr>
  </w:style>
  <w:style w:type="paragraph" w:styleId="1133" w:customStyle="1">
    <w:name w:val="Plain Text1"/>
    <w:basedOn w:val="985"/>
    <w:uiPriority w:val="0"/>
    <w:qFormat/>
    <w:rPr>
      <w:rFonts w:ascii="宋体" w:hAnsi="Courier New" w:eastAsia="楷体_GB2312"/>
      <w:sz w:val="28"/>
      <w:szCs w:val="22"/>
    </w:rPr>
  </w:style>
  <w:style w:type="paragraph" w:styleId="1134" w:customStyle="1">
    <w:name w:val="正文1"/>
    <w:basedOn w:val="985"/>
    <w:next w:val="985"/>
    <w:uiPriority w:val="0"/>
    <w:qFormat/>
    <w:pPr>
      <w:ind w:left="420" w:firstLine="527"/>
      <w:spacing w:before="120" w:line="360" w:lineRule="auto"/>
    </w:pPr>
    <w:rPr>
      <w:rFonts w:ascii="宋体" w:hAnsi="宋体"/>
    </w:rPr>
  </w:style>
  <w:style w:type="paragraph" w:styleId="1135" w:customStyle="1">
    <w:name w:val="纯文本3"/>
    <w:basedOn w:val="985"/>
    <w:uiPriority w:val="0"/>
    <w:qFormat/>
    <w:rPr>
      <w:rFonts w:ascii="宋体" w:hAnsi="Courier New" w:eastAsia="楷体_GB2312"/>
      <w:sz w:val="28"/>
    </w:rPr>
  </w:style>
  <w:style w:type="paragraph" w:styleId="1136" w:customStyle="1">
    <w:name w:val="Char Char Char"/>
    <w:basedOn w:val="998"/>
    <w:uiPriority w:val="0"/>
    <w:qFormat/>
    <w:pPr>
      <w:spacing w:line="360" w:lineRule="auto"/>
      <w:shd w:val="clear" w:color="auto" w:fill="000080"/>
    </w:pPr>
    <w:rPr>
      <w:rFonts w:ascii="Tahoma" w:hAnsi="Tahoma"/>
      <w:sz w:val="24"/>
      <w:szCs w:val="24"/>
    </w:rPr>
  </w:style>
  <w:style w:type="paragraph" w:styleId="1137" w:customStyle="1">
    <w:name w:val="Char Char Char Char"/>
    <w:basedOn w:val="998"/>
    <w:uiPriority w:val="0"/>
    <w:qFormat/>
    <w:pPr>
      <w:spacing w:line="360" w:lineRule="auto"/>
      <w:shd w:val="clear" w:color="auto" w:fill="000080"/>
    </w:pPr>
    <w:rPr>
      <w:rFonts w:ascii="Times New Roman"/>
      <w:sz w:val="24"/>
      <w:szCs w:val="20"/>
    </w:rPr>
  </w:style>
  <w:style w:type="paragraph" w:styleId="1138" w:customStyle="1">
    <w:name w:val="列出段落1"/>
    <w:basedOn w:val="985"/>
    <w:uiPriority w:val="34"/>
    <w:qFormat/>
    <w:pPr>
      <w:ind w:firstLine="420"/>
    </w:pPr>
    <w:rPr>
      <w:rFonts w:ascii="Calibri" w:hAnsi="Calibri"/>
      <w:szCs w:val="22"/>
    </w:rPr>
  </w:style>
  <w:style w:type="paragraph" w:styleId="1139" w:customStyle="1">
    <w:name w:val="Char Char Char1 Char Char Char Char"/>
    <w:basedOn w:val="985"/>
    <w:uiPriority w:val="0"/>
    <w:qFormat/>
    <w:pPr>
      <w:jc w:val="left"/>
      <w:spacing w:after="160" w:line="240" w:lineRule="exact"/>
      <w:widowControl/>
    </w:pPr>
    <w:rPr>
      <w:sz w:val="24"/>
      <w:szCs w:val="24"/>
    </w:rPr>
  </w:style>
  <w:style w:type="paragraph" w:styleId="1140" w:customStyle="1">
    <w:name w:val="列项——（一级）"/>
    <w:basedOn w:val="985"/>
    <w:uiPriority w:val="0"/>
    <w:qFormat/>
    <w:pPr>
      <w:numPr>
        <w:ilvl w:val="0"/>
        <w:numId w:val="1"/>
      </w:numPr>
    </w:pPr>
    <w:rPr>
      <w:rFonts w:hint="eastAsia" w:ascii="宋体"/>
      <w:szCs w:val="22"/>
    </w:rPr>
  </w:style>
  <w:style w:type="paragraph" w:styleId="1141" w:customStyle="1">
    <w:name w:val="Char Char Char Char Char Char Char Char Char1 Char Char Char Char"/>
    <w:basedOn w:val="998"/>
    <w:uiPriority w:val="0"/>
    <w:qFormat/>
    <w:pPr>
      <w:spacing w:line="360" w:lineRule="auto"/>
      <w:shd w:val="clear" w:color="auto" w:fill="000080"/>
    </w:pPr>
    <w:rPr>
      <w:rFonts w:ascii="Times New Roman" w:eastAsia="楷体_GB2312"/>
      <w:sz w:val="26"/>
      <w:szCs w:val="20"/>
    </w:rPr>
  </w:style>
  <w:style w:type="paragraph" w:styleId="1142" w:customStyle="1">
    <w:name w:val="正文空2格  1."/>
    <w:basedOn w:val="985"/>
    <w:uiPriority w:val="0"/>
    <w:qFormat/>
    <w:pPr>
      <w:ind w:firstLine="480"/>
      <w:spacing w:line="360" w:lineRule="auto"/>
    </w:pPr>
    <w:rPr>
      <w:rFonts w:ascii="宋体" w:eastAsia="仿宋" w:cs="宋体"/>
      <w:sz w:val="28"/>
    </w:rPr>
  </w:style>
  <w:style w:type="paragraph" w:styleId="1143" w:customStyle="1">
    <w:name w:val="纯文本2"/>
    <w:basedOn w:val="985"/>
    <w:uiPriority w:val="0"/>
    <w:qFormat/>
    <w:rPr>
      <w:rFonts w:ascii="宋体" w:hAnsi="Courier New" w:eastAsia="楷体_GB2312"/>
      <w:sz w:val="28"/>
    </w:rPr>
  </w:style>
  <w:style w:type="paragraph" w:styleId="1144" w:customStyle="1">
    <w:name w:val="列出段落11"/>
    <w:basedOn w:val="985"/>
    <w:uiPriority w:val="0"/>
    <w:qFormat/>
    <w:pPr>
      <w:ind w:firstLine="420"/>
    </w:pPr>
  </w:style>
  <w:style w:type="paragraph" w:styleId="1145" w:customStyle="1">
    <w:name w:val="Char Char Char Char1"/>
    <w:basedOn w:val="985"/>
    <w:uiPriority w:val="0"/>
    <w:qFormat/>
    <w:pPr>
      <w:jc w:val="left"/>
      <w:widowControl/>
    </w:pPr>
    <w:rPr>
      <w:rFonts w:ascii="Tahoma" w:hAnsi="Tahoma"/>
      <w:sz w:val="24"/>
    </w:rPr>
  </w:style>
  <w:style w:type="paragraph" w:styleId="1146" w:customStyle="1">
    <w:name w:val="可研正文"/>
    <w:basedOn w:val="985"/>
    <w:uiPriority w:val="0"/>
    <w:qFormat/>
    <w:pPr>
      <w:ind w:left="987"/>
      <w:tabs>
        <w:tab w:val="left" w:pos="987" w:leader="none"/>
      </w:tabs>
    </w:pPr>
    <w:rPr>
      <w:rFonts w:ascii="仿宋_GB2312" w:hAnsi="宋体" w:eastAsia="仿宋_GB2312"/>
      <w:bCs/>
      <w:szCs w:val="28"/>
    </w:rPr>
  </w:style>
  <w:style w:type="paragraph" w:styleId="1147" w:customStyle="1">
    <w:name w:val="Char Char Char Char Char Char Char Char Char1 Char"/>
    <w:basedOn w:val="998"/>
    <w:uiPriority w:val="0"/>
    <w:qFormat/>
    <w:pPr>
      <w:spacing w:line="360" w:lineRule="auto"/>
      <w:shd w:val="clear" w:color="auto" w:fill="000080"/>
    </w:pPr>
    <w:rPr>
      <w:rFonts w:ascii="Tahoma" w:hAnsi="Tahoma"/>
      <w:sz w:val="24"/>
      <w:szCs w:val="24"/>
    </w:rPr>
  </w:style>
  <w:style w:type="paragraph" w:styleId="1148" w:customStyle="1">
    <w:name w:val="p0"/>
    <w:basedOn w:val="985"/>
    <w:uiPriority w:val="0"/>
    <w:qFormat/>
    <w:pPr>
      <w:widowControl/>
    </w:pPr>
    <w:rPr>
      <w:szCs w:val="21"/>
    </w:rPr>
  </w:style>
  <w:style w:type="paragraph" w:styleId="1149" w:customStyle="1">
    <w:name w:val="列出段落2"/>
    <w:basedOn w:val="985"/>
    <w:uiPriority w:val="0"/>
    <w:qFormat/>
    <w:pPr>
      <w:ind w:firstLine="420"/>
    </w:pPr>
    <w:rPr>
      <w:szCs w:val="24"/>
    </w:rPr>
  </w:style>
  <w:style w:type="paragraph" w:styleId="1150" w:customStyle="1">
    <w:name w:val="Char"/>
    <w:basedOn w:val="985"/>
    <w:uiPriority w:val="0"/>
    <w:qFormat/>
    <w:pPr>
      <w:ind w:left="420" w:hanging="420"/>
      <w:tabs>
        <w:tab w:val="left" w:pos="420" w:leader="none"/>
      </w:tabs>
    </w:pPr>
    <w:rPr>
      <w:sz w:val="24"/>
      <w:szCs w:val="24"/>
    </w:rPr>
  </w:style>
  <w:style w:type="paragraph" w:styleId="1151" w:customStyle="1">
    <w:name w:val="_Style 2"/>
    <w:basedOn w:val="985"/>
    <w:uiPriority w:val="0"/>
    <w:qFormat/>
    <w:pPr>
      <w:ind w:firstLine="420"/>
    </w:pPr>
    <w:rPr>
      <w:rFonts w:ascii="Calibri" w:hAnsi="Calibri"/>
      <w:szCs w:val="22"/>
    </w:rPr>
  </w:style>
  <w:style w:type="paragraph" w:styleId="1152" w:customStyle="1">
    <w:name w:val="Char1 Char Char Char"/>
    <w:basedOn w:val="985"/>
    <w:uiPriority w:val="0"/>
    <w:qFormat/>
    <w:rPr>
      <w:rFonts w:ascii="Tahoma" w:hAnsi="Tahoma"/>
      <w:sz w:val="24"/>
    </w:rPr>
  </w:style>
  <w:style w:type="paragraph" w:styleId="1153" w:customStyle="1">
    <w:name w:val="纯文本111"/>
    <w:basedOn w:val="985"/>
    <w:uiPriority w:val="0"/>
    <w:qFormat/>
    <w:rPr>
      <w:rFonts w:ascii="宋体" w:hAnsi="Courier New" w:eastAsia="楷体_GB2312"/>
      <w:sz w:val="28"/>
    </w:rPr>
  </w:style>
  <w:style w:type="paragraph" w:styleId="1154" w:customStyle="1">
    <w:name w:val="纯文本11"/>
    <w:basedOn w:val="985"/>
    <w:link w:val="1158"/>
    <w:uiPriority w:val="0"/>
    <w:qFormat/>
    <w:rPr>
      <w:rFonts w:ascii="宋体" w:hAnsi="Courier New" w:eastAsia="楷体_GB2312"/>
      <w:sz w:val="26"/>
      <w:szCs w:val="24"/>
    </w:rPr>
  </w:style>
  <w:style w:type="paragraph" w:styleId="1155" w:customStyle="1">
    <w:name w:val="正文空4格  1）"/>
    <w:basedOn w:val="985"/>
    <w:uiPriority w:val="0"/>
    <w:qFormat/>
    <w:pPr>
      <w:ind w:firstLine="1120"/>
      <w:spacing w:line="360" w:lineRule="auto"/>
    </w:pPr>
    <w:rPr>
      <w:rFonts w:ascii="宋体" w:eastAsia="仿宋" w:cs="宋体"/>
      <w:sz w:val="28"/>
    </w:rPr>
  </w:style>
  <w:style w:type="character" w:styleId="1156" w:customStyle="1">
    <w:name w:val="a正文 Char"/>
    <w:link w:val="1157"/>
    <w:uiPriority w:val="0"/>
    <w:qFormat/>
    <w:rPr>
      <w:color w:val="000000"/>
      <w:sz w:val="24"/>
      <w:szCs w:val="28"/>
    </w:rPr>
  </w:style>
  <w:style w:type="paragraph" w:styleId="1157" w:customStyle="1">
    <w:name w:val="a正文"/>
    <w:basedOn w:val="985"/>
    <w:link w:val="1156"/>
    <w:uiPriority w:val="0"/>
    <w:qFormat/>
    <w:pPr>
      <w:ind w:firstLine="200"/>
      <w:jc w:val="left"/>
      <w:spacing w:line="360" w:lineRule="auto"/>
    </w:pPr>
    <w:rPr>
      <w:color w:val="000000"/>
      <w:sz w:val="24"/>
      <w:szCs w:val="28"/>
      <w:lang w:val="zh-CN"/>
    </w:rPr>
  </w:style>
  <w:style w:type="character" w:styleId="1158" w:customStyle="1">
    <w:name w:val="纯文本 Char Char"/>
    <w:link w:val="1154"/>
    <w:uiPriority w:val="0"/>
    <w:qFormat/>
    <w:rPr>
      <w:rFonts w:ascii="宋体" w:hAnsi="Courier New" w:eastAsia="楷体_GB2312"/>
      <w:sz w:val="26"/>
      <w:szCs w:val="24"/>
    </w:rPr>
  </w:style>
  <w:style w:type="paragraph" w:styleId="1159" w:customStyle="1">
    <w:name w:val="列表段落1"/>
    <w:basedOn w:val="985"/>
    <w:uiPriority w:val="34"/>
    <w:qFormat/>
    <w:pPr>
      <w:ind w:firstLine="420"/>
    </w:pPr>
    <w:rPr>
      <w:rFonts w:ascii="Calibri" w:hAnsi="Calibri"/>
      <w:szCs w:val="22"/>
    </w:rPr>
  </w:style>
  <w:style w:type="character" w:styleId="1160" w:customStyle="1">
    <w:name w:val="fontstyle01"/>
    <w:basedOn w:val="995"/>
    <w:uiPriority w:val="0"/>
    <w:qFormat/>
    <w:rPr>
      <w:rFonts w:hint="eastAsia" w:ascii="宋体" w:hAnsi="宋体" w:eastAsia="宋体"/>
      <w:color w:val="000000"/>
      <w:sz w:val="24"/>
      <w:szCs w:val="24"/>
    </w:rPr>
  </w:style>
  <w:style w:type="table" w:styleId="1161"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62" w:customStyle="1">
    <w:name w:val="正文文本首行缩进 2 字符"/>
    <w:basedOn w:val="1056"/>
    <w:link w:val="1022"/>
    <w:uiPriority w:val="99"/>
    <w:qFormat/>
    <w:rPr>
      <w:rFonts w:ascii="宋体" w:hAnsi="宋体" w:cs="宋体"/>
      <w:sz w:val="21"/>
      <w:szCs w:val="24"/>
    </w:rPr>
  </w:style>
  <w:style w:type="paragraph" w:styleId="1163" w:customStyle="1">
    <w:name w:val="普通(网站)1"/>
    <w:basedOn w:val="985"/>
    <w:uiPriority w:val="0"/>
    <w:qFormat/>
    <w:pPr>
      <w:jc w:val="left"/>
      <w:spacing w:before="100" w:beforeAutospacing="1" w:after="100" w:afterAutospacing="1"/>
      <w:widowControl/>
    </w:pPr>
    <w:rPr>
      <w:rFonts w:ascii="宋体" w:hAnsi="宋体" w:cs="宋体"/>
      <w:sz w:val="24"/>
      <w:szCs w:val="24"/>
    </w:rPr>
  </w:style>
  <w:style w:type="paragraph" w:styleId="1164"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165" w:customStyle="1">
    <w:name w:val="Default"/>
    <w:uiPriority w:val="99"/>
    <w:unhideWhenUsed/>
    <w:qFormat/>
    <w:pPr>
      <w:widowControl w:val="off"/>
    </w:pPr>
    <w:rPr>
      <w:rFonts w:hint="eastAsia" w:ascii="微软雅黑" w:hAnsi="微软雅黑" w:eastAsia="微软雅黑" w:cs="Times New Roman"/>
      <w:color w:val="000000"/>
      <w:sz w:val="24"/>
      <w:szCs w:val="24"/>
      <w:lang w:val="en-US" w:eastAsia="zh-CN" w:bidi="ar-SA"/>
    </w:rPr>
  </w:style>
  <w:style w:type="paragraph" w:styleId="1166" w:customStyle="1">
    <w:name w:val="Heading 2"/>
    <w:basedOn w:val="985"/>
    <w:next w:val="985"/>
    <w:uiPriority w:val="0"/>
    <w:qFormat/>
    <w:pPr>
      <w:jc w:val="center"/>
      <w:keepLines/>
      <w:keepNext/>
    </w:pPr>
    <w:rPr>
      <w:rFonts w:ascii="宋体" w:hAnsi="宋体" w:eastAsia="楷体_GB2312"/>
      <w:b/>
      <w:sz w:val="44"/>
    </w:rPr>
  </w:style>
  <w:style w:type="paragraph" w:styleId="1167" w:customStyle="1">
    <w:name w:val="正文文本缩进1"/>
    <w:basedOn w:val="985"/>
    <w:next w:val="985"/>
    <w:uiPriority w:val="0"/>
    <w:qFormat/>
    <w:pPr>
      <w:ind w:left="420"/>
      <w:spacing w:after="120"/>
    </w:p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5A0A8B-DDA4-49FE-AC3C-33DD1857DF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张徐莹</cp:lastModifiedBy>
  <cp:revision>309</cp:revision>
  <dcterms:created xsi:type="dcterms:W3CDTF">2021-02-18T07:31:00Z</dcterms:created>
  <dcterms:modified xsi:type="dcterms:W3CDTF">2026-04-27T09:44:36Z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3F97AD48A32646B3A6DE0C7E9C1D40C1_13</vt:lpwstr>
  </property>
  <property fmtid="{D5CDD505-2E9C-101B-9397-08002B2CF9AE}" pid="4" name="KSOTemplateDocerSaveRecord">
    <vt:lpwstr>eyJoZGlkIjoiOTQ2MjM1MTk2M2NkYzhhOTJhOWZkZGE1ZmQ3ZmFlYzkiLCJ1c2VySWQiOiIxNDk3MDE5Njg4In0=</vt:lpwstr>
  </property>
</Properties>
</file>