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6"/>
        <w:rPr>
          <w:rFonts w:ascii="宋体" w:hAnsi="宋体" w:eastAsia="宋体" w:cs="宋体"/>
          <w:color w:val="auto"/>
          <w:highlight w:val="none"/>
        </w:rPr>
      </w:pPr>
      <w:r/>
      <w:bookmarkStart w:id="40" w:name="_GoBack"/>
      <w:r/>
      <w:r/>
    </w:p>
    <w:p>
      <w:pPr>
        <w:rPr>
          <w:color w:val="auto"/>
          <w:highlight w:val="none"/>
        </w:rPr>
      </w:pPr>
      <w:r>
        <w:rPr>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jc w:val="center"/>
        <w:spacing w:line="360" w:lineRule="auto"/>
        <w:rPr>
          <w:rFonts w:ascii="宋体" w:hAnsi="宋体" w:cs="宋体"/>
          <w:b/>
          <w:color w:val="auto"/>
          <w:sz w:val="72"/>
          <w:highlight w:val="none"/>
        </w:rPr>
      </w:pPr>
      <w:r>
        <w:rPr>
          <w:rFonts w:hint="eastAsia" w:ascii="宋体" w:hAnsi="宋体" w:cs="宋体"/>
          <w:b/>
          <w:color w:val="auto"/>
          <w:sz w:val="72"/>
          <w:highlight w:val="none"/>
        </w:rPr>
        <w:t xml:space="preserve">苏州市政府采购</w:t>
      </w:r>
      <w:r/>
    </w:p>
    <w:p>
      <w:pPr>
        <w:jc w:val="center"/>
        <w:rPr>
          <w:rFonts w:ascii="宋体" w:hAnsi="宋体" w:cs="宋体"/>
          <w:b/>
          <w:color w:val="auto"/>
          <w:sz w:val="72"/>
          <w:highlight w:val="none"/>
        </w:rPr>
      </w:pPr>
      <w:r>
        <w:rPr>
          <w:rFonts w:hint="eastAsia" w:ascii="宋体" w:hAnsi="宋体" w:cs="宋体"/>
          <w:b/>
          <w:color w:val="auto"/>
          <w:sz w:val="72"/>
          <w:highlight w:val="none"/>
        </w:rPr>
        <w:t xml:space="preserve">招标文件</w:t>
      </w:r>
      <w:r/>
    </w:p>
    <w:p>
      <w:pPr>
        <w:jc w:val="cente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 </w:t>
      </w:r>
      <w:r/>
    </w:p>
    <w:p>
      <w:pPr>
        <w:jc w:val="cente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 </w:t>
      </w:r>
      <w:r/>
    </w:p>
    <w:p>
      <w:pPr>
        <w:ind w:left="1920"/>
        <w:spacing w:line="360" w:lineRule="auto"/>
        <w:rPr>
          <w:rFonts w:ascii="宋体" w:hAnsi="宋体" w:cs="宋体"/>
          <w:b/>
          <w:color w:val="auto"/>
          <w:sz w:val="32"/>
          <w:szCs w:val="22"/>
          <w:highlight w:val="none"/>
          <w:lang w:val="zh-CN"/>
        </w:rPr>
      </w:pPr>
      <w:r>
        <w:rPr>
          <w:rFonts w:hint="eastAsia" w:ascii="宋体" w:hAnsi="宋体" w:cs="宋体"/>
          <w:b/>
          <w:color w:val="auto"/>
          <w:sz w:val="32"/>
          <w:szCs w:val="22"/>
          <w:highlight w:val="none"/>
          <w:lang w:val="zh-CN"/>
        </w:rPr>
        <w:t xml:space="preserve"> </w:t>
      </w:r>
      <w:r/>
    </w:p>
    <w:p>
      <w:pPr>
        <w:ind w:left="1200"/>
        <w:keepLines w:val="0"/>
        <w:keepNext w:val="0"/>
        <w:pageBreakBefore w:val="0"/>
        <w:spacing w:line="360" w:lineRule="auto"/>
        <w:widowControl/>
        <w:rPr>
          <w:rFonts w:ascii="宋体" w:hAnsi="宋体" w:cs="宋体"/>
          <w:b/>
          <w:color w:val="auto"/>
          <w:sz w:val="32"/>
          <w:szCs w:val="22"/>
          <w:highlight w:val="none"/>
          <w:lang w:val="zh-CN"/>
        </w:rPr>
      </w:pPr>
      <w:r>
        <w:rPr>
          <w:rFonts w:hint="eastAsia" w:ascii="宋体" w:hAnsi="宋体" w:cs="宋体"/>
          <w:b/>
          <w:color w:val="auto"/>
          <w:sz w:val="32"/>
          <w:szCs w:val="22"/>
          <w:highlight w:val="none"/>
          <w:lang w:val="zh-CN"/>
        </w:rPr>
        <w:t xml:space="preserve">招标编号：</w:t>
      </w:r>
      <w:r>
        <w:rPr>
          <w:rFonts w:hint="eastAsia" w:ascii="宋体" w:hAnsi="宋体" w:cs="宋体"/>
          <w:bCs/>
          <w:color w:val="auto"/>
          <w:sz w:val="32"/>
          <w:szCs w:val="22"/>
          <w:highlight w:val="none"/>
          <w:lang w:val="zh-CN"/>
        </w:rPr>
        <w:t xml:space="preserve">JSZC-320500-LHZX-G2026-0007</w:t>
      </w:r>
      <w:r>
        <w:rPr>
          <w:rFonts w:hint="eastAsia" w:ascii="宋体" w:hAnsi="宋体" w:cs="宋体"/>
          <w:color w:val="auto"/>
          <w:sz w:val="32"/>
          <w:szCs w:val="22"/>
          <w:highlight w:val="none"/>
          <w:lang w:val="zh-CN"/>
        </w:rPr>
        <w:t xml:space="preserve">号</w:t>
      </w:r>
      <w:r/>
    </w:p>
    <w:p>
      <w:pPr>
        <w:ind w:left="1200"/>
        <w:keepLines w:val="0"/>
        <w:keepNext w:val="0"/>
        <w:pageBreakBefore w:val="0"/>
        <w:spacing w:line="360" w:lineRule="auto"/>
        <w:widowControl/>
        <w:rPr>
          <w:rFonts w:ascii="宋体" w:hAnsi="宋体" w:cs="宋体"/>
          <w:bCs/>
          <w:color w:val="auto"/>
          <w:sz w:val="32"/>
          <w:szCs w:val="22"/>
          <w:highlight w:val="none"/>
          <w:lang w:val="zh-CN"/>
        </w:rPr>
      </w:pPr>
      <w:r>
        <w:rPr>
          <w:rFonts w:hint="eastAsia" w:ascii="宋体" w:hAnsi="宋体" w:cs="宋体"/>
          <w:b/>
          <w:color w:val="auto"/>
          <w:sz w:val="32"/>
          <w:szCs w:val="22"/>
          <w:highlight w:val="none"/>
        </w:rPr>
        <w:t xml:space="preserve">招标项目：</w:t>
      </w:r>
      <w:r>
        <w:rPr>
          <w:rFonts w:hint="eastAsia" w:ascii="宋体" w:hAnsi="宋体" w:cs="宋体"/>
          <w:bCs/>
          <w:color w:val="auto"/>
          <w:sz w:val="32"/>
          <w:szCs w:val="22"/>
          <w:highlight w:val="none"/>
          <w:lang w:val="zh-CN"/>
        </w:rPr>
        <w:t xml:space="preserve">2026年度产品质量监督抽查和风险监测项目（原五标段）</w:t>
      </w:r>
      <w:r/>
    </w:p>
    <w:p>
      <w:pPr>
        <w:ind w:left="1200"/>
        <w:keepLines w:val="0"/>
        <w:keepNext w:val="0"/>
        <w:pageBreakBefore w:val="0"/>
        <w:spacing w:line="360" w:lineRule="auto"/>
        <w:widowControl/>
        <w:rPr>
          <w:rFonts w:ascii="宋体" w:hAnsi="宋体" w:cs="宋体"/>
          <w:b/>
          <w:color w:val="auto"/>
          <w:sz w:val="32"/>
          <w:szCs w:val="22"/>
          <w:highlight w:val="none"/>
        </w:rPr>
      </w:pPr>
      <w:r>
        <w:rPr>
          <w:rFonts w:hint="eastAsia" w:ascii="宋体" w:hAnsi="宋体" w:cs="宋体"/>
          <w:b/>
          <w:color w:val="auto"/>
          <w:sz w:val="32"/>
          <w:szCs w:val="22"/>
          <w:highlight w:val="none"/>
        </w:rPr>
        <w:t xml:space="preserve">项目类别：</w:t>
      </w:r>
      <w:r>
        <w:rPr>
          <w:rFonts w:hint="eastAsia" w:ascii="宋体" w:hAnsi="宋体" w:cs="宋体"/>
          <w:bCs/>
          <w:color w:val="auto"/>
          <w:sz w:val="32"/>
          <w:szCs w:val="22"/>
          <w:highlight w:val="none"/>
        </w:rPr>
        <w:t xml:space="preserve">服务类</w:t>
      </w:r>
      <w:r/>
    </w:p>
    <w:p>
      <w:pPr>
        <w:ind w:left="1200"/>
        <w:keepLines w:val="0"/>
        <w:keepNext w:val="0"/>
        <w:pageBreakBefore w:val="0"/>
        <w:spacing w:line="360" w:lineRule="auto"/>
        <w:widowControl/>
        <w:rPr>
          <w:rFonts w:ascii="宋体" w:hAnsi="宋体" w:cs="宋体"/>
          <w:b/>
          <w:color w:val="auto"/>
          <w:sz w:val="32"/>
          <w:szCs w:val="22"/>
          <w:highlight w:val="none"/>
        </w:rPr>
      </w:pPr>
      <w:r>
        <w:rPr>
          <w:rFonts w:hint="eastAsia" w:ascii="宋体" w:hAnsi="宋体" w:cs="宋体"/>
          <w:b/>
          <w:color w:val="auto"/>
          <w:sz w:val="32"/>
          <w:szCs w:val="22"/>
          <w:highlight w:val="none"/>
        </w:rPr>
        <w:t xml:space="preserve">招标单位：</w:t>
      </w:r>
      <w:r>
        <w:rPr>
          <w:rFonts w:hint="eastAsia" w:ascii="宋体" w:hAnsi="宋体" w:cs="宋体"/>
          <w:bCs/>
          <w:color w:val="auto"/>
          <w:sz w:val="32"/>
          <w:szCs w:val="22"/>
          <w:highlight w:val="none"/>
        </w:rPr>
        <w:t xml:space="preserve">苏州市市场监督管理局</w:t>
      </w:r>
      <w:r/>
    </w:p>
    <w:p>
      <w:pPr>
        <w:ind w:left="1920"/>
        <w:rPr>
          <w:rFonts w:ascii="宋体" w:hAnsi="宋体" w:cs="宋体"/>
          <w:color w:val="auto"/>
          <w:highlight w:val="none"/>
        </w:rPr>
      </w:pPr>
      <w:r>
        <w:rPr>
          <w:rFonts w:hint="eastAsia" w:ascii="宋体" w:hAnsi="宋体" w:cs="宋体"/>
          <w:color w:val="auto"/>
          <w:highlight w:val="none"/>
        </w:rPr>
        <w:t xml:space="preserve"> </w:t>
      </w:r>
      <w:r/>
    </w:p>
    <w:p>
      <w:pPr>
        <w:rPr>
          <w:rFonts w:ascii="宋体" w:hAnsi="宋体" w:cs="宋体"/>
          <w:color w:val="auto"/>
          <w:highlight w:val="none"/>
        </w:rPr>
      </w:pPr>
      <w:r>
        <w:rPr>
          <w:rFonts w:ascii="宋体" w:hAnsi="宋体"/>
          <w:color w:val="auto"/>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1" locked="0" layoutInCell="1" allowOverlap="1">
                <wp:simplePos x="0" y="0"/>
                <wp:positionH relativeFrom="column">
                  <wp:posOffset>1409065</wp:posOffset>
                </wp:positionH>
                <wp:positionV relativeFrom="paragraph">
                  <wp:posOffset>154305</wp:posOffset>
                </wp:positionV>
                <wp:extent cx="3047365" cy="1675765"/>
                <wp:effectExtent l="0" t="0" r="635" b="635"/>
                <wp:wrapTight wrapText="bothSides">
                  <wp:wrapPolygon edited="1">
                    <wp:start x="21532" y="21477"/>
                    <wp:lineTo x="21532" y="-8"/>
                    <wp:lineTo x="-5" y="-8"/>
                    <wp:lineTo x="-5" y="21477"/>
                    <wp:lineTo x="21532" y="21477"/>
                  </wp:wrapPolygon>
                </wp:wrapTight>
                <wp:docPr id="3" name="图片 4" descr="F:\单位照片—乐慧\QQ图片201804111226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4" descr="F:\单位照片—乐慧\QQ图片20180411122618.jpg"/>
                        <pic:cNvPicPr>
                          <a:picLocks noChangeAspect="1"/>
                        </pic:cNvPicPr>
                        <pic:nvPr/>
                      </pic:nvPicPr>
                      <pic:blipFill>
                        <a:blip r:embed="rId13"/>
                        <a:stretch/>
                      </pic:blipFill>
                      <pic:spPr bwMode="auto">
                        <a:xfrm rot="10800000" flipH="1" flipV="1">
                          <a:off x="0" y="0"/>
                          <a:ext cx="3047365" cy="16757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110.9pt;mso-position-horizontal:absolute;mso-position-vertical-relative:text;margin-top:12.1pt;mso-position-vertical:absolute;width:239.9pt;height:131.9pt;mso-wrap-distance-left:0.0pt;mso-wrap-distance-top:0.0pt;mso-wrap-distance-right:0.0pt;mso-wrap-distance-bottom:0.0pt;rotation:180;flip:xy;" wrapcoords="99685 99431 99685 -36 -22 -36 -22 99431 99685 99431" stroked="f">
                <v:path textboxrect="0,0,0,0"/>
                <w10:wrap type="tight"/>
                <v:imagedata r:id="rId13" o:title=""/>
              </v:shape>
            </w:pict>
          </mc:Fallback>
        </mc:AlternateContent>
      </w:r>
      <w:r>
        <w:rPr>
          <w:rFonts w:hint="eastAsia" w:ascii="宋体" w:hAnsi="宋体" w:cs="宋体"/>
          <w:color w:val="auto"/>
          <w:highlight w:val="none"/>
        </w:rPr>
        <w:t xml:space="preserve"> </w:t>
      </w:r>
      <w:r/>
    </w:p>
    <w:p>
      <w:pPr>
        <w:rPr>
          <w:rFonts w:ascii="宋体" w:hAnsi="宋体" w:cs="宋体"/>
          <w:color w:val="auto"/>
          <w:highlight w:val="none"/>
        </w:rPr>
      </w:pPr>
      <w:r>
        <w:rPr>
          <w:rFonts w:hint="eastAsia" w:ascii="宋体" w:hAnsi="宋体" w:cs="宋体"/>
          <w:color w:val="auto"/>
          <w:highlight w:val="none"/>
        </w:rPr>
        <w:t xml:space="preserve"> </w:t>
      </w:r>
      <w:r/>
    </w:p>
    <w:p>
      <w:pPr>
        <w:rPr>
          <w:rFonts w:ascii="宋体" w:hAnsi="宋体" w:cs="宋体"/>
          <w:color w:val="auto"/>
          <w:highlight w:val="none"/>
        </w:rPr>
      </w:pPr>
      <w:r>
        <w:rPr>
          <w:rFonts w:hint="eastAsia" w:ascii="宋体" w:hAnsi="宋体" w:cs="宋体"/>
          <w:color w:val="auto"/>
          <w:highlight w:val="none"/>
        </w:rPr>
        <w:t xml:space="preserve"> </w:t>
      </w:r>
      <w:r/>
    </w:p>
    <w:p>
      <w:pPr>
        <w:tabs>
          <w:tab w:val="left" w:pos="6134" w:leader="none"/>
        </w:tabs>
        <w:rPr>
          <w:rFonts w:ascii="宋体" w:hAnsi="宋体" w:cs="宋体"/>
          <w:color w:val="auto"/>
          <w:sz w:val="22"/>
          <w:szCs w:val="22"/>
          <w:highlight w:val="none"/>
        </w:rPr>
      </w:pPr>
      <w:r>
        <w:rPr>
          <w:rFonts w:hint="eastAsia" w:ascii="宋体" w:hAnsi="宋体" w:cs="宋体"/>
          <w:color w:val="auto"/>
          <w:highlight w:val="none"/>
        </w:rPr>
        <w:t xml:space="preserve"> </w:t>
      </w:r>
      <w:r>
        <w:rPr>
          <w:rFonts w:hint="eastAsia" w:ascii="宋体" w:hAnsi="宋体" w:cs="宋体"/>
          <w:color w:val="auto"/>
          <w:highlight w:val="none"/>
        </w:rPr>
        <w:tab/>
      </w:r>
      <w:r/>
    </w:p>
    <w:p>
      <w:pPr>
        <w:jc w:val="center"/>
        <w:spacing w:line="360" w:lineRule="auto"/>
        <w:rPr>
          <w:rFonts w:ascii="宋体" w:hAnsi="宋体" w:cs="宋体"/>
          <w:color w:val="auto"/>
          <w:sz w:val="36"/>
          <w:szCs w:val="22"/>
          <w:highlight w:val="none"/>
        </w:rPr>
      </w:pPr>
      <w:r>
        <w:rPr>
          <w:rFonts w:ascii="宋体" w:hAnsi="宋体" w:cs="宋体"/>
          <w:color w:val="auto"/>
          <w:sz w:val="36"/>
          <w:szCs w:val="22"/>
          <w:highlight w:val="none"/>
        </w:rPr>
      </w:r>
      <w:r/>
    </w:p>
    <w:p>
      <w:pPr>
        <w:jc w:val="center"/>
        <w:spacing w:line="360" w:lineRule="auto"/>
        <w:rPr>
          <w:rFonts w:ascii="宋体" w:hAnsi="宋体" w:cs="宋体"/>
          <w:color w:val="auto"/>
          <w:sz w:val="36"/>
          <w:szCs w:val="22"/>
          <w:highlight w:val="none"/>
        </w:rPr>
      </w:pPr>
      <w:r>
        <w:rPr>
          <w:rFonts w:ascii="宋体" w:hAnsi="宋体" w:cs="宋体"/>
          <w:color w:val="auto"/>
          <w:sz w:val="36"/>
          <w:szCs w:val="22"/>
          <w:highlight w:val="none"/>
        </w:rPr>
      </w:r>
      <w:r/>
    </w:p>
    <w:p>
      <w:pPr>
        <w:jc w:val="center"/>
        <w:spacing w:line="360" w:lineRule="auto"/>
        <w:rPr>
          <w:rFonts w:ascii="宋体" w:hAnsi="宋体" w:cs="宋体"/>
          <w:color w:val="auto"/>
          <w:sz w:val="36"/>
          <w:szCs w:val="22"/>
          <w:highlight w:val="none"/>
        </w:rPr>
      </w:pPr>
      <w:r>
        <w:rPr>
          <w:rFonts w:ascii="宋体" w:hAnsi="宋体" w:cs="宋体"/>
          <w:color w:val="auto"/>
          <w:sz w:val="36"/>
          <w:szCs w:val="22"/>
          <w:highlight w:val="none"/>
        </w:rPr>
      </w:r>
      <w:r/>
    </w:p>
    <w:p>
      <w:pPr>
        <w:jc w:val="center"/>
        <w:spacing w:line="360" w:lineRule="auto"/>
        <w:rPr>
          <w:rFonts w:ascii="宋体" w:hAnsi="宋体" w:cs="宋体"/>
          <w:color w:val="auto"/>
          <w:sz w:val="36"/>
          <w:szCs w:val="22"/>
          <w:highlight w:val="none"/>
        </w:rPr>
      </w:pPr>
      <w:r>
        <w:rPr>
          <w:rFonts w:ascii="宋体" w:hAnsi="宋体" w:cs="宋体"/>
          <w:color w:val="auto"/>
          <w:sz w:val="36"/>
          <w:szCs w:val="22"/>
          <w:highlight w:val="none"/>
        </w:rPr>
      </w:r>
      <w:r/>
    </w:p>
    <w:p>
      <w:pPr>
        <w:jc w:val="center"/>
        <w:spacing w:line="360" w:lineRule="auto"/>
        <w:rPr>
          <w:rFonts w:ascii="宋体" w:hAnsi="宋体" w:cs="宋体"/>
          <w:color w:val="auto"/>
          <w:sz w:val="36"/>
          <w:szCs w:val="22"/>
          <w:highlight w:val="none"/>
        </w:rPr>
      </w:pPr>
      <w:r>
        <w:rPr>
          <w:rFonts w:hint="eastAsia" w:ascii="宋体" w:hAnsi="宋体" w:cs="宋体"/>
          <w:color w:val="auto"/>
          <w:sz w:val="36"/>
          <w:szCs w:val="22"/>
          <w:highlight w:val="none"/>
        </w:rPr>
        <w:t xml:space="preserve">苏州乐慧招投标咨询有限公司</w:t>
      </w:r>
      <w:r/>
    </w:p>
    <w:p>
      <w:pPr>
        <w:jc w:val="center"/>
        <w:spacing w:line="360" w:lineRule="auto"/>
        <w:rPr>
          <w:rFonts w:ascii="宋体" w:hAnsi="宋体" w:cs="宋体"/>
          <w:color w:val="auto"/>
          <w:sz w:val="36"/>
          <w:szCs w:val="22"/>
          <w:highlight w:val="none"/>
        </w:rPr>
      </w:pPr>
      <w:r>
        <w:rPr>
          <w:rFonts w:hint="eastAsia" w:ascii="宋体" w:hAnsi="宋体" w:cs="宋体"/>
          <w:color w:val="auto"/>
          <w:sz w:val="36"/>
          <w:szCs w:val="22"/>
          <w:highlight w:val="none"/>
        </w:rPr>
        <w:t xml:space="preserve">二〇二六年</w:t>
      </w:r>
      <w:r>
        <w:rPr>
          <w:rFonts w:hint="eastAsia" w:ascii="宋体" w:hAnsi="宋体" w:cs="宋体"/>
          <w:color w:val="auto"/>
          <w:sz w:val="36"/>
          <w:szCs w:val="22"/>
          <w:highlight w:val="none"/>
          <w:lang w:val="en-US" w:eastAsia="zh-CN"/>
        </w:rPr>
        <w:t xml:space="preserve">四</w:t>
      </w:r>
      <w:r>
        <w:rPr>
          <w:rFonts w:hint="eastAsia" w:ascii="宋体" w:hAnsi="宋体" w:cs="宋体"/>
          <w:color w:val="auto"/>
          <w:sz w:val="36"/>
          <w:szCs w:val="22"/>
          <w:highlight w:val="none"/>
        </w:rPr>
        <w:t xml:space="preserve">月</w:t>
      </w:r>
      <w:r/>
    </w:p>
    <w:p>
      <w:pPr>
        <w:rPr>
          <w:rFonts w:ascii="宋体" w:hAnsi="宋体" w:cs="宋体"/>
          <w:color w:val="auto"/>
          <w:sz w:val="36"/>
          <w:szCs w:val="22"/>
          <w:highlight w:val="none"/>
        </w:rPr>
      </w:pPr>
      <w:r>
        <w:rPr>
          <w:rFonts w:hint="eastAsia" w:ascii="宋体" w:hAnsi="宋体" w:cs="宋体"/>
          <w:color w:val="auto"/>
          <w:sz w:val="36"/>
          <w:szCs w:val="22"/>
          <w:highlight w:val="none"/>
        </w:rPr>
        <w:br w:type="page" w:clear="all"/>
      </w:r>
      <w:r/>
    </w:p>
    <w:p>
      <w:pPr>
        <w:jc w:val="center"/>
        <w:spacing w:line="360" w:lineRule="auto"/>
        <w:rPr>
          <w:rFonts w:ascii="宋体" w:hAnsi="宋体" w:cs="宋体"/>
          <w:color w:val="auto"/>
          <w:sz w:val="36"/>
          <w:szCs w:val="22"/>
          <w:highlight w:val="none"/>
        </w:rPr>
      </w:pPr>
      <w:r>
        <w:rPr>
          <w:rFonts w:ascii="宋体" w:hAnsi="宋体" w:cs="宋体"/>
          <w:color w:val="auto"/>
          <w:sz w:val="36"/>
          <w:szCs w:val="22"/>
          <w:highlight w:val="none"/>
        </w:rPr>
      </w:r>
      <w:r/>
    </w:p>
    <w:p>
      <w:pPr>
        <w:jc w:val="center"/>
        <w:rPr>
          <w:rFonts w:ascii="宋体" w:hAnsi="宋体" w:cs="宋体"/>
          <w:color w:val="auto"/>
          <w:sz w:val="72"/>
          <w:szCs w:val="72"/>
          <w:highlight w:val="none"/>
        </w:rPr>
      </w:pPr>
      <w:r/>
      <w:bookmarkStart w:id="0" w:name="_Toc6553"/>
      <w:r/>
      <w:bookmarkStart w:id="1" w:name="_Toc14910"/>
      <w:r/>
      <w:r/>
    </w:p>
    <w:p>
      <w:pPr>
        <w:jc w:val="center"/>
        <w:rPr>
          <w:rFonts w:ascii="宋体" w:hAnsi="宋体" w:cs="宋体"/>
          <w:color w:val="auto"/>
          <w:sz w:val="72"/>
          <w:szCs w:val="72"/>
          <w:highlight w:val="none"/>
        </w:rPr>
      </w:pPr>
      <w:r>
        <w:rPr>
          <w:rFonts w:hint="eastAsia" w:ascii="宋体" w:hAnsi="宋体" w:cs="宋体"/>
          <w:color w:val="auto"/>
          <w:sz w:val="72"/>
          <w:szCs w:val="72"/>
          <w:highlight w:val="none"/>
        </w:rPr>
        <w:t xml:space="preserve">目  录</w:t>
      </w:r>
      <w:bookmarkEnd w:id="0"/>
      <w:r/>
      <w:bookmarkEnd w:id="1"/>
      <w:r/>
      <w:r/>
    </w:p>
    <w:p>
      <w:pPr>
        <w:pStyle w:val="976"/>
        <w:ind w:firstLine="0"/>
        <w:jc w:val="center"/>
        <w:rPr>
          <w:rFonts w:ascii="宋体" w:hAnsi="宋体" w:eastAsia="宋体" w:cs="宋体"/>
          <w:color w:val="auto"/>
          <w:sz w:val="30"/>
          <w:highlight w:val="none"/>
        </w:rPr>
      </w:pPr>
      <w:r>
        <w:rPr>
          <w:rFonts w:ascii="宋体" w:hAnsi="宋体" w:eastAsia="宋体" w:cs="宋体"/>
          <w:color w:val="auto"/>
          <w:sz w:val="30"/>
          <w:highlight w:val="none"/>
        </w:rPr>
      </w:r>
      <w:r/>
    </w:p>
    <w:p>
      <w:pPr>
        <w:pStyle w:val="766"/>
        <w:spacing w:line="360" w:lineRule="auto"/>
        <w:tabs>
          <w:tab w:val="right" w:pos="9072" w:leader="dot"/>
        </w:tabs>
        <w:rPr>
          <w:b/>
          <w:color w:val="auto"/>
          <w:sz w:val="28"/>
          <w:szCs w:val="28"/>
          <w:highlight w:val="none"/>
        </w:rPr>
      </w:pPr>
      <w:r>
        <w:rPr>
          <w:rFonts w:hint="eastAsia" w:ascii="宋体" w:hAnsi="宋体" w:cs="宋体"/>
          <w:b/>
          <w:color w:val="auto"/>
          <w:sz w:val="28"/>
          <w:szCs w:val="28"/>
          <w:highlight w:val="none"/>
        </w:rPr>
        <w:fldChar w:fldCharType="begin"/>
      </w:r>
      <w:r>
        <w:rPr>
          <w:rFonts w:hint="eastAsia" w:ascii="宋体" w:hAnsi="宋体" w:cs="宋体"/>
          <w:b/>
          <w:color w:val="auto"/>
          <w:sz w:val="28"/>
          <w:szCs w:val="28"/>
          <w:highlight w:val="none"/>
        </w:rPr>
        <w:instrText xml:space="preserve">TOC \o "1-1" \h \u </w:instrText>
      </w:r>
      <w:r>
        <w:rPr>
          <w:rFonts w:hint="eastAsia" w:ascii="宋体" w:hAnsi="宋体" w:cs="宋体"/>
          <w:b/>
          <w:color w:val="auto"/>
          <w:sz w:val="28"/>
          <w:szCs w:val="28"/>
          <w:highlight w:val="none"/>
        </w:rPr>
        <w:fldChar w:fldCharType="separate"/>
      </w:r>
      <w:r>
        <w:rPr>
          <w:color w:val="auto"/>
          <w:highlight w:val="none"/>
        </w:rPr>
        <w:fldChar w:fldCharType="begin"/>
      </w:r>
      <w:r>
        <w:rPr>
          <w:color w:val="auto"/>
          <w:highlight w:val="none"/>
        </w:rPr>
        <w:instrText xml:space="preserve"> HYPERLINK \l "_Toc8840" </w:instrText>
      </w:r>
      <w:r>
        <w:rPr>
          <w:color w:val="auto"/>
          <w:highlight w:val="none"/>
        </w:rPr>
        <w:fldChar w:fldCharType="separate"/>
      </w:r>
      <w:r>
        <w:rPr>
          <w:rFonts w:hint="eastAsia" w:ascii="宋体" w:hAnsi="宋体" w:cs="宋体"/>
          <w:b/>
          <w:color w:val="auto"/>
          <w:spacing w:val="20"/>
          <w:sz w:val="28"/>
          <w:szCs w:val="28"/>
          <w:highlight w:val="none"/>
        </w:rPr>
        <w:t xml:space="preserve">前附表</w:t>
      </w:r>
      <w:r>
        <w:rPr>
          <w:rFonts w:hint="eastAsia" w:ascii="宋体" w:hAnsi="宋体" w:cs="宋体"/>
          <w:b/>
          <w:color w:val="auto"/>
          <w:spacing w:val="20"/>
          <w:sz w:val="28"/>
          <w:szCs w:val="28"/>
          <w:highlight w:val="none"/>
        </w:rPr>
        <w:fldChar w:fldCharType="end"/>
      </w:r>
      <w:r/>
    </w:p>
    <w:p>
      <w:pPr>
        <w:pStyle w:val="766"/>
        <w:spacing w:line="360" w:lineRule="auto"/>
        <w:tabs>
          <w:tab w:val="right" w:pos="9072" w:leader="dot"/>
        </w:tabs>
        <w:rPr>
          <w:b/>
          <w:color w:val="auto"/>
          <w:sz w:val="28"/>
          <w:szCs w:val="28"/>
          <w:highlight w:val="none"/>
        </w:rPr>
      </w:pPr>
      <w:r>
        <w:rPr>
          <w:color w:val="auto"/>
          <w:highlight w:val="none"/>
        </w:rPr>
        <w:fldChar w:fldCharType="begin"/>
      </w:r>
      <w:r>
        <w:rPr>
          <w:color w:val="auto"/>
          <w:highlight w:val="none"/>
        </w:rPr>
        <w:instrText xml:space="preserve"> HYPERLINK \l "_Toc6174" </w:instrText>
      </w:r>
      <w:r>
        <w:rPr>
          <w:color w:val="auto"/>
          <w:highlight w:val="none"/>
        </w:rPr>
        <w:fldChar w:fldCharType="separate"/>
      </w:r>
      <w:r>
        <w:rPr>
          <w:rFonts w:hint="eastAsia" w:ascii="宋体" w:hAnsi="宋体" w:cs="宋体"/>
          <w:b/>
          <w:color w:val="auto"/>
          <w:sz w:val="28"/>
          <w:szCs w:val="28"/>
          <w:highlight w:val="none"/>
        </w:rPr>
        <w:t xml:space="preserve">第一章 招标公告</w:t>
      </w:r>
      <w:r>
        <w:rPr>
          <w:rFonts w:hint="eastAsia" w:ascii="宋体" w:hAnsi="宋体" w:cs="宋体"/>
          <w:b/>
          <w:color w:val="auto"/>
          <w:sz w:val="28"/>
          <w:szCs w:val="28"/>
          <w:highlight w:val="none"/>
        </w:rPr>
        <w:fldChar w:fldCharType="end"/>
      </w:r>
      <w:r/>
    </w:p>
    <w:p>
      <w:pPr>
        <w:pStyle w:val="766"/>
        <w:spacing w:line="360" w:lineRule="auto"/>
        <w:tabs>
          <w:tab w:val="right" w:pos="9072" w:leader="dot"/>
        </w:tabs>
        <w:rPr>
          <w:b/>
          <w:color w:val="auto"/>
          <w:sz w:val="28"/>
          <w:szCs w:val="28"/>
          <w:highlight w:val="none"/>
        </w:rPr>
      </w:pPr>
      <w:r>
        <w:rPr>
          <w:color w:val="auto"/>
          <w:highlight w:val="none"/>
        </w:rPr>
        <w:fldChar w:fldCharType="begin"/>
      </w:r>
      <w:r>
        <w:rPr>
          <w:color w:val="auto"/>
          <w:highlight w:val="none"/>
        </w:rPr>
        <w:instrText xml:space="preserve"> HYPERLINK \l "_Toc6743" </w:instrText>
      </w:r>
      <w:r>
        <w:rPr>
          <w:color w:val="auto"/>
          <w:highlight w:val="none"/>
        </w:rPr>
        <w:fldChar w:fldCharType="separate"/>
      </w:r>
      <w:r>
        <w:rPr>
          <w:rFonts w:hint="eastAsia" w:ascii="宋体" w:hAnsi="宋体" w:cs="宋体"/>
          <w:b/>
          <w:color w:val="auto"/>
          <w:sz w:val="28"/>
          <w:szCs w:val="28"/>
          <w:highlight w:val="none"/>
        </w:rPr>
        <w:t xml:space="preserve">第二章 投标人须知</w:t>
      </w:r>
      <w:r>
        <w:rPr>
          <w:rFonts w:hint="eastAsia" w:ascii="宋体" w:hAnsi="宋体" w:cs="宋体"/>
          <w:b/>
          <w:color w:val="auto"/>
          <w:sz w:val="28"/>
          <w:szCs w:val="28"/>
          <w:highlight w:val="none"/>
        </w:rPr>
        <w:fldChar w:fldCharType="end"/>
      </w:r>
      <w:r/>
    </w:p>
    <w:p>
      <w:pPr>
        <w:pStyle w:val="766"/>
        <w:spacing w:line="360" w:lineRule="auto"/>
        <w:tabs>
          <w:tab w:val="right" w:pos="9072" w:leader="dot"/>
        </w:tabs>
        <w:rPr>
          <w:b/>
          <w:color w:val="auto"/>
          <w:sz w:val="28"/>
          <w:szCs w:val="28"/>
          <w:highlight w:val="none"/>
        </w:rPr>
      </w:pPr>
      <w:r>
        <w:rPr>
          <w:color w:val="auto"/>
          <w:highlight w:val="none"/>
        </w:rPr>
        <w:fldChar w:fldCharType="begin"/>
      </w:r>
      <w:r>
        <w:rPr>
          <w:color w:val="auto"/>
          <w:highlight w:val="none"/>
        </w:rPr>
        <w:instrText xml:space="preserve"> HYPERLINK \l "_Toc2476" </w:instrText>
      </w:r>
      <w:r>
        <w:rPr>
          <w:color w:val="auto"/>
          <w:highlight w:val="none"/>
        </w:rPr>
        <w:fldChar w:fldCharType="separate"/>
      </w:r>
      <w:r>
        <w:rPr>
          <w:rFonts w:hint="eastAsia" w:ascii="宋体" w:hAnsi="宋体" w:cs="宋体"/>
          <w:b/>
          <w:color w:val="auto"/>
          <w:sz w:val="28"/>
          <w:szCs w:val="28"/>
          <w:highlight w:val="none"/>
          <w:lang w:val="zh-CN"/>
        </w:rPr>
        <w:t xml:space="preserve">第三章 投标文件格式</w:t>
      </w:r>
      <w:r>
        <w:rPr>
          <w:rFonts w:hint="eastAsia" w:ascii="宋体" w:hAnsi="宋体" w:cs="宋体"/>
          <w:b/>
          <w:color w:val="auto"/>
          <w:sz w:val="28"/>
          <w:szCs w:val="28"/>
          <w:highlight w:val="none"/>
          <w:lang w:val="zh-CN"/>
        </w:rPr>
        <w:fldChar w:fldCharType="end"/>
      </w:r>
      <w:r/>
    </w:p>
    <w:p>
      <w:pPr>
        <w:pStyle w:val="766"/>
        <w:spacing w:line="360" w:lineRule="auto"/>
        <w:tabs>
          <w:tab w:val="right" w:pos="9072" w:leader="dot"/>
        </w:tabs>
        <w:rPr>
          <w:b/>
          <w:color w:val="auto"/>
          <w:sz w:val="28"/>
          <w:szCs w:val="28"/>
          <w:highlight w:val="none"/>
        </w:rPr>
      </w:pPr>
      <w:r>
        <w:rPr>
          <w:color w:val="auto"/>
          <w:highlight w:val="none"/>
        </w:rPr>
        <w:fldChar w:fldCharType="begin"/>
      </w:r>
      <w:r>
        <w:rPr>
          <w:color w:val="auto"/>
          <w:highlight w:val="none"/>
        </w:rPr>
        <w:instrText xml:space="preserve"> HYPERLINK \l "_Toc15583" </w:instrText>
      </w:r>
      <w:r>
        <w:rPr>
          <w:color w:val="auto"/>
          <w:highlight w:val="none"/>
        </w:rPr>
        <w:fldChar w:fldCharType="separate"/>
      </w:r>
      <w:r>
        <w:rPr>
          <w:rFonts w:hint="eastAsia" w:ascii="宋体" w:hAnsi="宋体" w:cs="宋体"/>
          <w:b/>
          <w:color w:val="auto"/>
          <w:sz w:val="28"/>
          <w:szCs w:val="28"/>
          <w:highlight w:val="none"/>
          <w:lang w:val="zh-CN"/>
        </w:rPr>
        <w:t xml:space="preserve">第四章</w:t>
      </w:r>
      <w:r>
        <w:rPr>
          <w:rFonts w:hint="eastAsia" w:ascii="宋体" w:hAnsi="宋体" w:cs="宋体"/>
          <w:b/>
          <w:color w:val="auto"/>
          <w:sz w:val="28"/>
          <w:szCs w:val="28"/>
          <w:highlight w:val="none"/>
        </w:rPr>
        <w:t xml:space="preserve"> </w:t>
      </w:r>
      <w:r>
        <w:rPr>
          <w:rFonts w:hint="eastAsia" w:ascii="宋体" w:hAnsi="宋体" w:cs="宋体"/>
          <w:b/>
          <w:color w:val="auto"/>
          <w:sz w:val="28"/>
          <w:szCs w:val="28"/>
          <w:highlight w:val="none"/>
          <w:lang w:val="zh-CN"/>
        </w:rPr>
        <w:t xml:space="preserve">招标书</w:t>
      </w:r>
      <w:r>
        <w:rPr>
          <w:rFonts w:hint="eastAsia" w:ascii="宋体" w:hAnsi="宋体" w:cs="宋体"/>
          <w:b/>
          <w:color w:val="auto"/>
          <w:sz w:val="28"/>
          <w:szCs w:val="28"/>
          <w:highlight w:val="none"/>
          <w:lang w:val="zh-CN"/>
        </w:rPr>
        <w:fldChar w:fldCharType="end"/>
      </w:r>
      <w:r/>
    </w:p>
    <w:p>
      <w:pPr>
        <w:pStyle w:val="766"/>
        <w:spacing w:line="360" w:lineRule="auto"/>
        <w:tabs>
          <w:tab w:val="right" w:pos="9072" w:leader="dot"/>
        </w:tabs>
        <w:rPr>
          <w:b/>
          <w:color w:val="auto"/>
          <w:sz w:val="28"/>
          <w:szCs w:val="28"/>
          <w:highlight w:val="none"/>
        </w:rPr>
      </w:pPr>
      <w:r>
        <w:rPr>
          <w:color w:val="auto"/>
          <w:highlight w:val="none"/>
        </w:rPr>
        <w:fldChar w:fldCharType="begin"/>
      </w:r>
      <w:r>
        <w:rPr>
          <w:color w:val="auto"/>
          <w:highlight w:val="none"/>
        </w:rPr>
        <w:instrText xml:space="preserve"> HYPERLINK \l "_Toc13856" </w:instrText>
      </w:r>
      <w:r>
        <w:rPr>
          <w:color w:val="auto"/>
          <w:highlight w:val="none"/>
        </w:rPr>
        <w:fldChar w:fldCharType="separate"/>
      </w:r>
      <w:r>
        <w:rPr>
          <w:rFonts w:hint="eastAsia" w:ascii="宋体" w:hAnsi="宋体" w:cs="宋体"/>
          <w:b/>
          <w:color w:val="auto"/>
          <w:sz w:val="28"/>
          <w:szCs w:val="28"/>
          <w:highlight w:val="none"/>
          <w:lang w:val="zh-CN"/>
        </w:rPr>
        <w:t xml:space="preserve">第五章 合同主要条款</w:t>
      </w:r>
      <w:r>
        <w:rPr>
          <w:rFonts w:hint="eastAsia" w:ascii="宋体" w:hAnsi="宋体" w:cs="宋体"/>
          <w:b/>
          <w:color w:val="auto"/>
          <w:sz w:val="28"/>
          <w:szCs w:val="28"/>
          <w:highlight w:val="none"/>
          <w:lang w:val="zh-CN"/>
        </w:rPr>
        <w:fldChar w:fldCharType="end"/>
      </w:r>
      <w:r/>
    </w:p>
    <w:p>
      <w:pPr>
        <w:pStyle w:val="766"/>
        <w:spacing w:line="360" w:lineRule="auto"/>
        <w:tabs>
          <w:tab w:val="right" w:pos="9072" w:leader="dot"/>
        </w:tabs>
        <w:rPr>
          <w:b/>
          <w:color w:val="auto"/>
          <w:sz w:val="28"/>
          <w:szCs w:val="28"/>
          <w:highlight w:val="none"/>
        </w:rPr>
      </w:pPr>
      <w:r>
        <w:rPr>
          <w:color w:val="auto"/>
          <w:highlight w:val="none"/>
        </w:rPr>
        <w:fldChar w:fldCharType="begin"/>
      </w:r>
      <w:r>
        <w:rPr>
          <w:color w:val="auto"/>
          <w:highlight w:val="none"/>
        </w:rPr>
        <w:instrText xml:space="preserve"> HYPERLINK \l "_Toc3718" </w:instrText>
      </w:r>
      <w:r>
        <w:rPr>
          <w:color w:val="auto"/>
          <w:highlight w:val="none"/>
        </w:rPr>
        <w:fldChar w:fldCharType="separate"/>
      </w:r>
      <w:r>
        <w:rPr>
          <w:rFonts w:hint="eastAsia" w:ascii="宋体" w:hAnsi="宋体" w:cs="宋体"/>
          <w:b/>
          <w:color w:val="auto"/>
          <w:sz w:val="28"/>
          <w:szCs w:val="28"/>
          <w:highlight w:val="none"/>
          <w:lang w:val="zh-CN"/>
        </w:rPr>
        <w:t xml:space="preserve">第六章 评标方法、评分标准</w:t>
      </w:r>
      <w:r>
        <w:rPr>
          <w:rFonts w:hint="eastAsia" w:ascii="宋体" w:hAnsi="宋体" w:cs="宋体"/>
          <w:b/>
          <w:color w:val="auto"/>
          <w:sz w:val="28"/>
          <w:szCs w:val="28"/>
          <w:highlight w:val="none"/>
          <w:lang w:val="zh-CN"/>
        </w:rPr>
        <w:fldChar w:fldCharType="end"/>
      </w:r>
      <w:r/>
    </w:p>
    <w:p>
      <w:pPr>
        <w:jc w:val="center"/>
        <w:spacing w:line="360" w:lineRule="auto"/>
        <w:rPr>
          <w:rFonts w:ascii="宋体" w:hAnsi="宋体" w:cs="宋体"/>
          <w:color w:val="auto"/>
          <w:sz w:val="36"/>
          <w:highlight w:val="none"/>
        </w:rPr>
      </w:pPr>
      <w:r>
        <w:rPr>
          <w:rFonts w:hint="eastAsia" w:ascii="宋体" w:hAnsi="宋体" w:cs="宋体"/>
          <w:b/>
          <w:color w:val="auto"/>
          <w:sz w:val="28"/>
          <w:szCs w:val="28"/>
          <w:highlight w:val="none"/>
        </w:rPr>
        <w:fldChar w:fldCharType="end"/>
      </w:r>
      <w:r/>
    </w:p>
    <w:p>
      <w:pPr>
        <w:jc w:val="center"/>
        <w:spacing w:line="360" w:lineRule="auto"/>
        <w:rPr>
          <w:rFonts w:ascii="宋体" w:hAnsi="宋体" w:cs="宋体"/>
          <w:b/>
          <w:bCs/>
          <w:color w:val="auto"/>
          <w:spacing w:val="20"/>
          <w:sz w:val="30"/>
          <w:highlight w:val="none"/>
        </w:rPr>
        <w:sectPr>
          <w:headerReference w:type="default" r:id="rId9"/>
          <w:footnotePr/>
          <w:endnotePr/>
          <w:type w:val="nextPage"/>
          <w:pgSz w:w="11906" w:h="16838" w:orient="portrait"/>
          <w:pgMar w:top="992" w:right="1417" w:bottom="794" w:left="1417" w:header="851" w:footer="992" w:gutter="0"/>
          <w:cols w:num="1" w:sep="0" w:space="1701" w:equalWidth="1"/>
          <w:docGrid w:linePitch="360"/>
          <w:titlePg/>
        </w:sectPr>
        <w:outlineLvl w:val="0"/>
      </w:pPr>
      <w:r/>
      <w:bookmarkStart w:id="2" w:name="_Toc31737"/>
      <w:r/>
      <w:r/>
    </w:p>
    <w:p>
      <w:pPr>
        <w:jc w:val="center"/>
        <w:spacing w:line="360" w:lineRule="auto"/>
        <w:rPr>
          <w:rFonts w:ascii="宋体" w:hAnsi="宋体" w:cs="宋体"/>
          <w:b/>
          <w:bCs/>
          <w:color w:val="auto"/>
          <w:spacing w:val="20"/>
          <w:sz w:val="30"/>
          <w:highlight w:val="none"/>
        </w:rPr>
        <w:outlineLvl w:val="0"/>
      </w:pPr>
      <w:r/>
      <w:bookmarkStart w:id="3" w:name="_Toc8840"/>
      <w:r>
        <w:rPr>
          <w:rFonts w:hint="eastAsia" w:ascii="宋体" w:hAnsi="宋体" w:cs="宋体"/>
          <w:b/>
          <w:bCs/>
          <w:color w:val="auto"/>
          <w:spacing w:val="20"/>
          <w:sz w:val="30"/>
          <w:highlight w:val="none"/>
        </w:rPr>
        <w:t xml:space="preserve">前附表</w:t>
      </w:r>
      <w:bookmarkEnd w:id="2"/>
      <w:r/>
      <w:bookmarkEnd w:id="3"/>
      <w:r/>
      <w:r/>
    </w:p>
    <w:tbl>
      <w:tblPr>
        <w:tblStyle w:val="752"/>
        <w:tblW w:w="499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5"/>
        <w:gridCol w:w="1894"/>
        <w:gridCol w:w="6598"/>
      </w:tblGrid>
      <w:tr>
        <w:trPr>
          <w:jc w:val="center"/>
          <w:trHeight w:val="454"/>
        </w:trPr>
        <w:tc>
          <w:tcPr>
            <w:tcMar>
              <w:left w:w="51" w:type="dxa"/>
              <w:top w:w="0" w:type="dxa"/>
              <w:right w:w="51" w:type="dxa"/>
              <w:bottom w:w="0" w:type="dxa"/>
            </w:tcMar>
            <w:tcW w:w="368" w:type="pct"/>
            <w:vAlign w:val="center"/>
            <w:textDirection w:val="lrTb"/>
            <w:noWrap w:val="false"/>
          </w:tcPr>
          <w:p>
            <w:pPr>
              <w:jc w:val="center"/>
              <w:rPr>
                <w:rFonts w:ascii="宋体" w:hAnsi="宋体" w:cs="宋体"/>
                <w:color w:val="auto"/>
                <w:sz w:val="21"/>
                <w:highlight w:val="none"/>
              </w:rPr>
            </w:pPr>
            <w:r>
              <w:rPr>
                <w:rFonts w:hint="eastAsia" w:ascii="宋体" w:hAnsi="宋体" w:cs="宋体"/>
                <w:color w:val="auto"/>
                <w:sz w:val="21"/>
                <w:highlight w:val="none"/>
              </w:rPr>
              <w:t xml:space="preserve">序号</w:t>
            </w:r>
            <w:r/>
          </w:p>
        </w:tc>
        <w:tc>
          <w:tcPr>
            <w:tcMar>
              <w:left w:w="51" w:type="dxa"/>
              <w:top w:w="0" w:type="dxa"/>
              <w:right w:w="51" w:type="dxa"/>
              <w:bottom w:w="0" w:type="dxa"/>
            </w:tcMar>
            <w:tcW w:w="1033" w:type="pct"/>
            <w:vAlign w:val="center"/>
            <w:textDirection w:val="lrTb"/>
            <w:noWrap w:val="false"/>
          </w:tcPr>
          <w:p>
            <w:pPr>
              <w:jc w:val="center"/>
              <w:rPr>
                <w:rFonts w:ascii="宋体" w:hAnsi="宋体" w:cs="宋体"/>
                <w:color w:val="auto"/>
                <w:sz w:val="21"/>
                <w:highlight w:val="none"/>
              </w:rPr>
            </w:pPr>
            <w:r>
              <w:rPr>
                <w:rFonts w:hint="eastAsia" w:ascii="宋体" w:hAnsi="宋体" w:cs="宋体"/>
                <w:color w:val="auto"/>
                <w:sz w:val="21"/>
                <w:highlight w:val="none"/>
              </w:rPr>
              <w:t xml:space="preserve">项      目</w:t>
            </w:r>
            <w:r/>
          </w:p>
        </w:tc>
        <w:tc>
          <w:tcPr>
            <w:tcMar>
              <w:left w:w="51" w:type="dxa"/>
              <w:top w:w="0" w:type="dxa"/>
              <w:right w:w="51" w:type="dxa"/>
              <w:bottom w:w="0" w:type="dxa"/>
            </w:tcMar>
            <w:tcW w:w="3598" w:type="pct"/>
            <w:vAlign w:val="center"/>
            <w:textDirection w:val="lrTb"/>
            <w:noWrap w:val="false"/>
          </w:tcPr>
          <w:p>
            <w:pPr>
              <w:jc w:val="center"/>
              <w:rPr>
                <w:rFonts w:ascii="宋体" w:hAnsi="宋体" w:cs="宋体"/>
                <w:color w:val="auto"/>
                <w:sz w:val="21"/>
                <w:highlight w:val="none"/>
              </w:rPr>
            </w:pPr>
            <w:r>
              <w:rPr>
                <w:rFonts w:hint="eastAsia" w:ascii="宋体" w:hAnsi="宋体" w:cs="宋体"/>
                <w:color w:val="auto"/>
                <w:sz w:val="21"/>
                <w:highlight w:val="none"/>
              </w:rPr>
              <w:t xml:space="preserve">内               容</w:t>
            </w:r>
            <w:r/>
          </w:p>
        </w:tc>
      </w:tr>
      <w:tr>
        <w:trPr>
          <w:jc w:val="center"/>
          <w:trHeight w:val="454"/>
        </w:trPr>
        <w:tc>
          <w:tcPr>
            <w:tcMar>
              <w:left w:w="51" w:type="dxa"/>
              <w:top w:w="0" w:type="dxa"/>
              <w:right w:w="51" w:type="dxa"/>
              <w:bottom w:w="0" w:type="dxa"/>
            </w:tcMar>
            <w:tcW w:w="368" w:type="pct"/>
            <w:vAlign w:val="center"/>
            <w:textDirection w:val="lrTb"/>
            <w:noWrap w:val="false"/>
          </w:tcPr>
          <w:p>
            <w:pPr>
              <w:jc w:val="center"/>
              <w:rPr>
                <w:rFonts w:ascii="宋体" w:hAnsi="宋体" w:cs="宋体"/>
                <w:color w:val="auto"/>
                <w:sz w:val="21"/>
                <w:highlight w:val="none"/>
              </w:rPr>
            </w:pPr>
            <w:r>
              <w:rPr>
                <w:rFonts w:hint="eastAsia" w:ascii="宋体" w:hAnsi="宋体" w:cs="宋体"/>
                <w:color w:val="auto"/>
                <w:sz w:val="21"/>
                <w:highlight w:val="none"/>
              </w:rPr>
              <w:t xml:space="preserve">1</w:t>
            </w:r>
            <w:r/>
          </w:p>
        </w:tc>
        <w:tc>
          <w:tcPr>
            <w:tcMar>
              <w:left w:w="51" w:type="dxa"/>
              <w:top w:w="0" w:type="dxa"/>
              <w:right w:w="51" w:type="dxa"/>
              <w:bottom w:w="0" w:type="dxa"/>
            </w:tcMar>
            <w:tcW w:w="1033" w:type="pct"/>
            <w:vAlign w:val="center"/>
            <w:textDirection w:val="lrTb"/>
            <w:noWrap w:val="false"/>
          </w:tcPr>
          <w:p>
            <w:pPr>
              <w:jc w:val="center"/>
              <w:rPr>
                <w:rFonts w:ascii="宋体" w:hAnsi="宋体" w:cs="宋体"/>
                <w:color w:val="auto"/>
                <w:sz w:val="21"/>
                <w:highlight w:val="none"/>
              </w:rPr>
            </w:pPr>
            <w:r>
              <w:rPr>
                <w:rFonts w:hint="eastAsia" w:ascii="宋体" w:hAnsi="宋体" w:cs="宋体"/>
                <w:color w:val="auto"/>
                <w:sz w:val="21"/>
                <w:highlight w:val="none"/>
              </w:rPr>
              <w:t xml:space="preserve">采购项目名称</w:t>
            </w:r>
            <w:r/>
          </w:p>
        </w:tc>
        <w:tc>
          <w:tcPr>
            <w:tcMar>
              <w:left w:w="51" w:type="dxa"/>
              <w:top w:w="0" w:type="dxa"/>
              <w:right w:w="51" w:type="dxa"/>
              <w:bottom w:w="0" w:type="dxa"/>
            </w:tcMar>
            <w:tcW w:w="3598" w:type="pct"/>
            <w:vAlign w:val="center"/>
            <w:textDirection w:val="lrTb"/>
            <w:noWrap w:val="false"/>
          </w:tcPr>
          <w:p>
            <w:pPr>
              <w:jc w:val="both"/>
              <w:rPr>
                <w:rFonts w:ascii="宋体" w:hAnsi="宋体" w:cs="宋体"/>
                <w:color w:val="auto"/>
                <w:sz w:val="21"/>
                <w:highlight w:val="none"/>
              </w:rPr>
            </w:pPr>
            <w:r>
              <w:rPr>
                <w:rFonts w:hint="eastAsia" w:ascii="宋体" w:hAnsi="宋体" w:cs="宋体"/>
                <w:color w:val="auto"/>
                <w:sz w:val="21"/>
                <w:szCs w:val="21"/>
                <w:highlight w:val="none"/>
                <w:lang w:val="zh-CN"/>
              </w:rPr>
              <w:t xml:space="preserve">2026年度产品质量监督抽查和风险监测项目（原五标段）</w:t>
            </w:r>
            <w:r/>
          </w:p>
        </w:tc>
      </w:tr>
      <w:tr>
        <w:trPr>
          <w:jc w:val="center"/>
          <w:trHeight w:val="454"/>
        </w:trPr>
        <w:tc>
          <w:tcPr>
            <w:tcMar>
              <w:left w:w="51" w:type="dxa"/>
              <w:top w:w="0" w:type="dxa"/>
              <w:right w:w="51" w:type="dxa"/>
              <w:bottom w:w="0" w:type="dxa"/>
            </w:tcMar>
            <w:tcW w:w="368" w:type="pct"/>
            <w:vAlign w:val="center"/>
            <w:textDirection w:val="lrTb"/>
            <w:noWrap w:val="false"/>
          </w:tcPr>
          <w:p>
            <w:pPr>
              <w:jc w:val="center"/>
              <w:rPr>
                <w:rFonts w:ascii="宋体" w:hAnsi="宋体" w:cs="宋体"/>
                <w:color w:val="auto"/>
                <w:sz w:val="21"/>
                <w:highlight w:val="none"/>
              </w:rPr>
            </w:pPr>
            <w:r>
              <w:rPr>
                <w:rFonts w:hint="eastAsia" w:ascii="宋体" w:hAnsi="宋体" w:cs="宋体"/>
                <w:color w:val="auto"/>
                <w:sz w:val="21"/>
                <w:highlight w:val="none"/>
              </w:rPr>
              <w:t xml:space="preserve">2</w:t>
            </w:r>
            <w:r/>
          </w:p>
        </w:tc>
        <w:tc>
          <w:tcPr>
            <w:tcMar>
              <w:left w:w="51" w:type="dxa"/>
              <w:top w:w="0" w:type="dxa"/>
              <w:right w:w="51" w:type="dxa"/>
              <w:bottom w:w="0" w:type="dxa"/>
            </w:tcMar>
            <w:tcW w:w="1033" w:type="pct"/>
            <w:vAlign w:val="center"/>
            <w:textDirection w:val="lrTb"/>
            <w:noWrap w:val="false"/>
          </w:tcPr>
          <w:p>
            <w:pPr>
              <w:jc w:val="center"/>
              <w:rPr>
                <w:rFonts w:ascii="宋体" w:hAnsi="宋体" w:cs="宋体"/>
                <w:color w:val="auto"/>
                <w:sz w:val="21"/>
                <w:highlight w:val="none"/>
              </w:rPr>
            </w:pPr>
            <w:r>
              <w:rPr>
                <w:rFonts w:hint="eastAsia" w:ascii="宋体" w:hAnsi="宋体" w:cs="宋体"/>
                <w:color w:val="auto"/>
                <w:sz w:val="21"/>
                <w:highlight w:val="none"/>
              </w:rPr>
              <w:t xml:space="preserve">采购代理机构</w:t>
            </w:r>
            <w:r/>
          </w:p>
          <w:p>
            <w:pPr>
              <w:jc w:val="center"/>
              <w:rPr>
                <w:rFonts w:ascii="宋体" w:hAnsi="宋体" w:cs="宋体"/>
                <w:color w:val="auto"/>
                <w:sz w:val="21"/>
                <w:highlight w:val="none"/>
              </w:rPr>
            </w:pPr>
            <w:r>
              <w:rPr>
                <w:rFonts w:hint="eastAsia" w:ascii="宋体" w:hAnsi="宋体" w:cs="宋体"/>
                <w:color w:val="auto"/>
                <w:sz w:val="21"/>
                <w:highlight w:val="none"/>
              </w:rPr>
              <w:t xml:space="preserve">名称及地址</w:t>
            </w:r>
            <w:r/>
          </w:p>
        </w:tc>
        <w:tc>
          <w:tcPr>
            <w:tcMar>
              <w:left w:w="51" w:type="dxa"/>
              <w:top w:w="0" w:type="dxa"/>
              <w:right w:w="51" w:type="dxa"/>
              <w:bottom w:w="0" w:type="dxa"/>
            </w:tcMar>
            <w:tcW w:w="3598" w:type="pct"/>
            <w:vAlign w:val="center"/>
            <w:textDirection w:val="lrTb"/>
            <w:noWrap w:val="false"/>
          </w:tcPr>
          <w:p>
            <w:pPr>
              <w:jc w:val="both"/>
              <w:rPr>
                <w:rFonts w:ascii="宋体" w:hAnsi="宋体" w:cs="宋体"/>
                <w:color w:val="auto"/>
                <w:sz w:val="21"/>
                <w:highlight w:val="none"/>
              </w:rPr>
            </w:pPr>
            <w:r>
              <w:rPr>
                <w:rFonts w:hint="eastAsia" w:ascii="宋体" w:hAnsi="宋体" w:cs="宋体"/>
                <w:color w:val="auto"/>
                <w:sz w:val="21"/>
                <w:highlight w:val="none"/>
              </w:rPr>
              <w:t xml:space="preserve">名称：苏州乐慧招投标咨询有限公司</w:t>
            </w:r>
            <w:r/>
          </w:p>
          <w:p>
            <w:pPr>
              <w:jc w:val="both"/>
              <w:rPr>
                <w:rFonts w:ascii="宋体" w:hAnsi="宋体" w:cs="宋体"/>
                <w:color w:val="auto"/>
                <w:sz w:val="21"/>
                <w:highlight w:val="none"/>
              </w:rPr>
            </w:pPr>
            <w:r>
              <w:rPr>
                <w:rFonts w:hint="eastAsia" w:ascii="宋体" w:hAnsi="宋体" w:cs="宋体"/>
                <w:color w:val="auto"/>
                <w:sz w:val="21"/>
                <w:highlight w:val="none"/>
              </w:rPr>
              <w:t xml:space="preserve">地址：</w:t>
            </w:r>
            <w:r>
              <w:rPr>
                <w:rFonts w:hint="eastAsia" w:ascii="宋体" w:hAnsi="宋体" w:cs="宋体"/>
                <w:color w:val="auto"/>
                <w:sz w:val="21"/>
                <w:szCs w:val="21"/>
                <w:highlight w:val="none"/>
              </w:rPr>
              <w:t xml:space="preserve">苏州市相城区元和街道华元路766号都会商业中心1幢2706室</w:t>
            </w:r>
            <w:r/>
          </w:p>
          <w:p>
            <w:pPr>
              <w:jc w:val="both"/>
              <w:rPr>
                <w:rFonts w:ascii="宋体" w:hAnsi="宋体" w:cs="宋体"/>
                <w:color w:val="auto"/>
                <w:sz w:val="21"/>
                <w:highlight w:val="none"/>
              </w:rPr>
            </w:pPr>
            <w:r>
              <w:rPr>
                <w:rFonts w:hint="eastAsia" w:ascii="宋体" w:hAnsi="宋体" w:cs="宋体"/>
                <w:color w:val="auto"/>
                <w:sz w:val="21"/>
                <w:highlight w:val="none"/>
              </w:rPr>
              <w:t xml:space="preserve">电话/传真：</w:t>
            </w:r>
            <w:r>
              <w:rPr>
                <w:rFonts w:hint="eastAsia" w:ascii="宋体" w:hAnsi="宋体" w:cs="宋体"/>
                <w:color w:val="auto"/>
                <w:sz w:val="21"/>
                <w:szCs w:val="21"/>
                <w:highlight w:val="none"/>
              </w:rPr>
              <w:t xml:space="preserve">0512-69223600</w:t>
            </w:r>
            <w:r>
              <w:rPr>
                <w:rFonts w:hint="eastAsia" w:ascii="宋体" w:hAnsi="宋体" w:cs="宋体"/>
                <w:color w:val="auto"/>
                <w:sz w:val="21"/>
                <w:highlight w:val="none"/>
              </w:rPr>
              <w:t xml:space="preserve"> </w:t>
            </w:r>
            <w:r/>
          </w:p>
          <w:p>
            <w:pPr>
              <w:jc w:val="both"/>
              <w:rPr>
                <w:rFonts w:ascii="宋体" w:hAnsi="宋体" w:cs="宋体"/>
                <w:color w:val="auto"/>
                <w:sz w:val="21"/>
                <w:highlight w:val="none"/>
              </w:rPr>
            </w:pPr>
            <w:r>
              <w:rPr>
                <w:rFonts w:hint="eastAsia" w:ascii="宋体" w:hAnsi="宋体" w:cs="宋体"/>
                <w:color w:val="auto"/>
                <w:sz w:val="21"/>
                <w:highlight w:val="none"/>
              </w:rPr>
              <w:t xml:space="preserve">联系人：王佳静、陈浩</w:t>
            </w:r>
            <w:r/>
          </w:p>
        </w:tc>
      </w:tr>
      <w:tr>
        <w:trPr>
          <w:jc w:val="center"/>
          <w:trHeight w:val="454"/>
        </w:trPr>
        <w:tc>
          <w:tcPr>
            <w:tcMar>
              <w:left w:w="51" w:type="dxa"/>
              <w:top w:w="0" w:type="dxa"/>
              <w:right w:w="51" w:type="dxa"/>
              <w:bottom w:w="0" w:type="dxa"/>
            </w:tcMar>
            <w:tcW w:w="368" w:type="pct"/>
            <w:vAlign w:val="center"/>
            <w:textDirection w:val="lrTb"/>
            <w:noWrap w:val="false"/>
          </w:tcPr>
          <w:p>
            <w:pPr>
              <w:jc w:val="center"/>
              <w:rPr>
                <w:rFonts w:ascii="宋体" w:hAnsi="宋体" w:cs="宋体"/>
                <w:color w:val="auto"/>
                <w:sz w:val="21"/>
                <w:highlight w:val="none"/>
              </w:rPr>
            </w:pPr>
            <w:r>
              <w:rPr>
                <w:rFonts w:hint="eastAsia" w:ascii="宋体" w:hAnsi="宋体" w:cs="宋体"/>
                <w:color w:val="auto"/>
                <w:sz w:val="21"/>
                <w:highlight w:val="none"/>
              </w:rPr>
              <w:t xml:space="preserve">3</w:t>
            </w:r>
            <w:r/>
          </w:p>
        </w:tc>
        <w:tc>
          <w:tcPr>
            <w:tcMar>
              <w:left w:w="51" w:type="dxa"/>
              <w:top w:w="0" w:type="dxa"/>
              <w:right w:w="51" w:type="dxa"/>
              <w:bottom w:w="0" w:type="dxa"/>
            </w:tcMar>
            <w:tcW w:w="1033" w:type="pct"/>
            <w:vAlign w:val="center"/>
            <w:textDirection w:val="lrTb"/>
            <w:noWrap w:val="false"/>
          </w:tcPr>
          <w:p>
            <w:pPr>
              <w:jc w:val="center"/>
              <w:rPr>
                <w:rFonts w:ascii="宋体" w:hAnsi="宋体" w:cs="宋体"/>
                <w:color w:val="auto"/>
                <w:sz w:val="21"/>
                <w:highlight w:val="none"/>
              </w:rPr>
            </w:pPr>
            <w:r>
              <w:rPr>
                <w:rFonts w:hint="eastAsia" w:ascii="宋体" w:hAnsi="宋体" w:cs="宋体"/>
                <w:color w:val="auto"/>
                <w:sz w:val="21"/>
                <w:highlight w:val="none"/>
              </w:rPr>
              <w:t xml:space="preserve">采购人</w:t>
            </w:r>
            <w:r/>
          </w:p>
        </w:tc>
        <w:tc>
          <w:tcPr>
            <w:tcMar>
              <w:left w:w="51" w:type="dxa"/>
              <w:top w:w="0" w:type="dxa"/>
              <w:right w:w="51" w:type="dxa"/>
              <w:bottom w:w="0" w:type="dxa"/>
            </w:tcMar>
            <w:tcW w:w="3598" w:type="pct"/>
            <w:vAlign w:val="center"/>
            <w:textDirection w:val="lrTb"/>
            <w:noWrap w:val="false"/>
          </w:tcPr>
          <w:p>
            <w:pPr>
              <w:jc w:val="both"/>
              <w:widowControl w:val="off"/>
              <w:rPr>
                <w:rFonts w:ascii="宋体" w:hAnsi="宋体" w:cs="宋体"/>
                <w:color w:val="auto"/>
                <w:sz w:val="21"/>
                <w:szCs w:val="21"/>
                <w:highlight w:val="none"/>
              </w:rPr>
            </w:pPr>
            <w:r>
              <w:rPr>
                <w:rFonts w:hint="eastAsia" w:ascii="宋体" w:hAnsi="宋体" w:cs="宋体"/>
                <w:color w:val="auto"/>
                <w:sz w:val="21"/>
                <w:highlight w:val="none"/>
              </w:rPr>
              <w:t xml:space="preserve">名称：</w:t>
            </w:r>
            <w:r>
              <w:rPr>
                <w:rFonts w:hint="eastAsia" w:ascii="宋体" w:hAnsi="宋体" w:cs="宋体"/>
                <w:color w:val="auto"/>
                <w:sz w:val="21"/>
                <w:szCs w:val="21"/>
                <w:highlight w:val="none"/>
              </w:rPr>
              <w:t xml:space="preserve">苏州市市场监督管理局</w:t>
            </w:r>
            <w:r/>
          </w:p>
          <w:p>
            <w:pPr>
              <w:jc w:val="both"/>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联系人：刘炜  </w:t>
            </w:r>
            <w:r/>
          </w:p>
          <w:p>
            <w:pPr>
              <w:jc w:val="both"/>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联系电话：0512-69851228</w:t>
            </w:r>
            <w:r/>
          </w:p>
        </w:tc>
      </w:tr>
      <w:tr>
        <w:trPr>
          <w:jc w:val="center"/>
          <w:trHeight w:val="454"/>
        </w:trPr>
        <w:tc>
          <w:tcPr>
            <w:tcMar>
              <w:left w:w="51" w:type="dxa"/>
              <w:top w:w="0" w:type="dxa"/>
              <w:right w:w="51" w:type="dxa"/>
              <w:bottom w:w="0" w:type="dxa"/>
            </w:tcMar>
            <w:tcW w:w="368" w:type="pct"/>
            <w:vAlign w:val="center"/>
            <w:textDirection w:val="lrTb"/>
            <w:noWrap w:val="false"/>
          </w:tcPr>
          <w:p>
            <w:pPr>
              <w:jc w:val="center"/>
              <w:rPr>
                <w:rFonts w:ascii="宋体" w:hAnsi="宋体" w:cs="宋体"/>
                <w:color w:val="auto"/>
                <w:sz w:val="21"/>
                <w:highlight w:val="none"/>
              </w:rPr>
            </w:pPr>
            <w:r>
              <w:rPr>
                <w:rFonts w:hint="eastAsia" w:ascii="宋体" w:hAnsi="宋体" w:cs="宋体"/>
                <w:color w:val="auto"/>
                <w:sz w:val="21"/>
                <w:highlight w:val="none"/>
              </w:rPr>
              <w:t xml:space="preserve">4</w:t>
            </w:r>
            <w:r/>
          </w:p>
        </w:tc>
        <w:tc>
          <w:tcPr>
            <w:tcMar>
              <w:left w:w="51" w:type="dxa"/>
              <w:top w:w="0" w:type="dxa"/>
              <w:right w:w="51" w:type="dxa"/>
              <w:bottom w:w="0" w:type="dxa"/>
            </w:tcMar>
            <w:tcW w:w="1033" w:type="pct"/>
            <w:vAlign w:val="center"/>
            <w:textDirection w:val="lrTb"/>
            <w:noWrap w:val="false"/>
          </w:tcPr>
          <w:p>
            <w:pPr>
              <w:jc w:val="center"/>
              <w:rPr>
                <w:rFonts w:ascii="宋体" w:hAnsi="宋体" w:cs="宋体"/>
                <w:color w:val="auto"/>
                <w:sz w:val="21"/>
                <w:highlight w:val="none"/>
              </w:rPr>
            </w:pPr>
            <w:r>
              <w:rPr>
                <w:rFonts w:hint="eastAsia" w:ascii="宋体" w:hAnsi="宋体" w:cs="宋体"/>
                <w:color w:val="auto"/>
                <w:sz w:val="21"/>
                <w:highlight w:val="none"/>
              </w:rPr>
              <w:t xml:space="preserve">标书组成</w:t>
            </w:r>
            <w:r/>
          </w:p>
        </w:tc>
        <w:tc>
          <w:tcPr>
            <w:tcMar>
              <w:left w:w="51" w:type="dxa"/>
              <w:top w:w="0" w:type="dxa"/>
              <w:right w:w="51" w:type="dxa"/>
              <w:bottom w:w="0" w:type="dxa"/>
            </w:tcMar>
            <w:tcW w:w="3598" w:type="pct"/>
            <w:vAlign w:val="center"/>
            <w:textDirection w:val="lrTb"/>
            <w:noWrap w:val="false"/>
          </w:tcPr>
          <w:p>
            <w:pPr>
              <w:jc w:val="both"/>
              <w:rPr>
                <w:rFonts w:ascii="宋体" w:hAnsi="宋体" w:cs="宋体"/>
                <w:color w:val="auto"/>
                <w:sz w:val="21"/>
                <w:highlight w:val="none"/>
              </w:rPr>
            </w:pPr>
            <w:r>
              <w:rPr>
                <w:rFonts w:hint="eastAsia" w:ascii="宋体" w:hAnsi="宋体" w:cs="宋体"/>
                <w:color w:val="auto"/>
                <w:sz w:val="21"/>
                <w:highlight w:val="none"/>
              </w:rPr>
              <w:t xml:space="preserve">1、投标资格文件；             2、投标的补充必备文件；</w:t>
            </w:r>
            <w:r/>
          </w:p>
          <w:p>
            <w:pPr>
              <w:jc w:val="both"/>
              <w:rPr>
                <w:rFonts w:ascii="宋体" w:hAnsi="宋体" w:cs="宋体"/>
                <w:color w:val="auto"/>
                <w:sz w:val="21"/>
                <w:highlight w:val="none"/>
              </w:rPr>
            </w:pPr>
            <w:r>
              <w:rPr>
                <w:rFonts w:hint="eastAsia" w:ascii="宋体" w:hAnsi="宋体" w:cs="宋体"/>
                <w:color w:val="auto"/>
                <w:sz w:val="21"/>
                <w:highlight w:val="none"/>
              </w:rPr>
              <w:t xml:space="preserve">3、标书附件格式部分；         4、投标报价表；</w:t>
            </w:r>
            <w:r/>
          </w:p>
          <w:p>
            <w:pPr>
              <w:jc w:val="both"/>
              <w:rPr>
                <w:rFonts w:ascii="宋体" w:hAnsi="宋体" w:cs="宋体"/>
                <w:color w:val="auto"/>
                <w:sz w:val="21"/>
                <w:highlight w:val="none"/>
              </w:rPr>
            </w:pPr>
            <w:r>
              <w:rPr>
                <w:rFonts w:hint="eastAsia" w:ascii="宋体" w:hAnsi="宋体" w:cs="宋体"/>
                <w:color w:val="auto"/>
                <w:sz w:val="21"/>
                <w:highlight w:val="none"/>
              </w:rPr>
              <w:t xml:space="preserve">5、投标技术部分；             6、投标商务部分；</w:t>
            </w:r>
            <w:r/>
          </w:p>
          <w:p>
            <w:pPr>
              <w:jc w:val="both"/>
              <w:rPr>
                <w:rFonts w:ascii="宋体" w:hAnsi="宋体" w:cs="宋体"/>
                <w:color w:val="auto"/>
                <w:sz w:val="21"/>
                <w:highlight w:val="none"/>
              </w:rPr>
            </w:pPr>
            <w:r>
              <w:rPr>
                <w:rFonts w:hint="eastAsia" w:ascii="宋体" w:hAnsi="宋体" w:cs="宋体"/>
                <w:color w:val="auto"/>
                <w:sz w:val="21"/>
                <w:highlight w:val="none"/>
              </w:rPr>
              <w:t xml:space="preserve">7、投标其它资料；             8、企业法定代表人授权委托书。</w:t>
            </w:r>
            <w:r/>
          </w:p>
        </w:tc>
      </w:tr>
      <w:tr>
        <w:trPr>
          <w:jc w:val="center"/>
          <w:trHeight w:val="454"/>
        </w:trPr>
        <w:tc>
          <w:tcPr>
            <w:tcMar>
              <w:left w:w="51" w:type="dxa"/>
              <w:top w:w="0" w:type="dxa"/>
              <w:right w:w="51" w:type="dxa"/>
              <w:bottom w:w="0" w:type="dxa"/>
            </w:tcMar>
            <w:tcW w:w="368" w:type="pct"/>
            <w:vAlign w:val="center"/>
            <w:textDirection w:val="lrTb"/>
            <w:noWrap w:val="false"/>
          </w:tcPr>
          <w:p>
            <w:pPr>
              <w:jc w:val="center"/>
              <w:rPr>
                <w:rFonts w:ascii="宋体" w:hAnsi="宋体" w:cs="宋体"/>
                <w:color w:val="auto"/>
                <w:sz w:val="21"/>
                <w:highlight w:val="none"/>
              </w:rPr>
            </w:pPr>
            <w:r>
              <w:rPr>
                <w:rFonts w:hint="eastAsia" w:ascii="宋体" w:hAnsi="宋体" w:cs="宋体"/>
                <w:color w:val="auto"/>
                <w:sz w:val="21"/>
                <w:highlight w:val="none"/>
              </w:rPr>
              <w:t xml:space="preserve">5</w:t>
            </w:r>
            <w:r/>
          </w:p>
        </w:tc>
        <w:tc>
          <w:tcPr>
            <w:tcMar>
              <w:left w:w="51" w:type="dxa"/>
              <w:top w:w="0" w:type="dxa"/>
              <w:right w:w="51" w:type="dxa"/>
              <w:bottom w:w="0" w:type="dxa"/>
            </w:tcMar>
            <w:tcW w:w="1033" w:type="pct"/>
            <w:vAlign w:val="center"/>
            <w:textDirection w:val="lrTb"/>
            <w:noWrap w:val="false"/>
          </w:tcPr>
          <w:p>
            <w:pPr>
              <w:jc w:val="center"/>
              <w:rPr>
                <w:rFonts w:ascii="宋体" w:hAnsi="宋体" w:cs="宋体"/>
                <w:color w:val="auto"/>
                <w:sz w:val="21"/>
                <w:highlight w:val="none"/>
              </w:rPr>
            </w:pPr>
            <w:r>
              <w:rPr>
                <w:rFonts w:hint="eastAsia" w:ascii="宋体" w:hAnsi="宋体" w:cs="宋体"/>
                <w:color w:val="auto"/>
                <w:sz w:val="21"/>
                <w:highlight w:val="none"/>
              </w:rPr>
              <w:t xml:space="preserve">标书售价</w:t>
            </w:r>
            <w:r/>
          </w:p>
        </w:tc>
        <w:tc>
          <w:tcPr>
            <w:tcMar>
              <w:left w:w="51" w:type="dxa"/>
              <w:top w:w="0" w:type="dxa"/>
              <w:right w:w="51" w:type="dxa"/>
              <w:bottom w:w="0" w:type="dxa"/>
            </w:tcMar>
            <w:tcW w:w="3598" w:type="pct"/>
            <w:vAlign w:val="center"/>
            <w:textDirection w:val="lrTb"/>
            <w:noWrap w:val="false"/>
          </w:tcPr>
          <w:p>
            <w:pPr>
              <w:jc w:val="both"/>
              <w:rPr>
                <w:rFonts w:ascii="宋体" w:hAnsi="宋体" w:cs="宋体"/>
                <w:color w:val="auto"/>
                <w:sz w:val="21"/>
                <w:highlight w:val="none"/>
              </w:rPr>
            </w:pPr>
            <w:r>
              <w:rPr>
                <w:rFonts w:hint="eastAsia" w:ascii="宋体" w:hAnsi="宋体" w:cs="宋体"/>
                <w:color w:val="auto"/>
                <w:sz w:val="21"/>
                <w:highlight w:val="none"/>
              </w:rPr>
              <w:t xml:space="preserve">免费</w:t>
            </w:r>
            <w:r/>
          </w:p>
        </w:tc>
      </w:tr>
      <w:tr>
        <w:trPr>
          <w:jc w:val="center"/>
          <w:trHeight w:val="454"/>
        </w:trPr>
        <w:tc>
          <w:tcPr>
            <w:tcMar>
              <w:left w:w="51" w:type="dxa"/>
              <w:top w:w="0" w:type="dxa"/>
              <w:right w:w="51" w:type="dxa"/>
              <w:bottom w:w="0" w:type="dxa"/>
            </w:tcMar>
            <w:tcW w:w="368" w:type="pct"/>
            <w:vAlign w:val="center"/>
            <w:textDirection w:val="lrTb"/>
            <w:noWrap w:val="false"/>
          </w:tcPr>
          <w:p>
            <w:pPr>
              <w:jc w:val="center"/>
              <w:rPr>
                <w:rFonts w:ascii="宋体" w:hAnsi="宋体" w:cs="宋体"/>
                <w:color w:val="auto"/>
                <w:sz w:val="21"/>
                <w:highlight w:val="none"/>
              </w:rPr>
            </w:pPr>
            <w:r>
              <w:rPr>
                <w:rFonts w:hint="eastAsia" w:ascii="宋体" w:hAnsi="宋体" w:cs="宋体"/>
                <w:color w:val="auto"/>
                <w:sz w:val="21"/>
                <w:highlight w:val="none"/>
              </w:rPr>
              <w:t xml:space="preserve">6</w:t>
            </w:r>
            <w:r/>
          </w:p>
        </w:tc>
        <w:tc>
          <w:tcPr>
            <w:tcMar>
              <w:left w:w="51" w:type="dxa"/>
              <w:top w:w="0" w:type="dxa"/>
              <w:right w:w="51" w:type="dxa"/>
              <w:bottom w:w="0" w:type="dxa"/>
            </w:tcMar>
            <w:tcW w:w="1033" w:type="pct"/>
            <w:vAlign w:val="center"/>
            <w:textDirection w:val="lrTb"/>
            <w:noWrap w:val="false"/>
          </w:tcPr>
          <w:p>
            <w:pPr>
              <w:jc w:val="center"/>
              <w:rPr>
                <w:rFonts w:ascii="宋体" w:hAnsi="宋体" w:cs="宋体"/>
                <w:color w:val="auto"/>
                <w:sz w:val="21"/>
                <w:highlight w:val="none"/>
              </w:rPr>
            </w:pPr>
            <w:r>
              <w:rPr>
                <w:rFonts w:hint="eastAsia" w:ascii="宋体" w:hAnsi="宋体" w:cs="宋体"/>
                <w:color w:val="auto"/>
                <w:sz w:val="21"/>
                <w:highlight w:val="none"/>
              </w:rPr>
              <w:t xml:space="preserve">投标保证金</w:t>
            </w:r>
            <w:r/>
          </w:p>
        </w:tc>
        <w:tc>
          <w:tcPr>
            <w:tcMar>
              <w:left w:w="51" w:type="dxa"/>
              <w:top w:w="0" w:type="dxa"/>
              <w:right w:w="51" w:type="dxa"/>
              <w:bottom w:w="0" w:type="dxa"/>
            </w:tcMar>
            <w:tcW w:w="3598" w:type="pct"/>
            <w:vAlign w:val="center"/>
            <w:textDirection w:val="lrTb"/>
            <w:noWrap w:val="false"/>
          </w:tcPr>
          <w:p>
            <w:pPr>
              <w:pStyle w:val="984"/>
              <w:rPr>
                <w:rFonts w:eastAsia="宋体" w:cs="宋体"/>
                <w:color w:val="auto"/>
                <w:sz w:val="21"/>
                <w:highlight w:val="none"/>
              </w:rPr>
            </w:pPr>
            <w:r>
              <w:rPr>
                <w:rFonts w:hint="eastAsia" w:eastAsia="宋体" w:cs="宋体"/>
                <w:color w:val="auto"/>
                <w:sz w:val="21"/>
                <w:highlight w:val="none"/>
              </w:rPr>
              <w:t xml:space="preserve">无需缴纳</w:t>
            </w:r>
            <w:r/>
          </w:p>
        </w:tc>
      </w:tr>
      <w:tr>
        <w:trPr>
          <w:jc w:val="center"/>
          <w:trHeight w:val="454"/>
        </w:trPr>
        <w:tc>
          <w:tcPr>
            <w:tcMar>
              <w:left w:w="51" w:type="dxa"/>
              <w:top w:w="0" w:type="dxa"/>
              <w:right w:w="51" w:type="dxa"/>
              <w:bottom w:w="0" w:type="dxa"/>
            </w:tcMar>
            <w:tcW w:w="368" w:type="pct"/>
            <w:vAlign w:val="center"/>
            <w:textDirection w:val="lrTb"/>
            <w:noWrap w:val="false"/>
          </w:tcPr>
          <w:p>
            <w:pPr>
              <w:jc w:val="center"/>
              <w:rPr>
                <w:rFonts w:ascii="宋体" w:hAnsi="宋体" w:cs="宋体"/>
                <w:color w:val="auto"/>
                <w:sz w:val="21"/>
                <w:highlight w:val="none"/>
              </w:rPr>
            </w:pPr>
            <w:r>
              <w:rPr>
                <w:rFonts w:hint="eastAsia" w:ascii="宋体" w:hAnsi="宋体" w:cs="宋体"/>
                <w:color w:val="auto"/>
                <w:sz w:val="21"/>
                <w:highlight w:val="none"/>
              </w:rPr>
              <w:t xml:space="preserve">7</w:t>
            </w:r>
            <w:r/>
          </w:p>
        </w:tc>
        <w:tc>
          <w:tcPr>
            <w:tcMar>
              <w:left w:w="51" w:type="dxa"/>
              <w:top w:w="0" w:type="dxa"/>
              <w:right w:w="51" w:type="dxa"/>
              <w:bottom w:w="0" w:type="dxa"/>
            </w:tcMar>
            <w:tcW w:w="1033" w:type="pct"/>
            <w:vAlign w:val="center"/>
            <w:textDirection w:val="lrTb"/>
            <w:noWrap w:val="false"/>
          </w:tcPr>
          <w:p>
            <w:pPr>
              <w:jc w:val="center"/>
              <w:rPr>
                <w:rFonts w:ascii="宋体" w:hAnsi="宋体" w:cs="宋体"/>
                <w:color w:val="auto"/>
                <w:sz w:val="21"/>
                <w:highlight w:val="none"/>
              </w:rPr>
            </w:pPr>
            <w:r>
              <w:rPr>
                <w:rFonts w:hint="eastAsia" w:ascii="宋体" w:hAnsi="宋体" w:cs="宋体"/>
                <w:color w:val="auto"/>
                <w:sz w:val="21"/>
                <w:highlight w:val="none"/>
              </w:rPr>
              <w:t xml:space="preserve">履约保证金</w:t>
            </w:r>
            <w:r/>
          </w:p>
        </w:tc>
        <w:tc>
          <w:tcPr>
            <w:tcMar>
              <w:left w:w="51" w:type="dxa"/>
              <w:top w:w="0" w:type="dxa"/>
              <w:right w:w="51" w:type="dxa"/>
              <w:bottom w:w="0" w:type="dxa"/>
            </w:tcMar>
            <w:tcW w:w="3598" w:type="pct"/>
            <w:vAlign w:val="center"/>
            <w:textDirection w:val="lrTb"/>
            <w:noWrap w:val="false"/>
          </w:tcPr>
          <w:p>
            <w:pPr>
              <w:pStyle w:val="984"/>
              <w:rPr>
                <w:rFonts w:eastAsia="宋体" w:cs="宋体"/>
                <w:color w:val="auto"/>
                <w:sz w:val="21"/>
                <w:szCs w:val="24"/>
                <w:highlight w:val="none"/>
              </w:rPr>
            </w:pPr>
            <w:r>
              <w:rPr>
                <w:rFonts w:hint="eastAsia" w:eastAsia="宋体" w:cs="宋体"/>
                <w:color w:val="auto"/>
                <w:sz w:val="21"/>
                <w:szCs w:val="24"/>
                <w:highlight w:val="none"/>
              </w:rPr>
              <w:t xml:space="preserve">无需缴纳</w:t>
            </w:r>
            <w:r/>
          </w:p>
        </w:tc>
      </w:tr>
      <w:tr>
        <w:trPr>
          <w:jc w:val="center"/>
          <w:trHeight w:val="454"/>
        </w:trPr>
        <w:tc>
          <w:tcPr>
            <w:tcMar>
              <w:left w:w="51" w:type="dxa"/>
              <w:top w:w="0" w:type="dxa"/>
              <w:right w:w="51" w:type="dxa"/>
              <w:bottom w:w="0" w:type="dxa"/>
            </w:tcMar>
            <w:tcW w:w="368" w:type="pct"/>
            <w:vAlign w:val="center"/>
            <w:textDirection w:val="lrTb"/>
            <w:noWrap w:val="false"/>
          </w:tcPr>
          <w:p>
            <w:pPr>
              <w:jc w:val="center"/>
              <w:rPr>
                <w:rFonts w:ascii="宋体" w:hAnsi="宋体" w:cs="宋体"/>
                <w:color w:val="auto"/>
                <w:sz w:val="21"/>
                <w:highlight w:val="none"/>
              </w:rPr>
            </w:pPr>
            <w:r>
              <w:rPr>
                <w:rFonts w:hint="eastAsia" w:ascii="宋体" w:hAnsi="宋体" w:cs="宋体"/>
                <w:color w:val="auto"/>
                <w:sz w:val="21"/>
                <w:highlight w:val="none"/>
              </w:rPr>
              <w:t xml:space="preserve">8</w:t>
            </w:r>
            <w:r/>
          </w:p>
        </w:tc>
        <w:tc>
          <w:tcPr>
            <w:tcMar>
              <w:left w:w="51" w:type="dxa"/>
              <w:top w:w="0" w:type="dxa"/>
              <w:right w:w="51" w:type="dxa"/>
              <w:bottom w:w="0" w:type="dxa"/>
            </w:tcMar>
            <w:tcW w:w="1033" w:type="pct"/>
            <w:vAlign w:val="center"/>
            <w:textDirection w:val="lrTb"/>
            <w:noWrap w:val="false"/>
          </w:tcPr>
          <w:p>
            <w:pPr>
              <w:jc w:val="center"/>
              <w:rPr>
                <w:rFonts w:ascii="宋体" w:hAnsi="宋体" w:cs="宋体"/>
                <w:color w:val="auto"/>
                <w:sz w:val="21"/>
                <w:highlight w:val="none"/>
              </w:rPr>
            </w:pPr>
            <w:r>
              <w:rPr>
                <w:rFonts w:hint="eastAsia" w:ascii="宋体" w:hAnsi="宋体" w:cs="宋体"/>
                <w:color w:val="auto"/>
                <w:sz w:val="21"/>
                <w:highlight w:val="none"/>
              </w:rPr>
              <w:t xml:space="preserve">投标有效期</w:t>
            </w:r>
            <w:r/>
          </w:p>
        </w:tc>
        <w:tc>
          <w:tcPr>
            <w:tcMar>
              <w:left w:w="51" w:type="dxa"/>
              <w:top w:w="0" w:type="dxa"/>
              <w:right w:w="51" w:type="dxa"/>
              <w:bottom w:w="0" w:type="dxa"/>
            </w:tcMar>
            <w:tcW w:w="3598" w:type="pct"/>
            <w:vAlign w:val="center"/>
            <w:textDirection w:val="lrTb"/>
            <w:noWrap w:val="false"/>
          </w:tcPr>
          <w:p>
            <w:pPr>
              <w:jc w:val="both"/>
              <w:rPr>
                <w:rFonts w:ascii="宋体" w:hAnsi="宋体" w:cs="宋体"/>
                <w:color w:val="auto"/>
                <w:sz w:val="21"/>
                <w:highlight w:val="none"/>
              </w:rPr>
            </w:pPr>
            <w:r>
              <w:rPr>
                <w:rFonts w:hint="eastAsia" w:ascii="宋体" w:hAnsi="宋体" w:cs="宋体"/>
                <w:color w:val="auto"/>
                <w:sz w:val="21"/>
                <w:highlight w:val="none"/>
              </w:rPr>
              <w:t xml:space="preserve">开标后九十日内</w:t>
            </w:r>
            <w:r/>
          </w:p>
        </w:tc>
      </w:tr>
      <w:tr>
        <w:trPr>
          <w:jc w:val="center"/>
          <w:trHeight w:val="454"/>
        </w:trPr>
        <w:tc>
          <w:tcPr>
            <w:tcMar>
              <w:left w:w="51" w:type="dxa"/>
              <w:top w:w="0" w:type="dxa"/>
              <w:right w:w="51" w:type="dxa"/>
              <w:bottom w:w="0" w:type="dxa"/>
            </w:tcMar>
            <w:tcW w:w="368" w:type="pct"/>
            <w:vAlign w:val="center"/>
            <w:textDirection w:val="lrTb"/>
            <w:noWrap w:val="false"/>
          </w:tcPr>
          <w:p>
            <w:pPr>
              <w:jc w:val="center"/>
              <w:rPr>
                <w:rFonts w:ascii="宋体" w:hAnsi="宋体" w:cs="宋体"/>
                <w:color w:val="auto"/>
                <w:sz w:val="21"/>
                <w:highlight w:val="none"/>
              </w:rPr>
            </w:pPr>
            <w:r>
              <w:rPr>
                <w:rFonts w:hint="eastAsia" w:ascii="宋体" w:hAnsi="宋体" w:cs="宋体"/>
                <w:color w:val="auto"/>
                <w:sz w:val="21"/>
                <w:highlight w:val="none"/>
              </w:rPr>
              <w:t xml:space="preserve">9</w:t>
            </w:r>
            <w:r/>
          </w:p>
        </w:tc>
        <w:tc>
          <w:tcPr>
            <w:tcMar>
              <w:left w:w="51" w:type="dxa"/>
              <w:top w:w="0" w:type="dxa"/>
              <w:right w:w="51" w:type="dxa"/>
              <w:bottom w:w="0" w:type="dxa"/>
            </w:tcMar>
            <w:tcW w:w="1033" w:type="pct"/>
            <w:vAlign w:val="center"/>
            <w:textDirection w:val="lrTb"/>
            <w:noWrap w:val="false"/>
          </w:tcPr>
          <w:p>
            <w:pPr>
              <w:jc w:val="center"/>
              <w:rPr>
                <w:rFonts w:ascii="宋体" w:hAnsi="宋体" w:cs="宋体"/>
                <w:color w:val="auto"/>
                <w:sz w:val="21"/>
                <w:highlight w:val="none"/>
              </w:rPr>
            </w:pPr>
            <w:r>
              <w:rPr>
                <w:rFonts w:hint="eastAsia" w:ascii="宋体" w:hAnsi="宋体" w:cs="宋体"/>
                <w:color w:val="auto"/>
                <w:sz w:val="21"/>
                <w:highlight w:val="none"/>
              </w:rPr>
              <w:t xml:space="preserve">投标文件份数</w:t>
            </w:r>
            <w:r/>
          </w:p>
        </w:tc>
        <w:tc>
          <w:tcPr>
            <w:tcMar>
              <w:left w:w="51" w:type="dxa"/>
              <w:top w:w="0" w:type="dxa"/>
              <w:right w:w="51" w:type="dxa"/>
              <w:bottom w:w="0" w:type="dxa"/>
            </w:tcMar>
            <w:tcW w:w="3598" w:type="pct"/>
            <w:vAlign w:val="center"/>
            <w:textDirection w:val="lrTb"/>
            <w:noWrap w:val="false"/>
          </w:tcPr>
          <w:p>
            <w:pPr>
              <w:jc w:val="both"/>
              <w:rPr>
                <w:rFonts w:ascii="宋体" w:hAnsi="宋体" w:cs="宋体"/>
                <w:color w:val="auto"/>
                <w:sz w:val="21"/>
                <w:highlight w:val="none"/>
              </w:rPr>
            </w:pPr>
            <w:r>
              <w:rPr>
                <w:rFonts w:hint="eastAsia" w:ascii="宋体" w:hAnsi="宋体" w:cs="宋体"/>
                <w:color w:val="auto"/>
                <w:sz w:val="21"/>
                <w:highlight w:val="none"/>
              </w:rPr>
              <w:t xml:space="preserve">本项目为网上电子投标，中标单位在领取中标通知书后需向采购人提供与投标所报电子文件一致的纸质投标文件</w:t>
            </w:r>
            <w:r>
              <w:rPr>
                <w:rFonts w:hint="eastAsia" w:ascii="宋体" w:hAnsi="宋体" w:cs="宋体"/>
                <w:b/>
                <w:bCs/>
                <w:color w:val="auto"/>
                <w:sz w:val="21"/>
                <w:highlight w:val="none"/>
                <w:u w:val="single"/>
              </w:rPr>
              <w:t xml:space="preserve">1</w:t>
            </w:r>
            <w:r>
              <w:rPr>
                <w:rFonts w:hint="eastAsia" w:ascii="宋体" w:hAnsi="宋体" w:cs="宋体"/>
                <w:color w:val="auto"/>
                <w:sz w:val="21"/>
                <w:highlight w:val="none"/>
              </w:rPr>
              <w:t xml:space="preserve">份。</w:t>
            </w:r>
            <w:r/>
          </w:p>
        </w:tc>
      </w:tr>
      <w:tr>
        <w:trPr>
          <w:jc w:val="center"/>
          <w:trHeight w:val="454"/>
        </w:trPr>
        <w:tc>
          <w:tcPr>
            <w:tcMar>
              <w:left w:w="51" w:type="dxa"/>
              <w:top w:w="0" w:type="dxa"/>
              <w:right w:w="51" w:type="dxa"/>
              <w:bottom w:w="0" w:type="dxa"/>
            </w:tcMar>
            <w:tcW w:w="368" w:type="pct"/>
            <w:vAlign w:val="center"/>
            <w:textDirection w:val="lrTb"/>
            <w:noWrap w:val="false"/>
          </w:tcPr>
          <w:p>
            <w:pPr>
              <w:jc w:val="center"/>
              <w:rPr>
                <w:rFonts w:ascii="宋体" w:hAnsi="宋体" w:cs="宋体"/>
                <w:color w:val="auto"/>
                <w:sz w:val="21"/>
                <w:highlight w:val="none"/>
              </w:rPr>
            </w:pPr>
            <w:r>
              <w:rPr>
                <w:rFonts w:hint="eastAsia" w:ascii="宋体" w:hAnsi="宋体" w:cs="宋体"/>
                <w:color w:val="auto"/>
                <w:sz w:val="21"/>
                <w:highlight w:val="none"/>
              </w:rPr>
              <w:t xml:space="preserve">10</w:t>
            </w:r>
            <w:r/>
          </w:p>
        </w:tc>
        <w:tc>
          <w:tcPr>
            <w:tcMar>
              <w:left w:w="51" w:type="dxa"/>
              <w:top w:w="0" w:type="dxa"/>
              <w:right w:w="51" w:type="dxa"/>
              <w:bottom w:w="0" w:type="dxa"/>
            </w:tcMar>
            <w:tcW w:w="1033" w:type="pct"/>
            <w:vAlign w:val="center"/>
            <w:textDirection w:val="lrTb"/>
            <w:noWrap w:val="false"/>
          </w:tcPr>
          <w:p>
            <w:pPr>
              <w:jc w:val="center"/>
              <w:rPr>
                <w:rFonts w:ascii="宋体" w:hAnsi="宋体" w:cs="宋体"/>
                <w:color w:val="auto"/>
                <w:sz w:val="21"/>
                <w:highlight w:val="none"/>
              </w:rPr>
            </w:pPr>
            <w:r>
              <w:rPr>
                <w:rFonts w:hint="eastAsia" w:ascii="宋体" w:hAnsi="宋体" w:cs="宋体"/>
                <w:color w:val="auto"/>
                <w:sz w:val="21"/>
                <w:highlight w:val="none"/>
              </w:rPr>
              <w:t xml:space="preserve">投标书递交时间</w:t>
            </w:r>
            <w:r/>
          </w:p>
        </w:tc>
        <w:tc>
          <w:tcPr>
            <w:tcMar>
              <w:left w:w="51" w:type="dxa"/>
              <w:top w:w="0" w:type="dxa"/>
              <w:right w:w="51" w:type="dxa"/>
              <w:bottom w:w="0" w:type="dxa"/>
            </w:tcMar>
            <w:tcW w:w="3598" w:type="pct"/>
            <w:vAlign w:val="center"/>
            <w:textDirection w:val="lrTb"/>
            <w:noWrap w:val="false"/>
          </w:tcPr>
          <w:p>
            <w:pPr>
              <w:jc w:val="both"/>
              <w:rPr>
                <w:rFonts w:ascii="宋体" w:hAnsi="宋体" w:cs="宋体"/>
                <w:color w:val="auto"/>
                <w:sz w:val="21"/>
                <w:highlight w:val="none"/>
              </w:rPr>
            </w:pPr>
            <w:r>
              <w:rPr>
                <w:rFonts w:hint="eastAsia" w:ascii="宋体" w:hAnsi="宋体" w:cs="宋体"/>
                <w:color w:val="auto"/>
                <w:sz w:val="21"/>
                <w:highlight w:val="none"/>
                <w:lang w:eastAsia="zh-CN"/>
              </w:rPr>
              <w:t xml:space="preserve">2026年5月14日9点30分</w:t>
            </w:r>
            <w:r>
              <w:rPr>
                <w:rFonts w:hint="eastAsia" w:ascii="宋体" w:hAnsi="宋体" w:cs="宋体"/>
                <w:color w:val="auto"/>
                <w:sz w:val="21"/>
                <w:highlight w:val="none"/>
                <w:lang w:eastAsia="zh-CN"/>
              </w:rPr>
              <w:t xml:space="preserve">前</w:t>
            </w:r>
            <w:r>
              <w:rPr>
                <w:rFonts w:hint="eastAsia" w:ascii="宋体" w:hAnsi="宋体" w:cs="宋体"/>
                <w:color w:val="auto"/>
                <w:sz w:val="21"/>
                <w:highlight w:val="none"/>
              </w:rPr>
              <w:t xml:space="preserve">（北京时间）</w:t>
            </w:r>
            <w:r/>
          </w:p>
        </w:tc>
      </w:tr>
      <w:tr>
        <w:trPr>
          <w:jc w:val="center"/>
          <w:trHeight w:val="454"/>
        </w:trPr>
        <w:tc>
          <w:tcPr>
            <w:tcMar>
              <w:left w:w="51" w:type="dxa"/>
              <w:top w:w="0" w:type="dxa"/>
              <w:right w:w="51" w:type="dxa"/>
              <w:bottom w:w="0" w:type="dxa"/>
            </w:tcMar>
            <w:tcW w:w="368" w:type="pct"/>
            <w:vAlign w:val="center"/>
            <w:textDirection w:val="lrTb"/>
            <w:noWrap w:val="false"/>
          </w:tcPr>
          <w:p>
            <w:pPr>
              <w:jc w:val="center"/>
              <w:rPr>
                <w:rFonts w:ascii="宋体" w:hAnsi="宋体" w:cs="宋体"/>
                <w:color w:val="auto"/>
                <w:sz w:val="21"/>
                <w:highlight w:val="none"/>
              </w:rPr>
            </w:pPr>
            <w:r>
              <w:rPr>
                <w:rFonts w:hint="eastAsia" w:ascii="宋体" w:hAnsi="宋体" w:cs="宋体"/>
                <w:color w:val="auto"/>
                <w:sz w:val="21"/>
                <w:highlight w:val="none"/>
              </w:rPr>
              <w:t xml:space="preserve">11</w:t>
            </w:r>
            <w:r/>
          </w:p>
        </w:tc>
        <w:tc>
          <w:tcPr>
            <w:tcMar>
              <w:left w:w="51" w:type="dxa"/>
              <w:top w:w="0" w:type="dxa"/>
              <w:right w:w="51" w:type="dxa"/>
              <w:bottom w:w="0" w:type="dxa"/>
            </w:tcMar>
            <w:tcW w:w="1033" w:type="pct"/>
            <w:vAlign w:val="center"/>
            <w:textDirection w:val="lrTb"/>
            <w:noWrap w:val="false"/>
          </w:tcPr>
          <w:p>
            <w:pPr>
              <w:jc w:val="center"/>
              <w:rPr>
                <w:rFonts w:ascii="宋体" w:hAnsi="宋体" w:cs="宋体"/>
                <w:color w:val="auto"/>
                <w:sz w:val="21"/>
                <w:highlight w:val="none"/>
              </w:rPr>
            </w:pPr>
            <w:r>
              <w:rPr>
                <w:rFonts w:hint="eastAsia" w:ascii="宋体" w:hAnsi="宋体" w:cs="宋体"/>
                <w:color w:val="auto"/>
                <w:sz w:val="21"/>
                <w:highlight w:val="none"/>
              </w:rPr>
              <w:t xml:space="preserve">投标截止时间地点</w:t>
            </w:r>
            <w:r/>
          </w:p>
        </w:tc>
        <w:tc>
          <w:tcPr>
            <w:tcMar>
              <w:left w:w="51" w:type="dxa"/>
              <w:top w:w="0" w:type="dxa"/>
              <w:right w:w="51" w:type="dxa"/>
              <w:bottom w:w="0" w:type="dxa"/>
            </w:tcMar>
            <w:tcW w:w="3598" w:type="pct"/>
            <w:vAlign w:val="center"/>
            <w:textDirection w:val="lrTb"/>
            <w:noWrap w:val="false"/>
          </w:tcPr>
          <w:p>
            <w:pPr>
              <w:jc w:val="both"/>
              <w:rPr>
                <w:rFonts w:ascii="宋体" w:hAnsi="宋体" w:cs="宋体"/>
                <w:color w:val="auto"/>
                <w:sz w:val="21"/>
                <w:highlight w:val="none"/>
              </w:rPr>
            </w:pPr>
            <w:r>
              <w:rPr>
                <w:rFonts w:hint="eastAsia" w:ascii="宋体" w:hAnsi="宋体" w:cs="宋体"/>
                <w:color w:val="auto"/>
                <w:sz w:val="21"/>
                <w:highlight w:val="none"/>
                <w:lang w:eastAsia="zh-CN"/>
              </w:rPr>
              <w:t xml:space="preserve">2026年5月14日9点30分</w:t>
            </w:r>
            <w:r>
              <w:rPr>
                <w:rFonts w:hint="eastAsia" w:ascii="宋体" w:hAnsi="宋体" w:cs="宋体"/>
                <w:color w:val="auto"/>
                <w:sz w:val="21"/>
                <w:highlight w:val="none"/>
              </w:rPr>
              <w:t xml:space="preserve">（北京时间）</w:t>
            </w:r>
            <w:r/>
          </w:p>
          <w:p>
            <w:pPr>
              <w:pStyle w:val="836"/>
              <w:ind w:left="0"/>
              <w:spacing w:line="240" w:lineRule="auto"/>
              <w:rPr>
                <w:rFonts w:ascii="宋体" w:hAnsi="宋体" w:eastAsia="宋体" w:cs="宋体"/>
                <w:color w:val="auto"/>
                <w:highlight w:val="none"/>
              </w:rPr>
            </w:pPr>
            <w:r>
              <w:rPr>
                <w:rFonts w:hint="eastAsia" w:ascii="宋体" w:hAnsi="宋体" w:eastAsia="宋体" w:cs="宋体"/>
                <w:color w:val="auto"/>
                <w:sz w:val="21"/>
                <w:szCs w:val="21"/>
                <w:highlight w:val="none"/>
              </w:rPr>
              <w:t xml:space="preserve">“苏采云”系统（网址：http://jszfcg.jsczt.cn/）。投标文件网上提交，不需要现场参加采购活动，无需提供纸质投标文件。</w:t>
            </w:r>
            <w:r/>
          </w:p>
        </w:tc>
      </w:tr>
      <w:tr>
        <w:trPr>
          <w:jc w:val="center"/>
          <w:trHeight w:val="454"/>
        </w:trPr>
        <w:tc>
          <w:tcPr>
            <w:tcMar>
              <w:left w:w="51" w:type="dxa"/>
              <w:top w:w="0" w:type="dxa"/>
              <w:right w:w="51" w:type="dxa"/>
              <w:bottom w:w="0" w:type="dxa"/>
            </w:tcMar>
            <w:tcW w:w="368" w:type="pct"/>
            <w:vAlign w:val="center"/>
            <w:textDirection w:val="lrTb"/>
            <w:noWrap w:val="false"/>
          </w:tcPr>
          <w:p>
            <w:pPr>
              <w:jc w:val="center"/>
              <w:rPr>
                <w:rFonts w:ascii="宋体" w:hAnsi="宋体" w:cs="宋体"/>
                <w:color w:val="auto"/>
                <w:sz w:val="21"/>
                <w:highlight w:val="none"/>
              </w:rPr>
            </w:pPr>
            <w:r>
              <w:rPr>
                <w:rFonts w:hint="eastAsia" w:ascii="宋体" w:hAnsi="宋体" w:cs="宋体"/>
                <w:color w:val="auto"/>
                <w:sz w:val="21"/>
                <w:highlight w:val="none"/>
              </w:rPr>
              <w:t xml:space="preserve">12</w:t>
            </w:r>
            <w:r/>
          </w:p>
        </w:tc>
        <w:tc>
          <w:tcPr>
            <w:tcMar>
              <w:left w:w="51" w:type="dxa"/>
              <w:top w:w="0" w:type="dxa"/>
              <w:right w:w="51" w:type="dxa"/>
              <w:bottom w:w="0" w:type="dxa"/>
            </w:tcMar>
            <w:tcW w:w="1033" w:type="pct"/>
            <w:vAlign w:val="center"/>
            <w:textDirection w:val="lrTb"/>
            <w:noWrap w:val="false"/>
          </w:tcPr>
          <w:p>
            <w:pPr>
              <w:jc w:val="center"/>
              <w:rPr>
                <w:rFonts w:ascii="宋体" w:hAnsi="宋体" w:cs="宋体"/>
                <w:color w:val="auto"/>
                <w:sz w:val="21"/>
                <w:highlight w:val="none"/>
              </w:rPr>
            </w:pPr>
            <w:r>
              <w:rPr>
                <w:rFonts w:hint="eastAsia" w:ascii="宋体" w:hAnsi="宋体" w:cs="宋体"/>
                <w:color w:val="auto"/>
                <w:sz w:val="21"/>
                <w:highlight w:val="none"/>
              </w:rPr>
              <w:t xml:space="preserve">开标时间：</w:t>
            </w:r>
            <w:r/>
          </w:p>
          <w:p>
            <w:pPr>
              <w:jc w:val="center"/>
              <w:rPr>
                <w:rFonts w:ascii="宋体" w:hAnsi="宋体" w:cs="宋体"/>
                <w:color w:val="auto"/>
                <w:sz w:val="21"/>
                <w:highlight w:val="none"/>
              </w:rPr>
            </w:pPr>
            <w:r>
              <w:rPr>
                <w:rFonts w:hint="eastAsia" w:ascii="宋体" w:hAnsi="宋体" w:cs="宋体"/>
                <w:color w:val="auto"/>
                <w:sz w:val="21"/>
                <w:highlight w:val="none"/>
              </w:rPr>
              <w:t xml:space="preserve">开标地点：</w:t>
            </w:r>
            <w:r/>
          </w:p>
        </w:tc>
        <w:tc>
          <w:tcPr>
            <w:tcMar>
              <w:left w:w="51" w:type="dxa"/>
              <w:top w:w="0" w:type="dxa"/>
              <w:right w:w="51" w:type="dxa"/>
              <w:bottom w:w="0" w:type="dxa"/>
            </w:tcMar>
            <w:tcW w:w="3598" w:type="pct"/>
            <w:vAlign w:val="center"/>
            <w:textDirection w:val="lrTb"/>
            <w:noWrap w:val="false"/>
          </w:tcPr>
          <w:p>
            <w:pPr>
              <w:jc w:val="both"/>
              <w:rPr>
                <w:rFonts w:ascii="宋体" w:hAnsi="宋体" w:cs="宋体"/>
                <w:color w:val="auto"/>
                <w:sz w:val="21"/>
                <w:highlight w:val="none"/>
              </w:rPr>
            </w:pPr>
            <w:r>
              <w:rPr>
                <w:rFonts w:hint="eastAsia" w:ascii="宋体" w:hAnsi="宋体" w:cs="宋体"/>
                <w:color w:val="auto"/>
                <w:sz w:val="21"/>
                <w:highlight w:val="none"/>
                <w:lang w:eastAsia="zh-CN"/>
              </w:rPr>
              <w:t xml:space="preserve">2026年5月14日9点30分</w:t>
            </w:r>
            <w:r>
              <w:rPr>
                <w:rFonts w:hint="eastAsia" w:ascii="宋体" w:hAnsi="宋体" w:cs="宋体"/>
                <w:color w:val="auto"/>
                <w:sz w:val="21"/>
                <w:highlight w:val="none"/>
              </w:rPr>
              <w:t xml:space="preserve">（北京时间）</w:t>
            </w:r>
            <w:r/>
          </w:p>
          <w:p>
            <w:pPr>
              <w:jc w:val="both"/>
              <w:rPr>
                <w:rFonts w:ascii="宋体" w:hAnsi="宋体" w:cs="宋体"/>
                <w:color w:val="auto"/>
                <w:sz w:val="21"/>
                <w:highlight w:val="none"/>
              </w:rPr>
            </w:pPr>
            <w:r>
              <w:rPr>
                <w:rFonts w:hint="eastAsia" w:ascii="宋体" w:hAnsi="宋体" w:cs="宋体"/>
                <w:color w:val="auto"/>
                <w:sz w:val="21"/>
                <w:szCs w:val="21"/>
                <w:highlight w:val="none"/>
              </w:rPr>
              <w:t xml:space="preserve">供应商登录“苏采云”系统，点击“开标大厅”，选择对应项目，点击进入不见面开标系统。</w:t>
            </w:r>
            <w:r/>
          </w:p>
        </w:tc>
      </w:tr>
      <w:tr>
        <w:trPr>
          <w:jc w:val="center"/>
          <w:trHeight w:val="454"/>
        </w:trPr>
        <w:tc>
          <w:tcPr>
            <w:tcMar>
              <w:left w:w="51" w:type="dxa"/>
              <w:top w:w="0" w:type="dxa"/>
              <w:right w:w="51" w:type="dxa"/>
              <w:bottom w:w="0" w:type="dxa"/>
            </w:tcMar>
            <w:tcW w:w="368" w:type="pct"/>
            <w:vAlign w:val="center"/>
            <w:textDirection w:val="lrTb"/>
            <w:noWrap w:val="false"/>
          </w:tcPr>
          <w:p>
            <w:pPr>
              <w:jc w:val="center"/>
              <w:rPr>
                <w:rFonts w:ascii="宋体" w:hAnsi="宋体" w:cs="宋体"/>
                <w:color w:val="auto"/>
                <w:sz w:val="21"/>
                <w:highlight w:val="none"/>
              </w:rPr>
            </w:pPr>
            <w:r>
              <w:rPr>
                <w:rFonts w:hint="eastAsia" w:ascii="宋体" w:hAnsi="宋体" w:cs="宋体"/>
                <w:color w:val="auto"/>
                <w:sz w:val="21"/>
                <w:highlight w:val="none"/>
              </w:rPr>
              <w:t xml:space="preserve">13</w:t>
            </w:r>
            <w:r/>
          </w:p>
        </w:tc>
        <w:tc>
          <w:tcPr>
            <w:tcMar>
              <w:left w:w="51" w:type="dxa"/>
              <w:top w:w="0" w:type="dxa"/>
              <w:right w:w="51" w:type="dxa"/>
              <w:bottom w:w="0" w:type="dxa"/>
            </w:tcMar>
            <w:tcW w:w="1033" w:type="pct"/>
            <w:vAlign w:val="center"/>
            <w:textDirection w:val="lrTb"/>
            <w:noWrap w:val="false"/>
          </w:tcPr>
          <w:p>
            <w:pPr>
              <w:jc w:val="center"/>
              <w:rPr>
                <w:rFonts w:ascii="宋体" w:hAnsi="宋体" w:cs="宋体"/>
                <w:color w:val="auto"/>
                <w:sz w:val="21"/>
                <w:highlight w:val="none"/>
              </w:rPr>
            </w:pPr>
            <w:r>
              <w:rPr>
                <w:rFonts w:hint="eastAsia" w:ascii="宋体" w:hAnsi="宋体" w:cs="宋体"/>
                <w:color w:val="auto"/>
                <w:sz w:val="21"/>
                <w:highlight w:val="none"/>
              </w:rPr>
              <w:t xml:space="preserve">签订合同地点</w:t>
            </w:r>
            <w:r/>
          </w:p>
        </w:tc>
        <w:tc>
          <w:tcPr>
            <w:tcMar>
              <w:left w:w="51" w:type="dxa"/>
              <w:top w:w="0" w:type="dxa"/>
              <w:right w:w="51" w:type="dxa"/>
              <w:bottom w:w="0" w:type="dxa"/>
            </w:tcMar>
            <w:tcW w:w="3598" w:type="pct"/>
            <w:vAlign w:val="center"/>
            <w:textDirection w:val="lrTb"/>
            <w:noWrap w:val="false"/>
          </w:tcPr>
          <w:p>
            <w:pPr>
              <w:jc w:val="both"/>
              <w:rPr>
                <w:rFonts w:ascii="宋体" w:hAnsi="宋体" w:cs="宋体"/>
                <w:color w:val="auto"/>
                <w:sz w:val="21"/>
                <w:highlight w:val="none"/>
              </w:rPr>
            </w:pPr>
            <w:r>
              <w:rPr>
                <w:rFonts w:hint="eastAsia" w:ascii="宋体" w:hAnsi="宋体" w:cs="宋体"/>
                <w:color w:val="auto"/>
                <w:sz w:val="21"/>
                <w:highlight w:val="none"/>
              </w:rPr>
              <w:t xml:space="preserve">凭采购代理机构通知</w:t>
            </w:r>
            <w:r/>
          </w:p>
        </w:tc>
      </w:tr>
      <w:tr>
        <w:trPr>
          <w:jc w:val="center"/>
          <w:trHeight w:val="454"/>
        </w:trPr>
        <w:tc>
          <w:tcPr>
            <w:tcMar>
              <w:left w:w="51" w:type="dxa"/>
              <w:top w:w="0" w:type="dxa"/>
              <w:right w:w="51" w:type="dxa"/>
              <w:bottom w:w="0" w:type="dxa"/>
            </w:tcMar>
            <w:tcW w:w="368" w:type="pct"/>
            <w:vAlign w:val="center"/>
            <w:textDirection w:val="lrTb"/>
            <w:noWrap w:val="false"/>
          </w:tcPr>
          <w:p>
            <w:pPr>
              <w:jc w:val="center"/>
              <w:rPr>
                <w:rFonts w:ascii="宋体" w:hAnsi="宋体" w:cs="宋体"/>
                <w:color w:val="auto"/>
                <w:sz w:val="21"/>
                <w:highlight w:val="none"/>
              </w:rPr>
            </w:pPr>
            <w:r>
              <w:rPr>
                <w:rFonts w:hint="eastAsia" w:ascii="宋体" w:hAnsi="宋体" w:cs="宋体"/>
                <w:color w:val="auto"/>
                <w:sz w:val="21"/>
                <w:highlight w:val="none"/>
              </w:rPr>
              <w:t xml:space="preserve">14</w:t>
            </w:r>
            <w:r/>
          </w:p>
        </w:tc>
        <w:tc>
          <w:tcPr>
            <w:tcMar>
              <w:left w:w="51" w:type="dxa"/>
              <w:top w:w="0" w:type="dxa"/>
              <w:right w:w="51" w:type="dxa"/>
              <w:bottom w:w="0" w:type="dxa"/>
            </w:tcMar>
            <w:tcW w:w="1033" w:type="pct"/>
            <w:vAlign w:val="center"/>
            <w:textDirection w:val="lrTb"/>
            <w:noWrap w:val="false"/>
          </w:tcPr>
          <w:p>
            <w:pPr>
              <w:jc w:val="center"/>
              <w:rPr>
                <w:rFonts w:ascii="宋体" w:hAnsi="宋体" w:cs="宋体"/>
                <w:color w:val="auto"/>
                <w:sz w:val="21"/>
                <w:highlight w:val="none"/>
              </w:rPr>
            </w:pPr>
            <w:r>
              <w:rPr>
                <w:rFonts w:hint="eastAsia" w:ascii="宋体" w:hAnsi="宋体" w:cs="宋体"/>
                <w:color w:val="auto"/>
                <w:sz w:val="21"/>
                <w:highlight w:val="none"/>
              </w:rPr>
              <w:t xml:space="preserve">投标报价本位币</w:t>
            </w:r>
            <w:r/>
          </w:p>
        </w:tc>
        <w:tc>
          <w:tcPr>
            <w:tcMar>
              <w:left w:w="51" w:type="dxa"/>
              <w:top w:w="0" w:type="dxa"/>
              <w:right w:w="51" w:type="dxa"/>
              <w:bottom w:w="0" w:type="dxa"/>
            </w:tcMar>
            <w:tcW w:w="3598" w:type="pct"/>
            <w:vAlign w:val="center"/>
            <w:textDirection w:val="lrTb"/>
            <w:noWrap w:val="false"/>
          </w:tcPr>
          <w:p>
            <w:pPr>
              <w:jc w:val="both"/>
              <w:rPr>
                <w:rFonts w:ascii="宋体" w:hAnsi="宋体" w:cs="宋体"/>
                <w:color w:val="auto"/>
                <w:sz w:val="21"/>
                <w:highlight w:val="none"/>
              </w:rPr>
            </w:pPr>
            <w:r>
              <w:rPr>
                <w:rFonts w:hint="eastAsia" w:ascii="宋体" w:hAnsi="宋体" w:cs="宋体"/>
                <w:color w:val="auto"/>
                <w:sz w:val="21"/>
                <w:highlight w:val="none"/>
              </w:rPr>
              <w:t xml:space="preserve">人民币</w:t>
            </w:r>
            <w:r/>
          </w:p>
        </w:tc>
      </w:tr>
      <w:tr>
        <w:trPr>
          <w:jc w:val="center"/>
          <w:trHeight w:val="454"/>
        </w:trPr>
        <w:tc>
          <w:tcPr>
            <w:tcMar>
              <w:left w:w="51" w:type="dxa"/>
              <w:top w:w="0" w:type="dxa"/>
              <w:right w:w="51" w:type="dxa"/>
              <w:bottom w:w="0" w:type="dxa"/>
            </w:tcMar>
            <w:tcW w:w="368" w:type="pct"/>
            <w:vAlign w:val="center"/>
            <w:textDirection w:val="lrTb"/>
            <w:noWrap w:val="false"/>
          </w:tcPr>
          <w:p>
            <w:pPr>
              <w:jc w:val="center"/>
              <w:rPr>
                <w:rFonts w:ascii="宋体" w:hAnsi="宋体" w:cs="宋体"/>
                <w:color w:val="auto"/>
                <w:sz w:val="21"/>
                <w:highlight w:val="none"/>
              </w:rPr>
            </w:pPr>
            <w:r>
              <w:rPr>
                <w:rFonts w:hint="eastAsia" w:ascii="宋体" w:hAnsi="宋体" w:cs="宋体"/>
                <w:color w:val="auto"/>
                <w:sz w:val="21"/>
                <w:highlight w:val="none"/>
              </w:rPr>
              <w:t xml:space="preserve">15</w:t>
            </w:r>
            <w:r/>
          </w:p>
        </w:tc>
        <w:tc>
          <w:tcPr>
            <w:tcMar>
              <w:left w:w="51" w:type="dxa"/>
              <w:top w:w="0" w:type="dxa"/>
              <w:right w:w="51" w:type="dxa"/>
              <w:bottom w:w="0" w:type="dxa"/>
            </w:tcMar>
            <w:tcW w:w="1033" w:type="pct"/>
            <w:vAlign w:val="center"/>
            <w:textDirection w:val="lrTb"/>
            <w:noWrap w:val="false"/>
          </w:tcPr>
          <w:p>
            <w:pPr>
              <w:jc w:val="center"/>
              <w:rPr>
                <w:rFonts w:ascii="宋体" w:hAnsi="宋体" w:cs="宋体"/>
                <w:color w:val="auto"/>
                <w:sz w:val="21"/>
                <w:highlight w:val="none"/>
              </w:rPr>
            </w:pPr>
            <w:r>
              <w:rPr>
                <w:rFonts w:hint="eastAsia" w:ascii="宋体" w:hAnsi="宋体" w:cs="宋体"/>
                <w:color w:val="auto"/>
                <w:sz w:val="21"/>
                <w:highlight w:val="none"/>
              </w:rPr>
              <w:t xml:space="preserve">评标标准</w:t>
            </w:r>
            <w:r/>
          </w:p>
        </w:tc>
        <w:tc>
          <w:tcPr>
            <w:tcMar>
              <w:left w:w="51" w:type="dxa"/>
              <w:top w:w="0" w:type="dxa"/>
              <w:right w:w="51" w:type="dxa"/>
              <w:bottom w:w="0" w:type="dxa"/>
            </w:tcMar>
            <w:tcW w:w="3598" w:type="pct"/>
            <w:vAlign w:val="center"/>
            <w:textDirection w:val="lrTb"/>
            <w:noWrap w:val="false"/>
          </w:tcPr>
          <w:p>
            <w:pPr>
              <w:jc w:val="both"/>
              <w:rPr>
                <w:rFonts w:ascii="宋体" w:hAnsi="宋体" w:cs="宋体"/>
                <w:color w:val="auto"/>
                <w:sz w:val="21"/>
                <w:highlight w:val="none"/>
              </w:rPr>
            </w:pPr>
            <w:r>
              <w:rPr>
                <w:rFonts w:hint="eastAsia" w:ascii="宋体" w:hAnsi="宋体" w:cs="宋体"/>
                <w:color w:val="auto"/>
                <w:sz w:val="21"/>
                <w:highlight w:val="none"/>
              </w:rPr>
              <w:t xml:space="preserve">根据质量与价格的比较</w:t>
            </w:r>
            <w:r/>
          </w:p>
        </w:tc>
      </w:tr>
      <w:tr>
        <w:trPr>
          <w:jc w:val="center"/>
          <w:trHeight w:val="454"/>
        </w:trPr>
        <w:tc>
          <w:tcPr>
            <w:tcMar>
              <w:left w:w="51" w:type="dxa"/>
              <w:top w:w="0" w:type="dxa"/>
              <w:right w:w="51" w:type="dxa"/>
              <w:bottom w:w="0" w:type="dxa"/>
            </w:tcMar>
            <w:tcW w:w="368" w:type="pct"/>
            <w:vAlign w:val="center"/>
            <w:textDirection w:val="lrTb"/>
            <w:noWrap w:val="false"/>
          </w:tcPr>
          <w:p>
            <w:pPr>
              <w:jc w:val="center"/>
              <w:rPr>
                <w:rFonts w:ascii="宋体" w:hAnsi="宋体" w:cs="宋体"/>
                <w:color w:val="auto"/>
                <w:sz w:val="21"/>
                <w:highlight w:val="none"/>
              </w:rPr>
            </w:pPr>
            <w:r>
              <w:rPr>
                <w:rFonts w:hint="eastAsia" w:ascii="宋体" w:hAnsi="宋体" w:cs="宋体"/>
                <w:color w:val="auto"/>
                <w:sz w:val="21"/>
                <w:highlight w:val="none"/>
              </w:rPr>
              <w:t xml:space="preserve">16</w:t>
            </w:r>
            <w:r/>
          </w:p>
        </w:tc>
        <w:tc>
          <w:tcPr>
            <w:tcMar>
              <w:left w:w="51" w:type="dxa"/>
              <w:top w:w="0" w:type="dxa"/>
              <w:right w:w="51" w:type="dxa"/>
              <w:bottom w:w="0" w:type="dxa"/>
            </w:tcMar>
            <w:tcW w:w="1033" w:type="pct"/>
            <w:vAlign w:val="center"/>
            <w:textDirection w:val="lrTb"/>
            <w:noWrap w:val="false"/>
          </w:tcPr>
          <w:p>
            <w:pPr>
              <w:jc w:val="center"/>
              <w:rPr>
                <w:rFonts w:ascii="宋体" w:hAnsi="宋体" w:cs="宋体"/>
                <w:color w:val="auto"/>
                <w:sz w:val="21"/>
                <w:highlight w:val="none"/>
              </w:rPr>
            </w:pPr>
            <w:r>
              <w:rPr>
                <w:rFonts w:hint="eastAsia" w:ascii="宋体" w:hAnsi="宋体" w:cs="宋体"/>
                <w:color w:val="auto"/>
                <w:sz w:val="21"/>
                <w:highlight w:val="none"/>
              </w:rPr>
              <w:t xml:space="preserve">评标方法</w:t>
            </w:r>
            <w:r/>
          </w:p>
        </w:tc>
        <w:tc>
          <w:tcPr>
            <w:tcMar>
              <w:left w:w="51" w:type="dxa"/>
              <w:top w:w="0" w:type="dxa"/>
              <w:right w:w="51" w:type="dxa"/>
              <w:bottom w:w="0" w:type="dxa"/>
            </w:tcMar>
            <w:tcW w:w="3598" w:type="pct"/>
            <w:vAlign w:val="center"/>
            <w:textDirection w:val="lrTb"/>
            <w:noWrap w:val="false"/>
          </w:tcPr>
          <w:p>
            <w:pPr>
              <w:jc w:val="both"/>
              <w:rPr>
                <w:rFonts w:ascii="宋体" w:hAnsi="宋体" w:cs="宋体"/>
                <w:color w:val="auto"/>
                <w:sz w:val="21"/>
                <w:highlight w:val="none"/>
              </w:rPr>
            </w:pPr>
            <w:r>
              <w:rPr>
                <w:rFonts w:hint="eastAsia" w:ascii="宋体" w:hAnsi="宋体" w:cs="宋体"/>
                <w:color w:val="auto"/>
                <w:sz w:val="21"/>
                <w:highlight w:val="none"/>
              </w:rPr>
              <w:t xml:space="preserve">综合评分法</w:t>
            </w:r>
            <w:r/>
          </w:p>
        </w:tc>
      </w:tr>
      <w:tr>
        <w:trPr>
          <w:jc w:val="center"/>
          <w:trHeight w:val="454"/>
        </w:trPr>
        <w:tc>
          <w:tcPr>
            <w:tcMar>
              <w:left w:w="51" w:type="dxa"/>
              <w:top w:w="0" w:type="dxa"/>
              <w:right w:w="51" w:type="dxa"/>
              <w:bottom w:w="0" w:type="dxa"/>
            </w:tcMar>
            <w:tcW w:w="368" w:type="pct"/>
            <w:vAlign w:val="center"/>
            <w:textDirection w:val="lrTb"/>
            <w:noWrap w:val="false"/>
          </w:tcPr>
          <w:p>
            <w:pPr>
              <w:jc w:val="center"/>
              <w:rPr>
                <w:rFonts w:ascii="宋体" w:hAnsi="宋体" w:cs="宋体"/>
                <w:color w:val="auto"/>
                <w:sz w:val="21"/>
                <w:highlight w:val="none"/>
              </w:rPr>
            </w:pPr>
            <w:r>
              <w:rPr>
                <w:rFonts w:hint="eastAsia" w:ascii="宋体" w:hAnsi="宋体" w:cs="宋体"/>
                <w:color w:val="auto"/>
                <w:sz w:val="21"/>
                <w:highlight w:val="none"/>
              </w:rPr>
              <w:t xml:space="preserve">17</w:t>
            </w:r>
            <w:r/>
          </w:p>
        </w:tc>
        <w:tc>
          <w:tcPr>
            <w:tcMar>
              <w:left w:w="51" w:type="dxa"/>
              <w:top w:w="0" w:type="dxa"/>
              <w:right w:w="51" w:type="dxa"/>
              <w:bottom w:w="0" w:type="dxa"/>
            </w:tcMar>
            <w:tcW w:w="1033" w:type="pct"/>
            <w:vAlign w:val="center"/>
            <w:textDirection w:val="lrTb"/>
            <w:noWrap w:val="false"/>
          </w:tcPr>
          <w:p>
            <w:pPr>
              <w:jc w:val="center"/>
              <w:rPr>
                <w:rFonts w:ascii="宋体" w:hAnsi="宋体" w:cs="宋体"/>
                <w:color w:val="auto"/>
                <w:sz w:val="21"/>
                <w:highlight w:val="none"/>
              </w:rPr>
            </w:pPr>
            <w:r>
              <w:rPr>
                <w:rFonts w:hint="eastAsia" w:ascii="宋体" w:hAnsi="宋体" w:cs="宋体"/>
                <w:color w:val="auto"/>
                <w:sz w:val="21"/>
                <w:highlight w:val="none"/>
              </w:rPr>
              <w:t xml:space="preserve">中标服务费</w:t>
            </w:r>
            <w:r/>
          </w:p>
        </w:tc>
        <w:tc>
          <w:tcPr>
            <w:tcMar>
              <w:left w:w="51" w:type="dxa"/>
              <w:top w:w="0" w:type="dxa"/>
              <w:right w:w="51" w:type="dxa"/>
              <w:bottom w:w="0" w:type="dxa"/>
            </w:tcMar>
            <w:tcW w:w="3598" w:type="pct"/>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rPr>
              <w:t xml:space="preserve">领取中标通知书时中标人向采购代理机构支付服务费，具体为：以各</w:t>
            </w:r>
            <w:r>
              <w:rPr>
                <w:rFonts w:hint="eastAsia" w:ascii="宋体" w:hAnsi="宋体" w:cs="宋体"/>
                <w:color w:val="auto"/>
                <w:sz w:val="21"/>
                <w:szCs w:val="21"/>
                <w:highlight w:val="none"/>
                <w:lang w:eastAsia="zh-CN"/>
              </w:rPr>
              <w:t xml:space="preserve">采购包</w:t>
            </w:r>
            <w:r>
              <w:rPr>
                <w:rFonts w:hint="eastAsia" w:ascii="宋体" w:hAnsi="宋体" w:cs="宋体"/>
                <w:color w:val="auto"/>
                <w:sz w:val="21"/>
                <w:szCs w:val="21"/>
                <w:highlight w:val="none"/>
              </w:rPr>
              <w:t xml:space="preserve">预算金额为计费基数，按照如下比例差额定率累进法计算服务费收取额，领取中标通知书时中标人向采购代理机构一次性付清。</w:t>
            </w:r>
            <w:r/>
          </w:p>
          <w:p>
            <w:pPr>
              <w:rPr>
                <w:rFonts w:ascii="宋体" w:hAnsi="宋体" w:cs="宋体"/>
                <w:color w:val="auto"/>
                <w:sz w:val="21"/>
                <w:szCs w:val="21"/>
                <w:highlight w:val="none"/>
              </w:rPr>
            </w:pPr>
            <w:r>
              <w:rPr>
                <w:rFonts w:hint="eastAsia" w:ascii="宋体" w:hAnsi="宋体" w:cs="宋体"/>
                <w:color w:val="auto"/>
                <w:sz w:val="21"/>
                <w:szCs w:val="21"/>
                <w:highlight w:val="none"/>
              </w:rPr>
              <w:t xml:space="preserve">100万元以下部分1.5%</w:t>
            </w:r>
            <w:r/>
          </w:p>
          <w:p>
            <w:pPr>
              <w:rPr>
                <w:rFonts w:ascii="宋体" w:hAnsi="宋体" w:cs="宋体"/>
                <w:color w:val="auto"/>
                <w:sz w:val="21"/>
                <w:szCs w:val="21"/>
                <w:highlight w:val="none"/>
              </w:rPr>
            </w:pPr>
            <w:r>
              <w:rPr>
                <w:rFonts w:hint="eastAsia" w:ascii="宋体" w:hAnsi="宋体" w:cs="宋体"/>
                <w:color w:val="auto"/>
                <w:sz w:val="21"/>
                <w:szCs w:val="21"/>
                <w:highlight w:val="none"/>
              </w:rPr>
              <w:t xml:space="preserve">100万元（含）~ 500万元部分1.1%</w:t>
            </w:r>
            <w:r/>
          </w:p>
          <w:p>
            <w:pPr>
              <w:rPr>
                <w:rFonts w:ascii="宋体" w:hAnsi="宋体" w:cs="宋体"/>
                <w:color w:val="auto"/>
                <w:sz w:val="21"/>
                <w:szCs w:val="21"/>
                <w:highlight w:val="none"/>
              </w:rPr>
            </w:pPr>
            <w:r>
              <w:rPr>
                <w:rFonts w:hint="eastAsia" w:ascii="宋体" w:hAnsi="宋体" w:cs="宋体"/>
                <w:color w:val="auto"/>
                <w:sz w:val="21"/>
                <w:szCs w:val="21"/>
                <w:highlight w:val="none"/>
              </w:rPr>
              <w:t xml:space="preserve">500万元（含）~ 1000万元部分0.8%</w:t>
            </w:r>
            <w:r/>
          </w:p>
          <w:p>
            <w:pPr>
              <w:rPr>
                <w:rFonts w:ascii="宋体" w:hAnsi="宋体" w:cs="宋体"/>
                <w:color w:val="auto"/>
                <w:sz w:val="21"/>
                <w:szCs w:val="21"/>
                <w:highlight w:val="none"/>
              </w:rPr>
            </w:pPr>
            <w:r>
              <w:rPr>
                <w:rFonts w:hint="eastAsia" w:ascii="宋体" w:hAnsi="宋体" w:cs="宋体"/>
                <w:color w:val="auto"/>
                <w:sz w:val="21"/>
                <w:szCs w:val="21"/>
                <w:highlight w:val="none"/>
              </w:rPr>
              <w:t xml:space="preserve">1000万元（含）~ 5000万元部分0.5%</w:t>
            </w:r>
            <w:r/>
          </w:p>
          <w:p>
            <w:pPr>
              <w:rPr>
                <w:rFonts w:ascii="宋体" w:hAnsi="宋体" w:cs="宋体"/>
                <w:color w:val="auto"/>
                <w:highlight w:val="none"/>
              </w:rPr>
            </w:pPr>
            <w:r>
              <w:rPr>
                <w:rFonts w:hint="eastAsia" w:ascii="宋体" w:hAnsi="宋体" w:cs="宋体"/>
                <w:color w:val="auto"/>
                <w:sz w:val="21"/>
                <w:szCs w:val="21"/>
                <w:highlight w:val="none"/>
              </w:rPr>
              <w:t xml:space="preserve">如按上述标准服务费收费不足3000，按3000元收取</w:t>
            </w:r>
            <w:r/>
          </w:p>
        </w:tc>
      </w:tr>
      <w:tr>
        <w:trPr>
          <w:jc w:val="center"/>
          <w:trHeight w:val="454"/>
        </w:trPr>
        <w:tc>
          <w:tcPr>
            <w:tcMar>
              <w:left w:w="51" w:type="dxa"/>
              <w:top w:w="0" w:type="dxa"/>
              <w:right w:w="51" w:type="dxa"/>
              <w:bottom w:w="0" w:type="dxa"/>
            </w:tcMar>
            <w:tcW w:w="368" w:type="pct"/>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18</w:t>
            </w:r>
            <w:r/>
          </w:p>
        </w:tc>
        <w:tc>
          <w:tcPr>
            <w:tcMar>
              <w:left w:w="51" w:type="dxa"/>
              <w:top w:w="0" w:type="dxa"/>
              <w:right w:w="51" w:type="dxa"/>
              <w:bottom w:w="0" w:type="dxa"/>
            </w:tcMar>
            <w:tcW w:w="1033" w:type="pct"/>
            <w:vAlign w:val="center"/>
            <w:textDirection w:val="lrTb"/>
            <w:noWrap w:val="false"/>
          </w:tcPr>
          <w:p>
            <w:pPr>
              <w:jc w:val="center"/>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导致废标因素</w:t>
            </w:r>
            <w:r/>
          </w:p>
        </w:tc>
        <w:tc>
          <w:tcPr>
            <w:tcMar>
              <w:left w:w="51" w:type="dxa"/>
              <w:top w:w="0" w:type="dxa"/>
              <w:right w:w="51" w:type="dxa"/>
              <w:bottom w:w="0" w:type="dxa"/>
            </w:tcMar>
            <w:tcW w:w="3598" w:type="pct"/>
            <w:vAlign w:val="center"/>
            <w:textDirection w:val="lrTb"/>
            <w:noWrap w:val="false"/>
          </w:tcPr>
          <w:p>
            <w:pPr>
              <w:jc w:val="both"/>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出现下列情形之一的，为废标： </w:t>
            </w:r>
            <w:r/>
          </w:p>
          <w:p>
            <w:pPr>
              <w:jc w:val="both"/>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（一）符合专业条件的供应商或者对招标文件作实质响应的供应商不足三家的； </w:t>
            </w:r>
            <w:r/>
          </w:p>
          <w:p>
            <w:pPr>
              <w:jc w:val="both"/>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（二）出现影响采购公正的违法、违规行为的； </w:t>
            </w:r>
            <w:r/>
          </w:p>
          <w:p>
            <w:pPr>
              <w:jc w:val="both"/>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（三）投标人的报价均超过了采购预算或者最高限价，采购人不能支付的； </w:t>
            </w:r>
            <w:r/>
          </w:p>
          <w:p>
            <w:pPr>
              <w:jc w:val="both"/>
              <w:widowControl w:val="off"/>
              <w:rPr>
                <w:rFonts w:ascii="宋体" w:hAnsi="宋体" w:cs="宋体"/>
                <w:color w:val="auto"/>
                <w:sz w:val="21"/>
                <w:szCs w:val="21"/>
                <w:highlight w:val="none"/>
                <w:lang w:val="zh-CN"/>
              </w:rPr>
            </w:pPr>
            <w:r>
              <w:rPr>
                <w:rFonts w:hint="eastAsia" w:ascii="宋体" w:hAnsi="宋体" w:cs="宋体"/>
                <w:b/>
                <w:bCs/>
                <w:color w:val="auto"/>
                <w:sz w:val="21"/>
                <w:szCs w:val="21"/>
                <w:highlight w:val="none"/>
                <w:lang w:val="zh-CN"/>
              </w:rPr>
              <w:t xml:space="preserve">（四）因重大变故，采购任务取消的。 </w:t>
            </w:r>
            <w:r/>
          </w:p>
        </w:tc>
      </w:tr>
      <w:tr>
        <w:trPr>
          <w:jc w:val="center"/>
          <w:trHeight w:val="454"/>
        </w:trPr>
        <w:tc>
          <w:tcPr>
            <w:tcMar>
              <w:left w:w="51" w:type="dxa"/>
              <w:top w:w="0" w:type="dxa"/>
              <w:right w:w="51" w:type="dxa"/>
              <w:bottom w:w="0" w:type="dxa"/>
            </w:tcMar>
            <w:tcW w:w="368" w:type="pct"/>
            <w:vAlign w:val="center"/>
            <w:textDirection w:val="lrTb"/>
            <w:noWrap w:val="false"/>
          </w:tcPr>
          <w:p>
            <w:pPr>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19</w:t>
            </w:r>
            <w:r/>
          </w:p>
        </w:tc>
        <w:tc>
          <w:tcPr>
            <w:tcMar>
              <w:left w:w="51" w:type="dxa"/>
              <w:top w:w="0" w:type="dxa"/>
              <w:right w:w="51" w:type="dxa"/>
              <w:bottom w:w="0" w:type="dxa"/>
            </w:tcMar>
            <w:tcW w:w="1033" w:type="pct"/>
            <w:vAlign w:val="center"/>
            <w:textDirection w:val="lrTb"/>
            <w:noWrap w:val="false"/>
          </w:tcPr>
          <w:p>
            <w:pPr>
              <w:jc w:val="center"/>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导致无效标因素</w:t>
            </w:r>
            <w:r/>
          </w:p>
        </w:tc>
        <w:tc>
          <w:tcPr>
            <w:tcMar>
              <w:left w:w="51" w:type="dxa"/>
              <w:top w:w="0" w:type="dxa"/>
              <w:right w:w="51" w:type="dxa"/>
              <w:bottom w:w="0" w:type="dxa"/>
            </w:tcMar>
            <w:tcW w:w="3598" w:type="pct"/>
            <w:vAlign w:val="center"/>
            <w:textDirection w:val="lrTb"/>
            <w:noWrap w:val="false"/>
          </w:tcPr>
          <w:p>
            <w:pPr>
              <w:jc w:val="both"/>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投标文件属下列情况之一的，在资格性、符合性检查时按照无效投标处理：</w:t>
            </w:r>
            <w:r/>
          </w:p>
          <w:p>
            <w:pPr>
              <w:jc w:val="both"/>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（一）未按照招标文件规定要求签署、盖章的；</w:t>
            </w:r>
            <w:r/>
          </w:p>
          <w:p>
            <w:pPr>
              <w:jc w:val="both"/>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二</w:t>
            </w:r>
            <w:r>
              <w:rPr>
                <w:rFonts w:hint="eastAsia" w:ascii="宋体" w:hAnsi="宋体" w:cs="宋体"/>
                <w:color w:val="auto"/>
                <w:sz w:val="21"/>
                <w:szCs w:val="21"/>
                <w:highlight w:val="none"/>
                <w:lang w:val="zh-CN"/>
              </w:rPr>
              <w:t xml:space="preserve">）不具备招标文件中规定资格要求的；</w:t>
            </w:r>
            <w:r/>
          </w:p>
          <w:p>
            <w:pPr>
              <w:jc w:val="both"/>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三</w:t>
            </w:r>
            <w:r>
              <w:rPr>
                <w:rFonts w:hint="eastAsia" w:ascii="宋体" w:hAnsi="宋体" w:cs="宋体"/>
                <w:color w:val="auto"/>
                <w:sz w:val="21"/>
                <w:szCs w:val="21"/>
                <w:highlight w:val="none"/>
                <w:lang w:val="zh-CN"/>
              </w:rPr>
              <w:t xml:space="preserve">）不符合法律、法规和招标文件中规定的其他实质性要求的；</w:t>
            </w:r>
            <w:r/>
          </w:p>
          <w:p>
            <w:pPr>
              <w:jc w:val="both"/>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四</w:t>
            </w:r>
            <w:r>
              <w:rPr>
                <w:rFonts w:hint="eastAsia" w:ascii="宋体" w:hAnsi="宋体" w:cs="宋体"/>
                <w:color w:val="auto"/>
                <w:sz w:val="21"/>
                <w:szCs w:val="21"/>
                <w:highlight w:val="none"/>
                <w:lang w:val="zh-CN"/>
              </w:rPr>
              <w:t xml:space="preserve">）报价超过招标文件中规定的预算金额或者最高限价的；</w:t>
            </w:r>
            <w:r/>
          </w:p>
          <w:p>
            <w:pPr>
              <w:jc w:val="both"/>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（五）其它在招标文件中已明确为无效标的；</w:t>
            </w:r>
            <w:r/>
          </w:p>
          <w:p>
            <w:pPr>
              <w:jc w:val="both"/>
              <w:widowControl w:val="off"/>
              <w:rPr>
                <w:rFonts w:ascii="宋体" w:hAnsi="宋体" w:cs="宋体"/>
                <w:color w:val="auto"/>
                <w:highlight w:val="none"/>
                <w:lang w:val="zh-CN"/>
              </w:rPr>
            </w:pPr>
            <w:r>
              <w:rPr>
                <w:rFonts w:hint="eastAsia" w:ascii="宋体" w:hAnsi="宋体" w:cs="宋体"/>
                <w:color w:val="auto"/>
                <w:sz w:val="21"/>
                <w:szCs w:val="21"/>
                <w:highlight w:val="none"/>
                <w:lang w:val="zh-CN"/>
              </w:rPr>
              <w:t xml:space="preserve">（六）投标人的投标文件制作机器码一致的。</w:t>
            </w:r>
            <w:r/>
          </w:p>
        </w:tc>
      </w:tr>
    </w:tbl>
    <w:p>
      <w:pPr>
        <w:pStyle w:val="971"/>
        <w:jc w:val="center"/>
        <w:spacing w:before="240" w:after="240" w:line="240" w:lineRule="auto"/>
        <w:rPr>
          <w:rFonts w:ascii="宋体" w:hAnsi="宋体" w:eastAsia="宋体" w:cs="宋体"/>
          <w:color w:val="auto"/>
          <w:sz w:val="30"/>
          <w:highlight w:val="none"/>
        </w:rPr>
      </w:pPr>
      <w:r>
        <w:rPr>
          <w:rFonts w:hint="eastAsia" w:ascii="宋体" w:hAnsi="宋体" w:eastAsia="宋体" w:cs="宋体"/>
          <w:color w:val="auto"/>
          <w:sz w:val="30"/>
          <w:highlight w:val="none"/>
        </w:rPr>
        <w:br w:type="page" w:clear="all"/>
      </w:r>
      <w:bookmarkStart w:id="4" w:name="_Toc17382"/>
      <w:r/>
      <w:bookmarkStart w:id="5" w:name="_Toc6174"/>
      <w:r>
        <w:rPr>
          <w:rFonts w:hint="eastAsia" w:ascii="宋体" w:hAnsi="宋体" w:eastAsia="宋体" w:cs="宋体"/>
          <w:color w:val="auto"/>
          <w:sz w:val="30"/>
          <w:highlight w:val="none"/>
        </w:rPr>
        <w:t xml:space="preserve">第一章 </w:t>
      </w:r>
      <w:bookmarkEnd w:id="4"/>
      <w:r>
        <w:rPr>
          <w:rFonts w:hint="eastAsia" w:ascii="宋体" w:hAnsi="宋体" w:eastAsia="宋体" w:cs="宋体"/>
          <w:color w:val="auto"/>
          <w:sz w:val="30"/>
          <w:highlight w:val="none"/>
        </w:rPr>
        <w:t xml:space="preserve">招标公告</w:t>
      </w:r>
      <w:bookmarkEnd w:id="5"/>
      <w:r/>
      <w:r/>
    </w:p>
    <w:p>
      <w:pPr>
        <w:ind w:firstLine="420"/>
        <w:spacing w:line="360" w:lineRule="auto"/>
        <w:rPr>
          <w:rFonts w:ascii="宋体" w:hAnsi="宋体" w:cs="宋体"/>
          <w:color w:val="auto"/>
          <w:sz w:val="21"/>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1"/>
          <w:szCs w:val="21"/>
          <w:highlight w:val="none"/>
        </w:rPr>
        <w:t xml:space="preserve">项目概况</w:t>
      </w:r>
      <w:r/>
    </w:p>
    <w:p>
      <w:pPr>
        <w:ind w:firstLine="420"/>
        <w:spacing w:line="360" w:lineRule="auto"/>
        <w:rPr>
          <w:rFonts w:ascii="宋体" w:hAnsi="宋体" w:cs="宋体"/>
          <w:color w:val="auto"/>
          <w:sz w:val="21"/>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1"/>
          <w:szCs w:val="21"/>
          <w:highlight w:val="none"/>
          <w:u w:val="single"/>
          <w:lang w:val="zh-CN"/>
        </w:rPr>
        <w:t xml:space="preserve">2026年度产品质量监督抽查和风险监测项目（原五标段）</w:t>
      </w:r>
      <w:r>
        <w:rPr>
          <w:rFonts w:hint="eastAsia" w:ascii="宋体" w:hAnsi="宋体" w:cs="宋体"/>
          <w:color w:val="auto"/>
          <w:sz w:val="21"/>
          <w:szCs w:val="21"/>
          <w:highlight w:val="none"/>
        </w:rPr>
        <w:t xml:space="preserve">招标项目的潜在投标人应在</w:t>
      </w:r>
      <w:r>
        <w:rPr>
          <w:rFonts w:hint="eastAsia" w:ascii="宋体" w:hAnsi="宋体" w:cs="宋体"/>
          <w:color w:val="auto"/>
          <w:sz w:val="21"/>
          <w:szCs w:val="21"/>
          <w:highlight w:val="none"/>
          <w:u w:val="single"/>
        </w:rPr>
        <w:t xml:space="preserve">“苏采云”政府采购交易系统（以下简称“苏采云系统”）</w:t>
      </w:r>
      <w:r>
        <w:rPr>
          <w:rFonts w:hint="eastAsia" w:ascii="宋体" w:hAnsi="宋体" w:cs="宋体"/>
          <w:color w:val="auto"/>
          <w:sz w:val="21"/>
          <w:szCs w:val="21"/>
          <w:highlight w:val="none"/>
        </w:rPr>
        <w:t xml:space="preserve">获取招标文件，并于</w:t>
      </w:r>
      <w:r>
        <w:rPr>
          <w:rFonts w:hint="eastAsia" w:ascii="宋体" w:hAnsi="宋体" w:cs="宋体"/>
          <w:color w:val="auto"/>
          <w:sz w:val="21"/>
          <w:szCs w:val="21"/>
          <w:highlight w:val="none"/>
          <w:u w:val="single"/>
          <w:lang w:eastAsia="zh-CN"/>
        </w:rPr>
        <w:t xml:space="preserve">2026年5月14日9点30分</w:t>
      </w:r>
      <w:r>
        <w:rPr>
          <w:rFonts w:hint="eastAsia" w:ascii="宋体" w:hAnsi="宋体" w:cs="宋体"/>
          <w:color w:val="auto"/>
          <w:sz w:val="21"/>
          <w:szCs w:val="21"/>
          <w:highlight w:val="none"/>
          <w:u w:val="single"/>
        </w:rPr>
        <w:t xml:space="preserve">（</w:t>
      </w:r>
      <w:r>
        <w:rPr>
          <w:rFonts w:hint="eastAsia" w:ascii="宋体" w:hAnsi="宋体" w:cs="宋体"/>
          <w:color w:val="auto"/>
          <w:sz w:val="21"/>
          <w:szCs w:val="21"/>
          <w:highlight w:val="none"/>
        </w:rPr>
        <w:t xml:space="preserve">北京时间）前递交投标文件。</w:t>
      </w:r>
      <w:r/>
    </w:p>
    <w:p>
      <w:pPr>
        <w:ind w:firstLine="422"/>
        <w:spacing w:line="360" w:lineRule="auto"/>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一、项目基本情况</w:t>
      </w:r>
      <w:r/>
    </w:p>
    <w:p>
      <w:pPr>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1.项目编号：</w:t>
      </w:r>
      <w:r>
        <w:rPr>
          <w:rFonts w:hint="eastAsia" w:ascii="宋体" w:hAnsi="宋体" w:cs="宋体"/>
          <w:color w:val="auto"/>
          <w:sz w:val="21"/>
          <w:szCs w:val="21"/>
          <w:highlight w:val="none"/>
          <w:lang w:eastAsia="zh-CN"/>
        </w:rPr>
        <w:t xml:space="preserve">JSZC-320500-LHZX-G2026-0007</w:t>
      </w:r>
      <w:r>
        <w:rPr>
          <w:rFonts w:hint="eastAsia" w:ascii="宋体" w:hAnsi="宋体" w:cs="宋体"/>
          <w:color w:val="auto"/>
          <w:sz w:val="21"/>
          <w:szCs w:val="21"/>
          <w:highlight w:val="none"/>
        </w:rPr>
        <w:t xml:space="preserve">号</w:t>
      </w:r>
      <w:r/>
    </w:p>
    <w:p>
      <w:pPr>
        <w:ind w:firstLine="420"/>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2.项目名称：2026年度产品质量监督抽查和风险监测项目（原五标段）</w:t>
      </w:r>
      <w:r/>
    </w:p>
    <w:p>
      <w:pPr>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3.采购方式：</w:t>
      </w:r>
      <w:r>
        <w:rPr>
          <w:rFonts w:hint="eastAsia" w:ascii="宋体" w:hAnsi="宋体" w:cs="宋体"/>
          <w:color w:val="auto"/>
          <w:sz w:val="21"/>
          <w:szCs w:val="21"/>
          <w:highlight w:val="none"/>
        </w:rPr>
        <w:t xml:space="preserve">公开招标</w:t>
      </w:r>
      <w:r/>
    </w:p>
    <w:p>
      <w:pPr>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4.预算金额（最高限价）：</w:t>
      </w:r>
      <w:r>
        <w:rPr>
          <w:rFonts w:hint="eastAsia" w:ascii="宋体" w:hAnsi="宋体" w:cs="宋体"/>
          <w:color w:val="auto"/>
          <w:sz w:val="21"/>
          <w:szCs w:val="21"/>
          <w:highlight w:val="none"/>
          <w:lang w:eastAsia="zh-CN"/>
        </w:rPr>
        <w:t xml:space="preserve">人民币壹拾玖万捌仟陆佰伍拾元整（￥198650.00）</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rPr>
        <w:t xml:space="preserve">本</w:t>
      </w:r>
      <w:r>
        <w:rPr>
          <w:rFonts w:hint="eastAsia" w:ascii="宋体" w:hAnsi="宋体" w:cs="宋体"/>
          <w:color w:val="auto"/>
          <w:sz w:val="21"/>
          <w:szCs w:val="21"/>
          <w:highlight w:val="none"/>
          <w:lang w:val="en-US" w:eastAsia="zh-CN"/>
        </w:rPr>
        <w:t xml:space="preserve">次采购</w:t>
      </w:r>
      <w:r>
        <w:rPr>
          <w:rFonts w:hint="eastAsia" w:ascii="宋体" w:hAnsi="宋体" w:cs="宋体"/>
          <w:color w:val="auto"/>
          <w:sz w:val="21"/>
          <w:szCs w:val="21"/>
          <w:highlight w:val="none"/>
        </w:rPr>
        <w:t xml:space="preserve">1个</w:t>
      </w:r>
      <w:r>
        <w:rPr>
          <w:rFonts w:hint="eastAsia" w:ascii="宋体" w:hAnsi="宋体" w:cs="宋体"/>
          <w:color w:val="auto"/>
          <w:sz w:val="21"/>
          <w:szCs w:val="21"/>
          <w:highlight w:val="none"/>
          <w:lang w:eastAsia="zh-CN"/>
        </w:rPr>
        <w:t xml:space="preserve">采购包</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eastAsia="zh-CN"/>
        </w:rPr>
        <w:t xml:space="preserve">采购包</w:t>
      </w:r>
      <w:r>
        <w:rPr>
          <w:rFonts w:hint="eastAsia" w:ascii="宋体" w:hAnsi="宋体" w:cs="宋体"/>
          <w:color w:val="auto"/>
          <w:sz w:val="21"/>
          <w:szCs w:val="21"/>
          <w:highlight w:val="none"/>
        </w:rPr>
        <w:t xml:space="preserve">预算如下：</w:t>
      </w:r>
      <w:r/>
    </w:p>
    <w:tbl>
      <w:tblPr>
        <w:tblStyle w:val="752"/>
        <w:tblW w:w="91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7"/>
        <w:gridCol w:w="1449"/>
        <w:gridCol w:w="5390"/>
        <w:gridCol w:w="1501"/>
      </w:tblGrid>
      <w:tr>
        <w:trPr>
          <w:jc w:val="center"/>
          <w:trHeight w:val="340"/>
        </w:trPr>
        <w:tc>
          <w:tcPr>
            <w:tcMar>
              <w:left w:w="11" w:type="dxa"/>
              <w:top w:w="0" w:type="dxa"/>
              <w:right w:w="11" w:type="dxa"/>
              <w:bottom w:w="0" w:type="dxa"/>
            </w:tcMar>
            <w:tcW w:w="827" w:type="dxa"/>
            <w:vAlign w:val="center"/>
            <w:textDirection w:val="lrTb"/>
            <w:noWrap w:val="false"/>
          </w:tcPr>
          <w:p>
            <w:pPr>
              <w:jc w:val="center"/>
              <w:rPr>
                <w:rFonts w:hint="eastAsia" w:ascii="宋体" w:hAnsi="宋体" w:eastAsia="宋体" w:cs="宋体"/>
                <w:b/>
                <w:bCs/>
                <w:color w:val="auto"/>
                <w:sz w:val="21"/>
                <w:szCs w:val="21"/>
                <w:highlight w:val="none"/>
                <w:lang w:eastAsia="zh-CN"/>
              </w:rPr>
            </w:pPr>
            <w:r>
              <w:rPr>
                <w:rFonts w:hint="eastAsia" w:ascii="宋体" w:hAnsi="宋体" w:cs="宋体"/>
                <w:b/>
                <w:bCs/>
                <w:color w:val="auto"/>
                <w:sz w:val="21"/>
                <w:szCs w:val="21"/>
                <w:highlight w:val="none"/>
                <w:lang w:val="en-US" w:eastAsia="zh-CN"/>
              </w:rPr>
              <w:t xml:space="preserve">序号</w:t>
            </w:r>
            <w:r/>
          </w:p>
        </w:tc>
        <w:tc>
          <w:tcPr>
            <w:tcMar>
              <w:left w:w="11" w:type="dxa"/>
              <w:top w:w="0" w:type="dxa"/>
              <w:right w:w="11" w:type="dxa"/>
              <w:bottom w:w="0" w:type="dxa"/>
            </w:tcMar>
            <w:tcW w:w="1449" w:type="dxa"/>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lang w:eastAsia="zh-CN"/>
              </w:rPr>
              <w:t xml:space="preserve">采购包</w:t>
            </w:r>
            <w:r>
              <w:rPr>
                <w:rFonts w:hint="eastAsia" w:ascii="宋体" w:hAnsi="宋体" w:cs="宋体"/>
                <w:b/>
                <w:bCs/>
                <w:color w:val="auto"/>
                <w:sz w:val="21"/>
                <w:szCs w:val="21"/>
                <w:highlight w:val="none"/>
              </w:rPr>
              <w:t xml:space="preserve">名称</w:t>
            </w:r>
            <w:r/>
          </w:p>
        </w:tc>
        <w:tc>
          <w:tcPr>
            <w:tcMar>
              <w:left w:w="11" w:type="dxa"/>
              <w:top w:w="0" w:type="dxa"/>
              <w:right w:w="11" w:type="dxa"/>
              <w:bottom w:w="0" w:type="dxa"/>
            </w:tcMar>
            <w:tcW w:w="5390" w:type="dxa"/>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产品名称</w:t>
            </w:r>
            <w:r/>
          </w:p>
        </w:tc>
        <w:tc>
          <w:tcPr>
            <w:tcMar>
              <w:left w:w="11" w:type="dxa"/>
              <w:top w:w="0" w:type="dxa"/>
              <w:right w:w="11" w:type="dxa"/>
              <w:bottom w:w="0" w:type="dxa"/>
            </w:tcMar>
            <w:tcW w:w="1501" w:type="dxa"/>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采购预算（元）</w:t>
            </w:r>
            <w:r/>
          </w:p>
        </w:tc>
      </w:tr>
      <w:tr>
        <w:trPr>
          <w:jc w:val="center"/>
          <w:trHeight w:val="340"/>
        </w:trPr>
        <w:tc>
          <w:tcPr>
            <w:tcMar>
              <w:left w:w="11" w:type="dxa"/>
              <w:top w:w="0" w:type="dxa"/>
              <w:right w:w="11" w:type="dxa"/>
              <w:bottom w:w="0" w:type="dxa"/>
            </w:tcMar>
            <w:tcW w:w="827"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1</w:t>
            </w:r>
            <w:r/>
          </w:p>
        </w:tc>
        <w:tc>
          <w:tcPr>
            <w:tcMar>
              <w:left w:w="11" w:type="dxa"/>
              <w:top w:w="0" w:type="dxa"/>
              <w:right w:w="11" w:type="dxa"/>
              <w:bottom w:w="0" w:type="dxa"/>
            </w:tcMar>
            <w:tcW w:w="1449"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厨卫家电专项</w:t>
            </w:r>
            <w:r/>
          </w:p>
        </w:tc>
        <w:tc>
          <w:tcPr>
            <w:tcMar>
              <w:left w:w="11" w:type="dxa"/>
              <w:top w:w="0" w:type="dxa"/>
              <w:right w:w="11" w:type="dxa"/>
              <w:bottom w:w="0" w:type="dxa"/>
            </w:tcMar>
            <w:tcW w:w="5390" w:type="dxa"/>
            <w:vAlign w:val="center"/>
            <w:textDirection w:val="lrTb"/>
            <w:noWrap w:val="false"/>
          </w:tcPr>
          <w:p>
            <w:pPr>
              <w:jc w:val="both"/>
              <w:rPr>
                <w:rFonts w:ascii="宋体" w:hAnsi="宋体" w:cs="宋体"/>
                <w:color w:val="auto"/>
                <w:sz w:val="21"/>
                <w:szCs w:val="21"/>
                <w:highlight w:val="none"/>
              </w:rPr>
            </w:pPr>
            <w:r>
              <w:rPr>
                <w:rFonts w:hint="eastAsia" w:ascii="宋体" w:hAnsi="宋体" w:cs="宋体"/>
                <w:color w:val="auto"/>
                <w:sz w:val="21"/>
                <w:szCs w:val="21"/>
                <w:highlight w:val="none"/>
              </w:rPr>
              <w:t xml:space="preserve">吸油烟机，微波炉，储水式电热水器</w:t>
            </w:r>
            <w:r/>
          </w:p>
        </w:tc>
        <w:tc>
          <w:tcPr>
            <w:tcMar>
              <w:left w:w="11" w:type="dxa"/>
              <w:top w:w="0" w:type="dxa"/>
              <w:right w:w="11" w:type="dxa"/>
              <w:bottom w:w="0" w:type="dxa"/>
            </w:tcMar>
            <w:tcW w:w="1501"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198650.00</w:t>
            </w:r>
            <w:r/>
          </w:p>
        </w:tc>
      </w:tr>
    </w:tbl>
    <w:p>
      <w:pPr>
        <w:ind w:firstLine="422"/>
        <w:spacing w:line="360" w:lineRule="auto"/>
        <w:widowControl w:val="off"/>
        <w:rPr>
          <w:rFonts w:ascii="宋体" w:hAnsi="宋体" w:cs="宋体"/>
          <w:b/>
          <w:color w:val="auto"/>
          <w:sz w:val="21"/>
          <w:szCs w:val="21"/>
          <w:highlight w:val="none"/>
        </w:rPr>
      </w:pPr>
      <w:r>
        <w:rPr>
          <w:rFonts w:hint="eastAsia" w:ascii="宋体" w:hAnsi="宋体" w:cs="宋体"/>
          <w:b/>
          <w:color w:val="auto"/>
          <w:sz w:val="21"/>
          <w:szCs w:val="21"/>
          <w:highlight w:val="none"/>
        </w:rPr>
        <w:t xml:space="preserve">注：报价时所投</w:t>
      </w:r>
      <w:r>
        <w:rPr>
          <w:rFonts w:hint="eastAsia" w:ascii="宋体" w:hAnsi="宋体" w:cs="宋体"/>
          <w:b/>
          <w:color w:val="auto"/>
          <w:sz w:val="21"/>
          <w:szCs w:val="21"/>
          <w:highlight w:val="none"/>
          <w:lang w:eastAsia="zh-CN"/>
        </w:rPr>
        <w:t xml:space="preserve">采购包</w:t>
      </w:r>
      <w:r>
        <w:rPr>
          <w:rFonts w:hint="eastAsia" w:ascii="宋体" w:hAnsi="宋体" w:cs="宋体"/>
          <w:b/>
          <w:color w:val="auto"/>
          <w:sz w:val="21"/>
          <w:szCs w:val="21"/>
          <w:highlight w:val="none"/>
        </w:rPr>
        <w:t xml:space="preserve">的投标报价不得超过</w:t>
      </w:r>
      <w:r>
        <w:rPr>
          <w:rFonts w:hint="eastAsia" w:ascii="宋体" w:hAnsi="宋体" w:cs="宋体"/>
          <w:b/>
          <w:color w:val="auto"/>
          <w:sz w:val="21"/>
          <w:szCs w:val="21"/>
          <w:highlight w:val="none"/>
          <w:lang w:eastAsia="zh-CN"/>
        </w:rPr>
        <w:t xml:space="preserve">采购包</w:t>
      </w:r>
      <w:r>
        <w:rPr>
          <w:rFonts w:hint="eastAsia" w:ascii="宋体" w:hAnsi="宋体" w:cs="宋体"/>
          <w:b/>
          <w:color w:val="auto"/>
          <w:sz w:val="21"/>
          <w:szCs w:val="21"/>
          <w:highlight w:val="none"/>
        </w:rPr>
        <w:t xml:space="preserve">预算金额，否则视为未实质性响应，不进入评标。</w:t>
      </w:r>
      <w:r/>
    </w:p>
    <w:p>
      <w:pPr>
        <w:ind w:firstLine="422"/>
        <w:spacing w:line="360" w:lineRule="auto"/>
        <w:widowControl w:val="off"/>
        <w:rPr>
          <w:rFonts w:ascii="宋体" w:hAnsi="宋体" w:cs="宋体"/>
          <w:b/>
          <w:color w:val="auto"/>
          <w:sz w:val="21"/>
          <w:szCs w:val="21"/>
          <w:highlight w:val="none"/>
        </w:rPr>
      </w:pPr>
      <w:r>
        <w:rPr>
          <w:rFonts w:hint="eastAsia" w:ascii="宋体" w:hAnsi="宋体" w:cs="宋体"/>
          <w:b/>
          <w:color w:val="auto"/>
          <w:sz w:val="21"/>
          <w:szCs w:val="21"/>
          <w:highlight w:val="none"/>
        </w:rPr>
        <w:t xml:space="preserve">5.</w:t>
      </w:r>
      <w:r>
        <w:rPr>
          <w:rFonts w:hint="eastAsia" w:ascii="宋体" w:hAnsi="宋体" w:cs="宋体"/>
          <w:b/>
          <w:color w:val="auto"/>
          <w:sz w:val="21"/>
          <w:szCs w:val="21"/>
          <w:highlight w:val="none"/>
          <w:lang w:eastAsia="zh-CN"/>
        </w:rPr>
        <w:t xml:space="preserve">采购包</w:t>
      </w:r>
      <w:r>
        <w:rPr>
          <w:rFonts w:hint="eastAsia" w:ascii="宋体" w:hAnsi="宋体" w:cs="宋体"/>
          <w:b/>
          <w:color w:val="auto"/>
          <w:sz w:val="21"/>
          <w:szCs w:val="21"/>
          <w:highlight w:val="none"/>
        </w:rPr>
        <w:t xml:space="preserve">中标原则：</w:t>
      </w:r>
      <w:r/>
    </w:p>
    <w:p>
      <w:pPr>
        <w:pStyle w:val="835"/>
        <w:ind w:left="0"/>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color w:val="auto"/>
          <w:sz w:val="21"/>
          <w:szCs w:val="21"/>
          <w:highlight w:val="none"/>
          <w:lang w:val="zh-CN"/>
        </w:rPr>
        <w:t xml:space="preserve">1）</w:t>
      </w:r>
      <w:r>
        <w:rPr>
          <w:rFonts w:hint="eastAsia" w:ascii="宋体" w:hAnsi="宋体" w:eastAsia="宋体" w:cs="宋体"/>
          <w:b/>
          <w:bCs/>
          <w:color w:val="auto"/>
          <w:sz w:val="21"/>
          <w:szCs w:val="21"/>
          <w:highlight w:val="none"/>
          <w:lang w:val="zh-CN"/>
        </w:rPr>
        <w:t xml:space="preserve">已参与JSZC-320500-LHZX-G2026-0004</w:t>
      </w:r>
      <w:r>
        <w:rPr>
          <w:rFonts w:hint="eastAsia" w:ascii="宋体" w:hAnsi="宋体" w:eastAsia="宋体" w:cs="宋体"/>
          <w:b/>
          <w:bCs/>
          <w:color w:val="auto"/>
          <w:sz w:val="21"/>
          <w:szCs w:val="21"/>
          <w:highlight w:val="none"/>
          <w:lang w:val="en-US" w:eastAsia="zh-CN"/>
        </w:rPr>
        <w:t xml:space="preserve">号项目</w:t>
      </w:r>
      <w:r>
        <w:rPr>
          <w:rFonts w:hint="eastAsia" w:ascii="宋体" w:hAnsi="宋体" w:eastAsia="宋体" w:cs="宋体"/>
          <w:b/>
          <w:bCs/>
          <w:color w:val="auto"/>
          <w:sz w:val="21"/>
          <w:szCs w:val="21"/>
          <w:highlight w:val="none"/>
          <w:lang w:val="zh-CN"/>
        </w:rPr>
        <w:t xml:space="preserve">并</w:t>
      </w:r>
      <w:r>
        <w:rPr>
          <w:rFonts w:hint="eastAsia" w:ascii="宋体" w:hAnsi="宋体" w:eastAsia="宋体" w:cs="宋体"/>
          <w:b/>
          <w:bCs/>
          <w:color w:val="auto"/>
          <w:sz w:val="21"/>
          <w:szCs w:val="21"/>
          <w:highlight w:val="none"/>
          <w:lang w:val="en-US" w:eastAsia="zh-CN"/>
        </w:rPr>
        <w:t xml:space="preserve">已</w:t>
      </w:r>
      <w:r>
        <w:rPr>
          <w:rFonts w:hint="eastAsia" w:ascii="宋体" w:hAnsi="宋体" w:eastAsia="宋体" w:cs="宋体"/>
          <w:b/>
          <w:bCs/>
          <w:color w:val="auto"/>
          <w:sz w:val="21"/>
          <w:szCs w:val="21"/>
          <w:highlight w:val="none"/>
          <w:lang w:val="zh-CN"/>
        </w:rPr>
        <w:t xml:space="preserve">中标两个标段的</w:t>
      </w:r>
      <w:r>
        <w:rPr>
          <w:rFonts w:hint="eastAsia" w:ascii="宋体" w:hAnsi="宋体" w:eastAsia="宋体" w:cs="宋体"/>
          <w:b/>
          <w:bCs/>
          <w:color w:val="auto"/>
          <w:sz w:val="21"/>
          <w:szCs w:val="21"/>
          <w:highlight w:val="none"/>
          <w:lang w:val="en-US" w:eastAsia="zh-CN"/>
        </w:rPr>
        <w:t xml:space="preserve">投标</w:t>
      </w:r>
      <w:r>
        <w:rPr>
          <w:rFonts w:hint="eastAsia" w:ascii="宋体" w:hAnsi="宋体" w:eastAsia="宋体" w:cs="宋体"/>
          <w:b/>
          <w:bCs/>
          <w:color w:val="auto"/>
          <w:sz w:val="21"/>
          <w:szCs w:val="21"/>
          <w:highlight w:val="none"/>
          <w:lang w:val="zh-CN"/>
        </w:rPr>
        <w:t xml:space="preserve">单位不得再参与本项目的投标。</w:t>
      </w:r>
      <w:r/>
    </w:p>
    <w:p>
      <w:pPr>
        <w:pStyle w:val="835"/>
        <w:ind w:left="0"/>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zh-CN"/>
        </w:rPr>
        <w:t xml:space="preserve">在合同签订之前，若某采购包因质疑、投诉等事项导致中标结果改变的，则不影响其它采购包的中标结果。</w:t>
      </w:r>
      <w:r/>
    </w:p>
    <w:p>
      <w:pPr>
        <w:ind w:firstLine="422"/>
        <w:spacing w:line="360" w:lineRule="auto"/>
        <w:widowControl w:val="off"/>
        <w:rPr>
          <w:rFonts w:ascii="宋体" w:hAnsi="宋体" w:cs="宋体"/>
          <w:color w:val="auto"/>
          <w:sz w:val="21"/>
          <w:szCs w:val="21"/>
          <w:highlight w:val="none"/>
          <w:lang w:val="zh-CN"/>
        </w:rPr>
      </w:pPr>
      <w:r>
        <w:rPr>
          <w:rFonts w:hint="eastAsia" w:ascii="宋体" w:hAnsi="宋体" w:cs="宋体"/>
          <w:b/>
          <w:color w:val="auto"/>
          <w:sz w:val="21"/>
          <w:szCs w:val="21"/>
          <w:highlight w:val="none"/>
        </w:rPr>
        <w:t xml:space="preserve">6.</w:t>
      </w:r>
      <w:r>
        <w:rPr>
          <w:rFonts w:hint="eastAsia" w:ascii="宋体" w:hAnsi="宋体" w:cs="宋体"/>
          <w:b/>
          <w:color w:val="auto"/>
          <w:sz w:val="21"/>
          <w:szCs w:val="21"/>
          <w:highlight w:val="none"/>
          <w:lang w:val="zh-CN"/>
        </w:rPr>
        <w:t xml:space="preserve">采购需求简介</w:t>
      </w:r>
      <w:r>
        <w:rPr>
          <w:rFonts w:hint="eastAsia" w:ascii="宋体" w:hAnsi="宋体" w:cs="宋体"/>
          <w:color w:val="auto"/>
          <w:sz w:val="21"/>
          <w:szCs w:val="21"/>
          <w:highlight w:val="none"/>
          <w:lang w:val="zh-CN"/>
        </w:rPr>
        <w:t xml:space="preserve">：</w:t>
      </w:r>
      <w:r/>
    </w:p>
    <w:p>
      <w:pPr>
        <w:ind w:firstLine="420"/>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采购人拟开展2026年度产品质量监督抽查和风险监测项目（原五标段），组织</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lang w:val="zh-CN"/>
        </w:rPr>
        <w:t xml:space="preserve">种产品，50批次</w:t>
      </w:r>
      <w:r>
        <w:rPr>
          <w:rFonts w:hint="eastAsia" w:ascii="宋体" w:hAnsi="宋体" w:cs="宋体"/>
          <w:color w:val="auto"/>
          <w:sz w:val="21"/>
          <w:szCs w:val="21"/>
          <w:highlight w:val="none"/>
          <w:lang w:val="zh-CN"/>
        </w:rPr>
        <w:t xml:space="preserve">的监督抽查和风险监测任务，详细内容及要求见招标文件第四章。</w:t>
      </w:r>
      <w:r/>
    </w:p>
    <w:p>
      <w:pPr>
        <w:ind w:firstLine="422"/>
        <w:spacing w:line="360" w:lineRule="auto"/>
        <w:widowControl w:val="off"/>
        <w:rPr>
          <w:rFonts w:ascii="宋体" w:hAnsi="宋体" w:cs="宋体"/>
          <w:color w:val="auto"/>
          <w:sz w:val="21"/>
          <w:szCs w:val="21"/>
          <w:highlight w:val="none"/>
          <w:u w:val="none"/>
        </w:rPr>
      </w:pPr>
      <w:r>
        <w:rPr>
          <w:rFonts w:hint="eastAsia" w:ascii="宋体" w:hAnsi="宋体" w:cs="宋体"/>
          <w:b/>
          <w:color w:val="auto"/>
          <w:sz w:val="21"/>
          <w:szCs w:val="21"/>
          <w:highlight w:val="none"/>
          <w:u w:val="none"/>
        </w:rPr>
        <w:t xml:space="preserve">7.服务期限：自合同签订之日起至2026年12月31日止（具体以采购人要求为准）。</w:t>
      </w:r>
      <w:r/>
    </w:p>
    <w:p>
      <w:pPr>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8.服务地点：采购人指定地点。</w:t>
      </w:r>
      <w:r/>
    </w:p>
    <w:p>
      <w:pPr>
        <w:ind w:firstLine="422"/>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二、申请人的资格要求：</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1.满足《中华人民共和国政府采购法》第二十二条规定：</w:t>
      </w:r>
      <w:r/>
    </w:p>
    <w:p>
      <w:pPr>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（1）具有独立承担民事责任的能力；</w:t>
      </w:r>
      <w:r/>
    </w:p>
    <w:p>
      <w:pPr>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（2）具有良好的商业信誉和健全的财务会计制度；</w:t>
      </w:r>
      <w:r/>
    </w:p>
    <w:p>
      <w:pPr>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（3）具有履行合同所必需的设备和专业技术能力；</w:t>
      </w:r>
      <w:r/>
    </w:p>
    <w:p>
      <w:pPr>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（4）有依法缴纳税收和社会保障资金的良好记录；</w:t>
      </w:r>
      <w:r/>
    </w:p>
    <w:p>
      <w:pPr>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（5）参加政府采购活动前三年内，在经营活动中没有重大违法记录；</w:t>
      </w:r>
      <w:r/>
    </w:p>
    <w:p>
      <w:pPr>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（6）法律、行政法规规定的其他条件。</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2.未被“信用中国”网站（www.creditchina.gov.cn）列入失信被执行人、重大税收违法案件当事人名单、政府采购严重失信行为记录名单。</w:t>
      </w:r>
      <w:r/>
    </w:p>
    <w:p>
      <w:pPr>
        <w:ind w:firstLine="420"/>
        <w:spacing w:line="360" w:lineRule="auto"/>
        <w:rPr>
          <w:color w:val="auto"/>
          <w:highlight w:val="none"/>
        </w:rPr>
      </w:pPr>
      <w:r>
        <w:rPr>
          <w:rFonts w:hint="eastAsia" w:ascii="宋体" w:hAnsi="宋体" w:cs="宋体"/>
          <w:color w:val="auto"/>
          <w:sz w:val="21"/>
          <w:szCs w:val="21"/>
          <w:highlight w:val="none"/>
        </w:rPr>
        <w:t xml:space="preserve">3.单位负责人为同一人或者存在直接控股、管理关系的不同投标人，不得参加同一合同项下的政府采购活动；</w:t>
      </w:r>
      <w:r/>
    </w:p>
    <w:p>
      <w:pPr>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4.本项目的特定资格要求：</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（1）本项目属于政府购买服务，公益一类事业单位、使用事业编制且由财政拨款保障的群团组织，不得作为承接主体；</w:t>
      </w:r>
      <w:r/>
    </w:p>
    <w:p>
      <w:pPr>
        <w:ind w:firstLine="420"/>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zh-CN"/>
        </w:rPr>
        <w:t xml:space="preserve">投标单位具有国家认证认可监督管理委员会或省级市场监督管理部门颁发的有效期内的CMA资质认定证书。</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（3）本项目不接受分公司、分所等分支机构参加投标；</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（4）本项目（不接受）联合体投标。</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5）本项目非专门面向中小企业采购。根据《政府采购促进中小企业发展管理办法》（财库〔2020〕46号）、《关于做好政府采购支持企业发展有关事项的通知》（苏财购〔2020〕52号）及《关于印发&lt;苏州市政府采购促进中小企业发展实施意见&gt;的通知》（苏财购〔2022〕16号）的相关规定。</w:t>
      </w:r>
      <w:r/>
    </w:p>
    <w:p>
      <w:pPr>
        <w:ind w:firstLine="420"/>
        <w:spacing w:line="360" w:lineRule="auto"/>
        <w:widowControl w:val="off"/>
        <w:rPr>
          <w:color w:val="auto"/>
          <w:highlight w:val="none"/>
        </w:rPr>
      </w:pPr>
      <w:r>
        <w:rPr>
          <w:rFonts w:hint="eastAsia" w:ascii="宋体" w:hAnsi="宋体" w:cs="宋体"/>
          <w:color w:val="auto"/>
          <w:sz w:val="21"/>
          <w:szCs w:val="21"/>
          <w:highlight w:val="none"/>
        </w:rPr>
        <w:t xml:space="preserve">（6）为本项目提供整体设计、规范编制或者项目管理、监理、监测等服务的供应商，不得再参加该采购项目的其他采购活动。</w:t>
      </w:r>
      <w:r/>
    </w:p>
    <w:p>
      <w:pPr>
        <w:ind w:firstLine="422"/>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三、获取招标文件</w:t>
      </w:r>
      <w:r/>
    </w:p>
    <w:p>
      <w:pPr>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1.时间：自招标文件公告发布之日起5个工作日。</w:t>
      </w:r>
      <w:r/>
    </w:p>
    <w:p>
      <w:pPr>
        <w:ind w:firstLine="420"/>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zh-CN"/>
        </w:rPr>
        <w:t xml:space="preserve">地点：苏采云系统。</w:t>
      </w:r>
      <w:r/>
    </w:p>
    <w:p>
      <w:pPr>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3.方式：苏采云系统报名获取</w:t>
      </w:r>
      <w:r/>
    </w:p>
    <w:p>
      <w:pPr>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售价：免费。</w:t>
      </w:r>
      <w:bookmarkStart w:id="6" w:name="_Toc28359005"/>
      <w:r/>
      <w:bookmarkStart w:id="7" w:name="_Toc28359082"/>
      <w:r/>
      <w:bookmarkStart w:id="8" w:name="_Toc35393793"/>
      <w:r/>
      <w:bookmarkStart w:id="9" w:name="_Toc35393624"/>
      <w:r/>
      <w:r/>
    </w:p>
    <w:p>
      <w:pPr>
        <w:ind w:firstLine="422"/>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四、提交投标文件</w:t>
      </w:r>
      <w:bookmarkEnd w:id="6"/>
      <w:r/>
      <w:bookmarkEnd w:id="7"/>
      <w:r>
        <w:rPr>
          <w:rFonts w:hint="eastAsia" w:ascii="宋体" w:hAnsi="宋体" w:cs="宋体"/>
          <w:b/>
          <w:bCs/>
          <w:color w:val="auto"/>
          <w:sz w:val="21"/>
          <w:szCs w:val="21"/>
          <w:highlight w:val="none"/>
        </w:rPr>
        <w:t xml:space="preserve">截止时间、开标时间和</w:t>
      </w:r>
      <w:bookmarkEnd w:id="8"/>
      <w:r/>
      <w:bookmarkEnd w:id="9"/>
      <w:r>
        <w:rPr>
          <w:rFonts w:hint="eastAsia" w:ascii="宋体" w:hAnsi="宋体" w:cs="宋体"/>
          <w:b/>
          <w:bCs/>
          <w:color w:val="auto"/>
          <w:sz w:val="21"/>
          <w:szCs w:val="21"/>
          <w:highlight w:val="none"/>
        </w:rPr>
        <w:t xml:space="preserve">方式</w:t>
      </w:r>
      <w:r/>
    </w:p>
    <w:p>
      <w:pPr>
        <w:ind w:firstLine="420"/>
        <w:spacing w:line="360" w:lineRule="auto"/>
        <w:rPr>
          <w:rFonts w:ascii="宋体" w:hAnsi="宋体" w:cs="宋体"/>
          <w:bCs/>
          <w:color w:val="auto"/>
          <w:sz w:val="21"/>
          <w:szCs w:val="21"/>
          <w:highlight w:val="none"/>
        </w:rPr>
      </w:pPr>
      <w:r>
        <w:rPr>
          <w:rFonts w:hint="eastAsia" w:ascii="宋体" w:hAnsi="宋体" w:cs="宋体"/>
          <w:color w:val="auto"/>
          <w:sz w:val="21"/>
          <w:szCs w:val="21"/>
          <w:highlight w:val="none"/>
        </w:rPr>
        <w:t xml:space="preserve">提交投标文件截止时间：</w:t>
      </w:r>
      <w:r>
        <w:rPr>
          <w:rFonts w:hint="eastAsia" w:ascii="宋体" w:hAnsi="宋体" w:cs="宋体"/>
          <w:bCs/>
          <w:color w:val="auto"/>
          <w:sz w:val="21"/>
          <w:szCs w:val="21"/>
          <w:highlight w:val="none"/>
          <w:u w:val="single"/>
          <w:lang w:eastAsia="zh-CN"/>
        </w:rPr>
        <w:t xml:space="preserve">2026年5月14日9点30分</w:t>
      </w:r>
      <w:r>
        <w:rPr>
          <w:rFonts w:hint="eastAsia" w:ascii="宋体" w:hAnsi="宋体" w:cs="宋体"/>
          <w:bCs/>
          <w:color w:val="auto"/>
          <w:sz w:val="21"/>
          <w:szCs w:val="21"/>
          <w:highlight w:val="none"/>
        </w:rPr>
        <w:t xml:space="preserve">（北京时间）</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开标时间：</w:t>
      </w:r>
      <w:r>
        <w:rPr>
          <w:rFonts w:hint="eastAsia" w:ascii="宋体" w:hAnsi="宋体" w:cs="宋体"/>
          <w:bCs/>
          <w:color w:val="auto"/>
          <w:sz w:val="21"/>
          <w:szCs w:val="21"/>
          <w:highlight w:val="none"/>
          <w:u w:val="single"/>
          <w:lang w:eastAsia="zh-CN"/>
        </w:rPr>
        <w:t xml:space="preserve">2026年5月14日9点30分</w:t>
      </w:r>
      <w:r>
        <w:rPr>
          <w:rFonts w:hint="eastAsia" w:ascii="宋体" w:hAnsi="宋体" w:cs="宋体"/>
          <w:bCs/>
          <w:color w:val="auto"/>
          <w:sz w:val="21"/>
          <w:szCs w:val="21"/>
          <w:highlight w:val="none"/>
        </w:rPr>
        <w:t xml:space="preserve">（北京时间）</w:t>
      </w:r>
      <w:r/>
    </w:p>
    <w:p>
      <w:pPr>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开标地点：供应商登录“苏采云”系统，点击“开标大厅”，选择对应项目，点击进入不见面开标系统。</w:t>
      </w:r>
      <w:r/>
    </w:p>
    <w:p>
      <w:pPr>
        <w:ind w:firstLine="422"/>
        <w:spacing w:line="360" w:lineRule="auto"/>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五、公告期限</w:t>
      </w:r>
      <w:r/>
    </w:p>
    <w:p>
      <w:pPr>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自本公告发布之日起5个工作日。</w:t>
      </w:r>
      <w:r/>
    </w:p>
    <w:p>
      <w:pPr>
        <w:numPr>
          <w:ilvl w:val="0"/>
          <w:numId w:val="2"/>
        </w:numPr>
        <w:ind w:firstLine="422"/>
        <w:spacing w:line="360" w:lineRule="auto"/>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其他补充事宜</w:t>
      </w:r>
      <w:r/>
    </w:p>
    <w:p>
      <w:pPr>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1、获取补充说明：</w:t>
      </w:r>
      <w:r/>
    </w:p>
    <w:p>
      <w:pPr>
        <w:ind w:firstLine="420"/>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（1）CA办理</w:t>
      </w:r>
      <w:r/>
    </w:p>
    <w:p>
      <w:pPr>
        <w:ind w:firstLine="420"/>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供应商通过“苏采云”政府采购交易系统（以下简称“苏采云”系统，网址：http://jszfcg.jsczt.cn/）参与政府采购项目，需办理江苏省电子政务证书认证中心CA证书。CA证书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s="宋体"/>
          <w:b/>
          <w:bCs/>
          <w:color w:val="auto"/>
          <w:sz w:val="21"/>
          <w:szCs w:val="21"/>
          <w:highlight w:val="none"/>
          <w:lang w:val="zh-CN"/>
        </w:rPr>
        <w:t xml:space="preserve">苏州现场办理地址：苏州市高新区邓尉路105号狮山科技馆1楼服务大厅，咨询电话：0512-65737699。</w:t>
      </w:r>
      <w:r/>
    </w:p>
    <w:p>
      <w:pPr>
        <w:ind w:firstLine="420"/>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（2）依法获取采购文件</w:t>
      </w:r>
      <w:r/>
    </w:p>
    <w:p>
      <w:pPr>
        <w:ind w:firstLine="420"/>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供应商插入CA证书登陆“苏采云”系统（网址：http://jszfcg.jsczt.cn/）后选择具体项目，点击“我要参与”并签章提交《投标供应商确认函》，确认参与后自行免费下载采购文件，提交《投标供应商确认函》日期视同为依法获取采购文件日期。供应商须打印、保留《投标供应商确认函》，质疑时《投标供应商确认函》与质疑函一并提交。</w:t>
      </w:r>
      <w:r/>
    </w:p>
    <w:p>
      <w:pPr>
        <w:ind w:firstLine="420"/>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考虑到熟悉“苏采云”系统、办理CA证书都需要一定的时间，请提早准备以免耽误招标采购活动。</w:t>
      </w:r>
      <w:r/>
    </w:p>
    <w:p>
      <w:pPr>
        <w:ind w:firstLine="420"/>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zh-CN"/>
        </w:rPr>
        <w:t xml:space="preserve">未依照采购公告要求获取招标文件的供应商，视为未参加该项政府采购活动，不具备对该政府采购项目提出质疑的法定权利。</w:t>
      </w:r>
      <w:r/>
    </w:p>
    <w:p>
      <w:pPr>
        <w:ind w:firstLine="420"/>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3.</w:t>
      </w:r>
      <w:r>
        <w:rPr>
          <w:rFonts w:hint="eastAsia" w:ascii="宋体" w:hAnsi="宋体" w:cs="宋体"/>
          <w:color w:val="auto"/>
          <w:sz w:val="21"/>
          <w:szCs w:val="21"/>
          <w:highlight w:val="none"/>
          <w:lang w:val="zh-CN"/>
        </w:rPr>
        <w:t xml:space="preserve">更正（补充）公告及附件的获取：投标人应及时关注政府采购信息发布媒体上发布的更正（补充）公告，同时在“苏采云”系统中下载更正（补充）资料，</w:t>
      </w:r>
      <w:r>
        <w:rPr>
          <w:rFonts w:hint="eastAsia" w:ascii="宋体" w:hAnsi="宋体" w:cs="宋体"/>
          <w:b/>
          <w:bCs/>
          <w:color w:val="auto"/>
          <w:sz w:val="21"/>
          <w:szCs w:val="21"/>
          <w:highlight w:val="none"/>
          <w:lang w:val="zh-CN"/>
        </w:rPr>
        <w:t xml:space="preserve">如有遗漏（包括但不限于文件未下载或下载不完整），可能无法解密投标文件，由此所造成的投标失败或损失由投标人自行负责。</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lang w:val="zh-CN"/>
        </w:rPr>
        <w:t xml:space="preserve">制作电子响应文件：本项目采用电子网上招投标，请供应商插入CA 证书登陆“苏采云”系统下载客户端（参与项目页面可下载客户端及客户端使用说明），在客户端编制电子投标（响应）文件并进行CA加密，操作步骤详见“苏采云”系统页面提示。操作手册见《苏采云系统供应商操作手册》（以下简称《操作手册》）（链接</w:t>
      </w:r>
      <w:r>
        <w:rPr>
          <w:rFonts w:hint="eastAsia" w:ascii="宋体" w:hAnsi="宋体" w:cs="宋体"/>
          <w:color w:val="auto"/>
          <w:sz w:val="21"/>
          <w:szCs w:val="22"/>
          <w:highlight w:val="none"/>
          <w:lang w:val="zh-CN"/>
        </w:rPr>
        <w:t xml:space="preserve">：http://www.ccgp-jiangsu.gov.cn/jiangsu/zlxz/ee/ee3a4bc5a3454aa2b0d9312230633ce9.html）</w:t>
      </w:r>
      <w:r>
        <w:rPr>
          <w:rFonts w:hint="eastAsia" w:ascii="宋体" w:hAnsi="宋体" w:cs="宋体"/>
          <w:color w:val="auto"/>
          <w:sz w:val="21"/>
          <w:szCs w:val="21"/>
          <w:highlight w:val="none"/>
          <w:lang w:val="zh-CN"/>
        </w:rPr>
        <w:t xml:space="preserve">。电子投标（响应）文件制作完成后请于投标（响应）截止时间前成功上传，</w:t>
      </w:r>
      <w:r>
        <w:rPr>
          <w:rFonts w:hint="eastAsia" w:ascii="宋体" w:hAnsi="宋体" w:cs="宋体"/>
          <w:b/>
          <w:bCs/>
          <w:color w:val="auto"/>
          <w:sz w:val="21"/>
          <w:szCs w:val="21"/>
          <w:highlight w:val="none"/>
          <w:lang w:val="zh-CN"/>
        </w:rPr>
        <w:t xml:space="preserve">未按要求线上递交电子投标（响应）文件即为未递交投标（响应）文件。供应商应充分考虑到网络环境、网络带宽等风险因素，如因供应商自身原因造成的电子投标（响应）文件上传不成功由供应商自行承担全部责任。</w:t>
      </w:r>
      <w:r/>
    </w:p>
    <w:p>
      <w:pPr>
        <w:ind w:firstLine="422"/>
        <w:spacing w:line="360" w:lineRule="auto"/>
        <w:shd w:val="clear" w:color="auto" w:fill="ffffff"/>
        <w:rPr>
          <w:rFonts w:ascii="宋体" w:hAnsi="宋体" w:cs="宋体"/>
          <w:b/>
          <w:color w:val="auto"/>
          <w:sz w:val="21"/>
          <w:szCs w:val="21"/>
          <w:highlight w:val="none"/>
        </w:rPr>
      </w:pPr>
      <w:r>
        <w:rPr>
          <w:rFonts w:hint="eastAsia" w:ascii="宋体" w:hAnsi="宋体" w:cs="宋体"/>
          <w:b/>
          <w:color w:val="auto"/>
          <w:sz w:val="21"/>
          <w:szCs w:val="21"/>
          <w:highlight w:val="none"/>
        </w:rPr>
        <w:t xml:space="preserve">5.本项目为不见面开标（开启）项目，开标阶段供应商在【解密环节】必须使用 CA证书解密电子（投标）响应文件，如在“苏采云”系统规定的时间内未能成功解密的视为放弃参与本项目，投标无效。</w:t>
      </w:r>
      <w:r/>
    </w:p>
    <w:p>
      <w:pPr>
        <w:ind w:firstLine="422"/>
        <w:spacing w:line="360" w:lineRule="auto"/>
        <w:rPr>
          <w:rFonts w:ascii="宋体" w:hAnsi="宋体" w:cs="宋体"/>
          <w:color w:val="auto"/>
          <w:sz w:val="21"/>
          <w:szCs w:val="21"/>
          <w:highlight w:val="none"/>
        </w:rPr>
      </w:pPr>
      <w:r>
        <w:rPr>
          <w:rFonts w:hint="eastAsia" w:ascii="宋体" w:hAnsi="宋体" w:cs="宋体"/>
          <w:b/>
          <w:color w:val="auto"/>
          <w:sz w:val="21"/>
          <w:szCs w:val="21"/>
          <w:highlight w:val="none"/>
        </w:rPr>
        <w:t xml:space="preserve">请供应商确保电脑、系统及其他设备（视频输入输出设备等）无误，且开启直至项目结束始终保持系统在线状态。</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6.本次采购的有关信息将在以下网站上发布：江苏政府采购网、苏州市政府采购网、中国政府采购网</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7.政府采购监督电话：0512-68616651。</w:t>
      </w:r>
      <w:r/>
    </w:p>
    <w:p>
      <w:pPr>
        <w:ind w:firstLine="420"/>
        <w:jc w:val="both"/>
        <w:spacing w:line="360" w:lineRule="auto"/>
        <w:tabs>
          <w:tab w:val="left" w:pos="567"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8.根据苏州市财政局《关于深入开展苏州市政府采购合同信用融资业务的通知》相关要求，本项目支持政府采购合同信用融资。</w:t>
      </w:r>
      <w:r/>
    </w:p>
    <w:tbl>
      <w:tblPr>
        <w:tblStyle w:val="752"/>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18"/>
      </w:tblGrid>
      <w:tr>
        <w:trPr>
          <w:jc w:val="center"/>
          <w:trHeight w:val="2426"/>
        </w:trPr>
        <w:tc>
          <w:tcPr>
            <w:tcW w:w="9918" w:type="dxa"/>
            <w:textDirection w:val="lrTb"/>
            <w:noWrap w:val="false"/>
          </w:tcPr>
          <w:p>
            <w:pPr>
              <w:jc w:val="center"/>
              <w:rPr>
                <w:rFonts w:ascii="宋体" w:hAnsi="宋体" w:cs="宋体"/>
                <w:b/>
                <w:color w:val="auto"/>
                <w:sz w:val="21"/>
                <w:szCs w:val="21"/>
                <w:highlight w:val="none"/>
              </w:rPr>
            </w:pPr>
            <w:r>
              <w:rPr>
                <w:rFonts w:hint="eastAsia" w:ascii="宋体" w:hAnsi="宋体" w:cs="宋体"/>
                <w:b/>
                <w:color w:val="auto"/>
                <w:sz w:val="21"/>
                <w:szCs w:val="21"/>
                <w:highlight w:val="none"/>
              </w:rPr>
              <w:t xml:space="preserve">政府采购合同信用融资政策告知函</w:t>
            </w:r>
            <w:r/>
          </w:p>
          <w:p>
            <w:pPr>
              <w:jc w:val="both"/>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各政府采购供应商:</w:t>
            </w:r>
            <w:r/>
          </w:p>
          <w:p>
            <w:pPr>
              <w:ind w:firstLine="420"/>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欢迎贵公司参加苏州市政府采购活动！</w:t>
            </w:r>
            <w:r/>
          </w:p>
          <w:p>
            <w:pPr>
              <w:ind w:firstLine="42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ind w:firstLine="422"/>
        <w:spacing w:line="360" w:lineRule="auto"/>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七、对本次招标提出询问，请按以下方式联系</w:t>
      </w:r>
      <w:r/>
    </w:p>
    <w:p>
      <w:pPr>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1、采购人信息</w:t>
      </w:r>
      <w:r/>
    </w:p>
    <w:p>
      <w:pPr>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名称：苏州市市场监督管理局</w:t>
      </w:r>
      <w:r/>
    </w:p>
    <w:p>
      <w:pPr>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地址：苏州市平泷路188号</w:t>
      </w:r>
      <w:r/>
    </w:p>
    <w:p>
      <w:pPr>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联系电话：0512-69851228</w:t>
      </w:r>
      <w:r/>
    </w:p>
    <w:p>
      <w:pPr>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2、采购代理机构信息</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名 称：苏州乐慧招投标咨询有限公司</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地　址：苏州市相城区元和街道华元路766号都会商业中心1幢2706室</w:t>
      </w:r>
      <w:r/>
    </w:p>
    <w:p>
      <w:pPr>
        <w:pStyle w:val="990"/>
        <w:ind w:left="0" w:firstLine="420"/>
        <w:spacing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联系方式：0512-69223600  </w:t>
      </w:r>
      <w:r/>
    </w:p>
    <w:p>
      <w:pPr>
        <w:pStyle w:val="990"/>
        <w:ind w:left="0" w:firstLine="420"/>
        <w:spacing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地址：苏州市相城区元和街道华元路766号都会商业中心1幢2706室</w:t>
      </w:r>
      <w:r/>
    </w:p>
    <w:p>
      <w:pPr>
        <w:pStyle w:val="990"/>
        <w:ind w:left="0" w:firstLine="420"/>
        <w:spacing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联系人：王佳静、陈浩   联系电话：0512-69223600</w:t>
      </w:r>
      <w:r/>
    </w:p>
    <w:p>
      <w:pPr>
        <w:jc w:val="center"/>
        <w:widowControl w:val="off"/>
        <w:rPr>
          <w:rFonts w:ascii="宋体" w:hAnsi="宋体" w:cs="宋体"/>
          <w:b/>
          <w:color w:val="auto"/>
          <w:sz w:val="30"/>
          <w:szCs w:val="20"/>
          <w:highlight w:val="none"/>
        </w:rPr>
        <w:outlineLvl w:val="0"/>
      </w:pPr>
      <w:r>
        <w:rPr>
          <w:rFonts w:hint="eastAsia" w:ascii="宋体" w:hAnsi="宋体" w:cs="宋体"/>
          <w:b/>
          <w:bCs/>
          <w:color w:val="auto"/>
          <w:spacing w:val="20"/>
          <w:sz w:val="30"/>
          <w:highlight w:val="none"/>
        </w:rPr>
        <w:br w:type="page" w:clear="all"/>
      </w:r>
      <w:bookmarkStart w:id="10" w:name="_Toc6743"/>
      <w:r/>
      <w:bookmarkStart w:id="11" w:name="_Toc18206"/>
      <w:r>
        <w:rPr>
          <w:rFonts w:hint="eastAsia" w:ascii="宋体" w:hAnsi="宋体" w:cs="宋体"/>
          <w:b/>
          <w:color w:val="auto"/>
          <w:sz w:val="30"/>
          <w:szCs w:val="20"/>
          <w:highlight w:val="none"/>
        </w:rPr>
        <w:t xml:space="preserve">第二章 投标人须知</w:t>
      </w:r>
      <w:bookmarkEnd w:id="10"/>
      <w:r/>
      <w:bookmarkEnd w:id="11"/>
      <w:r/>
      <w:r/>
    </w:p>
    <w:p>
      <w:pPr>
        <w:jc w:val="both"/>
        <w:widowControl w:val="off"/>
        <w:rPr>
          <w:rFonts w:ascii="宋体" w:hAnsi="宋体" w:cs="宋体"/>
          <w:b/>
          <w:bCs/>
          <w:color w:val="auto"/>
          <w:highlight w:val="none"/>
        </w:rPr>
      </w:pPr>
      <w:r>
        <w:rPr>
          <w:rFonts w:ascii="宋体" w:hAnsi="宋体" w:cs="宋体"/>
          <w:b/>
          <w:bCs/>
          <w:color w:val="auto"/>
          <w:highlight w:val="none"/>
        </w:rPr>
      </w:r>
      <w:r/>
    </w:p>
    <w:p>
      <w:pPr>
        <w:spacing w:line="360" w:lineRule="auto"/>
        <w:rPr>
          <w:rFonts w:ascii="宋体" w:hAnsi="宋体" w:cs="宋体"/>
          <w:b/>
          <w:bCs/>
          <w:color w:val="auto"/>
          <w:sz w:val="21"/>
          <w:szCs w:val="21"/>
          <w:highlight w:val="none"/>
          <w:lang w:val="zh-CN"/>
        </w:rPr>
        <w:outlineLvl w:val="1"/>
      </w:pPr>
      <w:r>
        <w:rPr>
          <w:rFonts w:hint="eastAsia" w:ascii="宋体" w:hAnsi="宋体" w:cs="宋体"/>
          <w:b/>
          <w:bCs/>
          <w:color w:val="auto"/>
          <w:sz w:val="21"/>
          <w:szCs w:val="21"/>
          <w:highlight w:val="none"/>
          <w:lang w:val="zh-CN"/>
        </w:rPr>
        <w:t xml:space="preserve">一、说明和释义</w:t>
      </w:r>
      <w:r/>
    </w:p>
    <w:p>
      <w:pPr>
        <w:spacing w:line="360" w:lineRule="auto"/>
        <w:rPr>
          <w:rFonts w:ascii="宋体" w:hAnsi="宋体" w:cs="宋体"/>
          <w:b/>
          <w:color w:val="auto"/>
          <w:sz w:val="21"/>
          <w:szCs w:val="21"/>
          <w:highlight w:val="none"/>
          <w:lang w:val="zh-CN"/>
        </w:rPr>
        <w:outlineLvl w:val="3"/>
      </w:pPr>
      <w:r>
        <w:rPr>
          <w:rFonts w:hint="eastAsia" w:ascii="宋体" w:hAnsi="宋体" w:cs="宋体"/>
          <w:b/>
          <w:color w:val="auto"/>
          <w:sz w:val="21"/>
          <w:szCs w:val="21"/>
          <w:highlight w:val="none"/>
          <w:lang w:val="zh-CN"/>
        </w:rPr>
        <w:t xml:space="preserve">1、说明</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1.1本招标文件仅适用于苏州乐慧招投标咨询有限公司组织的招标活动。</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1.2本次招标活动及因本次招标产生的合同受中国法律制约和保护。</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1.3本招标文件的解释权属于苏州乐慧招投标咨询有限公司。</w:t>
      </w:r>
      <w:r/>
    </w:p>
    <w:p>
      <w:pPr>
        <w:spacing w:line="360" w:lineRule="auto"/>
        <w:rPr>
          <w:rFonts w:ascii="宋体" w:hAnsi="宋体" w:cs="宋体"/>
          <w:b/>
          <w:color w:val="auto"/>
          <w:sz w:val="21"/>
          <w:szCs w:val="21"/>
          <w:highlight w:val="none"/>
          <w:lang w:val="zh-CN"/>
        </w:rPr>
        <w:outlineLvl w:val="3"/>
      </w:pPr>
      <w:r>
        <w:rPr>
          <w:rFonts w:hint="eastAsia" w:ascii="宋体" w:hAnsi="宋体" w:cs="宋体"/>
          <w:b/>
          <w:color w:val="auto"/>
          <w:sz w:val="21"/>
          <w:szCs w:val="21"/>
          <w:highlight w:val="none"/>
          <w:lang w:val="zh-CN"/>
        </w:rPr>
        <w:t xml:space="preserve">2、词语释义</w:t>
      </w:r>
      <w:r/>
    </w:p>
    <w:p>
      <w:pPr>
        <w:ind w:firstLine="411"/>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2.1采购代理机构：具体组织实施招标活动的法人。</w:t>
      </w:r>
      <w:r/>
    </w:p>
    <w:p>
      <w:pPr>
        <w:ind w:firstLine="411"/>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2.2投标人：经认定有资格响应招标，参加投标竞争的法人或其他组织或自然人。</w:t>
      </w:r>
      <w:r/>
    </w:p>
    <w:p>
      <w:pPr>
        <w:ind w:firstLine="411"/>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2.3响应：投标人根据采购代理机构或采购代理机构发布的招标文件，编制投标文件并按规定投标的行为。</w:t>
      </w:r>
      <w:r/>
    </w:p>
    <w:p>
      <w:pPr>
        <w:ind w:firstLine="411"/>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2.4合同：采供双方根据招标文件和中标的投标文件及中标通知书规定的内容签署的以书面形式所达成的协议，包括所有的附件、附录和构成协议的所有文件。</w:t>
      </w:r>
      <w:r/>
    </w:p>
    <w:p>
      <w:pPr>
        <w:ind w:firstLine="411"/>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2.5甲方（采购方）：合同中明确规定的实际购买货物和服务的法人或其他组织和自然人（采购人） 。</w:t>
      </w:r>
      <w:r/>
    </w:p>
    <w:p>
      <w:pPr>
        <w:ind w:firstLine="411"/>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2.6乙方（供应商）：合同中规定的向采购方提供货物和服务的法人或其他组织和自然人（中标人）。</w:t>
      </w:r>
      <w:r/>
    </w:p>
    <w:p>
      <w:pPr>
        <w:ind w:firstLine="411"/>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2.7服务：系指中标人按招标文件规定，应向采购人提供的一切抽检服务及与服务有关的辅助服务，比如人员管理、设备投入、培训、按国家法律法规及政策要求所必须完成的工作和合同中规定中标人应承担的其它所有义务。</w:t>
      </w:r>
      <w:r/>
    </w:p>
    <w:p>
      <w:pPr>
        <w:ind w:firstLine="411"/>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w:t>
      </w:r>
      <w:r>
        <w:rPr>
          <w:rFonts w:hint="eastAsia" w:ascii="宋体" w:hAnsi="宋体" w:cs="宋体"/>
          <w:color w:val="auto"/>
          <w:sz w:val="21"/>
          <w:szCs w:val="21"/>
          <w:highlight w:val="none"/>
        </w:rPr>
        <w:t xml:space="preserve">8</w:t>
      </w:r>
      <w:r>
        <w:rPr>
          <w:rFonts w:hint="eastAsia" w:ascii="宋体" w:hAnsi="宋体" w:cs="宋体"/>
          <w:color w:val="auto"/>
          <w:sz w:val="21"/>
          <w:szCs w:val="21"/>
          <w:highlight w:val="none"/>
          <w:lang w:val="zh-CN"/>
        </w:rPr>
        <w:t xml:space="preserve">知识产权：指专利权、商标权、著作权等无形财产专有权的统称。</w:t>
      </w:r>
      <w:r/>
    </w:p>
    <w:p>
      <w:pPr>
        <w:ind w:firstLine="411"/>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w:t>
      </w:r>
      <w:r>
        <w:rPr>
          <w:rFonts w:hint="eastAsia" w:ascii="宋体" w:hAnsi="宋体" w:cs="宋体"/>
          <w:color w:val="auto"/>
          <w:sz w:val="21"/>
          <w:szCs w:val="21"/>
          <w:highlight w:val="none"/>
        </w:rPr>
        <w:t xml:space="preserve">9</w:t>
      </w:r>
      <w:r>
        <w:rPr>
          <w:rFonts w:hint="eastAsia" w:ascii="宋体" w:hAnsi="宋体" w:cs="宋体"/>
          <w:color w:val="auto"/>
          <w:sz w:val="21"/>
          <w:szCs w:val="21"/>
          <w:highlight w:val="none"/>
          <w:lang w:val="zh-CN"/>
        </w:rPr>
        <w:t xml:space="preserve">天：日历日。</w:t>
      </w:r>
      <w:r/>
    </w:p>
    <w:p>
      <w:pPr>
        <w:ind w:firstLine="411"/>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2.1</w:t>
      </w:r>
      <w:r>
        <w:rPr>
          <w:rFonts w:hint="eastAsia" w:ascii="宋体" w:hAnsi="宋体" w:cs="宋体"/>
          <w:color w:val="auto"/>
          <w:sz w:val="21"/>
          <w:szCs w:val="21"/>
          <w:highlight w:val="none"/>
        </w:rPr>
        <w:t xml:space="preserve">0服务地点</w:t>
      </w:r>
      <w:r>
        <w:rPr>
          <w:rFonts w:hint="eastAsia" w:ascii="宋体" w:hAnsi="宋体" w:cs="宋体"/>
          <w:color w:val="auto"/>
          <w:sz w:val="21"/>
          <w:szCs w:val="21"/>
          <w:highlight w:val="none"/>
          <w:lang w:val="zh-CN"/>
        </w:rPr>
        <w:t xml:space="preserve">：合同中明确约定的乙方服务地点。</w:t>
      </w:r>
      <w:r/>
    </w:p>
    <w:p>
      <w:pPr>
        <w:ind w:firstLine="411"/>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2.1</w:t>
      </w: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zh-CN"/>
        </w:rPr>
        <w:t xml:space="preserve"> 合同价款：根据合同规定，乙方在正确地履行合同义务后甲方应支付乙方的价款。</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2.1</w:t>
      </w: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zh-CN"/>
        </w:rPr>
        <w:t xml:space="preserve"> 不可抗力：不能预见、不能避免并且不能克服的客观情况。</w:t>
      </w:r>
      <w:r/>
    </w:p>
    <w:p>
      <w:pPr>
        <w:ind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2.13 实质响应：</w:t>
      </w:r>
      <w:r>
        <w:rPr>
          <w:rFonts w:hint="eastAsia" w:ascii="宋体" w:hAnsi="宋体" w:cs="宋体"/>
          <w:b/>
          <w:color w:val="auto"/>
          <w:sz w:val="21"/>
          <w:szCs w:val="21"/>
          <w:highlight w:val="none"/>
          <w:lang w:val="zh-CN"/>
        </w:rPr>
        <w:t xml:space="preserve">满足有关本次采购标的、数量、质量、价款或者报酬、至少需达到服务要求标准、履行期限、履行地点和方式、违约责任和解决争议方法等要求。</w:t>
      </w:r>
      <w:r/>
    </w:p>
    <w:p>
      <w:pPr>
        <w:ind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2.14书面形式：指书面文字、合同书、信件和传真等可以有形地表现所载内容的形式。</w:t>
      </w:r>
      <w:r/>
    </w:p>
    <w:p>
      <w:pPr>
        <w:ind w:firstLine="420"/>
        <w:spacing w:line="360" w:lineRule="auto"/>
        <w:rPr>
          <w:rFonts w:ascii="宋体" w:hAnsi="宋体" w:cs="宋体"/>
          <w:color w:val="auto"/>
          <w:sz w:val="21"/>
          <w:szCs w:val="21"/>
          <w:highlight w:val="none"/>
          <w:lang w:val="zh-CN"/>
        </w:rPr>
      </w:pPr>
      <w:r>
        <w:rPr>
          <w:rFonts w:hint="eastAsia" w:ascii="宋体" w:hAnsi="宋体" w:cs="宋体"/>
          <w:bCs/>
          <w:color w:val="auto"/>
          <w:sz w:val="21"/>
          <w:szCs w:val="21"/>
          <w:highlight w:val="none"/>
        </w:rPr>
        <w:t xml:space="preserve">2.15 </w:t>
      </w:r>
      <w:r>
        <w:rPr>
          <w:rFonts w:hint="eastAsia" w:ascii="宋体" w:hAnsi="宋体" w:cs="宋体"/>
          <w:color w:val="auto"/>
          <w:sz w:val="21"/>
          <w:szCs w:val="21"/>
          <w:highlight w:val="none"/>
          <w:lang w:val="zh-CN"/>
        </w:rPr>
        <w:t xml:space="preserve">中小微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pStyle w:val="836"/>
        <w:ind w:left="0" w:firstLine="420"/>
        <w:spacing w:line="360" w:lineRule="auto"/>
        <w:rPr>
          <w:rFonts w:ascii="宋体" w:hAnsi="宋体" w:eastAsia="宋体" w:cs="宋体"/>
          <w:color w:val="auto"/>
          <w:sz w:val="21"/>
          <w:szCs w:val="21"/>
          <w:highlight w:val="none"/>
          <w:u w:val="single"/>
          <w:lang w:val="zh-CN"/>
        </w:rPr>
      </w:pPr>
      <w:r>
        <w:rPr>
          <w:rFonts w:hint="eastAsia" w:ascii="宋体" w:hAnsi="宋体" w:eastAsia="宋体" w:cs="宋体"/>
          <w:color w:val="auto"/>
          <w:sz w:val="21"/>
          <w:szCs w:val="21"/>
          <w:highlight w:val="none"/>
          <w:u w:val="single"/>
          <w:lang w:val="zh-CN"/>
        </w:rPr>
        <w:t xml:space="preserve">在政府采购活动中，供应商提供的货物、工程或者服务符合下列情形的，享受中小企业扶持政策：（一）在货物采购项目中，货物由中小企业制造，即货物由中小企业生产且使用该中小企业商号或者注册商标；（二）在工程采购项目中，工程由中小企业承建，即工程施工单位为中小企业；（三）在服务采购项目中，服务由中小企业承接，即提供服务的人员为中小企业依照法律规定订立劳动合同的从业人员。</w:t>
      </w:r>
      <w:r/>
    </w:p>
    <w:p>
      <w:pPr>
        <w:spacing w:line="360" w:lineRule="auto"/>
        <w:rPr>
          <w:rFonts w:ascii="宋体" w:hAnsi="宋体" w:cs="宋体"/>
          <w:b/>
          <w:color w:val="auto"/>
          <w:sz w:val="21"/>
          <w:szCs w:val="21"/>
          <w:highlight w:val="none"/>
          <w:lang w:val="zh-CN"/>
        </w:rPr>
        <w:outlineLvl w:val="1"/>
      </w:pPr>
      <w:r>
        <w:rPr>
          <w:rFonts w:hint="eastAsia" w:ascii="宋体" w:hAnsi="宋体" w:cs="宋体"/>
          <w:b/>
          <w:bCs/>
          <w:color w:val="auto"/>
          <w:sz w:val="21"/>
          <w:szCs w:val="21"/>
          <w:highlight w:val="none"/>
          <w:lang w:val="zh-CN"/>
        </w:rPr>
        <w:t xml:space="preserve">二、投标人</w:t>
      </w:r>
      <w:r/>
    </w:p>
    <w:p>
      <w:pPr>
        <w:spacing w:line="360" w:lineRule="auto"/>
        <w:rPr>
          <w:rFonts w:ascii="宋体" w:hAnsi="宋体" w:cs="宋体"/>
          <w:b/>
          <w:color w:val="auto"/>
          <w:sz w:val="21"/>
          <w:szCs w:val="21"/>
          <w:highlight w:val="none"/>
          <w:lang w:val="zh-CN"/>
        </w:rPr>
        <w:outlineLvl w:val="3"/>
      </w:pPr>
      <w:r>
        <w:rPr>
          <w:rFonts w:hint="eastAsia" w:ascii="宋体" w:hAnsi="宋体" w:cs="宋体"/>
          <w:b/>
          <w:color w:val="auto"/>
          <w:sz w:val="21"/>
          <w:szCs w:val="21"/>
          <w:highlight w:val="none"/>
          <w:lang w:val="zh-CN"/>
        </w:rPr>
        <w:t xml:space="preserve">3、合格投标人的条件</w:t>
      </w:r>
      <w:r/>
    </w:p>
    <w:p>
      <w:pPr>
        <w:ind w:firstLine="420"/>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3.1合格投标人的一般资格条件</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w:t>
      </w:r>
      <w:r>
        <w:rPr>
          <w:rFonts w:hint="eastAsia" w:ascii="宋体" w:hAnsi="宋体" w:cs="宋体"/>
          <w:color w:val="auto"/>
          <w:sz w:val="21"/>
          <w:szCs w:val="21"/>
          <w:highlight w:val="none"/>
        </w:rPr>
        <w:t xml:space="preserve">1.1</w:t>
      </w:r>
      <w:r>
        <w:rPr>
          <w:rFonts w:hint="eastAsia" w:ascii="宋体" w:hAnsi="宋体" w:cs="宋体"/>
          <w:color w:val="auto"/>
          <w:sz w:val="21"/>
          <w:szCs w:val="21"/>
          <w:highlight w:val="none"/>
          <w:lang w:val="zh-CN"/>
        </w:rPr>
        <w:t xml:space="preserve">具有独立承担民事责任的能力；</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w:t>
      </w:r>
      <w:r>
        <w:rPr>
          <w:rFonts w:hint="eastAsia" w:ascii="宋体" w:hAnsi="宋体" w:cs="宋体"/>
          <w:color w:val="auto"/>
          <w:sz w:val="21"/>
          <w:szCs w:val="21"/>
          <w:highlight w:val="none"/>
        </w:rPr>
        <w:t xml:space="preserve">1.2</w:t>
      </w:r>
      <w:r>
        <w:rPr>
          <w:rFonts w:hint="eastAsia" w:ascii="宋体" w:hAnsi="宋体" w:cs="宋体"/>
          <w:color w:val="auto"/>
          <w:sz w:val="21"/>
          <w:szCs w:val="21"/>
          <w:highlight w:val="none"/>
          <w:lang w:val="zh-CN"/>
        </w:rPr>
        <w:t xml:space="preserve">具有良好的商业信誉和健全的财务会计制度；</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w:t>
      </w: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zh-CN"/>
        </w:rPr>
        <w:t xml:space="preserve">3具有履行合同所必需的设备和专业技术能力；</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w:t>
      </w: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zh-CN"/>
        </w:rPr>
        <w:t xml:space="preserve">4有依法缴纳税收和社会保障资金的良好记录；</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w:t>
      </w: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zh-CN"/>
        </w:rPr>
        <w:t xml:space="preserve">5参加政府采购活动近三年内，在经营活动中没有重大违法记录；</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w:t>
      </w: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zh-CN"/>
        </w:rPr>
        <w:t xml:space="preserve">6法律、行政法规规定的其他条件；</w:t>
      </w:r>
      <w:r/>
    </w:p>
    <w:p>
      <w:pPr>
        <w:ind w:firstLine="420"/>
        <w:spacing w:line="360" w:lineRule="auto"/>
        <w:rPr>
          <w:rFonts w:ascii="宋体" w:hAnsi="宋体" w:cs="宋体"/>
          <w:b/>
          <w:bCs/>
          <w:color w:val="auto"/>
          <w:sz w:val="21"/>
          <w:szCs w:val="21"/>
          <w:highlight w:val="none"/>
          <w:lang w:val="zh-CN"/>
        </w:rPr>
      </w:pPr>
      <w:r>
        <w:rPr>
          <w:rFonts w:hint="eastAsia" w:ascii="宋体" w:hAnsi="宋体" w:cs="宋体"/>
          <w:b/>
          <w:bCs/>
          <w:color w:val="auto"/>
          <w:sz w:val="21"/>
          <w:szCs w:val="21"/>
          <w:highlight w:val="none"/>
        </w:rPr>
        <w:t xml:space="preserve">3.2</w:t>
      </w:r>
      <w:r>
        <w:rPr>
          <w:rFonts w:hint="eastAsia" w:ascii="宋体" w:hAnsi="宋体" w:cs="宋体"/>
          <w:b/>
          <w:bCs/>
          <w:color w:val="auto"/>
          <w:sz w:val="21"/>
          <w:szCs w:val="21"/>
          <w:highlight w:val="none"/>
          <w:lang w:val="zh-CN"/>
        </w:rPr>
        <w:t xml:space="preserve">合格投标人的特殊条件</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3.2.1</w:t>
      </w:r>
      <w:r>
        <w:rPr>
          <w:rFonts w:hint="eastAsia" w:ascii="宋体" w:hAnsi="宋体" w:cs="宋体"/>
          <w:color w:val="auto"/>
          <w:sz w:val="21"/>
          <w:szCs w:val="21"/>
          <w:highlight w:val="none"/>
          <w:lang w:val="zh-CN"/>
        </w:rPr>
        <w:t xml:space="preserve">投标单位具有国家认证认可监督管理委员会或省级市场监督管理部门颁发的有效期内的CMA资质认定证书。</w:t>
      </w:r>
      <w:r/>
    </w:p>
    <w:p>
      <w:pPr>
        <w:spacing w:line="360" w:lineRule="auto"/>
        <w:rPr>
          <w:rFonts w:ascii="宋体" w:hAnsi="宋体" w:cs="宋体"/>
          <w:b/>
          <w:color w:val="auto"/>
          <w:sz w:val="21"/>
          <w:szCs w:val="21"/>
          <w:highlight w:val="none"/>
          <w:lang w:val="zh-CN"/>
        </w:rPr>
        <w:outlineLvl w:val="3"/>
      </w:pPr>
      <w:r>
        <w:rPr>
          <w:rFonts w:hint="eastAsia" w:ascii="宋体" w:hAnsi="宋体" w:cs="宋体"/>
          <w:b/>
          <w:color w:val="auto"/>
          <w:sz w:val="21"/>
          <w:szCs w:val="21"/>
          <w:highlight w:val="none"/>
          <w:lang w:val="zh-CN"/>
        </w:rPr>
        <w:t xml:space="preserve">4、投标人代表</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4.1指全权代表投标人参加投标活动并签署投标文件的人，如果投标人代表不是法定代表人，须持有《法人代表授权委托书》（详见统一格式）。 </w:t>
      </w:r>
      <w:r/>
    </w:p>
    <w:p>
      <w:pPr>
        <w:spacing w:line="360" w:lineRule="auto"/>
        <w:rPr>
          <w:rFonts w:ascii="宋体" w:hAnsi="宋体" w:cs="宋体"/>
          <w:b/>
          <w:color w:val="auto"/>
          <w:sz w:val="21"/>
          <w:szCs w:val="21"/>
          <w:highlight w:val="none"/>
          <w:lang w:val="zh-CN"/>
        </w:rPr>
        <w:outlineLvl w:val="3"/>
      </w:pPr>
      <w:r>
        <w:rPr>
          <w:rFonts w:hint="eastAsia" w:ascii="宋体" w:hAnsi="宋体" w:cs="宋体"/>
          <w:b/>
          <w:color w:val="auto"/>
          <w:sz w:val="21"/>
          <w:szCs w:val="21"/>
          <w:highlight w:val="none"/>
          <w:lang w:val="zh-CN"/>
        </w:rPr>
        <w:t xml:space="preserve">5、投标费用 </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5.1无论投标过程中的做法和结果如何，投标人自行承担所有与参加投标有关的全部费用。</w:t>
      </w:r>
      <w:r/>
    </w:p>
    <w:p>
      <w:pPr>
        <w:spacing w:line="360" w:lineRule="auto"/>
        <w:rPr>
          <w:rFonts w:ascii="宋体" w:hAnsi="宋体" w:cs="宋体"/>
          <w:b/>
          <w:color w:val="auto"/>
          <w:sz w:val="21"/>
          <w:szCs w:val="21"/>
          <w:highlight w:val="none"/>
          <w:lang w:val="zh-CN"/>
        </w:rPr>
        <w:outlineLvl w:val="3"/>
      </w:pPr>
      <w:r>
        <w:rPr>
          <w:rFonts w:hint="eastAsia" w:ascii="宋体" w:hAnsi="宋体" w:cs="宋体"/>
          <w:b/>
          <w:color w:val="auto"/>
          <w:sz w:val="21"/>
          <w:szCs w:val="21"/>
          <w:highlight w:val="none"/>
          <w:lang w:val="zh-CN"/>
        </w:rPr>
        <w:t xml:space="preserve">6、联合投标</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本次招标不接受联合投标。</w:t>
      </w:r>
      <w:r/>
    </w:p>
    <w:p>
      <w:pPr>
        <w:spacing w:line="360" w:lineRule="auto"/>
        <w:rPr>
          <w:rFonts w:ascii="宋体" w:hAnsi="宋体" w:cs="宋体"/>
          <w:b/>
          <w:bCs/>
          <w:color w:val="auto"/>
          <w:sz w:val="21"/>
          <w:szCs w:val="21"/>
          <w:highlight w:val="none"/>
          <w:lang w:val="zh-CN"/>
        </w:rPr>
        <w:outlineLvl w:val="1"/>
      </w:pPr>
      <w:r>
        <w:rPr>
          <w:rFonts w:hint="eastAsia" w:ascii="宋体" w:hAnsi="宋体" w:cs="宋体"/>
          <w:b/>
          <w:bCs/>
          <w:color w:val="auto"/>
          <w:sz w:val="21"/>
          <w:szCs w:val="21"/>
          <w:highlight w:val="none"/>
          <w:lang w:val="zh-CN"/>
        </w:rPr>
        <w:t xml:space="preserve">三、招标文件的说明</w:t>
      </w:r>
      <w:r/>
    </w:p>
    <w:p>
      <w:pPr>
        <w:spacing w:line="360" w:lineRule="auto"/>
        <w:rPr>
          <w:rFonts w:ascii="宋体" w:hAnsi="宋体" w:cs="宋体"/>
          <w:b/>
          <w:color w:val="auto"/>
          <w:sz w:val="21"/>
          <w:szCs w:val="21"/>
          <w:highlight w:val="none"/>
          <w:lang w:val="zh-CN"/>
        </w:rPr>
        <w:outlineLvl w:val="3"/>
      </w:pPr>
      <w:r>
        <w:rPr>
          <w:rFonts w:hint="eastAsia" w:ascii="宋体" w:hAnsi="宋体" w:cs="宋体"/>
          <w:b/>
          <w:color w:val="auto"/>
          <w:sz w:val="21"/>
          <w:szCs w:val="21"/>
          <w:highlight w:val="none"/>
          <w:lang w:val="zh-CN"/>
        </w:rPr>
        <w:t xml:space="preserve">7、招标文件</w:t>
      </w:r>
      <w:r/>
    </w:p>
    <w:p>
      <w:pPr>
        <w:ind w:firstLine="438"/>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招标文件由招标文件目录所列内容组成。投标人应详细阅读招标文件的全部内容，</w:t>
      </w:r>
      <w:r>
        <w:rPr>
          <w:rFonts w:hint="eastAsia" w:ascii="宋体" w:hAnsi="宋体" w:cs="宋体"/>
          <w:color w:val="auto"/>
          <w:sz w:val="21"/>
          <w:szCs w:val="21"/>
          <w:highlight w:val="none"/>
        </w:rPr>
        <w:t xml:space="preserve">如有残缺等问题应在获取招标文件后及时向采购代理机构提出，</w:t>
      </w:r>
      <w:r>
        <w:rPr>
          <w:rFonts w:hint="eastAsia" w:ascii="宋体" w:hAnsi="宋体" w:cs="宋体"/>
          <w:color w:val="auto"/>
          <w:sz w:val="21"/>
          <w:szCs w:val="21"/>
          <w:highlight w:val="none"/>
          <w:lang w:val="zh-CN"/>
        </w:rPr>
        <w:t xml:space="preserve">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spacing w:line="360" w:lineRule="auto"/>
        <w:rPr>
          <w:rFonts w:ascii="宋体" w:hAnsi="宋体" w:cs="宋体"/>
          <w:b/>
          <w:color w:val="auto"/>
          <w:sz w:val="21"/>
          <w:szCs w:val="21"/>
          <w:highlight w:val="none"/>
          <w:lang w:val="zh-CN"/>
        </w:rPr>
        <w:outlineLvl w:val="3"/>
      </w:pPr>
      <w:r>
        <w:rPr>
          <w:rFonts w:hint="eastAsia" w:ascii="宋体" w:hAnsi="宋体" w:cs="宋体"/>
          <w:b/>
          <w:color w:val="auto"/>
          <w:sz w:val="21"/>
          <w:szCs w:val="21"/>
          <w:highlight w:val="none"/>
          <w:lang w:val="zh-CN"/>
        </w:rPr>
        <w:t xml:space="preserve">8、招标文件的询问与澄清（或更正）</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8.1投标人在收到招标文件后，若有问题需要询问，应于收到招标文件后按相关流程及时提出，采购代理机构将予以解答。</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8.2采购人或者采购代理机构可以对已发出的招标文件进行必要的澄清或者修改，并发布澄清（</w:t>
      </w:r>
      <w:r>
        <w:rPr>
          <w:rFonts w:hint="eastAsia" w:ascii="宋体" w:hAnsi="宋体" w:cs="宋体"/>
          <w:color w:val="auto"/>
          <w:sz w:val="21"/>
          <w:szCs w:val="21"/>
          <w:highlight w:val="none"/>
        </w:rPr>
        <w:t xml:space="preserve">或更正</w:t>
      </w:r>
      <w:r>
        <w:rPr>
          <w:rFonts w:hint="eastAsia" w:ascii="宋体" w:hAnsi="宋体" w:cs="宋体"/>
          <w:color w:val="auto"/>
          <w:sz w:val="21"/>
          <w:szCs w:val="21"/>
          <w:highlight w:val="none"/>
          <w:lang w:val="zh-CN"/>
        </w:rPr>
        <w:t xml:space="preserve">）公告。澄清或者</w:t>
      </w:r>
      <w:r>
        <w:rPr>
          <w:rFonts w:hint="eastAsia" w:ascii="宋体" w:hAnsi="宋体" w:cs="宋体"/>
          <w:color w:val="auto"/>
          <w:sz w:val="21"/>
          <w:szCs w:val="21"/>
          <w:highlight w:val="none"/>
        </w:rPr>
        <w:t xml:space="preserve">更正</w:t>
      </w:r>
      <w:r>
        <w:rPr>
          <w:rFonts w:hint="eastAsia" w:ascii="宋体" w:hAnsi="宋体" w:cs="宋体"/>
          <w:color w:val="auto"/>
          <w:sz w:val="21"/>
          <w:szCs w:val="21"/>
          <w:highlight w:val="none"/>
          <w:lang w:val="zh-CN"/>
        </w:rPr>
        <w:t xml:space="preserve">的内容为招标文件的组成部分。</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8.3采购代理机构推迟投标截止时间时，应以补充通知的形式在网上发布公告。在这种情况下，采购代理机构和投标人的权利和义务将受到新的截止期的约束。</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8.4至招标文件获取截止时间，获取招标文件的潜在投标人不足3家的，采购人或采购代理机构可以顺延招标文件提供期限。</w:t>
      </w:r>
      <w:r/>
    </w:p>
    <w:p>
      <w:pPr>
        <w:spacing w:line="360" w:lineRule="auto"/>
        <w:rPr>
          <w:rFonts w:ascii="宋体" w:hAnsi="宋体" w:cs="宋体"/>
          <w:b/>
          <w:color w:val="auto"/>
          <w:sz w:val="21"/>
          <w:szCs w:val="21"/>
          <w:highlight w:val="none"/>
          <w:lang w:val="zh-CN"/>
        </w:rPr>
        <w:outlineLvl w:val="3"/>
      </w:pPr>
      <w:r>
        <w:rPr>
          <w:rFonts w:hint="eastAsia" w:ascii="宋体" w:hAnsi="宋体" w:cs="宋体"/>
          <w:b/>
          <w:color w:val="auto"/>
          <w:sz w:val="21"/>
          <w:szCs w:val="21"/>
          <w:highlight w:val="none"/>
          <w:lang w:val="zh-CN"/>
        </w:rPr>
        <w:t xml:space="preserve">9、招标文件的修改</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9.1采购代理机构无论出于自己的考虑，还是出于对投标人提问的澄清，均可对招标文件用补充文件的方式进行修改。</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9.2采购代理机构对招标文件的修改，将以</w:t>
      </w:r>
      <w:r>
        <w:rPr>
          <w:rFonts w:hint="eastAsia" w:ascii="宋体" w:hAnsi="宋体" w:cs="宋体"/>
          <w:color w:val="auto"/>
          <w:sz w:val="21"/>
          <w:szCs w:val="21"/>
          <w:highlight w:val="none"/>
        </w:rPr>
        <w:t xml:space="preserve">补充公告的</w:t>
      </w:r>
      <w:r>
        <w:rPr>
          <w:rFonts w:hint="eastAsia" w:ascii="宋体" w:hAnsi="宋体" w:cs="宋体"/>
          <w:color w:val="auto"/>
          <w:sz w:val="21"/>
          <w:szCs w:val="21"/>
          <w:highlight w:val="none"/>
          <w:lang w:val="zh-CN"/>
        </w:rPr>
        <w:t xml:space="preserve">形式通知已</w:t>
      </w:r>
      <w:r>
        <w:rPr>
          <w:rFonts w:hint="eastAsia" w:ascii="宋体" w:hAnsi="宋体" w:cs="宋体"/>
          <w:color w:val="auto"/>
          <w:sz w:val="21"/>
          <w:szCs w:val="21"/>
          <w:highlight w:val="none"/>
        </w:rPr>
        <w:t xml:space="preserve">获取</w:t>
      </w:r>
      <w:r>
        <w:rPr>
          <w:rFonts w:hint="eastAsia" w:ascii="宋体" w:hAnsi="宋体" w:cs="宋体"/>
          <w:color w:val="auto"/>
          <w:sz w:val="21"/>
          <w:szCs w:val="21"/>
          <w:highlight w:val="none"/>
          <w:lang w:val="zh-CN"/>
        </w:rPr>
        <w:t xml:space="preserve">招标文件的每一投标人。补充文件将作为招标文件的组成部分，对所有投标人有约束力。</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9.3为使投标人有足够的时间按招标文件的修改要求考虑修正投标文件，或出于其他原因，采购代理机构有权推迟投标截止日期和开标日期，并将此变更通知上述每一投标人。</w:t>
      </w:r>
      <w:r/>
    </w:p>
    <w:p>
      <w:pPr>
        <w:spacing w:line="360" w:lineRule="auto"/>
        <w:rPr>
          <w:rFonts w:ascii="宋体" w:hAnsi="宋体" w:cs="宋体"/>
          <w:b/>
          <w:color w:val="auto"/>
          <w:sz w:val="21"/>
          <w:szCs w:val="21"/>
          <w:highlight w:val="none"/>
          <w:lang w:val="zh-CN"/>
        </w:rPr>
        <w:outlineLvl w:val="3"/>
      </w:pPr>
      <w:r>
        <w:rPr>
          <w:rFonts w:hint="eastAsia" w:ascii="宋体" w:hAnsi="宋体" w:cs="宋体"/>
          <w:b/>
          <w:color w:val="auto"/>
          <w:sz w:val="21"/>
          <w:szCs w:val="21"/>
          <w:highlight w:val="none"/>
          <w:lang w:val="zh-CN"/>
        </w:rPr>
        <w:t xml:space="preserve">10、质疑</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10.1质疑及答复遵守《政府采购质疑和投诉办法》（中华人民共和国财政部令第94号）规定。</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10.2投标人认为招标文件、采购过程和中标、成交结果使自己的权益受到损害的，可以在知道或者应知其权益受到损害之日起七个工作日内，书面向采购人、代理机构提出质疑。采购代理机构应当在收到投标人书面质疑函后七个工作日内作出答复。</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10.3投标人应当在法定质疑期内一次性提出针对同一采购程序环节的质疑。</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10.4未依照采购公告要求获取招标文件的投标人，视为未参加该项政府采购活动，不具备对该政府采购项目提出质疑的法定权利。</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10.5对招标文件内容质疑时，需提供在采购系统中下载本项目招标文件的《交易文件下载确认单》，未提供的视为未依照采购公告要求获取招标文件的投标人，不具备对该政府采购项目提出质疑的法定权利。</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10.6接收质疑函的方式为书面形式（当场送达或邮寄方式）。供应商质疑函范本格式请参照“苏州市政府采购”网站——“下载中心”——“政府采购供应商质疑函范本”。</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10.7质疑递交地点：苏州乐慧招投标咨询有限公司</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10.8联系电话：0512-69223600</w:t>
      </w:r>
      <w:r/>
    </w:p>
    <w:p>
      <w:pPr>
        <w:ind w:firstLine="420"/>
        <w:spacing w:line="360" w:lineRule="auto"/>
        <w:rPr>
          <w:rFonts w:ascii="宋体" w:hAnsi="宋体" w:cs="宋体"/>
          <w:b/>
          <w:bCs/>
          <w:color w:val="auto"/>
          <w:sz w:val="21"/>
          <w:szCs w:val="21"/>
          <w:highlight w:val="none"/>
        </w:rPr>
      </w:pPr>
      <w:r>
        <w:rPr>
          <w:rFonts w:hint="eastAsia" w:ascii="宋体" w:hAnsi="宋体" w:cs="宋体"/>
          <w:color w:val="auto"/>
          <w:sz w:val="21"/>
          <w:szCs w:val="21"/>
          <w:highlight w:val="none"/>
          <w:lang w:val="zh-CN"/>
        </w:rPr>
        <w:t xml:space="preserve">10.9通讯地址：苏州市相城区元和街道华元路766号都会商业中心1幢2706室</w:t>
      </w:r>
      <w:r/>
    </w:p>
    <w:p>
      <w:pPr>
        <w:spacing w:line="360" w:lineRule="auto"/>
        <w:rPr>
          <w:rFonts w:ascii="宋体" w:hAnsi="宋体" w:cs="宋体"/>
          <w:b/>
          <w:bCs/>
          <w:color w:val="auto"/>
          <w:sz w:val="21"/>
          <w:szCs w:val="21"/>
          <w:highlight w:val="none"/>
          <w:lang w:val="zh-CN"/>
        </w:rPr>
        <w:outlineLvl w:val="1"/>
      </w:pPr>
      <w:r>
        <w:rPr>
          <w:rFonts w:hint="eastAsia" w:ascii="宋体" w:hAnsi="宋体" w:cs="宋体"/>
          <w:b/>
          <w:bCs/>
          <w:color w:val="auto"/>
          <w:sz w:val="21"/>
          <w:szCs w:val="21"/>
          <w:highlight w:val="none"/>
          <w:lang w:val="zh-CN"/>
        </w:rPr>
        <w:t xml:space="preserve">四、投标文件说明</w:t>
      </w:r>
      <w:r/>
    </w:p>
    <w:p>
      <w:pPr>
        <w:spacing w:line="360" w:lineRule="auto"/>
        <w:rPr>
          <w:rFonts w:ascii="宋体" w:hAnsi="宋体" w:cs="宋体"/>
          <w:b/>
          <w:color w:val="auto"/>
          <w:sz w:val="21"/>
          <w:szCs w:val="21"/>
          <w:highlight w:val="none"/>
          <w:lang w:val="zh-CN"/>
        </w:rPr>
        <w:outlineLvl w:val="3"/>
      </w:pPr>
      <w:r>
        <w:rPr>
          <w:rFonts w:hint="eastAsia" w:ascii="宋体" w:hAnsi="宋体" w:cs="宋体"/>
          <w:b/>
          <w:color w:val="auto"/>
          <w:sz w:val="21"/>
          <w:szCs w:val="21"/>
          <w:highlight w:val="none"/>
          <w:lang w:val="zh-CN"/>
        </w:rPr>
        <w:t xml:space="preserve">11、提示与要求</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11.1投标人应仔细阅读招标文件的所有内容，按招标文件的要求提供投标文件，并保证所提供的全部资料的真实性，以使其投标对招标文件做出实质性响应，否则，其投标可能被拒绝。</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11.2无论是否递交投标文件，投标人都应将招标文件及以后的所有通知、文件等视为保密文件。</w:t>
      </w:r>
      <w:r/>
    </w:p>
    <w:p>
      <w:pPr>
        <w:spacing w:line="360" w:lineRule="auto"/>
        <w:rPr>
          <w:rFonts w:ascii="宋体" w:hAnsi="宋体" w:cs="宋体"/>
          <w:b/>
          <w:color w:val="auto"/>
          <w:sz w:val="21"/>
          <w:szCs w:val="21"/>
          <w:highlight w:val="none"/>
          <w:lang w:val="zh-CN"/>
        </w:rPr>
        <w:outlineLvl w:val="3"/>
      </w:pPr>
      <w:r>
        <w:rPr>
          <w:rFonts w:hint="eastAsia" w:ascii="宋体" w:hAnsi="宋体" w:cs="宋体"/>
          <w:b/>
          <w:color w:val="auto"/>
          <w:sz w:val="21"/>
          <w:szCs w:val="21"/>
          <w:highlight w:val="none"/>
          <w:lang w:val="zh-CN"/>
        </w:rPr>
        <w:t xml:space="preserve">12、投标文件计量单位和使用文字</w:t>
      </w:r>
      <w:r/>
    </w:p>
    <w:p>
      <w:pPr>
        <w:ind w:firstLine="439"/>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12.1投标文件中所使用的计量单位，除招标文件中有特殊要求外，均应使用中华人民共和国法定计量单位。</w:t>
      </w:r>
      <w:r/>
    </w:p>
    <w:p>
      <w:pPr>
        <w:ind w:firstLine="439"/>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12.2投标文件应使用中文编制，投标文件中必须使用其他文字的，必须附有中文译本。对于未附有中文译本和中文译本不准确的投标文件可能引起的对投标人不利的后果，采购代理机构概不负责。</w:t>
      </w:r>
      <w:r/>
    </w:p>
    <w:p>
      <w:pPr>
        <w:spacing w:line="360" w:lineRule="auto"/>
        <w:rPr>
          <w:rFonts w:ascii="宋体" w:hAnsi="宋体" w:cs="宋体"/>
          <w:b/>
          <w:color w:val="auto"/>
          <w:sz w:val="21"/>
          <w:szCs w:val="21"/>
          <w:highlight w:val="none"/>
          <w:lang w:val="zh-CN"/>
        </w:rPr>
        <w:outlineLvl w:val="3"/>
      </w:pPr>
      <w:r>
        <w:rPr>
          <w:rFonts w:hint="eastAsia" w:ascii="宋体" w:hAnsi="宋体" w:cs="宋体"/>
          <w:b/>
          <w:color w:val="auto"/>
          <w:sz w:val="21"/>
          <w:szCs w:val="21"/>
          <w:highlight w:val="none"/>
          <w:lang w:val="zh-CN"/>
        </w:rPr>
        <w:t xml:space="preserve">13、投标文件的组成</w:t>
      </w:r>
      <w:r/>
    </w:p>
    <w:p>
      <w:pPr>
        <w:ind w:firstLine="422"/>
        <w:spacing w:line="360" w:lineRule="auto"/>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13.1投标书：</w:t>
      </w:r>
      <w:r/>
    </w:p>
    <w:p>
      <w:pPr>
        <w:ind w:firstLine="42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13.1</w:t>
      </w: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zh-CN"/>
        </w:rPr>
        <w:t xml:space="preserve">开标一览表（格式见第三章）；</w:t>
      </w:r>
      <w:r/>
    </w:p>
    <w:p>
      <w:pPr>
        <w:ind w:firstLine="422"/>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13.1.2报价明细表（格式见第三章）。</w:t>
      </w:r>
      <w:r/>
    </w:p>
    <w:p>
      <w:pPr>
        <w:ind w:firstLine="422"/>
        <w:spacing w:line="360" w:lineRule="auto"/>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13.</w:t>
      </w:r>
      <w:r>
        <w:rPr>
          <w:rFonts w:hint="eastAsia" w:ascii="宋体" w:hAnsi="宋体" w:cs="宋体"/>
          <w:b/>
          <w:bCs/>
          <w:color w:val="auto"/>
          <w:sz w:val="21"/>
          <w:szCs w:val="21"/>
          <w:highlight w:val="none"/>
        </w:rPr>
        <w:t xml:space="preserve">2</w:t>
      </w:r>
      <w:r>
        <w:rPr>
          <w:rFonts w:hint="eastAsia" w:ascii="宋体" w:hAnsi="宋体" w:cs="宋体"/>
          <w:b/>
          <w:bCs/>
          <w:color w:val="auto"/>
          <w:sz w:val="21"/>
          <w:szCs w:val="21"/>
          <w:highlight w:val="none"/>
          <w:lang w:val="zh-CN"/>
        </w:rPr>
        <w:t xml:space="preserve">资格性审查文件</w:t>
      </w:r>
      <w:r/>
    </w:p>
    <w:p>
      <w:pPr>
        <w:ind w:firstLine="42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13.</w:t>
      </w: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zh-CN"/>
        </w:rPr>
        <w:t xml:space="preserve">.1具有独立承担民事责任的能力的材料：包括法人或者其他组织的营业执照等证明文件，自然人的身份证明；</w:t>
      </w:r>
      <w:r/>
    </w:p>
    <w:p>
      <w:pPr>
        <w:ind w:firstLine="42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13.</w:t>
      </w: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zh-CN"/>
        </w:rPr>
        <w:t xml:space="preserve">.2具有良好的商业信誉和健全的财务会计制度的材料：包括但不限于最近一期经审计的财务报告或银行出具的资信证明；</w:t>
      </w:r>
      <w:r/>
    </w:p>
    <w:p>
      <w:pPr>
        <w:ind w:firstLine="42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13.</w:t>
      </w: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zh-CN"/>
        </w:rPr>
        <w:t xml:space="preserve">.3具有履行合同所必需的设备和专业技术能力的证明材料；</w:t>
      </w:r>
      <w:r/>
    </w:p>
    <w:p>
      <w:pPr>
        <w:ind w:firstLine="420"/>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13.</w:t>
      </w: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zh-CN"/>
        </w:rPr>
        <w:t xml:space="preserve">.4有依法缴纳税收和社会保障资金的良好记录：如税务登记证（如有）和合理期限内依法缴纳税收的凭据，社会保险登记证（如有）和合理期限内依法缴纳社会保险的凭据（专用收据或社会保险缴纳清单）；如为依法免税或不需要缴纳社会保障资金的则须提供对应证明材料；</w:t>
      </w:r>
      <w:r/>
    </w:p>
    <w:p>
      <w:pPr>
        <w:ind w:firstLine="42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13.</w:t>
      </w: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zh-CN"/>
        </w:rPr>
        <w:t xml:space="preserve">.5参加政府采购活动前三年内在经营活动中没有重大违法记录的书面声明函；</w:t>
      </w:r>
      <w:r/>
    </w:p>
    <w:p>
      <w:pPr>
        <w:ind w:firstLine="42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13.2.6</w:t>
      </w:r>
      <w:r>
        <w:rPr>
          <w:rFonts w:hint="eastAsia" w:ascii="宋体" w:hAnsi="宋体" w:cs="宋体"/>
          <w:color w:val="auto"/>
          <w:sz w:val="21"/>
          <w:szCs w:val="21"/>
          <w:highlight w:val="none"/>
          <w:lang w:val="zh-CN"/>
        </w:rPr>
        <w:t xml:space="preserve">投标人具有国家认证认可监督管理委员会或省级市场监督管理部门颁发的有效期内的CMA资质认定证书证明材料。</w:t>
      </w:r>
      <w:r/>
    </w:p>
    <w:p>
      <w:pPr>
        <w:ind w:firstLine="42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13.</w:t>
      </w: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7</w:t>
      </w:r>
      <w:r>
        <w:rPr>
          <w:rFonts w:hint="eastAsia" w:ascii="宋体" w:hAnsi="宋体" w:cs="宋体"/>
          <w:color w:val="auto"/>
          <w:sz w:val="21"/>
          <w:szCs w:val="21"/>
          <w:highlight w:val="none"/>
          <w:lang w:val="zh-CN"/>
        </w:rPr>
        <w:t xml:space="preserve">中小企业声明函（格式见第三章），未提供视为非中小企业，不享受中小企业扶持政策；</w:t>
      </w:r>
      <w:r/>
    </w:p>
    <w:p>
      <w:pPr>
        <w:ind w:firstLine="42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13.</w:t>
      </w: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8</w:t>
      </w:r>
      <w:r>
        <w:rPr>
          <w:rFonts w:hint="eastAsia" w:ascii="宋体" w:hAnsi="宋体" w:cs="宋体"/>
          <w:color w:val="auto"/>
          <w:sz w:val="21"/>
          <w:szCs w:val="21"/>
          <w:highlight w:val="none"/>
          <w:lang w:val="zh-CN"/>
        </w:rPr>
        <w:t xml:space="preserve">残疾人福利性单位声明函（如有）（格式见第三章），未提供视为非残疾人福利性单位，不视同小微企业，不享受残疾人福利性单位政策；</w:t>
      </w:r>
      <w:r/>
    </w:p>
    <w:p>
      <w:pPr>
        <w:ind w:firstLine="42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13.</w:t>
      </w: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9</w:t>
      </w:r>
      <w:r>
        <w:rPr>
          <w:rFonts w:hint="eastAsia" w:ascii="宋体" w:hAnsi="宋体" w:cs="宋体"/>
          <w:color w:val="auto"/>
          <w:sz w:val="21"/>
          <w:szCs w:val="21"/>
          <w:highlight w:val="none"/>
          <w:lang w:val="zh-CN"/>
        </w:rPr>
        <w:t xml:space="preserve">监狱企业证明文件（如有），由省级以上监狱管理局、戒毒管理局（含新疆生产建设兵团）出具，未提供视为非监狱企业，不视同小微企业，不享受监狱企业政策；</w:t>
      </w:r>
      <w:r/>
    </w:p>
    <w:p>
      <w:pPr>
        <w:ind w:firstLine="422"/>
        <w:spacing w:line="360" w:lineRule="auto"/>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以上13.</w:t>
      </w:r>
      <w:r>
        <w:rPr>
          <w:rFonts w:hint="eastAsia" w:ascii="宋体" w:hAnsi="宋体" w:cs="宋体"/>
          <w:b/>
          <w:bCs/>
          <w:color w:val="auto"/>
          <w:sz w:val="21"/>
          <w:szCs w:val="21"/>
          <w:highlight w:val="none"/>
        </w:rPr>
        <w:t xml:space="preserve">2</w:t>
      </w:r>
      <w:r>
        <w:rPr>
          <w:rFonts w:hint="eastAsia" w:ascii="宋体" w:hAnsi="宋体" w:cs="宋体"/>
          <w:b/>
          <w:bCs/>
          <w:color w:val="auto"/>
          <w:sz w:val="21"/>
          <w:szCs w:val="21"/>
          <w:highlight w:val="none"/>
          <w:lang w:val="zh-CN"/>
        </w:rPr>
        <w:t xml:space="preserve">.1—13.</w:t>
      </w:r>
      <w:r>
        <w:rPr>
          <w:rFonts w:hint="eastAsia" w:ascii="宋体" w:hAnsi="宋体" w:cs="宋体"/>
          <w:b/>
          <w:bCs/>
          <w:color w:val="auto"/>
          <w:sz w:val="21"/>
          <w:szCs w:val="21"/>
          <w:highlight w:val="none"/>
        </w:rPr>
        <w:t xml:space="preserve">2</w:t>
      </w:r>
      <w:r>
        <w:rPr>
          <w:rFonts w:hint="eastAsia" w:ascii="宋体" w:hAnsi="宋体" w:cs="宋体"/>
          <w:b/>
          <w:bCs/>
          <w:color w:val="auto"/>
          <w:sz w:val="21"/>
          <w:szCs w:val="21"/>
          <w:highlight w:val="none"/>
          <w:lang w:val="zh-CN"/>
        </w:rPr>
        <w:t xml:space="preserve">.</w:t>
      </w:r>
      <w:r>
        <w:rPr>
          <w:rFonts w:hint="eastAsia" w:ascii="宋体" w:hAnsi="宋体" w:cs="宋体"/>
          <w:b/>
          <w:bCs/>
          <w:color w:val="auto"/>
          <w:sz w:val="21"/>
          <w:szCs w:val="21"/>
          <w:highlight w:val="none"/>
        </w:rPr>
        <w:t xml:space="preserve">6</w:t>
      </w:r>
      <w:r>
        <w:rPr>
          <w:rFonts w:hint="eastAsia" w:ascii="宋体" w:hAnsi="宋体" w:cs="宋体"/>
          <w:b/>
          <w:bCs/>
          <w:color w:val="auto"/>
          <w:sz w:val="21"/>
          <w:szCs w:val="21"/>
          <w:highlight w:val="none"/>
          <w:lang w:val="zh-CN"/>
        </w:rPr>
        <w:t xml:space="preserve">项是资格审查要求必须提供的材料。</w:t>
      </w:r>
      <w:r/>
    </w:p>
    <w:p>
      <w:pPr>
        <w:ind w:firstLine="422"/>
        <w:spacing w:line="360" w:lineRule="auto"/>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13.</w:t>
      </w:r>
      <w:r>
        <w:rPr>
          <w:rFonts w:hint="eastAsia" w:ascii="宋体" w:hAnsi="宋体" w:cs="宋体"/>
          <w:b/>
          <w:bCs/>
          <w:color w:val="auto"/>
          <w:sz w:val="21"/>
          <w:szCs w:val="21"/>
          <w:highlight w:val="none"/>
        </w:rPr>
        <w:t xml:space="preserve">3</w:t>
      </w:r>
      <w:r>
        <w:rPr>
          <w:rFonts w:hint="eastAsia" w:ascii="宋体" w:hAnsi="宋体" w:cs="宋体"/>
          <w:b/>
          <w:bCs/>
          <w:color w:val="auto"/>
          <w:sz w:val="21"/>
          <w:szCs w:val="21"/>
          <w:highlight w:val="none"/>
          <w:lang w:val="zh-CN"/>
        </w:rPr>
        <w:t xml:space="preserve">符合性审查文件</w:t>
      </w:r>
      <w:r/>
    </w:p>
    <w:p>
      <w:pPr>
        <w:ind w:firstLine="42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13.</w:t>
      </w:r>
      <w:r>
        <w:rPr>
          <w:rFonts w:hint="eastAsia" w:ascii="宋体" w:hAnsi="宋体" w:cs="宋体"/>
          <w:color w:val="auto"/>
          <w:sz w:val="21"/>
          <w:szCs w:val="21"/>
          <w:highlight w:val="none"/>
        </w:rPr>
        <w:t xml:space="preserve">3</w:t>
      </w:r>
      <w:r>
        <w:rPr>
          <w:rFonts w:hint="eastAsia" w:ascii="宋体" w:hAnsi="宋体" w:cs="宋体"/>
          <w:color w:val="auto"/>
          <w:sz w:val="21"/>
          <w:szCs w:val="21"/>
          <w:highlight w:val="none"/>
          <w:lang w:val="zh-CN"/>
        </w:rPr>
        <w:t xml:space="preserve">.1投标函（格式见第三章）；</w:t>
      </w:r>
      <w:r/>
    </w:p>
    <w:p>
      <w:pPr>
        <w:ind w:firstLine="42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13.</w:t>
      </w:r>
      <w:r>
        <w:rPr>
          <w:rFonts w:hint="eastAsia" w:ascii="宋体" w:hAnsi="宋体" w:cs="宋体"/>
          <w:color w:val="auto"/>
          <w:sz w:val="21"/>
          <w:szCs w:val="21"/>
          <w:highlight w:val="none"/>
        </w:rPr>
        <w:t xml:space="preserve">3</w:t>
      </w:r>
      <w:r>
        <w:rPr>
          <w:rFonts w:hint="eastAsia" w:ascii="宋体" w:hAnsi="宋体" w:cs="宋体"/>
          <w:color w:val="auto"/>
          <w:sz w:val="21"/>
          <w:szCs w:val="21"/>
          <w:highlight w:val="none"/>
          <w:lang w:val="zh-CN"/>
        </w:rPr>
        <w:t xml:space="preserve">.2法人授权委托书、供应商授权代理人身份证复印件（如有授权）；</w:t>
      </w:r>
      <w:r/>
    </w:p>
    <w:p>
      <w:pPr>
        <w:ind w:firstLine="42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13.</w:t>
      </w:r>
      <w:r>
        <w:rPr>
          <w:rFonts w:hint="eastAsia" w:ascii="宋体" w:hAnsi="宋体" w:cs="宋体"/>
          <w:color w:val="auto"/>
          <w:sz w:val="21"/>
          <w:szCs w:val="21"/>
          <w:highlight w:val="none"/>
        </w:rPr>
        <w:t xml:space="preserve">3</w:t>
      </w:r>
      <w:r>
        <w:rPr>
          <w:rFonts w:hint="eastAsia" w:ascii="宋体" w:hAnsi="宋体" w:cs="宋体"/>
          <w:color w:val="auto"/>
          <w:sz w:val="21"/>
          <w:szCs w:val="21"/>
          <w:highlight w:val="none"/>
          <w:lang w:val="zh-CN"/>
        </w:rPr>
        <w:t xml:space="preserve">.3供应商法定代表人身份证复印件；</w:t>
      </w:r>
      <w:r/>
    </w:p>
    <w:p>
      <w:pPr>
        <w:ind w:firstLine="42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13.</w:t>
      </w:r>
      <w:r>
        <w:rPr>
          <w:rFonts w:hint="eastAsia" w:ascii="宋体" w:hAnsi="宋体" w:cs="宋体"/>
          <w:color w:val="auto"/>
          <w:sz w:val="21"/>
          <w:szCs w:val="21"/>
          <w:highlight w:val="none"/>
        </w:rPr>
        <w:t xml:space="preserve">3</w:t>
      </w:r>
      <w:r>
        <w:rPr>
          <w:rFonts w:hint="eastAsia" w:ascii="宋体" w:hAnsi="宋体" w:cs="宋体"/>
          <w:color w:val="auto"/>
          <w:sz w:val="21"/>
          <w:szCs w:val="21"/>
          <w:highlight w:val="none"/>
          <w:lang w:val="zh-CN"/>
        </w:rPr>
        <w:t xml:space="preserve">.4《关于资格文件的声明函》（格式见第三章）；</w:t>
      </w:r>
      <w:r/>
    </w:p>
    <w:p>
      <w:pPr>
        <w:ind w:firstLine="42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13.</w:t>
      </w:r>
      <w:r>
        <w:rPr>
          <w:rFonts w:hint="eastAsia" w:ascii="宋体" w:hAnsi="宋体" w:cs="宋体"/>
          <w:color w:val="auto"/>
          <w:sz w:val="21"/>
          <w:szCs w:val="21"/>
          <w:highlight w:val="none"/>
        </w:rPr>
        <w:t xml:space="preserve">3</w:t>
      </w:r>
      <w:r>
        <w:rPr>
          <w:rFonts w:hint="eastAsia" w:ascii="宋体" w:hAnsi="宋体" w:cs="宋体"/>
          <w:color w:val="auto"/>
          <w:sz w:val="21"/>
          <w:szCs w:val="21"/>
          <w:highlight w:val="none"/>
          <w:lang w:val="zh-CN"/>
        </w:rPr>
        <w:t xml:space="preserve">.5《供应商与其他单位存在直接控股、管理关系情况表》（格式见第三章）；</w:t>
      </w:r>
      <w:r/>
    </w:p>
    <w:p>
      <w:pPr>
        <w:ind w:firstLine="42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13.</w:t>
      </w:r>
      <w:r>
        <w:rPr>
          <w:rFonts w:hint="eastAsia" w:ascii="宋体" w:hAnsi="宋体" w:cs="宋体"/>
          <w:color w:val="auto"/>
          <w:sz w:val="21"/>
          <w:szCs w:val="21"/>
          <w:highlight w:val="none"/>
        </w:rPr>
        <w:t xml:space="preserve">3</w:t>
      </w:r>
      <w:r>
        <w:rPr>
          <w:rFonts w:hint="eastAsia" w:ascii="宋体" w:hAnsi="宋体" w:cs="宋体"/>
          <w:color w:val="auto"/>
          <w:sz w:val="21"/>
          <w:szCs w:val="21"/>
          <w:highlight w:val="none"/>
          <w:lang w:val="zh-CN"/>
        </w:rPr>
        <w:t xml:space="preserve">.6《服务或技术要求偏离表》、《商务条款偏离表》（格式见第三章）；</w:t>
      </w:r>
      <w:r/>
    </w:p>
    <w:p>
      <w:pPr>
        <w:ind w:firstLine="422"/>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13.</w:t>
      </w:r>
      <w:r>
        <w:rPr>
          <w:rFonts w:hint="eastAsia" w:ascii="宋体" w:hAnsi="宋体" w:cs="宋体"/>
          <w:color w:val="auto"/>
          <w:sz w:val="21"/>
          <w:szCs w:val="21"/>
          <w:highlight w:val="none"/>
        </w:rPr>
        <w:t xml:space="preserve">3</w:t>
      </w: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7《</w:t>
      </w:r>
      <w:r>
        <w:rPr>
          <w:rFonts w:hint="eastAsia" w:ascii="宋体" w:hAnsi="宋体" w:cs="宋体"/>
          <w:color w:val="auto"/>
          <w:sz w:val="21"/>
          <w:szCs w:val="21"/>
          <w:highlight w:val="none"/>
          <w:lang w:val="zh-CN"/>
        </w:rPr>
        <w:t xml:space="preserve">投标人情况表</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zh-CN"/>
        </w:rPr>
        <w:t xml:space="preserve">（格式见第三章）；</w:t>
      </w:r>
      <w:r/>
    </w:p>
    <w:p>
      <w:pPr>
        <w:ind w:firstLine="42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13.3.8</w:t>
      </w:r>
      <w:r>
        <w:rPr>
          <w:rFonts w:hint="eastAsia" w:ascii="宋体" w:hAnsi="宋体" w:cs="宋体"/>
          <w:color w:val="auto"/>
          <w:sz w:val="21"/>
          <w:szCs w:val="21"/>
          <w:highlight w:val="none"/>
          <w:lang w:val="zh-CN"/>
        </w:rPr>
        <w:t xml:space="preserve">采购需求中所涉及到的或供应商认为需加以说明或证明的其他有关符合性证明材料、证明（如有）。</w:t>
      </w:r>
      <w:r/>
    </w:p>
    <w:p>
      <w:pPr>
        <w:ind w:firstLine="422"/>
        <w:spacing w:line="360" w:lineRule="auto"/>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以上13.</w:t>
      </w:r>
      <w:r>
        <w:rPr>
          <w:rFonts w:hint="eastAsia" w:ascii="宋体" w:hAnsi="宋体" w:cs="宋体"/>
          <w:b/>
          <w:bCs/>
          <w:color w:val="auto"/>
          <w:sz w:val="21"/>
          <w:szCs w:val="21"/>
          <w:highlight w:val="none"/>
        </w:rPr>
        <w:t xml:space="preserve">3</w:t>
      </w:r>
      <w:r>
        <w:rPr>
          <w:rFonts w:hint="eastAsia" w:ascii="宋体" w:hAnsi="宋体" w:cs="宋体"/>
          <w:b/>
          <w:bCs/>
          <w:color w:val="auto"/>
          <w:sz w:val="21"/>
          <w:szCs w:val="21"/>
          <w:highlight w:val="none"/>
          <w:lang w:val="zh-CN"/>
        </w:rPr>
        <w:t xml:space="preserve">.1—13.</w:t>
      </w:r>
      <w:r>
        <w:rPr>
          <w:rFonts w:hint="eastAsia" w:ascii="宋体" w:hAnsi="宋体" w:cs="宋体"/>
          <w:b/>
          <w:bCs/>
          <w:color w:val="auto"/>
          <w:sz w:val="21"/>
          <w:szCs w:val="21"/>
          <w:highlight w:val="none"/>
        </w:rPr>
        <w:t xml:space="preserve">3</w:t>
      </w:r>
      <w:r>
        <w:rPr>
          <w:rFonts w:hint="eastAsia" w:ascii="宋体" w:hAnsi="宋体" w:cs="宋体"/>
          <w:b/>
          <w:bCs/>
          <w:color w:val="auto"/>
          <w:sz w:val="21"/>
          <w:szCs w:val="21"/>
          <w:highlight w:val="none"/>
          <w:lang w:val="zh-CN"/>
        </w:rPr>
        <w:t xml:space="preserve">.</w:t>
      </w:r>
      <w:r>
        <w:rPr>
          <w:rFonts w:hint="eastAsia" w:ascii="宋体" w:hAnsi="宋体" w:cs="宋体"/>
          <w:b/>
          <w:bCs/>
          <w:color w:val="auto"/>
          <w:sz w:val="21"/>
          <w:szCs w:val="21"/>
          <w:highlight w:val="none"/>
        </w:rPr>
        <w:t xml:space="preserve">8</w:t>
      </w:r>
      <w:r>
        <w:rPr>
          <w:rFonts w:hint="eastAsia" w:ascii="宋体" w:hAnsi="宋体" w:cs="宋体"/>
          <w:b/>
          <w:bCs/>
          <w:color w:val="auto"/>
          <w:sz w:val="21"/>
          <w:szCs w:val="21"/>
          <w:highlight w:val="none"/>
          <w:lang w:val="zh-CN"/>
        </w:rPr>
        <w:t xml:space="preserve">为符合性审查必须提供的资料，否则投标无效。</w:t>
      </w:r>
      <w:r/>
    </w:p>
    <w:p>
      <w:pPr>
        <w:ind w:firstLine="422"/>
        <w:spacing w:line="360" w:lineRule="auto"/>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13.</w:t>
      </w:r>
      <w:r>
        <w:rPr>
          <w:rFonts w:hint="eastAsia" w:ascii="宋体" w:hAnsi="宋体" w:cs="宋体"/>
          <w:b/>
          <w:bCs/>
          <w:color w:val="auto"/>
          <w:sz w:val="21"/>
          <w:szCs w:val="21"/>
          <w:highlight w:val="none"/>
        </w:rPr>
        <w:t xml:space="preserve">4</w:t>
      </w:r>
      <w:r>
        <w:rPr>
          <w:rFonts w:hint="eastAsia" w:ascii="宋体" w:hAnsi="宋体" w:cs="宋体"/>
          <w:b/>
          <w:bCs/>
          <w:color w:val="auto"/>
          <w:sz w:val="21"/>
          <w:szCs w:val="21"/>
          <w:highlight w:val="none"/>
          <w:lang w:val="zh-CN"/>
        </w:rPr>
        <w:t xml:space="preserve">综合评审文件</w:t>
      </w:r>
      <w:r/>
    </w:p>
    <w:p>
      <w:pPr>
        <w:ind w:firstLine="422"/>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13.4.1《检验检测能力覆盖率承诺书》、《覆盖率表》、《资质证书批准的检验检测能力表及范围》</w:t>
      </w:r>
      <w:r>
        <w:rPr>
          <w:rFonts w:hint="eastAsia" w:ascii="宋体" w:hAnsi="宋体" w:cs="宋体"/>
          <w:color w:val="auto"/>
          <w:sz w:val="21"/>
          <w:szCs w:val="21"/>
          <w:highlight w:val="none"/>
          <w:lang w:val="zh-CN"/>
        </w:rPr>
        <w:t xml:space="preserve">（部分格式见第三章）</w:t>
      </w:r>
      <w:r/>
    </w:p>
    <w:p>
      <w:pPr>
        <w:ind w:firstLine="42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13.4.2</w:t>
      </w:r>
      <w:r>
        <w:rPr>
          <w:rFonts w:hint="eastAsia" w:ascii="宋体" w:hAnsi="宋体" w:cs="宋体"/>
          <w:color w:val="auto"/>
          <w:sz w:val="21"/>
          <w:szCs w:val="21"/>
          <w:highlight w:val="none"/>
          <w:lang w:val="zh-CN"/>
        </w:rPr>
        <w:t xml:space="preserve">《拟投入服务团队一览表》、《企业类似业绩一览表》（部分格式见第三章）</w:t>
      </w:r>
      <w:r/>
    </w:p>
    <w:p>
      <w:pPr>
        <w:ind w:firstLine="42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13.</w:t>
      </w:r>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3</w:t>
      </w:r>
      <w:r>
        <w:rPr>
          <w:rFonts w:hint="eastAsia" w:ascii="宋体" w:hAnsi="宋体" w:cs="宋体"/>
          <w:color w:val="auto"/>
          <w:sz w:val="21"/>
          <w:szCs w:val="21"/>
          <w:highlight w:val="none"/>
          <w:lang w:val="zh-CN"/>
        </w:rPr>
        <w:t xml:space="preserve">评分标准中所涉及到针对本项目的各项服务实施方案、相关制度、证书、业绩、承诺函及其他材料、证明等（部分格式见第三章）。</w:t>
      </w:r>
      <w:r/>
    </w:p>
    <w:p>
      <w:pPr>
        <w:ind w:firstLine="422"/>
        <w:spacing w:line="360" w:lineRule="auto"/>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注：制作电子投标（响应）文件时请与电子投标（响应）文件制作软件目录一一对应，将相关资料上传至相应模块。投标人应保证上传的投标文件完整、清晰可辨认，若因上传资料过小或模糊不清等无法辨认的都视为该资料未提供。</w:t>
      </w:r>
      <w:r/>
    </w:p>
    <w:p>
      <w:pPr>
        <w:ind w:firstLine="422"/>
        <w:spacing w:line="360" w:lineRule="auto"/>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供应商必须保证全部响应资料的真实性，如有虚假或对招标文件所要求说明的情况故意隐瞒或虚报，视为不实质性响应招标文件，投标无效，同时按政府采购相关规定报请政府监管部门处理。</w:t>
      </w:r>
      <w:r/>
    </w:p>
    <w:p>
      <w:pPr>
        <w:ind w:firstLine="422"/>
        <w:spacing w:line="360" w:lineRule="auto"/>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13.</w:t>
      </w:r>
      <w:r>
        <w:rPr>
          <w:rFonts w:hint="eastAsia" w:ascii="宋体" w:hAnsi="宋体" w:cs="宋体"/>
          <w:b/>
          <w:bCs/>
          <w:color w:val="auto"/>
          <w:sz w:val="21"/>
          <w:szCs w:val="21"/>
          <w:highlight w:val="none"/>
        </w:rPr>
        <w:t xml:space="preserve">5</w:t>
      </w:r>
      <w:r>
        <w:rPr>
          <w:rFonts w:hint="eastAsia" w:ascii="宋体" w:hAnsi="宋体" w:cs="宋体"/>
          <w:b/>
          <w:bCs/>
          <w:color w:val="auto"/>
          <w:sz w:val="21"/>
          <w:szCs w:val="21"/>
          <w:highlight w:val="none"/>
          <w:lang w:val="zh-CN"/>
        </w:rPr>
        <w:t xml:space="preserve"> 投标文件由 1</w:t>
      </w:r>
      <w:r>
        <w:rPr>
          <w:rFonts w:hint="eastAsia" w:ascii="宋体" w:hAnsi="宋体" w:cs="宋体"/>
          <w:b/>
          <w:bCs/>
          <w:color w:val="auto"/>
          <w:sz w:val="21"/>
          <w:szCs w:val="21"/>
          <w:highlight w:val="none"/>
        </w:rPr>
        <w:t xml:space="preserve">3</w:t>
      </w:r>
      <w:r>
        <w:rPr>
          <w:rFonts w:hint="eastAsia" w:ascii="宋体" w:hAnsi="宋体" w:cs="宋体"/>
          <w:b/>
          <w:bCs/>
          <w:color w:val="auto"/>
          <w:sz w:val="21"/>
          <w:szCs w:val="21"/>
          <w:highlight w:val="none"/>
          <w:lang w:val="zh-CN"/>
        </w:rPr>
        <w:t xml:space="preserve">.1</w:t>
      </w:r>
      <w:r>
        <w:rPr>
          <w:rFonts w:hint="eastAsia" w:ascii="宋体" w:hAnsi="宋体" w:cs="宋体"/>
          <w:b/>
          <w:bCs/>
          <w:color w:val="auto"/>
          <w:sz w:val="21"/>
          <w:szCs w:val="21"/>
          <w:highlight w:val="none"/>
        </w:rPr>
        <w:t xml:space="preserve">、13.2、13.3、13.4</w:t>
      </w:r>
      <w:r>
        <w:rPr>
          <w:rFonts w:hint="eastAsia" w:ascii="宋体" w:hAnsi="宋体" w:cs="宋体"/>
          <w:b/>
          <w:bCs/>
          <w:color w:val="auto"/>
          <w:sz w:val="21"/>
          <w:szCs w:val="21"/>
          <w:highlight w:val="none"/>
          <w:lang w:val="zh-CN"/>
        </w:rPr>
        <w:t xml:space="preserve"> 款规定的内容组成。</w:t>
      </w:r>
      <w:r/>
    </w:p>
    <w:p>
      <w:pPr>
        <w:spacing w:line="360" w:lineRule="auto"/>
        <w:rPr>
          <w:rFonts w:ascii="宋体" w:hAnsi="宋体" w:cs="宋体"/>
          <w:b/>
          <w:color w:val="auto"/>
          <w:sz w:val="21"/>
          <w:szCs w:val="21"/>
          <w:highlight w:val="none"/>
          <w:lang w:val="zh-CN"/>
        </w:rPr>
        <w:outlineLvl w:val="3"/>
      </w:pPr>
      <w:r>
        <w:rPr>
          <w:rFonts w:hint="eastAsia" w:ascii="宋体" w:hAnsi="宋体" w:cs="宋体"/>
          <w:b/>
          <w:color w:val="auto"/>
          <w:sz w:val="21"/>
          <w:szCs w:val="21"/>
          <w:highlight w:val="none"/>
          <w:lang w:val="zh-CN"/>
        </w:rPr>
        <w:t xml:space="preserve">14、投标文件编制要求</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14.1</w:t>
      </w:r>
      <w:r>
        <w:rPr>
          <w:rFonts w:hint="eastAsia" w:ascii="宋体" w:hAnsi="宋体" w:cs="宋体"/>
          <w:color w:val="auto"/>
          <w:sz w:val="21"/>
          <w:szCs w:val="21"/>
          <w:highlight w:val="none"/>
          <w:lang w:val="zh-CN"/>
        </w:rPr>
        <w:t xml:space="preserve">投标人应详细阅读招标文件的全部内容，不按招标文件的要求提供的投标文件和资料， 其风险由投标人自行承担，并根据有关条款规定，可能导致投标无效。</w:t>
      </w:r>
      <w:r/>
    </w:p>
    <w:p>
      <w:pPr>
        <w:ind w:firstLine="422"/>
        <w:spacing w:line="360" w:lineRule="auto"/>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14.</w:t>
      </w:r>
      <w:r>
        <w:rPr>
          <w:rFonts w:hint="eastAsia" w:ascii="宋体" w:hAnsi="宋体" w:cs="宋体"/>
          <w:b/>
          <w:bCs/>
          <w:color w:val="auto"/>
          <w:sz w:val="21"/>
          <w:szCs w:val="21"/>
          <w:highlight w:val="none"/>
        </w:rPr>
        <w:t xml:space="preserve">2</w:t>
      </w:r>
      <w:r>
        <w:rPr>
          <w:rFonts w:hint="eastAsia" w:ascii="宋体" w:hAnsi="宋体" w:cs="宋体"/>
          <w:b/>
          <w:bCs/>
          <w:color w:val="auto"/>
          <w:sz w:val="21"/>
          <w:szCs w:val="21"/>
          <w:highlight w:val="none"/>
          <w:lang w:val="zh-CN"/>
        </w:rPr>
        <w:t xml:space="preserve">投标报价（编制）要求的说明</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14.</w:t>
      </w: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zh-CN"/>
        </w:rPr>
        <w:t xml:space="preserve">.1除非合同中另有规定，报价表中的全部货物和服务的报价</w:t>
      </w:r>
      <w:r>
        <w:rPr>
          <w:rFonts w:hint="eastAsia" w:ascii="宋体" w:hAnsi="宋体" w:cs="宋体"/>
          <w:color w:val="auto"/>
          <w:sz w:val="21"/>
          <w:szCs w:val="21"/>
          <w:highlight w:val="none"/>
        </w:rPr>
        <w:t xml:space="preserve">包括完成项目服务工作所需的采样费、检测费、实验室及检测设备使用费用、耗材、各种税费、人工、保险、劳保、利润、税金、及合同包含的所有风险、责任等各项应有的所有费用</w:t>
      </w:r>
      <w:r>
        <w:rPr>
          <w:rFonts w:hint="eastAsia" w:ascii="宋体" w:hAnsi="宋体" w:cs="宋体"/>
          <w:color w:val="auto"/>
          <w:sz w:val="21"/>
          <w:szCs w:val="21"/>
          <w:highlight w:val="none"/>
          <w:lang w:val="zh-CN"/>
        </w:rPr>
        <w:t xml:space="preserve">。投标报价为最终报价，除非因特殊原因并经买卖三方协商同意，投标人不得再要求追加任何费用。同时，除非合同条款中另有规定，否则，投标人所报价格在合同实施期间不因市场变化因素而变动。</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14.</w:t>
      </w: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zh-CN"/>
        </w:rPr>
        <w:t xml:space="preserve">.2投标人应按采购要求中的全部货物和服务计算单价和总价。报价表中的每一单项均应计算并填写单价和总价，并由法定代表人或代理人签署。</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14.</w:t>
      </w: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zh-CN"/>
        </w:rPr>
        <w:t xml:space="preserve">.3投标人应对招标文件内所要采购的全部内容进行报价，只投其中部分内容者，其标书将被拒绝。但如果招标文件要求分采购包投标的，则投标人可以有选择的只投其中一个或几个采购包，也可以投全部采购包，但各采购包应分别计算填写单价和总价。</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14.</w:t>
      </w: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zh-CN"/>
        </w:rPr>
        <w:t xml:space="preserve">.4一项投标内容只允许一个报价，采购代理机构不接受任何有选择性的投标报价。</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14.2.5投标文件报价中的单价和总价全部采用人民币表示，除非合同的特殊条款另有规定。</w:t>
      </w:r>
      <w:r/>
    </w:p>
    <w:p>
      <w:pPr>
        <w:spacing w:line="360" w:lineRule="auto"/>
        <w:rPr>
          <w:rFonts w:ascii="宋体" w:hAnsi="宋体" w:cs="宋体"/>
          <w:b/>
          <w:color w:val="auto"/>
          <w:sz w:val="21"/>
          <w:szCs w:val="21"/>
          <w:highlight w:val="none"/>
          <w:lang w:val="zh-CN"/>
        </w:rPr>
        <w:outlineLvl w:val="3"/>
      </w:pPr>
      <w:r>
        <w:rPr>
          <w:rFonts w:hint="eastAsia" w:ascii="宋体" w:hAnsi="宋体" w:cs="宋体"/>
          <w:b/>
          <w:color w:val="auto"/>
          <w:sz w:val="21"/>
          <w:szCs w:val="21"/>
          <w:highlight w:val="none"/>
          <w:lang w:val="zh-CN"/>
        </w:rPr>
        <w:t xml:space="preserve">15、电子投标文件的编制与提交</w:t>
      </w:r>
      <w:r/>
    </w:p>
    <w:p>
      <w:pPr>
        <w:ind w:firstLine="489"/>
        <w:jc w:val="both"/>
        <w:spacing w:line="360" w:lineRule="auto"/>
        <w:rPr>
          <w:rFonts w:ascii="宋体" w:hAnsi="宋体" w:cs="宋体"/>
          <w:b/>
          <w:color w:val="auto"/>
          <w:sz w:val="21"/>
          <w:szCs w:val="21"/>
          <w:highlight w:val="none"/>
        </w:rPr>
      </w:pPr>
      <w:r>
        <w:rPr>
          <w:rFonts w:hint="eastAsia" w:ascii="宋体" w:hAnsi="宋体" w:cs="宋体"/>
          <w:color w:val="auto"/>
          <w:sz w:val="21"/>
          <w:szCs w:val="21"/>
          <w:highlight w:val="none"/>
          <w:lang w:val="zh-CN"/>
        </w:rPr>
        <w:t xml:space="preserve">1</w:t>
      </w:r>
      <w:r>
        <w:rPr>
          <w:rFonts w:hint="eastAsia" w:ascii="宋体" w:hAnsi="宋体" w:cs="宋体"/>
          <w:color w:val="auto"/>
          <w:sz w:val="21"/>
          <w:szCs w:val="21"/>
          <w:highlight w:val="none"/>
        </w:rPr>
        <w:t xml:space="preserve">5</w:t>
      </w:r>
      <w:r>
        <w:rPr>
          <w:rFonts w:hint="eastAsia" w:ascii="宋体" w:hAnsi="宋体" w:cs="宋体"/>
          <w:color w:val="auto"/>
          <w:sz w:val="21"/>
          <w:szCs w:val="21"/>
          <w:highlight w:val="none"/>
          <w:lang w:val="zh-CN"/>
        </w:rPr>
        <w:t xml:space="preserve">.1本项目采用电子招投标形式，请供应商按照</w:t>
      </w:r>
      <w:r>
        <w:rPr>
          <w:rFonts w:hint="eastAsia" w:ascii="宋体" w:hAnsi="宋体" w:cs="宋体"/>
          <w:b/>
          <w:color w:val="auto"/>
          <w:sz w:val="21"/>
          <w:szCs w:val="21"/>
          <w:highlight w:val="none"/>
          <w:lang w:val="zh-CN"/>
        </w:rPr>
        <w:t xml:space="preserve">《苏采云系统供应商操作手册》</w:t>
      </w:r>
      <w:r>
        <w:rPr>
          <w:rFonts w:hint="eastAsia" w:ascii="宋体" w:hAnsi="宋体" w:cs="宋体"/>
          <w:color w:val="auto"/>
          <w:sz w:val="21"/>
          <w:szCs w:val="21"/>
          <w:highlight w:val="none"/>
          <w:lang w:val="zh-CN"/>
        </w:rPr>
        <w:t xml:space="preserve">进行制作、上传电子投标文件。</w:t>
      </w:r>
      <w:r/>
    </w:p>
    <w:p>
      <w:pPr>
        <w:ind w:firstLine="480"/>
        <w:jc w:val="both"/>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w:t>
      </w:r>
      <w:r>
        <w:rPr>
          <w:rFonts w:hint="eastAsia" w:ascii="宋体" w:hAnsi="宋体" w:cs="宋体"/>
          <w:color w:val="auto"/>
          <w:sz w:val="21"/>
          <w:szCs w:val="21"/>
          <w:highlight w:val="none"/>
        </w:rPr>
        <w:t xml:space="preserve">5</w:t>
      </w:r>
      <w:r>
        <w:rPr>
          <w:rFonts w:hint="eastAsia" w:ascii="宋体" w:hAnsi="宋体" w:cs="宋体"/>
          <w:color w:val="auto"/>
          <w:sz w:val="21"/>
          <w:szCs w:val="21"/>
          <w:highlight w:val="none"/>
          <w:lang w:val="zh-CN"/>
        </w:rPr>
        <w:t xml:space="preserve">.2制作电子投标文件时，应按照招标文件要求加盖投标人电子公章。</w:t>
      </w:r>
      <w:r/>
    </w:p>
    <w:p>
      <w:pPr>
        <w:ind w:firstLine="480"/>
        <w:jc w:val="both"/>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w:t>
      </w:r>
      <w:r>
        <w:rPr>
          <w:rFonts w:hint="eastAsia" w:ascii="宋体" w:hAnsi="宋体" w:cs="宋体"/>
          <w:color w:val="auto"/>
          <w:sz w:val="21"/>
          <w:szCs w:val="21"/>
          <w:highlight w:val="none"/>
        </w:rPr>
        <w:t xml:space="preserve">5</w:t>
      </w:r>
      <w:r>
        <w:rPr>
          <w:rFonts w:hint="eastAsia" w:ascii="宋体" w:hAnsi="宋体" w:cs="宋体"/>
          <w:color w:val="auto"/>
          <w:sz w:val="21"/>
          <w:szCs w:val="21"/>
          <w:highlight w:val="none"/>
          <w:lang w:val="zh-CN"/>
        </w:rPr>
        <w:t xml:space="preserve">.3</w:t>
      </w:r>
      <w:r>
        <w:rPr>
          <w:rFonts w:hint="eastAsia" w:ascii="宋体" w:hAnsi="宋体" w:cs="宋体"/>
          <w:b/>
          <w:color w:val="auto"/>
          <w:sz w:val="21"/>
          <w:szCs w:val="21"/>
          <w:highlight w:val="none"/>
          <w:lang w:val="zh-CN"/>
        </w:rPr>
        <w:t xml:space="preserve">电子投标文件制作完成后请于投标文件网上提交截止时间前成功上传至“苏采云”系统，否则视为放弃参加该采购项目。</w:t>
      </w:r>
      <w:bookmarkStart w:id="12" w:name="_Toc31150"/>
      <w:r/>
      <w:bookmarkStart w:id="13" w:name="_Toc25608"/>
      <w:r>
        <w:rPr>
          <w:rFonts w:hint="eastAsia" w:ascii="宋体" w:hAnsi="宋体" w:cs="宋体"/>
          <w:color w:val="auto"/>
          <w:sz w:val="21"/>
          <w:szCs w:val="21"/>
          <w:highlight w:val="none"/>
          <w:lang w:val="zh-CN"/>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12"/>
      <w:r/>
      <w:bookmarkEnd w:id="13"/>
      <w:r/>
      <w:r/>
    </w:p>
    <w:p>
      <w:pPr>
        <w:ind w:firstLine="422"/>
        <w:spacing w:line="360" w:lineRule="auto"/>
        <w:rPr>
          <w:rFonts w:ascii="宋体" w:hAnsi="宋体" w:cs="宋体"/>
          <w:b/>
          <w:bCs/>
          <w:color w:val="auto"/>
          <w:sz w:val="21"/>
          <w:szCs w:val="21"/>
          <w:highlight w:val="none"/>
          <w:lang w:val="zh-CN"/>
        </w:rPr>
      </w:pPr>
      <w:r>
        <w:rPr>
          <w:rFonts w:hint="eastAsia" w:ascii="宋体" w:hAnsi="宋体" w:cs="宋体"/>
          <w:b/>
          <w:bCs/>
          <w:color w:val="auto"/>
          <w:sz w:val="21"/>
          <w:szCs w:val="21"/>
          <w:highlight w:val="none"/>
        </w:rPr>
        <w:t xml:space="preserve">15.4</w:t>
      </w:r>
      <w:r>
        <w:rPr>
          <w:rFonts w:hint="eastAsia" w:ascii="宋体" w:hAnsi="宋体" w:cs="宋体"/>
          <w:b/>
          <w:bCs/>
          <w:color w:val="auto"/>
          <w:sz w:val="21"/>
          <w:szCs w:val="21"/>
          <w:highlight w:val="none"/>
          <w:lang w:val="zh-CN"/>
        </w:rPr>
        <w:t xml:space="preserve">如投标（响应）文件制作机器码信息一致，视为不同投标供应商使用同一台电脑编制投标（响应）文件，投标（响应）无效。</w:t>
      </w:r>
      <w:r/>
    </w:p>
    <w:p>
      <w:pPr>
        <w:spacing w:line="360" w:lineRule="auto"/>
        <w:rPr>
          <w:rFonts w:ascii="宋体" w:hAnsi="宋体" w:cs="宋体"/>
          <w:b/>
          <w:color w:val="auto"/>
          <w:sz w:val="21"/>
          <w:szCs w:val="21"/>
          <w:highlight w:val="none"/>
          <w:lang w:val="zh-CN"/>
        </w:rPr>
        <w:outlineLvl w:val="3"/>
      </w:pPr>
      <w:r>
        <w:rPr>
          <w:rFonts w:hint="eastAsia" w:ascii="宋体" w:hAnsi="宋体" w:cs="宋体"/>
          <w:b/>
          <w:color w:val="auto"/>
          <w:sz w:val="21"/>
          <w:szCs w:val="21"/>
          <w:highlight w:val="none"/>
          <w:lang w:val="zh-CN"/>
        </w:rPr>
        <w:t xml:space="preserve">16、投标保证金：无</w:t>
      </w:r>
      <w:r/>
    </w:p>
    <w:p>
      <w:pPr>
        <w:spacing w:line="360" w:lineRule="auto"/>
        <w:rPr>
          <w:rFonts w:ascii="宋体" w:hAnsi="宋体" w:cs="宋体"/>
          <w:b/>
          <w:color w:val="auto"/>
          <w:sz w:val="21"/>
          <w:szCs w:val="21"/>
          <w:highlight w:val="none"/>
          <w:lang w:val="zh-CN"/>
        </w:rPr>
        <w:outlineLvl w:val="3"/>
      </w:pPr>
      <w:r>
        <w:rPr>
          <w:rFonts w:hint="eastAsia" w:ascii="宋体" w:hAnsi="宋体" w:cs="宋体"/>
          <w:b/>
          <w:color w:val="auto"/>
          <w:sz w:val="21"/>
          <w:szCs w:val="21"/>
          <w:highlight w:val="none"/>
          <w:lang w:val="zh-CN"/>
        </w:rPr>
        <w:t xml:space="preserve">17、投标文件的有效期</w:t>
      </w:r>
      <w:r/>
    </w:p>
    <w:p>
      <w:pPr>
        <w:ind w:firstLine="420"/>
        <w:spacing w:line="360" w:lineRule="auto"/>
        <w:rPr>
          <w:rFonts w:ascii="宋体" w:hAnsi="宋体" w:cs="宋体"/>
          <w:b/>
          <w:bCs/>
          <w:color w:val="auto"/>
          <w:sz w:val="21"/>
          <w:szCs w:val="21"/>
          <w:highlight w:val="none"/>
          <w:lang w:val="zh-CN"/>
        </w:rPr>
      </w:pPr>
      <w:r>
        <w:rPr>
          <w:rFonts w:hint="eastAsia" w:ascii="宋体" w:hAnsi="宋体" w:cs="宋体"/>
          <w:color w:val="auto"/>
          <w:sz w:val="21"/>
          <w:szCs w:val="21"/>
          <w:highlight w:val="none"/>
          <w:lang w:val="zh-CN"/>
        </w:rPr>
        <w:t xml:space="preserve">17.1</w:t>
      </w:r>
      <w:r>
        <w:rPr>
          <w:rFonts w:hint="eastAsia" w:ascii="宋体" w:hAnsi="宋体" w:cs="宋体"/>
          <w:b/>
          <w:bCs/>
          <w:color w:val="auto"/>
          <w:sz w:val="21"/>
          <w:szCs w:val="21"/>
          <w:highlight w:val="none"/>
          <w:lang w:val="zh-CN"/>
        </w:rPr>
        <w:t xml:space="preserve">自开标日起【90】天，投标书应保持有效。有效期短于这个规定期限的投标，将被拒绝。</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17.2在特殊情况下，采购代理机构可与投标人协商延长投标书的有效期。这种要求和答复都将以线上形式进行，同意延长有效期的投标人不能修改投标文件。</w:t>
      </w:r>
      <w:r/>
    </w:p>
    <w:p>
      <w:pPr>
        <w:spacing w:line="360" w:lineRule="auto"/>
        <w:rPr>
          <w:rFonts w:ascii="宋体" w:hAnsi="宋体" w:cs="宋体"/>
          <w:b/>
          <w:bCs/>
          <w:color w:val="auto"/>
          <w:sz w:val="21"/>
          <w:szCs w:val="21"/>
          <w:highlight w:val="none"/>
          <w:lang w:val="zh-CN"/>
        </w:rPr>
        <w:outlineLvl w:val="1"/>
      </w:pPr>
      <w:r>
        <w:rPr>
          <w:rFonts w:hint="eastAsia" w:ascii="宋体" w:hAnsi="宋体" w:cs="宋体"/>
          <w:b/>
          <w:bCs/>
          <w:color w:val="auto"/>
          <w:sz w:val="21"/>
          <w:szCs w:val="21"/>
          <w:highlight w:val="none"/>
          <w:lang w:val="zh-CN"/>
        </w:rPr>
        <w:t xml:space="preserve">五、投标截止时间、投标文件的补充、修改和撤回</w:t>
      </w:r>
      <w:r/>
    </w:p>
    <w:p>
      <w:pPr>
        <w:spacing w:line="360" w:lineRule="auto"/>
        <w:widowControl w:val="off"/>
        <w:rPr>
          <w:rFonts w:ascii="宋体" w:hAnsi="宋体" w:cs="宋体"/>
          <w:color w:val="auto"/>
          <w:sz w:val="21"/>
          <w:szCs w:val="21"/>
          <w:highlight w:val="none"/>
        </w:rPr>
      </w:pPr>
      <w:r>
        <w:rPr>
          <w:rFonts w:hint="eastAsia" w:ascii="宋体" w:hAnsi="宋体" w:cs="宋体"/>
          <w:b/>
          <w:color w:val="auto"/>
          <w:sz w:val="21"/>
          <w:szCs w:val="21"/>
          <w:highlight w:val="none"/>
          <w:lang w:val="zh-CN"/>
        </w:rPr>
        <w:t xml:space="preserve">18、投标截止时间</w:t>
      </w:r>
      <w:r/>
    </w:p>
    <w:p>
      <w:pPr>
        <w:ind w:firstLine="480"/>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18</w:t>
      </w:r>
      <w:r>
        <w:rPr>
          <w:rFonts w:hint="eastAsia" w:ascii="宋体" w:hAnsi="宋体" w:cs="宋体"/>
          <w:color w:val="auto"/>
          <w:sz w:val="21"/>
          <w:szCs w:val="21"/>
          <w:highlight w:val="none"/>
          <w:lang w:val="zh-CN"/>
        </w:rPr>
        <w:t xml:space="preserve">.1投标人应当在招标文件要求投标文件网上提交截止时间前，将投标文件完成提交（上传）。逾期提交（上传）的投标文件，采购人和采购代理机构拒绝接收。</w:t>
      </w:r>
      <w:r/>
    </w:p>
    <w:p>
      <w:pPr>
        <w:ind w:firstLine="480"/>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18</w:t>
      </w:r>
      <w:r>
        <w:rPr>
          <w:rFonts w:hint="eastAsia" w:ascii="宋体" w:hAnsi="宋体" w:cs="宋体"/>
          <w:color w:val="auto"/>
          <w:sz w:val="21"/>
          <w:szCs w:val="21"/>
          <w:highlight w:val="none"/>
          <w:lang w:val="zh-CN"/>
        </w:rPr>
        <w:t xml:space="preserve">.2采购人和采购代理机构推迟投标截止时间时，将按本须知规定的更正公告的方式对外发布。在这种情况下，采购人、采购代理机构和投标人的权利和义务将受到新的截止期的约束。</w:t>
      </w:r>
      <w:r/>
    </w:p>
    <w:p>
      <w:pPr>
        <w:ind w:firstLine="480"/>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18</w:t>
      </w:r>
      <w:r>
        <w:rPr>
          <w:rFonts w:hint="eastAsia" w:ascii="宋体" w:hAnsi="宋体" w:cs="宋体"/>
          <w:color w:val="auto"/>
          <w:sz w:val="21"/>
          <w:szCs w:val="21"/>
          <w:highlight w:val="none"/>
          <w:lang w:val="zh-CN"/>
        </w:rPr>
        <w:t xml:space="preserve">.3在投标截止时间止成功解密的投标文件少于三份，采购代理机构有权宣布本次招标失败。</w:t>
      </w:r>
      <w:r/>
    </w:p>
    <w:p>
      <w:pPr>
        <w:spacing w:line="360" w:lineRule="auto"/>
        <w:widowControl w:val="off"/>
        <w:rPr>
          <w:rFonts w:ascii="宋体" w:hAnsi="宋体" w:cs="宋体"/>
          <w:b/>
          <w:bCs/>
          <w:color w:val="auto"/>
          <w:sz w:val="21"/>
          <w:szCs w:val="21"/>
          <w:highlight w:val="none"/>
        </w:rPr>
      </w:pPr>
      <w:r>
        <w:rPr>
          <w:rFonts w:hint="eastAsia" w:ascii="宋体" w:hAnsi="宋体" w:cs="宋体"/>
          <w:b/>
          <w:color w:val="auto"/>
          <w:sz w:val="21"/>
          <w:szCs w:val="21"/>
          <w:highlight w:val="none"/>
          <w:lang w:val="zh-CN"/>
        </w:rPr>
        <w:t xml:space="preserve">1</w:t>
      </w:r>
      <w:r>
        <w:rPr>
          <w:rFonts w:hint="eastAsia" w:ascii="宋体" w:hAnsi="宋体" w:cs="宋体"/>
          <w:b/>
          <w:color w:val="auto"/>
          <w:sz w:val="21"/>
          <w:szCs w:val="21"/>
          <w:highlight w:val="none"/>
        </w:rPr>
        <w:t xml:space="preserve">9</w:t>
      </w:r>
      <w:r>
        <w:rPr>
          <w:rFonts w:hint="eastAsia" w:ascii="宋体" w:hAnsi="宋体" w:cs="宋体"/>
          <w:b/>
          <w:color w:val="auto"/>
          <w:sz w:val="21"/>
          <w:szCs w:val="21"/>
          <w:highlight w:val="none"/>
          <w:lang w:val="zh-CN"/>
        </w:rPr>
        <w:t xml:space="preserve">、</w:t>
      </w:r>
      <w:r>
        <w:rPr>
          <w:rFonts w:hint="eastAsia" w:ascii="宋体" w:hAnsi="宋体" w:cs="宋体"/>
          <w:b/>
          <w:bCs/>
          <w:color w:val="auto"/>
          <w:sz w:val="21"/>
          <w:szCs w:val="21"/>
          <w:highlight w:val="none"/>
          <w:lang w:val="zh-CN"/>
        </w:rPr>
        <w:t xml:space="preserve">投标文件的补充、修改或撤回</w:t>
      </w:r>
      <w:r/>
    </w:p>
    <w:p>
      <w:pPr>
        <w:ind w:firstLine="480"/>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19</w:t>
      </w:r>
      <w:r>
        <w:rPr>
          <w:rFonts w:hint="eastAsia" w:ascii="宋体" w:hAnsi="宋体" w:cs="宋体"/>
          <w:color w:val="auto"/>
          <w:sz w:val="21"/>
          <w:szCs w:val="21"/>
          <w:highlight w:val="none"/>
          <w:lang w:val="zh-CN"/>
        </w:rPr>
        <w:t xml:space="preserve">.1投标人在投标文件网上提交截止时间前，可以对其电子投标文件进行补充、修改，具体操作方法见《苏采云系统供应商操作手册》。在投标文件网上提交截止时间之后，投标人不得对其电子投标文件作任何修改。</w:t>
      </w:r>
      <w:r/>
    </w:p>
    <w:p>
      <w:pPr>
        <w:ind w:firstLine="480"/>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19</w:t>
      </w:r>
      <w:r>
        <w:rPr>
          <w:rFonts w:hint="eastAsia" w:ascii="宋体" w:hAnsi="宋体" w:cs="宋体"/>
          <w:color w:val="auto"/>
          <w:sz w:val="21"/>
          <w:szCs w:val="21"/>
          <w:highlight w:val="none"/>
          <w:lang w:val="zh-CN"/>
        </w:rPr>
        <w:t xml:space="preserve">.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p>
    <w:p>
      <w:pPr>
        <w:spacing w:line="360" w:lineRule="auto"/>
        <w:rPr>
          <w:rFonts w:ascii="宋体" w:hAnsi="宋体" w:cs="宋体"/>
          <w:b/>
          <w:bCs/>
          <w:color w:val="auto"/>
          <w:sz w:val="21"/>
          <w:szCs w:val="21"/>
          <w:highlight w:val="none"/>
          <w:lang w:val="zh-CN"/>
        </w:rPr>
        <w:outlineLvl w:val="1"/>
      </w:pPr>
      <w:r>
        <w:rPr>
          <w:rFonts w:hint="eastAsia" w:ascii="宋体" w:hAnsi="宋体" w:cs="宋体"/>
          <w:b/>
          <w:bCs/>
          <w:color w:val="auto"/>
          <w:sz w:val="21"/>
          <w:szCs w:val="21"/>
          <w:highlight w:val="none"/>
          <w:lang w:val="zh-CN"/>
        </w:rPr>
        <w:t xml:space="preserve">六、开标和评标</w:t>
      </w:r>
      <w:r/>
    </w:p>
    <w:p>
      <w:pPr>
        <w:spacing w:line="360" w:lineRule="auto"/>
        <w:rPr>
          <w:rFonts w:ascii="宋体" w:hAnsi="宋体" w:cs="宋体"/>
          <w:b/>
          <w:color w:val="auto"/>
          <w:sz w:val="21"/>
          <w:szCs w:val="21"/>
          <w:highlight w:val="none"/>
          <w:lang w:val="zh-CN"/>
        </w:rPr>
        <w:outlineLvl w:val="3"/>
      </w:pPr>
      <w:r>
        <w:rPr>
          <w:rFonts w:hint="eastAsia" w:ascii="宋体" w:hAnsi="宋体" w:cs="宋体"/>
          <w:b/>
          <w:color w:val="auto"/>
          <w:sz w:val="21"/>
          <w:szCs w:val="21"/>
          <w:highlight w:val="none"/>
          <w:lang w:val="zh-CN"/>
        </w:rPr>
        <w:t xml:space="preserve">2</w:t>
      </w:r>
      <w:r>
        <w:rPr>
          <w:rFonts w:hint="eastAsia" w:ascii="宋体" w:hAnsi="宋体" w:cs="宋体"/>
          <w:b/>
          <w:color w:val="auto"/>
          <w:sz w:val="21"/>
          <w:szCs w:val="21"/>
          <w:highlight w:val="none"/>
        </w:rPr>
        <w:t xml:space="preserve">0</w:t>
      </w:r>
      <w:r>
        <w:rPr>
          <w:rFonts w:hint="eastAsia" w:ascii="宋体" w:hAnsi="宋体" w:cs="宋体"/>
          <w:b/>
          <w:color w:val="auto"/>
          <w:sz w:val="21"/>
          <w:szCs w:val="21"/>
          <w:highlight w:val="none"/>
          <w:lang w:val="zh-CN"/>
        </w:rPr>
        <w:t xml:space="preserve">、开标</w:t>
      </w:r>
      <w:r/>
    </w:p>
    <w:p>
      <w:pPr>
        <w:ind w:firstLine="420"/>
        <w:spacing w:line="360" w:lineRule="auto"/>
        <w:rPr>
          <w:rFonts w:ascii="宋体" w:hAnsi="宋体" w:cs="宋体"/>
          <w:color w:val="auto"/>
          <w:sz w:val="21"/>
          <w:szCs w:val="21"/>
          <w:highlight w:val="none"/>
        </w:rPr>
        <w:outlineLvl w:val="3"/>
      </w:pPr>
      <w:r>
        <w:rPr>
          <w:rFonts w:hint="eastAsia" w:ascii="宋体" w:hAnsi="宋体" w:cs="宋体"/>
          <w:color w:val="auto"/>
          <w:sz w:val="21"/>
          <w:szCs w:val="21"/>
          <w:highlight w:val="none"/>
        </w:rPr>
        <w:t xml:space="preserve">20.1开标由采购代理机构在线主持，邀请投标人在线参加。投标人应当按照</w:t>
      </w:r>
      <w:r>
        <w:rPr>
          <w:rFonts w:hint="eastAsia" w:ascii="Arial" w:hAnsi="Arial" w:eastAsia="Arial"/>
          <w:color w:val="auto"/>
          <w:sz w:val="21"/>
          <w:szCs w:val="21"/>
          <w:highlight w:val="none"/>
        </w:rPr>
        <w:t xml:space="preserve">《苏采云系统供应商操作手册》</w:t>
      </w:r>
      <w:r>
        <w:rPr>
          <w:rFonts w:hint="eastAsia" w:ascii="宋体" w:hAnsi="宋体" w:cs="宋体"/>
          <w:color w:val="auto"/>
          <w:sz w:val="21"/>
          <w:szCs w:val="21"/>
          <w:highlight w:val="none"/>
        </w:rPr>
        <w:t xml:space="preserve">规定，</w:t>
      </w:r>
      <w:r>
        <w:rPr>
          <w:rFonts w:hint="eastAsia" w:ascii="宋体" w:hAnsi="宋体" w:cs="宋体"/>
          <w:b/>
          <w:color w:val="auto"/>
          <w:sz w:val="21"/>
          <w:szCs w:val="21"/>
          <w:highlight w:val="none"/>
        </w:rPr>
        <w:t xml:space="preserve">参加开标活动和在“苏采云”系统规定的时间内对投标文件进行解密</w:t>
      </w:r>
      <w:r>
        <w:rPr>
          <w:rFonts w:hint="eastAsia" w:ascii="宋体" w:hAnsi="宋体" w:cs="宋体"/>
          <w:color w:val="auto"/>
          <w:sz w:val="21"/>
          <w:szCs w:val="21"/>
          <w:highlight w:val="none"/>
        </w:rPr>
        <w:t xml:space="preserve">。评标委员会成员不得参加开标活动。</w:t>
      </w:r>
      <w:r/>
    </w:p>
    <w:p>
      <w:pPr>
        <w:ind w:firstLine="422"/>
        <w:spacing w:line="360" w:lineRule="auto"/>
        <w:rPr>
          <w:rFonts w:ascii="宋体" w:hAnsi="宋体" w:cs="宋体"/>
          <w:color w:val="auto"/>
          <w:sz w:val="21"/>
          <w:szCs w:val="21"/>
          <w:highlight w:val="none"/>
        </w:rPr>
        <w:outlineLvl w:val="3"/>
      </w:pPr>
      <w:r>
        <w:rPr>
          <w:rFonts w:hint="eastAsia" w:ascii="宋体" w:hAnsi="宋体" w:cs="宋体"/>
          <w:b/>
          <w:color w:val="auto"/>
          <w:sz w:val="21"/>
          <w:szCs w:val="21"/>
          <w:highlight w:val="none"/>
        </w:rPr>
        <w:t xml:space="preserve">注：</w:t>
      </w:r>
      <w:r>
        <w:rPr>
          <w:rFonts w:hint="eastAsia" w:ascii="宋体" w:hAnsi="宋体" w:cs="宋体"/>
          <w:color w:val="auto"/>
          <w:sz w:val="21"/>
          <w:szCs w:val="21"/>
          <w:highlight w:val="none"/>
        </w:rPr>
        <w:t xml:space="preserve">投标人在“苏采云”系统规定的时间内未成功解密电子投标文件的，</w:t>
      </w:r>
      <w:r>
        <w:rPr>
          <w:rFonts w:hint="eastAsia" w:ascii="宋体" w:hAnsi="宋体" w:cs="宋体"/>
          <w:b/>
          <w:bCs/>
          <w:color w:val="auto"/>
          <w:sz w:val="21"/>
          <w:szCs w:val="21"/>
          <w:highlight w:val="none"/>
        </w:rPr>
        <w:t xml:space="preserve">投标无效。</w:t>
      </w:r>
      <w:r/>
    </w:p>
    <w:p>
      <w:pPr>
        <w:ind w:firstLine="420"/>
        <w:spacing w:line="360" w:lineRule="auto"/>
        <w:rPr>
          <w:rFonts w:ascii="宋体" w:hAnsi="宋体" w:cs="宋体"/>
          <w:color w:val="auto"/>
          <w:sz w:val="21"/>
          <w:szCs w:val="21"/>
          <w:highlight w:val="none"/>
        </w:rPr>
        <w:outlineLvl w:val="3"/>
      </w:pPr>
      <w:r>
        <w:rPr>
          <w:rFonts w:hint="eastAsia" w:ascii="宋体" w:hAnsi="宋体" w:cs="宋体"/>
          <w:color w:val="auto"/>
          <w:sz w:val="21"/>
          <w:szCs w:val="21"/>
          <w:highlight w:val="none"/>
        </w:rPr>
        <w:t xml:space="preserve">20.2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20"/>
        <w:spacing w:line="360" w:lineRule="auto"/>
        <w:rPr>
          <w:rFonts w:ascii="宋体" w:hAnsi="宋体" w:cs="宋体"/>
          <w:b/>
          <w:bCs/>
          <w:color w:val="auto"/>
          <w:sz w:val="21"/>
          <w:szCs w:val="21"/>
          <w:highlight w:val="none"/>
        </w:rPr>
        <w:outlineLvl w:val="3"/>
      </w:pPr>
      <w:r>
        <w:rPr>
          <w:rFonts w:hint="eastAsia" w:ascii="宋体" w:hAnsi="宋体" w:cs="宋体"/>
          <w:color w:val="auto"/>
          <w:sz w:val="21"/>
          <w:szCs w:val="21"/>
          <w:highlight w:val="none"/>
        </w:rPr>
        <w:t xml:space="preserve">20.3至投标文件提交截止时间，</w:t>
      </w:r>
      <w:r>
        <w:rPr>
          <w:rFonts w:hint="eastAsia" w:ascii="宋体" w:hAnsi="宋体" w:cs="宋体"/>
          <w:b/>
          <w:bCs/>
          <w:color w:val="auto"/>
          <w:sz w:val="21"/>
          <w:szCs w:val="21"/>
          <w:highlight w:val="none"/>
        </w:rPr>
        <w:t xml:space="preserve">递交投标文件的投标人不足三家的，不得开标。</w:t>
      </w:r>
      <w:r/>
    </w:p>
    <w:p>
      <w:pPr>
        <w:spacing w:line="360" w:lineRule="auto"/>
        <w:rPr>
          <w:rFonts w:ascii="宋体" w:hAnsi="宋体" w:cs="宋体"/>
          <w:b/>
          <w:color w:val="auto"/>
          <w:sz w:val="21"/>
          <w:szCs w:val="21"/>
          <w:highlight w:val="none"/>
          <w:lang w:val="zh-CN"/>
        </w:rPr>
        <w:outlineLvl w:val="3"/>
      </w:pPr>
      <w:r>
        <w:rPr>
          <w:rFonts w:hint="eastAsia" w:ascii="宋体" w:hAnsi="宋体" w:cs="宋体"/>
          <w:b/>
          <w:color w:val="auto"/>
          <w:sz w:val="21"/>
          <w:szCs w:val="21"/>
          <w:highlight w:val="none"/>
          <w:lang w:val="zh-CN"/>
        </w:rPr>
        <w:t xml:space="preserve">2</w:t>
      </w:r>
      <w:r>
        <w:rPr>
          <w:rFonts w:hint="eastAsia" w:ascii="宋体" w:hAnsi="宋体" w:cs="宋体"/>
          <w:b/>
          <w:color w:val="auto"/>
          <w:sz w:val="21"/>
          <w:szCs w:val="21"/>
          <w:highlight w:val="none"/>
        </w:rPr>
        <w:t xml:space="preserve">1</w:t>
      </w:r>
      <w:r>
        <w:rPr>
          <w:rFonts w:hint="eastAsia" w:ascii="宋体" w:hAnsi="宋体" w:cs="宋体"/>
          <w:b/>
          <w:color w:val="auto"/>
          <w:sz w:val="21"/>
          <w:szCs w:val="21"/>
          <w:highlight w:val="none"/>
          <w:lang w:val="zh-CN"/>
        </w:rPr>
        <w:t xml:space="preserve">、资格审查</w:t>
      </w:r>
      <w:r/>
    </w:p>
    <w:p>
      <w:pPr>
        <w:ind w:firstLine="422"/>
        <w:spacing w:line="360" w:lineRule="auto"/>
        <w:rPr>
          <w:rFonts w:ascii="宋体" w:hAnsi="宋体" w:cs="宋体"/>
          <w:b/>
          <w:color w:val="auto"/>
          <w:sz w:val="21"/>
          <w:szCs w:val="21"/>
          <w:highlight w:val="none"/>
          <w:lang w:val="zh-CN"/>
        </w:rPr>
      </w:pPr>
      <w:r>
        <w:rPr>
          <w:rFonts w:hint="eastAsia" w:ascii="宋体" w:hAnsi="宋体" w:cs="宋体"/>
          <w:b/>
          <w:color w:val="auto"/>
          <w:sz w:val="21"/>
          <w:szCs w:val="21"/>
          <w:highlight w:val="none"/>
          <w:lang w:val="zh-CN"/>
        </w:rPr>
        <w:t xml:space="preserve">2</w:t>
      </w:r>
      <w:r>
        <w:rPr>
          <w:rFonts w:hint="eastAsia" w:ascii="宋体" w:hAnsi="宋体" w:cs="宋体"/>
          <w:b/>
          <w:color w:val="auto"/>
          <w:sz w:val="21"/>
          <w:szCs w:val="21"/>
          <w:highlight w:val="none"/>
        </w:rPr>
        <w:t xml:space="preserve">1</w:t>
      </w:r>
      <w:r>
        <w:rPr>
          <w:rFonts w:hint="eastAsia" w:ascii="宋体" w:hAnsi="宋体" w:cs="宋体"/>
          <w:b/>
          <w:color w:val="auto"/>
          <w:sz w:val="21"/>
          <w:szCs w:val="21"/>
          <w:highlight w:val="none"/>
          <w:lang w:val="zh-CN"/>
        </w:rPr>
        <w:t xml:space="preserve">.1公开招标采购项目开标结束后，采购人应当依法对投标人的资格进行审查</w:t>
      </w:r>
      <w:r>
        <w:rPr>
          <w:rFonts w:hint="eastAsia" w:ascii="宋体" w:hAnsi="宋体" w:cs="宋体"/>
          <w:color w:val="auto"/>
          <w:sz w:val="21"/>
          <w:szCs w:val="21"/>
          <w:highlight w:val="none"/>
        </w:rPr>
        <w:t xml:space="preserve">，未通过资格审查的视为无效投标</w:t>
      </w:r>
      <w:r>
        <w:rPr>
          <w:rFonts w:hint="eastAsia" w:ascii="宋体" w:hAnsi="宋体" w:cs="宋体"/>
          <w:b/>
          <w:color w:val="auto"/>
          <w:sz w:val="21"/>
          <w:szCs w:val="21"/>
          <w:highlight w:val="none"/>
          <w:lang w:val="zh-CN"/>
        </w:rPr>
        <w:t xml:space="preserve">。</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21.2</w:t>
      </w:r>
      <w:r>
        <w:rPr>
          <w:rFonts w:hint="eastAsia" w:ascii="宋体" w:hAnsi="宋体" w:cs="宋体"/>
          <w:color w:val="auto"/>
          <w:sz w:val="21"/>
          <w:szCs w:val="21"/>
          <w:highlight w:val="none"/>
          <w:lang w:val="zh-CN"/>
        </w:rPr>
        <w:t xml:space="preserve">根据苏州市财政局《关于印发苏州市市级政府采购信用记录查询和使用工作试行办法的通知》（苏财购（2017）11号）文件的规定，将依法对供应商进行信用查询，凡经评审小组确认不符合政府采购相关法律法规规定的，将拒绝其参与政府采购活动。</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（1）查询时间：投标文件提交截止时间。</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（2）查询渠道：</w:t>
      </w:r>
      <w:r>
        <w:rPr>
          <w:rFonts w:hint="eastAsia" w:ascii="宋体" w:hAnsi="宋体" w:cs="宋体"/>
          <w:color w:val="auto"/>
          <w:sz w:val="21"/>
          <w:szCs w:val="21"/>
          <w:highlight w:val="none"/>
        </w:rPr>
        <w:t xml:space="preserve">采购代理机构会在接收投标文件截止时间后，登录</w:t>
      </w:r>
      <w:r>
        <w:rPr>
          <w:rFonts w:ascii="宋体" w:hAnsi="宋体" w:cs="宋体"/>
          <w:color w:val="auto"/>
          <w:sz w:val="21"/>
          <w:szCs w:val="21"/>
          <w:highlight w:val="none"/>
        </w:rPr>
        <w:t xml:space="preserve">信用中国</w:t>
      </w:r>
      <w:r>
        <w:rPr>
          <w:rFonts w:hint="eastAsia" w:ascii="宋体" w:hAnsi="宋体" w:cs="宋体"/>
          <w:color w:val="auto"/>
          <w:sz w:val="21"/>
          <w:szCs w:val="21"/>
          <w:highlight w:val="none"/>
        </w:rPr>
        <w:t xml:space="preserve">网站</w:t>
      </w:r>
      <w:r>
        <w:rPr>
          <w:rFonts w:ascii="宋体" w:hAnsi="宋体" w:cs="宋体"/>
          <w:color w:val="auto"/>
          <w:sz w:val="21"/>
          <w:szCs w:val="21"/>
          <w:highlight w:val="none"/>
        </w:rPr>
        <w:t xml:space="preserve">（www.creditchina.gov.cn）</w:t>
      </w:r>
      <w:r>
        <w:rPr>
          <w:rFonts w:hint="eastAsia" w:ascii="宋体" w:hAnsi="宋体" w:cs="宋体"/>
          <w:color w:val="auto"/>
          <w:sz w:val="21"/>
          <w:szCs w:val="21"/>
          <w:highlight w:val="none"/>
        </w:rPr>
        <w:t xml:space="preserve">和中国政府采购网（</w:t>
      </w:r>
      <w:r>
        <w:rPr>
          <w:rFonts w:ascii="宋体" w:hAnsi="宋体" w:cs="宋体"/>
          <w:color w:val="auto"/>
          <w:sz w:val="21"/>
          <w:szCs w:val="21"/>
          <w:highlight w:val="none"/>
        </w:rPr>
        <w:t xml:space="preserve">www.ccgp.gov.cn/</w:t>
      </w: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查询供应商的信用记录，并将查询结果递交</w:t>
      </w:r>
      <w:r>
        <w:rPr>
          <w:rFonts w:hint="eastAsia" w:ascii="宋体" w:hAnsi="宋体" w:cs="宋体"/>
          <w:color w:val="auto"/>
          <w:sz w:val="21"/>
          <w:szCs w:val="21"/>
          <w:highlight w:val="none"/>
        </w:rPr>
        <w:t xml:space="preserve">评标委员会</w:t>
      </w:r>
      <w:r>
        <w:rPr>
          <w:rFonts w:hint="eastAsia" w:ascii="宋体" w:hAnsi="宋体" w:cs="宋体"/>
          <w:color w:val="auto"/>
          <w:sz w:val="21"/>
          <w:szCs w:val="21"/>
          <w:highlight w:val="none"/>
          <w:lang w:val="zh-CN"/>
        </w:rPr>
        <w:t xml:space="preserve">。 </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（3）查询证据留存方式：</w:t>
      </w:r>
      <w:r>
        <w:rPr>
          <w:rFonts w:hint="eastAsia" w:ascii="宋体" w:hAnsi="宋体" w:cs="宋体"/>
          <w:color w:val="auto"/>
          <w:sz w:val="21"/>
          <w:szCs w:val="21"/>
          <w:highlight w:val="none"/>
        </w:rPr>
        <w:t xml:space="preserve">采购人、采购代理机构工作人员等应按照相关管理办法查询相关主体的信用记录，并保存好相关证据材料，信用查询记录及相关证据应当归入采购档案妥善保管。采购代理机构工作人员应登录到来源网站页面进行复核并打印，作为证据留存。</w:t>
      </w:r>
      <w:r/>
    </w:p>
    <w:p>
      <w:pPr>
        <w:ind w:firstLine="422"/>
        <w:spacing w:line="360" w:lineRule="auto"/>
        <w:rPr>
          <w:rFonts w:ascii="宋体" w:hAnsi="宋体" w:cs="宋体"/>
          <w:b/>
          <w:bCs/>
          <w:color w:val="auto"/>
          <w:sz w:val="21"/>
          <w:szCs w:val="21"/>
          <w:highlight w:val="none"/>
          <w:lang w:val="zh-CN"/>
        </w:rPr>
      </w:pPr>
      <w:r>
        <w:rPr>
          <w:rFonts w:hint="eastAsia" w:ascii="宋体" w:hAnsi="宋体" w:cs="宋体"/>
          <w:color w:val="auto"/>
          <w:sz w:val="21"/>
          <w:szCs w:val="21"/>
          <w:highlight w:val="none"/>
          <w:lang w:val="zh-CN"/>
        </w:rPr>
        <w:t xml:space="preserve">（4）信用记录使用规则：</w:t>
      </w:r>
      <w:r>
        <w:rPr>
          <w:rFonts w:hint="eastAsia" w:ascii="宋体" w:hAnsi="宋体" w:cs="宋体"/>
          <w:b/>
          <w:color w:val="auto"/>
          <w:sz w:val="21"/>
          <w:szCs w:val="21"/>
          <w:highlight w:val="none"/>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w:t>
      </w: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3接受联合体的项目，两个以上的自然人、法人或者其他组织组成一个联合体，以一个投标人的身份共同参加政府采购活动的，联合体成员其中一名成员存在失信信息的，视同联合体存在失信信息。</w:t>
      </w:r>
      <w:r/>
    </w:p>
    <w:p>
      <w:pPr>
        <w:spacing w:line="360" w:lineRule="auto"/>
        <w:rPr>
          <w:rFonts w:ascii="宋体" w:hAnsi="宋体" w:cs="宋体"/>
          <w:b/>
          <w:color w:val="auto"/>
          <w:sz w:val="21"/>
          <w:szCs w:val="21"/>
          <w:highlight w:val="none"/>
          <w:lang w:val="zh-CN"/>
        </w:rPr>
        <w:outlineLvl w:val="3"/>
      </w:pPr>
      <w:r>
        <w:rPr>
          <w:rFonts w:hint="eastAsia" w:ascii="宋体" w:hAnsi="宋体" w:cs="宋体"/>
          <w:b/>
          <w:color w:val="auto"/>
          <w:sz w:val="21"/>
          <w:szCs w:val="21"/>
          <w:highlight w:val="none"/>
          <w:lang w:val="zh-CN"/>
        </w:rPr>
        <w:t xml:space="preserve">2</w:t>
      </w:r>
      <w:r>
        <w:rPr>
          <w:rFonts w:hint="eastAsia" w:ascii="宋体" w:hAnsi="宋体" w:cs="宋体"/>
          <w:b/>
          <w:color w:val="auto"/>
          <w:sz w:val="21"/>
          <w:szCs w:val="21"/>
          <w:highlight w:val="none"/>
        </w:rPr>
        <w:t xml:space="preserve">2</w:t>
      </w:r>
      <w:r>
        <w:rPr>
          <w:rFonts w:hint="eastAsia" w:ascii="宋体" w:hAnsi="宋体" w:cs="宋体"/>
          <w:b/>
          <w:color w:val="auto"/>
          <w:sz w:val="21"/>
          <w:szCs w:val="21"/>
          <w:highlight w:val="none"/>
          <w:lang w:val="zh-CN"/>
        </w:rPr>
        <w:t xml:space="preserve">、评标委员会</w:t>
      </w:r>
      <w:r/>
    </w:p>
    <w:p>
      <w:pPr>
        <w:ind w:firstLine="359"/>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22</w:t>
      </w:r>
      <w:r>
        <w:rPr>
          <w:rFonts w:hint="eastAsia" w:ascii="宋体" w:hAnsi="宋体" w:cs="宋体"/>
          <w:color w:val="auto"/>
          <w:sz w:val="21"/>
          <w:szCs w:val="21"/>
          <w:highlight w:val="none"/>
          <w:lang w:val="zh-CN"/>
        </w:rPr>
        <w:t xml:space="preserve">.1评标委员会成员依法组建，</w:t>
      </w:r>
      <w:r>
        <w:rPr>
          <w:rFonts w:hint="eastAsia" w:ascii="宋体" w:hAnsi="宋体" w:cs="宋体"/>
          <w:color w:val="auto"/>
          <w:sz w:val="21"/>
          <w:szCs w:val="21"/>
          <w:highlight w:val="none"/>
        </w:rPr>
        <w:t xml:space="preserve">本项目评委人数为5人及以上的单数</w:t>
      </w:r>
      <w:r>
        <w:rPr>
          <w:rFonts w:hint="eastAsia" w:ascii="宋体" w:hAnsi="宋体" w:cs="宋体"/>
          <w:color w:val="auto"/>
          <w:sz w:val="21"/>
          <w:szCs w:val="21"/>
          <w:highlight w:val="none"/>
          <w:lang w:val="zh-CN"/>
        </w:rPr>
        <w:t xml:space="preserve">；</w:t>
      </w:r>
      <w:r/>
    </w:p>
    <w:p>
      <w:pPr>
        <w:ind w:firstLine="359"/>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22.2评标委员会将对符合资格的投标人的投标文件进行符合性审查，以确定其是否满足招标文件的实质性要求。</w:t>
      </w:r>
      <w:r/>
    </w:p>
    <w:p>
      <w:pPr>
        <w:ind w:firstLine="359"/>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w:t>
      </w:r>
      <w:r>
        <w:rPr>
          <w:rFonts w:hint="eastAsia" w:ascii="宋体" w:hAnsi="宋体" w:cs="宋体"/>
          <w:color w:val="auto"/>
          <w:sz w:val="21"/>
          <w:szCs w:val="21"/>
          <w:highlight w:val="none"/>
        </w:rPr>
        <w:t xml:space="preserve">3</w:t>
      </w:r>
      <w:r>
        <w:rPr>
          <w:rFonts w:hint="eastAsia" w:ascii="宋体" w:hAnsi="宋体" w:cs="宋体"/>
          <w:color w:val="auto"/>
          <w:sz w:val="21"/>
          <w:szCs w:val="21"/>
          <w:highlight w:val="none"/>
          <w:lang w:val="zh-CN"/>
        </w:rPr>
        <w:t xml:space="preserve">评标委员会负责具体的评标事务，并独立履行以下职责：</w:t>
      </w:r>
      <w:r/>
    </w:p>
    <w:p>
      <w:pPr>
        <w:ind w:firstLine="359"/>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w:t>
      </w:r>
      <w:r>
        <w:rPr>
          <w:rFonts w:hint="eastAsia" w:ascii="宋体" w:hAnsi="宋体" w:cs="宋体"/>
          <w:color w:val="auto"/>
          <w:sz w:val="21"/>
          <w:szCs w:val="21"/>
          <w:highlight w:val="none"/>
        </w:rPr>
        <w:t xml:space="preserve">.3</w:t>
      </w:r>
      <w:r>
        <w:rPr>
          <w:rFonts w:hint="eastAsia" w:ascii="宋体" w:hAnsi="宋体" w:cs="宋体"/>
          <w:color w:val="auto"/>
          <w:sz w:val="21"/>
          <w:szCs w:val="21"/>
          <w:highlight w:val="none"/>
          <w:lang w:val="zh-CN"/>
        </w:rPr>
        <w:t xml:space="preserve">.1审查、评价投标文件是否符合招标文件的实质性要求；</w:t>
      </w:r>
      <w:r/>
    </w:p>
    <w:p>
      <w:pPr>
        <w:ind w:firstLine="359"/>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w:t>
      </w:r>
      <w:r>
        <w:rPr>
          <w:rFonts w:hint="eastAsia" w:ascii="宋体" w:hAnsi="宋体" w:cs="宋体"/>
          <w:color w:val="auto"/>
          <w:sz w:val="21"/>
          <w:szCs w:val="21"/>
          <w:highlight w:val="none"/>
        </w:rPr>
        <w:t xml:space="preserve">.3</w:t>
      </w:r>
      <w:r>
        <w:rPr>
          <w:rFonts w:hint="eastAsia" w:ascii="宋体" w:hAnsi="宋体" w:cs="宋体"/>
          <w:color w:val="auto"/>
          <w:sz w:val="21"/>
          <w:szCs w:val="21"/>
          <w:highlight w:val="none"/>
          <w:lang w:val="zh-CN"/>
        </w:rPr>
        <w:t xml:space="preserve">.2要求投标人对投标文件有关事项作出澄清或者说明；</w:t>
      </w:r>
      <w:r/>
    </w:p>
    <w:p>
      <w:pPr>
        <w:ind w:firstLine="359"/>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w:t>
      </w:r>
      <w:r>
        <w:rPr>
          <w:rFonts w:hint="eastAsia" w:ascii="宋体" w:hAnsi="宋体" w:cs="宋体"/>
          <w:color w:val="auto"/>
          <w:sz w:val="21"/>
          <w:szCs w:val="21"/>
          <w:highlight w:val="none"/>
        </w:rPr>
        <w:t xml:space="preserve">.3</w:t>
      </w:r>
      <w:r>
        <w:rPr>
          <w:rFonts w:hint="eastAsia" w:ascii="宋体" w:hAnsi="宋体" w:cs="宋体"/>
          <w:color w:val="auto"/>
          <w:sz w:val="21"/>
          <w:szCs w:val="21"/>
          <w:highlight w:val="none"/>
          <w:lang w:val="zh-CN"/>
        </w:rPr>
        <w:t xml:space="preserve">.3对投标文件进行比较和评价；</w:t>
      </w:r>
      <w:r/>
    </w:p>
    <w:p>
      <w:pPr>
        <w:ind w:firstLine="359"/>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w:t>
      </w:r>
      <w:r>
        <w:rPr>
          <w:rFonts w:hint="eastAsia" w:ascii="宋体" w:hAnsi="宋体" w:cs="宋体"/>
          <w:color w:val="auto"/>
          <w:sz w:val="21"/>
          <w:szCs w:val="21"/>
          <w:highlight w:val="none"/>
        </w:rPr>
        <w:t xml:space="preserve">.3</w:t>
      </w:r>
      <w:r>
        <w:rPr>
          <w:rFonts w:hint="eastAsia" w:ascii="宋体" w:hAnsi="宋体" w:cs="宋体"/>
          <w:color w:val="auto"/>
          <w:sz w:val="21"/>
          <w:szCs w:val="21"/>
          <w:highlight w:val="none"/>
          <w:lang w:val="zh-CN"/>
        </w:rPr>
        <w:t xml:space="preserve">.4按照评标办法和标准</w:t>
      </w:r>
      <w:r>
        <w:rPr>
          <w:rFonts w:hint="eastAsia" w:ascii="宋体" w:hAnsi="宋体" w:cs="宋体"/>
          <w:color w:val="auto"/>
          <w:sz w:val="21"/>
          <w:szCs w:val="21"/>
          <w:highlight w:val="none"/>
        </w:rPr>
        <w:t xml:space="preserve">推荐不低于3家中标候选人，并根据采购人的委托及评审结果</w:t>
      </w:r>
      <w:r>
        <w:rPr>
          <w:rFonts w:hint="eastAsia" w:ascii="宋体" w:hAnsi="宋体" w:cs="宋体"/>
          <w:b/>
          <w:bCs/>
          <w:color w:val="auto"/>
          <w:sz w:val="21"/>
          <w:szCs w:val="21"/>
          <w:highlight w:val="none"/>
        </w:rPr>
        <w:t xml:space="preserve">直接确定中标人</w:t>
      </w:r>
      <w:r>
        <w:rPr>
          <w:rFonts w:hint="eastAsia" w:ascii="宋体" w:hAnsi="宋体" w:cs="宋体"/>
          <w:color w:val="auto"/>
          <w:sz w:val="21"/>
          <w:szCs w:val="21"/>
          <w:highlight w:val="none"/>
          <w:lang w:val="zh-CN"/>
        </w:rPr>
        <w:t xml:space="preserve">；</w:t>
      </w:r>
      <w:r/>
    </w:p>
    <w:p>
      <w:pPr>
        <w:ind w:firstLine="359"/>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w:t>
      </w:r>
      <w:r>
        <w:rPr>
          <w:rFonts w:hint="eastAsia" w:ascii="宋体" w:hAnsi="宋体" w:cs="宋体"/>
          <w:color w:val="auto"/>
          <w:sz w:val="21"/>
          <w:szCs w:val="21"/>
          <w:highlight w:val="none"/>
        </w:rPr>
        <w:t xml:space="preserve">.3</w:t>
      </w:r>
      <w:r>
        <w:rPr>
          <w:rFonts w:hint="eastAsia" w:ascii="宋体" w:hAnsi="宋体" w:cs="宋体"/>
          <w:color w:val="auto"/>
          <w:sz w:val="21"/>
          <w:szCs w:val="21"/>
          <w:highlight w:val="none"/>
          <w:lang w:val="zh-CN"/>
        </w:rPr>
        <w:t xml:space="preserve">.5向采购人、采购代理机构或者有关部门报告评标中发现的违法行为；</w:t>
      </w:r>
      <w:r/>
    </w:p>
    <w:p>
      <w:pPr>
        <w:ind w:firstLine="359"/>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w:t>
      </w:r>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lang w:val="zh-CN"/>
        </w:rPr>
        <w:t xml:space="preserve">评标委员会成员应当履行下列义务：</w:t>
      </w:r>
      <w:r/>
    </w:p>
    <w:p>
      <w:pPr>
        <w:ind w:firstLine="359"/>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w:t>
      </w:r>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lang w:val="zh-CN"/>
        </w:rPr>
        <w:t xml:space="preserve">.1遵纪守法，客观、公正、廉洁地履行职责；</w:t>
      </w:r>
      <w:r/>
    </w:p>
    <w:p>
      <w:pPr>
        <w:ind w:firstLine="359"/>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w:t>
      </w:r>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lang w:val="zh-CN"/>
        </w:rPr>
        <w:t xml:space="preserve">.2按照招标文件规定的评标办法和评标标准进行评标，对评审意见承担个人责任；</w:t>
      </w:r>
      <w:r/>
    </w:p>
    <w:p>
      <w:pPr>
        <w:ind w:firstLine="359"/>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w:t>
      </w:r>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lang w:val="zh-CN"/>
        </w:rPr>
        <w:t xml:space="preserve">.3对评标过程和结果，以及投标人的商业秘密保密；</w:t>
      </w:r>
      <w:r/>
    </w:p>
    <w:p>
      <w:pPr>
        <w:ind w:firstLine="359"/>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w:t>
      </w:r>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lang w:val="zh-CN"/>
        </w:rPr>
        <w:t xml:space="preserve">.4参与评标报告的起草；</w:t>
      </w:r>
      <w:r/>
    </w:p>
    <w:p>
      <w:pPr>
        <w:ind w:firstLine="359"/>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w:t>
      </w:r>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lang w:val="zh-CN"/>
        </w:rPr>
        <w:t xml:space="preserve">.5配合招标采购人答复投标人提出的质疑；</w:t>
      </w:r>
      <w:r/>
    </w:p>
    <w:p>
      <w:pPr>
        <w:ind w:firstLine="359"/>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22.</w:t>
      </w:r>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lang w:val="zh-CN"/>
        </w:rPr>
        <w:t xml:space="preserve">.6配合有关部门的投诉处理工作。</w:t>
      </w:r>
      <w:r/>
    </w:p>
    <w:p>
      <w:pPr>
        <w:spacing w:line="360" w:lineRule="auto"/>
        <w:rPr>
          <w:rFonts w:ascii="宋体" w:hAnsi="宋体" w:cs="宋体"/>
          <w:b/>
          <w:color w:val="auto"/>
          <w:sz w:val="21"/>
          <w:szCs w:val="21"/>
          <w:highlight w:val="none"/>
          <w:lang w:val="zh-CN"/>
        </w:rPr>
        <w:outlineLvl w:val="3"/>
      </w:pPr>
      <w:r>
        <w:rPr>
          <w:rFonts w:hint="eastAsia" w:ascii="宋体" w:hAnsi="宋体" w:cs="宋体"/>
          <w:b/>
          <w:color w:val="auto"/>
          <w:sz w:val="21"/>
          <w:szCs w:val="21"/>
          <w:highlight w:val="none"/>
          <w:lang w:val="zh-CN"/>
        </w:rPr>
        <w:t xml:space="preserve">2</w:t>
      </w:r>
      <w:r>
        <w:rPr>
          <w:rFonts w:hint="eastAsia" w:ascii="宋体" w:hAnsi="宋体" w:cs="宋体"/>
          <w:b/>
          <w:color w:val="auto"/>
          <w:sz w:val="21"/>
          <w:szCs w:val="21"/>
          <w:highlight w:val="none"/>
        </w:rPr>
        <w:t xml:space="preserve">3</w:t>
      </w:r>
      <w:r>
        <w:rPr>
          <w:rFonts w:hint="eastAsia" w:ascii="宋体" w:hAnsi="宋体" w:cs="宋体"/>
          <w:b/>
          <w:color w:val="auto"/>
          <w:sz w:val="21"/>
          <w:szCs w:val="21"/>
          <w:highlight w:val="none"/>
          <w:lang w:val="zh-CN"/>
        </w:rPr>
        <w:t xml:space="preserve">、评标内容的保密</w:t>
      </w:r>
      <w:r/>
    </w:p>
    <w:p>
      <w:pPr>
        <w:ind w:firstLine="50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w:t>
      </w:r>
      <w:r>
        <w:rPr>
          <w:rFonts w:hint="eastAsia" w:ascii="宋体" w:hAnsi="宋体" w:cs="宋体"/>
          <w:color w:val="auto"/>
          <w:sz w:val="21"/>
          <w:szCs w:val="21"/>
          <w:highlight w:val="none"/>
        </w:rPr>
        <w:t xml:space="preserve">3</w:t>
      </w:r>
      <w:r>
        <w:rPr>
          <w:rFonts w:hint="eastAsia" w:ascii="宋体" w:hAnsi="宋体" w:cs="宋体"/>
          <w:color w:val="auto"/>
          <w:sz w:val="21"/>
          <w:szCs w:val="21"/>
          <w:highlight w:val="none"/>
          <w:lang w:val="zh-CN"/>
        </w:rPr>
        <w:t xml:space="preserve">.1开标后，直到宣布授予中标人合同为止，凡属于审查、澄清、评价和比较投标的所有资料，有关授予合同的信息都不应向投标人或与评标无关的其他人泄露。</w:t>
      </w:r>
      <w:r/>
    </w:p>
    <w:p>
      <w:pPr>
        <w:ind w:firstLine="502"/>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2</w:t>
      </w:r>
      <w:r>
        <w:rPr>
          <w:rFonts w:hint="eastAsia" w:ascii="宋体" w:hAnsi="宋体" w:cs="宋体"/>
          <w:color w:val="auto"/>
          <w:sz w:val="21"/>
          <w:szCs w:val="21"/>
          <w:highlight w:val="none"/>
        </w:rPr>
        <w:t xml:space="preserve">3</w:t>
      </w:r>
      <w:r>
        <w:rPr>
          <w:rFonts w:hint="eastAsia" w:ascii="宋体" w:hAnsi="宋体" w:cs="宋体"/>
          <w:color w:val="auto"/>
          <w:sz w:val="21"/>
          <w:szCs w:val="21"/>
          <w:highlight w:val="none"/>
          <w:lang w:val="zh-CN"/>
        </w:rPr>
        <w:t xml:space="preserve">.2在投标文件的审查、澄清、评价和比较以及授予合同的过程中，投标人对采购代理机构和评标委员会成员施加影响的任何行为，都将取消其中标资格。</w:t>
      </w:r>
      <w:r/>
    </w:p>
    <w:p>
      <w:pPr>
        <w:spacing w:line="360" w:lineRule="auto"/>
        <w:rPr>
          <w:rFonts w:ascii="宋体" w:hAnsi="宋体" w:cs="宋体"/>
          <w:b/>
          <w:color w:val="auto"/>
          <w:sz w:val="21"/>
          <w:szCs w:val="21"/>
          <w:highlight w:val="none"/>
          <w:lang w:val="zh-CN"/>
        </w:rPr>
        <w:outlineLvl w:val="3"/>
      </w:pPr>
      <w:r>
        <w:rPr>
          <w:rFonts w:hint="eastAsia" w:ascii="宋体" w:hAnsi="宋体" w:cs="宋体"/>
          <w:b/>
          <w:color w:val="auto"/>
          <w:sz w:val="21"/>
          <w:szCs w:val="21"/>
          <w:highlight w:val="none"/>
          <w:lang w:val="zh-CN"/>
        </w:rPr>
        <w:t xml:space="preserve">2</w:t>
      </w:r>
      <w:r>
        <w:rPr>
          <w:rFonts w:hint="eastAsia" w:ascii="宋体" w:hAnsi="宋体" w:cs="宋体"/>
          <w:b/>
          <w:color w:val="auto"/>
          <w:sz w:val="21"/>
          <w:szCs w:val="21"/>
          <w:highlight w:val="none"/>
        </w:rPr>
        <w:t xml:space="preserve">4</w:t>
      </w:r>
      <w:r>
        <w:rPr>
          <w:rFonts w:hint="eastAsia" w:ascii="宋体" w:hAnsi="宋体" w:cs="宋体"/>
          <w:b/>
          <w:color w:val="auto"/>
          <w:sz w:val="21"/>
          <w:szCs w:val="21"/>
          <w:highlight w:val="none"/>
          <w:lang w:val="zh-CN"/>
        </w:rPr>
        <w:t xml:space="preserve">、对投标文件初审</w:t>
      </w:r>
      <w:r/>
    </w:p>
    <w:p>
      <w:pPr>
        <w:ind w:firstLine="439"/>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w:t>
      </w:r>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lang w:val="zh-CN"/>
        </w:rPr>
        <w:t xml:space="preserve">.1初审内容：投标文件是否实质性响应招标文件的要求、内容是否完整、价格构成是否有计算错误等。</w:t>
      </w:r>
      <w:r>
        <w:rPr>
          <w:rFonts w:hint="eastAsia" w:ascii="宋体" w:hAnsi="宋体" w:cs="宋体"/>
          <w:b/>
          <w:bCs/>
          <w:color w:val="auto"/>
          <w:sz w:val="21"/>
          <w:szCs w:val="21"/>
          <w:highlight w:val="none"/>
          <w:lang w:val="zh-CN"/>
        </w:rPr>
        <w:t xml:space="preserve">未满足本项目实质性要求的认定为无效投标。</w:t>
      </w:r>
      <w:r/>
    </w:p>
    <w:p>
      <w:pPr>
        <w:ind w:firstLine="420"/>
        <w:spacing w:line="360" w:lineRule="auto"/>
        <w:rPr>
          <w:rFonts w:ascii="宋体" w:hAnsi="宋体" w:cs="宋体"/>
          <w:b/>
          <w:color w:val="auto"/>
          <w:sz w:val="21"/>
          <w:szCs w:val="21"/>
          <w:highlight w:val="none"/>
          <w:lang w:val="zh-CN"/>
        </w:rPr>
      </w:pPr>
      <w:r>
        <w:rPr>
          <w:rFonts w:hint="eastAsia" w:ascii="宋体" w:hAnsi="宋体" w:cs="宋体"/>
          <w:color w:val="auto"/>
          <w:sz w:val="21"/>
          <w:szCs w:val="21"/>
          <w:highlight w:val="none"/>
          <w:lang w:val="zh-CN"/>
        </w:rPr>
        <w:t xml:space="preserve">2</w:t>
      </w:r>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zh-CN"/>
        </w:rPr>
        <w:t xml:space="preserve">实质性响应的投标应该与招标文件要求的标的、数量、质量、价款或者报酬、履行期限、履行地点和方式、违约责任和解决争议方法等条款相符。不得限制</w:t>
      </w:r>
      <w:r>
        <w:rPr>
          <w:rFonts w:hint="eastAsia" w:ascii="宋体" w:hAnsi="宋体" w:cs="宋体"/>
          <w:color w:val="auto"/>
          <w:sz w:val="21"/>
          <w:szCs w:val="21"/>
          <w:highlight w:val="none"/>
        </w:rPr>
        <w:t xml:space="preserve">采购人</w:t>
      </w:r>
      <w:r>
        <w:rPr>
          <w:rFonts w:hint="eastAsia" w:ascii="宋体" w:hAnsi="宋体" w:cs="宋体"/>
          <w:color w:val="auto"/>
          <w:sz w:val="21"/>
          <w:szCs w:val="21"/>
          <w:highlight w:val="none"/>
          <w:lang w:val="zh-CN"/>
        </w:rPr>
        <w:t xml:space="preserve">的权利或投标人的义务，也不得对其他实质性响应的投标人的竞争地位产生不公正影响。</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w:t>
      </w:r>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3</w:t>
      </w:r>
      <w:r>
        <w:rPr>
          <w:rFonts w:hint="eastAsia" w:ascii="宋体" w:hAnsi="宋体" w:cs="宋体"/>
          <w:color w:val="auto"/>
          <w:sz w:val="21"/>
          <w:szCs w:val="21"/>
          <w:highlight w:val="none"/>
          <w:lang w:val="zh-CN"/>
        </w:rPr>
        <w:t xml:space="preserve">对于投标文件中含义不明确、同类问题表述不一致或者有明显文字和计算错误的内容，评标委员会应当以书面形式要求投标人作出必要的澄清、说明或者补正。投标人的澄清、说明或者补正不得超出投标文件的范围或者改变投标文件的实质性内容。</w:t>
      </w:r>
      <w:r/>
    </w:p>
    <w:p>
      <w:pPr>
        <w:pStyle w:val="836"/>
        <w:ind w:left="0" w:firstLine="420"/>
        <w:spacing w:line="360" w:lineRule="auto"/>
        <w:rPr>
          <w:rFonts w:ascii="宋体" w:hAnsi="宋体" w:eastAsia="宋体" w:cs="宋体"/>
          <w:color w:val="auto"/>
          <w:highlight w:val="none"/>
        </w:rPr>
      </w:pPr>
      <w:r>
        <w:rPr>
          <w:rFonts w:hint="eastAsia" w:ascii="宋体" w:hAnsi="宋体" w:eastAsia="宋体" w:cs="宋体"/>
          <w:color w:val="auto"/>
          <w:sz w:val="21"/>
          <w:szCs w:val="21"/>
          <w:highlight w:val="none"/>
        </w:rPr>
        <w:t xml:space="preserve">24.4本项目采用线上澄清：线上澄清答复的方式：需要供应商进行澄清、说明和更正的，评标委员会将通过“苏采云”系统向供应商发布“澄清要求函”，接到“澄清要求函”的供应商应当按照要求在规定时间内在“苏采云”系统中提交“澄清响应函”并加盖CA电子公章。澄清、说明和更正的内容作为投标文件的补充部分，具体操作方式见《操作手册》。</w:t>
      </w:r>
      <w:r>
        <w:rPr>
          <w:rFonts w:hint="eastAsia" w:ascii="宋体" w:hAnsi="宋体" w:eastAsia="宋体" w:cs="宋体"/>
          <w:b/>
          <w:bCs/>
          <w:color w:val="auto"/>
          <w:sz w:val="21"/>
          <w:szCs w:val="21"/>
          <w:highlight w:val="none"/>
        </w:rPr>
        <w:t xml:space="preserve">未加盖CA电子公章的澄清无效。（此处规定时间的计算以系统中的倒计时间为准，供应商应随时保持系统在线，如因供应商自身原因未在规定时间内提交澄清确认资料的，导致的不利后果由供应商自行承担。）</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w:t>
      </w:r>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lang w:val="zh-CN"/>
        </w:rPr>
        <w:t xml:space="preserve">投标文件报价出现前后不一致的，除招标文件另有规定外，按照下列规定修正：</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24.4.1</w:t>
      </w:r>
      <w:r>
        <w:rPr>
          <w:rFonts w:hint="eastAsia" w:ascii="宋体" w:hAnsi="宋体" w:cs="宋体"/>
          <w:color w:val="auto"/>
          <w:sz w:val="21"/>
          <w:szCs w:val="21"/>
          <w:highlight w:val="none"/>
          <w:lang w:val="zh-CN"/>
        </w:rPr>
        <w:t xml:space="preserve">投标文件中开标一览表（报价表）内容与投标文件中相应内容不一致的，以开标一览表（报价表）为准；</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24.4.2</w:t>
      </w:r>
      <w:r>
        <w:rPr>
          <w:rFonts w:hint="eastAsia" w:ascii="宋体" w:hAnsi="宋体" w:cs="宋体"/>
          <w:color w:val="auto"/>
          <w:sz w:val="21"/>
          <w:szCs w:val="21"/>
          <w:highlight w:val="none"/>
          <w:lang w:val="zh-CN"/>
        </w:rPr>
        <w:t xml:space="preserve">大写金额和小写金额不一致的，以大写金额为准；</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24.4.3</w:t>
      </w:r>
      <w:r>
        <w:rPr>
          <w:rFonts w:hint="eastAsia" w:ascii="宋体" w:hAnsi="宋体" w:cs="宋体"/>
          <w:color w:val="auto"/>
          <w:sz w:val="21"/>
          <w:szCs w:val="21"/>
          <w:highlight w:val="none"/>
          <w:lang w:val="zh-CN"/>
        </w:rPr>
        <w:t xml:space="preserve">单价金额小数点或者百分比有明显错位的，以开标一览表的总价为准，并修改单价；</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24.4.4</w:t>
      </w:r>
      <w:r>
        <w:rPr>
          <w:rFonts w:hint="eastAsia" w:ascii="宋体" w:hAnsi="宋体" w:cs="宋体"/>
          <w:color w:val="auto"/>
          <w:sz w:val="21"/>
          <w:szCs w:val="21"/>
          <w:highlight w:val="none"/>
          <w:lang w:val="zh-CN"/>
        </w:rPr>
        <w:t xml:space="preserve">总价金额与按单价汇总金额不一致的，以单价金额计算结果为准。</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同时出现两种以上不一致的，按照前款规定的顺序修正。修正后的报价按照</w:t>
      </w:r>
      <w:r>
        <w:rPr>
          <w:rFonts w:hint="eastAsia" w:ascii="宋体" w:hAnsi="宋体" w:cs="宋体"/>
          <w:color w:val="auto"/>
          <w:sz w:val="21"/>
          <w:szCs w:val="21"/>
          <w:highlight w:val="none"/>
        </w:rPr>
        <w:t xml:space="preserve">中华人民共和国财政部令第87号《政府采购货物和服务招标投标管理办法》第五十一条第二款的</w:t>
      </w:r>
      <w:r>
        <w:rPr>
          <w:rFonts w:hint="eastAsia" w:ascii="宋体" w:hAnsi="宋体" w:cs="宋体"/>
          <w:color w:val="auto"/>
          <w:sz w:val="21"/>
          <w:szCs w:val="21"/>
          <w:highlight w:val="none"/>
          <w:lang w:val="zh-CN"/>
        </w:rPr>
        <w:t xml:space="preserve">规定经投标人确认后产生约束力，投标人不确认的，其投标无效。</w:t>
      </w:r>
      <w:r/>
    </w:p>
    <w:p>
      <w:pPr>
        <w:pStyle w:val="1014"/>
        <w:ind w:firstLine="422"/>
        <w:jc w:val="both"/>
        <w:spacing w:line="360" w:lineRule="auto"/>
        <w:rPr>
          <w:rFonts w:ascii="宋体" w:hAnsi="宋体" w:cs="宋体"/>
          <w:b/>
          <w:color w:val="auto"/>
          <w:szCs w:val="21"/>
          <w:highlight w:val="none"/>
        </w:rPr>
      </w:pPr>
      <w:r>
        <w:rPr>
          <w:rFonts w:hint="eastAsia" w:ascii="宋体" w:hAnsi="宋体" w:cs="宋体"/>
          <w:b/>
          <w:bCs/>
          <w:color w:val="auto"/>
          <w:szCs w:val="21"/>
          <w:highlight w:val="none"/>
        </w:rPr>
        <w:t xml:space="preserve">24.4.5</w:t>
      </w:r>
      <w:r>
        <w:rPr>
          <w:rFonts w:hint="eastAsia" w:ascii="宋体" w:hAnsi="宋体" w:cs="宋体"/>
          <w:b/>
          <w:color w:val="auto"/>
          <w:szCs w:val="21"/>
          <w:highlight w:val="none"/>
        </w:rPr>
        <w:t xml:space="preserve">异常低价投标审查</w:t>
      </w:r>
      <w:r/>
    </w:p>
    <w:p>
      <w:pPr>
        <w:ind w:firstLine="422"/>
        <w:jc w:val="both"/>
        <w:spacing w:line="360" w:lineRule="auto"/>
        <w:rPr>
          <w:rFonts w:ascii="宋体" w:hAnsi="宋体" w:cs="宋体"/>
          <w:bCs/>
          <w:color w:val="auto"/>
          <w:sz w:val="21"/>
          <w:szCs w:val="21"/>
          <w:highlight w:val="none"/>
        </w:rPr>
      </w:pPr>
      <w:r>
        <w:rPr>
          <w:rFonts w:hint="eastAsia" w:ascii="宋体" w:hAnsi="宋体" w:cs="宋体"/>
          <w:color w:val="auto"/>
          <w:sz w:val="21"/>
          <w:szCs w:val="21"/>
          <w:highlight w:val="none"/>
          <w:lang w:val="zh-CN"/>
        </w:rPr>
        <w:t xml:space="preserve">24.4.5</w:t>
      </w:r>
      <w:r>
        <w:rPr>
          <w:rFonts w:ascii="宋体" w:hAnsi="宋体" w:cs="宋体"/>
          <w:bCs/>
          <w:color w:val="auto"/>
          <w:sz w:val="21"/>
          <w:szCs w:val="21"/>
          <w:highlight w:val="none"/>
        </w:rPr>
        <w:t xml:space="preserve">.1</w:t>
      </w:r>
      <w:r>
        <w:rPr>
          <w:rFonts w:hint="eastAsia" w:ascii="宋体" w:hAnsi="宋体" w:cs="宋体"/>
          <w:bCs/>
          <w:color w:val="auto"/>
          <w:sz w:val="21"/>
          <w:szCs w:val="21"/>
          <w:highlight w:val="none"/>
        </w:rPr>
        <w:t xml:space="preserve">评标过程中出现下列情形之一的，</w:t>
      </w:r>
      <w:bookmarkStart w:id="14" w:name="OLE_LINK6"/>
      <w:r/>
      <w:bookmarkStart w:id="15" w:name="OLE_LINK5"/>
      <w:r>
        <w:rPr>
          <w:rFonts w:hint="eastAsia" w:ascii="宋体" w:hAnsi="宋体" w:cs="宋体"/>
          <w:bCs/>
          <w:color w:val="auto"/>
          <w:sz w:val="21"/>
          <w:szCs w:val="21"/>
          <w:highlight w:val="none"/>
        </w:rPr>
        <w:t xml:space="preserve">评标</w:t>
      </w:r>
      <w:bookmarkEnd w:id="14"/>
      <w:r/>
      <w:bookmarkEnd w:id="15"/>
      <w:r>
        <w:rPr>
          <w:rFonts w:hint="eastAsia" w:ascii="宋体" w:hAnsi="宋体" w:cs="宋体"/>
          <w:bCs/>
          <w:color w:val="auto"/>
          <w:sz w:val="21"/>
          <w:szCs w:val="21"/>
          <w:highlight w:val="none"/>
        </w:rPr>
        <w:t xml:space="preserve">委员会应当启动异常低价投标审查程序：</w:t>
      </w:r>
      <w:r/>
    </w:p>
    <w:p>
      <w:pPr>
        <w:ind w:firstLine="422"/>
        <w:jc w:val="both"/>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①投标报价低于全部通过符合性审查供应商投标报价平均值50%的，即投标报价&lt;全部通过符合性审查供应商投标报价平均值×50%；</w:t>
      </w:r>
      <w:r/>
    </w:p>
    <w:p>
      <w:pPr>
        <w:ind w:firstLine="422"/>
        <w:jc w:val="both"/>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②投标报价低于通过符合性审查的次低报价供应商投标报价50%的，即投标报价&lt;通过符合性审查的次低报价供应商投标报价×50%；</w:t>
      </w:r>
      <w:r/>
    </w:p>
    <w:p>
      <w:pPr>
        <w:ind w:firstLine="422"/>
        <w:jc w:val="both"/>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③投标报价低于采购项目最高限价45%的，即投标报价&lt;采购项目最高限价×45%；</w:t>
      </w:r>
      <w:r/>
    </w:p>
    <w:p>
      <w:pPr>
        <w:ind w:firstLine="422"/>
        <w:jc w:val="both"/>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④评标委员会基于专业判断，认为供应商报价过低，有可能影响产品质量或者不能诚信履约的其他情形。</w:t>
      </w:r>
      <w:r/>
    </w:p>
    <w:p>
      <w:pPr>
        <w:ind w:firstLine="422"/>
        <w:jc w:val="both"/>
        <w:spacing w:line="360" w:lineRule="auto"/>
        <w:rPr>
          <w:bCs/>
          <w:color w:val="auto"/>
          <w:highlight w:val="none"/>
          <w:shd w:val="clear" w:color="auto" w:fill="ffffff"/>
          <w:lang w:val="zh-CN"/>
        </w:rPr>
      </w:pPr>
      <w:r/>
      <w:bookmarkStart w:id="16" w:name="OLE_LINK4"/>
      <w:r>
        <w:rPr>
          <w:rFonts w:hint="eastAsia" w:ascii="宋体" w:hAnsi="宋体" w:cs="宋体"/>
          <w:color w:val="auto"/>
          <w:sz w:val="21"/>
          <w:szCs w:val="21"/>
          <w:highlight w:val="none"/>
          <w:lang w:val="zh-CN"/>
        </w:rPr>
        <w:t xml:space="preserve">24.4.5</w:t>
      </w:r>
      <w:r>
        <w:rPr>
          <w:rFonts w:ascii="宋体" w:hAnsi="宋体"/>
          <w:bCs/>
          <w:color w:val="auto"/>
          <w:sz w:val="21"/>
          <w:szCs w:val="21"/>
          <w:highlight w:val="none"/>
          <w:lang w:val="zh-CN"/>
        </w:rPr>
        <w:t xml:space="preserve">.2</w:t>
      </w:r>
      <w:r>
        <w:rPr>
          <w:rFonts w:hint="eastAsia" w:ascii="宋体" w:hAnsi="宋体"/>
          <w:bCs/>
          <w:color w:val="auto"/>
          <w:sz w:val="21"/>
          <w:szCs w:val="21"/>
          <w:highlight w:val="none"/>
          <w:lang w:val="zh-CN"/>
        </w:rPr>
        <w:t xml:space="preserve">启动异常低价投标审查后，</w:t>
      </w:r>
      <w:bookmarkStart w:id="17" w:name="OLE_LINK1"/>
      <w:r/>
      <w:bookmarkStart w:id="18" w:name="OLE_LINK2"/>
      <w:r>
        <w:rPr>
          <w:rFonts w:hint="eastAsia" w:ascii="宋体" w:hAnsi="宋体"/>
          <w:bCs/>
          <w:color w:val="auto"/>
          <w:sz w:val="21"/>
          <w:szCs w:val="21"/>
          <w:highlight w:val="none"/>
          <w:lang w:val="zh-CN"/>
        </w:rPr>
        <w:t xml:space="preserve">评标委员会</w:t>
      </w:r>
      <w:bookmarkEnd w:id="17"/>
      <w:r/>
      <w:bookmarkEnd w:id="18"/>
      <w:r>
        <w:rPr>
          <w:rFonts w:hint="eastAsia" w:ascii="宋体" w:hAnsi="宋体"/>
          <w:bCs/>
          <w:color w:val="auto"/>
          <w:sz w:val="21"/>
          <w:szCs w:val="21"/>
          <w:highlight w:val="none"/>
          <w:lang w:val="zh-CN"/>
        </w:rPr>
        <w:t xml:space="preserve">应当要求相关供应商在评标现场合理的时间内对投标价格作出解释，提供项目具体成本测算等与报价合理性相关的书面说明及相关证明材料</w:t>
      </w:r>
      <w:bookmarkStart w:id="19" w:name="OLE_LINK10"/>
      <w:r/>
      <w:bookmarkStart w:id="20" w:name="OLE_LINK9"/>
      <w:r>
        <w:rPr>
          <w:rFonts w:hint="eastAsia" w:ascii="宋体" w:hAnsi="宋体"/>
          <w:bCs/>
          <w:color w:val="auto"/>
          <w:sz w:val="21"/>
          <w:szCs w:val="21"/>
          <w:highlight w:val="none"/>
          <w:lang w:val="zh-CN"/>
        </w:rPr>
        <w:t xml:space="preserve">，</w:t>
      </w:r>
      <w:bookmarkEnd w:id="19"/>
      <w:r/>
      <w:bookmarkEnd w:id="20"/>
      <w:r>
        <w:rPr>
          <w:rFonts w:hint="eastAsia" w:ascii="宋体" w:hAnsi="宋体"/>
          <w:bCs/>
          <w:color w:val="auto"/>
          <w:sz w:val="21"/>
          <w:szCs w:val="21"/>
          <w:highlight w:val="none"/>
          <w:lang w:val="zh-CN"/>
        </w:rPr>
        <w:t xml:space="preserve">包括但不限于原材料成本、人工成本、制造费用等，给予相关供应商的合理时间一般不少于30分钟。其中，属于</w:t>
      </w:r>
      <w:r>
        <w:rPr>
          <w:rFonts w:hint="eastAsia" w:ascii="宋体" w:hAnsi="宋体" w:cs="宋体"/>
          <w:color w:val="auto"/>
          <w:sz w:val="21"/>
          <w:szCs w:val="21"/>
          <w:highlight w:val="none"/>
          <w:lang w:val="zh-CN"/>
        </w:rPr>
        <w:t xml:space="preserve">24.4.5</w:t>
      </w:r>
      <w:r>
        <w:rPr>
          <w:rFonts w:ascii="宋体" w:hAnsi="宋体" w:cs="宋体"/>
          <w:bCs/>
          <w:color w:val="auto"/>
          <w:sz w:val="21"/>
          <w:szCs w:val="21"/>
          <w:highlight w:val="none"/>
        </w:rPr>
        <w:t xml:space="preserve">.1</w:t>
      </w:r>
      <w:r>
        <w:rPr>
          <w:rFonts w:hint="eastAsia" w:ascii="宋体" w:hAnsi="宋体"/>
          <w:bCs/>
          <w:color w:val="auto"/>
          <w:sz w:val="21"/>
          <w:szCs w:val="21"/>
          <w:highlight w:val="none"/>
          <w:lang w:val="zh-CN"/>
        </w:rPr>
        <w:t xml:space="preserve">第</w:t>
      </w:r>
      <w:r>
        <w:rPr>
          <w:rFonts w:hint="eastAsia" w:ascii="宋体" w:hAnsi="宋体" w:cs="宋体"/>
          <w:bCs/>
          <w:color w:val="auto"/>
          <w:sz w:val="21"/>
          <w:szCs w:val="21"/>
          <w:highlight w:val="none"/>
        </w:rPr>
        <w:t xml:space="preserve">③</w:t>
      </w:r>
      <w:r>
        <w:rPr>
          <w:rFonts w:hint="eastAsia" w:ascii="宋体" w:hAnsi="宋体"/>
          <w:bCs/>
          <w:color w:val="auto"/>
          <w:sz w:val="21"/>
          <w:szCs w:val="21"/>
          <w:highlight w:val="none"/>
          <w:lang w:val="zh-CN"/>
        </w:rPr>
        <w:t xml:space="preserve">项情形，供应商已随投标文件一并提交相关书面说明及必要的证明材料的，在评审现场可不再重复提交。</w:t>
      </w:r>
      <w:r/>
    </w:p>
    <w:p>
      <w:pPr>
        <w:ind w:firstLine="422"/>
        <w:jc w:val="both"/>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22"/>
        <w:jc w:val="both"/>
        <w:spacing w:line="360" w:lineRule="auto"/>
        <w:rPr>
          <w:rFonts w:ascii="宋体" w:hAnsi="宋体" w:cs="宋体"/>
          <w:bCs/>
          <w:color w:val="auto"/>
          <w:sz w:val="21"/>
          <w:szCs w:val="21"/>
          <w:highlight w:val="none"/>
        </w:rPr>
      </w:pPr>
      <w:r>
        <w:rPr>
          <w:rFonts w:hint="eastAsia" w:ascii="宋体" w:hAnsi="宋体"/>
          <w:bCs/>
          <w:color w:val="auto"/>
          <w:sz w:val="21"/>
          <w:szCs w:val="21"/>
          <w:highlight w:val="none"/>
          <w:lang w:val="zh-CN"/>
        </w:rPr>
        <w:t xml:space="preserve">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ind w:firstLine="422"/>
        <w:jc w:val="both"/>
        <w:spacing w:line="360" w:lineRule="auto"/>
        <w:rPr>
          <w:rFonts w:ascii="宋体" w:hAnsi="宋体" w:cs="宋体"/>
          <w:bCs/>
          <w:color w:val="auto"/>
          <w:sz w:val="21"/>
          <w:szCs w:val="21"/>
          <w:highlight w:val="none"/>
        </w:rPr>
      </w:pPr>
      <w:r>
        <w:rPr>
          <w:rFonts w:hint="eastAsia" w:ascii="宋体" w:hAnsi="宋体"/>
          <w:bCs/>
          <w:color w:val="auto"/>
          <w:sz w:val="21"/>
          <w:szCs w:val="21"/>
          <w:highlight w:val="none"/>
          <w:lang w:val="zh-CN"/>
        </w:rPr>
        <w:t xml:space="preserve">异常低价投标（响应）审查的启动原因、审查意见和审查结果应当在评审报告中记录，并随供应商提供的相关书面说明及证明材料，以及评标委员会有关互联网浏览、查询历史一并归档。</w:t>
      </w:r>
      <w:bookmarkEnd w:id="16"/>
      <w:r/>
      <w:r/>
    </w:p>
    <w:p>
      <w:pPr>
        <w:ind w:firstLine="439"/>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w:t>
      </w:r>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5</w:t>
      </w:r>
      <w:r>
        <w:rPr>
          <w:rFonts w:hint="eastAsia" w:ascii="宋体" w:hAnsi="宋体" w:cs="宋体"/>
          <w:color w:val="auto"/>
          <w:sz w:val="21"/>
          <w:szCs w:val="21"/>
          <w:highlight w:val="none"/>
          <w:lang w:val="zh-CN"/>
        </w:rPr>
        <w:t xml:space="preserve">除上述情形外，对投标文件的判定，只依据投标文件本身，不依靠开标后的任何外来证明。</w:t>
      </w:r>
      <w:r/>
    </w:p>
    <w:p>
      <w:pPr>
        <w:ind w:firstLine="420"/>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w:t>
      </w:r>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6</w:t>
      </w:r>
      <w:r>
        <w:rPr>
          <w:rFonts w:hint="eastAsia" w:ascii="宋体" w:hAnsi="宋体" w:cs="宋体"/>
          <w:color w:val="auto"/>
          <w:sz w:val="21"/>
          <w:szCs w:val="21"/>
          <w:highlight w:val="none"/>
          <w:lang w:val="zh-CN"/>
        </w:rPr>
        <w:t xml:space="preserve">采购代理机构将拒绝被确定为非实质性响应的投标，投标人不能通过修正或撤销不符之处而使其投标成为实质性响应的投标。</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w:t>
      </w:r>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7</w:t>
      </w:r>
      <w:r>
        <w:rPr>
          <w:rFonts w:hint="eastAsia" w:ascii="宋体" w:hAnsi="宋体" w:cs="宋体"/>
          <w:color w:val="auto"/>
          <w:sz w:val="21"/>
          <w:szCs w:val="21"/>
          <w:highlight w:val="none"/>
          <w:lang w:val="zh-CN"/>
        </w:rPr>
        <w:t xml:space="preserve">对不同文字文本投标文件的解释发生异议的，以中文文本为准。</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w:t>
      </w:r>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8</w:t>
      </w:r>
      <w:r>
        <w:rPr>
          <w:rFonts w:hint="eastAsia" w:ascii="宋体" w:hAnsi="宋体" w:cs="宋体"/>
          <w:color w:val="auto"/>
          <w:sz w:val="21"/>
          <w:szCs w:val="21"/>
          <w:highlight w:val="none"/>
          <w:lang w:val="zh-CN"/>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spacing w:line="360" w:lineRule="auto"/>
        <w:rPr>
          <w:rFonts w:ascii="宋体" w:hAnsi="宋体" w:cs="宋体"/>
          <w:b/>
          <w:color w:val="auto"/>
          <w:sz w:val="21"/>
          <w:szCs w:val="21"/>
          <w:highlight w:val="none"/>
          <w:lang w:val="zh-CN"/>
        </w:rPr>
        <w:outlineLvl w:val="3"/>
      </w:pPr>
      <w:r>
        <w:rPr>
          <w:rFonts w:hint="eastAsia" w:ascii="宋体" w:hAnsi="宋体" w:cs="宋体"/>
          <w:b/>
          <w:color w:val="auto"/>
          <w:sz w:val="21"/>
          <w:szCs w:val="21"/>
          <w:highlight w:val="none"/>
          <w:lang w:val="zh-CN"/>
        </w:rPr>
        <w:t xml:space="preserve">2</w:t>
      </w:r>
      <w:r>
        <w:rPr>
          <w:rFonts w:hint="eastAsia" w:ascii="宋体" w:hAnsi="宋体" w:cs="宋体"/>
          <w:b/>
          <w:color w:val="auto"/>
          <w:sz w:val="21"/>
          <w:szCs w:val="21"/>
          <w:highlight w:val="none"/>
        </w:rPr>
        <w:t xml:space="preserve">5</w:t>
      </w:r>
      <w:r>
        <w:rPr>
          <w:rFonts w:hint="eastAsia" w:ascii="宋体" w:hAnsi="宋体" w:cs="宋体"/>
          <w:b/>
          <w:color w:val="auto"/>
          <w:sz w:val="21"/>
          <w:szCs w:val="21"/>
          <w:highlight w:val="none"/>
          <w:lang w:val="zh-CN"/>
        </w:rPr>
        <w:t xml:space="preserve">、废标</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w:t>
      </w:r>
      <w:r>
        <w:rPr>
          <w:rFonts w:hint="eastAsia" w:ascii="宋体" w:hAnsi="宋体" w:cs="宋体"/>
          <w:color w:val="auto"/>
          <w:sz w:val="21"/>
          <w:szCs w:val="21"/>
          <w:highlight w:val="none"/>
        </w:rPr>
        <w:t xml:space="preserve">5</w:t>
      </w:r>
      <w:r>
        <w:rPr>
          <w:rFonts w:hint="eastAsia" w:ascii="宋体" w:hAnsi="宋体" w:cs="宋体"/>
          <w:color w:val="auto"/>
          <w:sz w:val="21"/>
          <w:szCs w:val="21"/>
          <w:highlight w:val="none"/>
          <w:lang w:val="zh-CN"/>
        </w:rPr>
        <w:t xml:space="preserve">.1 在招标过程中，出现下列情况之一的，应予废标：</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25.1.1</w:t>
      </w:r>
      <w:r>
        <w:rPr>
          <w:rFonts w:hint="eastAsia" w:ascii="宋体" w:hAnsi="宋体" w:cs="宋体"/>
          <w:color w:val="auto"/>
          <w:sz w:val="21"/>
          <w:szCs w:val="21"/>
          <w:highlight w:val="none"/>
          <w:lang w:val="zh-CN"/>
        </w:rPr>
        <w:t xml:space="preserve">符合专业条件的供应商或者对招标文件作实质响应的供应商不足三家的； </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25.1.2</w:t>
      </w:r>
      <w:r>
        <w:rPr>
          <w:rFonts w:hint="eastAsia" w:ascii="宋体" w:hAnsi="宋体" w:cs="宋体"/>
          <w:color w:val="auto"/>
          <w:sz w:val="21"/>
          <w:szCs w:val="21"/>
          <w:highlight w:val="none"/>
          <w:lang w:val="zh-CN"/>
        </w:rPr>
        <w:t xml:space="preserve">出现影响采购公正的违法、违规行为的； </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25.1.3</w:t>
      </w:r>
      <w:r>
        <w:rPr>
          <w:rFonts w:hint="eastAsia" w:ascii="宋体" w:hAnsi="宋体" w:cs="宋体"/>
          <w:color w:val="auto"/>
          <w:sz w:val="21"/>
          <w:szCs w:val="21"/>
          <w:highlight w:val="none"/>
          <w:lang w:val="zh-CN"/>
        </w:rPr>
        <w:t xml:space="preserve">投标人的报价均超过了采购预算或者最高限价，采购人不能支付的； </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25.1.4</w:t>
      </w:r>
      <w:r>
        <w:rPr>
          <w:rFonts w:hint="eastAsia" w:ascii="宋体" w:hAnsi="宋体" w:cs="宋体"/>
          <w:color w:val="auto"/>
          <w:sz w:val="21"/>
          <w:szCs w:val="21"/>
          <w:highlight w:val="none"/>
          <w:lang w:val="zh-CN"/>
        </w:rPr>
        <w:t xml:space="preserve">因重大变故，采购任务取消的。 </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w:t>
      </w:r>
      <w:r>
        <w:rPr>
          <w:rFonts w:hint="eastAsia" w:ascii="宋体" w:hAnsi="宋体" w:cs="宋体"/>
          <w:color w:val="auto"/>
          <w:sz w:val="21"/>
          <w:szCs w:val="21"/>
          <w:highlight w:val="none"/>
        </w:rPr>
        <w:t xml:space="preserve">5</w:t>
      </w:r>
      <w:r>
        <w:rPr>
          <w:rFonts w:hint="eastAsia" w:ascii="宋体" w:hAnsi="宋体" w:cs="宋体"/>
          <w:color w:val="auto"/>
          <w:sz w:val="21"/>
          <w:szCs w:val="21"/>
          <w:highlight w:val="none"/>
          <w:lang w:val="zh-CN"/>
        </w:rPr>
        <w:t xml:space="preserve">.2 废标后，采购代理机构将发布废标公告。</w:t>
      </w:r>
      <w:r/>
    </w:p>
    <w:p>
      <w:pPr>
        <w:spacing w:line="360" w:lineRule="auto"/>
        <w:rPr>
          <w:rFonts w:ascii="宋体" w:hAnsi="宋体" w:cs="宋体"/>
          <w:b/>
          <w:color w:val="auto"/>
          <w:sz w:val="21"/>
          <w:szCs w:val="21"/>
          <w:highlight w:val="none"/>
          <w:lang w:val="zh-CN"/>
        </w:rPr>
        <w:outlineLvl w:val="3"/>
      </w:pPr>
      <w:r>
        <w:rPr>
          <w:rFonts w:hint="eastAsia" w:ascii="宋体" w:hAnsi="宋体" w:cs="宋体"/>
          <w:b/>
          <w:color w:val="auto"/>
          <w:sz w:val="21"/>
          <w:szCs w:val="21"/>
          <w:highlight w:val="none"/>
          <w:lang w:val="zh-CN"/>
        </w:rPr>
        <w:t xml:space="preserve">2</w:t>
      </w:r>
      <w:r>
        <w:rPr>
          <w:rFonts w:hint="eastAsia" w:ascii="宋体" w:hAnsi="宋体" w:cs="宋体"/>
          <w:b/>
          <w:color w:val="auto"/>
          <w:sz w:val="21"/>
          <w:szCs w:val="21"/>
          <w:highlight w:val="none"/>
        </w:rPr>
        <w:t xml:space="preserve">6</w:t>
      </w:r>
      <w:r>
        <w:rPr>
          <w:rFonts w:hint="eastAsia" w:ascii="宋体" w:hAnsi="宋体" w:cs="宋体"/>
          <w:b/>
          <w:color w:val="auto"/>
          <w:sz w:val="21"/>
          <w:szCs w:val="21"/>
          <w:highlight w:val="none"/>
          <w:lang w:val="zh-CN"/>
        </w:rPr>
        <w:t xml:space="preserve">、投标文件的评价和比较</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2</w:t>
      </w:r>
      <w:r>
        <w:rPr>
          <w:rFonts w:hint="eastAsia" w:ascii="宋体" w:hAnsi="宋体" w:cs="宋体"/>
          <w:color w:val="auto"/>
          <w:sz w:val="21"/>
          <w:szCs w:val="21"/>
          <w:highlight w:val="none"/>
        </w:rPr>
        <w:t xml:space="preserve">6</w:t>
      </w:r>
      <w:r>
        <w:rPr>
          <w:rFonts w:hint="eastAsia" w:ascii="宋体" w:hAnsi="宋体" w:cs="宋体"/>
          <w:color w:val="auto"/>
          <w:sz w:val="21"/>
          <w:szCs w:val="21"/>
          <w:highlight w:val="none"/>
          <w:lang w:val="zh-CN"/>
        </w:rPr>
        <w:t xml:space="preserve">.1评标委员会将仅对按照</w:t>
      </w:r>
      <w:r>
        <w:rPr>
          <w:rFonts w:hint="eastAsia" w:ascii="宋体" w:hAnsi="宋体" w:cs="宋体"/>
          <w:color w:val="auto"/>
          <w:sz w:val="21"/>
          <w:szCs w:val="21"/>
          <w:highlight w:val="none"/>
        </w:rPr>
        <w:t xml:space="preserve">招标文件</w:t>
      </w:r>
      <w:r>
        <w:rPr>
          <w:rFonts w:hint="eastAsia" w:ascii="宋体" w:hAnsi="宋体" w:cs="宋体"/>
          <w:color w:val="auto"/>
          <w:sz w:val="21"/>
          <w:szCs w:val="21"/>
          <w:highlight w:val="none"/>
          <w:lang w:val="zh-CN"/>
        </w:rPr>
        <w:t xml:space="preserve">规定确定为实质上响应招标文件要求的投标文件进行商务和技术评估，综合比较与评价。</w:t>
      </w:r>
      <w:r/>
    </w:p>
    <w:p>
      <w:pPr>
        <w:ind w:firstLine="359"/>
        <w:spacing w:line="360" w:lineRule="auto"/>
        <w:rPr>
          <w:rFonts w:ascii="宋体" w:hAnsi="宋体" w:cs="宋体"/>
          <w:color w:val="auto"/>
          <w:sz w:val="21"/>
          <w:szCs w:val="21"/>
          <w:highlight w:val="none"/>
          <w:lang w:val="zh-CN"/>
        </w:rPr>
      </w:pPr>
      <w:r>
        <w:rPr>
          <w:rFonts w:hint="eastAsia" w:ascii="宋体" w:hAnsi="宋体" w:cs="宋体"/>
          <w:b/>
          <w:color w:val="auto"/>
          <w:sz w:val="21"/>
          <w:szCs w:val="21"/>
          <w:highlight w:val="none"/>
          <w:lang w:val="zh-CN"/>
        </w:rPr>
        <w:t xml:space="preserve">2</w:t>
      </w:r>
      <w:r>
        <w:rPr>
          <w:rFonts w:hint="eastAsia" w:ascii="宋体" w:hAnsi="宋体" w:cs="宋体"/>
          <w:b/>
          <w:color w:val="auto"/>
          <w:sz w:val="21"/>
          <w:szCs w:val="21"/>
          <w:highlight w:val="none"/>
        </w:rPr>
        <w:t xml:space="preserve">6</w:t>
      </w:r>
      <w:r>
        <w:rPr>
          <w:rFonts w:hint="eastAsia" w:ascii="宋体" w:hAnsi="宋体" w:cs="宋体"/>
          <w:b/>
          <w:color w:val="auto"/>
          <w:sz w:val="21"/>
          <w:szCs w:val="21"/>
          <w:highlight w:val="none"/>
          <w:lang w:val="zh-CN"/>
        </w:rPr>
        <w:t xml:space="preserve">.2评价和比较采用综合评分法</w:t>
      </w:r>
      <w:r>
        <w:rPr>
          <w:rFonts w:hint="eastAsia" w:ascii="宋体" w:hAnsi="宋体" w:cs="宋体"/>
          <w:color w:val="auto"/>
          <w:sz w:val="21"/>
          <w:szCs w:val="21"/>
          <w:highlight w:val="none"/>
          <w:lang w:val="zh-CN"/>
        </w:rPr>
        <w:t xml:space="preserve">，评标委员会严格按照招标文件的规定要求、条件、评分标准，对投标人实质性响应内容进行比较评价。</w:t>
      </w:r>
      <w:r/>
    </w:p>
    <w:p>
      <w:pPr>
        <w:ind w:firstLine="359"/>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2</w:t>
      </w:r>
      <w:r>
        <w:rPr>
          <w:rFonts w:hint="eastAsia" w:ascii="宋体" w:hAnsi="宋体" w:cs="宋体"/>
          <w:b/>
          <w:color w:val="auto"/>
          <w:sz w:val="21"/>
          <w:szCs w:val="21"/>
          <w:highlight w:val="none"/>
        </w:rPr>
        <w:t xml:space="preserve">6</w:t>
      </w:r>
      <w:r>
        <w:rPr>
          <w:rFonts w:hint="eastAsia" w:ascii="宋体" w:hAnsi="宋体" w:cs="宋体"/>
          <w:b/>
          <w:color w:val="auto"/>
          <w:sz w:val="21"/>
          <w:szCs w:val="21"/>
          <w:highlight w:val="none"/>
          <w:lang w:val="zh-CN"/>
        </w:rPr>
        <w:t xml:space="preserve">.3 最低的投标报价或最高的优惠率中标的重要条件，但不是唯一条件。</w:t>
      </w:r>
      <w:r/>
    </w:p>
    <w:p>
      <w:pPr>
        <w:spacing w:line="360" w:lineRule="auto"/>
        <w:rPr>
          <w:rFonts w:ascii="宋体" w:hAnsi="宋体" w:cs="宋体"/>
          <w:b/>
          <w:bCs/>
          <w:color w:val="auto"/>
          <w:sz w:val="21"/>
          <w:szCs w:val="21"/>
          <w:highlight w:val="none"/>
          <w:lang w:val="zh-CN"/>
        </w:rPr>
        <w:outlineLvl w:val="1"/>
      </w:pPr>
      <w:r>
        <w:rPr>
          <w:rFonts w:hint="eastAsia" w:ascii="宋体" w:hAnsi="宋体" w:cs="宋体"/>
          <w:b/>
          <w:bCs/>
          <w:color w:val="auto"/>
          <w:sz w:val="21"/>
          <w:szCs w:val="21"/>
          <w:highlight w:val="none"/>
          <w:lang w:val="zh-CN"/>
        </w:rPr>
        <w:t xml:space="preserve">七、授予合同</w:t>
      </w:r>
      <w:r/>
    </w:p>
    <w:p>
      <w:pPr>
        <w:spacing w:line="360" w:lineRule="auto"/>
        <w:rPr>
          <w:rFonts w:ascii="宋体" w:hAnsi="宋体" w:cs="宋体"/>
          <w:b/>
          <w:color w:val="auto"/>
          <w:sz w:val="21"/>
          <w:szCs w:val="21"/>
          <w:highlight w:val="none"/>
          <w:lang w:val="zh-CN"/>
        </w:rPr>
        <w:outlineLvl w:val="3"/>
      </w:pPr>
      <w:r>
        <w:rPr>
          <w:rFonts w:hint="eastAsia" w:ascii="宋体" w:hAnsi="宋体" w:cs="宋体"/>
          <w:b/>
          <w:color w:val="auto"/>
          <w:sz w:val="21"/>
          <w:szCs w:val="21"/>
          <w:highlight w:val="none"/>
          <w:lang w:val="zh-CN"/>
        </w:rPr>
        <w:t xml:space="preserve">2</w:t>
      </w:r>
      <w:r>
        <w:rPr>
          <w:rFonts w:hint="eastAsia" w:ascii="宋体" w:hAnsi="宋体" w:cs="宋体"/>
          <w:b/>
          <w:color w:val="auto"/>
          <w:sz w:val="21"/>
          <w:szCs w:val="21"/>
          <w:highlight w:val="none"/>
        </w:rPr>
        <w:t xml:space="preserve">7</w:t>
      </w:r>
      <w:r>
        <w:rPr>
          <w:rFonts w:hint="eastAsia" w:ascii="宋体" w:hAnsi="宋体" w:cs="宋体"/>
          <w:b/>
          <w:color w:val="auto"/>
          <w:sz w:val="21"/>
          <w:szCs w:val="21"/>
          <w:highlight w:val="none"/>
          <w:lang w:val="zh-CN"/>
        </w:rPr>
        <w:t xml:space="preserve">、中标人的确认</w:t>
      </w:r>
      <w:r/>
    </w:p>
    <w:p>
      <w:pPr>
        <w:ind w:firstLine="50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w:t>
      </w:r>
      <w:r>
        <w:rPr>
          <w:rFonts w:hint="eastAsia" w:ascii="宋体" w:hAnsi="宋体" w:cs="宋体"/>
          <w:color w:val="auto"/>
          <w:sz w:val="21"/>
          <w:szCs w:val="21"/>
          <w:highlight w:val="none"/>
        </w:rPr>
        <w:t xml:space="preserve">7</w:t>
      </w:r>
      <w:r>
        <w:rPr>
          <w:rFonts w:hint="eastAsia" w:ascii="宋体" w:hAnsi="宋体" w:cs="宋体"/>
          <w:color w:val="auto"/>
          <w:sz w:val="21"/>
          <w:szCs w:val="21"/>
          <w:highlight w:val="none"/>
          <w:lang w:val="zh-CN"/>
        </w:rPr>
        <w:t xml:space="preserve">.1</w:t>
      </w:r>
      <w:r>
        <w:rPr>
          <w:rFonts w:hint="eastAsia" w:ascii="宋体" w:hAnsi="宋体" w:cs="宋体"/>
          <w:color w:val="auto"/>
          <w:sz w:val="21"/>
          <w:szCs w:val="21"/>
          <w:highlight w:val="none"/>
        </w:rPr>
        <w:t xml:space="preserve">评标委员会根据投标人资格审查情况，对投标文件进行评价和比较，按照评标办法和标准进行评标，并按采购人的委托向采购人推荐中标人。</w:t>
      </w:r>
      <w:r/>
    </w:p>
    <w:p>
      <w:pPr>
        <w:ind w:firstLine="50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w:t>
      </w:r>
      <w:r>
        <w:rPr>
          <w:rFonts w:hint="eastAsia" w:ascii="宋体" w:hAnsi="宋体" w:cs="宋体"/>
          <w:color w:val="auto"/>
          <w:sz w:val="21"/>
          <w:szCs w:val="21"/>
          <w:highlight w:val="none"/>
        </w:rPr>
        <w:t xml:space="preserve">7</w:t>
      </w:r>
      <w:r>
        <w:rPr>
          <w:rFonts w:hint="eastAsia" w:ascii="宋体" w:hAnsi="宋体" w:cs="宋体"/>
          <w:color w:val="auto"/>
          <w:sz w:val="21"/>
          <w:szCs w:val="21"/>
          <w:highlight w:val="none"/>
          <w:lang w:val="zh-CN"/>
        </w:rPr>
        <w:t xml:space="preserve">.2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的规定提交。采购代理机构将在收到质疑后七个工作日内对质疑内容做出答复。</w:t>
      </w:r>
      <w:r>
        <w:rPr>
          <w:rFonts w:hint="eastAsia" w:ascii="宋体" w:hAnsi="宋体" w:cs="宋体"/>
          <w:color w:val="auto"/>
          <w:sz w:val="21"/>
          <w:szCs w:val="21"/>
          <w:highlight w:val="none"/>
        </w:rPr>
        <w:t xml:space="preserve">超过</w:t>
      </w:r>
      <w:r>
        <w:rPr>
          <w:rFonts w:hint="eastAsia" w:ascii="宋体" w:hAnsi="宋体" w:cs="宋体"/>
          <w:color w:val="auto"/>
          <w:sz w:val="21"/>
          <w:szCs w:val="21"/>
          <w:highlight w:val="none"/>
          <w:lang w:val="zh-CN"/>
        </w:rPr>
        <w:t xml:space="preserve">期限向采购代理机构提出质疑，采购代理机构</w:t>
      </w:r>
      <w:r>
        <w:rPr>
          <w:rFonts w:hint="eastAsia" w:ascii="宋体" w:hAnsi="宋体" w:cs="宋体"/>
          <w:color w:val="auto"/>
          <w:sz w:val="21"/>
          <w:szCs w:val="21"/>
          <w:highlight w:val="none"/>
        </w:rPr>
        <w:t xml:space="preserve">将</w:t>
      </w:r>
      <w:r>
        <w:rPr>
          <w:rFonts w:hint="eastAsia" w:ascii="宋体" w:hAnsi="宋体" w:cs="宋体"/>
          <w:color w:val="auto"/>
          <w:sz w:val="21"/>
          <w:szCs w:val="21"/>
          <w:highlight w:val="none"/>
          <w:lang w:val="zh-CN"/>
        </w:rPr>
        <w:t xml:space="preserve">不予答复。</w:t>
      </w:r>
      <w:r/>
    </w:p>
    <w:p>
      <w:pPr>
        <w:spacing w:line="360" w:lineRule="auto"/>
        <w:rPr>
          <w:rFonts w:ascii="宋体" w:hAnsi="宋体" w:cs="宋体"/>
          <w:b/>
          <w:color w:val="auto"/>
          <w:sz w:val="21"/>
          <w:szCs w:val="21"/>
          <w:highlight w:val="none"/>
          <w:lang w:val="zh-CN"/>
        </w:rPr>
        <w:outlineLvl w:val="3"/>
      </w:pPr>
      <w:r>
        <w:rPr>
          <w:rFonts w:hint="eastAsia" w:ascii="宋体" w:hAnsi="宋体" w:cs="宋体"/>
          <w:b/>
          <w:color w:val="auto"/>
          <w:sz w:val="21"/>
          <w:szCs w:val="21"/>
          <w:highlight w:val="none"/>
          <w:lang w:val="zh-CN"/>
        </w:rPr>
        <w:t xml:space="preserve">2</w:t>
      </w:r>
      <w:r>
        <w:rPr>
          <w:rFonts w:hint="eastAsia" w:ascii="宋体" w:hAnsi="宋体" w:cs="宋体"/>
          <w:b/>
          <w:color w:val="auto"/>
          <w:sz w:val="21"/>
          <w:szCs w:val="21"/>
          <w:highlight w:val="none"/>
        </w:rPr>
        <w:t xml:space="preserve">8</w:t>
      </w:r>
      <w:r>
        <w:rPr>
          <w:rFonts w:hint="eastAsia" w:ascii="宋体" w:hAnsi="宋体" w:cs="宋体"/>
          <w:b/>
          <w:color w:val="auto"/>
          <w:sz w:val="21"/>
          <w:szCs w:val="21"/>
          <w:highlight w:val="none"/>
          <w:lang w:val="zh-CN"/>
        </w:rPr>
        <w:t xml:space="preserve">、合同授予标准</w:t>
      </w:r>
      <w:r/>
    </w:p>
    <w:p>
      <w:pPr>
        <w:ind w:firstLine="50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w:t>
      </w:r>
      <w:r>
        <w:rPr>
          <w:rFonts w:hint="eastAsia" w:ascii="宋体" w:hAnsi="宋体" w:cs="宋体"/>
          <w:color w:val="auto"/>
          <w:sz w:val="21"/>
          <w:szCs w:val="21"/>
          <w:highlight w:val="none"/>
        </w:rPr>
        <w:t xml:space="preserve">8</w:t>
      </w:r>
      <w:r>
        <w:rPr>
          <w:rFonts w:hint="eastAsia" w:ascii="宋体" w:hAnsi="宋体" w:cs="宋体"/>
          <w:color w:val="auto"/>
          <w:sz w:val="21"/>
          <w:szCs w:val="21"/>
          <w:highlight w:val="none"/>
          <w:lang w:val="zh-CN"/>
        </w:rPr>
        <w:t xml:space="preserve">.1</w:t>
      </w:r>
      <w:r>
        <w:rPr>
          <w:rFonts w:hint="eastAsia" w:ascii="宋体" w:hAnsi="宋体" w:cs="宋体"/>
          <w:color w:val="auto"/>
          <w:sz w:val="21"/>
          <w:szCs w:val="21"/>
          <w:highlight w:val="none"/>
        </w:rPr>
        <w:t xml:space="preserve">采购人</w:t>
      </w:r>
      <w:r>
        <w:rPr>
          <w:rFonts w:hint="eastAsia" w:ascii="宋体" w:hAnsi="宋体" w:cs="宋体"/>
          <w:color w:val="auto"/>
          <w:sz w:val="21"/>
          <w:szCs w:val="21"/>
          <w:highlight w:val="none"/>
          <w:lang w:val="zh-CN"/>
        </w:rPr>
        <w:t xml:space="preserve">将把合同授予按招标文件规定评选出的中标人。确定为中标人的必须具有实施本合同的能力和资源。</w:t>
      </w:r>
      <w:r/>
    </w:p>
    <w:p>
      <w:pPr>
        <w:ind w:firstLine="50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w:t>
      </w:r>
      <w:r>
        <w:rPr>
          <w:rFonts w:hint="eastAsia" w:ascii="宋体" w:hAnsi="宋体" w:cs="宋体"/>
          <w:color w:val="auto"/>
          <w:sz w:val="21"/>
          <w:szCs w:val="21"/>
          <w:highlight w:val="none"/>
        </w:rPr>
        <w:t xml:space="preserve">8</w:t>
      </w:r>
      <w:r>
        <w:rPr>
          <w:rFonts w:hint="eastAsia" w:ascii="宋体" w:hAnsi="宋体" w:cs="宋体"/>
          <w:color w:val="auto"/>
          <w:sz w:val="21"/>
          <w:szCs w:val="21"/>
          <w:highlight w:val="none"/>
          <w:lang w:val="zh-CN"/>
        </w:rPr>
        <w:t xml:space="preserve">.2在合同签订之前，如发现中标人提供的材料虚假或对标书所要求说明的情况故意隐瞒或虚报，则按政府采购程序取消其签约资格。</w:t>
      </w:r>
      <w:r/>
    </w:p>
    <w:p>
      <w:pPr>
        <w:spacing w:line="360" w:lineRule="auto"/>
        <w:rPr>
          <w:rFonts w:ascii="宋体" w:hAnsi="宋体" w:cs="宋体"/>
          <w:b/>
          <w:color w:val="auto"/>
          <w:sz w:val="21"/>
          <w:szCs w:val="21"/>
          <w:highlight w:val="none"/>
          <w:lang w:val="zh-CN"/>
        </w:rPr>
        <w:outlineLvl w:val="3"/>
      </w:pPr>
      <w:r>
        <w:rPr>
          <w:rFonts w:hint="eastAsia" w:ascii="宋体" w:hAnsi="宋体" w:cs="宋体"/>
          <w:b/>
          <w:color w:val="auto"/>
          <w:sz w:val="21"/>
          <w:szCs w:val="21"/>
          <w:highlight w:val="none"/>
        </w:rPr>
        <w:t xml:space="preserve">29</w:t>
      </w:r>
      <w:r>
        <w:rPr>
          <w:rFonts w:hint="eastAsia" w:ascii="宋体" w:hAnsi="宋体" w:cs="宋体"/>
          <w:b/>
          <w:color w:val="auto"/>
          <w:sz w:val="21"/>
          <w:szCs w:val="21"/>
          <w:highlight w:val="none"/>
          <w:lang w:val="zh-CN"/>
        </w:rPr>
        <w:t xml:space="preserve">、中标通知书</w:t>
      </w:r>
      <w:r/>
    </w:p>
    <w:p>
      <w:pPr>
        <w:ind w:firstLine="50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29</w:t>
      </w:r>
      <w:r>
        <w:rPr>
          <w:rFonts w:hint="eastAsia" w:ascii="宋体" w:hAnsi="宋体" w:cs="宋体"/>
          <w:color w:val="auto"/>
          <w:sz w:val="21"/>
          <w:szCs w:val="21"/>
          <w:highlight w:val="none"/>
          <w:lang w:val="zh-CN"/>
        </w:rPr>
        <w:t xml:space="preserve">.1</w:t>
      </w:r>
      <w:r>
        <w:rPr>
          <w:rFonts w:hint="eastAsia" w:ascii="宋体" w:hAnsi="宋体" w:cs="宋体"/>
          <w:color w:val="auto"/>
          <w:sz w:val="21"/>
          <w:szCs w:val="21"/>
          <w:highlight w:val="none"/>
        </w:rPr>
        <w:t xml:space="preserve">确定出中标人后，采购代理机构在法定时间内向中标人发出中标通知书。</w:t>
      </w:r>
      <w:r>
        <w:rPr>
          <w:rFonts w:hint="eastAsia" w:ascii="宋体" w:hAnsi="宋体" w:cs="宋体"/>
          <w:b/>
          <w:color w:val="auto"/>
          <w:sz w:val="21"/>
          <w:szCs w:val="21"/>
          <w:highlight w:val="none"/>
        </w:rPr>
        <w:t xml:space="preserve">请中标人在中标结果公告届满之日起30日内,使用CA证书登录“苏采云”系统及时下载中标通知书。</w:t>
      </w:r>
      <w:r>
        <w:rPr>
          <w:rFonts w:hint="eastAsia" w:ascii="宋体" w:hAnsi="宋体" w:cs="宋体"/>
          <w:color w:val="auto"/>
          <w:sz w:val="21"/>
          <w:szCs w:val="21"/>
          <w:highlight w:val="none"/>
        </w:rPr>
        <w:t xml:space="preserve">因系统存储空间有限，自中标结果公告届满之日起30日后，“苏采云”系统不再保证提供下载中标通知书服务,因未及时下载而造成的不利后果由中标人自行承担。</w:t>
      </w:r>
      <w:r/>
    </w:p>
    <w:p>
      <w:pPr>
        <w:ind w:firstLine="50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29</w:t>
      </w:r>
      <w:r>
        <w:rPr>
          <w:rFonts w:hint="eastAsia" w:ascii="宋体" w:hAnsi="宋体" w:cs="宋体"/>
          <w:color w:val="auto"/>
          <w:sz w:val="21"/>
          <w:szCs w:val="21"/>
          <w:highlight w:val="none"/>
          <w:lang w:val="zh-CN"/>
        </w:rPr>
        <w:t xml:space="preserve">.2中标通知书将成为合同的组成部分</w:t>
      </w:r>
      <w:r>
        <w:rPr>
          <w:rFonts w:hint="eastAsia" w:ascii="宋体" w:hAnsi="宋体" w:cs="宋体"/>
          <w:color w:val="auto"/>
          <w:sz w:val="21"/>
          <w:szCs w:val="21"/>
          <w:highlight w:val="none"/>
        </w:rPr>
        <w:t xml:space="preserve">，对采购人和中标人具有同等法律效力</w:t>
      </w:r>
      <w:r>
        <w:rPr>
          <w:rFonts w:hint="eastAsia" w:ascii="宋体" w:hAnsi="宋体" w:cs="宋体"/>
          <w:color w:val="auto"/>
          <w:sz w:val="21"/>
          <w:szCs w:val="21"/>
          <w:highlight w:val="none"/>
          <w:lang w:val="zh-CN"/>
        </w:rPr>
        <w:t xml:space="preserve">。</w:t>
      </w:r>
      <w:r/>
    </w:p>
    <w:p>
      <w:pPr>
        <w:ind w:firstLine="50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29</w:t>
      </w:r>
      <w:r>
        <w:rPr>
          <w:rFonts w:hint="eastAsia" w:ascii="宋体" w:hAnsi="宋体" w:cs="宋体"/>
          <w:color w:val="auto"/>
          <w:sz w:val="21"/>
          <w:szCs w:val="21"/>
          <w:highlight w:val="none"/>
          <w:lang w:val="zh-CN"/>
        </w:rPr>
        <w:t xml:space="preserve">.3</w:t>
      </w:r>
      <w:r>
        <w:rPr>
          <w:rFonts w:hint="eastAsia" w:ascii="宋体" w:hAnsi="宋体" w:cs="宋体"/>
          <w:color w:val="auto"/>
          <w:sz w:val="21"/>
          <w:szCs w:val="21"/>
          <w:highlight w:val="none"/>
        </w:rPr>
        <w:t xml:space="preserve">中标通知书发出后，采购人不得违法改变中标结果，中标人无正当理由不得放弃中标</w:t>
      </w:r>
      <w:r>
        <w:rPr>
          <w:rFonts w:hint="eastAsia" w:ascii="宋体" w:hAnsi="宋体" w:cs="宋体"/>
          <w:color w:val="auto"/>
          <w:sz w:val="21"/>
          <w:szCs w:val="21"/>
          <w:highlight w:val="none"/>
          <w:lang w:val="zh-CN"/>
        </w:rPr>
        <w:t xml:space="preserve">。</w:t>
      </w:r>
      <w:r/>
    </w:p>
    <w:p>
      <w:pPr>
        <w:spacing w:line="360" w:lineRule="auto"/>
        <w:rPr>
          <w:rFonts w:ascii="宋体" w:hAnsi="宋体" w:cs="宋体"/>
          <w:b/>
          <w:color w:val="auto"/>
          <w:sz w:val="21"/>
          <w:szCs w:val="21"/>
          <w:highlight w:val="none"/>
          <w:lang w:val="zh-CN"/>
        </w:rPr>
        <w:outlineLvl w:val="3"/>
      </w:pPr>
      <w:r>
        <w:rPr>
          <w:rFonts w:hint="eastAsia" w:ascii="宋体" w:hAnsi="宋体" w:cs="宋体"/>
          <w:b/>
          <w:color w:val="auto"/>
          <w:sz w:val="21"/>
          <w:szCs w:val="21"/>
          <w:highlight w:val="none"/>
          <w:lang w:val="zh-CN"/>
        </w:rPr>
        <w:t xml:space="preserve">3</w:t>
      </w:r>
      <w:r>
        <w:rPr>
          <w:rFonts w:hint="eastAsia" w:ascii="宋体" w:hAnsi="宋体" w:cs="宋体"/>
          <w:b/>
          <w:color w:val="auto"/>
          <w:sz w:val="21"/>
          <w:szCs w:val="21"/>
          <w:highlight w:val="none"/>
        </w:rPr>
        <w:t xml:space="preserve">0</w:t>
      </w:r>
      <w:r>
        <w:rPr>
          <w:rFonts w:hint="eastAsia" w:ascii="宋体" w:hAnsi="宋体" w:cs="宋体"/>
          <w:b/>
          <w:color w:val="auto"/>
          <w:sz w:val="21"/>
          <w:szCs w:val="21"/>
          <w:highlight w:val="none"/>
          <w:lang w:val="zh-CN"/>
        </w:rPr>
        <w:t xml:space="preserve">.履约保证金</w:t>
      </w:r>
      <w:r/>
    </w:p>
    <w:p>
      <w:pPr>
        <w:pStyle w:val="976"/>
        <w:jc w:val="both"/>
        <w:spacing w:line="360" w:lineRule="auto"/>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30.1按照《江苏省财政厅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spacing w:line="360" w:lineRule="auto"/>
        <w:rPr>
          <w:rFonts w:ascii="宋体" w:hAnsi="宋体" w:cs="宋体"/>
          <w:b/>
          <w:color w:val="auto"/>
          <w:sz w:val="21"/>
          <w:szCs w:val="21"/>
          <w:highlight w:val="none"/>
          <w:lang w:val="zh-CN"/>
        </w:rPr>
        <w:outlineLvl w:val="3"/>
      </w:pPr>
      <w:r>
        <w:rPr>
          <w:rFonts w:hint="eastAsia" w:ascii="宋体" w:hAnsi="宋体" w:cs="宋体"/>
          <w:b/>
          <w:color w:val="auto"/>
          <w:sz w:val="21"/>
          <w:szCs w:val="21"/>
          <w:highlight w:val="none"/>
          <w:lang w:val="zh-CN"/>
        </w:rPr>
        <w:t xml:space="preserve">3</w:t>
      </w:r>
      <w:r>
        <w:rPr>
          <w:rFonts w:hint="eastAsia" w:ascii="宋体" w:hAnsi="宋体" w:cs="宋体"/>
          <w:b/>
          <w:color w:val="auto"/>
          <w:sz w:val="21"/>
          <w:szCs w:val="21"/>
          <w:highlight w:val="none"/>
        </w:rPr>
        <w:t xml:space="preserve">1</w:t>
      </w:r>
      <w:r>
        <w:rPr>
          <w:rFonts w:hint="eastAsia" w:ascii="宋体" w:hAnsi="宋体" w:cs="宋体"/>
          <w:b/>
          <w:color w:val="auto"/>
          <w:sz w:val="21"/>
          <w:szCs w:val="21"/>
          <w:highlight w:val="none"/>
          <w:lang w:val="zh-CN"/>
        </w:rPr>
        <w:t xml:space="preserve">、合同的签订</w:t>
      </w:r>
      <w:r/>
    </w:p>
    <w:p>
      <w:pPr>
        <w:ind w:firstLine="50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31.1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最多三十日）内，按照招标文件及投标文件规定与中标人签订书面合同。</w:t>
      </w:r>
      <w:r/>
    </w:p>
    <w:p>
      <w:pPr>
        <w:ind w:firstLine="50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31.2采购人与中标人所签订的合同不得对招标文件确定的事项和中标人投标文件作实质性修改，采购人不得向中标人提出任何不合理的要求作为签订合同的条件。</w:t>
      </w:r>
      <w:r/>
    </w:p>
    <w:p>
      <w:pPr>
        <w:ind w:firstLine="50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31.3</w:t>
      </w:r>
      <w:r>
        <w:rPr>
          <w:rFonts w:hint="eastAsia" w:ascii="宋体" w:hAnsi="宋体" w:cs="宋体"/>
          <w:color w:val="auto"/>
          <w:sz w:val="21"/>
          <w:szCs w:val="21"/>
          <w:highlight w:val="none"/>
          <w:lang w:val="zh-CN"/>
        </w:rPr>
        <w:t xml:space="preserve">采购合同的双方当事人不得擅自变更、中止或者终止合同。合同继续履行将损害国家利益和社会公共利益的，双方当事人应当变更、中止或者终止合同。有过错的一方应当承担赔偿责任，双方都有过错的，各自承担相应责任。</w:t>
      </w:r>
      <w:r/>
    </w:p>
    <w:p>
      <w:pPr>
        <w:ind w:firstLine="50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31.</w:t>
      </w:r>
      <w:r>
        <w:rPr>
          <w:rFonts w:hint="eastAsia" w:ascii="宋体" w:hAnsi="宋体" w:cs="宋体"/>
          <w:color w:val="auto"/>
          <w:sz w:val="21"/>
          <w:szCs w:val="21"/>
          <w:highlight w:val="none"/>
          <w:lang w:val="zh-CN"/>
        </w:rPr>
        <w:t xml:space="preserve">4采购合同履行中，采购人需追加与合同标的相同的服务或货物的，在不改变合同其他条款的前提下，可以与供应商协商签订补充合同，但所有补充合同的采购金额不得超过原合同采购金额的百分之十。</w:t>
      </w:r>
      <w:r/>
    </w:p>
    <w:p>
      <w:pPr>
        <w:ind w:firstLine="50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31.</w:t>
      </w:r>
      <w:r>
        <w:rPr>
          <w:rFonts w:hint="eastAsia" w:ascii="宋体" w:hAnsi="宋体" w:cs="宋体"/>
          <w:color w:val="auto"/>
          <w:sz w:val="21"/>
          <w:szCs w:val="21"/>
          <w:highlight w:val="none"/>
          <w:lang w:val="zh-CN"/>
        </w:rPr>
        <w:t xml:space="preserve">5本项目将根据政府采购法及相关法规，以及《江苏省政府采购履约验收管理办法》文件的规定，对供应商进行履约验收，确认验收合格的，将出具《政府采购履约验收书》。《政府采购履约验收书》、合同是申请支付政府采购合同价款的必备资料。</w:t>
      </w:r>
      <w:r/>
    </w:p>
    <w:p>
      <w:pPr>
        <w:spacing w:line="360" w:lineRule="auto"/>
        <w:rPr>
          <w:rFonts w:ascii="宋体" w:hAnsi="宋体" w:cs="宋体"/>
          <w:b/>
          <w:bCs/>
          <w:color w:val="auto"/>
          <w:sz w:val="21"/>
          <w:szCs w:val="21"/>
          <w:highlight w:val="none"/>
          <w:lang w:val="zh-CN"/>
        </w:rPr>
        <w:outlineLvl w:val="1"/>
      </w:pPr>
      <w:r>
        <w:rPr>
          <w:rFonts w:hint="eastAsia" w:ascii="宋体" w:hAnsi="宋体" w:cs="宋体"/>
          <w:b/>
          <w:bCs/>
          <w:color w:val="auto"/>
          <w:sz w:val="21"/>
          <w:szCs w:val="21"/>
          <w:highlight w:val="none"/>
          <w:lang w:val="zh-CN"/>
        </w:rPr>
        <w:t xml:space="preserve">八、其他事项</w:t>
      </w:r>
      <w:r/>
    </w:p>
    <w:p>
      <w:pPr>
        <w:spacing w:line="360" w:lineRule="auto"/>
        <w:rPr>
          <w:rFonts w:ascii="宋体" w:hAnsi="宋体" w:cs="宋体"/>
          <w:b/>
          <w:color w:val="auto"/>
          <w:sz w:val="21"/>
          <w:szCs w:val="21"/>
          <w:highlight w:val="none"/>
          <w:lang w:val="zh-CN"/>
        </w:rPr>
        <w:outlineLvl w:val="3"/>
      </w:pPr>
      <w:r>
        <w:rPr>
          <w:rFonts w:hint="eastAsia" w:ascii="宋体" w:hAnsi="宋体" w:cs="宋体"/>
          <w:b/>
          <w:color w:val="auto"/>
          <w:sz w:val="21"/>
          <w:szCs w:val="21"/>
          <w:highlight w:val="none"/>
          <w:lang w:val="zh-CN"/>
        </w:rPr>
        <w:t xml:space="preserve">3</w:t>
      </w:r>
      <w:r>
        <w:rPr>
          <w:rFonts w:hint="eastAsia" w:ascii="宋体" w:hAnsi="宋体" w:cs="宋体"/>
          <w:b/>
          <w:color w:val="auto"/>
          <w:sz w:val="21"/>
          <w:szCs w:val="21"/>
          <w:highlight w:val="none"/>
        </w:rPr>
        <w:t xml:space="preserve">2</w:t>
      </w:r>
      <w:r>
        <w:rPr>
          <w:rFonts w:hint="eastAsia" w:ascii="宋体" w:hAnsi="宋体" w:cs="宋体"/>
          <w:b/>
          <w:color w:val="auto"/>
          <w:sz w:val="21"/>
          <w:szCs w:val="21"/>
          <w:highlight w:val="none"/>
          <w:lang w:val="zh-CN"/>
        </w:rPr>
        <w:t xml:space="preserve">、中标服务费</w:t>
      </w:r>
      <w:r/>
    </w:p>
    <w:p>
      <w:pPr>
        <w:ind w:firstLine="50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32.1中标人应按前附表规定缴纳中标服务费。</w:t>
      </w:r>
      <w:r/>
    </w:p>
    <w:p>
      <w:pPr>
        <w:spacing w:line="360" w:lineRule="auto"/>
        <w:rPr>
          <w:rFonts w:ascii="宋体" w:hAnsi="宋体" w:cs="宋体"/>
          <w:b/>
          <w:color w:val="auto"/>
          <w:sz w:val="21"/>
          <w:szCs w:val="21"/>
          <w:highlight w:val="none"/>
          <w:lang w:val="zh-CN"/>
        </w:rPr>
        <w:outlineLvl w:val="3"/>
      </w:pPr>
      <w:r>
        <w:rPr>
          <w:rFonts w:hint="eastAsia" w:ascii="宋体" w:hAnsi="宋体" w:cs="宋体"/>
          <w:b/>
          <w:color w:val="auto"/>
          <w:sz w:val="21"/>
          <w:szCs w:val="21"/>
          <w:highlight w:val="none"/>
          <w:lang w:val="zh-CN"/>
        </w:rPr>
        <w:t xml:space="preserve">3</w:t>
      </w:r>
      <w:r>
        <w:rPr>
          <w:rFonts w:hint="eastAsia" w:ascii="宋体" w:hAnsi="宋体" w:cs="宋体"/>
          <w:b/>
          <w:color w:val="auto"/>
          <w:sz w:val="21"/>
          <w:szCs w:val="21"/>
          <w:highlight w:val="none"/>
        </w:rPr>
        <w:t xml:space="preserve">3</w:t>
      </w:r>
      <w:r>
        <w:rPr>
          <w:rFonts w:hint="eastAsia" w:ascii="宋体" w:hAnsi="宋体" w:cs="宋体"/>
          <w:b/>
          <w:color w:val="auto"/>
          <w:sz w:val="21"/>
          <w:szCs w:val="21"/>
          <w:highlight w:val="none"/>
          <w:lang w:val="zh-CN"/>
        </w:rPr>
        <w:t xml:space="preserve">、监督</w:t>
      </w:r>
      <w:r/>
    </w:p>
    <w:p>
      <w:pPr>
        <w:ind w:firstLine="50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w:t>
      </w:r>
      <w:r>
        <w:rPr>
          <w:rFonts w:hint="eastAsia" w:ascii="宋体" w:hAnsi="宋体" w:cs="宋体"/>
          <w:color w:val="auto"/>
          <w:sz w:val="21"/>
          <w:szCs w:val="21"/>
          <w:highlight w:val="none"/>
        </w:rPr>
        <w:t xml:space="preserve">3</w:t>
      </w:r>
      <w:r>
        <w:rPr>
          <w:rFonts w:hint="eastAsia" w:ascii="宋体" w:hAnsi="宋体" w:cs="宋体"/>
          <w:color w:val="auto"/>
          <w:sz w:val="21"/>
          <w:szCs w:val="21"/>
          <w:highlight w:val="none"/>
          <w:lang w:val="zh-CN"/>
        </w:rPr>
        <w:t xml:space="preserve">.1政府有关监督部门将对招投标全过程进行监督。</w:t>
      </w:r>
      <w:r/>
    </w:p>
    <w:p>
      <w:pPr>
        <w:spacing w:line="360" w:lineRule="auto"/>
        <w:rPr>
          <w:rFonts w:ascii="宋体" w:hAnsi="宋体" w:cs="宋体"/>
          <w:b/>
          <w:color w:val="auto"/>
          <w:sz w:val="21"/>
          <w:szCs w:val="21"/>
          <w:highlight w:val="none"/>
          <w:lang w:val="zh-CN"/>
        </w:rPr>
        <w:outlineLvl w:val="3"/>
      </w:pPr>
      <w:r>
        <w:rPr>
          <w:rFonts w:hint="eastAsia" w:ascii="宋体" w:hAnsi="宋体" w:cs="宋体"/>
          <w:b/>
          <w:color w:val="auto"/>
          <w:sz w:val="21"/>
          <w:szCs w:val="21"/>
          <w:highlight w:val="none"/>
          <w:lang w:val="zh-CN"/>
        </w:rPr>
        <w:t xml:space="preserve">3</w:t>
      </w:r>
      <w:r>
        <w:rPr>
          <w:rFonts w:hint="eastAsia" w:ascii="宋体" w:hAnsi="宋体" w:cs="宋体"/>
          <w:b/>
          <w:color w:val="auto"/>
          <w:sz w:val="21"/>
          <w:szCs w:val="21"/>
          <w:highlight w:val="none"/>
        </w:rPr>
        <w:t xml:space="preserve">4</w:t>
      </w:r>
      <w:r>
        <w:rPr>
          <w:rFonts w:hint="eastAsia" w:ascii="宋体" w:hAnsi="宋体" w:cs="宋体"/>
          <w:b/>
          <w:color w:val="auto"/>
          <w:sz w:val="21"/>
          <w:szCs w:val="21"/>
          <w:highlight w:val="none"/>
          <w:lang w:val="zh-CN"/>
        </w:rPr>
        <w:t xml:space="preserve">、未尽事宜</w:t>
      </w:r>
      <w:r/>
    </w:p>
    <w:p>
      <w:pPr>
        <w:ind w:firstLine="50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未尽事宜应按《中华人民共和国民法典》、《中华人民共和国政府采购法》以及其它相关法律、法规之规定解释。</w:t>
      </w:r>
      <w:r/>
    </w:p>
    <w:p>
      <w:pPr>
        <w:rPr>
          <w:rFonts w:ascii="宋体" w:hAnsi="宋体" w:cs="宋体"/>
          <w:b/>
          <w:color w:val="auto"/>
          <w:sz w:val="32"/>
          <w:szCs w:val="32"/>
          <w:highlight w:val="none"/>
          <w:lang w:val="zh-CN"/>
        </w:rPr>
      </w:pPr>
      <w:r/>
      <w:bookmarkStart w:id="21" w:name="_Toc10670"/>
      <w:r>
        <w:rPr>
          <w:rFonts w:hint="eastAsia" w:ascii="宋体" w:hAnsi="宋体" w:cs="宋体"/>
          <w:b/>
          <w:color w:val="auto"/>
          <w:sz w:val="32"/>
          <w:szCs w:val="32"/>
          <w:highlight w:val="none"/>
          <w:lang w:val="zh-CN"/>
        </w:rPr>
        <w:br w:type="page" w:clear="all"/>
      </w:r>
      <w:r/>
    </w:p>
    <w:p>
      <w:pPr>
        <w:jc w:val="center"/>
        <w:spacing w:line="360" w:lineRule="auto"/>
        <w:widowControl w:val="off"/>
        <w:rPr>
          <w:rFonts w:ascii="宋体" w:hAnsi="宋体" w:cs="宋体"/>
          <w:b/>
          <w:color w:val="auto"/>
          <w:sz w:val="32"/>
          <w:szCs w:val="32"/>
          <w:highlight w:val="none"/>
          <w:lang w:val="zh-CN"/>
        </w:rPr>
        <w:outlineLvl w:val="0"/>
      </w:pPr>
      <w:r/>
      <w:bookmarkStart w:id="22" w:name="_Toc2476"/>
      <w:r/>
      <w:r/>
    </w:p>
    <w:p>
      <w:pPr>
        <w:jc w:val="center"/>
        <w:spacing w:line="360" w:lineRule="auto"/>
        <w:widowControl w:val="off"/>
        <w:rPr>
          <w:rFonts w:ascii="宋体" w:hAnsi="宋体" w:cs="宋体"/>
          <w:b/>
          <w:color w:val="auto"/>
          <w:sz w:val="32"/>
          <w:szCs w:val="32"/>
          <w:highlight w:val="none"/>
          <w:lang w:val="zh-CN"/>
        </w:rPr>
        <w:outlineLvl w:val="0"/>
      </w:pPr>
      <w:r>
        <w:rPr>
          <w:rFonts w:ascii="宋体" w:hAnsi="宋体" w:cs="宋体"/>
          <w:b/>
          <w:color w:val="auto"/>
          <w:sz w:val="32"/>
          <w:szCs w:val="32"/>
          <w:highlight w:val="none"/>
          <w:lang w:val="zh-CN"/>
        </w:rPr>
      </w:r>
      <w:r/>
    </w:p>
    <w:p>
      <w:pPr>
        <w:jc w:val="center"/>
        <w:spacing w:line="360" w:lineRule="auto"/>
        <w:widowControl w:val="off"/>
        <w:rPr>
          <w:rFonts w:ascii="宋体" w:hAnsi="宋体" w:cs="宋体"/>
          <w:b/>
          <w:color w:val="auto"/>
          <w:sz w:val="32"/>
          <w:szCs w:val="32"/>
          <w:highlight w:val="none"/>
          <w:lang w:val="zh-CN"/>
        </w:rPr>
        <w:outlineLvl w:val="0"/>
      </w:pPr>
      <w:r>
        <w:rPr>
          <w:rFonts w:ascii="宋体" w:hAnsi="宋体" w:cs="宋体"/>
          <w:b/>
          <w:color w:val="auto"/>
          <w:sz w:val="32"/>
          <w:szCs w:val="32"/>
          <w:highlight w:val="none"/>
          <w:lang w:val="zh-CN"/>
        </w:rPr>
      </w:r>
      <w:r/>
    </w:p>
    <w:p>
      <w:pPr>
        <w:jc w:val="center"/>
        <w:spacing w:line="360" w:lineRule="auto"/>
        <w:widowControl w:val="off"/>
        <w:rPr>
          <w:rFonts w:ascii="宋体" w:hAnsi="宋体" w:cs="宋体"/>
          <w:b/>
          <w:color w:val="auto"/>
          <w:sz w:val="32"/>
          <w:szCs w:val="32"/>
          <w:highlight w:val="none"/>
          <w:lang w:val="zh-CN"/>
        </w:rPr>
        <w:outlineLvl w:val="0"/>
      </w:pPr>
      <w:r>
        <w:rPr>
          <w:rFonts w:ascii="宋体" w:hAnsi="宋体" w:cs="宋体"/>
          <w:b/>
          <w:color w:val="auto"/>
          <w:sz w:val="32"/>
          <w:szCs w:val="32"/>
          <w:highlight w:val="none"/>
          <w:lang w:val="zh-CN"/>
        </w:rPr>
      </w:r>
      <w:r/>
    </w:p>
    <w:p>
      <w:pPr>
        <w:jc w:val="center"/>
        <w:spacing w:line="360" w:lineRule="auto"/>
        <w:widowControl w:val="off"/>
        <w:rPr>
          <w:rFonts w:ascii="宋体" w:hAnsi="宋体" w:cs="宋体"/>
          <w:b/>
          <w:color w:val="auto"/>
          <w:sz w:val="32"/>
          <w:szCs w:val="32"/>
          <w:highlight w:val="none"/>
          <w:lang w:val="zh-CN"/>
        </w:rPr>
        <w:outlineLvl w:val="0"/>
      </w:pPr>
      <w:r>
        <w:rPr>
          <w:rFonts w:ascii="宋体" w:hAnsi="宋体" w:cs="宋体"/>
          <w:b/>
          <w:color w:val="auto"/>
          <w:sz w:val="32"/>
          <w:szCs w:val="32"/>
          <w:highlight w:val="none"/>
          <w:lang w:val="zh-CN"/>
        </w:rPr>
      </w:r>
      <w:r/>
    </w:p>
    <w:p>
      <w:pPr>
        <w:jc w:val="center"/>
        <w:spacing w:line="360" w:lineRule="auto"/>
        <w:widowControl w:val="off"/>
        <w:rPr>
          <w:rFonts w:ascii="宋体" w:hAnsi="宋体" w:cs="宋体"/>
          <w:b/>
          <w:color w:val="auto"/>
          <w:sz w:val="32"/>
          <w:szCs w:val="32"/>
          <w:highlight w:val="none"/>
          <w:lang w:val="zh-CN"/>
        </w:rPr>
        <w:outlineLvl w:val="0"/>
      </w:pPr>
      <w:r>
        <w:rPr>
          <w:rFonts w:hint="eastAsia" w:ascii="宋体" w:hAnsi="宋体" w:cs="宋体"/>
          <w:b/>
          <w:color w:val="auto"/>
          <w:sz w:val="32"/>
          <w:szCs w:val="32"/>
          <w:highlight w:val="none"/>
          <w:lang w:val="zh-CN"/>
        </w:rPr>
        <w:t xml:space="preserve">第三章 投标文件格式</w:t>
      </w:r>
      <w:bookmarkEnd w:id="21"/>
      <w:r/>
      <w:bookmarkEnd w:id="22"/>
      <w:r/>
      <w:r/>
    </w:p>
    <w:p>
      <w:pPr>
        <w:jc w:val="both"/>
        <w:spacing w:line="360" w:lineRule="auto"/>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说明：</w:t>
      </w:r>
      <w:r/>
    </w:p>
    <w:p>
      <w:pPr>
        <w:pStyle w:val="1014"/>
        <w:ind w:firstLine="422"/>
        <w:spacing w:line="360" w:lineRule="auto"/>
        <w:rPr>
          <w:rFonts w:ascii="宋体" w:hAnsi="宋体" w:cs="宋体"/>
          <w:color w:val="auto"/>
          <w:highlight w:val="none"/>
        </w:rPr>
      </w:pPr>
      <w:r>
        <w:rPr>
          <w:rFonts w:hint="eastAsia" w:ascii="宋体" w:hAnsi="宋体" w:cs="宋体"/>
          <w:b/>
          <w:color w:val="auto"/>
          <w:szCs w:val="21"/>
          <w:highlight w:val="none"/>
          <w:shd w:val="clear" w:color="auto" w:fill="ffffff"/>
        </w:rPr>
        <w:t xml:space="preserve">对本章所有的投标书格式 ，投标方可根据自身情况进行补充和修改，但补充和修改不得造成与本格式内容有实质性的违背。</w:t>
      </w:r>
      <w:r/>
    </w:p>
    <w:p>
      <w:pPr>
        <w:pStyle w:val="1014"/>
        <w:ind w:firstLine="420"/>
        <w:rPr>
          <w:rFonts w:ascii="宋体" w:hAnsi="宋体" w:cs="宋体"/>
          <w:color w:val="auto"/>
          <w:highlight w:val="none"/>
        </w:rPr>
      </w:pPr>
      <w:r>
        <w:rPr>
          <w:rFonts w:ascii="宋体" w:hAnsi="宋体" w:cs="宋体"/>
          <w:color w:val="auto"/>
          <w:highlight w:val="none"/>
        </w:rPr>
      </w:r>
      <w:r/>
    </w:p>
    <w:p>
      <w:pPr>
        <w:pStyle w:val="1014"/>
        <w:ind w:firstLine="420"/>
        <w:rPr>
          <w:rFonts w:ascii="宋体" w:hAnsi="宋体" w:cs="宋体"/>
          <w:color w:val="auto"/>
          <w:highlight w:val="none"/>
        </w:rPr>
      </w:pPr>
      <w:r>
        <w:rPr>
          <w:rFonts w:ascii="宋体" w:hAnsi="宋体" w:cs="宋体"/>
          <w:color w:val="auto"/>
          <w:highlight w:val="none"/>
        </w:rPr>
      </w:r>
      <w:r/>
    </w:p>
    <w:p>
      <w:pPr>
        <w:pStyle w:val="1014"/>
        <w:ind w:firstLine="420"/>
        <w:rPr>
          <w:rFonts w:ascii="宋体" w:hAnsi="宋体" w:cs="宋体"/>
          <w:color w:val="auto"/>
          <w:highlight w:val="none"/>
        </w:rPr>
      </w:pPr>
      <w:r>
        <w:rPr>
          <w:rFonts w:ascii="宋体" w:hAnsi="宋体" w:cs="宋体"/>
          <w:color w:val="auto"/>
          <w:highlight w:val="none"/>
        </w:rPr>
      </w:r>
      <w:r/>
    </w:p>
    <w:p>
      <w:pPr>
        <w:pStyle w:val="1014"/>
        <w:ind w:firstLine="420"/>
        <w:rPr>
          <w:rFonts w:ascii="宋体" w:hAnsi="宋体" w:cs="宋体"/>
          <w:color w:val="auto"/>
          <w:highlight w:val="none"/>
        </w:rPr>
      </w:pPr>
      <w:r>
        <w:rPr>
          <w:rFonts w:ascii="宋体" w:hAnsi="宋体" w:cs="宋体"/>
          <w:color w:val="auto"/>
          <w:highlight w:val="none"/>
        </w:rPr>
      </w:r>
      <w:r/>
    </w:p>
    <w:p>
      <w:pPr>
        <w:pStyle w:val="1014"/>
        <w:ind w:firstLine="420"/>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hint="eastAsia" w:ascii="宋体" w:hAnsi="宋体" w:cs="宋体"/>
          <w:color w:val="auto"/>
          <w:highlight w:val="none"/>
        </w:rPr>
        <w:br w:type="page" w:clear="all"/>
      </w:r>
      <w:r/>
    </w:p>
    <w:p>
      <w:pPr>
        <w:pStyle w:val="972"/>
        <w:pageBreakBefore/>
        <w:spacing w:before="0" w:after="0" w:line="360" w:lineRule="auto"/>
        <w:rPr>
          <w:rFonts w:ascii="宋体" w:hAnsi="宋体" w:cs="宋体"/>
          <w:bCs w:val="0"/>
          <w:color w:val="auto"/>
          <w:sz w:val="21"/>
          <w:szCs w:val="21"/>
          <w:highlight w:val="none"/>
        </w:rPr>
      </w:pPr>
      <w:r>
        <w:rPr>
          <w:rFonts w:hint="eastAsia" w:ascii="宋体" w:hAnsi="宋体" w:cs="宋体"/>
          <w:bCs w:val="0"/>
          <w:color w:val="auto"/>
          <w:sz w:val="21"/>
          <w:szCs w:val="21"/>
          <w:highlight w:val="none"/>
          <w:lang w:val="zh-CN"/>
        </w:rPr>
        <w:t xml:space="preserve">格式1、投标函</w:t>
      </w:r>
      <w:r/>
    </w:p>
    <w:p>
      <w:pPr>
        <w:jc w:val="center"/>
        <w:spacing w:line="360" w:lineRule="exact"/>
        <w:widowControl w:val="off"/>
        <w:rPr>
          <w:rFonts w:ascii="宋体" w:hAnsi="宋体" w:cs="宋体"/>
          <w:color w:val="auto"/>
          <w:sz w:val="21"/>
          <w:szCs w:val="21"/>
          <w:highlight w:val="none"/>
          <w:u w:val="single"/>
          <w:lang w:val="zh-CN"/>
        </w:rPr>
      </w:pPr>
      <w:r>
        <w:rPr>
          <w:rFonts w:hint="eastAsia" w:ascii="宋体" w:hAnsi="宋体" w:cs="宋体"/>
          <w:b/>
          <w:color w:val="auto"/>
          <w:sz w:val="21"/>
          <w:szCs w:val="21"/>
          <w:highlight w:val="none"/>
          <w:lang w:val="zh-CN"/>
        </w:rPr>
        <w:t xml:space="preserve">投标函</w:t>
      </w:r>
      <w:r/>
    </w:p>
    <w:p>
      <w:pPr>
        <w:rPr>
          <w:rFonts w:ascii="宋体" w:hAnsi="宋体" w:cs="宋体"/>
          <w:color w:val="auto"/>
          <w:sz w:val="21"/>
          <w:szCs w:val="21"/>
          <w:highlight w:val="none"/>
        </w:rPr>
      </w:pPr>
      <w:r>
        <w:rPr>
          <w:rFonts w:hint="eastAsia" w:ascii="宋体" w:hAnsi="宋体" w:cs="宋体"/>
          <w:b/>
          <w:bCs/>
          <w:color w:val="auto"/>
          <w:sz w:val="21"/>
          <w:szCs w:val="21"/>
          <w:highlight w:val="none"/>
          <w:u w:val="single"/>
        </w:rPr>
        <w:t xml:space="preserve">苏州乐慧招投标咨询有限公司</w:t>
      </w:r>
      <w:r>
        <w:rPr>
          <w:rFonts w:hint="eastAsia" w:ascii="宋体" w:hAnsi="宋体" w:cs="宋体"/>
          <w:b/>
          <w:bCs/>
          <w:color w:val="auto"/>
          <w:sz w:val="21"/>
          <w:szCs w:val="21"/>
          <w:highlight w:val="none"/>
        </w:rPr>
        <w:t xml:space="preserve">： </w:t>
      </w:r>
      <w:r/>
    </w:p>
    <w:p>
      <w:pPr>
        <w:ind w:firstLine="420"/>
        <w:jc w:val="both"/>
        <w:spacing w:line="38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我方收到贵公司</w:t>
      </w:r>
      <w:r>
        <w:rPr>
          <w:rFonts w:hint="eastAsia" w:ascii="宋体" w:hAnsi="宋体" w:cs="宋体"/>
          <w:color w:val="auto"/>
          <w:sz w:val="21"/>
          <w:szCs w:val="21"/>
          <w:highlight w:val="none"/>
          <w:u w:val="single"/>
          <w:lang w:val="zh-CN"/>
        </w:rPr>
        <w:t xml:space="preserve">          </w:t>
      </w:r>
      <w:r>
        <w:rPr>
          <w:rFonts w:hint="eastAsia" w:ascii="宋体" w:hAnsi="宋体" w:cs="宋体"/>
          <w:color w:val="auto"/>
          <w:sz w:val="21"/>
          <w:szCs w:val="21"/>
          <w:highlight w:val="none"/>
        </w:rPr>
        <w:t xml:space="preserve">号招标文件，经仔细阅读和研究，我方决定参加投标。并向贵公司承诺：</w:t>
      </w:r>
      <w:r/>
    </w:p>
    <w:p>
      <w:pPr>
        <w:ind w:firstLine="420"/>
        <w:jc w:val="both"/>
        <w:spacing w:line="380" w:lineRule="exact"/>
        <w:widowControl w:val="off"/>
        <w:rPr>
          <w:rFonts w:ascii="宋体" w:hAnsi="宋体" w:cs="宋体"/>
          <w:b/>
          <w:bCs/>
          <w:color w:val="auto"/>
          <w:sz w:val="21"/>
          <w:szCs w:val="21"/>
          <w:highlight w:val="none"/>
        </w:rPr>
      </w:pPr>
      <w:r>
        <w:rPr>
          <w:rFonts w:hint="eastAsia" w:ascii="宋体" w:hAnsi="宋体" w:cs="宋体"/>
          <w:color w:val="auto"/>
          <w:sz w:val="21"/>
          <w:szCs w:val="21"/>
          <w:highlight w:val="none"/>
        </w:rPr>
        <w:t xml:space="preserve">1、我方愿意按照招标文件的一切要求，提供本</w:t>
      </w:r>
      <w:r>
        <w:rPr>
          <w:rFonts w:hint="eastAsia" w:ascii="宋体" w:hAnsi="宋体" w:cs="宋体"/>
          <w:color w:val="auto"/>
          <w:sz w:val="21"/>
          <w:szCs w:val="21"/>
          <w:highlight w:val="none"/>
          <w:lang w:eastAsia="zh-CN"/>
        </w:rPr>
        <w:t xml:space="preserve">采购包</w:t>
      </w:r>
      <w:r>
        <w:rPr>
          <w:rFonts w:hint="eastAsia" w:ascii="宋体" w:hAnsi="宋体" w:cs="宋体"/>
          <w:color w:val="auto"/>
          <w:sz w:val="21"/>
          <w:szCs w:val="21"/>
          <w:highlight w:val="none"/>
        </w:rPr>
        <w:t xml:space="preserve">的所有内容，我方的投标报价包括完成项目服务工作所需的采样费、检测费、实验室及检测设备使用费用、耗材、各种税费、人工、保险、劳保、利润、税金、及合同包含的所有风险、责任等各项应有的所有费用。</w:t>
      </w:r>
      <w:r/>
    </w:p>
    <w:p>
      <w:pPr>
        <w:ind w:firstLine="420"/>
        <w:jc w:val="both"/>
        <w:spacing w:line="38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2、如果我方的投标书被接受，我方将严格履行招标文件中规定的每一项要求，严格履行合同的责任和义务，保证按期、按质履行合同，完成合同内容所规定的全部工作。</w:t>
      </w:r>
      <w:r/>
    </w:p>
    <w:p>
      <w:pPr>
        <w:jc w:val="both"/>
        <w:spacing w:line="38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    3、我方同意按招标文件中的规定，本投标书的有效期限为开标后90天。</w:t>
      </w:r>
      <w:r/>
    </w:p>
    <w:p>
      <w:pPr>
        <w:jc w:val="both"/>
        <w:spacing w:line="38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    4、我方愿意提供采购人在招标文件中要求的所有资料。也同意向贵方提供贵方可能另外要求的与我方投标有关的任何证据或资料。并保证所提供的资料全部是真实的、有效的，若有虚假，我方愿承担一切责任。</w:t>
      </w:r>
      <w:r/>
    </w:p>
    <w:p>
      <w:pPr>
        <w:jc w:val="both"/>
        <w:spacing w:line="38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    5、我方认为贵方有权根据评标委员会的评审结果决定中标者，还认为贵方有权根据评标委员会的评审结果接受或拒绝所有的投标者。</w:t>
      </w:r>
      <w:r/>
    </w:p>
    <w:p>
      <w:pPr>
        <w:jc w:val="both"/>
        <w:spacing w:line="38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    6、我方愿意遵守招标公告及招标文件中所列的收费标准。</w:t>
      </w:r>
      <w:r/>
    </w:p>
    <w:p>
      <w:pPr>
        <w:jc w:val="both"/>
        <w:spacing w:line="38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    7、我方承诺该项投标在开标后的全过程中保持有效，不作任何更改和变动。我方同意中标后若不履行投标文件的内容要求和各项承诺及义务的即被视为违约，我方的中标资格将被取消。</w:t>
      </w:r>
      <w:r/>
    </w:p>
    <w:p>
      <w:pPr>
        <w:jc w:val="both"/>
        <w:spacing w:line="38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    8、我方同意中标方若无法按约定条款履行义务等行为，采购人有权取消我方的中标资格。</w:t>
      </w:r>
      <w:r/>
    </w:p>
    <w:p>
      <w:pPr>
        <w:ind w:firstLine="420"/>
        <w:jc w:val="both"/>
        <w:spacing w:line="38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9、如果我方中标，我方愿意在签订前按招标文件规定支付中标服务费，逾期按中国人民银行公布的同期人民币贷款最高利率计付利息；</w:t>
      </w:r>
      <w:r/>
    </w:p>
    <w:p>
      <w:pPr>
        <w:ind w:firstLine="420"/>
        <w:jc w:val="both"/>
        <w:spacing w:line="38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10、与本投标有关的通讯地址：</w:t>
      </w:r>
      <w:r/>
    </w:p>
    <w:p>
      <w:pPr>
        <w:jc w:val="both"/>
        <w:spacing w:line="38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单    位：                                 联 系 人：                   </w:t>
      </w:r>
      <w:r/>
    </w:p>
    <w:p>
      <w:pPr>
        <w:jc w:val="both"/>
        <w:spacing w:line="38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地    址：                                 邮政编码：                   </w:t>
      </w:r>
      <w:r/>
    </w:p>
    <w:p>
      <w:pPr>
        <w:spacing w:line="38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联系电话：                                 传    真：                   </w:t>
      </w:r>
      <w:r/>
    </w:p>
    <w:p>
      <w:pPr>
        <w:spacing w:line="38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投标单位：（单位盖章）</w:t>
      </w:r>
      <w:r/>
    </w:p>
    <w:p>
      <w:pPr>
        <w:spacing w:line="38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单位法定代表人或代理人：（签字或签章）                      年     月     日</w:t>
      </w:r>
      <w:r/>
    </w:p>
    <w:p>
      <w:pPr>
        <w:pStyle w:val="1014"/>
        <w:ind w:firstLine="420"/>
        <w:rPr>
          <w:rFonts w:ascii="宋体" w:hAnsi="宋体" w:cs="宋体"/>
          <w:color w:val="auto"/>
          <w:szCs w:val="21"/>
          <w:highlight w:val="none"/>
        </w:rPr>
      </w:pPr>
      <w:r>
        <w:rPr>
          <w:rFonts w:ascii="宋体" w:hAnsi="宋体" w:cs="宋体"/>
          <w:color w:val="auto"/>
          <w:szCs w:val="21"/>
          <w:highlight w:val="none"/>
        </w:rPr>
      </w:r>
      <w:r/>
    </w:p>
    <w:p>
      <w:pPr>
        <w:pStyle w:val="1014"/>
        <w:ind w:firstLine="420"/>
        <w:rPr>
          <w:rFonts w:ascii="宋体" w:hAnsi="宋体" w:cs="宋体"/>
          <w:color w:val="auto"/>
          <w:szCs w:val="21"/>
          <w:highlight w:val="none"/>
        </w:rPr>
      </w:pPr>
      <w:r>
        <w:rPr>
          <w:rFonts w:ascii="宋体" w:hAnsi="宋体" w:cs="宋体"/>
          <w:color w:val="auto"/>
          <w:szCs w:val="21"/>
          <w:highlight w:val="none"/>
        </w:rPr>
      </w:r>
      <w:r/>
    </w:p>
    <w:p>
      <w:pPr>
        <w:pStyle w:val="1014"/>
        <w:ind w:firstLine="420"/>
        <w:rPr>
          <w:rFonts w:ascii="宋体" w:hAnsi="宋体" w:cs="宋体"/>
          <w:color w:val="auto"/>
          <w:szCs w:val="21"/>
          <w:highlight w:val="none"/>
        </w:rPr>
      </w:pPr>
      <w:r>
        <w:rPr>
          <w:rFonts w:ascii="宋体" w:hAnsi="宋体" w:cs="宋体"/>
          <w:color w:val="auto"/>
          <w:szCs w:val="21"/>
          <w:highlight w:val="none"/>
        </w:rPr>
      </w:r>
      <w:r/>
    </w:p>
    <w:p>
      <w:pPr>
        <w:pStyle w:val="1014"/>
        <w:ind w:firstLine="420"/>
        <w:rPr>
          <w:rFonts w:ascii="宋体" w:hAnsi="宋体" w:cs="宋体"/>
          <w:color w:val="auto"/>
          <w:szCs w:val="21"/>
          <w:highlight w:val="none"/>
        </w:rPr>
      </w:pPr>
      <w:r>
        <w:rPr>
          <w:rFonts w:ascii="宋体" w:hAnsi="宋体" w:cs="宋体"/>
          <w:color w:val="auto"/>
          <w:szCs w:val="21"/>
          <w:highlight w:val="none"/>
        </w:rPr>
      </w:r>
      <w:r/>
    </w:p>
    <w:p>
      <w:pPr>
        <w:pStyle w:val="1014"/>
        <w:ind w:firstLine="420"/>
        <w:rPr>
          <w:rFonts w:ascii="宋体" w:hAnsi="宋体" w:cs="宋体"/>
          <w:color w:val="auto"/>
          <w:szCs w:val="21"/>
          <w:highlight w:val="none"/>
        </w:rPr>
      </w:pPr>
      <w:r>
        <w:rPr>
          <w:rFonts w:ascii="宋体" w:hAnsi="宋体" w:cs="宋体"/>
          <w:color w:val="auto"/>
          <w:szCs w:val="21"/>
          <w:highlight w:val="none"/>
        </w:rPr>
      </w:r>
      <w:r/>
    </w:p>
    <w:p>
      <w:pPr>
        <w:pStyle w:val="1014"/>
        <w:ind w:firstLine="420"/>
        <w:rPr>
          <w:rFonts w:ascii="宋体" w:hAnsi="宋体" w:cs="宋体"/>
          <w:color w:val="auto"/>
          <w:szCs w:val="21"/>
          <w:highlight w:val="none"/>
        </w:rPr>
      </w:pPr>
      <w:r>
        <w:rPr>
          <w:rFonts w:ascii="宋体" w:hAnsi="宋体" w:cs="宋体"/>
          <w:color w:val="auto"/>
          <w:szCs w:val="21"/>
          <w:highlight w:val="none"/>
        </w:rPr>
      </w:r>
      <w:r/>
    </w:p>
    <w:p>
      <w:pPr>
        <w:pStyle w:val="1014"/>
        <w:ind w:firstLine="420"/>
        <w:rPr>
          <w:rFonts w:ascii="宋体" w:hAnsi="宋体" w:cs="宋体"/>
          <w:color w:val="auto"/>
          <w:szCs w:val="21"/>
          <w:highlight w:val="none"/>
        </w:rPr>
      </w:pPr>
      <w:r>
        <w:rPr>
          <w:rFonts w:ascii="宋体" w:hAnsi="宋体" w:cs="宋体"/>
          <w:color w:val="auto"/>
          <w:szCs w:val="21"/>
          <w:highlight w:val="none"/>
        </w:rPr>
      </w:r>
      <w:r/>
    </w:p>
    <w:p>
      <w:pPr>
        <w:pStyle w:val="1014"/>
        <w:ind w:firstLine="420"/>
        <w:rPr>
          <w:rFonts w:ascii="宋体" w:hAnsi="宋体" w:cs="宋体"/>
          <w:color w:val="auto"/>
          <w:szCs w:val="21"/>
          <w:highlight w:val="none"/>
        </w:rPr>
      </w:pPr>
      <w:r>
        <w:rPr>
          <w:rFonts w:ascii="宋体" w:hAnsi="宋体" w:cs="宋体"/>
          <w:color w:val="auto"/>
          <w:szCs w:val="21"/>
          <w:highlight w:val="none"/>
        </w:rPr>
      </w:r>
      <w:r/>
    </w:p>
    <w:p>
      <w:pPr>
        <w:pStyle w:val="972"/>
        <w:pageBreakBefore/>
        <w:spacing w:before="0" w:after="0" w:line="360" w:lineRule="auto"/>
        <w:rPr>
          <w:rFonts w:ascii="宋体" w:hAnsi="宋体" w:cs="宋体"/>
          <w:bCs w:val="0"/>
          <w:color w:val="auto"/>
          <w:sz w:val="21"/>
          <w:szCs w:val="21"/>
          <w:highlight w:val="none"/>
          <w:lang w:val="zh-CN"/>
        </w:rPr>
      </w:pPr>
      <w:r>
        <w:rPr>
          <w:rFonts w:hint="eastAsia" w:ascii="宋体" w:hAnsi="宋体" w:cs="宋体"/>
          <w:bCs w:val="0"/>
          <w:color w:val="auto"/>
          <w:sz w:val="21"/>
          <w:szCs w:val="21"/>
          <w:highlight w:val="none"/>
          <w:lang w:val="zh-CN"/>
        </w:rPr>
        <w:t xml:space="preserve">格式</w:t>
      </w:r>
      <w:r>
        <w:rPr>
          <w:rFonts w:hint="eastAsia" w:ascii="宋体" w:hAnsi="宋体" w:cs="宋体"/>
          <w:bCs w:val="0"/>
          <w:color w:val="auto"/>
          <w:sz w:val="21"/>
          <w:szCs w:val="21"/>
          <w:highlight w:val="none"/>
        </w:rPr>
        <w:t xml:space="preserve">2</w:t>
      </w:r>
      <w:r>
        <w:rPr>
          <w:rFonts w:hint="eastAsia" w:ascii="宋体" w:hAnsi="宋体" w:cs="宋体"/>
          <w:bCs w:val="0"/>
          <w:color w:val="auto"/>
          <w:sz w:val="21"/>
          <w:szCs w:val="21"/>
          <w:highlight w:val="none"/>
          <w:lang w:val="zh-CN"/>
        </w:rPr>
        <w:t xml:space="preserve">、开标一览表</w:t>
      </w:r>
      <w:r/>
    </w:p>
    <w:p>
      <w:pPr>
        <w:jc w:val="center"/>
        <w:rPr>
          <w:rFonts w:ascii="宋体" w:hAnsi="宋体" w:cs="宋体"/>
          <w:b/>
          <w:color w:val="auto"/>
          <w:sz w:val="21"/>
          <w:szCs w:val="21"/>
          <w:highlight w:val="none"/>
        </w:rPr>
      </w:pPr>
      <w:r>
        <w:rPr>
          <w:rFonts w:hint="eastAsia" w:ascii="宋体" w:hAnsi="宋体" w:cs="宋体"/>
          <w:b/>
          <w:color w:val="auto"/>
          <w:sz w:val="21"/>
          <w:szCs w:val="21"/>
          <w:highlight w:val="none"/>
        </w:rPr>
        <w:t xml:space="preserve">开标一览表</w:t>
      </w:r>
      <w:r/>
    </w:p>
    <w:p>
      <w:pPr>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投标单位：             项目编号：           </w:t>
      </w:r>
      <w:r>
        <w:rPr>
          <w:rFonts w:hint="eastAsia" w:ascii="宋体" w:hAnsi="宋体" w:cs="宋体"/>
          <w:color w:val="auto"/>
          <w:sz w:val="21"/>
          <w:szCs w:val="21"/>
          <w:highlight w:val="none"/>
          <w:lang w:val="en-US" w:eastAsia="zh-CN"/>
        </w:rPr>
        <w:t xml:space="preserve">分包</w:t>
      </w:r>
      <w:r>
        <w:rPr>
          <w:rFonts w:hint="eastAsia" w:ascii="宋体" w:hAnsi="宋体" w:cs="宋体"/>
          <w:color w:val="auto"/>
          <w:sz w:val="21"/>
          <w:szCs w:val="21"/>
          <w:highlight w:val="none"/>
        </w:rPr>
        <w:t xml:space="preserve">号：  </w:t>
      </w:r>
      <w:r/>
    </w:p>
    <w:tbl>
      <w:tblPr>
        <w:tblStyle w:val="752"/>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25"/>
        <w:gridCol w:w="2552"/>
        <w:gridCol w:w="2985"/>
        <w:gridCol w:w="1934"/>
        <w:gridCol w:w="788"/>
      </w:tblGrid>
      <w:tr>
        <w:trPr>
          <w:jc w:val="center"/>
          <w:trHeight w:val="777"/>
        </w:trPr>
        <w:tc>
          <w:tcPr>
            <w:tcW w:w="552" w:type="pct"/>
            <w:vAlign w:val="center"/>
            <w:textDirection w:val="lrTb"/>
            <w:noWrap w:val="false"/>
          </w:tcPr>
          <w:p>
            <w:pPr>
              <w:jc w:val="center"/>
              <w:spacing w:line="36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序号</w:t>
            </w:r>
            <w:r/>
          </w:p>
        </w:tc>
        <w:tc>
          <w:tcPr>
            <w:tcW w:w="1374" w:type="pct"/>
            <w:vAlign w:val="center"/>
            <w:textDirection w:val="lrTb"/>
            <w:noWrap w:val="false"/>
          </w:tcPr>
          <w:p>
            <w:pPr>
              <w:jc w:val="center"/>
              <w:spacing w:line="36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eastAsia="zh-CN"/>
              </w:rPr>
              <w:t xml:space="preserve">采购包</w:t>
            </w:r>
            <w:r>
              <w:rPr>
                <w:rFonts w:hint="eastAsia" w:ascii="宋体" w:hAnsi="宋体" w:cs="宋体"/>
                <w:color w:val="auto"/>
                <w:sz w:val="21"/>
                <w:szCs w:val="21"/>
                <w:highlight w:val="none"/>
                <w:lang w:val="zh-CN"/>
              </w:rPr>
              <w:t xml:space="preserve">名称</w:t>
            </w:r>
            <w:r/>
          </w:p>
        </w:tc>
        <w:tc>
          <w:tcPr>
            <w:tcW w:w="1607" w:type="pct"/>
            <w:vAlign w:val="center"/>
            <w:textDirection w:val="lrTb"/>
            <w:noWrap w:val="false"/>
          </w:tcPr>
          <w:p>
            <w:pPr>
              <w:jc w:val="center"/>
              <w:spacing w:line="360" w:lineRule="exact"/>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优惠率（%）</w:t>
            </w:r>
            <w:r/>
          </w:p>
        </w:tc>
        <w:tc>
          <w:tcPr>
            <w:tcW w:w="1041" w:type="pct"/>
            <w:vAlign w:val="center"/>
            <w:textDirection w:val="lrTb"/>
            <w:noWrap w:val="false"/>
          </w:tcPr>
          <w:p>
            <w:pPr>
              <w:jc w:val="center"/>
              <w:spacing w:line="36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服务期限</w:t>
            </w:r>
            <w:r/>
          </w:p>
        </w:tc>
        <w:tc>
          <w:tcPr>
            <w:tcW w:w="424" w:type="pct"/>
            <w:vAlign w:val="center"/>
            <w:textDirection w:val="lrTb"/>
            <w:noWrap w:val="false"/>
          </w:tcPr>
          <w:p>
            <w:pPr>
              <w:jc w:val="center"/>
              <w:spacing w:line="36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备注</w:t>
            </w:r>
            <w:r/>
          </w:p>
        </w:tc>
      </w:tr>
      <w:tr>
        <w:trPr>
          <w:jc w:val="center"/>
          <w:trHeight w:val="1236"/>
        </w:trPr>
        <w:tc>
          <w:tcPr>
            <w:tcW w:w="552" w:type="pct"/>
            <w:vAlign w:val="center"/>
            <w:textDirection w:val="lrTb"/>
            <w:noWrap w:val="false"/>
          </w:tcPr>
          <w:p>
            <w:pPr>
              <w:jc w:val="center"/>
              <w:spacing w:line="36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w:t>
            </w:r>
            <w:r/>
          </w:p>
        </w:tc>
        <w:tc>
          <w:tcPr>
            <w:tcW w:w="1374" w:type="pct"/>
            <w:vAlign w:val="center"/>
            <w:textDirection w:val="lrTb"/>
            <w:noWrap w:val="false"/>
          </w:tcPr>
          <w:p>
            <w:pPr>
              <w:jc w:val="center"/>
              <w:spacing w:line="360" w:lineRule="exact"/>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607" w:type="pct"/>
            <w:vAlign w:val="center"/>
            <w:textDirection w:val="lrTb"/>
            <w:noWrap w:val="false"/>
          </w:tcPr>
          <w:p>
            <w:pPr>
              <w:spacing w:line="360" w:lineRule="exact"/>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041" w:type="pct"/>
            <w:vAlign w:val="center"/>
            <w:textDirection w:val="lrTb"/>
            <w:noWrap w:val="false"/>
          </w:tcPr>
          <w:p>
            <w:pPr>
              <w:jc w:val="center"/>
              <w:spacing w:line="360" w:lineRule="exact"/>
              <w:rPr>
                <w:rFonts w:ascii="宋体" w:hAnsi="宋体" w:cs="宋体"/>
                <w:color w:val="auto"/>
                <w:sz w:val="21"/>
                <w:szCs w:val="21"/>
                <w:highlight w:val="none"/>
                <w:lang w:val="zh-CN"/>
              </w:rPr>
            </w:pPr>
            <w:r>
              <w:rPr>
                <w:rFonts w:hint="eastAsia" w:ascii="宋体" w:hAnsi="宋体" w:cs="宋体"/>
                <w:color w:val="auto"/>
                <w:sz w:val="21"/>
                <w:szCs w:val="21"/>
                <w:highlight w:val="none"/>
                <w:u w:val="single"/>
              </w:rPr>
              <w:t xml:space="preserve">满足招标文件要求</w:t>
            </w:r>
            <w:r/>
          </w:p>
        </w:tc>
        <w:tc>
          <w:tcPr>
            <w:tcW w:w="424" w:type="pct"/>
            <w:vAlign w:val="center"/>
            <w:textDirection w:val="lrTb"/>
            <w:noWrap w:val="false"/>
          </w:tcPr>
          <w:p>
            <w:pPr>
              <w:jc w:val="center"/>
              <w:spacing w:line="360" w:lineRule="exact"/>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bl>
    <w:p>
      <w:pPr>
        <w:contextualSpacing/>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注：</w:t>
      </w:r>
      <w:r/>
    </w:p>
    <w:p>
      <w:pPr>
        <w:contextualSpacing/>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1.每包采购量（即抽查批次）为最低任务，采购单价=各产品批次单价限价*（1-优惠率）进行采购，各分包产品</w:t>
      </w:r>
      <w:r>
        <w:rPr>
          <w:rFonts w:hint="eastAsia" w:ascii="宋体" w:hAnsi="宋体" w:cs="宋体"/>
          <w:color w:val="auto"/>
          <w:sz w:val="21"/>
          <w:szCs w:val="21"/>
          <w:highlight w:val="none"/>
        </w:rPr>
        <w:t xml:space="preserve">最终抽查任务批次数以招标文件列明的各分包产品采购预算除以供应商中标单价计算得出。若不能整除，取小于商的最大整数。例如，某产品预算60000元，最低采购量为60批次，单价1000元/批次，某机构投标优惠率为20%，则投标单价为：1000*（1-20%）=800元/批次，该产品最终抽查任务批次数为60000/800=75批次；若机构投标优惠率为30%，则投标单价为1000*（1-30%）=700元/批次，那么该产品最终确定的抽查任务批次数为60000/700≈85批次，最终结算金额为85*700=59500元。</w:t>
      </w:r>
      <w:r>
        <w:rPr>
          <w:rFonts w:hint="eastAsia" w:ascii="宋体" w:hAnsi="宋体" w:cs="宋体"/>
          <w:b/>
          <w:bCs/>
          <w:color w:val="auto"/>
          <w:sz w:val="21"/>
          <w:szCs w:val="21"/>
          <w:highlight w:val="none"/>
        </w:rPr>
        <w:t xml:space="preserve">低于最低任务采购量(批次）或分包报价超过分包预算金额的，按无效报价处理。每个</w:t>
      </w:r>
      <w:r>
        <w:rPr>
          <w:rFonts w:hint="eastAsia" w:ascii="宋体" w:hAnsi="宋体" w:cs="宋体"/>
          <w:b/>
          <w:bCs/>
          <w:color w:val="auto"/>
          <w:sz w:val="21"/>
          <w:szCs w:val="21"/>
          <w:highlight w:val="none"/>
          <w:lang w:eastAsia="zh-CN"/>
        </w:rPr>
        <w:t xml:space="preserve">采购包</w:t>
      </w:r>
      <w:r>
        <w:rPr>
          <w:rFonts w:hint="eastAsia" w:ascii="宋体" w:hAnsi="宋体" w:cs="宋体"/>
          <w:b/>
          <w:bCs/>
          <w:color w:val="auto"/>
          <w:sz w:val="21"/>
          <w:szCs w:val="21"/>
          <w:highlight w:val="none"/>
        </w:rPr>
        <w:t xml:space="preserve">优惠率只允许有一个，并且在合同履行过程中是固定不变的；任何有选择的报价将不予接受，并按无效响应处理。</w:t>
      </w:r>
      <w:r/>
    </w:p>
    <w:p>
      <w:pPr>
        <w:contextualSpacing/>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由于国家规范变更或其他因素，导致采购单位需要检测招标文件中未包含的项目，则检测费用按照清单中类似项目单价*（1－投标优惠率）*实际批次进行计算，若清单中无类似项目则按照国家市场监督管理总局、江苏省市场监督管理局招标市场价格或甲乙双方协商价格*（1－投标优惠率）*实际批次确认。</w:t>
      </w:r>
      <w:r/>
    </w:p>
    <w:p>
      <w:pPr>
        <w:contextualSpacing/>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报价包括完成项目服务工作所需的采样费、检测费、实验室及检测设备使用费用、耗材、各种税费、人工、保险、劳保、利润、税金、及合同包含的所有风险、责任等各项应有的所有费用。本次报价一经确定，后期不因任何原因而调整。</w:t>
      </w:r>
      <w:r/>
    </w:p>
    <w:p>
      <w:pPr>
        <w:contextualSpacing/>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4.本次招标，为保证价格的统一性及避免不平衡报价，供应商报价时报取统一的优惠率扣率即可，否则作无效投标处理。</w:t>
      </w:r>
      <w:r/>
    </w:p>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p>
      <w:pPr>
        <w:ind w:firstLine="420"/>
        <w:spacing w:line="38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投标单位：（单位盖章）</w:t>
      </w:r>
      <w:r/>
    </w:p>
    <w:p>
      <w:pPr>
        <w:ind w:firstLine="420"/>
        <w:spacing w:line="38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单位法定代表人或代理人：（签字或签章）                      年     月     日</w:t>
      </w:r>
      <w:r/>
    </w:p>
    <w:p>
      <w:pPr>
        <w:pStyle w:val="1014"/>
        <w:ind w:firstLine="0"/>
        <w:rPr>
          <w:rFonts w:ascii="宋体" w:hAnsi="宋体" w:cs="宋体"/>
          <w:color w:val="auto"/>
          <w:szCs w:val="21"/>
          <w:highlight w:val="none"/>
        </w:rPr>
      </w:pPr>
      <w:r>
        <w:rPr>
          <w:rFonts w:ascii="宋体" w:hAnsi="宋体" w:cs="宋体"/>
          <w:color w:val="auto"/>
          <w:szCs w:val="21"/>
          <w:highlight w:val="none"/>
        </w:rPr>
      </w:r>
      <w:r/>
    </w:p>
    <w:p>
      <w:pPr>
        <w:pStyle w:val="1014"/>
        <w:ind w:firstLine="0"/>
        <w:rPr>
          <w:rFonts w:ascii="宋体" w:hAnsi="宋体" w:cs="宋体"/>
          <w:color w:val="auto"/>
          <w:szCs w:val="21"/>
          <w:highlight w:val="none"/>
        </w:rPr>
      </w:pPr>
      <w:r>
        <w:rPr>
          <w:rFonts w:ascii="宋体" w:hAnsi="宋体" w:cs="宋体"/>
          <w:color w:val="auto"/>
          <w:szCs w:val="21"/>
          <w:highlight w:val="none"/>
        </w:rPr>
      </w:r>
      <w:r/>
    </w:p>
    <w:p>
      <w:pPr>
        <w:pStyle w:val="972"/>
        <w:pageBreakBefore/>
        <w:spacing w:before="0" w:after="0"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格式</w:t>
      </w:r>
      <w:r>
        <w:rPr>
          <w:rFonts w:hint="eastAsia" w:ascii="宋体" w:hAnsi="宋体" w:cs="宋体"/>
          <w:color w:val="auto"/>
          <w:sz w:val="21"/>
          <w:szCs w:val="21"/>
          <w:highlight w:val="none"/>
        </w:rPr>
        <w:t xml:space="preserve">3</w:t>
      </w:r>
      <w:r>
        <w:rPr>
          <w:rFonts w:hint="eastAsia" w:ascii="宋体" w:hAnsi="宋体" w:cs="宋体"/>
          <w:color w:val="auto"/>
          <w:sz w:val="21"/>
          <w:szCs w:val="21"/>
          <w:highlight w:val="none"/>
          <w:lang w:val="zh-CN"/>
        </w:rPr>
        <w:t xml:space="preserve">、报价明细表</w:t>
      </w:r>
      <w:r/>
    </w:p>
    <w:p>
      <w:pPr>
        <w:jc w:val="center"/>
        <w:spacing w:line="400" w:lineRule="exact"/>
        <w:rPr>
          <w:rFonts w:ascii="宋体" w:hAnsi="宋体" w:cs="宋体"/>
          <w:b/>
          <w:color w:val="auto"/>
          <w:sz w:val="21"/>
          <w:szCs w:val="21"/>
          <w:highlight w:val="none"/>
        </w:rPr>
      </w:pPr>
      <w:r>
        <w:rPr>
          <w:rFonts w:hint="eastAsia" w:ascii="宋体" w:hAnsi="宋体" w:cs="宋体"/>
          <w:b/>
          <w:color w:val="auto"/>
          <w:sz w:val="21"/>
          <w:szCs w:val="21"/>
          <w:highlight w:val="none"/>
          <w:lang w:val="zh-CN"/>
        </w:rPr>
        <w:t xml:space="preserve">报价明细表</w:t>
      </w:r>
      <w:r/>
    </w:p>
    <w:p>
      <w:pPr>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投标单位：             项目编号：           </w:t>
      </w:r>
      <w:r/>
    </w:p>
    <w:tbl>
      <w:tblPr>
        <w:tblStyle w:val="752"/>
        <w:tblW w:w="499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autofit"/>
        <w:tblCellMar>
          <w:left w:w="108" w:type="dxa"/>
          <w:top w:w="0" w:type="dxa"/>
          <w:right w:w="108" w:type="dxa"/>
          <w:bottom w:w="0" w:type="dxa"/>
        </w:tblCellMar>
        <w:tblLook w:val="04A0" w:firstRow="1" w:lastRow="0" w:firstColumn="1" w:lastColumn="0" w:noHBand="0" w:noVBand="1"/>
      </w:tblPr>
      <w:tblGrid>
        <w:gridCol w:w="700"/>
        <w:gridCol w:w="556"/>
        <w:gridCol w:w="2054"/>
        <w:gridCol w:w="1847"/>
        <w:gridCol w:w="1374"/>
        <w:gridCol w:w="1396"/>
        <w:gridCol w:w="1240"/>
      </w:tblGrid>
      <w:tr>
        <w:trPr>
          <w:trHeight w:val="340"/>
        </w:trPr>
        <w:tc>
          <w:tcPr>
            <w:shd w:val="clear" w:color="auto" w:fill="ffffff"/>
            <w:tcMar>
              <w:left w:w="51" w:type="dxa"/>
              <w:top w:w="0" w:type="dxa"/>
              <w:right w:w="51" w:type="dxa"/>
              <w:bottom w:w="0" w:type="dxa"/>
            </w:tcMar>
            <w:tcW w:w="382" w:type="pct"/>
            <w:vAlign w:val="center"/>
            <w:vMerge w:val="restart"/>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lang w:eastAsia="zh-CN"/>
              </w:rPr>
              <w:t xml:space="preserve">采购包</w:t>
            </w:r>
            <w:r>
              <w:rPr>
                <w:rFonts w:hint="eastAsia" w:ascii="宋体" w:hAnsi="宋体" w:cs="宋体"/>
                <w:b/>
                <w:bCs/>
                <w:color w:val="auto"/>
                <w:sz w:val="21"/>
                <w:szCs w:val="21"/>
                <w:highlight w:val="none"/>
              </w:rPr>
              <w:t xml:space="preserve">名称</w:t>
            </w:r>
            <w:r/>
          </w:p>
        </w:tc>
        <w:tc>
          <w:tcPr>
            <w:shd w:val="clear" w:color="auto" w:fill="ffffff"/>
            <w:tcMar>
              <w:left w:w="51" w:type="dxa"/>
              <w:top w:w="0" w:type="dxa"/>
              <w:right w:w="51" w:type="dxa"/>
              <w:bottom w:w="0" w:type="dxa"/>
            </w:tcMar>
            <w:tcW w:w="303" w:type="pct"/>
            <w:vAlign w:val="center"/>
            <w:vMerge w:val="restart"/>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序号</w:t>
            </w:r>
            <w:r/>
          </w:p>
        </w:tc>
        <w:tc>
          <w:tcPr>
            <w:shd w:val="clear" w:color="auto" w:fill="ffffff"/>
            <w:tcMar>
              <w:left w:w="51" w:type="dxa"/>
              <w:top w:w="0" w:type="dxa"/>
              <w:right w:w="51" w:type="dxa"/>
              <w:bottom w:w="0" w:type="dxa"/>
            </w:tcMar>
            <w:tcW w:w="1120" w:type="pct"/>
            <w:vAlign w:val="center"/>
            <w:vMerge w:val="restart"/>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产品名称</w:t>
            </w:r>
            <w:r/>
          </w:p>
        </w:tc>
        <w:tc>
          <w:tcPr>
            <w:shd w:val="clear" w:color="auto" w:fill="ffffff"/>
            <w:tcMar>
              <w:left w:w="51" w:type="dxa"/>
              <w:top w:w="0" w:type="dxa"/>
              <w:right w:w="51" w:type="dxa"/>
              <w:bottom w:w="0" w:type="dxa"/>
            </w:tcMar>
            <w:tcW w:w="1007" w:type="pct"/>
            <w:vAlign w:val="center"/>
            <w:vMerge w:val="restart"/>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抽检方式（监督抽检/风险监测</w:t>
            </w:r>
            <w:r/>
          </w:p>
        </w:tc>
        <w:tc>
          <w:tcPr>
            <w:shd w:val="clear" w:color="auto" w:fill="ffffff"/>
            <w:tcMar>
              <w:left w:w="51" w:type="dxa"/>
              <w:top w:w="0" w:type="dxa"/>
              <w:right w:w="51" w:type="dxa"/>
              <w:bottom w:w="0" w:type="dxa"/>
            </w:tcMar>
            <w:tcW w:w="749" w:type="pct"/>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2026年抽检计划</w:t>
            </w:r>
            <w:r/>
          </w:p>
        </w:tc>
        <w:tc>
          <w:tcPr>
            <w:shd w:val="clear" w:color="auto" w:fill="ffffff"/>
            <w:tcMar>
              <w:left w:w="51" w:type="dxa"/>
              <w:top w:w="0" w:type="dxa"/>
              <w:right w:w="51" w:type="dxa"/>
              <w:bottom w:w="0" w:type="dxa"/>
            </w:tcMar>
            <w:tcW w:w="761" w:type="pct"/>
            <w:vAlign w:val="center"/>
            <w:vMerge w:val="restart"/>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单价报价（元/批次）</w:t>
            </w:r>
            <w:r/>
          </w:p>
        </w:tc>
        <w:tc>
          <w:tcPr>
            <w:shd w:val="clear" w:color="auto" w:fill="ffffff"/>
            <w:tcMar>
              <w:left w:w="51" w:type="dxa"/>
              <w:top w:w="0" w:type="dxa"/>
              <w:right w:w="51" w:type="dxa"/>
              <w:bottom w:w="0" w:type="dxa"/>
            </w:tcMar>
            <w:tcW w:w="673" w:type="pct"/>
            <w:vAlign w:val="center"/>
            <w:vMerge w:val="restart"/>
            <w:textDirection w:val="lrTb"/>
            <w:noWrap w:val="false"/>
          </w:tcPr>
          <w:p>
            <w:pPr>
              <w:jc w:val="center"/>
              <w:rPr>
                <w:rFonts w:ascii="宋体" w:hAnsi="宋体" w:cs="宋体"/>
                <w:color w:val="auto"/>
                <w:sz w:val="21"/>
                <w:szCs w:val="21"/>
                <w:highlight w:val="none"/>
              </w:rPr>
            </w:pPr>
            <w:r>
              <w:rPr>
                <w:rFonts w:hint="eastAsia" w:ascii="宋体" w:hAnsi="宋体" w:cs="宋体"/>
                <w:b/>
                <w:bCs/>
                <w:color w:val="auto"/>
                <w:sz w:val="21"/>
                <w:szCs w:val="21"/>
                <w:highlight w:val="none"/>
              </w:rPr>
              <w:t xml:space="preserve">合计（元）</w:t>
            </w:r>
            <w:r/>
          </w:p>
        </w:tc>
      </w:tr>
      <w:tr>
        <w:trPr>
          <w:trHeight w:val="340"/>
        </w:trPr>
        <w:tc>
          <w:tcPr>
            <w:shd w:val="clear" w:color="auto" w:fill="ffffff"/>
            <w:tcMar>
              <w:left w:w="51" w:type="dxa"/>
              <w:top w:w="0" w:type="dxa"/>
              <w:right w:w="51" w:type="dxa"/>
              <w:bottom w:w="0" w:type="dxa"/>
            </w:tcMar>
            <w:tcW w:w="382" w:type="pct"/>
            <w:vAlign w:val="center"/>
            <w:vMerge w:val="continue"/>
            <w:textDirection w:val="lrTb"/>
            <w:noWrap w:val="false"/>
          </w:tcPr>
          <w:p>
            <w:pPr>
              <w:jc w:val="center"/>
              <w:rPr>
                <w:rFonts w:ascii="宋体" w:hAnsi="宋体" w:cs="宋体"/>
                <w:b/>
                <w:bCs/>
                <w:color w:val="auto"/>
                <w:sz w:val="21"/>
                <w:szCs w:val="21"/>
                <w:highlight w:val="none"/>
              </w:rPr>
            </w:pPr>
            <w:r>
              <w:rPr>
                <w:rFonts w:ascii="宋体" w:hAnsi="宋体" w:cs="宋体"/>
                <w:b/>
                <w:bCs/>
                <w:color w:val="auto"/>
                <w:sz w:val="21"/>
                <w:szCs w:val="21"/>
                <w:highlight w:val="none"/>
              </w:rPr>
            </w:r>
            <w:r/>
          </w:p>
        </w:tc>
        <w:tc>
          <w:tcPr>
            <w:shd w:val="clear" w:color="auto" w:fill="ffffff"/>
            <w:tcMar>
              <w:left w:w="51" w:type="dxa"/>
              <w:top w:w="0" w:type="dxa"/>
              <w:right w:w="51" w:type="dxa"/>
              <w:bottom w:w="0" w:type="dxa"/>
            </w:tcMar>
            <w:tcW w:w="303" w:type="pct"/>
            <w:vAlign w:val="center"/>
            <w:vMerge w:val="continue"/>
            <w:textDirection w:val="lrTb"/>
            <w:noWrap w:val="false"/>
          </w:tcPr>
          <w:p>
            <w:pPr>
              <w:jc w:val="center"/>
              <w:rPr>
                <w:rFonts w:ascii="宋体" w:hAnsi="宋体" w:cs="宋体"/>
                <w:b/>
                <w:bCs/>
                <w:color w:val="auto"/>
                <w:sz w:val="21"/>
                <w:szCs w:val="21"/>
                <w:highlight w:val="none"/>
              </w:rPr>
            </w:pPr>
            <w:r>
              <w:rPr>
                <w:rFonts w:ascii="宋体" w:hAnsi="宋体" w:cs="宋体"/>
                <w:b/>
                <w:bCs/>
                <w:color w:val="auto"/>
                <w:sz w:val="21"/>
                <w:szCs w:val="21"/>
                <w:highlight w:val="none"/>
              </w:rPr>
            </w:r>
            <w:r/>
          </w:p>
        </w:tc>
        <w:tc>
          <w:tcPr>
            <w:shd w:val="clear" w:color="auto" w:fill="ffffff"/>
            <w:tcMar>
              <w:left w:w="51" w:type="dxa"/>
              <w:top w:w="0" w:type="dxa"/>
              <w:right w:w="51" w:type="dxa"/>
              <w:bottom w:w="0" w:type="dxa"/>
            </w:tcMar>
            <w:tcW w:w="1120" w:type="pct"/>
            <w:vAlign w:val="center"/>
            <w:vMerge w:val="continue"/>
            <w:textDirection w:val="lrTb"/>
            <w:noWrap w:val="false"/>
          </w:tcPr>
          <w:p>
            <w:pPr>
              <w:jc w:val="center"/>
              <w:rPr>
                <w:rFonts w:ascii="宋体" w:hAnsi="宋体" w:cs="宋体"/>
                <w:b/>
                <w:bCs/>
                <w:color w:val="auto"/>
                <w:sz w:val="21"/>
                <w:szCs w:val="21"/>
                <w:highlight w:val="none"/>
              </w:rPr>
            </w:pPr>
            <w:r>
              <w:rPr>
                <w:rFonts w:ascii="宋体" w:hAnsi="宋体" w:cs="宋体"/>
                <w:b/>
                <w:bCs/>
                <w:color w:val="auto"/>
                <w:sz w:val="21"/>
                <w:szCs w:val="21"/>
                <w:highlight w:val="none"/>
              </w:rPr>
            </w:r>
            <w:r/>
          </w:p>
        </w:tc>
        <w:tc>
          <w:tcPr>
            <w:shd w:val="clear" w:color="auto" w:fill="ffffff"/>
            <w:tcMar>
              <w:left w:w="51" w:type="dxa"/>
              <w:top w:w="0" w:type="dxa"/>
              <w:right w:w="51" w:type="dxa"/>
              <w:bottom w:w="0" w:type="dxa"/>
            </w:tcMar>
            <w:tcW w:w="1007" w:type="pct"/>
            <w:vAlign w:val="center"/>
            <w:vMerge w:val="continue"/>
            <w:textDirection w:val="lrTb"/>
            <w:noWrap w:val="false"/>
          </w:tcPr>
          <w:p>
            <w:pPr>
              <w:jc w:val="center"/>
              <w:rPr>
                <w:rFonts w:ascii="宋体" w:hAnsi="宋体" w:cs="宋体"/>
                <w:b/>
                <w:bCs/>
                <w:color w:val="auto"/>
                <w:sz w:val="21"/>
                <w:szCs w:val="21"/>
                <w:highlight w:val="none"/>
              </w:rPr>
            </w:pPr>
            <w:r>
              <w:rPr>
                <w:rFonts w:ascii="宋体" w:hAnsi="宋体" w:cs="宋体"/>
                <w:b/>
                <w:bCs/>
                <w:color w:val="auto"/>
                <w:sz w:val="21"/>
                <w:szCs w:val="21"/>
                <w:highlight w:val="none"/>
              </w:rPr>
            </w:r>
            <w:r/>
          </w:p>
        </w:tc>
        <w:tc>
          <w:tcPr>
            <w:shd w:val="clear" w:color="auto" w:fill="ffffff"/>
            <w:tcMar>
              <w:left w:w="51" w:type="dxa"/>
              <w:top w:w="0" w:type="dxa"/>
              <w:right w:w="51" w:type="dxa"/>
              <w:bottom w:w="0" w:type="dxa"/>
            </w:tcMar>
            <w:tcW w:w="749" w:type="pct"/>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最低批次</w:t>
            </w:r>
            <w:r/>
          </w:p>
        </w:tc>
        <w:tc>
          <w:tcPr>
            <w:shd w:val="clear" w:color="auto" w:fill="ffffff"/>
            <w:tcMar>
              <w:left w:w="51" w:type="dxa"/>
              <w:top w:w="0" w:type="dxa"/>
              <w:right w:w="51" w:type="dxa"/>
              <w:bottom w:w="0" w:type="dxa"/>
            </w:tcMar>
            <w:tcW w:w="761" w:type="pct"/>
            <w:vAlign w:val="center"/>
            <w:vMerge w:val="continue"/>
            <w:textDirection w:val="lrTb"/>
            <w:noWrap w:val="false"/>
          </w:tcPr>
          <w:p>
            <w:pPr>
              <w:jc w:val="center"/>
              <w:rPr>
                <w:rFonts w:ascii="宋体" w:hAnsi="宋体" w:cs="宋体"/>
                <w:b/>
                <w:bCs/>
                <w:color w:val="auto"/>
                <w:sz w:val="21"/>
                <w:szCs w:val="21"/>
                <w:highlight w:val="none"/>
              </w:rPr>
            </w:pPr>
            <w:r>
              <w:rPr>
                <w:rFonts w:ascii="宋体" w:hAnsi="宋体" w:cs="宋体"/>
                <w:b/>
                <w:bCs/>
                <w:color w:val="auto"/>
                <w:sz w:val="21"/>
                <w:szCs w:val="21"/>
                <w:highlight w:val="none"/>
              </w:rPr>
            </w:r>
            <w:r/>
          </w:p>
        </w:tc>
        <w:tc>
          <w:tcPr>
            <w:shd w:val="clear" w:color="auto" w:fill="ffffff"/>
            <w:tcMar>
              <w:left w:w="51" w:type="dxa"/>
              <w:top w:w="0" w:type="dxa"/>
              <w:right w:w="51" w:type="dxa"/>
              <w:bottom w:w="0" w:type="dxa"/>
            </w:tcMar>
            <w:tcW w:w="673" w:type="pct"/>
            <w:vAlign w:val="center"/>
            <w:vMerge w:val="continue"/>
            <w:textDirection w:val="lrTb"/>
            <w:noWrap w:val="false"/>
          </w:tcPr>
          <w:p>
            <w:pPr>
              <w:jc w:val="center"/>
              <w:rPr>
                <w:rFonts w:ascii="宋体" w:hAnsi="宋体" w:cs="宋体"/>
                <w:b/>
                <w:bCs/>
                <w:color w:val="auto"/>
                <w:sz w:val="21"/>
                <w:szCs w:val="21"/>
                <w:highlight w:val="none"/>
              </w:rPr>
            </w:pPr>
            <w:r>
              <w:rPr>
                <w:rFonts w:ascii="宋体" w:hAnsi="宋体" w:cs="宋体"/>
                <w:b/>
                <w:bCs/>
                <w:color w:val="auto"/>
                <w:sz w:val="21"/>
                <w:szCs w:val="21"/>
                <w:highlight w:val="none"/>
              </w:rPr>
            </w:r>
            <w:r/>
          </w:p>
        </w:tc>
      </w:tr>
      <w:tr>
        <w:trPr>
          <w:trHeight w:val="340"/>
        </w:trPr>
        <w:tc>
          <w:tcPr>
            <w:shd w:val="clear" w:color="auto" w:fill="ffffff"/>
            <w:tcMar>
              <w:left w:w="51" w:type="dxa"/>
              <w:top w:w="0" w:type="dxa"/>
              <w:right w:w="51" w:type="dxa"/>
              <w:bottom w:w="0" w:type="dxa"/>
            </w:tcMar>
            <w:tcW w:w="382" w:type="pct"/>
            <w:vAlign w:val="center"/>
            <w:vMerge w:val="continue"/>
            <w:textDirection w:val="lrTb"/>
            <w:noWrap w:val="false"/>
          </w:tcPr>
          <w:p>
            <w:pPr>
              <w:jc w:val="center"/>
              <w:rPr>
                <w:rFonts w:ascii="宋体" w:hAnsi="宋体" w:cs="宋体"/>
                <w:b/>
                <w:bCs/>
                <w:color w:val="auto"/>
                <w:sz w:val="21"/>
                <w:szCs w:val="21"/>
                <w:highlight w:val="none"/>
              </w:rPr>
            </w:pPr>
            <w:r>
              <w:rPr>
                <w:rFonts w:ascii="宋体" w:hAnsi="宋体" w:cs="宋体"/>
                <w:b/>
                <w:bCs/>
                <w:color w:val="auto"/>
                <w:sz w:val="21"/>
                <w:szCs w:val="21"/>
                <w:highlight w:val="none"/>
              </w:rPr>
            </w:r>
            <w:r/>
          </w:p>
        </w:tc>
        <w:tc>
          <w:tcPr>
            <w:shd w:val="clear" w:color="auto" w:fill="ffffff"/>
            <w:tcMar>
              <w:left w:w="51" w:type="dxa"/>
              <w:top w:w="0" w:type="dxa"/>
              <w:right w:w="51" w:type="dxa"/>
              <w:bottom w:w="0" w:type="dxa"/>
            </w:tcMar>
            <w:tcW w:w="303" w:type="pct"/>
            <w:vAlign w:val="center"/>
            <w:vMerge w:val="continue"/>
            <w:textDirection w:val="lrTb"/>
            <w:noWrap w:val="false"/>
          </w:tcPr>
          <w:p>
            <w:pPr>
              <w:jc w:val="center"/>
              <w:rPr>
                <w:rFonts w:ascii="宋体" w:hAnsi="宋体" w:cs="宋体"/>
                <w:b/>
                <w:bCs/>
                <w:color w:val="auto"/>
                <w:sz w:val="21"/>
                <w:szCs w:val="21"/>
                <w:highlight w:val="none"/>
              </w:rPr>
            </w:pPr>
            <w:r>
              <w:rPr>
                <w:rFonts w:ascii="宋体" w:hAnsi="宋体" w:cs="宋体"/>
                <w:b/>
                <w:bCs/>
                <w:color w:val="auto"/>
                <w:sz w:val="21"/>
                <w:szCs w:val="21"/>
                <w:highlight w:val="none"/>
              </w:rPr>
            </w:r>
            <w:r/>
          </w:p>
        </w:tc>
        <w:tc>
          <w:tcPr>
            <w:shd w:val="clear" w:color="auto" w:fill="ffffff"/>
            <w:tcMar>
              <w:left w:w="51" w:type="dxa"/>
              <w:top w:w="0" w:type="dxa"/>
              <w:right w:w="51" w:type="dxa"/>
              <w:bottom w:w="0" w:type="dxa"/>
            </w:tcMar>
            <w:tcW w:w="1120" w:type="pct"/>
            <w:vAlign w:val="center"/>
            <w:vMerge w:val="continue"/>
            <w:textDirection w:val="lrTb"/>
            <w:noWrap w:val="false"/>
          </w:tcPr>
          <w:p>
            <w:pPr>
              <w:jc w:val="center"/>
              <w:rPr>
                <w:rFonts w:ascii="宋体" w:hAnsi="宋体" w:cs="宋体"/>
                <w:b/>
                <w:bCs/>
                <w:color w:val="auto"/>
                <w:sz w:val="21"/>
                <w:szCs w:val="21"/>
                <w:highlight w:val="none"/>
              </w:rPr>
            </w:pPr>
            <w:r>
              <w:rPr>
                <w:rFonts w:ascii="宋体" w:hAnsi="宋体" w:cs="宋体"/>
                <w:b/>
                <w:bCs/>
                <w:color w:val="auto"/>
                <w:sz w:val="21"/>
                <w:szCs w:val="21"/>
                <w:highlight w:val="none"/>
              </w:rPr>
            </w:r>
            <w:r/>
          </w:p>
        </w:tc>
        <w:tc>
          <w:tcPr>
            <w:shd w:val="clear" w:color="auto" w:fill="ffffff"/>
            <w:tcMar>
              <w:left w:w="51" w:type="dxa"/>
              <w:top w:w="0" w:type="dxa"/>
              <w:right w:w="51" w:type="dxa"/>
              <w:bottom w:w="0" w:type="dxa"/>
            </w:tcMar>
            <w:tcW w:w="1007" w:type="pct"/>
            <w:vAlign w:val="center"/>
            <w:vMerge w:val="continue"/>
            <w:textDirection w:val="lrTb"/>
            <w:noWrap w:val="false"/>
          </w:tcPr>
          <w:p>
            <w:pPr>
              <w:jc w:val="center"/>
              <w:rPr>
                <w:rFonts w:ascii="宋体" w:hAnsi="宋体" w:cs="宋体"/>
                <w:b/>
                <w:bCs/>
                <w:color w:val="auto"/>
                <w:sz w:val="21"/>
                <w:szCs w:val="21"/>
                <w:highlight w:val="none"/>
              </w:rPr>
            </w:pPr>
            <w:r>
              <w:rPr>
                <w:rFonts w:ascii="宋体" w:hAnsi="宋体" w:cs="宋体"/>
                <w:b/>
                <w:bCs/>
                <w:color w:val="auto"/>
                <w:sz w:val="21"/>
                <w:szCs w:val="21"/>
                <w:highlight w:val="none"/>
              </w:rPr>
            </w:r>
            <w:r/>
          </w:p>
        </w:tc>
        <w:tc>
          <w:tcPr>
            <w:shd w:val="clear" w:color="auto" w:fill="ffffff"/>
            <w:tcMar>
              <w:left w:w="51" w:type="dxa"/>
              <w:top w:w="0" w:type="dxa"/>
              <w:right w:w="51" w:type="dxa"/>
              <w:bottom w:w="0" w:type="dxa"/>
            </w:tcMar>
            <w:tcW w:w="749" w:type="pct"/>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a</w:t>
            </w:r>
            <w:r/>
          </w:p>
        </w:tc>
        <w:tc>
          <w:tcPr>
            <w:shd w:val="clear" w:color="auto" w:fill="ffffff"/>
            <w:tcMar>
              <w:left w:w="51" w:type="dxa"/>
              <w:top w:w="0" w:type="dxa"/>
              <w:right w:w="51" w:type="dxa"/>
              <w:bottom w:w="0" w:type="dxa"/>
            </w:tcMar>
            <w:tcW w:w="761" w:type="pct"/>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b</w:t>
            </w:r>
            <w:r/>
          </w:p>
        </w:tc>
        <w:tc>
          <w:tcPr>
            <w:shd w:val="clear" w:color="auto" w:fill="ffffff"/>
            <w:tcMar>
              <w:left w:w="51" w:type="dxa"/>
              <w:top w:w="0" w:type="dxa"/>
              <w:right w:w="51" w:type="dxa"/>
              <w:bottom w:w="0" w:type="dxa"/>
            </w:tcMar>
            <w:tcW w:w="673" w:type="pct"/>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C=a*b</w:t>
            </w:r>
            <w:r/>
          </w:p>
        </w:tc>
      </w:tr>
      <w:tr>
        <w:trPr>
          <w:trHeight w:val="340"/>
        </w:trPr>
        <w:tc>
          <w:tcPr>
            <w:shd w:val="clear" w:color="auto" w:fill="ffffff"/>
            <w:tcMar>
              <w:left w:w="51" w:type="dxa"/>
              <w:top w:w="0" w:type="dxa"/>
              <w:right w:w="51" w:type="dxa"/>
              <w:bottom w:w="0" w:type="dxa"/>
            </w:tcMar>
            <w:tcW w:w="382" w:type="pct"/>
            <w:vAlign w:val="center"/>
            <w:vMerge w:val="restart"/>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厨卫家电</w:t>
            </w:r>
            <w:r/>
          </w:p>
        </w:tc>
        <w:tc>
          <w:tcPr>
            <w:shd w:val="clear" w:color="auto" w:fill="ffffff"/>
            <w:tcMar>
              <w:left w:w="51" w:type="dxa"/>
              <w:top w:w="0" w:type="dxa"/>
              <w:right w:w="51" w:type="dxa"/>
              <w:bottom w:w="0" w:type="dxa"/>
            </w:tcMar>
            <w:tcW w:w="303"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shd w:val="clear" w:color="auto" w:fill="ffffff"/>
            <w:tcMar>
              <w:left w:w="51" w:type="dxa"/>
              <w:top w:w="0" w:type="dxa"/>
              <w:right w:w="51" w:type="dxa"/>
              <w:bottom w:w="0" w:type="dxa"/>
            </w:tcMar>
            <w:tcW w:w="112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吸油烟机</w:t>
            </w:r>
            <w:r/>
          </w:p>
        </w:tc>
        <w:tc>
          <w:tcPr>
            <w:shd w:val="clear" w:color="auto" w:fill="ffffff"/>
            <w:tcMar>
              <w:left w:w="51" w:type="dxa"/>
              <w:top w:w="0" w:type="dxa"/>
              <w:right w:w="51" w:type="dxa"/>
              <w:bottom w:w="0" w:type="dxa"/>
            </w:tcMar>
            <w:tcW w:w="100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监督抽查</w:t>
            </w:r>
            <w:r/>
          </w:p>
        </w:tc>
        <w:tc>
          <w:tcPr>
            <w:shd w:val="clear" w:color="auto" w:fill="ffffff"/>
            <w:tcMar>
              <w:left w:w="51" w:type="dxa"/>
              <w:top w:w="0" w:type="dxa"/>
              <w:right w:w="51" w:type="dxa"/>
              <w:bottom w:w="0" w:type="dxa"/>
            </w:tcMar>
            <w:tcW w:w="74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0"/>
                <w:szCs w:val="20"/>
                <w:highlight w:val="none"/>
              </w:rPr>
              <w:t xml:space="preserve">15</w:t>
            </w:r>
            <w:r/>
          </w:p>
        </w:tc>
        <w:tc>
          <w:tcPr>
            <w:shd w:val="clear" w:color="auto" w:fill="ffffff"/>
            <w:tcMar>
              <w:left w:w="51" w:type="dxa"/>
              <w:top w:w="0" w:type="dxa"/>
              <w:right w:w="51" w:type="dxa"/>
              <w:bottom w:w="0" w:type="dxa"/>
            </w:tcMar>
            <w:tcW w:w="761"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Mar>
              <w:left w:w="51" w:type="dxa"/>
              <w:top w:w="0" w:type="dxa"/>
              <w:right w:w="51" w:type="dxa"/>
              <w:bottom w:w="0" w:type="dxa"/>
            </w:tcMar>
            <w:tcW w:w="673"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trHeight w:val="340"/>
        </w:trPr>
        <w:tc>
          <w:tcPr>
            <w:shd w:val="clear" w:color="auto" w:fill="ffffff"/>
            <w:tcMar>
              <w:left w:w="51" w:type="dxa"/>
              <w:top w:w="0" w:type="dxa"/>
              <w:right w:w="51" w:type="dxa"/>
              <w:bottom w:w="0" w:type="dxa"/>
            </w:tcMar>
            <w:tcW w:w="382"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Mar>
              <w:left w:w="51" w:type="dxa"/>
              <w:top w:w="0" w:type="dxa"/>
              <w:right w:w="51" w:type="dxa"/>
              <w:bottom w:w="0" w:type="dxa"/>
            </w:tcMar>
            <w:tcW w:w="303"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shd w:val="clear" w:color="auto" w:fill="ffffff"/>
            <w:tcMar>
              <w:left w:w="51" w:type="dxa"/>
              <w:top w:w="0" w:type="dxa"/>
              <w:right w:w="51" w:type="dxa"/>
              <w:bottom w:w="0" w:type="dxa"/>
            </w:tcMar>
            <w:tcW w:w="112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微波炉</w:t>
            </w:r>
            <w:r/>
          </w:p>
        </w:tc>
        <w:tc>
          <w:tcPr>
            <w:shd w:val="clear" w:color="auto" w:fill="ffffff"/>
            <w:tcMar>
              <w:left w:w="51" w:type="dxa"/>
              <w:top w:w="0" w:type="dxa"/>
              <w:right w:w="51" w:type="dxa"/>
              <w:bottom w:w="0" w:type="dxa"/>
            </w:tcMar>
            <w:tcW w:w="100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监督抽查</w:t>
            </w:r>
            <w:r/>
          </w:p>
        </w:tc>
        <w:tc>
          <w:tcPr>
            <w:shd w:val="clear" w:color="auto" w:fill="ffffff"/>
            <w:tcMar>
              <w:left w:w="51" w:type="dxa"/>
              <w:top w:w="0" w:type="dxa"/>
              <w:right w:w="51" w:type="dxa"/>
              <w:bottom w:w="0" w:type="dxa"/>
            </w:tcMar>
            <w:tcW w:w="74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0"/>
                <w:szCs w:val="20"/>
                <w:highlight w:val="none"/>
              </w:rPr>
              <w:t xml:space="preserve">15</w:t>
            </w:r>
            <w:r/>
          </w:p>
        </w:tc>
        <w:tc>
          <w:tcPr>
            <w:shd w:val="clear" w:color="auto" w:fill="ffffff"/>
            <w:tcMar>
              <w:left w:w="51" w:type="dxa"/>
              <w:top w:w="0" w:type="dxa"/>
              <w:right w:w="51" w:type="dxa"/>
              <w:bottom w:w="0" w:type="dxa"/>
            </w:tcMar>
            <w:tcW w:w="761"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Mar>
              <w:left w:w="51" w:type="dxa"/>
              <w:top w:w="0" w:type="dxa"/>
              <w:right w:w="51" w:type="dxa"/>
              <w:bottom w:w="0" w:type="dxa"/>
            </w:tcMar>
            <w:tcW w:w="673"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trHeight w:val="340"/>
        </w:trPr>
        <w:tc>
          <w:tcPr>
            <w:shd w:val="clear" w:color="auto" w:fill="ffffff"/>
            <w:tcMar>
              <w:left w:w="51" w:type="dxa"/>
              <w:top w:w="0" w:type="dxa"/>
              <w:right w:w="51" w:type="dxa"/>
              <w:bottom w:w="0" w:type="dxa"/>
            </w:tcMar>
            <w:tcW w:w="382"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Mar>
              <w:left w:w="51" w:type="dxa"/>
              <w:top w:w="0" w:type="dxa"/>
              <w:right w:w="51" w:type="dxa"/>
              <w:bottom w:w="0" w:type="dxa"/>
            </w:tcMar>
            <w:tcW w:w="303"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shd w:val="clear" w:color="auto" w:fill="ffffff"/>
            <w:tcMar>
              <w:left w:w="51" w:type="dxa"/>
              <w:top w:w="0" w:type="dxa"/>
              <w:right w:w="51" w:type="dxa"/>
              <w:bottom w:w="0" w:type="dxa"/>
            </w:tcMar>
            <w:tcW w:w="112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储水式电热水器</w:t>
            </w:r>
            <w:r/>
          </w:p>
        </w:tc>
        <w:tc>
          <w:tcPr>
            <w:shd w:val="clear" w:color="auto" w:fill="ffffff"/>
            <w:tcMar>
              <w:left w:w="51" w:type="dxa"/>
              <w:top w:w="0" w:type="dxa"/>
              <w:right w:w="51" w:type="dxa"/>
              <w:bottom w:w="0" w:type="dxa"/>
            </w:tcMar>
            <w:tcW w:w="1007"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监督抽查</w:t>
            </w:r>
            <w:r/>
          </w:p>
        </w:tc>
        <w:tc>
          <w:tcPr>
            <w:shd w:val="clear" w:color="auto" w:fill="ffffff"/>
            <w:tcMar>
              <w:left w:w="51" w:type="dxa"/>
              <w:top w:w="0" w:type="dxa"/>
              <w:right w:w="51" w:type="dxa"/>
              <w:bottom w:w="0" w:type="dxa"/>
            </w:tcMar>
            <w:tcW w:w="74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0"/>
                <w:szCs w:val="20"/>
                <w:highlight w:val="none"/>
              </w:rPr>
              <w:t xml:space="preserve">20</w:t>
            </w:r>
            <w:r/>
          </w:p>
        </w:tc>
        <w:tc>
          <w:tcPr>
            <w:shd w:val="clear" w:color="auto" w:fill="ffffff"/>
            <w:tcMar>
              <w:left w:w="51" w:type="dxa"/>
              <w:top w:w="0" w:type="dxa"/>
              <w:right w:w="51" w:type="dxa"/>
              <w:bottom w:w="0" w:type="dxa"/>
            </w:tcMar>
            <w:tcW w:w="761"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Mar>
              <w:left w:w="51" w:type="dxa"/>
              <w:top w:w="0" w:type="dxa"/>
              <w:right w:w="51" w:type="dxa"/>
              <w:bottom w:w="0" w:type="dxa"/>
            </w:tcMar>
            <w:tcW w:w="673"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trHeight w:val="340"/>
        </w:trPr>
        <w:tc>
          <w:tcPr>
            <w:shd w:val="clear" w:color="auto" w:fill="ffffff"/>
            <w:tcMar>
              <w:left w:w="51" w:type="dxa"/>
              <w:top w:w="0" w:type="dxa"/>
              <w:right w:w="51" w:type="dxa"/>
              <w:bottom w:w="0" w:type="dxa"/>
            </w:tcMar>
            <w:tcW w:w="382"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Mar>
              <w:left w:w="51" w:type="dxa"/>
              <w:top w:w="0" w:type="dxa"/>
              <w:right w:w="51" w:type="dxa"/>
              <w:bottom w:w="0" w:type="dxa"/>
            </w:tcMar>
            <w:tcW w:w="303" w:type="pct"/>
            <w:vAlign w:val="center"/>
            <w:textDirection w:val="lrTb"/>
            <w:noWrap w:val="false"/>
          </w:tcPr>
          <w:p>
            <w:pPr>
              <w:jc w:val="center"/>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rPr>
              <w:t xml:space="preserve">……</w:t>
            </w:r>
            <w:r/>
          </w:p>
        </w:tc>
        <w:tc>
          <w:tcPr>
            <w:shd w:val="clear" w:color="auto" w:fill="ffffff"/>
            <w:tcMar>
              <w:left w:w="51" w:type="dxa"/>
              <w:top w:w="0" w:type="dxa"/>
              <w:right w:w="51" w:type="dxa"/>
              <w:bottom w:w="0" w:type="dxa"/>
            </w:tcMar>
            <w:tcW w:w="1120" w:type="pct"/>
            <w:vAlign w:val="center"/>
            <w:textDirection w:val="lrTb"/>
            <w:noWrap w:val="false"/>
          </w:tcPr>
          <w:p>
            <w:pPr>
              <w:jc w:val="center"/>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rPr>
              <w:t xml:space="preserve">……</w:t>
            </w:r>
            <w:r/>
          </w:p>
        </w:tc>
        <w:tc>
          <w:tcPr>
            <w:shd w:val="clear" w:color="auto" w:fill="ffffff"/>
            <w:tcMar>
              <w:left w:w="51" w:type="dxa"/>
              <w:top w:w="0" w:type="dxa"/>
              <w:right w:w="51" w:type="dxa"/>
              <w:bottom w:w="0" w:type="dxa"/>
            </w:tcMar>
            <w:tcW w:w="1007" w:type="pct"/>
            <w:vAlign w:val="center"/>
            <w:textDirection w:val="lrTb"/>
            <w:noWrap w:val="false"/>
          </w:tcPr>
          <w:p>
            <w:pPr>
              <w:jc w:val="center"/>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rPr>
              <w:t xml:space="preserve">……</w:t>
            </w:r>
            <w:r/>
          </w:p>
        </w:tc>
        <w:tc>
          <w:tcPr>
            <w:shd w:val="clear" w:color="auto" w:fill="ffffff"/>
            <w:tcMar>
              <w:left w:w="51" w:type="dxa"/>
              <w:top w:w="0" w:type="dxa"/>
              <w:right w:w="51" w:type="dxa"/>
              <w:bottom w:w="0" w:type="dxa"/>
            </w:tcMar>
            <w:tcW w:w="749" w:type="pct"/>
            <w:vAlign w:val="center"/>
            <w:textDirection w:val="lrTb"/>
            <w:noWrap w:val="false"/>
          </w:tcPr>
          <w:p>
            <w:pPr>
              <w:jc w:val="center"/>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rPr>
              <w:t xml:space="preserve">……</w:t>
            </w:r>
            <w:r/>
          </w:p>
        </w:tc>
        <w:tc>
          <w:tcPr>
            <w:shd w:val="clear" w:color="auto" w:fill="ffffff"/>
            <w:tcMar>
              <w:left w:w="51" w:type="dxa"/>
              <w:top w:w="0" w:type="dxa"/>
              <w:right w:w="51" w:type="dxa"/>
              <w:bottom w:w="0" w:type="dxa"/>
            </w:tcMar>
            <w:tcW w:w="761"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Mar>
              <w:left w:w="51" w:type="dxa"/>
              <w:top w:w="0" w:type="dxa"/>
              <w:right w:w="51" w:type="dxa"/>
              <w:bottom w:w="0" w:type="dxa"/>
            </w:tcMar>
            <w:tcW w:w="673"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trHeight w:val="340"/>
        </w:trPr>
        <w:tc>
          <w:tcPr>
            <w:shd w:val="clear" w:color="auto" w:fill="ffffff"/>
            <w:tcMar>
              <w:left w:w="51" w:type="dxa"/>
              <w:top w:w="0" w:type="dxa"/>
              <w:right w:w="51" w:type="dxa"/>
              <w:bottom w:w="0" w:type="dxa"/>
            </w:tcMar>
            <w:tcW w:w="382"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Mar>
              <w:left w:w="51" w:type="dxa"/>
              <w:top w:w="0" w:type="dxa"/>
              <w:right w:w="51" w:type="dxa"/>
              <w:bottom w:w="0" w:type="dxa"/>
            </w:tcMar>
            <w:tcW w:w="303"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Mar>
              <w:left w:w="51" w:type="dxa"/>
              <w:top w:w="0" w:type="dxa"/>
              <w:right w:w="51" w:type="dxa"/>
              <w:bottom w:w="0" w:type="dxa"/>
            </w:tcMar>
            <w:tcW w:w="1120"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Mar>
              <w:left w:w="51" w:type="dxa"/>
              <w:top w:w="0" w:type="dxa"/>
              <w:right w:w="51" w:type="dxa"/>
              <w:bottom w:w="0" w:type="dxa"/>
            </w:tcMar>
            <w:tcW w:w="1007"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Mar>
              <w:left w:w="51" w:type="dxa"/>
              <w:top w:w="0" w:type="dxa"/>
              <w:right w:w="51" w:type="dxa"/>
              <w:bottom w:w="0" w:type="dxa"/>
            </w:tcMar>
            <w:tcW w:w="749"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Mar>
              <w:left w:w="51" w:type="dxa"/>
              <w:top w:w="0" w:type="dxa"/>
              <w:right w:w="51" w:type="dxa"/>
              <w:bottom w:w="0" w:type="dxa"/>
            </w:tcMar>
            <w:tcW w:w="761"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Mar>
              <w:left w:w="51" w:type="dxa"/>
              <w:top w:w="0" w:type="dxa"/>
              <w:right w:w="51" w:type="dxa"/>
              <w:bottom w:w="0" w:type="dxa"/>
            </w:tcMar>
            <w:tcW w:w="673"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trHeight w:val="340"/>
        </w:trPr>
        <w:tc>
          <w:tcPr>
            <w:shd w:val="clear" w:color="auto" w:fill="ffffff"/>
            <w:tcMar>
              <w:left w:w="51" w:type="dxa"/>
              <w:top w:w="0" w:type="dxa"/>
              <w:right w:w="51" w:type="dxa"/>
              <w:bottom w:w="0" w:type="dxa"/>
            </w:tcMar>
            <w:tcW w:w="382"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Mar>
              <w:left w:w="51" w:type="dxa"/>
              <w:top w:w="0" w:type="dxa"/>
              <w:right w:w="51" w:type="dxa"/>
              <w:bottom w:w="0" w:type="dxa"/>
            </w:tcMar>
            <w:tcW w:w="303"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Mar>
              <w:left w:w="51" w:type="dxa"/>
              <w:top w:w="0" w:type="dxa"/>
              <w:right w:w="51" w:type="dxa"/>
              <w:bottom w:w="0" w:type="dxa"/>
            </w:tcMar>
            <w:tcW w:w="1120"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Mar>
              <w:left w:w="51" w:type="dxa"/>
              <w:top w:w="0" w:type="dxa"/>
              <w:right w:w="51" w:type="dxa"/>
              <w:bottom w:w="0" w:type="dxa"/>
            </w:tcMar>
            <w:tcW w:w="1007"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Mar>
              <w:left w:w="51" w:type="dxa"/>
              <w:top w:w="0" w:type="dxa"/>
              <w:right w:w="51" w:type="dxa"/>
              <w:bottom w:w="0" w:type="dxa"/>
            </w:tcMar>
            <w:tcW w:w="749"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Mar>
              <w:left w:w="51" w:type="dxa"/>
              <w:top w:w="0" w:type="dxa"/>
              <w:right w:w="51" w:type="dxa"/>
              <w:bottom w:w="0" w:type="dxa"/>
            </w:tcMar>
            <w:tcW w:w="761"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Mar>
              <w:left w:w="51" w:type="dxa"/>
              <w:top w:w="0" w:type="dxa"/>
              <w:right w:w="51" w:type="dxa"/>
              <w:bottom w:w="0" w:type="dxa"/>
            </w:tcMar>
            <w:tcW w:w="673"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trHeight w:val="340"/>
        </w:trPr>
        <w:tc>
          <w:tcPr>
            <w:shd w:val="clear" w:color="auto" w:fill="ffffff"/>
            <w:tcMar>
              <w:left w:w="51" w:type="dxa"/>
              <w:top w:w="0" w:type="dxa"/>
              <w:right w:w="51" w:type="dxa"/>
              <w:bottom w:w="0" w:type="dxa"/>
            </w:tcMar>
            <w:tcW w:w="382"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Mar>
              <w:left w:w="51" w:type="dxa"/>
              <w:top w:w="0" w:type="dxa"/>
              <w:right w:w="51" w:type="dxa"/>
              <w:bottom w:w="0" w:type="dxa"/>
            </w:tcMar>
            <w:tcW w:w="303"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Mar>
              <w:left w:w="51" w:type="dxa"/>
              <w:top w:w="0" w:type="dxa"/>
              <w:right w:w="51" w:type="dxa"/>
              <w:bottom w:w="0" w:type="dxa"/>
            </w:tcMar>
            <w:tcW w:w="1120"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Mar>
              <w:left w:w="51" w:type="dxa"/>
              <w:top w:w="0" w:type="dxa"/>
              <w:right w:w="51" w:type="dxa"/>
              <w:bottom w:w="0" w:type="dxa"/>
            </w:tcMar>
            <w:tcW w:w="1007"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Mar>
              <w:left w:w="51" w:type="dxa"/>
              <w:top w:w="0" w:type="dxa"/>
              <w:right w:w="51" w:type="dxa"/>
              <w:bottom w:w="0" w:type="dxa"/>
            </w:tcMar>
            <w:tcW w:w="749"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Mar>
              <w:left w:w="51" w:type="dxa"/>
              <w:top w:w="0" w:type="dxa"/>
              <w:right w:w="51" w:type="dxa"/>
              <w:bottom w:w="0" w:type="dxa"/>
            </w:tcMar>
            <w:tcW w:w="761"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Mar>
              <w:left w:w="51" w:type="dxa"/>
              <w:top w:w="0" w:type="dxa"/>
              <w:right w:w="51" w:type="dxa"/>
              <w:bottom w:w="0" w:type="dxa"/>
            </w:tcMar>
            <w:tcW w:w="673"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trHeight w:val="340"/>
        </w:trPr>
        <w:tc>
          <w:tcPr>
            <w:shd w:val="clear" w:color="auto" w:fill="ffffff"/>
            <w:tcMar>
              <w:left w:w="51" w:type="dxa"/>
              <w:top w:w="0" w:type="dxa"/>
              <w:right w:w="51" w:type="dxa"/>
              <w:bottom w:w="0" w:type="dxa"/>
            </w:tcMar>
            <w:tcW w:w="382"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Mar>
              <w:left w:w="51" w:type="dxa"/>
              <w:top w:w="0" w:type="dxa"/>
              <w:right w:w="51" w:type="dxa"/>
              <w:bottom w:w="0" w:type="dxa"/>
            </w:tcMar>
            <w:tcW w:w="303"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Mar>
              <w:left w:w="51" w:type="dxa"/>
              <w:top w:w="0" w:type="dxa"/>
              <w:right w:w="51" w:type="dxa"/>
              <w:bottom w:w="0" w:type="dxa"/>
            </w:tcMar>
            <w:tcW w:w="1120"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Mar>
              <w:left w:w="51" w:type="dxa"/>
              <w:top w:w="0" w:type="dxa"/>
              <w:right w:w="51" w:type="dxa"/>
              <w:bottom w:w="0" w:type="dxa"/>
            </w:tcMar>
            <w:tcW w:w="1007"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Mar>
              <w:left w:w="51" w:type="dxa"/>
              <w:top w:w="0" w:type="dxa"/>
              <w:right w:w="51" w:type="dxa"/>
              <w:bottom w:w="0" w:type="dxa"/>
            </w:tcMar>
            <w:tcW w:w="749"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Mar>
              <w:left w:w="51" w:type="dxa"/>
              <w:top w:w="0" w:type="dxa"/>
              <w:right w:w="51" w:type="dxa"/>
              <w:bottom w:w="0" w:type="dxa"/>
            </w:tcMar>
            <w:tcW w:w="761"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Mar>
              <w:left w:w="51" w:type="dxa"/>
              <w:top w:w="0" w:type="dxa"/>
              <w:right w:w="51" w:type="dxa"/>
              <w:bottom w:w="0" w:type="dxa"/>
            </w:tcMar>
            <w:tcW w:w="673"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trHeight w:val="340"/>
        </w:trPr>
        <w:tc>
          <w:tcPr>
            <w:shd w:val="clear" w:color="auto" w:fill="ffffff"/>
            <w:tcMar>
              <w:left w:w="51" w:type="dxa"/>
              <w:top w:w="0" w:type="dxa"/>
              <w:right w:w="51" w:type="dxa"/>
              <w:bottom w:w="0" w:type="dxa"/>
            </w:tcMar>
            <w:tcW w:w="382"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Mar>
              <w:left w:w="51" w:type="dxa"/>
              <w:top w:w="0" w:type="dxa"/>
              <w:right w:w="51" w:type="dxa"/>
              <w:bottom w:w="0" w:type="dxa"/>
            </w:tcMar>
            <w:tcW w:w="303"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Mar>
              <w:left w:w="51" w:type="dxa"/>
              <w:top w:w="0" w:type="dxa"/>
              <w:right w:w="51" w:type="dxa"/>
              <w:bottom w:w="0" w:type="dxa"/>
            </w:tcMar>
            <w:tcW w:w="1120"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Mar>
              <w:left w:w="51" w:type="dxa"/>
              <w:top w:w="0" w:type="dxa"/>
              <w:right w:w="51" w:type="dxa"/>
              <w:bottom w:w="0" w:type="dxa"/>
            </w:tcMar>
            <w:tcW w:w="1007"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Mar>
              <w:left w:w="51" w:type="dxa"/>
              <w:top w:w="0" w:type="dxa"/>
              <w:right w:w="51" w:type="dxa"/>
              <w:bottom w:w="0" w:type="dxa"/>
            </w:tcMar>
            <w:tcW w:w="749"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Mar>
              <w:left w:w="51" w:type="dxa"/>
              <w:top w:w="0" w:type="dxa"/>
              <w:right w:w="51" w:type="dxa"/>
              <w:bottom w:w="0" w:type="dxa"/>
            </w:tcMar>
            <w:tcW w:w="761"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Mar>
              <w:left w:w="51" w:type="dxa"/>
              <w:top w:w="0" w:type="dxa"/>
              <w:right w:w="51" w:type="dxa"/>
              <w:bottom w:w="0" w:type="dxa"/>
            </w:tcMar>
            <w:tcW w:w="673"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trHeight w:val="340"/>
        </w:trPr>
        <w:tc>
          <w:tcPr>
            <w:shd w:val="clear" w:color="auto" w:fill="ffffff"/>
            <w:tcMar>
              <w:left w:w="51" w:type="dxa"/>
              <w:top w:w="0" w:type="dxa"/>
              <w:right w:w="51" w:type="dxa"/>
              <w:bottom w:w="0" w:type="dxa"/>
            </w:tcMar>
            <w:tcW w:w="382"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Mar>
              <w:left w:w="51" w:type="dxa"/>
              <w:top w:w="0" w:type="dxa"/>
              <w:right w:w="51" w:type="dxa"/>
              <w:bottom w:w="0" w:type="dxa"/>
            </w:tcMar>
            <w:tcW w:w="303"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Mar>
              <w:left w:w="51" w:type="dxa"/>
              <w:top w:w="0" w:type="dxa"/>
              <w:right w:w="51" w:type="dxa"/>
              <w:bottom w:w="0" w:type="dxa"/>
            </w:tcMar>
            <w:tcW w:w="1120"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Mar>
              <w:left w:w="51" w:type="dxa"/>
              <w:top w:w="0" w:type="dxa"/>
              <w:right w:w="51" w:type="dxa"/>
              <w:bottom w:w="0" w:type="dxa"/>
            </w:tcMar>
            <w:tcW w:w="1007"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Mar>
              <w:left w:w="51" w:type="dxa"/>
              <w:top w:w="0" w:type="dxa"/>
              <w:right w:w="51" w:type="dxa"/>
              <w:bottom w:w="0" w:type="dxa"/>
            </w:tcMar>
            <w:tcW w:w="749"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Mar>
              <w:left w:w="51" w:type="dxa"/>
              <w:top w:w="0" w:type="dxa"/>
              <w:right w:w="51" w:type="dxa"/>
              <w:bottom w:w="0" w:type="dxa"/>
            </w:tcMar>
            <w:tcW w:w="761"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Mar>
              <w:left w:w="51" w:type="dxa"/>
              <w:top w:w="0" w:type="dxa"/>
              <w:right w:w="51" w:type="dxa"/>
              <w:bottom w:w="0" w:type="dxa"/>
            </w:tcMar>
            <w:tcW w:w="673"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trHeight w:val="340"/>
        </w:trPr>
        <w:tc>
          <w:tcPr>
            <w:shd w:val="clear" w:color="auto" w:fill="ffffff"/>
            <w:tcMar>
              <w:left w:w="51" w:type="dxa"/>
              <w:top w:w="0" w:type="dxa"/>
              <w:right w:w="51" w:type="dxa"/>
              <w:bottom w:w="0" w:type="dxa"/>
            </w:tcMar>
            <w:tcW w:w="382" w:type="pct"/>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Mar>
              <w:left w:w="51" w:type="dxa"/>
              <w:top w:w="0" w:type="dxa"/>
              <w:right w:w="51" w:type="dxa"/>
              <w:bottom w:w="0" w:type="dxa"/>
            </w:tcMar>
            <w:tcW w:w="303"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Mar>
              <w:left w:w="51" w:type="dxa"/>
              <w:top w:w="0" w:type="dxa"/>
              <w:right w:w="51" w:type="dxa"/>
              <w:bottom w:w="0" w:type="dxa"/>
            </w:tcMar>
            <w:tcW w:w="1120"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Mar>
              <w:left w:w="51" w:type="dxa"/>
              <w:top w:w="0" w:type="dxa"/>
              <w:right w:w="51" w:type="dxa"/>
              <w:bottom w:w="0" w:type="dxa"/>
            </w:tcMar>
            <w:tcW w:w="1007"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Mar>
              <w:left w:w="51" w:type="dxa"/>
              <w:top w:w="0" w:type="dxa"/>
              <w:right w:w="51" w:type="dxa"/>
              <w:bottom w:w="0" w:type="dxa"/>
            </w:tcMar>
            <w:tcW w:w="749"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Mar>
              <w:left w:w="51" w:type="dxa"/>
              <w:top w:w="0" w:type="dxa"/>
              <w:right w:w="51" w:type="dxa"/>
              <w:bottom w:w="0" w:type="dxa"/>
            </w:tcMar>
            <w:tcW w:w="761"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Mar>
              <w:left w:w="51" w:type="dxa"/>
              <w:top w:w="0" w:type="dxa"/>
              <w:right w:w="51" w:type="dxa"/>
              <w:bottom w:w="0" w:type="dxa"/>
            </w:tcMar>
            <w:tcW w:w="673"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trHeight w:val="340"/>
        </w:trPr>
        <w:tc>
          <w:tcPr>
            <w:gridSpan w:val="2"/>
            <w:shd w:val="clear" w:color="auto" w:fill="ffffff"/>
            <w:tcMar>
              <w:left w:w="51" w:type="dxa"/>
              <w:top w:w="0" w:type="dxa"/>
              <w:right w:w="51" w:type="dxa"/>
              <w:bottom w:w="0" w:type="dxa"/>
            </w:tcMar>
            <w:tcW w:w="686"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总计</w:t>
            </w:r>
            <w:r/>
          </w:p>
        </w:tc>
        <w:tc>
          <w:tcPr>
            <w:gridSpan w:val="5"/>
            <w:shd w:val="clear" w:color="auto" w:fill="ffffff"/>
            <w:tcMar>
              <w:left w:w="51" w:type="dxa"/>
              <w:top w:w="0" w:type="dxa"/>
              <w:right w:w="51" w:type="dxa"/>
              <w:bottom w:w="0" w:type="dxa"/>
            </w:tcMar>
            <w:tcW w:w="4313" w:type="pct"/>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rPr>
              <w:t xml:space="preserve">人民币 大写：              小写：</w:t>
            </w:r>
            <w:r/>
          </w:p>
        </w:tc>
      </w:tr>
    </w:tbl>
    <w:p>
      <w:pPr>
        <w:contextualSpacing/>
        <w:ind w:firstLine="420"/>
        <w:spacing w:line="360" w:lineRule="auto"/>
        <w:rPr>
          <w:rFonts w:ascii="宋体" w:hAnsi="宋体" w:cs="宋体"/>
          <w:color w:val="auto"/>
          <w:sz w:val="21"/>
          <w:szCs w:val="21"/>
          <w:highlight w:val="none"/>
          <w:lang w:val="zh-CN"/>
        </w:rPr>
      </w:pPr>
      <w:r>
        <w:rPr>
          <w:rFonts w:ascii="宋体" w:hAnsi="宋体" w:cs="宋体"/>
          <w:color w:val="auto"/>
          <w:sz w:val="21"/>
          <w:szCs w:val="21"/>
          <w:highlight w:val="none"/>
          <w:lang w:val="zh-CN"/>
        </w:rPr>
      </w:r>
      <w:r/>
    </w:p>
    <w:p>
      <w:pPr>
        <w:contextualSpacing/>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注：</w:t>
      </w:r>
      <w:r/>
    </w:p>
    <w:p>
      <w:pPr>
        <w:contextualSpacing/>
        <w:ind w:firstLine="422"/>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1.投标单位单价报价必须按统一优惠率下浮计算单价，不得不平衡报价，否则视为未实质性响应。</w:t>
      </w:r>
      <w:r/>
    </w:p>
    <w:p>
      <w:pPr>
        <w:contextualSpacing/>
        <w:ind w:firstLine="420"/>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2.“合计”金额应不得超过招标文件列明的各产品“总预算”金额，否则为无效响应。</w:t>
      </w:r>
      <w:r/>
    </w:p>
    <w:p>
      <w:pPr>
        <w:contextualSpacing/>
        <w:ind w:firstLine="420"/>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3.“总计”金额不得超过</w:t>
      </w:r>
      <w:r>
        <w:rPr>
          <w:rFonts w:hint="eastAsia" w:ascii="宋体" w:hAnsi="宋体" w:cs="宋体"/>
          <w:b/>
          <w:bCs/>
          <w:color w:val="auto"/>
          <w:sz w:val="21"/>
          <w:szCs w:val="21"/>
          <w:highlight w:val="none"/>
          <w:lang w:eastAsia="zh-CN"/>
        </w:rPr>
        <w:t xml:space="preserve">采购包</w:t>
      </w:r>
      <w:r>
        <w:rPr>
          <w:rFonts w:hint="eastAsia" w:ascii="宋体" w:hAnsi="宋体" w:cs="宋体"/>
          <w:b/>
          <w:bCs/>
          <w:color w:val="auto"/>
          <w:sz w:val="21"/>
          <w:szCs w:val="21"/>
          <w:highlight w:val="none"/>
        </w:rPr>
        <w:t xml:space="preserve">预算，否则视为未实质性响应。</w:t>
      </w:r>
      <w:r/>
    </w:p>
    <w:p>
      <w:pPr>
        <w:contextualSpacing/>
        <w:ind w:firstLine="420"/>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4.低于最低任务采购量(批次）或分包报价超过分包预算金额的，按无效报价处理。</w:t>
      </w:r>
      <w:r/>
    </w:p>
    <w:p>
      <w:pPr>
        <w:contextualSpacing/>
        <w:ind w:firstLine="420"/>
        <w:spacing w:line="360" w:lineRule="auto"/>
        <w:rPr>
          <w:rFonts w:ascii="宋体" w:hAnsi="宋体" w:cs="宋体"/>
          <w:bCs/>
          <w:color w:val="auto"/>
          <w:sz w:val="21"/>
          <w:szCs w:val="21"/>
          <w:highlight w:val="none"/>
        </w:rPr>
      </w:pPr>
      <w:r>
        <w:rPr>
          <w:rFonts w:ascii="宋体" w:hAnsi="宋体" w:cs="宋体"/>
          <w:bCs/>
          <w:color w:val="auto"/>
          <w:sz w:val="21"/>
          <w:szCs w:val="21"/>
          <w:highlight w:val="none"/>
        </w:rPr>
      </w:r>
      <w:r/>
    </w:p>
    <w:p>
      <w:pPr>
        <w:ind w:firstLine="420"/>
        <w:spacing w:line="38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投标单位：（单位盖章）</w:t>
      </w:r>
      <w:r/>
    </w:p>
    <w:p>
      <w:pPr>
        <w:ind w:firstLine="420"/>
        <w:spacing w:line="38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单位法定代表人或代理人：（签字或签章）                      年     月     日</w:t>
      </w:r>
      <w:r/>
    </w:p>
    <w:p>
      <w:pPr>
        <w:pStyle w:val="972"/>
        <w:pageBreakBefore/>
        <w:spacing w:before="0" w:after="0" w:line="360" w:lineRule="auto"/>
        <w:rPr>
          <w:rFonts w:ascii="宋体" w:hAnsi="宋体" w:cs="宋体"/>
          <w:b w:val="0"/>
          <w:color w:val="auto"/>
          <w:sz w:val="21"/>
          <w:szCs w:val="21"/>
          <w:highlight w:val="none"/>
          <w:lang w:val="zh-CN"/>
        </w:rPr>
      </w:pPr>
      <w:r>
        <w:rPr>
          <w:rFonts w:hint="eastAsia" w:ascii="宋体" w:hAnsi="宋体" w:cs="宋体"/>
          <w:color w:val="auto"/>
          <w:sz w:val="21"/>
          <w:szCs w:val="21"/>
          <w:highlight w:val="none"/>
        </w:rPr>
        <w:t xml:space="preserve">格式4、</w:t>
      </w:r>
      <w:r>
        <w:rPr>
          <w:rFonts w:hint="eastAsia" w:ascii="宋体" w:hAnsi="宋体" w:cs="宋体"/>
          <w:color w:val="auto"/>
          <w:sz w:val="21"/>
          <w:szCs w:val="21"/>
          <w:highlight w:val="none"/>
          <w:lang w:val="zh-CN"/>
        </w:rPr>
        <w:t xml:space="preserve">（投标人）法定代表人授权委托书</w:t>
      </w:r>
      <w:r/>
    </w:p>
    <w:p>
      <w:pPr>
        <w:ind w:firstLine="425"/>
        <w:jc w:val="center"/>
        <w:spacing w:line="360" w:lineRule="auto"/>
        <w:widowControl w:val="off"/>
        <w:rPr>
          <w:rFonts w:ascii="宋体" w:hAnsi="宋体" w:cs="宋体"/>
          <w:b/>
          <w:color w:val="auto"/>
          <w:sz w:val="21"/>
          <w:szCs w:val="21"/>
          <w:highlight w:val="none"/>
          <w:lang w:val="zh-CN"/>
        </w:rPr>
      </w:pPr>
      <w:r>
        <w:rPr>
          <w:rFonts w:ascii="宋体" w:hAnsi="宋体" w:cs="宋体"/>
          <w:b/>
          <w:color w:val="auto"/>
          <w:sz w:val="21"/>
          <w:szCs w:val="21"/>
          <w:highlight w:val="none"/>
          <w:lang w:val="zh-CN"/>
        </w:rPr>
      </w:r>
      <w:r/>
    </w:p>
    <w:p>
      <w:pPr>
        <w:ind w:firstLine="425"/>
        <w:jc w:val="center"/>
        <w:spacing w:line="360" w:lineRule="auto"/>
        <w:widowControl w:val="off"/>
        <w:rPr>
          <w:rFonts w:ascii="宋体" w:hAnsi="宋体" w:cs="宋体"/>
          <w:color w:val="auto"/>
          <w:sz w:val="21"/>
          <w:szCs w:val="21"/>
          <w:highlight w:val="none"/>
        </w:rPr>
      </w:pPr>
      <w:r>
        <w:rPr>
          <w:rFonts w:hint="eastAsia" w:ascii="宋体" w:hAnsi="宋体" w:cs="宋体"/>
          <w:b/>
          <w:color w:val="auto"/>
          <w:sz w:val="21"/>
          <w:szCs w:val="21"/>
          <w:highlight w:val="none"/>
          <w:lang w:val="zh-CN"/>
        </w:rPr>
        <w:t xml:space="preserve">（投标人）</w:t>
      </w:r>
      <w:r>
        <w:rPr>
          <w:rFonts w:hint="eastAsia" w:ascii="宋体" w:hAnsi="宋体" w:cs="宋体"/>
          <w:b/>
          <w:color w:val="auto"/>
          <w:sz w:val="21"/>
          <w:szCs w:val="21"/>
          <w:highlight w:val="none"/>
        </w:rPr>
        <w:t xml:space="preserve">法定代表人</w:t>
      </w:r>
      <w:r>
        <w:rPr>
          <w:rFonts w:hint="eastAsia" w:ascii="宋体" w:hAnsi="宋体" w:cs="宋体"/>
          <w:b/>
          <w:color w:val="auto"/>
          <w:sz w:val="21"/>
          <w:szCs w:val="21"/>
          <w:highlight w:val="none"/>
          <w:lang w:val="zh-CN"/>
        </w:rPr>
        <w:t xml:space="preserve">授权委托书</w:t>
      </w:r>
      <w:r/>
    </w:p>
    <w:p>
      <w:pPr>
        <w:ind w:firstLine="425"/>
        <w:jc w:val="both"/>
        <w:spacing w:line="360" w:lineRule="auto"/>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p>
      <w:pPr>
        <w:ind w:firstLine="42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本授权委托书声明：  我 </w:t>
      </w:r>
      <w:r>
        <w:rPr>
          <w:rFonts w:hint="eastAsia" w:ascii="宋体" w:hAnsi="宋体" w:cs="宋体"/>
          <w:color w:val="auto"/>
          <w:sz w:val="21"/>
          <w:szCs w:val="21"/>
          <w:highlight w:val="none"/>
          <w:u w:val="single"/>
          <w:lang w:val="zh-CN"/>
        </w:rPr>
        <w:t xml:space="preserve">          </w:t>
      </w:r>
      <w:r>
        <w:rPr>
          <w:rFonts w:hint="eastAsia" w:ascii="宋体" w:hAnsi="宋体" w:cs="宋体"/>
          <w:color w:val="auto"/>
          <w:sz w:val="21"/>
          <w:szCs w:val="21"/>
          <w:highlight w:val="none"/>
          <w:lang w:val="zh-CN"/>
        </w:rPr>
        <w:t xml:space="preserve">（姓名）系</w:t>
      </w:r>
      <w:r>
        <w:rPr>
          <w:rFonts w:hint="eastAsia" w:ascii="宋体" w:hAnsi="宋体" w:cs="宋体"/>
          <w:color w:val="auto"/>
          <w:sz w:val="21"/>
          <w:szCs w:val="21"/>
          <w:highlight w:val="none"/>
          <w:u w:val="single"/>
          <w:lang w:val="zh-CN"/>
        </w:rPr>
        <w:t xml:space="preserve">             </w:t>
      </w:r>
      <w:r>
        <w:rPr>
          <w:rFonts w:hint="eastAsia" w:ascii="宋体" w:hAnsi="宋体" w:cs="宋体"/>
          <w:color w:val="auto"/>
          <w:sz w:val="21"/>
          <w:szCs w:val="21"/>
          <w:highlight w:val="none"/>
          <w:lang w:val="zh-CN"/>
        </w:rPr>
        <w:t xml:space="preserve">（投标人名称）的法定代表人，现授权委托</w:t>
      </w:r>
      <w:r>
        <w:rPr>
          <w:rFonts w:hint="eastAsia" w:ascii="宋体" w:hAnsi="宋体" w:cs="宋体"/>
          <w:color w:val="auto"/>
          <w:sz w:val="21"/>
          <w:szCs w:val="21"/>
          <w:highlight w:val="none"/>
          <w:u w:val="single"/>
          <w:lang w:val="zh-CN"/>
        </w:rPr>
        <w:t xml:space="preserve">              （</w:t>
      </w:r>
      <w:r>
        <w:rPr>
          <w:rFonts w:hint="eastAsia" w:ascii="宋体" w:hAnsi="宋体" w:cs="宋体"/>
          <w:color w:val="auto"/>
          <w:sz w:val="21"/>
          <w:szCs w:val="21"/>
          <w:highlight w:val="none"/>
          <w:lang w:val="zh-CN"/>
        </w:rPr>
        <w:t xml:space="preserve">单位名称）的</w:t>
      </w:r>
      <w:r>
        <w:rPr>
          <w:rFonts w:hint="eastAsia" w:ascii="宋体" w:hAnsi="宋体" w:cs="宋体"/>
          <w:color w:val="auto"/>
          <w:sz w:val="21"/>
          <w:szCs w:val="21"/>
          <w:highlight w:val="none"/>
          <w:u w:val="single"/>
          <w:lang w:val="zh-CN"/>
        </w:rPr>
        <w:t xml:space="preserve">         </w:t>
      </w:r>
      <w:r>
        <w:rPr>
          <w:rFonts w:hint="eastAsia" w:ascii="宋体" w:hAnsi="宋体" w:cs="宋体"/>
          <w:color w:val="auto"/>
          <w:sz w:val="21"/>
          <w:szCs w:val="21"/>
          <w:highlight w:val="none"/>
          <w:lang w:val="zh-CN"/>
        </w:rPr>
        <w:t xml:space="preserve">（姓名）为我公司代理人，以本公司的名义参加苏州乐慧招投标咨询有限公司组织实施的编号为</w:t>
      </w:r>
      <w:r>
        <w:rPr>
          <w:rFonts w:hint="eastAsia" w:ascii="宋体" w:hAnsi="宋体" w:cs="宋体"/>
          <w:color w:val="auto"/>
          <w:sz w:val="21"/>
          <w:szCs w:val="21"/>
          <w:highlight w:val="none"/>
          <w:u w:val="single"/>
          <w:lang w:val="zh-CN"/>
        </w:rPr>
        <w:t xml:space="preserve">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val="zh-CN"/>
        </w:rPr>
        <w:t xml:space="preserve">      </w:t>
      </w:r>
      <w:r>
        <w:rPr>
          <w:rFonts w:hint="eastAsia" w:ascii="宋体" w:hAnsi="宋体" w:cs="宋体"/>
          <w:color w:val="auto"/>
          <w:sz w:val="21"/>
          <w:szCs w:val="21"/>
          <w:highlight w:val="none"/>
          <w:lang w:val="zh-CN"/>
        </w:rPr>
        <w:t xml:space="preserve">号的招标活动。代理人在开标、评标、合同谈判过程中所签署的一切文件和处理与这有关的一切事务，我均予以承认。</w:t>
      </w:r>
      <w:r/>
    </w:p>
    <w:p>
      <w:pPr>
        <w:ind w:firstLine="42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代理人在授权委托书有效期内签署的所有文件不因授权委托的撤销而失效，除非有撤销授权委托的书面通知，本授权委托书自投标开始至合同履行完毕止。</w:t>
      </w:r>
      <w:r/>
    </w:p>
    <w:p>
      <w:pPr>
        <w:ind w:firstLine="425"/>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代理人无转委托权。特此委托。</w:t>
      </w:r>
      <w:r/>
    </w:p>
    <w:p>
      <w:pPr>
        <w:ind w:firstLine="425"/>
        <w:jc w:val="both"/>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    </w:t>
      </w:r>
      <w:r/>
    </w:p>
    <w:p>
      <w:pPr>
        <w:ind w:firstLine="48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注：本授权委托书仅限于法人性质的投标单位，供应商如有授权委托，必须提供该法人授权委托书及代理人身份证，否则响应无效；供应商无授权委托的情况下，必须提供法定代表人身份证，否则响应无效。非法人性质的投标单位，授权委托书格式自拟，但必须同时提供受托双方身份证复印件,否则响应无效</w:t>
      </w:r>
      <w:r/>
    </w:p>
    <w:p>
      <w:pPr>
        <w:ind w:firstLine="420"/>
        <w:spacing w:line="360" w:lineRule="auto"/>
        <w:rPr>
          <w:rFonts w:ascii="宋体" w:hAnsi="宋体" w:cs="宋体"/>
          <w:color w:val="auto"/>
          <w:sz w:val="21"/>
          <w:szCs w:val="21"/>
          <w:highlight w:val="none"/>
        </w:rPr>
      </w:pPr>
      <w:r>
        <w:rPr>
          <w:rFonts w:ascii="宋体" w:hAnsi="宋体" w:cs="宋体"/>
          <w:color w:val="auto"/>
          <w:sz w:val="21"/>
          <w:szCs w:val="21"/>
          <w:highlight w:val="none"/>
        </w:rPr>
      </w:r>
      <w:r/>
    </w:p>
    <w:p>
      <w:pPr>
        <w:pStyle w:val="1014"/>
        <w:ind w:firstLine="420"/>
        <w:rPr>
          <w:rFonts w:ascii="宋体" w:hAnsi="宋体" w:cs="宋体"/>
          <w:color w:val="auto"/>
          <w:szCs w:val="21"/>
          <w:highlight w:val="none"/>
        </w:rPr>
      </w:pPr>
      <w:r>
        <w:rPr>
          <w:rFonts w:ascii="宋体" w:hAnsi="宋体" w:cs="宋体"/>
          <w:color w:val="auto"/>
          <w:szCs w:val="21"/>
          <w:highlight w:val="none"/>
        </w:rPr>
      </w:r>
      <w:r/>
    </w:p>
    <w:p>
      <w:pPr>
        <w:pStyle w:val="1014"/>
        <w:ind w:firstLine="420"/>
        <w:rPr>
          <w:rFonts w:ascii="宋体" w:hAnsi="宋体" w:cs="宋体"/>
          <w:color w:val="auto"/>
          <w:szCs w:val="21"/>
          <w:highlight w:val="none"/>
        </w:rPr>
      </w:pPr>
      <w:r>
        <w:rPr>
          <w:rFonts w:ascii="宋体" w:hAnsi="宋体" w:cs="宋体"/>
          <w:color w:val="auto"/>
          <w:szCs w:val="21"/>
          <w:highlight w:val="none"/>
        </w:rPr>
      </w:r>
      <w:r/>
    </w:p>
    <w:p>
      <w:pPr>
        <w:pStyle w:val="1014"/>
        <w:ind w:firstLine="420"/>
        <w:rPr>
          <w:rFonts w:ascii="宋体" w:hAnsi="宋体" w:cs="宋体"/>
          <w:color w:val="auto"/>
          <w:szCs w:val="21"/>
          <w:highlight w:val="none"/>
        </w:rPr>
      </w:pPr>
      <w:r>
        <w:rPr>
          <w:rFonts w:ascii="宋体" w:hAnsi="宋体" w:cs="宋体"/>
          <w:color w:val="auto"/>
          <w:szCs w:val="21"/>
          <w:highlight w:val="none"/>
        </w:rPr>
      </w:r>
      <w:r/>
    </w:p>
    <w:p>
      <w:pPr>
        <w:pStyle w:val="1014"/>
        <w:ind w:firstLine="420"/>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b/>
          <w:color w:val="auto"/>
          <w:sz w:val="21"/>
          <w:szCs w:val="21"/>
          <w:highlight w:val="none"/>
          <w:lang w:val="zh-CN"/>
        </w:rPr>
      </w:pPr>
      <w:r>
        <w:rPr>
          <w:rFonts w:ascii="宋体" w:hAnsi="宋体" w:cs="宋体"/>
          <w:b/>
          <w:color w:val="auto"/>
          <w:sz w:val="21"/>
          <w:szCs w:val="21"/>
          <w:highlight w:val="none"/>
          <w:lang w:val="zh-CN"/>
        </w:rPr>
      </w:r>
      <w:r/>
    </w:p>
    <w:p>
      <w:pPr>
        <w:spacing w:line="38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投标单位：（单位盖章）</w:t>
      </w:r>
      <w:r/>
    </w:p>
    <w:p>
      <w:pPr>
        <w:spacing w:line="38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单位法定代表人：（签字或签章）</w:t>
      </w:r>
      <w:r/>
    </w:p>
    <w:p>
      <w:pPr>
        <w:spacing w:line="38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代理人：（签字或签章）                      年     月     日</w:t>
      </w:r>
      <w:r/>
    </w:p>
    <w:p>
      <w:pPr>
        <w:pStyle w:val="836"/>
        <w:rPr>
          <w:rFonts w:ascii="宋体" w:hAnsi="宋体" w:eastAsia="宋体" w:cs="宋体"/>
          <w:color w:val="auto"/>
          <w:sz w:val="21"/>
          <w:szCs w:val="21"/>
          <w:highlight w:val="none"/>
          <w:lang w:val="zh-CN"/>
        </w:rPr>
      </w:pPr>
      <w:r>
        <w:rPr>
          <w:rFonts w:ascii="宋体" w:hAnsi="宋体" w:eastAsia="宋体" w:cs="宋体"/>
          <w:color w:val="auto"/>
          <w:sz w:val="21"/>
          <w:szCs w:val="21"/>
          <w:highlight w:val="none"/>
          <w:lang w:val="zh-CN"/>
        </w:rPr>
      </w:r>
      <w:r/>
    </w:p>
    <w:p>
      <w:pPr>
        <w:pStyle w:val="972"/>
        <w:pageBreakBefore/>
        <w:spacing w:before="0" w:after="0" w:line="360" w:lineRule="auto"/>
        <w:rPr>
          <w:rFonts w:ascii="宋体" w:hAnsi="宋体" w:cs="宋体"/>
          <w:bCs w:val="0"/>
          <w:color w:val="auto"/>
          <w:sz w:val="21"/>
          <w:szCs w:val="21"/>
          <w:highlight w:val="none"/>
          <w:lang w:val="zh-CN"/>
        </w:rPr>
      </w:pPr>
      <w:r>
        <w:rPr>
          <w:rFonts w:hint="eastAsia" w:ascii="宋体" w:hAnsi="宋体" w:cs="宋体"/>
          <w:bCs w:val="0"/>
          <w:color w:val="auto"/>
          <w:sz w:val="21"/>
          <w:szCs w:val="21"/>
          <w:highlight w:val="none"/>
          <w:lang w:val="zh-CN"/>
        </w:rPr>
        <w:t xml:space="preserve">格式</w:t>
      </w:r>
      <w:r>
        <w:rPr>
          <w:rFonts w:hint="eastAsia" w:ascii="宋体" w:hAnsi="宋体" w:cs="宋体"/>
          <w:bCs w:val="0"/>
          <w:color w:val="auto"/>
          <w:sz w:val="21"/>
          <w:szCs w:val="21"/>
          <w:highlight w:val="none"/>
        </w:rPr>
        <w:t xml:space="preserve">5、</w:t>
      </w:r>
      <w:r>
        <w:rPr>
          <w:rFonts w:hint="eastAsia" w:ascii="宋体" w:hAnsi="宋体" w:cs="宋体"/>
          <w:bCs w:val="0"/>
          <w:color w:val="auto"/>
          <w:sz w:val="21"/>
          <w:szCs w:val="21"/>
          <w:highlight w:val="none"/>
          <w:lang w:val="zh-CN"/>
        </w:rPr>
        <w:t xml:space="preserve">关于资格文件的声明函</w:t>
      </w:r>
      <w:r/>
    </w:p>
    <w:p>
      <w:pPr>
        <w:ind w:firstLine="425"/>
        <w:jc w:val="center"/>
        <w:spacing w:line="360" w:lineRule="auto"/>
        <w:widowControl w:val="off"/>
        <w:rPr>
          <w:rFonts w:ascii="宋体" w:hAnsi="宋体" w:cs="宋体"/>
          <w:b/>
          <w:color w:val="auto"/>
          <w:sz w:val="21"/>
          <w:szCs w:val="21"/>
          <w:highlight w:val="none"/>
        </w:rPr>
      </w:pPr>
      <w:r>
        <w:rPr>
          <w:rFonts w:hint="eastAsia" w:ascii="宋体" w:hAnsi="宋体" w:cs="宋体"/>
          <w:b/>
          <w:color w:val="auto"/>
          <w:sz w:val="21"/>
          <w:szCs w:val="21"/>
          <w:highlight w:val="none"/>
          <w:lang w:val="zh-CN"/>
        </w:rPr>
        <w:t xml:space="preserve">关于资格文件的声明函</w:t>
      </w:r>
      <w:r/>
    </w:p>
    <w:p>
      <w:pPr>
        <w:ind w:firstLine="425"/>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p>
      <w:pPr>
        <w:jc w:val="both"/>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 </w:t>
      </w:r>
      <w:r>
        <w:rPr>
          <w:rFonts w:hint="eastAsia" w:ascii="宋体" w:hAnsi="宋体" w:cs="宋体"/>
          <w:color w:val="auto"/>
          <w:sz w:val="21"/>
          <w:szCs w:val="21"/>
          <w:highlight w:val="none"/>
          <w:u w:val="single"/>
          <w:lang w:val="zh-CN"/>
        </w:rPr>
        <w:t xml:space="preserve">                                    </w:t>
      </w:r>
      <w:r>
        <w:rPr>
          <w:rFonts w:hint="eastAsia" w:ascii="宋体" w:hAnsi="宋体" w:cs="宋体"/>
          <w:color w:val="auto"/>
          <w:sz w:val="21"/>
          <w:szCs w:val="21"/>
          <w:highlight w:val="none"/>
          <w:lang w:val="zh-CN"/>
        </w:rPr>
        <w:t xml:space="preserve">：</w:t>
      </w:r>
      <w:r/>
    </w:p>
    <w:p>
      <w:pPr>
        <w:ind w:firstLine="66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本公司愿就由贵公司组织实施的编号为</w:t>
      </w:r>
      <w:r>
        <w:rPr>
          <w:rFonts w:hint="eastAsia" w:ascii="宋体" w:hAnsi="宋体" w:cs="宋体"/>
          <w:color w:val="auto"/>
          <w:sz w:val="21"/>
          <w:szCs w:val="21"/>
          <w:highlight w:val="none"/>
          <w:u w:val="single"/>
          <w:lang w:val="zh-CN"/>
        </w:rPr>
        <w:t xml:space="preserve">              </w:t>
      </w:r>
      <w:r>
        <w:rPr>
          <w:rFonts w:hint="eastAsia" w:ascii="宋体" w:hAnsi="宋体" w:cs="宋体"/>
          <w:color w:val="auto"/>
          <w:sz w:val="21"/>
          <w:szCs w:val="21"/>
          <w:highlight w:val="none"/>
          <w:lang w:val="zh-CN"/>
        </w:rPr>
        <w:t xml:space="preserve">号的招标活动进行投标。本公司所提交的投标文件中所有关于投标资格的文件、证明和陈述均是真实的、准确的。若与真实情况不符，本公司愿意承担由此而产生的一切后果。</w:t>
      </w:r>
      <w:r/>
    </w:p>
    <w:p>
      <w:pPr>
        <w:spacing w:line="380" w:lineRule="exact"/>
        <w:widowControl w:val="off"/>
        <w:rPr>
          <w:rFonts w:ascii="宋体" w:hAnsi="宋体" w:cs="宋体"/>
          <w:color w:val="auto"/>
          <w:sz w:val="21"/>
          <w:szCs w:val="21"/>
          <w:highlight w:val="none"/>
        </w:rPr>
      </w:pPr>
      <w:r>
        <w:rPr>
          <w:rFonts w:ascii="宋体" w:hAnsi="宋体" w:cs="宋体"/>
          <w:color w:val="auto"/>
          <w:sz w:val="21"/>
          <w:szCs w:val="21"/>
          <w:highlight w:val="none"/>
        </w:rPr>
      </w:r>
      <w:r/>
    </w:p>
    <w:p>
      <w:pPr>
        <w:spacing w:line="380" w:lineRule="exact"/>
        <w:widowControl w:val="off"/>
        <w:rPr>
          <w:rFonts w:ascii="宋体" w:hAnsi="宋体" w:cs="宋体"/>
          <w:color w:val="auto"/>
          <w:sz w:val="21"/>
          <w:szCs w:val="21"/>
          <w:highlight w:val="none"/>
        </w:rPr>
      </w:pPr>
      <w:r>
        <w:rPr>
          <w:rFonts w:ascii="宋体" w:hAnsi="宋体" w:cs="宋体"/>
          <w:color w:val="auto"/>
          <w:sz w:val="21"/>
          <w:szCs w:val="21"/>
          <w:highlight w:val="none"/>
        </w:rPr>
      </w:r>
      <w:r/>
    </w:p>
    <w:p>
      <w:pPr>
        <w:spacing w:line="38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投标单位：（单位盖章）</w:t>
      </w:r>
      <w:r/>
    </w:p>
    <w:p>
      <w:pPr>
        <w:spacing w:line="38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单位法定代表人或代理人：（签字或签章）                      年     月     日</w:t>
      </w:r>
      <w:r/>
    </w:p>
    <w:p>
      <w:pPr>
        <w:rPr>
          <w:rFonts w:ascii="宋体" w:hAnsi="宋体" w:cs="宋体"/>
          <w:color w:val="auto"/>
          <w:sz w:val="21"/>
          <w:szCs w:val="21"/>
          <w:highlight w:val="none"/>
          <w:lang w:val="zh-CN"/>
        </w:rPr>
      </w:pPr>
      <w:r>
        <w:rPr>
          <w:rFonts w:ascii="宋体" w:hAnsi="宋体" w:cs="宋体"/>
          <w:color w:val="auto"/>
          <w:sz w:val="21"/>
          <w:szCs w:val="21"/>
          <w:highlight w:val="none"/>
          <w:lang w:val="zh-CN"/>
        </w:rPr>
      </w:r>
      <w:r/>
    </w:p>
    <w:p>
      <w:pPr>
        <w:pStyle w:val="972"/>
        <w:pageBreakBefore/>
        <w:spacing w:before="0" w:after="0" w:line="360" w:lineRule="auto"/>
        <w:rPr>
          <w:rFonts w:ascii="宋体" w:hAnsi="宋体" w:cs="宋体"/>
          <w:bCs w:val="0"/>
          <w:color w:val="auto"/>
          <w:sz w:val="21"/>
          <w:szCs w:val="21"/>
          <w:highlight w:val="none"/>
          <w:lang w:val="zh-CN"/>
        </w:rPr>
      </w:pPr>
      <w:r>
        <w:rPr>
          <w:rFonts w:hint="eastAsia" w:ascii="宋体" w:hAnsi="宋体" w:cs="宋体"/>
          <w:bCs w:val="0"/>
          <w:color w:val="auto"/>
          <w:sz w:val="21"/>
          <w:szCs w:val="21"/>
          <w:highlight w:val="none"/>
          <w:lang w:val="zh-CN"/>
        </w:rPr>
        <w:t xml:space="preserve">格式</w:t>
      </w:r>
      <w:r>
        <w:rPr>
          <w:rFonts w:hint="eastAsia" w:ascii="宋体" w:hAnsi="宋体" w:cs="宋体"/>
          <w:bCs w:val="0"/>
          <w:color w:val="auto"/>
          <w:sz w:val="21"/>
          <w:szCs w:val="21"/>
          <w:highlight w:val="none"/>
        </w:rPr>
        <w:t xml:space="preserve">6、</w:t>
      </w:r>
      <w:r>
        <w:rPr>
          <w:rFonts w:hint="eastAsia" w:ascii="宋体" w:hAnsi="宋体" w:cs="宋体"/>
          <w:bCs w:val="0"/>
          <w:color w:val="auto"/>
          <w:sz w:val="21"/>
          <w:szCs w:val="21"/>
          <w:highlight w:val="none"/>
          <w:lang w:val="zh-CN"/>
        </w:rPr>
        <w:t xml:space="preserve">投标人情况表</w:t>
      </w:r>
      <w:r/>
    </w:p>
    <w:p>
      <w:pPr>
        <w:ind w:firstLine="425"/>
        <w:jc w:val="both"/>
        <w:spacing w:line="360" w:lineRule="auto"/>
        <w:widowControl w:val="off"/>
        <w:rPr>
          <w:rFonts w:ascii="宋体" w:hAnsi="宋体" w:cs="宋体"/>
          <w:b/>
          <w:color w:val="auto"/>
          <w:sz w:val="21"/>
          <w:szCs w:val="21"/>
          <w:highlight w:val="none"/>
        </w:rPr>
      </w:pPr>
      <w:r>
        <w:rPr>
          <w:rFonts w:hint="eastAsia" w:ascii="宋体" w:hAnsi="宋体" w:cs="宋体"/>
          <w:color w:val="auto"/>
          <w:sz w:val="21"/>
          <w:szCs w:val="21"/>
          <w:highlight w:val="none"/>
          <w:lang w:val="zh-CN"/>
        </w:rPr>
        <w:t xml:space="preserve">                          </w:t>
      </w:r>
      <w:r>
        <w:rPr>
          <w:rFonts w:hint="eastAsia" w:ascii="宋体" w:hAnsi="宋体" w:cs="宋体"/>
          <w:b/>
          <w:color w:val="auto"/>
          <w:sz w:val="21"/>
          <w:szCs w:val="21"/>
          <w:highlight w:val="none"/>
          <w:lang w:val="zh-CN"/>
        </w:rPr>
        <w:t xml:space="preserve">投标人情况表</w:t>
      </w:r>
      <w:r/>
    </w:p>
    <w:p>
      <w:pPr>
        <w:ind w:firstLine="21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投标单位：                             项目编号：                  </w:t>
      </w:r>
      <w:r/>
    </w:p>
    <w:tbl>
      <w:tblPr>
        <w:tblStyle w:val="752"/>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606"/>
        <w:gridCol w:w="2081"/>
        <w:gridCol w:w="1516"/>
        <w:gridCol w:w="2136"/>
        <w:gridCol w:w="947"/>
      </w:tblGrid>
      <w:tr>
        <w:trPr>
          <w:jc w:val="center"/>
          <w:trHeight w:val="567"/>
        </w:trPr>
        <w:tc>
          <w:tcPr>
            <w:tcW w:w="1403" w:type="pct"/>
            <w:vAlign w:val="center"/>
            <w:textDirection w:val="lrTb"/>
            <w:noWrap w:val="false"/>
          </w:tcPr>
          <w:p>
            <w:pPr>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w:t>
            </w:r>
            <w:r/>
          </w:p>
        </w:tc>
        <w:tc>
          <w:tcPr>
            <w:tcW w:w="1120" w:type="pct"/>
            <w:vAlign w:val="center"/>
            <w:textDirection w:val="lrTb"/>
            <w:noWrap w:val="false"/>
          </w:tcPr>
          <w:p>
            <w:pPr>
              <w:jc w:val="both"/>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816" w:type="pct"/>
            <w:vAlign w:val="center"/>
            <w:textDirection w:val="lrTb"/>
            <w:noWrap w:val="false"/>
          </w:tcPr>
          <w:p>
            <w:pPr>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成立日期</w:t>
            </w:r>
            <w:r/>
          </w:p>
        </w:tc>
        <w:tc>
          <w:tcPr>
            <w:gridSpan w:val="2"/>
            <w:tcW w:w="1659" w:type="pct"/>
            <w:vAlign w:val="center"/>
            <w:textDirection w:val="lrTb"/>
            <w:noWrap w:val="false"/>
          </w:tcPr>
          <w:p>
            <w:pPr>
              <w:jc w:val="both"/>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567"/>
        </w:trPr>
        <w:tc>
          <w:tcPr>
            <w:tcW w:w="1403" w:type="pct"/>
            <w:vAlign w:val="center"/>
            <w:textDirection w:val="lrTb"/>
            <w:noWrap w:val="false"/>
          </w:tcPr>
          <w:p>
            <w:pPr>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企业地址</w:t>
            </w:r>
            <w:r/>
          </w:p>
        </w:tc>
        <w:tc>
          <w:tcPr>
            <w:tcW w:w="1120" w:type="pct"/>
            <w:vAlign w:val="center"/>
            <w:textDirection w:val="lrTb"/>
            <w:noWrap w:val="false"/>
          </w:tcPr>
          <w:p>
            <w:pPr>
              <w:jc w:val="both"/>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816" w:type="pct"/>
            <w:vAlign w:val="center"/>
            <w:textDirection w:val="lrTb"/>
            <w:noWrap w:val="false"/>
          </w:tcPr>
          <w:p>
            <w:pPr>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注册资本</w:t>
            </w:r>
            <w:r/>
          </w:p>
        </w:tc>
        <w:tc>
          <w:tcPr>
            <w:gridSpan w:val="2"/>
            <w:tcW w:w="1659" w:type="pct"/>
            <w:vAlign w:val="center"/>
            <w:textDirection w:val="lrTb"/>
            <w:noWrap w:val="false"/>
          </w:tcPr>
          <w:p>
            <w:pPr>
              <w:ind w:firstLine="216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万元</w:t>
            </w:r>
            <w:r/>
          </w:p>
        </w:tc>
      </w:tr>
      <w:tr>
        <w:trPr>
          <w:jc w:val="center"/>
          <w:trHeight w:val="567"/>
        </w:trPr>
        <w:tc>
          <w:tcPr>
            <w:tcW w:w="1403" w:type="pct"/>
            <w:vAlign w:val="center"/>
            <w:textDirection w:val="lrTb"/>
            <w:noWrap w:val="false"/>
          </w:tcPr>
          <w:p>
            <w:pPr>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经营范围</w:t>
            </w:r>
            <w:r/>
          </w:p>
        </w:tc>
        <w:tc>
          <w:tcPr>
            <w:gridSpan w:val="4"/>
            <w:tcW w:w="3596" w:type="pct"/>
            <w:vAlign w:val="center"/>
            <w:textDirection w:val="lrTb"/>
            <w:noWrap w:val="false"/>
          </w:tcPr>
          <w:p>
            <w:pPr>
              <w:jc w:val="both"/>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567"/>
        </w:trPr>
        <w:tc>
          <w:tcPr>
            <w:tcW w:w="1403" w:type="pct"/>
            <w:vAlign w:val="center"/>
            <w:textDirection w:val="lrTb"/>
            <w:noWrap w:val="false"/>
          </w:tcPr>
          <w:p>
            <w:pPr>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职工人数</w:t>
            </w:r>
            <w:r/>
          </w:p>
        </w:tc>
        <w:tc>
          <w:tcPr>
            <w:tcW w:w="1120" w:type="pct"/>
            <w:vAlign w:val="center"/>
            <w:textDirection w:val="lrTb"/>
            <w:noWrap w:val="false"/>
          </w:tcPr>
          <w:p>
            <w:pPr>
              <w:jc w:val="both"/>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gridSpan w:val="2"/>
            <w:tcW w:w="1966" w:type="pct"/>
            <w:vAlign w:val="center"/>
            <w:textDirection w:val="lrTb"/>
            <w:noWrap w:val="false"/>
          </w:tcPr>
          <w:p>
            <w:pPr>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其中：有中高级以上职称的人数</w:t>
            </w:r>
            <w:r/>
          </w:p>
        </w:tc>
        <w:tc>
          <w:tcPr>
            <w:tcW w:w="509" w:type="pct"/>
            <w:vAlign w:val="center"/>
            <w:textDirection w:val="lrTb"/>
            <w:noWrap w:val="false"/>
          </w:tcPr>
          <w:p>
            <w:pPr>
              <w:jc w:val="both"/>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2244"/>
        </w:trPr>
        <w:tc>
          <w:tcPr>
            <w:tcW w:w="1403" w:type="pct"/>
            <w:vAlign w:val="center"/>
            <w:textDirection w:val="lrTb"/>
            <w:noWrap w:val="false"/>
          </w:tcPr>
          <w:p>
            <w:pPr>
              <w:jc w:val="both"/>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p>
            <w:pPr>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单位简历及内设机构情况</w:t>
            </w:r>
            <w:r/>
          </w:p>
        </w:tc>
        <w:tc>
          <w:tcPr>
            <w:gridSpan w:val="4"/>
            <w:tcW w:w="3596" w:type="pct"/>
            <w:vAlign w:val="center"/>
            <w:textDirection w:val="lrTb"/>
            <w:noWrap w:val="false"/>
          </w:tcPr>
          <w:p>
            <w:pPr>
              <w:jc w:val="both"/>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3048"/>
        </w:trPr>
        <w:tc>
          <w:tcPr>
            <w:tcW w:w="1403" w:type="pct"/>
            <w:vAlign w:val="center"/>
            <w:textDirection w:val="lrTb"/>
            <w:noWrap w:val="false"/>
          </w:tcPr>
          <w:p>
            <w:pPr>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单位优势及特长</w:t>
            </w:r>
            <w:r/>
          </w:p>
        </w:tc>
        <w:tc>
          <w:tcPr>
            <w:gridSpan w:val="4"/>
            <w:tcW w:w="3596" w:type="pct"/>
            <w:vAlign w:val="center"/>
            <w:textDirection w:val="lrTb"/>
            <w:noWrap w:val="false"/>
          </w:tcPr>
          <w:p>
            <w:pPr>
              <w:jc w:val="both"/>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1715"/>
        </w:trPr>
        <w:tc>
          <w:tcPr>
            <w:tcW w:w="1403" w:type="pct"/>
            <w:vAlign w:val="center"/>
            <w:textDirection w:val="lrTb"/>
            <w:noWrap w:val="false"/>
          </w:tcPr>
          <w:p>
            <w:pPr>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其他需要说明的情况</w:t>
            </w:r>
            <w:r/>
          </w:p>
        </w:tc>
        <w:tc>
          <w:tcPr>
            <w:gridSpan w:val="4"/>
            <w:tcW w:w="3596" w:type="pct"/>
            <w:vAlign w:val="center"/>
            <w:textDirection w:val="lrTb"/>
            <w:noWrap w:val="false"/>
          </w:tcPr>
          <w:p>
            <w:pPr>
              <w:jc w:val="both"/>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r>
    </w:tbl>
    <w:p>
      <w:pPr>
        <w:spacing w:line="380" w:lineRule="exact"/>
        <w:widowControl w:val="off"/>
        <w:rPr>
          <w:rFonts w:ascii="宋体" w:hAnsi="宋体" w:cs="宋体"/>
          <w:color w:val="auto"/>
          <w:sz w:val="21"/>
          <w:szCs w:val="21"/>
          <w:highlight w:val="none"/>
        </w:rPr>
      </w:pPr>
      <w:r>
        <w:rPr>
          <w:rFonts w:ascii="宋体" w:hAnsi="宋体" w:cs="宋体"/>
          <w:color w:val="auto"/>
          <w:sz w:val="21"/>
          <w:szCs w:val="21"/>
          <w:highlight w:val="none"/>
        </w:rPr>
      </w:r>
      <w:r/>
    </w:p>
    <w:p>
      <w:pPr>
        <w:spacing w:line="38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投标单位：（单位盖章）</w:t>
      </w:r>
      <w:r/>
    </w:p>
    <w:p>
      <w:pPr>
        <w:spacing w:line="38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单位法定代表人或代理人：（签字或签章）                      年     月     日</w:t>
      </w:r>
      <w:r/>
    </w:p>
    <w:p>
      <w:pPr>
        <w:pStyle w:val="972"/>
        <w:pageBreakBefore/>
        <w:spacing w:before="0" w:after="0"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格式</w:t>
      </w:r>
      <w:r>
        <w:rPr>
          <w:rFonts w:hint="eastAsia" w:ascii="宋体" w:hAnsi="宋体" w:cs="宋体"/>
          <w:color w:val="auto"/>
          <w:sz w:val="21"/>
          <w:szCs w:val="21"/>
          <w:highlight w:val="none"/>
        </w:rPr>
        <w:t xml:space="preserve">7</w:t>
      </w:r>
      <w:r>
        <w:rPr>
          <w:rFonts w:hint="eastAsia" w:ascii="宋体" w:hAnsi="宋体" w:cs="宋体"/>
          <w:color w:val="auto"/>
          <w:sz w:val="21"/>
          <w:szCs w:val="21"/>
          <w:highlight w:val="none"/>
          <w:lang w:val="zh-CN"/>
        </w:rPr>
        <w:t xml:space="preserve">、服务或技术要求偏离表</w:t>
      </w:r>
      <w:r/>
    </w:p>
    <w:p>
      <w:pPr>
        <w:jc w:val="center"/>
        <w:spacing w:line="360" w:lineRule="auto"/>
        <w:rPr>
          <w:rFonts w:ascii="宋体" w:hAnsi="宋体" w:cs="宋体"/>
          <w:b/>
          <w:color w:val="auto"/>
          <w:sz w:val="21"/>
          <w:szCs w:val="21"/>
          <w:highlight w:val="none"/>
          <w:shd w:val="clear" w:color="auto" w:fill="ffffff"/>
        </w:rPr>
      </w:pPr>
      <w:r>
        <w:rPr>
          <w:rFonts w:hint="eastAsia" w:ascii="宋体" w:hAnsi="宋体" w:cs="宋体"/>
          <w:b/>
          <w:color w:val="auto"/>
          <w:sz w:val="21"/>
          <w:szCs w:val="21"/>
          <w:highlight w:val="none"/>
          <w:shd w:val="clear" w:color="auto" w:fill="ffffff"/>
        </w:rPr>
        <w:t xml:space="preserve">服务或技术要求偏离表</w:t>
      </w:r>
      <w:r/>
    </w:p>
    <w:tbl>
      <w:tblPr>
        <w:tblStyle w:val="752"/>
        <w:tblW w:w="4998" w:type="pct"/>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0"/>
        <w:gridCol w:w="1828"/>
        <w:gridCol w:w="1645"/>
        <w:gridCol w:w="1462"/>
        <w:gridCol w:w="1724"/>
        <w:gridCol w:w="1785"/>
      </w:tblGrid>
      <w:tr>
        <w:trPr>
          <w:jc w:val="center"/>
          <w:trHeight w:val="567"/>
        </w:trPr>
        <w:tc>
          <w:tcPr>
            <w:tcW w:w="452" w:type="pct"/>
            <w:vAlign w:val="center"/>
            <w:textDirection w:val="lrTb"/>
            <w:noWrap w:val="false"/>
          </w:tcPr>
          <w:p>
            <w:pPr>
              <w:jc w:val="center"/>
              <w:spacing w:before="240" w:after="240"/>
              <w:rPr>
                <w:rFonts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 xml:space="preserve">序号</w:t>
            </w:r>
            <w:r/>
          </w:p>
        </w:tc>
        <w:tc>
          <w:tcPr>
            <w:tcW w:w="984" w:type="pct"/>
            <w:vAlign w:val="center"/>
            <w:textDirection w:val="lrTb"/>
            <w:noWrap w:val="false"/>
          </w:tcPr>
          <w:p>
            <w:pPr>
              <w:jc w:val="center"/>
              <w:rPr>
                <w:rFonts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 xml:space="preserve">项目名称</w:t>
            </w:r>
            <w:r/>
          </w:p>
        </w:tc>
        <w:tc>
          <w:tcPr>
            <w:tcW w:w="885" w:type="pct"/>
            <w:vAlign w:val="center"/>
            <w:textDirection w:val="lrTb"/>
            <w:noWrap w:val="false"/>
          </w:tcPr>
          <w:p>
            <w:pPr>
              <w:jc w:val="center"/>
              <w:rPr>
                <w:rFonts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 xml:space="preserve">招标要求</w:t>
            </w:r>
            <w:r/>
          </w:p>
        </w:tc>
        <w:tc>
          <w:tcPr>
            <w:tcW w:w="787" w:type="pct"/>
            <w:vAlign w:val="center"/>
            <w:textDirection w:val="lrTb"/>
            <w:noWrap w:val="false"/>
          </w:tcPr>
          <w:p>
            <w:pPr>
              <w:jc w:val="center"/>
              <w:rPr>
                <w:rFonts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 xml:space="preserve">投标要求</w:t>
            </w:r>
            <w:r/>
          </w:p>
        </w:tc>
        <w:tc>
          <w:tcPr>
            <w:tcW w:w="928" w:type="pct"/>
            <w:vAlign w:val="center"/>
            <w:textDirection w:val="lrTb"/>
            <w:noWrap w:val="false"/>
          </w:tcPr>
          <w:p>
            <w:pPr>
              <w:jc w:val="center"/>
              <w:rPr>
                <w:rFonts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 xml:space="preserve">偏离/响应</w:t>
            </w:r>
            <w:r/>
          </w:p>
        </w:tc>
        <w:tc>
          <w:tcPr>
            <w:tcW w:w="960" w:type="pct"/>
            <w:vAlign w:val="center"/>
            <w:textDirection w:val="lrTb"/>
            <w:noWrap w:val="false"/>
          </w:tcPr>
          <w:p>
            <w:pPr>
              <w:jc w:val="center"/>
              <w:rPr>
                <w:rFonts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 xml:space="preserve">说明</w:t>
            </w:r>
            <w:r/>
          </w:p>
        </w:tc>
      </w:tr>
      <w:tr>
        <w:trPr>
          <w:jc w:val="center"/>
          <w:trHeight w:val="567"/>
        </w:trPr>
        <w:tc>
          <w:tcPr>
            <w:tcW w:w="452" w:type="pct"/>
            <w:textDirection w:val="lrTb"/>
            <w:noWrap w:val="false"/>
          </w:tcPr>
          <w:p>
            <w:pPr>
              <w:spacing w:before="240" w:after="240"/>
              <w:rPr>
                <w:rFonts w:ascii="宋体" w:hAnsi="宋体" w:cs="宋体"/>
                <w:color w:val="auto"/>
                <w:sz w:val="21"/>
                <w:szCs w:val="21"/>
                <w:highlight w:val="none"/>
                <w:shd w:val="clear" w:color="auto" w:fill="ffffff"/>
              </w:rPr>
            </w:pPr>
            <w:r>
              <w:rPr>
                <w:rFonts w:ascii="宋体" w:hAnsi="宋体" w:cs="宋体"/>
                <w:color w:val="auto"/>
                <w:sz w:val="21"/>
                <w:szCs w:val="21"/>
                <w:highlight w:val="none"/>
                <w:shd w:val="clear" w:color="auto" w:fill="ffffff"/>
              </w:rPr>
            </w:r>
            <w:r/>
          </w:p>
        </w:tc>
        <w:tc>
          <w:tcPr>
            <w:tcW w:w="984" w:type="pct"/>
            <w:textDirection w:val="lrTb"/>
            <w:noWrap w:val="false"/>
          </w:tcPr>
          <w:p>
            <w:pPr>
              <w:rPr>
                <w:rFonts w:ascii="宋体" w:hAnsi="宋体" w:cs="宋体"/>
                <w:color w:val="auto"/>
                <w:sz w:val="21"/>
                <w:szCs w:val="21"/>
                <w:highlight w:val="none"/>
                <w:shd w:val="clear" w:color="auto" w:fill="ffffff"/>
              </w:rPr>
            </w:pPr>
            <w:r>
              <w:rPr>
                <w:rFonts w:ascii="宋体" w:hAnsi="宋体" w:cs="宋体"/>
                <w:color w:val="auto"/>
                <w:sz w:val="21"/>
                <w:szCs w:val="21"/>
                <w:highlight w:val="none"/>
                <w:shd w:val="clear" w:color="auto" w:fill="ffffff"/>
              </w:rPr>
            </w:r>
            <w:r/>
          </w:p>
        </w:tc>
        <w:tc>
          <w:tcPr>
            <w:tcW w:w="885" w:type="pct"/>
            <w:textDirection w:val="lrTb"/>
            <w:noWrap w:val="false"/>
          </w:tcPr>
          <w:p>
            <w:pPr>
              <w:rPr>
                <w:rFonts w:ascii="宋体" w:hAnsi="宋体" w:cs="宋体"/>
                <w:color w:val="auto"/>
                <w:sz w:val="21"/>
                <w:szCs w:val="21"/>
                <w:highlight w:val="none"/>
                <w:shd w:val="clear" w:color="auto" w:fill="ffffff"/>
              </w:rPr>
            </w:pPr>
            <w:r>
              <w:rPr>
                <w:rFonts w:ascii="宋体" w:hAnsi="宋体" w:cs="宋体"/>
                <w:color w:val="auto"/>
                <w:sz w:val="21"/>
                <w:szCs w:val="21"/>
                <w:highlight w:val="none"/>
                <w:shd w:val="clear" w:color="auto" w:fill="ffffff"/>
              </w:rPr>
            </w:r>
            <w:r/>
          </w:p>
        </w:tc>
        <w:tc>
          <w:tcPr>
            <w:tcW w:w="787" w:type="pct"/>
            <w:textDirection w:val="lrTb"/>
            <w:noWrap w:val="false"/>
          </w:tcPr>
          <w:p>
            <w:pPr>
              <w:rPr>
                <w:rFonts w:ascii="宋体" w:hAnsi="宋体" w:cs="宋体"/>
                <w:color w:val="auto"/>
                <w:sz w:val="21"/>
                <w:szCs w:val="21"/>
                <w:highlight w:val="none"/>
                <w:shd w:val="clear" w:color="auto" w:fill="ffffff"/>
              </w:rPr>
            </w:pPr>
            <w:r>
              <w:rPr>
                <w:rFonts w:ascii="宋体" w:hAnsi="宋体" w:cs="宋体"/>
                <w:color w:val="auto"/>
                <w:sz w:val="21"/>
                <w:szCs w:val="21"/>
                <w:highlight w:val="none"/>
                <w:shd w:val="clear" w:color="auto" w:fill="ffffff"/>
              </w:rPr>
            </w:r>
            <w:r/>
          </w:p>
        </w:tc>
        <w:tc>
          <w:tcPr>
            <w:tcW w:w="928" w:type="pct"/>
            <w:textDirection w:val="lrTb"/>
            <w:noWrap w:val="false"/>
          </w:tcPr>
          <w:p>
            <w:pPr>
              <w:rPr>
                <w:rFonts w:ascii="宋体" w:hAnsi="宋体" w:cs="宋体"/>
                <w:color w:val="auto"/>
                <w:sz w:val="21"/>
                <w:szCs w:val="21"/>
                <w:highlight w:val="none"/>
                <w:shd w:val="clear" w:color="auto" w:fill="ffffff"/>
              </w:rPr>
            </w:pPr>
            <w:r>
              <w:rPr>
                <w:rFonts w:ascii="宋体" w:hAnsi="宋体" w:cs="宋体"/>
                <w:color w:val="auto"/>
                <w:sz w:val="21"/>
                <w:szCs w:val="21"/>
                <w:highlight w:val="none"/>
                <w:shd w:val="clear" w:color="auto" w:fill="ffffff"/>
              </w:rPr>
            </w:r>
            <w:r/>
          </w:p>
        </w:tc>
        <w:tc>
          <w:tcPr>
            <w:tcW w:w="960" w:type="pct"/>
            <w:textDirection w:val="lrTb"/>
            <w:noWrap w:val="false"/>
          </w:tcPr>
          <w:p>
            <w:pPr>
              <w:rPr>
                <w:rFonts w:ascii="宋体" w:hAnsi="宋体" w:cs="宋体"/>
                <w:color w:val="auto"/>
                <w:sz w:val="21"/>
                <w:szCs w:val="21"/>
                <w:highlight w:val="none"/>
                <w:shd w:val="clear" w:color="auto" w:fill="ffffff"/>
              </w:rPr>
            </w:pPr>
            <w:r>
              <w:rPr>
                <w:rFonts w:ascii="宋体" w:hAnsi="宋体" w:cs="宋体"/>
                <w:color w:val="auto"/>
                <w:sz w:val="21"/>
                <w:szCs w:val="21"/>
                <w:highlight w:val="none"/>
                <w:shd w:val="clear" w:color="auto" w:fill="ffffff"/>
              </w:rPr>
            </w:r>
            <w:r/>
          </w:p>
        </w:tc>
      </w:tr>
      <w:tr>
        <w:trPr>
          <w:jc w:val="center"/>
          <w:trHeight w:val="567"/>
        </w:trPr>
        <w:tc>
          <w:tcPr>
            <w:tcW w:w="452" w:type="pct"/>
            <w:textDirection w:val="lrTb"/>
            <w:noWrap w:val="false"/>
          </w:tcPr>
          <w:p>
            <w:pPr>
              <w:spacing w:before="240" w:after="240"/>
              <w:rPr>
                <w:rFonts w:ascii="宋体" w:hAnsi="宋体" w:cs="宋体"/>
                <w:color w:val="auto"/>
                <w:sz w:val="21"/>
                <w:szCs w:val="21"/>
                <w:highlight w:val="none"/>
                <w:shd w:val="clear" w:color="auto" w:fill="ffffff"/>
              </w:rPr>
            </w:pPr>
            <w:r>
              <w:rPr>
                <w:rFonts w:ascii="宋体" w:hAnsi="宋体" w:cs="宋体"/>
                <w:color w:val="auto"/>
                <w:sz w:val="21"/>
                <w:szCs w:val="21"/>
                <w:highlight w:val="none"/>
                <w:shd w:val="clear" w:color="auto" w:fill="ffffff"/>
              </w:rPr>
            </w:r>
            <w:r/>
          </w:p>
        </w:tc>
        <w:tc>
          <w:tcPr>
            <w:tcW w:w="984" w:type="pct"/>
            <w:textDirection w:val="lrTb"/>
            <w:noWrap w:val="false"/>
          </w:tcPr>
          <w:p>
            <w:pPr>
              <w:rPr>
                <w:rFonts w:ascii="宋体" w:hAnsi="宋体" w:cs="宋体"/>
                <w:color w:val="auto"/>
                <w:sz w:val="21"/>
                <w:szCs w:val="21"/>
                <w:highlight w:val="none"/>
                <w:shd w:val="clear" w:color="auto" w:fill="ffffff"/>
              </w:rPr>
            </w:pPr>
            <w:r>
              <w:rPr>
                <w:rFonts w:ascii="宋体" w:hAnsi="宋体" w:cs="宋体"/>
                <w:color w:val="auto"/>
                <w:sz w:val="21"/>
                <w:szCs w:val="21"/>
                <w:highlight w:val="none"/>
                <w:shd w:val="clear" w:color="auto" w:fill="ffffff"/>
              </w:rPr>
            </w:r>
            <w:r/>
          </w:p>
        </w:tc>
        <w:tc>
          <w:tcPr>
            <w:tcW w:w="885" w:type="pct"/>
            <w:textDirection w:val="lrTb"/>
            <w:noWrap w:val="false"/>
          </w:tcPr>
          <w:p>
            <w:pPr>
              <w:rPr>
                <w:rFonts w:ascii="宋体" w:hAnsi="宋体" w:cs="宋体"/>
                <w:color w:val="auto"/>
                <w:sz w:val="21"/>
                <w:szCs w:val="21"/>
                <w:highlight w:val="none"/>
                <w:shd w:val="clear" w:color="auto" w:fill="ffffff"/>
              </w:rPr>
            </w:pPr>
            <w:r>
              <w:rPr>
                <w:rFonts w:ascii="宋体" w:hAnsi="宋体" w:cs="宋体"/>
                <w:color w:val="auto"/>
                <w:sz w:val="21"/>
                <w:szCs w:val="21"/>
                <w:highlight w:val="none"/>
                <w:shd w:val="clear" w:color="auto" w:fill="ffffff"/>
              </w:rPr>
            </w:r>
            <w:r/>
          </w:p>
        </w:tc>
        <w:tc>
          <w:tcPr>
            <w:tcW w:w="787" w:type="pct"/>
            <w:textDirection w:val="lrTb"/>
            <w:noWrap w:val="false"/>
          </w:tcPr>
          <w:p>
            <w:pPr>
              <w:rPr>
                <w:rFonts w:ascii="宋体" w:hAnsi="宋体" w:cs="宋体"/>
                <w:color w:val="auto"/>
                <w:sz w:val="21"/>
                <w:szCs w:val="21"/>
                <w:highlight w:val="none"/>
                <w:shd w:val="clear" w:color="auto" w:fill="ffffff"/>
              </w:rPr>
            </w:pPr>
            <w:r>
              <w:rPr>
                <w:rFonts w:ascii="宋体" w:hAnsi="宋体" w:cs="宋体"/>
                <w:color w:val="auto"/>
                <w:sz w:val="21"/>
                <w:szCs w:val="21"/>
                <w:highlight w:val="none"/>
                <w:shd w:val="clear" w:color="auto" w:fill="ffffff"/>
              </w:rPr>
            </w:r>
            <w:r/>
          </w:p>
        </w:tc>
        <w:tc>
          <w:tcPr>
            <w:tcW w:w="928" w:type="pct"/>
            <w:textDirection w:val="lrTb"/>
            <w:noWrap w:val="false"/>
          </w:tcPr>
          <w:p>
            <w:pPr>
              <w:rPr>
                <w:rFonts w:ascii="宋体" w:hAnsi="宋体" w:cs="宋体"/>
                <w:color w:val="auto"/>
                <w:sz w:val="21"/>
                <w:szCs w:val="21"/>
                <w:highlight w:val="none"/>
                <w:shd w:val="clear" w:color="auto" w:fill="ffffff"/>
              </w:rPr>
            </w:pPr>
            <w:r>
              <w:rPr>
                <w:rFonts w:ascii="宋体" w:hAnsi="宋体" w:cs="宋体"/>
                <w:color w:val="auto"/>
                <w:sz w:val="21"/>
                <w:szCs w:val="21"/>
                <w:highlight w:val="none"/>
                <w:shd w:val="clear" w:color="auto" w:fill="ffffff"/>
              </w:rPr>
            </w:r>
            <w:r/>
          </w:p>
        </w:tc>
        <w:tc>
          <w:tcPr>
            <w:tcW w:w="960" w:type="pct"/>
            <w:textDirection w:val="lrTb"/>
            <w:noWrap w:val="false"/>
          </w:tcPr>
          <w:p>
            <w:pPr>
              <w:rPr>
                <w:rFonts w:ascii="宋体" w:hAnsi="宋体" w:cs="宋体"/>
                <w:color w:val="auto"/>
                <w:sz w:val="21"/>
                <w:szCs w:val="21"/>
                <w:highlight w:val="none"/>
                <w:shd w:val="clear" w:color="auto" w:fill="ffffff"/>
              </w:rPr>
            </w:pPr>
            <w:r>
              <w:rPr>
                <w:rFonts w:ascii="宋体" w:hAnsi="宋体" w:cs="宋体"/>
                <w:color w:val="auto"/>
                <w:sz w:val="21"/>
                <w:szCs w:val="21"/>
                <w:highlight w:val="none"/>
                <w:shd w:val="clear" w:color="auto" w:fill="ffffff"/>
              </w:rPr>
            </w:r>
            <w:r/>
          </w:p>
        </w:tc>
      </w:tr>
      <w:tr>
        <w:trPr>
          <w:jc w:val="center"/>
          <w:trHeight w:val="567"/>
        </w:trPr>
        <w:tc>
          <w:tcPr>
            <w:tcW w:w="452" w:type="pct"/>
            <w:textDirection w:val="lrTb"/>
            <w:noWrap w:val="false"/>
          </w:tcPr>
          <w:p>
            <w:pPr>
              <w:spacing w:before="240" w:after="240"/>
              <w:rPr>
                <w:rFonts w:ascii="宋体" w:hAnsi="宋体" w:cs="宋体"/>
                <w:color w:val="auto"/>
                <w:sz w:val="21"/>
                <w:szCs w:val="21"/>
                <w:highlight w:val="none"/>
                <w:shd w:val="clear" w:color="auto" w:fill="ffffff"/>
              </w:rPr>
            </w:pPr>
            <w:r>
              <w:rPr>
                <w:rFonts w:ascii="宋体" w:hAnsi="宋体" w:cs="宋体"/>
                <w:color w:val="auto"/>
                <w:sz w:val="21"/>
                <w:szCs w:val="21"/>
                <w:highlight w:val="none"/>
                <w:shd w:val="clear" w:color="auto" w:fill="ffffff"/>
              </w:rPr>
            </w:r>
            <w:r/>
          </w:p>
        </w:tc>
        <w:tc>
          <w:tcPr>
            <w:tcW w:w="984" w:type="pct"/>
            <w:textDirection w:val="lrTb"/>
            <w:noWrap w:val="false"/>
          </w:tcPr>
          <w:p>
            <w:pPr>
              <w:rPr>
                <w:rFonts w:ascii="宋体" w:hAnsi="宋体" w:cs="宋体"/>
                <w:color w:val="auto"/>
                <w:sz w:val="21"/>
                <w:szCs w:val="21"/>
                <w:highlight w:val="none"/>
                <w:shd w:val="clear" w:color="auto" w:fill="ffffff"/>
              </w:rPr>
            </w:pPr>
            <w:r>
              <w:rPr>
                <w:rFonts w:ascii="宋体" w:hAnsi="宋体" w:cs="宋体"/>
                <w:color w:val="auto"/>
                <w:sz w:val="21"/>
                <w:szCs w:val="21"/>
                <w:highlight w:val="none"/>
                <w:shd w:val="clear" w:color="auto" w:fill="ffffff"/>
              </w:rPr>
            </w:r>
            <w:r/>
          </w:p>
        </w:tc>
        <w:tc>
          <w:tcPr>
            <w:tcW w:w="885" w:type="pct"/>
            <w:textDirection w:val="lrTb"/>
            <w:noWrap w:val="false"/>
          </w:tcPr>
          <w:p>
            <w:pPr>
              <w:rPr>
                <w:rFonts w:ascii="宋体" w:hAnsi="宋体" w:cs="宋体"/>
                <w:color w:val="auto"/>
                <w:sz w:val="21"/>
                <w:szCs w:val="21"/>
                <w:highlight w:val="none"/>
                <w:shd w:val="clear" w:color="auto" w:fill="ffffff"/>
              </w:rPr>
            </w:pPr>
            <w:r>
              <w:rPr>
                <w:rFonts w:ascii="宋体" w:hAnsi="宋体" w:cs="宋体"/>
                <w:color w:val="auto"/>
                <w:sz w:val="21"/>
                <w:szCs w:val="21"/>
                <w:highlight w:val="none"/>
                <w:shd w:val="clear" w:color="auto" w:fill="ffffff"/>
              </w:rPr>
            </w:r>
            <w:r/>
          </w:p>
        </w:tc>
        <w:tc>
          <w:tcPr>
            <w:tcW w:w="787" w:type="pct"/>
            <w:textDirection w:val="lrTb"/>
            <w:noWrap w:val="false"/>
          </w:tcPr>
          <w:p>
            <w:pPr>
              <w:rPr>
                <w:rFonts w:ascii="宋体" w:hAnsi="宋体" w:cs="宋体"/>
                <w:color w:val="auto"/>
                <w:sz w:val="21"/>
                <w:szCs w:val="21"/>
                <w:highlight w:val="none"/>
                <w:shd w:val="clear" w:color="auto" w:fill="ffffff"/>
              </w:rPr>
            </w:pPr>
            <w:r>
              <w:rPr>
                <w:rFonts w:ascii="宋体" w:hAnsi="宋体" w:cs="宋体"/>
                <w:color w:val="auto"/>
                <w:sz w:val="21"/>
                <w:szCs w:val="21"/>
                <w:highlight w:val="none"/>
                <w:shd w:val="clear" w:color="auto" w:fill="ffffff"/>
              </w:rPr>
            </w:r>
            <w:r/>
          </w:p>
        </w:tc>
        <w:tc>
          <w:tcPr>
            <w:tcW w:w="928" w:type="pct"/>
            <w:textDirection w:val="lrTb"/>
            <w:noWrap w:val="false"/>
          </w:tcPr>
          <w:p>
            <w:pPr>
              <w:rPr>
                <w:rFonts w:ascii="宋体" w:hAnsi="宋体" w:cs="宋体"/>
                <w:color w:val="auto"/>
                <w:sz w:val="21"/>
                <w:szCs w:val="21"/>
                <w:highlight w:val="none"/>
                <w:shd w:val="clear" w:color="auto" w:fill="ffffff"/>
              </w:rPr>
            </w:pPr>
            <w:r>
              <w:rPr>
                <w:rFonts w:ascii="宋体" w:hAnsi="宋体" w:cs="宋体"/>
                <w:color w:val="auto"/>
                <w:sz w:val="21"/>
                <w:szCs w:val="21"/>
                <w:highlight w:val="none"/>
                <w:shd w:val="clear" w:color="auto" w:fill="ffffff"/>
              </w:rPr>
            </w:r>
            <w:r/>
          </w:p>
        </w:tc>
        <w:tc>
          <w:tcPr>
            <w:tcW w:w="960" w:type="pct"/>
            <w:textDirection w:val="lrTb"/>
            <w:noWrap w:val="false"/>
          </w:tcPr>
          <w:p>
            <w:pPr>
              <w:rPr>
                <w:rFonts w:ascii="宋体" w:hAnsi="宋体" w:cs="宋体"/>
                <w:color w:val="auto"/>
                <w:sz w:val="21"/>
                <w:szCs w:val="21"/>
                <w:highlight w:val="none"/>
                <w:shd w:val="clear" w:color="auto" w:fill="ffffff"/>
              </w:rPr>
            </w:pPr>
            <w:r>
              <w:rPr>
                <w:rFonts w:ascii="宋体" w:hAnsi="宋体" w:cs="宋体"/>
                <w:color w:val="auto"/>
                <w:sz w:val="21"/>
                <w:szCs w:val="21"/>
                <w:highlight w:val="none"/>
                <w:shd w:val="clear" w:color="auto" w:fill="ffffff"/>
              </w:rPr>
            </w:r>
            <w:r/>
          </w:p>
        </w:tc>
      </w:tr>
      <w:tr>
        <w:trPr>
          <w:jc w:val="center"/>
          <w:trHeight w:val="567"/>
        </w:trPr>
        <w:tc>
          <w:tcPr>
            <w:tcW w:w="452" w:type="pct"/>
            <w:textDirection w:val="lrTb"/>
            <w:noWrap w:val="false"/>
          </w:tcPr>
          <w:p>
            <w:pPr>
              <w:spacing w:before="240" w:after="240"/>
              <w:rPr>
                <w:rFonts w:ascii="宋体" w:hAnsi="宋体" w:cs="宋体"/>
                <w:color w:val="auto"/>
                <w:sz w:val="21"/>
                <w:szCs w:val="21"/>
                <w:highlight w:val="none"/>
                <w:shd w:val="clear" w:color="auto" w:fill="ffffff"/>
              </w:rPr>
            </w:pPr>
            <w:r>
              <w:rPr>
                <w:rFonts w:ascii="宋体" w:hAnsi="宋体" w:cs="宋体"/>
                <w:color w:val="auto"/>
                <w:sz w:val="21"/>
                <w:szCs w:val="21"/>
                <w:highlight w:val="none"/>
                <w:shd w:val="clear" w:color="auto" w:fill="ffffff"/>
              </w:rPr>
            </w:r>
            <w:r/>
          </w:p>
        </w:tc>
        <w:tc>
          <w:tcPr>
            <w:tcW w:w="984" w:type="pct"/>
            <w:textDirection w:val="lrTb"/>
            <w:noWrap w:val="false"/>
          </w:tcPr>
          <w:p>
            <w:pPr>
              <w:rPr>
                <w:rFonts w:ascii="宋体" w:hAnsi="宋体" w:cs="宋体"/>
                <w:color w:val="auto"/>
                <w:sz w:val="21"/>
                <w:szCs w:val="21"/>
                <w:highlight w:val="none"/>
                <w:shd w:val="clear" w:color="auto" w:fill="ffffff"/>
              </w:rPr>
            </w:pPr>
            <w:r>
              <w:rPr>
                <w:rFonts w:ascii="宋体" w:hAnsi="宋体" w:cs="宋体"/>
                <w:color w:val="auto"/>
                <w:sz w:val="21"/>
                <w:szCs w:val="21"/>
                <w:highlight w:val="none"/>
                <w:shd w:val="clear" w:color="auto" w:fill="ffffff"/>
              </w:rPr>
            </w:r>
            <w:r/>
          </w:p>
        </w:tc>
        <w:tc>
          <w:tcPr>
            <w:tcW w:w="885" w:type="pct"/>
            <w:textDirection w:val="lrTb"/>
            <w:noWrap w:val="false"/>
          </w:tcPr>
          <w:p>
            <w:pPr>
              <w:rPr>
                <w:rFonts w:ascii="宋体" w:hAnsi="宋体" w:cs="宋体"/>
                <w:color w:val="auto"/>
                <w:sz w:val="21"/>
                <w:szCs w:val="21"/>
                <w:highlight w:val="none"/>
                <w:shd w:val="clear" w:color="auto" w:fill="ffffff"/>
              </w:rPr>
            </w:pPr>
            <w:r>
              <w:rPr>
                <w:rFonts w:ascii="宋体" w:hAnsi="宋体" w:cs="宋体"/>
                <w:color w:val="auto"/>
                <w:sz w:val="21"/>
                <w:szCs w:val="21"/>
                <w:highlight w:val="none"/>
                <w:shd w:val="clear" w:color="auto" w:fill="ffffff"/>
              </w:rPr>
            </w:r>
            <w:r/>
          </w:p>
        </w:tc>
        <w:tc>
          <w:tcPr>
            <w:tcW w:w="787" w:type="pct"/>
            <w:textDirection w:val="lrTb"/>
            <w:noWrap w:val="false"/>
          </w:tcPr>
          <w:p>
            <w:pPr>
              <w:rPr>
                <w:rFonts w:ascii="宋体" w:hAnsi="宋体" w:cs="宋体"/>
                <w:color w:val="auto"/>
                <w:sz w:val="21"/>
                <w:szCs w:val="21"/>
                <w:highlight w:val="none"/>
                <w:shd w:val="clear" w:color="auto" w:fill="ffffff"/>
              </w:rPr>
            </w:pPr>
            <w:r>
              <w:rPr>
                <w:rFonts w:ascii="宋体" w:hAnsi="宋体" w:cs="宋体"/>
                <w:color w:val="auto"/>
                <w:sz w:val="21"/>
                <w:szCs w:val="21"/>
                <w:highlight w:val="none"/>
                <w:shd w:val="clear" w:color="auto" w:fill="ffffff"/>
              </w:rPr>
            </w:r>
            <w:r/>
          </w:p>
        </w:tc>
        <w:tc>
          <w:tcPr>
            <w:tcW w:w="928" w:type="pct"/>
            <w:textDirection w:val="lrTb"/>
            <w:noWrap w:val="false"/>
          </w:tcPr>
          <w:p>
            <w:pPr>
              <w:rPr>
                <w:rFonts w:ascii="宋体" w:hAnsi="宋体" w:cs="宋体"/>
                <w:color w:val="auto"/>
                <w:sz w:val="21"/>
                <w:szCs w:val="21"/>
                <w:highlight w:val="none"/>
                <w:shd w:val="clear" w:color="auto" w:fill="ffffff"/>
              </w:rPr>
            </w:pPr>
            <w:r>
              <w:rPr>
                <w:rFonts w:ascii="宋体" w:hAnsi="宋体" w:cs="宋体"/>
                <w:color w:val="auto"/>
                <w:sz w:val="21"/>
                <w:szCs w:val="21"/>
                <w:highlight w:val="none"/>
                <w:shd w:val="clear" w:color="auto" w:fill="ffffff"/>
              </w:rPr>
            </w:r>
            <w:r/>
          </w:p>
        </w:tc>
        <w:tc>
          <w:tcPr>
            <w:tcW w:w="960" w:type="pct"/>
            <w:textDirection w:val="lrTb"/>
            <w:noWrap w:val="false"/>
          </w:tcPr>
          <w:p>
            <w:pPr>
              <w:rPr>
                <w:rFonts w:ascii="宋体" w:hAnsi="宋体" w:cs="宋体"/>
                <w:color w:val="auto"/>
                <w:sz w:val="21"/>
                <w:szCs w:val="21"/>
                <w:highlight w:val="none"/>
                <w:shd w:val="clear" w:color="auto" w:fill="ffffff"/>
              </w:rPr>
            </w:pPr>
            <w:r>
              <w:rPr>
                <w:rFonts w:ascii="宋体" w:hAnsi="宋体" w:cs="宋体"/>
                <w:color w:val="auto"/>
                <w:sz w:val="21"/>
                <w:szCs w:val="21"/>
                <w:highlight w:val="none"/>
                <w:shd w:val="clear" w:color="auto" w:fill="ffffff"/>
              </w:rPr>
            </w:r>
            <w:r/>
          </w:p>
        </w:tc>
      </w:tr>
      <w:tr>
        <w:trPr>
          <w:jc w:val="center"/>
          <w:trHeight w:val="567"/>
        </w:trPr>
        <w:tc>
          <w:tcPr>
            <w:tcW w:w="452" w:type="pct"/>
            <w:textDirection w:val="lrTb"/>
            <w:noWrap w:val="false"/>
          </w:tcPr>
          <w:p>
            <w:pPr>
              <w:spacing w:before="240" w:after="240"/>
              <w:rPr>
                <w:rFonts w:ascii="宋体" w:hAnsi="宋体" w:cs="宋体"/>
                <w:color w:val="auto"/>
                <w:sz w:val="21"/>
                <w:szCs w:val="21"/>
                <w:highlight w:val="none"/>
                <w:shd w:val="clear" w:color="auto" w:fill="ffffff"/>
              </w:rPr>
            </w:pPr>
            <w:r>
              <w:rPr>
                <w:rFonts w:ascii="宋体" w:hAnsi="宋体" w:cs="宋体"/>
                <w:color w:val="auto"/>
                <w:sz w:val="21"/>
                <w:szCs w:val="21"/>
                <w:highlight w:val="none"/>
                <w:shd w:val="clear" w:color="auto" w:fill="ffffff"/>
              </w:rPr>
            </w:r>
            <w:r/>
          </w:p>
        </w:tc>
        <w:tc>
          <w:tcPr>
            <w:tcW w:w="984" w:type="pct"/>
            <w:textDirection w:val="lrTb"/>
            <w:noWrap w:val="false"/>
          </w:tcPr>
          <w:p>
            <w:pPr>
              <w:rPr>
                <w:rFonts w:ascii="宋体" w:hAnsi="宋体" w:cs="宋体"/>
                <w:color w:val="auto"/>
                <w:sz w:val="21"/>
                <w:szCs w:val="21"/>
                <w:highlight w:val="none"/>
                <w:shd w:val="clear" w:color="auto" w:fill="ffffff"/>
              </w:rPr>
            </w:pPr>
            <w:r>
              <w:rPr>
                <w:rFonts w:ascii="宋体" w:hAnsi="宋体" w:cs="宋体"/>
                <w:color w:val="auto"/>
                <w:sz w:val="21"/>
                <w:szCs w:val="21"/>
                <w:highlight w:val="none"/>
                <w:shd w:val="clear" w:color="auto" w:fill="ffffff"/>
              </w:rPr>
            </w:r>
            <w:r/>
          </w:p>
        </w:tc>
        <w:tc>
          <w:tcPr>
            <w:tcW w:w="885" w:type="pct"/>
            <w:textDirection w:val="lrTb"/>
            <w:noWrap w:val="false"/>
          </w:tcPr>
          <w:p>
            <w:pPr>
              <w:rPr>
                <w:rFonts w:ascii="宋体" w:hAnsi="宋体" w:cs="宋体"/>
                <w:color w:val="auto"/>
                <w:sz w:val="21"/>
                <w:szCs w:val="21"/>
                <w:highlight w:val="none"/>
                <w:shd w:val="clear" w:color="auto" w:fill="ffffff"/>
              </w:rPr>
            </w:pPr>
            <w:r>
              <w:rPr>
                <w:rFonts w:ascii="宋体" w:hAnsi="宋体" w:cs="宋体"/>
                <w:color w:val="auto"/>
                <w:sz w:val="21"/>
                <w:szCs w:val="21"/>
                <w:highlight w:val="none"/>
                <w:shd w:val="clear" w:color="auto" w:fill="ffffff"/>
              </w:rPr>
            </w:r>
            <w:r/>
          </w:p>
        </w:tc>
        <w:tc>
          <w:tcPr>
            <w:tcW w:w="787" w:type="pct"/>
            <w:textDirection w:val="lrTb"/>
            <w:noWrap w:val="false"/>
          </w:tcPr>
          <w:p>
            <w:pPr>
              <w:rPr>
                <w:rFonts w:ascii="宋体" w:hAnsi="宋体" w:cs="宋体"/>
                <w:color w:val="auto"/>
                <w:sz w:val="21"/>
                <w:szCs w:val="21"/>
                <w:highlight w:val="none"/>
                <w:shd w:val="clear" w:color="auto" w:fill="ffffff"/>
              </w:rPr>
            </w:pPr>
            <w:r>
              <w:rPr>
                <w:rFonts w:ascii="宋体" w:hAnsi="宋体" w:cs="宋体"/>
                <w:color w:val="auto"/>
                <w:sz w:val="21"/>
                <w:szCs w:val="21"/>
                <w:highlight w:val="none"/>
                <w:shd w:val="clear" w:color="auto" w:fill="ffffff"/>
              </w:rPr>
            </w:r>
            <w:r/>
          </w:p>
        </w:tc>
        <w:tc>
          <w:tcPr>
            <w:tcW w:w="928" w:type="pct"/>
            <w:textDirection w:val="lrTb"/>
            <w:noWrap w:val="false"/>
          </w:tcPr>
          <w:p>
            <w:pPr>
              <w:rPr>
                <w:rFonts w:ascii="宋体" w:hAnsi="宋体" w:cs="宋体"/>
                <w:color w:val="auto"/>
                <w:sz w:val="21"/>
                <w:szCs w:val="21"/>
                <w:highlight w:val="none"/>
                <w:shd w:val="clear" w:color="auto" w:fill="ffffff"/>
              </w:rPr>
            </w:pPr>
            <w:r>
              <w:rPr>
                <w:rFonts w:ascii="宋体" w:hAnsi="宋体" w:cs="宋体"/>
                <w:color w:val="auto"/>
                <w:sz w:val="21"/>
                <w:szCs w:val="21"/>
                <w:highlight w:val="none"/>
                <w:shd w:val="clear" w:color="auto" w:fill="ffffff"/>
              </w:rPr>
            </w:r>
            <w:r/>
          </w:p>
        </w:tc>
        <w:tc>
          <w:tcPr>
            <w:tcW w:w="960" w:type="pct"/>
            <w:textDirection w:val="lrTb"/>
            <w:noWrap w:val="false"/>
          </w:tcPr>
          <w:p>
            <w:pPr>
              <w:rPr>
                <w:rFonts w:ascii="宋体" w:hAnsi="宋体" w:cs="宋体"/>
                <w:color w:val="auto"/>
                <w:sz w:val="21"/>
                <w:szCs w:val="21"/>
                <w:highlight w:val="none"/>
                <w:shd w:val="clear" w:color="auto" w:fill="ffffff"/>
              </w:rPr>
            </w:pPr>
            <w:r>
              <w:rPr>
                <w:rFonts w:ascii="宋体" w:hAnsi="宋体" w:cs="宋体"/>
                <w:color w:val="auto"/>
                <w:sz w:val="21"/>
                <w:szCs w:val="21"/>
                <w:highlight w:val="none"/>
                <w:shd w:val="clear" w:color="auto" w:fill="ffffff"/>
              </w:rPr>
            </w:r>
            <w:r/>
          </w:p>
        </w:tc>
      </w:tr>
      <w:tr>
        <w:trPr>
          <w:jc w:val="center"/>
          <w:trHeight w:val="567"/>
        </w:trPr>
        <w:tc>
          <w:tcPr>
            <w:tcW w:w="452" w:type="pct"/>
            <w:textDirection w:val="lrTb"/>
            <w:noWrap w:val="false"/>
          </w:tcPr>
          <w:p>
            <w:pPr>
              <w:spacing w:before="240" w:after="240"/>
              <w:rPr>
                <w:rFonts w:ascii="宋体" w:hAnsi="宋体" w:cs="宋体"/>
                <w:color w:val="auto"/>
                <w:sz w:val="21"/>
                <w:szCs w:val="21"/>
                <w:highlight w:val="none"/>
                <w:shd w:val="clear" w:color="auto" w:fill="ffffff"/>
              </w:rPr>
            </w:pPr>
            <w:r>
              <w:rPr>
                <w:rFonts w:ascii="宋体" w:hAnsi="宋体" w:cs="宋体"/>
                <w:color w:val="auto"/>
                <w:sz w:val="21"/>
                <w:szCs w:val="21"/>
                <w:highlight w:val="none"/>
                <w:shd w:val="clear" w:color="auto" w:fill="ffffff"/>
              </w:rPr>
            </w:r>
            <w:r/>
          </w:p>
        </w:tc>
        <w:tc>
          <w:tcPr>
            <w:tcW w:w="984" w:type="pct"/>
            <w:textDirection w:val="lrTb"/>
            <w:noWrap w:val="false"/>
          </w:tcPr>
          <w:p>
            <w:pPr>
              <w:rPr>
                <w:rFonts w:ascii="宋体" w:hAnsi="宋体" w:cs="宋体"/>
                <w:color w:val="auto"/>
                <w:sz w:val="21"/>
                <w:szCs w:val="21"/>
                <w:highlight w:val="none"/>
                <w:shd w:val="clear" w:color="auto" w:fill="ffffff"/>
              </w:rPr>
            </w:pPr>
            <w:r>
              <w:rPr>
                <w:rFonts w:ascii="宋体" w:hAnsi="宋体" w:cs="宋体"/>
                <w:color w:val="auto"/>
                <w:sz w:val="21"/>
                <w:szCs w:val="21"/>
                <w:highlight w:val="none"/>
                <w:shd w:val="clear" w:color="auto" w:fill="ffffff"/>
              </w:rPr>
            </w:r>
            <w:r/>
          </w:p>
        </w:tc>
        <w:tc>
          <w:tcPr>
            <w:tcW w:w="885" w:type="pct"/>
            <w:textDirection w:val="lrTb"/>
            <w:noWrap w:val="false"/>
          </w:tcPr>
          <w:p>
            <w:pPr>
              <w:rPr>
                <w:rFonts w:ascii="宋体" w:hAnsi="宋体" w:cs="宋体"/>
                <w:color w:val="auto"/>
                <w:sz w:val="21"/>
                <w:szCs w:val="21"/>
                <w:highlight w:val="none"/>
                <w:shd w:val="clear" w:color="auto" w:fill="ffffff"/>
              </w:rPr>
            </w:pPr>
            <w:r>
              <w:rPr>
                <w:rFonts w:ascii="宋体" w:hAnsi="宋体" w:cs="宋体"/>
                <w:color w:val="auto"/>
                <w:sz w:val="21"/>
                <w:szCs w:val="21"/>
                <w:highlight w:val="none"/>
                <w:shd w:val="clear" w:color="auto" w:fill="ffffff"/>
              </w:rPr>
            </w:r>
            <w:r/>
          </w:p>
        </w:tc>
        <w:tc>
          <w:tcPr>
            <w:tcW w:w="787" w:type="pct"/>
            <w:textDirection w:val="lrTb"/>
            <w:noWrap w:val="false"/>
          </w:tcPr>
          <w:p>
            <w:pPr>
              <w:rPr>
                <w:rFonts w:ascii="宋体" w:hAnsi="宋体" w:cs="宋体"/>
                <w:color w:val="auto"/>
                <w:sz w:val="21"/>
                <w:szCs w:val="21"/>
                <w:highlight w:val="none"/>
                <w:shd w:val="clear" w:color="auto" w:fill="ffffff"/>
              </w:rPr>
            </w:pPr>
            <w:r>
              <w:rPr>
                <w:rFonts w:ascii="宋体" w:hAnsi="宋体" w:cs="宋体"/>
                <w:color w:val="auto"/>
                <w:sz w:val="21"/>
                <w:szCs w:val="21"/>
                <w:highlight w:val="none"/>
                <w:shd w:val="clear" w:color="auto" w:fill="ffffff"/>
              </w:rPr>
            </w:r>
            <w:r/>
          </w:p>
        </w:tc>
        <w:tc>
          <w:tcPr>
            <w:tcW w:w="928" w:type="pct"/>
            <w:textDirection w:val="lrTb"/>
            <w:noWrap w:val="false"/>
          </w:tcPr>
          <w:p>
            <w:pPr>
              <w:rPr>
                <w:rFonts w:ascii="宋体" w:hAnsi="宋体" w:cs="宋体"/>
                <w:color w:val="auto"/>
                <w:sz w:val="21"/>
                <w:szCs w:val="21"/>
                <w:highlight w:val="none"/>
                <w:shd w:val="clear" w:color="auto" w:fill="ffffff"/>
              </w:rPr>
            </w:pPr>
            <w:r>
              <w:rPr>
                <w:rFonts w:ascii="宋体" w:hAnsi="宋体" w:cs="宋体"/>
                <w:color w:val="auto"/>
                <w:sz w:val="21"/>
                <w:szCs w:val="21"/>
                <w:highlight w:val="none"/>
                <w:shd w:val="clear" w:color="auto" w:fill="ffffff"/>
              </w:rPr>
            </w:r>
            <w:r/>
          </w:p>
        </w:tc>
        <w:tc>
          <w:tcPr>
            <w:tcW w:w="960" w:type="pct"/>
            <w:textDirection w:val="lrTb"/>
            <w:noWrap w:val="false"/>
          </w:tcPr>
          <w:p>
            <w:pPr>
              <w:rPr>
                <w:rFonts w:ascii="宋体" w:hAnsi="宋体" w:cs="宋体"/>
                <w:color w:val="auto"/>
                <w:sz w:val="21"/>
                <w:szCs w:val="21"/>
                <w:highlight w:val="none"/>
                <w:shd w:val="clear" w:color="auto" w:fill="ffffff"/>
              </w:rPr>
            </w:pPr>
            <w:r>
              <w:rPr>
                <w:rFonts w:ascii="宋体" w:hAnsi="宋体" w:cs="宋体"/>
                <w:color w:val="auto"/>
                <w:sz w:val="21"/>
                <w:szCs w:val="21"/>
                <w:highlight w:val="none"/>
                <w:shd w:val="clear" w:color="auto" w:fill="ffffff"/>
              </w:rPr>
            </w:r>
            <w:r/>
          </w:p>
        </w:tc>
      </w:tr>
      <w:tr>
        <w:trPr>
          <w:jc w:val="center"/>
          <w:trHeight w:val="567"/>
        </w:trPr>
        <w:tc>
          <w:tcPr>
            <w:tcW w:w="452" w:type="pct"/>
            <w:textDirection w:val="lrTb"/>
            <w:noWrap w:val="false"/>
          </w:tcPr>
          <w:p>
            <w:pPr>
              <w:spacing w:before="240" w:after="240"/>
              <w:rPr>
                <w:rFonts w:ascii="宋体" w:hAnsi="宋体" w:cs="宋体"/>
                <w:color w:val="auto"/>
                <w:sz w:val="21"/>
                <w:szCs w:val="21"/>
                <w:highlight w:val="none"/>
                <w:shd w:val="clear" w:color="auto" w:fill="ffffff"/>
              </w:rPr>
            </w:pPr>
            <w:r>
              <w:rPr>
                <w:rFonts w:ascii="宋体" w:hAnsi="宋体" w:cs="宋体"/>
                <w:color w:val="auto"/>
                <w:sz w:val="21"/>
                <w:szCs w:val="21"/>
                <w:highlight w:val="none"/>
                <w:shd w:val="clear" w:color="auto" w:fill="ffffff"/>
              </w:rPr>
            </w:r>
            <w:r/>
          </w:p>
        </w:tc>
        <w:tc>
          <w:tcPr>
            <w:tcW w:w="984" w:type="pct"/>
            <w:textDirection w:val="lrTb"/>
            <w:noWrap w:val="false"/>
          </w:tcPr>
          <w:p>
            <w:pPr>
              <w:rPr>
                <w:rFonts w:ascii="宋体" w:hAnsi="宋体" w:cs="宋体"/>
                <w:color w:val="auto"/>
                <w:sz w:val="21"/>
                <w:szCs w:val="21"/>
                <w:highlight w:val="none"/>
                <w:shd w:val="clear" w:color="auto" w:fill="ffffff"/>
              </w:rPr>
            </w:pPr>
            <w:r>
              <w:rPr>
                <w:rFonts w:ascii="宋体" w:hAnsi="宋体" w:cs="宋体"/>
                <w:color w:val="auto"/>
                <w:sz w:val="21"/>
                <w:szCs w:val="21"/>
                <w:highlight w:val="none"/>
                <w:shd w:val="clear" w:color="auto" w:fill="ffffff"/>
              </w:rPr>
            </w:r>
            <w:r/>
          </w:p>
        </w:tc>
        <w:tc>
          <w:tcPr>
            <w:tcW w:w="885" w:type="pct"/>
            <w:textDirection w:val="lrTb"/>
            <w:noWrap w:val="false"/>
          </w:tcPr>
          <w:p>
            <w:pPr>
              <w:rPr>
                <w:rFonts w:ascii="宋体" w:hAnsi="宋体" w:cs="宋体"/>
                <w:color w:val="auto"/>
                <w:sz w:val="21"/>
                <w:szCs w:val="21"/>
                <w:highlight w:val="none"/>
                <w:shd w:val="clear" w:color="auto" w:fill="ffffff"/>
              </w:rPr>
            </w:pPr>
            <w:r>
              <w:rPr>
                <w:rFonts w:ascii="宋体" w:hAnsi="宋体" w:cs="宋体"/>
                <w:color w:val="auto"/>
                <w:sz w:val="21"/>
                <w:szCs w:val="21"/>
                <w:highlight w:val="none"/>
                <w:shd w:val="clear" w:color="auto" w:fill="ffffff"/>
              </w:rPr>
            </w:r>
            <w:r/>
          </w:p>
        </w:tc>
        <w:tc>
          <w:tcPr>
            <w:tcW w:w="787" w:type="pct"/>
            <w:textDirection w:val="lrTb"/>
            <w:noWrap w:val="false"/>
          </w:tcPr>
          <w:p>
            <w:pPr>
              <w:rPr>
                <w:rFonts w:ascii="宋体" w:hAnsi="宋体" w:cs="宋体"/>
                <w:color w:val="auto"/>
                <w:sz w:val="21"/>
                <w:szCs w:val="21"/>
                <w:highlight w:val="none"/>
                <w:shd w:val="clear" w:color="auto" w:fill="ffffff"/>
              </w:rPr>
            </w:pPr>
            <w:r>
              <w:rPr>
                <w:rFonts w:ascii="宋体" w:hAnsi="宋体" w:cs="宋体"/>
                <w:color w:val="auto"/>
                <w:sz w:val="21"/>
                <w:szCs w:val="21"/>
                <w:highlight w:val="none"/>
                <w:shd w:val="clear" w:color="auto" w:fill="ffffff"/>
              </w:rPr>
            </w:r>
            <w:r/>
          </w:p>
        </w:tc>
        <w:tc>
          <w:tcPr>
            <w:tcW w:w="928" w:type="pct"/>
            <w:textDirection w:val="lrTb"/>
            <w:noWrap w:val="false"/>
          </w:tcPr>
          <w:p>
            <w:pPr>
              <w:rPr>
                <w:rFonts w:ascii="宋体" w:hAnsi="宋体" w:cs="宋体"/>
                <w:color w:val="auto"/>
                <w:sz w:val="21"/>
                <w:szCs w:val="21"/>
                <w:highlight w:val="none"/>
                <w:shd w:val="clear" w:color="auto" w:fill="ffffff"/>
              </w:rPr>
            </w:pPr>
            <w:r>
              <w:rPr>
                <w:rFonts w:ascii="宋体" w:hAnsi="宋体" w:cs="宋体"/>
                <w:color w:val="auto"/>
                <w:sz w:val="21"/>
                <w:szCs w:val="21"/>
                <w:highlight w:val="none"/>
                <w:shd w:val="clear" w:color="auto" w:fill="ffffff"/>
              </w:rPr>
            </w:r>
            <w:r/>
          </w:p>
        </w:tc>
        <w:tc>
          <w:tcPr>
            <w:tcW w:w="960" w:type="pct"/>
            <w:textDirection w:val="lrTb"/>
            <w:noWrap w:val="false"/>
          </w:tcPr>
          <w:p>
            <w:pPr>
              <w:rPr>
                <w:rFonts w:ascii="宋体" w:hAnsi="宋体" w:cs="宋体"/>
                <w:color w:val="auto"/>
                <w:sz w:val="21"/>
                <w:szCs w:val="21"/>
                <w:highlight w:val="none"/>
                <w:shd w:val="clear" w:color="auto" w:fill="ffffff"/>
              </w:rPr>
            </w:pPr>
            <w:r>
              <w:rPr>
                <w:rFonts w:ascii="宋体" w:hAnsi="宋体" w:cs="宋体"/>
                <w:color w:val="auto"/>
                <w:sz w:val="21"/>
                <w:szCs w:val="21"/>
                <w:highlight w:val="none"/>
                <w:shd w:val="clear" w:color="auto" w:fill="ffffff"/>
              </w:rPr>
            </w:r>
            <w:r/>
          </w:p>
        </w:tc>
      </w:tr>
      <w:tr>
        <w:trPr>
          <w:jc w:val="center"/>
          <w:trHeight w:val="567"/>
        </w:trPr>
        <w:tc>
          <w:tcPr>
            <w:tcW w:w="452" w:type="pct"/>
            <w:textDirection w:val="lrTb"/>
            <w:noWrap w:val="false"/>
          </w:tcPr>
          <w:p>
            <w:pPr>
              <w:spacing w:before="240" w:after="240"/>
              <w:rPr>
                <w:rFonts w:ascii="宋体" w:hAnsi="宋体" w:cs="宋体"/>
                <w:color w:val="auto"/>
                <w:sz w:val="21"/>
                <w:szCs w:val="21"/>
                <w:highlight w:val="none"/>
                <w:shd w:val="clear" w:color="auto" w:fill="ffffff"/>
              </w:rPr>
            </w:pPr>
            <w:r>
              <w:rPr>
                <w:rFonts w:ascii="宋体" w:hAnsi="宋体" w:cs="宋体"/>
                <w:color w:val="auto"/>
                <w:sz w:val="21"/>
                <w:szCs w:val="21"/>
                <w:highlight w:val="none"/>
                <w:shd w:val="clear" w:color="auto" w:fill="ffffff"/>
              </w:rPr>
            </w:r>
            <w:r/>
          </w:p>
        </w:tc>
        <w:tc>
          <w:tcPr>
            <w:tcW w:w="984" w:type="pct"/>
            <w:textDirection w:val="lrTb"/>
            <w:noWrap w:val="false"/>
          </w:tcPr>
          <w:p>
            <w:pPr>
              <w:rPr>
                <w:rFonts w:ascii="宋体" w:hAnsi="宋体" w:cs="宋体"/>
                <w:color w:val="auto"/>
                <w:sz w:val="21"/>
                <w:szCs w:val="21"/>
                <w:highlight w:val="none"/>
                <w:shd w:val="clear" w:color="auto" w:fill="ffffff"/>
              </w:rPr>
            </w:pPr>
            <w:r>
              <w:rPr>
                <w:rFonts w:ascii="宋体" w:hAnsi="宋体" w:cs="宋体"/>
                <w:color w:val="auto"/>
                <w:sz w:val="21"/>
                <w:szCs w:val="21"/>
                <w:highlight w:val="none"/>
                <w:shd w:val="clear" w:color="auto" w:fill="ffffff"/>
              </w:rPr>
            </w:r>
            <w:r/>
          </w:p>
        </w:tc>
        <w:tc>
          <w:tcPr>
            <w:tcW w:w="885" w:type="pct"/>
            <w:textDirection w:val="lrTb"/>
            <w:noWrap w:val="false"/>
          </w:tcPr>
          <w:p>
            <w:pPr>
              <w:rPr>
                <w:rFonts w:ascii="宋体" w:hAnsi="宋体" w:cs="宋体"/>
                <w:color w:val="auto"/>
                <w:sz w:val="21"/>
                <w:szCs w:val="21"/>
                <w:highlight w:val="none"/>
                <w:shd w:val="clear" w:color="auto" w:fill="ffffff"/>
              </w:rPr>
            </w:pPr>
            <w:r>
              <w:rPr>
                <w:rFonts w:ascii="宋体" w:hAnsi="宋体" w:cs="宋体"/>
                <w:color w:val="auto"/>
                <w:sz w:val="21"/>
                <w:szCs w:val="21"/>
                <w:highlight w:val="none"/>
                <w:shd w:val="clear" w:color="auto" w:fill="ffffff"/>
              </w:rPr>
            </w:r>
            <w:r/>
          </w:p>
        </w:tc>
        <w:tc>
          <w:tcPr>
            <w:tcW w:w="787" w:type="pct"/>
            <w:textDirection w:val="lrTb"/>
            <w:noWrap w:val="false"/>
          </w:tcPr>
          <w:p>
            <w:pPr>
              <w:rPr>
                <w:rFonts w:ascii="宋体" w:hAnsi="宋体" w:cs="宋体"/>
                <w:color w:val="auto"/>
                <w:sz w:val="21"/>
                <w:szCs w:val="21"/>
                <w:highlight w:val="none"/>
                <w:shd w:val="clear" w:color="auto" w:fill="ffffff"/>
              </w:rPr>
            </w:pPr>
            <w:r>
              <w:rPr>
                <w:rFonts w:ascii="宋体" w:hAnsi="宋体" w:cs="宋体"/>
                <w:color w:val="auto"/>
                <w:sz w:val="21"/>
                <w:szCs w:val="21"/>
                <w:highlight w:val="none"/>
                <w:shd w:val="clear" w:color="auto" w:fill="ffffff"/>
              </w:rPr>
            </w:r>
            <w:r/>
          </w:p>
        </w:tc>
        <w:tc>
          <w:tcPr>
            <w:tcW w:w="928" w:type="pct"/>
            <w:textDirection w:val="lrTb"/>
            <w:noWrap w:val="false"/>
          </w:tcPr>
          <w:p>
            <w:pPr>
              <w:rPr>
                <w:rFonts w:ascii="宋体" w:hAnsi="宋体" w:cs="宋体"/>
                <w:color w:val="auto"/>
                <w:sz w:val="21"/>
                <w:szCs w:val="21"/>
                <w:highlight w:val="none"/>
                <w:shd w:val="clear" w:color="auto" w:fill="ffffff"/>
              </w:rPr>
            </w:pPr>
            <w:r>
              <w:rPr>
                <w:rFonts w:ascii="宋体" w:hAnsi="宋体" w:cs="宋体"/>
                <w:color w:val="auto"/>
                <w:sz w:val="21"/>
                <w:szCs w:val="21"/>
                <w:highlight w:val="none"/>
                <w:shd w:val="clear" w:color="auto" w:fill="ffffff"/>
              </w:rPr>
            </w:r>
            <w:r/>
          </w:p>
        </w:tc>
        <w:tc>
          <w:tcPr>
            <w:tcW w:w="960" w:type="pct"/>
            <w:textDirection w:val="lrTb"/>
            <w:noWrap w:val="false"/>
          </w:tcPr>
          <w:p>
            <w:pPr>
              <w:rPr>
                <w:rFonts w:ascii="宋体" w:hAnsi="宋体" w:cs="宋体"/>
                <w:color w:val="auto"/>
                <w:sz w:val="21"/>
                <w:szCs w:val="21"/>
                <w:highlight w:val="none"/>
                <w:shd w:val="clear" w:color="auto" w:fill="ffffff"/>
              </w:rPr>
            </w:pPr>
            <w:r>
              <w:rPr>
                <w:rFonts w:ascii="宋体" w:hAnsi="宋体" w:cs="宋体"/>
                <w:color w:val="auto"/>
                <w:sz w:val="21"/>
                <w:szCs w:val="21"/>
                <w:highlight w:val="none"/>
                <w:shd w:val="clear" w:color="auto" w:fill="ffffff"/>
              </w:rPr>
            </w:r>
            <w:r/>
          </w:p>
        </w:tc>
      </w:tr>
      <w:tr>
        <w:trPr>
          <w:jc w:val="center"/>
          <w:trHeight w:val="567"/>
        </w:trPr>
        <w:tc>
          <w:tcPr>
            <w:tcW w:w="452" w:type="pct"/>
            <w:textDirection w:val="lrTb"/>
            <w:noWrap w:val="false"/>
          </w:tcPr>
          <w:p>
            <w:pPr>
              <w:spacing w:before="240" w:after="240"/>
              <w:rPr>
                <w:rFonts w:ascii="宋体" w:hAnsi="宋体" w:cs="宋体"/>
                <w:color w:val="auto"/>
                <w:sz w:val="21"/>
                <w:szCs w:val="21"/>
                <w:highlight w:val="none"/>
                <w:shd w:val="clear" w:color="auto" w:fill="ffffff"/>
              </w:rPr>
            </w:pPr>
            <w:r>
              <w:rPr>
                <w:rFonts w:ascii="宋体" w:hAnsi="宋体" w:cs="宋体"/>
                <w:color w:val="auto"/>
                <w:sz w:val="21"/>
                <w:szCs w:val="21"/>
                <w:highlight w:val="none"/>
                <w:shd w:val="clear" w:color="auto" w:fill="ffffff"/>
              </w:rPr>
            </w:r>
            <w:r/>
          </w:p>
        </w:tc>
        <w:tc>
          <w:tcPr>
            <w:tcW w:w="984" w:type="pct"/>
            <w:textDirection w:val="lrTb"/>
            <w:noWrap w:val="false"/>
          </w:tcPr>
          <w:p>
            <w:pPr>
              <w:rPr>
                <w:rFonts w:ascii="宋体" w:hAnsi="宋体" w:cs="宋体"/>
                <w:color w:val="auto"/>
                <w:sz w:val="21"/>
                <w:szCs w:val="21"/>
                <w:highlight w:val="none"/>
                <w:shd w:val="clear" w:color="auto" w:fill="ffffff"/>
              </w:rPr>
            </w:pPr>
            <w:r>
              <w:rPr>
                <w:rFonts w:ascii="宋体" w:hAnsi="宋体" w:cs="宋体"/>
                <w:color w:val="auto"/>
                <w:sz w:val="21"/>
                <w:szCs w:val="21"/>
                <w:highlight w:val="none"/>
                <w:shd w:val="clear" w:color="auto" w:fill="ffffff"/>
              </w:rPr>
            </w:r>
            <w:r/>
          </w:p>
        </w:tc>
        <w:tc>
          <w:tcPr>
            <w:tcW w:w="885" w:type="pct"/>
            <w:textDirection w:val="lrTb"/>
            <w:noWrap w:val="false"/>
          </w:tcPr>
          <w:p>
            <w:pPr>
              <w:rPr>
                <w:rFonts w:ascii="宋体" w:hAnsi="宋体" w:cs="宋体"/>
                <w:color w:val="auto"/>
                <w:sz w:val="21"/>
                <w:szCs w:val="21"/>
                <w:highlight w:val="none"/>
                <w:shd w:val="clear" w:color="auto" w:fill="ffffff"/>
              </w:rPr>
            </w:pPr>
            <w:r>
              <w:rPr>
                <w:rFonts w:ascii="宋体" w:hAnsi="宋体" w:cs="宋体"/>
                <w:color w:val="auto"/>
                <w:sz w:val="21"/>
                <w:szCs w:val="21"/>
                <w:highlight w:val="none"/>
                <w:shd w:val="clear" w:color="auto" w:fill="ffffff"/>
              </w:rPr>
            </w:r>
            <w:r/>
          </w:p>
        </w:tc>
        <w:tc>
          <w:tcPr>
            <w:tcW w:w="787" w:type="pct"/>
            <w:textDirection w:val="lrTb"/>
            <w:noWrap w:val="false"/>
          </w:tcPr>
          <w:p>
            <w:pPr>
              <w:rPr>
                <w:rFonts w:ascii="宋体" w:hAnsi="宋体" w:cs="宋体"/>
                <w:color w:val="auto"/>
                <w:sz w:val="21"/>
                <w:szCs w:val="21"/>
                <w:highlight w:val="none"/>
                <w:shd w:val="clear" w:color="auto" w:fill="ffffff"/>
              </w:rPr>
            </w:pPr>
            <w:r>
              <w:rPr>
                <w:rFonts w:ascii="宋体" w:hAnsi="宋体" w:cs="宋体"/>
                <w:color w:val="auto"/>
                <w:sz w:val="21"/>
                <w:szCs w:val="21"/>
                <w:highlight w:val="none"/>
                <w:shd w:val="clear" w:color="auto" w:fill="ffffff"/>
              </w:rPr>
            </w:r>
            <w:r/>
          </w:p>
        </w:tc>
        <w:tc>
          <w:tcPr>
            <w:tcW w:w="928" w:type="pct"/>
            <w:textDirection w:val="lrTb"/>
            <w:noWrap w:val="false"/>
          </w:tcPr>
          <w:p>
            <w:pPr>
              <w:rPr>
                <w:rFonts w:ascii="宋体" w:hAnsi="宋体" w:cs="宋体"/>
                <w:color w:val="auto"/>
                <w:sz w:val="21"/>
                <w:szCs w:val="21"/>
                <w:highlight w:val="none"/>
                <w:shd w:val="clear" w:color="auto" w:fill="ffffff"/>
              </w:rPr>
            </w:pPr>
            <w:r>
              <w:rPr>
                <w:rFonts w:ascii="宋体" w:hAnsi="宋体" w:cs="宋体"/>
                <w:color w:val="auto"/>
                <w:sz w:val="21"/>
                <w:szCs w:val="21"/>
                <w:highlight w:val="none"/>
                <w:shd w:val="clear" w:color="auto" w:fill="ffffff"/>
              </w:rPr>
            </w:r>
            <w:r/>
          </w:p>
        </w:tc>
        <w:tc>
          <w:tcPr>
            <w:tcW w:w="960" w:type="pct"/>
            <w:textDirection w:val="lrTb"/>
            <w:noWrap w:val="false"/>
          </w:tcPr>
          <w:p>
            <w:pPr>
              <w:rPr>
                <w:rFonts w:ascii="宋体" w:hAnsi="宋体" w:cs="宋体"/>
                <w:color w:val="auto"/>
                <w:sz w:val="21"/>
                <w:szCs w:val="21"/>
                <w:highlight w:val="none"/>
                <w:shd w:val="clear" w:color="auto" w:fill="ffffff"/>
              </w:rPr>
            </w:pPr>
            <w:r>
              <w:rPr>
                <w:rFonts w:ascii="宋体" w:hAnsi="宋体" w:cs="宋体"/>
                <w:color w:val="auto"/>
                <w:sz w:val="21"/>
                <w:szCs w:val="21"/>
                <w:highlight w:val="none"/>
                <w:shd w:val="clear" w:color="auto" w:fill="ffffff"/>
              </w:rPr>
            </w:r>
            <w:r/>
          </w:p>
        </w:tc>
      </w:tr>
      <w:tr>
        <w:trPr>
          <w:jc w:val="center"/>
          <w:trHeight w:val="567"/>
        </w:trPr>
        <w:tc>
          <w:tcPr>
            <w:tcW w:w="452" w:type="pct"/>
            <w:textDirection w:val="lrTb"/>
            <w:noWrap w:val="false"/>
          </w:tcPr>
          <w:p>
            <w:pPr>
              <w:spacing w:before="240" w:after="240"/>
              <w:rPr>
                <w:rFonts w:ascii="宋体" w:hAnsi="宋体" w:cs="宋体"/>
                <w:color w:val="auto"/>
                <w:sz w:val="21"/>
                <w:szCs w:val="21"/>
                <w:highlight w:val="none"/>
                <w:shd w:val="clear" w:color="auto" w:fill="ffffff"/>
              </w:rPr>
            </w:pPr>
            <w:r>
              <w:rPr>
                <w:rFonts w:ascii="宋体" w:hAnsi="宋体" w:cs="宋体"/>
                <w:color w:val="auto"/>
                <w:sz w:val="21"/>
                <w:szCs w:val="21"/>
                <w:highlight w:val="none"/>
                <w:shd w:val="clear" w:color="auto" w:fill="ffffff"/>
              </w:rPr>
            </w:r>
            <w:r/>
          </w:p>
        </w:tc>
        <w:tc>
          <w:tcPr>
            <w:tcW w:w="984" w:type="pct"/>
            <w:textDirection w:val="lrTb"/>
            <w:noWrap w:val="false"/>
          </w:tcPr>
          <w:p>
            <w:pPr>
              <w:rPr>
                <w:rFonts w:ascii="宋体" w:hAnsi="宋体" w:cs="宋体"/>
                <w:color w:val="auto"/>
                <w:sz w:val="21"/>
                <w:szCs w:val="21"/>
                <w:highlight w:val="none"/>
                <w:shd w:val="clear" w:color="auto" w:fill="ffffff"/>
              </w:rPr>
            </w:pPr>
            <w:r>
              <w:rPr>
                <w:rFonts w:ascii="宋体" w:hAnsi="宋体" w:cs="宋体"/>
                <w:color w:val="auto"/>
                <w:sz w:val="21"/>
                <w:szCs w:val="21"/>
                <w:highlight w:val="none"/>
                <w:shd w:val="clear" w:color="auto" w:fill="ffffff"/>
              </w:rPr>
            </w:r>
            <w:r/>
          </w:p>
        </w:tc>
        <w:tc>
          <w:tcPr>
            <w:tcW w:w="885" w:type="pct"/>
            <w:textDirection w:val="lrTb"/>
            <w:noWrap w:val="false"/>
          </w:tcPr>
          <w:p>
            <w:pPr>
              <w:rPr>
                <w:rFonts w:ascii="宋体" w:hAnsi="宋体" w:cs="宋体"/>
                <w:color w:val="auto"/>
                <w:sz w:val="21"/>
                <w:szCs w:val="21"/>
                <w:highlight w:val="none"/>
                <w:shd w:val="clear" w:color="auto" w:fill="ffffff"/>
              </w:rPr>
            </w:pPr>
            <w:r>
              <w:rPr>
                <w:rFonts w:ascii="宋体" w:hAnsi="宋体" w:cs="宋体"/>
                <w:color w:val="auto"/>
                <w:sz w:val="21"/>
                <w:szCs w:val="21"/>
                <w:highlight w:val="none"/>
                <w:shd w:val="clear" w:color="auto" w:fill="ffffff"/>
              </w:rPr>
            </w:r>
            <w:r/>
          </w:p>
        </w:tc>
        <w:tc>
          <w:tcPr>
            <w:tcW w:w="787" w:type="pct"/>
            <w:textDirection w:val="lrTb"/>
            <w:noWrap w:val="false"/>
          </w:tcPr>
          <w:p>
            <w:pPr>
              <w:rPr>
                <w:rFonts w:ascii="宋体" w:hAnsi="宋体" w:cs="宋体"/>
                <w:color w:val="auto"/>
                <w:sz w:val="21"/>
                <w:szCs w:val="21"/>
                <w:highlight w:val="none"/>
                <w:shd w:val="clear" w:color="auto" w:fill="ffffff"/>
              </w:rPr>
            </w:pPr>
            <w:r>
              <w:rPr>
                <w:rFonts w:ascii="宋体" w:hAnsi="宋体" w:cs="宋体"/>
                <w:color w:val="auto"/>
                <w:sz w:val="21"/>
                <w:szCs w:val="21"/>
                <w:highlight w:val="none"/>
                <w:shd w:val="clear" w:color="auto" w:fill="ffffff"/>
              </w:rPr>
            </w:r>
            <w:r/>
          </w:p>
        </w:tc>
        <w:tc>
          <w:tcPr>
            <w:tcW w:w="928" w:type="pct"/>
            <w:textDirection w:val="lrTb"/>
            <w:noWrap w:val="false"/>
          </w:tcPr>
          <w:p>
            <w:pPr>
              <w:rPr>
                <w:rFonts w:ascii="宋体" w:hAnsi="宋体" w:cs="宋体"/>
                <w:color w:val="auto"/>
                <w:sz w:val="21"/>
                <w:szCs w:val="21"/>
                <w:highlight w:val="none"/>
                <w:shd w:val="clear" w:color="auto" w:fill="ffffff"/>
              </w:rPr>
            </w:pPr>
            <w:r>
              <w:rPr>
                <w:rFonts w:ascii="宋体" w:hAnsi="宋体" w:cs="宋体"/>
                <w:color w:val="auto"/>
                <w:sz w:val="21"/>
                <w:szCs w:val="21"/>
                <w:highlight w:val="none"/>
                <w:shd w:val="clear" w:color="auto" w:fill="ffffff"/>
              </w:rPr>
            </w:r>
            <w:r/>
          </w:p>
        </w:tc>
        <w:tc>
          <w:tcPr>
            <w:tcW w:w="960" w:type="pct"/>
            <w:textDirection w:val="lrTb"/>
            <w:noWrap w:val="false"/>
          </w:tcPr>
          <w:p>
            <w:pPr>
              <w:rPr>
                <w:rFonts w:ascii="宋体" w:hAnsi="宋体" w:cs="宋体"/>
                <w:color w:val="auto"/>
                <w:sz w:val="21"/>
                <w:szCs w:val="21"/>
                <w:highlight w:val="none"/>
                <w:shd w:val="clear" w:color="auto" w:fill="ffffff"/>
              </w:rPr>
            </w:pPr>
            <w:r>
              <w:rPr>
                <w:rFonts w:ascii="宋体" w:hAnsi="宋体" w:cs="宋体"/>
                <w:color w:val="auto"/>
                <w:sz w:val="21"/>
                <w:szCs w:val="21"/>
                <w:highlight w:val="none"/>
                <w:shd w:val="clear" w:color="auto" w:fill="ffffff"/>
              </w:rPr>
            </w:r>
            <w:r/>
          </w:p>
        </w:tc>
      </w:tr>
    </w:tbl>
    <w:p>
      <w:pPr>
        <w:ind w:firstLine="422"/>
        <w:rPr>
          <w:rFonts w:ascii="宋体" w:hAnsi="宋体" w:cs="宋体"/>
          <w:b/>
          <w:color w:val="auto"/>
          <w:sz w:val="21"/>
          <w:szCs w:val="21"/>
          <w:highlight w:val="none"/>
          <w:shd w:val="clear" w:color="auto" w:fill="ffffff"/>
        </w:rPr>
      </w:pPr>
      <w:r>
        <w:rPr>
          <w:rFonts w:hint="eastAsia" w:ascii="宋体" w:hAnsi="宋体" w:cs="宋体"/>
          <w:b/>
          <w:color w:val="auto"/>
          <w:sz w:val="21"/>
          <w:szCs w:val="21"/>
          <w:highlight w:val="none"/>
          <w:shd w:val="clear" w:color="auto" w:fill="ffffff"/>
        </w:rPr>
        <w:t xml:space="preserve">注：1、供应商应对照招标文件要求，所提供的服务与招标文件的规定有偏离的，应在此表中申明与招标要求的偏差和例外。</w:t>
      </w:r>
      <w:r/>
    </w:p>
    <w:p>
      <w:pPr>
        <w:ind w:firstLine="422"/>
        <w:rPr>
          <w:rFonts w:ascii="宋体" w:hAnsi="宋体" w:cs="宋体"/>
          <w:b/>
          <w:color w:val="auto"/>
          <w:sz w:val="21"/>
          <w:szCs w:val="21"/>
          <w:highlight w:val="none"/>
          <w:shd w:val="clear" w:color="auto" w:fill="ffffff"/>
        </w:rPr>
      </w:pPr>
      <w:r>
        <w:rPr>
          <w:rFonts w:hint="eastAsia" w:ascii="宋体" w:hAnsi="宋体" w:cs="宋体"/>
          <w:b/>
          <w:color w:val="auto"/>
          <w:sz w:val="21"/>
          <w:szCs w:val="21"/>
          <w:highlight w:val="none"/>
          <w:shd w:val="clear" w:color="auto" w:fill="ffffff"/>
        </w:rPr>
        <w:t xml:space="preserve">2、未在上表中说明的，如在响应文件其他内容中已有文字说明的，则以已有文字说明为准，否则，将被认为完全响应招标文件的规定。但该表不作为供应商对所投服务要求详细描述和说明的替代。</w:t>
      </w:r>
      <w:r/>
    </w:p>
    <w:p>
      <w:pPr>
        <w:spacing w:line="380" w:lineRule="exact"/>
        <w:widowControl w:val="off"/>
        <w:rPr>
          <w:rFonts w:ascii="宋体" w:hAnsi="宋体" w:cs="宋体"/>
          <w:color w:val="auto"/>
          <w:sz w:val="21"/>
          <w:szCs w:val="21"/>
          <w:highlight w:val="none"/>
        </w:rPr>
      </w:pPr>
      <w:r>
        <w:rPr>
          <w:rFonts w:ascii="宋体" w:hAnsi="宋体" w:cs="宋体"/>
          <w:color w:val="auto"/>
          <w:sz w:val="21"/>
          <w:szCs w:val="21"/>
          <w:highlight w:val="none"/>
        </w:rPr>
      </w:r>
      <w:r/>
    </w:p>
    <w:p>
      <w:pPr>
        <w:spacing w:line="38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投标单位：（单位盖章）</w:t>
      </w:r>
      <w:r/>
    </w:p>
    <w:p>
      <w:pPr>
        <w:spacing w:line="38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单位法定代表人或代理人：（签字或签章）                      年     月     日</w:t>
      </w:r>
      <w:r/>
    </w:p>
    <w:p>
      <w:pPr>
        <w:pStyle w:val="1017"/>
        <w:ind w:left="93"/>
        <w:spacing w:line="360" w:lineRule="auto"/>
        <w:rPr>
          <w:rFonts w:hAnsi="宋体" w:eastAsia="宋体" w:cs="宋体"/>
          <w:b/>
          <w:color w:val="auto"/>
          <w:sz w:val="21"/>
          <w:szCs w:val="21"/>
          <w:highlight w:val="none"/>
          <w:lang w:val="zh-CN"/>
        </w:rPr>
        <w:sectPr>
          <w:footerReference w:type="default" r:id="rId10"/>
          <w:footerReference w:type="first" r:id="rId11"/>
          <w:footnotePr/>
          <w:endnotePr/>
          <w:type w:val="nextPage"/>
          <w:pgSz w:w="11906" w:h="16838" w:orient="portrait"/>
          <w:pgMar w:top="992" w:right="1417" w:bottom="794" w:left="1417" w:header="851" w:footer="992" w:gutter="0"/>
          <w:pgNumType w:start="1"/>
          <w:cols w:num="1" w:sep="0" w:space="1701" w:equalWidth="1"/>
          <w:docGrid w:linePitch="360"/>
        </w:sectPr>
      </w:pPr>
      <w:r>
        <w:rPr>
          <w:rFonts w:hAnsi="宋体" w:eastAsia="宋体" w:cs="宋体"/>
          <w:b/>
          <w:color w:val="auto"/>
          <w:sz w:val="21"/>
          <w:szCs w:val="21"/>
          <w:highlight w:val="none"/>
          <w:lang w:val="zh-CN"/>
        </w:rPr>
      </w:r>
      <w:r/>
    </w:p>
    <w:p>
      <w:pPr>
        <w:pStyle w:val="972"/>
        <w:pageBreakBefore/>
        <w:spacing w:before="0" w:after="0" w:line="360" w:lineRule="auto"/>
        <w:rPr>
          <w:rFonts w:ascii="宋体" w:hAnsi="宋体" w:cs="宋体"/>
          <w:bCs w:val="0"/>
          <w:color w:val="auto"/>
          <w:sz w:val="21"/>
          <w:szCs w:val="21"/>
          <w:highlight w:val="none"/>
          <w:lang w:val="zh-CN"/>
        </w:rPr>
      </w:pPr>
      <w:r>
        <w:rPr>
          <w:rFonts w:hint="eastAsia" w:ascii="宋体" w:hAnsi="宋体" w:cs="宋体"/>
          <w:bCs w:val="0"/>
          <w:color w:val="auto"/>
          <w:sz w:val="21"/>
          <w:szCs w:val="21"/>
          <w:highlight w:val="none"/>
          <w:lang w:val="zh-CN"/>
        </w:rPr>
        <w:t xml:space="preserve">格式</w:t>
      </w:r>
      <w:r>
        <w:rPr>
          <w:rFonts w:hint="eastAsia" w:ascii="宋体" w:hAnsi="宋体" w:cs="宋体"/>
          <w:bCs w:val="0"/>
          <w:color w:val="auto"/>
          <w:sz w:val="21"/>
          <w:szCs w:val="21"/>
          <w:highlight w:val="none"/>
        </w:rPr>
        <w:t xml:space="preserve">8</w:t>
      </w:r>
      <w:r>
        <w:rPr>
          <w:rFonts w:hint="eastAsia" w:ascii="宋体" w:hAnsi="宋体" w:cs="宋体"/>
          <w:bCs w:val="0"/>
          <w:color w:val="auto"/>
          <w:sz w:val="21"/>
          <w:szCs w:val="21"/>
          <w:highlight w:val="none"/>
          <w:lang w:val="zh-CN"/>
        </w:rPr>
        <w:t xml:space="preserve">、商务条款偏离表</w:t>
      </w:r>
      <w:r/>
    </w:p>
    <w:p>
      <w:pPr>
        <w:jc w:val="center"/>
        <w:rPr>
          <w:rFonts w:ascii="宋体" w:hAnsi="宋体" w:cs="宋体"/>
          <w:b/>
          <w:color w:val="auto"/>
          <w:sz w:val="21"/>
          <w:szCs w:val="21"/>
          <w:highlight w:val="none"/>
        </w:rPr>
      </w:pPr>
      <w:r>
        <w:rPr>
          <w:rFonts w:hint="eastAsia" w:ascii="宋体" w:hAnsi="宋体" w:cs="宋体"/>
          <w:b/>
          <w:color w:val="auto"/>
          <w:sz w:val="21"/>
          <w:szCs w:val="21"/>
          <w:highlight w:val="none"/>
        </w:rPr>
        <w:t xml:space="preserve">商务要求偏离表</w:t>
      </w:r>
      <w:r/>
    </w:p>
    <w:tbl>
      <w:tblPr>
        <w:tblStyle w:val="752"/>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9"/>
        <w:gridCol w:w="1372"/>
        <w:gridCol w:w="1719"/>
        <w:gridCol w:w="1528"/>
        <w:gridCol w:w="1804"/>
        <w:gridCol w:w="1866"/>
      </w:tblGrid>
      <w:tr>
        <w:trPr>
          <w:jc w:val="center"/>
          <w:trHeight w:val="567"/>
        </w:trPr>
        <w:tc>
          <w:tcPr>
            <w:tcW w:w="479" w:type="pct"/>
            <w:vAlign w:val="center"/>
            <w:textDirection w:val="lrTb"/>
            <w:noWrap w:val="false"/>
          </w:tcPr>
          <w:p>
            <w:pPr>
              <w:pStyle w:val="976"/>
              <w:ind w:firstLine="0"/>
              <w:jc w:val="cente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748" w:type="pct"/>
            <w:vAlign w:val="center"/>
            <w:textDirection w:val="lrTb"/>
            <w:noWrap w:val="false"/>
          </w:tcPr>
          <w:p>
            <w:pPr>
              <w:pStyle w:val="976"/>
              <w:ind w:firstLine="0"/>
              <w:jc w:val="cente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采购内容</w:t>
            </w:r>
            <w:r/>
          </w:p>
        </w:tc>
        <w:tc>
          <w:tcPr>
            <w:tcW w:w="937" w:type="pct"/>
            <w:vAlign w:val="center"/>
            <w:textDirection w:val="lrTb"/>
            <w:noWrap w:val="false"/>
          </w:tcPr>
          <w:p>
            <w:pPr>
              <w:pStyle w:val="976"/>
              <w:ind w:firstLine="0"/>
              <w:jc w:val="cente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招标要求</w:t>
            </w:r>
            <w:r/>
          </w:p>
        </w:tc>
        <w:tc>
          <w:tcPr>
            <w:tcW w:w="833" w:type="pct"/>
            <w:vAlign w:val="center"/>
            <w:textDirection w:val="lrTb"/>
            <w:noWrap w:val="false"/>
          </w:tcPr>
          <w:p>
            <w:pPr>
              <w:pStyle w:val="976"/>
              <w:ind w:firstLine="0"/>
              <w:jc w:val="cente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投标情况</w:t>
            </w:r>
            <w:r/>
          </w:p>
        </w:tc>
        <w:tc>
          <w:tcPr>
            <w:tcW w:w="983" w:type="pct"/>
            <w:vAlign w:val="center"/>
            <w:textDirection w:val="lrTb"/>
            <w:noWrap w:val="false"/>
          </w:tcPr>
          <w:p>
            <w:pPr>
              <w:pStyle w:val="976"/>
              <w:ind w:firstLine="0"/>
              <w:jc w:val="cente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偏离/响应</w:t>
            </w:r>
            <w:r/>
          </w:p>
        </w:tc>
        <w:tc>
          <w:tcPr>
            <w:tcW w:w="1017" w:type="pct"/>
            <w:vAlign w:val="center"/>
            <w:textDirection w:val="lrTb"/>
            <w:noWrap w:val="false"/>
          </w:tcPr>
          <w:p>
            <w:pPr>
              <w:pStyle w:val="976"/>
              <w:ind w:firstLine="0"/>
              <w:jc w:val="cente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说明</w:t>
            </w:r>
            <w:r/>
          </w:p>
        </w:tc>
      </w:tr>
      <w:tr>
        <w:trPr>
          <w:jc w:val="center"/>
          <w:trHeight w:val="567"/>
        </w:trPr>
        <w:tc>
          <w:tcPr>
            <w:tcW w:w="479" w:type="pct"/>
            <w:textDirection w:val="lrTb"/>
            <w:noWrap w:val="false"/>
          </w:tcPr>
          <w:p>
            <w:pPr>
              <w:pStyle w:val="976"/>
              <w:ind w:firstLine="0"/>
              <w:jc w:val="cente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748" w:type="pct"/>
            <w:textDirection w:val="lrTb"/>
            <w:noWrap w:val="false"/>
          </w:tcPr>
          <w:p>
            <w:pPr>
              <w:pStyle w:val="976"/>
              <w:ind w:firstLine="0"/>
              <w:jc w:val="cente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937" w:type="pct"/>
            <w:textDirection w:val="lrTb"/>
            <w:noWrap w:val="false"/>
          </w:tcPr>
          <w:p>
            <w:pPr>
              <w:pStyle w:val="976"/>
              <w:ind w:firstLine="0"/>
              <w:jc w:val="cente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833" w:type="pct"/>
            <w:textDirection w:val="lrTb"/>
            <w:noWrap w:val="false"/>
          </w:tcPr>
          <w:p>
            <w:pPr>
              <w:pStyle w:val="976"/>
              <w:ind w:firstLine="0"/>
              <w:jc w:val="cente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983" w:type="pct"/>
            <w:textDirection w:val="lrTb"/>
            <w:noWrap w:val="false"/>
          </w:tcPr>
          <w:p>
            <w:pPr>
              <w:pStyle w:val="976"/>
              <w:ind w:firstLine="0"/>
              <w:jc w:val="cente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017" w:type="pct"/>
            <w:textDirection w:val="lrTb"/>
            <w:noWrap w:val="false"/>
          </w:tcPr>
          <w:p>
            <w:pPr>
              <w:pStyle w:val="976"/>
              <w:ind w:firstLine="0"/>
              <w:jc w:val="cente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jc w:val="center"/>
          <w:trHeight w:val="567"/>
        </w:trPr>
        <w:tc>
          <w:tcPr>
            <w:tcW w:w="479" w:type="pct"/>
            <w:textDirection w:val="lrTb"/>
            <w:noWrap w:val="false"/>
          </w:tcPr>
          <w:p>
            <w:pPr>
              <w:pStyle w:val="976"/>
              <w:ind w:firstLine="0"/>
              <w:jc w:val="cente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748" w:type="pct"/>
            <w:textDirection w:val="lrTb"/>
            <w:noWrap w:val="false"/>
          </w:tcPr>
          <w:p>
            <w:pPr>
              <w:pStyle w:val="976"/>
              <w:ind w:firstLine="0"/>
              <w:jc w:val="cente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937" w:type="pct"/>
            <w:textDirection w:val="lrTb"/>
            <w:noWrap w:val="false"/>
          </w:tcPr>
          <w:p>
            <w:pPr>
              <w:pStyle w:val="976"/>
              <w:ind w:firstLine="0"/>
              <w:jc w:val="cente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833" w:type="pct"/>
            <w:textDirection w:val="lrTb"/>
            <w:noWrap w:val="false"/>
          </w:tcPr>
          <w:p>
            <w:pPr>
              <w:pStyle w:val="976"/>
              <w:ind w:firstLine="0"/>
              <w:jc w:val="cente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983" w:type="pct"/>
            <w:textDirection w:val="lrTb"/>
            <w:noWrap w:val="false"/>
          </w:tcPr>
          <w:p>
            <w:pPr>
              <w:pStyle w:val="976"/>
              <w:ind w:firstLine="0"/>
              <w:jc w:val="cente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017" w:type="pct"/>
            <w:textDirection w:val="lrTb"/>
            <w:noWrap w:val="false"/>
          </w:tcPr>
          <w:p>
            <w:pPr>
              <w:pStyle w:val="976"/>
              <w:ind w:firstLine="0"/>
              <w:jc w:val="cente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jc w:val="center"/>
          <w:trHeight w:val="567"/>
        </w:trPr>
        <w:tc>
          <w:tcPr>
            <w:tcW w:w="479" w:type="pct"/>
            <w:textDirection w:val="lrTb"/>
            <w:noWrap w:val="false"/>
          </w:tcPr>
          <w:p>
            <w:pPr>
              <w:pStyle w:val="976"/>
              <w:ind w:firstLine="0"/>
              <w:jc w:val="cente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748" w:type="pct"/>
            <w:textDirection w:val="lrTb"/>
            <w:noWrap w:val="false"/>
          </w:tcPr>
          <w:p>
            <w:pPr>
              <w:pStyle w:val="976"/>
              <w:ind w:firstLine="0"/>
              <w:jc w:val="cente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937" w:type="pct"/>
            <w:textDirection w:val="lrTb"/>
            <w:noWrap w:val="false"/>
          </w:tcPr>
          <w:p>
            <w:pPr>
              <w:pStyle w:val="976"/>
              <w:ind w:firstLine="0"/>
              <w:jc w:val="cente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833" w:type="pct"/>
            <w:textDirection w:val="lrTb"/>
            <w:noWrap w:val="false"/>
          </w:tcPr>
          <w:p>
            <w:pPr>
              <w:pStyle w:val="976"/>
              <w:ind w:firstLine="0"/>
              <w:jc w:val="cente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983" w:type="pct"/>
            <w:textDirection w:val="lrTb"/>
            <w:noWrap w:val="false"/>
          </w:tcPr>
          <w:p>
            <w:pPr>
              <w:pStyle w:val="976"/>
              <w:ind w:firstLine="0"/>
              <w:jc w:val="cente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017" w:type="pct"/>
            <w:textDirection w:val="lrTb"/>
            <w:noWrap w:val="false"/>
          </w:tcPr>
          <w:p>
            <w:pPr>
              <w:pStyle w:val="976"/>
              <w:ind w:firstLine="0"/>
              <w:jc w:val="cente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jc w:val="center"/>
          <w:trHeight w:val="567"/>
        </w:trPr>
        <w:tc>
          <w:tcPr>
            <w:tcW w:w="479" w:type="pct"/>
            <w:textDirection w:val="lrTb"/>
            <w:noWrap w:val="false"/>
          </w:tcPr>
          <w:p>
            <w:pPr>
              <w:pStyle w:val="976"/>
              <w:ind w:firstLine="0"/>
              <w:jc w:val="cente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748" w:type="pct"/>
            <w:textDirection w:val="lrTb"/>
            <w:noWrap w:val="false"/>
          </w:tcPr>
          <w:p>
            <w:pPr>
              <w:pStyle w:val="976"/>
              <w:ind w:firstLine="0"/>
              <w:jc w:val="cente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937" w:type="pct"/>
            <w:textDirection w:val="lrTb"/>
            <w:noWrap w:val="false"/>
          </w:tcPr>
          <w:p>
            <w:pPr>
              <w:pStyle w:val="976"/>
              <w:ind w:firstLine="0"/>
              <w:jc w:val="cente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833" w:type="pct"/>
            <w:textDirection w:val="lrTb"/>
            <w:noWrap w:val="false"/>
          </w:tcPr>
          <w:p>
            <w:pPr>
              <w:pStyle w:val="976"/>
              <w:ind w:firstLine="0"/>
              <w:jc w:val="cente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983" w:type="pct"/>
            <w:textDirection w:val="lrTb"/>
            <w:noWrap w:val="false"/>
          </w:tcPr>
          <w:p>
            <w:pPr>
              <w:pStyle w:val="976"/>
              <w:ind w:firstLine="0"/>
              <w:jc w:val="cente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017" w:type="pct"/>
            <w:textDirection w:val="lrTb"/>
            <w:noWrap w:val="false"/>
          </w:tcPr>
          <w:p>
            <w:pPr>
              <w:pStyle w:val="976"/>
              <w:ind w:firstLine="0"/>
              <w:jc w:val="cente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jc w:val="center"/>
          <w:trHeight w:val="567"/>
        </w:trPr>
        <w:tc>
          <w:tcPr>
            <w:tcW w:w="479" w:type="pct"/>
            <w:textDirection w:val="lrTb"/>
            <w:noWrap w:val="false"/>
          </w:tcPr>
          <w:p>
            <w:pPr>
              <w:pStyle w:val="976"/>
              <w:ind w:firstLine="0"/>
              <w:jc w:val="cente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748" w:type="pct"/>
            <w:textDirection w:val="lrTb"/>
            <w:noWrap w:val="false"/>
          </w:tcPr>
          <w:p>
            <w:pPr>
              <w:pStyle w:val="976"/>
              <w:ind w:firstLine="0"/>
              <w:jc w:val="cente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937" w:type="pct"/>
            <w:textDirection w:val="lrTb"/>
            <w:noWrap w:val="false"/>
          </w:tcPr>
          <w:p>
            <w:pPr>
              <w:pStyle w:val="976"/>
              <w:ind w:firstLine="0"/>
              <w:jc w:val="cente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833" w:type="pct"/>
            <w:textDirection w:val="lrTb"/>
            <w:noWrap w:val="false"/>
          </w:tcPr>
          <w:p>
            <w:pPr>
              <w:pStyle w:val="976"/>
              <w:ind w:firstLine="0"/>
              <w:jc w:val="cente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983" w:type="pct"/>
            <w:textDirection w:val="lrTb"/>
            <w:noWrap w:val="false"/>
          </w:tcPr>
          <w:p>
            <w:pPr>
              <w:pStyle w:val="976"/>
              <w:ind w:firstLine="0"/>
              <w:jc w:val="cente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017" w:type="pct"/>
            <w:textDirection w:val="lrTb"/>
            <w:noWrap w:val="false"/>
          </w:tcPr>
          <w:p>
            <w:pPr>
              <w:pStyle w:val="976"/>
              <w:ind w:firstLine="0"/>
              <w:jc w:val="cente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bl>
    <w:p>
      <w:pPr>
        <w:pStyle w:val="983"/>
        <w:ind w:firstLine="420"/>
        <w:rPr>
          <w:rFonts w:hAnsi="宋体" w:eastAsia="宋体" w:cs="宋体"/>
          <w:color w:val="auto"/>
          <w:sz w:val="21"/>
          <w:szCs w:val="21"/>
          <w:highlight w:val="none"/>
        </w:rPr>
      </w:pPr>
      <w:r>
        <w:rPr>
          <w:rFonts w:hAnsi="宋体" w:eastAsia="宋体" w:cs="宋体"/>
          <w:color w:val="auto"/>
          <w:sz w:val="21"/>
          <w:szCs w:val="21"/>
          <w:highlight w:val="none"/>
        </w:rPr>
      </w:r>
      <w:r/>
    </w:p>
    <w:p>
      <w:pPr>
        <w:pStyle w:val="983"/>
        <w:ind w:firstLine="420"/>
        <w:rPr>
          <w:rFonts w:hAnsi="宋体" w:eastAsia="宋体" w:cs="宋体"/>
          <w:color w:val="auto"/>
          <w:sz w:val="21"/>
          <w:szCs w:val="21"/>
          <w:highlight w:val="none"/>
        </w:rPr>
      </w:pPr>
      <w:r>
        <w:rPr>
          <w:rFonts w:hint="eastAsia" w:hAnsi="宋体" w:eastAsia="宋体" w:cs="宋体"/>
          <w:color w:val="auto"/>
          <w:sz w:val="21"/>
          <w:szCs w:val="21"/>
          <w:highlight w:val="none"/>
        </w:rPr>
        <w:t xml:space="preserve">注：</w:t>
      </w:r>
      <w:r/>
    </w:p>
    <w:p>
      <w:pPr>
        <w:pStyle w:val="983"/>
        <w:ind w:firstLine="420"/>
        <w:rPr>
          <w:rFonts w:hAnsi="宋体" w:eastAsia="宋体" w:cs="宋体"/>
          <w:color w:val="auto"/>
          <w:sz w:val="21"/>
          <w:szCs w:val="21"/>
          <w:highlight w:val="none"/>
        </w:rPr>
      </w:pPr>
      <w:r>
        <w:rPr>
          <w:rFonts w:hint="eastAsia" w:hAnsi="宋体" w:eastAsia="宋体" w:cs="宋体"/>
          <w:color w:val="auto"/>
          <w:sz w:val="21"/>
          <w:szCs w:val="21"/>
          <w:highlight w:val="none"/>
        </w:rPr>
        <w:t xml:space="preserve">1、投标人应对照招标文件要求，投标人响应情况与招标文件的规定有偏离的，应在此表中申明与设计要求条文的偏差和例外。</w:t>
      </w:r>
      <w:r/>
    </w:p>
    <w:p>
      <w:pPr>
        <w:pStyle w:val="983"/>
        <w:ind w:firstLine="447"/>
        <w:rPr>
          <w:rFonts w:hAnsi="宋体" w:eastAsia="宋体" w:cs="宋体"/>
          <w:color w:val="auto"/>
          <w:sz w:val="21"/>
          <w:szCs w:val="21"/>
          <w:highlight w:val="none"/>
        </w:rPr>
      </w:pPr>
      <w:r>
        <w:rPr>
          <w:rFonts w:hint="eastAsia" w:hAnsi="宋体" w:eastAsia="宋体" w:cs="宋体"/>
          <w:color w:val="auto"/>
          <w:sz w:val="21"/>
          <w:szCs w:val="21"/>
          <w:highlight w:val="none"/>
        </w:rPr>
        <w:t xml:space="preserve">2、未在上表中说明的，如在投标文件其他内容中已有文字说明的，则以已有文字说明为准，否则，将被认为完全响应招标文件的规定。但该表不作为投标人对所投标的物详细描述和说明的替代。</w:t>
      </w:r>
      <w:r/>
    </w:p>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p>
      <w:pPr>
        <w:spacing w:line="380" w:lineRule="exact"/>
        <w:widowControl w:val="off"/>
        <w:rPr>
          <w:rFonts w:ascii="宋体" w:hAnsi="宋体" w:cs="宋体"/>
          <w:color w:val="auto"/>
          <w:sz w:val="21"/>
          <w:szCs w:val="21"/>
          <w:highlight w:val="none"/>
        </w:rPr>
      </w:pPr>
      <w:r>
        <w:rPr>
          <w:rFonts w:ascii="宋体" w:hAnsi="宋体" w:cs="宋体"/>
          <w:color w:val="auto"/>
          <w:sz w:val="21"/>
          <w:szCs w:val="21"/>
          <w:highlight w:val="none"/>
        </w:rPr>
      </w:r>
      <w:r/>
    </w:p>
    <w:p>
      <w:pPr>
        <w:spacing w:line="38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投标单位：（单位盖章）</w:t>
      </w:r>
      <w:r/>
    </w:p>
    <w:p>
      <w:pPr>
        <w:spacing w:line="38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单位法定代表人或代理人：（签字或签章）                      年     月     日</w:t>
      </w:r>
      <w:r/>
    </w:p>
    <w:p>
      <w:pPr>
        <w:pStyle w:val="976"/>
        <w:jc w:val="both"/>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1014"/>
        <w:ind w:firstLine="0"/>
        <w:rPr>
          <w:rFonts w:ascii="宋体" w:hAnsi="宋体" w:cs="宋体"/>
          <w:color w:val="auto"/>
          <w:szCs w:val="21"/>
          <w:highlight w:val="none"/>
        </w:rPr>
      </w:pPr>
      <w:r>
        <w:rPr>
          <w:rFonts w:ascii="宋体" w:hAnsi="宋体" w:cs="宋体"/>
          <w:color w:val="auto"/>
          <w:szCs w:val="21"/>
          <w:highlight w:val="none"/>
        </w:rPr>
      </w:r>
      <w:r/>
    </w:p>
    <w:p>
      <w:pPr>
        <w:pStyle w:val="1014"/>
        <w:ind w:firstLine="0"/>
        <w:rPr>
          <w:rFonts w:ascii="宋体" w:hAnsi="宋体" w:cs="宋体"/>
          <w:color w:val="auto"/>
          <w:szCs w:val="21"/>
          <w:highlight w:val="none"/>
        </w:rPr>
      </w:pPr>
      <w:r>
        <w:rPr>
          <w:rFonts w:ascii="宋体" w:hAnsi="宋体" w:cs="宋体"/>
          <w:color w:val="auto"/>
          <w:szCs w:val="21"/>
          <w:highlight w:val="none"/>
        </w:rPr>
      </w:r>
      <w:r/>
    </w:p>
    <w:p>
      <w:pPr>
        <w:pStyle w:val="1014"/>
        <w:ind w:firstLine="0"/>
        <w:rPr>
          <w:rFonts w:ascii="宋体" w:hAnsi="宋体" w:cs="宋体"/>
          <w:color w:val="auto"/>
          <w:szCs w:val="21"/>
          <w:highlight w:val="none"/>
        </w:rPr>
      </w:pPr>
      <w:r>
        <w:rPr>
          <w:rFonts w:ascii="宋体" w:hAnsi="宋体" w:cs="宋体"/>
          <w:color w:val="auto"/>
          <w:szCs w:val="21"/>
          <w:highlight w:val="none"/>
        </w:rPr>
      </w:r>
      <w:r/>
    </w:p>
    <w:p>
      <w:pPr>
        <w:pStyle w:val="1014"/>
        <w:ind w:firstLine="0"/>
        <w:rPr>
          <w:rFonts w:ascii="宋体" w:hAnsi="宋体" w:cs="宋体"/>
          <w:color w:val="auto"/>
          <w:szCs w:val="21"/>
          <w:highlight w:val="none"/>
        </w:rPr>
      </w:pPr>
      <w:r>
        <w:rPr>
          <w:rFonts w:ascii="宋体" w:hAnsi="宋体" w:cs="宋体"/>
          <w:color w:val="auto"/>
          <w:szCs w:val="21"/>
          <w:highlight w:val="none"/>
        </w:rPr>
      </w:r>
      <w:r/>
    </w:p>
    <w:p>
      <w:pPr>
        <w:pStyle w:val="1014"/>
        <w:ind w:firstLine="0"/>
        <w:rPr>
          <w:rFonts w:ascii="宋体" w:hAnsi="宋体" w:cs="宋体"/>
          <w:color w:val="auto"/>
          <w:szCs w:val="21"/>
          <w:highlight w:val="none"/>
        </w:rPr>
      </w:pPr>
      <w:r>
        <w:rPr>
          <w:rFonts w:ascii="宋体" w:hAnsi="宋体" w:cs="宋体"/>
          <w:color w:val="auto"/>
          <w:szCs w:val="21"/>
          <w:highlight w:val="none"/>
        </w:rPr>
      </w:r>
      <w:r/>
    </w:p>
    <w:p>
      <w:pPr>
        <w:pStyle w:val="1014"/>
        <w:ind w:firstLine="0"/>
        <w:rPr>
          <w:rFonts w:ascii="宋体" w:hAnsi="宋体" w:cs="宋体"/>
          <w:color w:val="auto"/>
          <w:szCs w:val="21"/>
          <w:highlight w:val="none"/>
        </w:rPr>
      </w:pPr>
      <w:r>
        <w:rPr>
          <w:rFonts w:ascii="宋体" w:hAnsi="宋体" w:cs="宋体"/>
          <w:color w:val="auto"/>
          <w:szCs w:val="21"/>
          <w:highlight w:val="none"/>
        </w:rPr>
      </w:r>
      <w:r/>
    </w:p>
    <w:p>
      <w:pPr>
        <w:pStyle w:val="1014"/>
        <w:ind w:firstLine="0"/>
        <w:rPr>
          <w:rFonts w:ascii="宋体" w:hAnsi="宋体" w:cs="宋体"/>
          <w:color w:val="auto"/>
          <w:szCs w:val="21"/>
          <w:highlight w:val="none"/>
        </w:rPr>
      </w:pPr>
      <w:r>
        <w:rPr>
          <w:rFonts w:ascii="宋体" w:hAnsi="宋体" w:cs="宋体"/>
          <w:color w:val="auto"/>
          <w:szCs w:val="21"/>
          <w:highlight w:val="none"/>
        </w:rPr>
      </w:r>
      <w:r/>
    </w:p>
    <w:p>
      <w:pPr>
        <w:pStyle w:val="1014"/>
        <w:ind w:firstLine="0"/>
        <w:rPr>
          <w:rFonts w:ascii="宋体" w:hAnsi="宋体" w:cs="宋体"/>
          <w:color w:val="auto"/>
          <w:szCs w:val="21"/>
          <w:highlight w:val="none"/>
        </w:rPr>
      </w:pPr>
      <w:r>
        <w:rPr>
          <w:rFonts w:ascii="宋体" w:hAnsi="宋体" w:cs="宋体"/>
          <w:color w:val="auto"/>
          <w:szCs w:val="21"/>
          <w:highlight w:val="none"/>
        </w:rPr>
      </w:r>
      <w:r/>
    </w:p>
    <w:p>
      <w:pPr>
        <w:pStyle w:val="1014"/>
        <w:ind w:firstLine="0"/>
        <w:rPr>
          <w:rFonts w:ascii="宋体" w:hAnsi="宋体" w:cs="宋体"/>
          <w:color w:val="auto"/>
          <w:szCs w:val="21"/>
          <w:highlight w:val="none"/>
        </w:rPr>
      </w:pPr>
      <w:r>
        <w:rPr>
          <w:rFonts w:ascii="宋体" w:hAnsi="宋体" w:cs="宋体"/>
          <w:color w:val="auto"/>
          <w:szCs w:val="21"/>
          <w:highlight w:val="none"/>
        </w:rPr>
      </w:r>
      <w:r/>
    </w:p>
    <w:p>
      <w:pPr>
        <w:pStyle w:val="1014"/>
        <w:ind w:firstLine="0"/>
        <w:rPr>
          <w:rFonts w:ascii="宋体" w:hAnsi="宋体" w:cs="宋体"/>
          <w:color w:val="auto"/>
          <w:szCs w:val="21"/>
          <w:highlight w:val="none"/>
        </w:rPr>
      </w:pPr>
      <w:r>
        <w:rPr>
          <w:rFonts w:ascii="宋体" w:hAnsi="宋体" w:cs="宋体"/>
          <w:color w:val="auto"/>
          <w:szCs w:val="21"/>
          <w:highlight w:val="none"/>
        </w:rPr>
      </w:r>
      <w:r/>
    </w:p>
    <w:p>
      <w:pPr>
        <w:pStyle w:val="1014"/>
        <w:ind w:firstLine="0"/>
        <w:rPr>
          <w:rFonts w:ascii="宋体" w:hAnsi="宋体" w:cs="宋体"/>
          <w:color w:val="auto"/>
          <w:szCs w:val="21"/>
          <w:highlight w:val="none"/>
        </w:rPr>
      </w:pPr>
      <w:r>
        <w:rPr>
          <w:rFonts w:ascii="宋体" w:hAnsi="宋体" w:cs="宋体"/>
          <w:color w:val="auto"/>
          <w:szCs w:val="21"/>
          <w:highlight w:val="none"/>
        </w:rPr>
      </w:r>
      <w:r/>
    </w:p>
    <w:p>
      <w:pPr>
        <w:pStyle w:val="1014"/>
        <w:ind w:firstLine="0"/>
        <w:rPr>
          <w:rFonts w:ascii="宋体" w:hAnsi="宋体" w:cs="宋体"/>
          <w:color w:val="auto"/>
          <w:szCs w:val="21"/>
          <w:highlight w:val="none"/>
        </w:rPr>
      </w:pPr>
      <w:r>
        <w:rPr>
          <w:rFonts w:ascii="宋体" w:hAnsi="宋体" w:cs="宋体"/>
          <w:color w:val="auto"/>
          <w:szCs w:val="21"/>
          <w:highlight w:val="none"/>
        </w:rPr>
      </w:r>
      <w:r/>
    </w:p>
    <w:p>
      <w:pPr>
        <w:pStyle w:val="1014"/>
        <w:ind w:firstLine="0"/>
        <w:rPr>
          <w:rFonts w:ascii="宋体" w:hAnsi="宋体" w:cs="宋体"/>
          <w:color w:val="auto"/>
          <w:szCs w:val="21"/>
          <w:highlight w:val="none"/>
        </w:rPr>
      </w:pPr>
      <w:r>
        <w:rPr>
          <w:rFonts w:ascii="宋体" w:hAnsi="宋体" w:cs="宋体"/>
          <w:color w:val="auto"/>
          <w:szCs w:val="21"/>
          <w:highlight w:val="none"/>
        </w:rPr>
      </w:r>
      <w:r/>
    </w:p>
    <w:p>
      <w:pPr>
        <w:pStyle w:val="1014"/>
        <w:ind w:firstLine="0"/>
        <w:rPr>
          <w:rFonts w:ascii="宋体" w:hAnsi="宋体" w:cs="宋体"/>
          <w:color w:val="auto"/>
          <w:szCs w:val="21"/>
          <w:highlight w:val="none"/>
        </w:rPr>
      </w:pPr>
      <w:r>
        <w:rPr>
          <w:rFonts w:ascii="宋体" w:hAnsi="宋体" w:cs="宋体"/>
          <w:color w:val="auto"/>
          <w:szCs w:val="21"/>
          <w:highlight w:val="none"/>
        </w:rPr>
      </w:r>
      <w:r/>
    </w:p>
    <w:p>
      <w:pPr>
        <w:pStyle w:val="1014"/>
        <w:ind w:firstLine="0"/>
        <w:rPr>
          <w:rFonts w:ascii="宋体" w:hAnsi="宋体" w:cs="宋体"/>
          <w:color w:val="auto"/>
          <w:szCs w:val="21"/>
          <w:highlight w:val="none"/>
        </w:rPr>
      </w:pPr>
      <w:r>
        <w:rPr>
          <w:rFonts w:ascii="宋体" w:hAnsi="宋体" w:cs="宋体"/>
          <w:color w:val="auto"/>
          <w:szCs w:val="21"/>
          <w:highlight w:val="none"/>
        </w:rPr>
      </w:r>
      <w:r/>
    </w:p>
    <w:p>
      <w:pPr>
        <w:pStyle w:val="1014"/>
        <w:ind w:firstLine="0"/>
        <w:rPr>
          <w:rFonts w:ascii="宋体" w:hAnsi="宋体" w:cs="宋体"/>
          <w:color w:val="auto"/>
          <w:szCs w:val="21"/>
          <w:highlight w:val="none"/>
        </w:rPr>
      </w:pPr>
      <w:r>
        <w:rPr>
          <w:rFonts w:ascii="宋体" w:hAnsi="宋体" w:cs="宋体"/>
          <w:color w:val="auto"/>
          <w:szCs w:val="21"/>
          <w:highlight w:val="none"/>
        </w:rPr>
      </w:r>
      <w:r/>
    </w:p>
    <w:p>
      <w:pPr>
        <w:pStyle w:val="1014"/>
        <w:ind w:firstLine="0"/>
        <w:rPr>
          <w:rFonts w:ascii="宋体" w:hAnsi="宋体" w:cs="宋体"/>
          <w:color w:val="auto"/>
          <w:szCs w:val="21"/>
          <w:highlight w:val="none"/>
        </w:rPr>
      </w:pPr>
      <w:r>
        <w:rPr>
          <w:rFonts w:ascii="宋体" w:hAnsi="宋体" w:cs="宋体"/>
          <w:color w:val="auto"/>
          <w:szCs w:val="21"/>
          <w:highlight w:val="none"/>
        </w:rPr>
      </w:r>
      <w:r/>
    </w:p>
    <w:p>
      <w:pPr>
        <w:pStyle w:val="1014"/>
        <w:ind w:firstLine="0"/>
        <w:rPr>
          <w:rFonts w:ascii="宋体" w:hAnsi="宋体" w:cs="宋体"/>
          <w:color w:val="auto"/>
          <w:szCs w:val="21"/>
          <w:highlight w:val="none"/>
        </w:rPr>
      </w:pPr>
      <w:r>
        <w:rPr>
          <w:rFonts w:ascii="宋体" w:hAnsi="宋体" w:cs="宋体"/>
          <w:color w:val="auto"/>
          <w:szCs w:val="21"/>
          <w:highlight w:val="none"/>
        </w:rPr>
      </w:r>
      <w:r/>
    </w:p>
    <w:p>
      <w:pPr>
        <w:pStyle w:val="1014"/>
        <w:ind w:firstLine="0"/>
        <w:rPr>
          <w:rFonts w:ascii="宋体" w:hAnsi="宋体" w:cs="宋体"/>
          <w:color w:val="auto"/>
          <w:szCs w:val="21"/>
          <w:highlight w:val="none"/>
        </w:rPr>
      </w:pPr>
      <w:r>
        <w:rPr>
          <w:rFonts w:ascii="宋体" w:hAnsi="宋体" w:cs="宋体"/>
          <w:color w:val="auto"/>
          <w:szCs w:val="21"/>
          <w:highlight w:val="none"/>
        </w:rPr>
      </w:r>
      <w:r/>
    </w:p>
    <w:p>
      <w:pPr>
        <w:pStyle w:val="1014"/>
        <w:ind w:firstLine="0"/>
        <w:rPr>
          <w:rFonts w:ascii="宋体" w:hAnsi="宋体" w:cs="宋体"/>
          <w:color w:val="auto"/>
          <w:szCs w:val="21"/>
          <w:highlight w:val="none"/>
        </w:rPr>
      </w:pPr>
      <w:r>
        <w:rPr>
          <w:rFonts w:ascii="宋体" w:hAnsi="宋体" w:cs="宋体"/>
          <w:color w:val="auto"/>
          <w:szCs w:val="21"/>
          <w:highlight w:val="none"/>
        </w:rPr>
      </w:r>
      <w:r/>
    </w:p>
    <w:p>
      <w:pPr>
        <w:pStyle w:val="1014"/>
        <w:ind w:firstLine="0"/>
        <w:rPr>
          <w:rFonts w:ascii="宋体" w:hAnsi="宋体" w:cs="宋体"/>
          <w:color w:val="auto"/>
          <w:szCs w:val="21"/>
          <w:highlight w:val="none"/>
        </w:rPr>
      </w:pPr>
      <w:r>
        <w:rPr>
          <w:rFonts w:ascii="宋体" w:hAnsi="宋体" w:cs="宋体"/>
          <w:color w:val="auto"/>
          <w:szCs w:val="21"/>
          <w:highlight w:val="none"/>
        </w:rPr>
      </w:r>
      <w:r/>
    </w:p>
    <w:p>
      <w:pPr>
        <w:pStyle w:val="972"/>
        <w:pageBreakBefore/>
        <w:spacing w:before="0" w:after="0" w:line="360" w:lineRule="auto"/>
        <w:rPr>
          <w:rFonts w:ascii="宋体" w:hAnsi="宋体" w:cs="宋体"/>
          <w:b w:val="0"/>
          <w:bCs w:val="0"/>
          <w:color w:val="auto"/>
          <w:sz w:val="21"/>
          <w:szCs w:val="21"/>
          <w:highlight w:val="none"/>
        </w:rPr>
      </w:pPr>
      <w:r/>
      <w:bookmarkStart w:id="23" w:name="_Toc471283949"/>
      <w:r>
        <w:rPr>
          <w:rFonts w:hint="eastAsia" w:ascii="宋体" w:hAnsi="宋体" w:cs="宋体"/>
          <w:color w:val="auto"/>
          <w:sz w:val="21"/>
          <w:szCs w:val="21"/>
          <w:highlight w:val="none"/>
          <w:lang w:val="zh-CN"/>
        </w:rPr>
        <w:t xml:space="preserve">格式</w:t>
      </w:r>
      <w:r>
        <w:rPr>
          <w:rFonts w:hint="eastAsia" w:ascii="宋体" w:hAnsi="宋体" w:cs="宋体"/>
          <w:color w:val="auto"/>
          <w:sz w:val="21"/>
          <w:szCs w:val="21"/>
          <w:highlight w:val="none"/>
        </w:rPr>
        <w:t xml:space="preserve">9</w:t>
      </w:r>
      <w:r>
        <w:rPr>
          <w:rFonts w:hint="eastAsia" w:ascii="宋体" w:hAnsi="宋体" w:cs="宋体"/>
          <w:color w:val="auto"/>
          <w:sz w:val="21"/>
          <w:szCs w:val="21"/>
          <w:highlight w:val="none"/>
          <w:lang w:val="zh-CN"/>
        </w:rPr>
        <w:t xml:space="preserve">、拟投入服务团队一览表</w:t>
      </w:r>
      <w:r/>
    </w:p>
    <w:p>
      <w:pPr>
        <w:jc w:val="center"/>
        <w:tabs>
          <w:tab w:val="left" w:pos="720" w:leader="none"/>
        </w:tabs>
        <w:rPr>
          <w:rFonts w:ascii="宋体" w:hAnsi="宋体" w:cs="宋体"/>
          <w:b/>
          <w:color w:val="auto"/>
          <w:sz w:val="21"/>
          <w:szCs w:val="21"/>
          <w:highlight w:val="none"/>
          <w:lang w:val="zh-CN"/>
        </w:rPr>
      </w:pPr>
      <w:r>
        <w:rPr>
          <w:rFonts w:hint="eastAsia" w:ascii="宋体" w:hAnsi="宋体" w:cs="宋体"/>
          <w:b/>
          <w:color w:val="auto"/>
          <w:sz w:val="21"/>
          <w:szCs w:val="21"/>
          <w:highlight w:val="none"/>
        </w:rPr>
        <w:t xml:space="preserve">拟投入服务团队</w:t>
      </w:r>
      <w:r>
        <w:rPr>
          <w:rFonts w:hint="eastAsia" w:ascii="宋体" w:hAnsi="宋体" w:cs="宋体"/>
          <w:b/>
          <w:color w:val="auto"/>
          <w:sz w:val="21"/>
          <w:szCs w:val="21"/>
          <w:highlight w:val="none"/>
          <w:lang w:val="zh-CN"/>
        </w:rPr>
        <w:t xml:space="preserve">一览表</w:t>
      </w:r>
      <w:bookmarkEnd w:id="23"/>
      <w:r/>
      <w:r/>
    </w:p>
    <w:tbl>
      <w:tblPr>
        <w:tblStyle w:val="752"/>
        <w:tblW w:w="9268" w:type="dxa"/>
        <w:tblInd w:w="-35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9"/>
        <w:gridCol w:w="1121"/>
        <w:gridCol w:w="3225"/>
        <w:gridCol w:w="1320"/>
        <w:gridCol w:w="1559"/>
        <w:gridCol w:w="1274"/>
      </w:tblGrid>
      <w:tr>
        <w:trPr>
          <w:trHeight w:val="567"/>
        </w:trPr>
        <w:tc>
          <w:tcPr>
            <w:tcW w:w="769" w:type="dxa"/>
            <w:vAlign w:val="center"/>
            <w:textDirection w:val="lrTb"/>
            <w:noWrap w:val="false"/>
          </w:tcPr>
          <w:p>
            <w:pPr>
              <w:jc w:val="center"/>
              <w:spacing w:before="4" w:line="520" w:lineRule="atLeast"/>
              <w:rPr>
                <w:rFonts w:ascii="宋体" w:hAnsi="宋体" w:cs="宋体"/>
                <w:color w:val="auto"/>
                <w:sz w:val="21"/>
                <w:szCs w:val="21"/>
                <w:highlight w:val="none"/>
              </w:rPr>
            </w:pPr>
            <w:r>
              <w:rPr>
                <w:rFonts w:hint="eastAsia" w:ascii="宋体" w:hAnsi="宋体" w:cs="宋体"/>
                <w:color w:val="auto"/>
                <w:sz w:val="21"/>
                <w:szCs w:val="21"/>
                <w:highlight w:val="none"/>
              </w:rPr>
              <w:t xml:space="preserve">序号</w:t>
            </w:r>
            <w:r/>
          </w:p>
        </w:tc>
        <w:tc>
          <w:tcPr>
            <w:tcW w:w="1121" w:type="dxa"/>
            <w:vAlign w:val="center"/>
            <w:textDirection w:val="lrTb"/>
            <w:noWrap w:val="false"/>
          </w:tcPr>
          <w:p>
            <w:pPr>
              <w:jc w:val="center"/>
              <w:spacing w:before="4" w:line="520" w:lineRule="atLeast"/>
              <w:rPr>
                <w:rFonts w:ascii="宋体" w:hAnsi="宋体" w:cs="宋体"/>
                <w:color w:val="auto"/>
                <w:sz w:val="21"/>
                <w:szCs w:val="21"/>
                <w:highlight w:val="none"/>
              </w:rPr>
            </w:pPr>
            <w:r>
              <w:rPr>
                <w:rFonts w:hint="eastAsia" w:ascii="宋体" w:hAnsi="宋体" w:cs="宋体"/>
                <w:color w:val="auto"/>
                <w:sz w:val="21"/>
                <w:szCs w:val="21"/>
                <w:highlight w:val="none"/>
              </w:rPr>
              <w:t xml:space="preserve">姓名</w:t>
            </w:r>
            <w:r/>
          </w:p>
        </w:tc>
        <w:tc>
          <w:tcPr>
            <w:tcW w:w="3225" w:type="dxa"/>
            <w:vAlign w:val="center"/>
            <w:textDirection w:val="lrTb"/>
            <w:noWrap w:val="false"/>
          </w:tcPr>
          <w:p>
            <w:pPr>
              <w:jc w:val="center"/>
              <w:spacing w:before="4" w:line="520" w:lineRule="atLeast"/>
              <w:rPr>
                <w:rFonts w:ascii="宋体" w:hAnsi="宋体" w:cs="宋体"/>
                <w:color w:val="auto"/>
                <w:sz w:val="21"/>
                <w:szCs w:val="21"/>
                <w:highlight w:val="none"/>
              </w:rPr>
            </w:pPr>
            <w:r>
              <w:rPr>
                <w:rFonts w:hint="eastAsia" w:ascii="宋体" w:hAnsi="宋体" w:cs="宋体"/>
                <w:color w:val="auto"/>
                <w:sz w:val="21"/>
                <w:szCs w:val="21"/>
                <w:highlight w:val="none"/>
              </w:rPr>
              <w:t xml:space="preserve">在本项目中担任的职务</w:t>
            </w:r>
            <w:r/>
          </w:p>
        </w:tc>
        <w:tc>
          <w:tcPr>
            <w:tcW w:w="1320" w:type="dxa"/>
            <w:vAlign w:val="center"/>
            <w:textDirection w:val="lrTb"/>
            <w:noWrap w:val="false"/>
          </w:tcPr>
          <w:p>
            <w:pPr>
              <w:jc w:val="center"/>
              <w:spacing w:before="4" w:line="520" w:lineRule="atLeast"/>
              <w:rPr>
                <w:rFonts w:ascii="宋体" w:hAnsi="宋体" w:cs="宋体"/>
                <w:color w:val="auto"/>
                <w:sz w:val="21"/>
                <w:szCs w:val="21"/>
                <w:highlight w:val="none"/>
              </w:rPr>
            </w:pPr>
            <w:r>
              <w:rPr>
                <w:rFonts w:hint="eastAsia" w:ascii="宋体" w:hAnsi="宋体" w:cs="宋体"/>
                <w:color w:val="auto"/>
                <w:sz w:val="21"/>
                <w:szCs w:val="21"/>
                <w:highlight w:val="none"/>
              </w:rPr>
              <w:t xml:space="preserve">身份证号</w:t>
            </w:r>
            <w:r/>
          </w:p>
        </w:tc>
        <w:tc>
          <w:tcPr>
            <w:tcW w:w="1559" w:type="dxa"/>
            <w:vAlign w:val="center"/>
            <w:textDirection w:val="lrTb"/>
            <w:noWrap w:val="false"/>
          </w:tcPr>
          <w:p>
            <w:pPr>
              <w:jc w:val="center"/>
              <w:spacing w:before="4" w:line="520" w:lineRule="atLeast"/>
              <w:rPr>
                <w:rFonts w:ascii="宋体" w:hAnsi="宋体" w:cs="宋体"/>
                <w:color w:val="auto"/>
                <w:sz w:val="21"/>
                <w:szCs w:val="21"/>
                <w:highlight w:val="none"/>
              </w:rPr>
            </w:pPr>
            <w:r>
              <w:rPr>
                <w:rFonts w:hint="eastAsia" w:ascii="宋体" w:hAnsi="宋体" w:cs="宋体"/>
                <w:color w:val="auto"/>
                <w:sz w:val="21"/>
                <w:szCs w:val="21"/>
                <w:highlight w:val="none"/>
              </w:rPr>
              <w:t xml:space="preserve">职称/学位</w:t>
            </w:r>
            <w:r/>
          </w:p>
        </w:tc>
        <w:tc>
          <w:tcPr>
            <w:tcW w:w="1274" w:type="dxa"/>
            <w:vAlign w:val="center"/>
            <w:textDirection w:val="lrTb"/>
            <w:noWrap w:val="false"/>
          </w:tcPr>
          <w:p>
            <w:pPr>
              <w:jc w:val="center"/>
              <w:spacing w:before="4" w:line="520" w:lineRule="atLeast"/>
              <w:rPr>
                <w:rFonts w:ascii="宋体" w:hAnsi="宋体" w:cs="宋体"/>
                <w:color w:val="auto"/>
                <w:sz w:val="21"/>
                <w:szCs w:val="21"/>
                <w:highlight w:val="none"/>
              </w:rPr>
            </w:pPr>
            <w:r>
              <w:rPr>
                <w:rFonts w:hint="eastAsia" w:ascii="宋体" w:hAnsi="宋体" w:cs="宋体"/>
                <w:color w:val="auto"/>
                <w:sz w:val="21"/>
                <w:szCs w:val="21"/>
                <w:highlight w:val="none"/>
              </w:rPr>
              <w:t xml:space="preserve">主要资历、经验</w:t>
            </w:r>
            <w:r/>
          </w:p>
        </w:tc>
      </w:tr>
      <w:tr>
        <w:trPr>
          <w:cantSplit/>
          <w:trHeight w:val="567"/>
        </w:trPr>
        <w:tc>
          <w:tcPr>
            <w:tcW w:w="769" w:type="dxa"/>
            <w:textDirection w:val="lrTb"/>
            <w:noWrap w:val="false"/>
          </w:tcPr>
          <w:p>
            <w:pPr>
              <w:spacing w:before="4" w:line="520" w:lineRule="atLeast"/>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1121" w:type="dxa"/>
            <w:textDirection w:val="lrTb"/>
            <w:noWrap w:val="false"/>
          </w:tcPr>
          <w:p>
            <w:pPr>
              <w:spacing w:before="4" w:line="520" w:lineRule="atLeast"/>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p>
        </w:tc>
        <w:tc>
          <w:tcPr>
            <w:tcW w:w="3225" w:type="dxa"/>
            <w:textDirection w:val="lrTb"/>
            <w:noWrap w:val="false"/>
          </w:tcPr>
          <w:p>
            <w:pPr>
              <w:spacing w:before="4" w:line="520" w:lineRule="atLeast"/>
              <w:rPr>
                <w:rFonts w:ascii="宋体" w:hAnsi="宋体" w:cs="宋体"/>
                <w:color w:val="auto"/>
                <w:sz w:val="21"/>
                <w:szCs w:val="21"/>
                <w:highlight w:val="none"/>
              </w:rPr>
            </w:pPr>
            <w:r>
              <w:rPr>
                <w:rFonts w:hint="eastAsia" w:ascii="宋体" w:hAnsi="宋体" w:cs="宋体"/>
                <w:color w:val="auto"/>
                <w:sz w:val="21"/>
                <w:szCs w:val="21"/>
                <w:highlight w:val="none"/>
              </w:rPr>
              <w:t xml:space="preserve">项目负责人</w:t>
            </w:r>
            <w:r/>
          </w:p>
        </w:tc>
        <w:tc>
          <w:tcPr>
            <w:tcW w:w="1320" w:type="dxa"/>
            <w:textDirection w:val="lrTb"/>
            <w:noWrap w:val="false"/>
          </w:tcPr>
          <w:p>
            <w:pPr>
              <w:spacing w:before="4" w:line="520" w:lineRule="atLeast"/>
              <w:rPr>
                <w:rFonts w:ascii="宋体" w:hAnsi="宋体" w:cs="宋体"/>
                <w:color w:val="auto"/>
                <w:sz w:val="21"/>
                <w:szCs w:val="21"/>
                <w:highlight w:val="none"/>
              </w:rPr>
            </w:pPr>
            <w:r>
              <w:rPr>
                <w:rFonts w:ascii="宋体" w:hAnsi="宋体" w:cs="宋体"/>
                <w:color w:val="auto"/>
                <w:sz w:val="21"/>
                <w:szCs w:val="21"/>
                <w:highlight w:val="none"/>
              </w:rPr>
            </w:r>
            <w:r/>
          </w:p>
        </w:tc>
        <w:tc>
          <w:tcPr>
            <w:tcW w:w="1559" w:type="dxa"/>
            <w:textDirection w:val="lrTb"/>
            <w:noWrap w:val="false"/>
          </w:tcPr>
          <w:p>
            <w:pPr>
              <w:spacing w:before="4" w:line="520" w:lineRule="atLeast"/>
              <w:rPr>
                <w:rFonts w:ascii="宋体" w:hAnsi="宋体" w:cs="宋体"/>
                <w:color w:val="auto"/>
                <w:sz w:val="21"/>
                <w:szCs w:val="21"/>
                <w:highlight w:val="none"/>
              </w:rPr>
            </w:pPr>
            <w:r>
              <w:rPr>
                <w:rFonts w:ascii="宋体" w:hAnsi="宋体" w:cs="宋体"/>
                <w:color w:val="auto"/>
                <w:sz w:val="21"/>
                <w:szCs w:val="21"/>
                <w:highlight w:val="none"/>
              </w:rPr>
            </w:r>
            <w:r/>
          </w:p>
        </w:tc>
        <w:tc>
          <w:tcPr>
            <w:tcW w:w="1274" w:type="dxa"/>
            <w:textDirection w:val="lrTb"/>
            <w:noWrap w:val="false"/>
          </w:tcPr>
          <w:p>
            <w:pPr>
              <w:spacing w:before="4" w:line="520" w:lineRule="atLeast"/>
              <w:rPr>
                <w:rFonts w:ascii="宋体" w:hAnsi="宋体" w:cs="宋体"/>
                <w:color w:val="auto"/>
                <w:sz w:val="21"/>
                <w:szCs w:val="21"/>
                <w:highlight w:val="none"/>
              </w:rPr>
            </w:pPr>
            <w:r>
              <w:rPr>
                <w:rFonts w:ascii="宋体" w:hAnsi="宋体" w:cs="宋体"/>
                <w:color w:val="auto"/>
                <w:sz w:val="21"/>
                <w:szCs w:val="21"/>
                <w:highlight w:val="none"/>
              </w:rPr>
            </w:r>
            <w:r/>
          </w:p>
        </w:tc>
      </w:tr>
      <w:tr>
        <w:trPr>
          <w:cantSplit/>
          <w:trHeight w:val="567"/>
        </w:trPr>
        <w:tc>
          <w:tcPr>
            <w:gridSpan w:val="6"/>
            <w:tcW w:w="9268" w:type="dxa"/>
            <w:textDirection w:val="lrTb"/>
            <w:noWrap w:val="false"/>
          </w:tcPr>
          <w:p>
            <w:pPr>
              <w:spacing w:before="4" w:line="520" w:lineRule="atLeast"/>
              <w:rPr>
                <w:rFonts w:ascii="宋体" w:hAnsi="宋体" w:cs="宋体"/>
                <w:color w:val="auto"/>
                <w:sz w:val="21"/>
                <w:szCs w:val="21"/>
                <w:highlight w:val="none"/>
              </w:rPr>
            </w:pPr>
            <w:r>
              <w:rPr>
                <w:rFonts w:hint="eastAsia" w:ascii="宋体" w:hAnsi="宋体" w:cs="宋体"/>
                <w:color w:val="auto"/>
                <w:sz w:val="21"/>
                <w:szCs w:val="21"/>
                <w:highlight w:val="none"/>
              </w:rPr>
              <w:t xml:space="preserve">抽样人员</w:t>
            </w:r>
            <w:r/>
          </w:p>
        </w:tc>
      </w:tr>
      <w:tr>
        <w:trPr>
          <w:cantSplit/>
          <w:trHeight w:val="567"/>
        </w:trPr>
        <w:tc>
          <w:tcPr>
            <w:tcW w:w="769" w:type="dxa"/>
            <w:textDirection w:val="lrTb"/>
            <w:noWrap w:val="false"/>
          </w:tcPr>
          <w:p>
            <w:pPr>
              <w:spacing w:line="520" w:lineRule="atLeast"/>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1121" w:type="dxa"/>
            <w:textDirection w:val="lrTb"/>
            <w:noWrap w:val="false"/>
          </w:tcPr>
          <w:p>
            <w:pPr>
              <w:spacing w:before="4" w:line="520" w:lineRule="atLeast"/>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p>
        </w:tc>
        <w:tc>
          <w:tcPr>
            <w:tcW w:w="3225" w:type="dxa"/>
            <w:textDirection w:val="lrTb"/>
            <w:noWrap w:val="false"/>
          </w:tcPr>
          <w:p>
            <w:pPr>
              <w:spacing w:line="520" w:lineRule="atLeast"/>
              <w:rPr>
                <w:rFonts w:ascii="宋体" w:hAnsi="宋体" w:cs="宋体"/>
                <w:color w:val="auto"/>
                <w:sz w:val="21"/>
                <w:szCs w:val="21"/>
                <w:highlight w:val="none"/>
              </w:rPr>
            </w:pPr>
            <w:r>
              <w:rPr>
                <w:rFonts w:hint="eastAsia" w:ascii="宋体" w:hAnsi="宋体" w:cs="宋体"/>
                <w:color w:val="auto"/>
                <w:sz w:val="21"/>
                <w:szCs w:val="21"/>
                <w:highlight w:val="none"/>
              </w:rPr>
              <w:t xml:space="preserve">抽样人员1</w:t>
            </w:r>
            <w:r/>
          </w:p>
        </w:tc>
        <w:tc>
          <w:tcPr>
            <w:tcW w:w="1320" w:type="dxa"/>
            <w:textDirection w:val="lrTb"/>
            <w:noWrap w:val="false"/>
          </w:tcPr>
          <w:p>
            <w:pPr>
              <w:spacing w:line="520" w:lineRule="atLeast"/>
              <w:rPr>
                <w:rFonts w:ascii="宋体" w:hAnsi="宋体" w:cs="宋体"/>
                <w:color w:val="auto"/>
                <w:sz w:val="21"/>
                <w:szCs w:val="21"/>
                <w:highlight w:val="none"/>
              </w:rPr>
            </w:pPr>
            <w:r>
              <w:rPr>
                <w:rFonts w:ascii="宋体" w:hAnsi="宋体" w:cs="宋体"/>
                <w:color w:val="auto"/>
                <w:sz w:val="21"/>
                <w:szCs w:val="21"/>
                <w:highlight w:val="none"/>
              </w:rPr>
            </w:r>
            <w:r/>
          </w:p>
        </w:tc>
        <w:tc>
          <w:tcPr>
            <w:tcW w:w="1559" w:type="dxa"/>
            <w:textDirection w:val="lrTb"/>
            <w:noWrap w:val="false"/>
          </w:tcPr>
          <w:p>
            <w:pPr>
              <w:spacing w:line="520" w:lineRule="atLeast"/>
              <w:rPr>
                <w:rFonts w:ascii="宋体" w:hAnsi="宋体" w:cs="宋体"/>
                <w:color w:val="auto"/>
                <w:sz w:val="21"/>
                <w:szCs w:val="21"/>
                <w:highlight w:val="none"/>
              </w:rPr>
            </w:pPr>
            <w:r>
              <w:rPr>
                <w:rFonts w:ascii="宋体" w:hAnsi="宋体" w:cs="宋体"/>
                <w:color w:val="auto"/>
                <w:sz w:val="21"/>
                <w:szCs w:val="21"/>
                <w:highlight w:val="none"/>
              </w:rPr>
            </w:r>
            <w:r/>
          </w:p>
        </w:tc>
        <w:tc>
          <w:tcPr>
            <w:tcW w:w="1274" w:type="dxa"/>
            <w:textDirection w:val="lrTb"/>
            <w:noWrap w:val="false"/>
          </w:tcPr>
          <w:p>
            <w:pPr>
              <w:spacing w:line="520" w:lineRule="atLeast"/>
              <w:rPr>
                <w:rFonts w:ascii="宋体" w:hAnsi="宋体" w:cs="宋体"/>
                <w:color w:val="auto"/>
                <w:sz w:val="21"/>
                <w:szCs w:val="21"/>
                <w:highlight w:val="none"/>
              </w:rPr>
            </w:pPr>
            <w:r>
              <w:rPr>
                <w:rFonts w:ascii="宋体" w:hAnsi="宋体" w:cs="宋体"/>
                <w:color w:val="auto"/>
                <w:sz w:val="21"/>
                <w:szCs w:val="21"/>
                <w:highlight w:val="none"/>
              </w:rPr>
            </w:r>
            <w:r/>
          </w:p>
        </w:tc>
      </w:tr>
      <w:tr>
        <w:trPr>
          <w:cantSplit/>
          <w:trHeight w:val="567"/>
        </w:trPr>
        <w:tc>
          <w:tcPr>
            <w:tcW w:w="769" w:type="dxa"/>
            <w:textDirection w:val="lrTb"/>
            <w:noWrap w:val="false"/>
          </w:tcPr>
          <w:p>
            <w:pPr>
              <w:spacing w:line="520" w:lineRule="atLeast"/>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W w:w="1121" w:type="dxa"/>
            <w:textDirection w:val="lrTb"/>
            <w:noWrap w:val="false"/>
          </w:tcPr>
          <w:p>
            <w:pPr>
              <w:spacing w:before="4" w:line="520" w:lineRule="atLeast"/>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p>
        </w:tc>
        <w:tc>
          <w:tcPr>
            <w:tcW w:w="3225" w:type="dxa"/>
            <w:textDirection w:val="lrTb"/>
            <w:noWrap w:val="false"/>
          </w:tcPr>
          <w:p>
            <w:pPr>
              <w:spacing w:line="520" w:lineRule="atLeast"/>
              <w:rPr>
                <w:rFonts w:ascii="宋体" w:hAnsi="宋体" w:cs="宋体"/>
                <w:color w:val="auto"/>
                <w:sz w:val="21"/>
                <w:szCs w:val="21"/>
                <w:highlight w:val="none"/>
              </w:rPr>
            </w:pPr>
            <w:r>
              <w:rPr>
                <w:rFonts w:hint="eastAsia" w:ascii="宋体" w:hAnsi="宋体" w:cs="宋体"/>
                <w:color w:val="auto"/>
                <w:sz w:val="21"/>
                <w:szCs w:val="21"/>
                <w:highlight w:val="none"/>
              </w:rPr>
              <w:t xml:space="preserve">抽样人员2</w:t>
            </w:r>
            <w:r/>
          </w:p>
        </w:tc>
        <w:tc>
          <w:tcPr>
            <w:tcW w:w="1320" w:type="dxa"/>
            <w:textDirection w:val="lrTb"/>
            <w:noWrap w:val="false"/>
          </w:tcPr>
          <w:p>
            <w:pPr>
              <w:spacing w:line="520" w:lineRule="atLeast"/>
              <w:rPr>
                <w:rFonts w:ascii="宋体" w:hAnsi="宋体" w:cs="宋体"/>
                <w:color w:val="auto"/>
                <w:sz w:val="21"/>
                <w:szCs w:val="21"/>
                <w:highlight w:val="none"/>
              </w:rPr>
            </w:pPr>
            <w:r>
              <w:rPr>
                <w:rFonts w:ascii="宋体" w:hAnsi="宋体" w:cs="宋体"/>
                <w:color w:val="auto"/>
                <w:sz w:val="21"/>
                <w:szCs w:val="21"/>
                <w:highlight w:val="none"/>
              </w:rPr>
            </w:r>
            <w:r/>
          </w:p>
        </w:tc>
        <w:tc>
          <w:tcPr>
            <w:tcW w:w="1559" w:type="dxa"/>
            <w:textDirection w:val="lrTb"/>
            <w:noWrap w:val="false"/>
          </w:tcPr>
          <w:p>
            <w:pPr>
              <w:spacing w:line="520" w:lineRule="atLeast"/>
              <w:rPr>
                <w:rFonts w:ascii="宋体" w:hAnsi="宋体" w:cs="宋体"/>
                <w:color w:val="auto"/>
                <w:sz w:val="21"/>
                <w:szCs w:val="21"/>
                <w:highlight w:val="none"/>
              </w:rPr>
            </w:pPr>
            <w:r>
              <w:rPr>
                <w:rFonts w:ascii="宋体" w:hAnsi="宋体" w:cs="宋体"/>
                <w:color w:val="auto"/>
                <w:sz w:val="21"/>
                <w:szCs w:val="21"/>
                <w:highlight w:val="none"/>
              </w:rPr>
            </w:r>
            <w:r/>
          </w:p>
        </w:tc>
        <w:tc>
          <w:tcPr>
            <w:tcW w:w="1274" w:type="dxa"/>
            <w:textDirection w:val="lrTb"/>
            <w:noWrap w:val="false"/>
          </w:tcPr>
          <w:p>
            <w:pPr>
              <w:spacing w:line="520" w:lineRule="atLeast"/>
              <w:rPr>
                <w:rFonts w:ascii="宋体" w:hAnsi="宋体" w:cs="宋体"/>
                <w:color w:val="auto"/>
                <w:sz w:val="21"/>
                <w:szCs w:val="21"/>
                <w:highlight w:val="none"/>
              </w:rPr>
            </w:pPr>
            <w:r>
              <w:rPr>
                <w:rFonts w:ascii="宋体" w:hAnsi="宋体" w:cs="宋体"/>
                <w:color w:val="auto"/>
                <w:sz w:val="21"/>
                <w:szCs w:val="21"/>
                <w:highlight w:val="none"/>
              </w:rPr>
            </w:r>
            <w:r/>
          </w:p>
        </w:tc>
      </w:tr>
      <w:tr>
        <w:trPr>
          <w:cantSplit/>
          <w:trHeight w:val="567"/>
        </w:trPr>
        <w:tc>
          <w:tcPr>
            <w:tcW w:w="769" w:type="dxa"/>
            <w:textDirection w:val="lrTb"/>
            <w:noWrap w:val="false"/>
          </w:tcPr>
          <w:p>
            <w:pPr>
              <w:spacing w:line="520" w:lineRule="atLeast"/>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p>
        </w:tc>
        <w:tc>
          <w:tcPr>
            <w:tcW w:w="1121" w:type="dxa"/>
            <w:textDirection w:val="lrTb"/>
            <w:noWrap w:val="false"/>
          </w:tcPr>
          <w:p>
            <w:pPr>
              <w:spacing w:before="4" w:line="520" w:lineRule="atLeast"/>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p>
        </w:tc>
        <w:tc>
          <w:tcPr>
            <w:tcW w:w="3225" w:type="dxa"/>
            <w:textDirection w:val="lrTb"/>
            <w:noWrap w:val="false"/>
          </w:tcPr>
          <w:p>
            <w:pPr>
              <w:spacing w:line="520" w:lineRule="atLeast"/>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p>
        </w:tc>
        <w:tc>
          <w:tcPr>
            <w:tcW w:w="1320" w:type="dxa"/>
            <w:textDirection w:val="lrTb"/>
            <w:noWrap w:val="false"/>
          </w:tcPr>
          <w:p>
            <w:pPr>
              <w:spacing w:line="520" w:lineRule="atLeast"/>
              <w:rPr>
                <w:rFonts w:ascii="宋体" w:hAnsi="宋体" w:cs="宋体"/>
                <w:color w:val="auto"/>
                <w:sz w:val="21"/>
                <w:szCs w:val="21"/>
                <w:highlight w:val="none"/>
              </w:rPr>
            </w:pPr>
            <w:r>
              <w:rPr>
                <w:rFonts w:ascii="宋体" w:hAnsi="宋体" w:cs="宋体"/>
                <w:color w:val="auto"/>
                <w:sz w:val="21"/>
                <w:szCs w:val="21"/>
                <w:highlight w:val="none"/>
              </w:rPr>
            </w:r>
            <w:r/>
          </w:p>
        </w:tc>
        <w:tc>
          <w:tcPr>
            <w:tcW w:w="1559" w:type="dxa"/>
            <w:textDirection w:val="lrTb"/>
            <w:noWrap w:val="false"/>
          </w:tcPr>
          <w:p>
            <w:pPr>
              <w:spacing w:line="520" w:lineRule="atLeast"/>
              <w:rPr>
                <w:rFonts w:ascii="宋体" w:hAnsi="宋体" w:cs="宋体"/>
                <w:color w:val="auto"/>
                <w:sz w:val="21"/>
                <w:szCs w:val="21"/>
                <w:highlight w:val="none"/>
              </w:rPr>
            </w:pPr>
            <w:r>
              <w:rPr>
                <w:rFonts w:ascii="宋体" w:hAnsi="宋体" w:cs="宋体"/>
                <w:color w:val="auto"/>
                <w:sz w:val="21"/>
                <w:szCs w:val="21"/>
                <w:highlight w:val="none"/>
              </w:rPr>
            </w:r>
            <w:r/>
          </w:p>
        </w:tc>
        <w:tc>
          <w:tcPr>
            <w:tcW w:w="1274" w:type="dxa"/>
            <w:textDirection w:val="lrTb"/>
            <w:noWrap w:val="false"/>
          </w:tcPr>
          <w:p>
            <w:pPr>
              <w:spacing w:line="520" w:lineRule="atLeast"/>
              <w:rPr>
                <w:rFonts w:ascii="宋体" w:hAnsi="宋体" w:cs="宋体"/>
                <w:color w:val="auto"/>
                <w:sz w:val="21"/>
                <w:szCs w:val="21"/>
                <w:highlight w:val="none"/>
              </w:rPr>
            </w:pPr>
            <w:r>
              <w:rPr>
                <w:rFonts w:ascii="宋体" w:hAnsi="宋体" w:cs="宋体"/>
                <w:color w:val="auto"/>
                <w:sz w:val="21"/>
                <w:szCs w:val="21"/>
                <w:highlight w:val="none"/>
              </w:rPr>
            </w:r>
            <w:r/>
          </w:p>
        </w:tc>
      </w:tr>
      <w:tr>
        <w:trPr>
          <w:cantSplit/>
          <w:trHeight w:val="567"/>
        </w:trPr>
        <w:tc>
          <w:tcPr>
            <w:gridSpan w:val="6"/>
            <w:tcW w:w="9268" w:type="dxa"/>
            <w:textDirection w:val="lrTb"/>
            <w:noWrap w:val="false"/>
          </w:tcPr>
          <w:p>
            <w:pPr>
              <w:spacing w:line="520" w:lineRule="atLeast"/>
              <w:rPr>
                <w:rFonts w:ascii="宋体" w:hAnsi="宋体" w:cs="宋体"/>
                <w:color w:val="auto"/>
                <w:sz w:val="21"/>
                <w:szCs w:val="21"/>
                <w:highlight w:val="none"/>
              </w:rPr>
            </w:pPr>
            <w:r>
              <w:rPr>
                <w:rFonts w:hint="eastAsia" w:ascii="宋体" w:hAnsi="宋体" w:cs="宋体"/>
                <w:color w:val="auto"/>
                <w:sz w:val="21"/>
                <w:szCs w:val="21"/>
                <w:highlight w:val="none"/>
              </w:rPr>
              <w:t xml:space="preserve">检验人员</w:t>
            </w:r>
            <w:r/>
          </w:p>
        </w:tc>
      </w:tr>
      <w:tr>
        <w:trPr>
          <w:cantSplit/>
          <w:trHeight w:val="567"/>
        </w:trPr>
        <w:tc>
          <w:tcPr>
            <w:tcW w:w="769" w:type="dxa"/>
            <w:textDirection w:val="lrTb"/>
            <w:noWrap w:val="false"/>
          </w:tcPr>
          <w:p>
            <w:pPr>
              <w:spacing w:before="4" w:line="520" w:lineRule="atLeast"/>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1121" w:type="dxa"/>
            <w:textDirection w:val="lrTb"/>
            <w:noWrap w:val="false"/>
          </w:tcPr>
          <w:p>
            <w:pPr>
              <w:spacing w:before="4" w:line="520" w:lineRule="atLeast"/>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p>
        </w:tc>
        <w:tc>
          <w:tcPr>
            <w:tcW w:w="3225" w:type="dxa"/>
            <w:textDirection w:val="lrTb"/>
            <w:noWrap w:val="false"/>
          </w:tcPr>
          <w:p>
            <w:pPr>
              <w:spacing w:before="4" w:line="520" w:lineRule="atLeast"/>
              <w:rPr>
                <w:rFonts w:ascii="宋体" w:hAnsi="宋体" w:cs="宋体"/>
                <w:color w:val="auto"/>
                <w:sz w:val="21"/>
                <w:szCs w:val="21"/>
                <w:highlight w:val="none"/>
              </w:rPr>
            </w:pPr>
            <w:r>
              <w:rPr>
                <w:rFonts w:hint="eastAsia" w:ascii="宋体" w:hAnsi="宋体" w:cs="宋体"/>
                <w:color w:val="auto"/>
                <w:sz w:val="21"/>
                <w:szCs w:val="21"/>
                <w:highlight w:val="none"/>
              </w:rPr>
              <w:t xml:space="preserve">检验人员1</w:t>
            </w:r>
            <w:r/>
          </w:p>
        </w:tc>
        <w:tc>
          <w:tcPr>
            <w:tcW w:w="1320" w:type="dxa"/>
            <w:textDirection w:val="lrTb"/>
            <w:noWrap w:val="false"/>
          </w:tcPr>
          <w:p>
            <w:pPr>
              <w:spacing w:before="4" w:line="520" w:lineRule="atLeast"/>
              <w:rPr>
                <w:rFonts w:ascii="宋体" w:hAnsi="宋体" w:cs="宋体"/>
                <w:color w:val="auto"/>
                <w:sz w:val="21"/>
                <w:szCs w:val="21"/>
                <w:highlight w:val="none"/>
              </w:rPr>
            </w:pPr>
            <w:r>
              <w:rPr>
                <w:rFonts w:ascii="宋体" w:hAnsi="宋体" w:cs="宋体"/>
                <w:color w:val="auto"/>
                <w:sz w:val="21"/>
                <w:szCs w:val="21"/>
                <w:highlight w:val="none"/>
              </w:rPr>
            </w:r>
            <w:r/>
          </w:p>
        </w:tc>
        <w:tc>
          <w:tcPr>
            <w:tcW w:w="1559" w:type="dxa"/>
            <w:textDirection w:val="lrTb"/>
            <w:noWrap w:val="false"/>
          </w:tcPr>
          <w:p>
            <w:pPr>
              <w:spacing w:before="4" w:line="520" w:lineRule="atLeast"/>
              <w:rPr>
                <w:rFonts w:ascii="宋体" w:hAnsi="宋体" w:cs="宋体"/>
                <w:color w:val="auto"/>
                <w:sz w:val="21"/>
                <w:szCs w:val="21"/>
                <w:highlight w:val="none"/>
              </w:rPr>
            </w:pPr>
            <w:r>
              <w:rPr>
                <w:rFonts w:ascii="宋体" w:hAnsi="宋体" w:cs="宋体"/>
                <w:color w:val="auto"/>
                <w:sz w:val="21"/>
                <w:szCs w:val="21"/>
                <w:highlight w:val="none"/>
              </w:rPr>
            </w:r>
            <w:r/>
          </w:p>
        </w:tc>
        <w:tc>
          <w:tcPr>
            <w:tcW w:w="1274" w:type="dxa"/>
            <w:textDirection w:val="lrTb"/>
            <w:noWrap w:val="false"/>
          </w:tcPr>
          <w:p>
            <w:pPr>
              <w:spacing w:before="4" w:line="520" w:lineRule="atLeast"/>
              <w:rPr>
                <w:rFonts w:ascii="宋体" w:hAnsi="宋体" w:cs="宋体"/>
                <w:color w:val="auto"/>
                <w:sz w:val="21"/>
                <w:szCs w:val="21"/>
                <w:highlight w:val="none"/>
              </w:rPr>
            </w:pPr>
            <w:r>
              <w:rPr>
                <w:rFonts w:ascii="宋体" w:hAnsi="宋体" w:cs="宋体"/>
                <w:color w:val="auto"/>
                <w:sz w:val="21"/>
                <w:szCs w:val="21"/>
                <w:highlight w:val="none"/>
              </w:rPr>
            </w:r>
            <w:r/>
          </w:p>
        </w:tc>
      </w:tr>
      <w:tr>
        <w:trPr>
          <w:cantSplit/>
          <w:trHeight w:val="567"/>
        </w:trPr>
        <w:tc>
          <w:tcPr>
            <w:tcW w:w="769" w:type="dxa"/>
            <w:textDirection w:val="lrTb"/>
            <w:noWrap w:val="false"/>
          </w:tcPr>
          <w:p>
            <w:pPr>
              <w:spacing w:before="4" w:line="520" w:lineRule="atLeast"/>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W w:w="1121" w:type="dxa"/>
            <w:textDirection w:val="lrTb"/>
            <w:noWrap w:val="false"/>
          </w:tcPr>
          <w:p>
            <w:pPr>
              <w:spacing w:before="4" w:line="520" w:lineRule="atLeast"/>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p>
        </w:tc>
        <w:tc>
          <w:tcPr>
            <w:tcW w:w="3225" w:type="dxa"/>
            <w:textDirection w:val="lrTb"/>
            <w:noWrap w:val="false"/>
          </w:tcPr>
          <w:p>
            <w:pPr>
              <w:spacing w:before="4" w:line="520" w:lineRule="atLeast"/>
              <w:rPr>
                <w:rFonts w:ascii="宋体" w:hAnsi="宋体" w:cs="宋体"/>
                <w:color w:val="auto"/>
                <w:sz w:val="21"/>
                <w:szCs w:val="21"/>
                <w:highlight w:val="none"/>
              </w:rPr>
            </w:pPr>
            <w:r>
              <w:rPr>
                <w:rFonts w:hint="eastAsia" w:ascii="宋体" w:hAnsi="宋体" w:cs="宋体"/>
                <w:color w:val="auto"/>
                <w:sz w:val="21"/>
                <w:szCs w:val="21"/>
                <w:highlight w:val="none"/>
              </w:rPr>
              <w:t xml:space="preserve">检验人员2</w:t>
            </w:r>
            <w:r/>
          </w:p>
        </w:tc>
        <w:tc>
          <w:tcPr>
            <w:tcW w:w="1320" w:type="dxa"/>
            <w:textDirection w:val="lrTb"/>
            <w:noWrap w:val="false"/>
          </w:tcPr>
          <w:p>
            <w:pPr>
              <w:spacing w:before="4" w:line="520" w:lineRule="atLeast"/>
              <w:rPr>
                <w:rFonts w:ascii="宋体" w:hAnsi="宋体" w:cs="宋体"/>
                <w:color w:val="auto"/>
                <w:sz w:val="21"/>
                <w:szCs w:val="21"/>
                <w:highlight w:val="none"/>
              </w:rPr>
            </w:pPr>
            <w:r>
              <w:rPr>
                <w:rFonts w:ascii="宋体" w:hAnsi="宋体" w:cs="宋体"/>
                <w:color w:val="auto"/>
                <w:sz w:val="21"/>
                <w:szCs w:val="21"/>
                <w:highlight w:val="none"/>
              </w:rPr>
            </w:r>
            <w:r/>
          </w:p>
        </w:tc>
        <w:tc>
          <w:tcPr>
            <w:tcW w:w="1559" w:type="dxa"/>
            <w:textDirection w:val="lrTb"/>
            <w:noWrap w:val="false"/>
          </w:tcPr>
          <w:p>
            <w:pPr>
              <w:spacing w:before="4" w:line="520" w:lineRule="atLeast"/>
              <w:rPr>
                <w:rFonts w:ascii="宋体" w:hAnsi="宋体" w:cs="宋体"/>
                <w:color w:val="auto"/>
                <w:sz w:val="21"/>
                <w:szCs w:val="21"/>
                <w:highlight w:val="none"/>
              </w:rPr>
            </w:pPr>
            <w:r>
              <w:rPr>
                <w:rFonts w:ascii="宋体" w:hAnsi="宋体" w:cs="宋体"/>
                <w:color w:val="auto"/>
                <w:sz w:val="21"/>
                <w:szCs w:val="21"/>
                <w:highlight w:val="none"/>
              </w:rPr>
            </w:r>
            <w:r/>
          </w:p>
        </w:tc>
        <w:tc>
          <w:tcPr>
            <w:tcW w:w="1274" w:type="dxa"/>
            <w:textDirection w:val="lrTb"/>
            <w:noWrap w:val="false"/>
          </w:tcPr>
          <w:p>
            <w:pPr>
              <w:spacing w:before="4" w:line="520" w:lineRule="atLeast"/>
              <w:rPr>
                <w:rFonts w:ascii="宋体" w:hAnsi="宋体" w:cs="宋体"/>
                <w:color w:val="auto"/>
                <w:sz w:val="21"/>
                <w:szCs w:val="21"/>
                <w:highlight w:val="none"/>
              </w:rPr>
            </w:pPr>
            <w:r>
              <w:rPr>
                <w:rFonts w:ascii="宋体" w:hAnsi="宋体" w:cs="宋体"/>
                <w:color w:val="auto"/>
                <w:sz w:val="21"/>
                <w:szCs w:val="21"/>
                <w:highlight w:val="none"/>
              </w:rPr>
            </w:r>
            <w:r/>
          </w:p>
        </w:tc>
      </w:tr>
      <w:tr>
        <w:trPr>
          <w:cantSplit/>
          <w:trHeight w:val="567"/>
        </w:trPr>
        <w:tc>
          <w:tcPr>
            <w:tcW w:w="769" w:type="dxa"/>
            <w:textDirection w:val="lrTb"/>
            <w:noWrap w:val="false"/>
          </w:tcPr>
          <w:p>
            <w:pPr>
              <w:spacing w:line="520" w:lineRule="atLeast"/>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p>
        </w:tc>
        <w:tc>
          <w:tcPr>
            <w:tcW w:w="1121" w:type="dxa"/>
            <w:textDirection w:val="lrTb"/>
            <w:noWrap w:val="false"/>
          </w:tcPr>
          <w:p>
            <w:pPr>
              <w:spacing w:before="4" w:line="520" w:lineRule="atLeast"/>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p>
        </w:tc>
        <w:tc>
          <w:tcPr>
            <w:tcW w:w="3225" w:type="dxa"/>
            <w:textDirection w:val="lrTb"/>
            <w:noWrap w:val="false"/>
          </w:tcPr>
          <w:p>
            <w:pPr>
              <w:spacing w:before="4" w:line="520" w:lineRule="atLeast"/>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p>
        </w:tc>
        <w:tc>
          <w:tcPr>
            <w:tcW w:w="1320" w:type="dxa"/>
            <w:textDirection w:val="lrTb"/>
            <w:noWrap w:val="false"/>
          </w:tcPr>
          <w:p>
            <w:pPr>
              <w:spacing w:before="4" w:line="520" w:lineRule="atLeast"/>
              <w:rPr>
                <w:rFonts w:ascii="宋体" w:hAnsi="宋体" w:cs="宋体"/>
                <w:color w:val="auto"/>
                <w:sz w:val="21"/>
                <w:szCs w:val="21"/>
                <w:highlight w:val="none"/>
              </w:rPr>
            </w:pPr>
            <w:r>
              <w:rPr>
                <w:rFonts w:ascii="宋体" w:hAnsi="宋体" w:cs="宋体"/>
                <w:color w:val="auto"/>
                <w:sz w:val="21"/>
                <w:szCs w:val="21"/>
                <w:highlight w:val="none"/>
              </w:rPr>
            </w:r>
            <w:r/>
          </w:p>
        </w:tc>
        <w:tc>
          <w:tcPr>
            <w:tcW w:w="1559" w:type="dxa"/>
            <w:textDirection w:val="lrTb"/>
            <w:noWrap w:val="false"/>
          </w:tcPr>
          <w:p>
            <w:pPr>
              <w:spacing w:before="4" w:line="520" w:lineRule="atLeast"/>
              <w:rPr>
                <w:rFonts w:ascii="宋体" w:hAnsi="宋体" w:cs="宋体"/>
                <w:color w:val="auto"/>
                <w:sz w:val="21"/>
                <w:szCs w:val="21"/>
                <w:highlight w:val="none"/>
              </w:rPr>
            </w:pPr>
            <w:r>
              <w:rPr>
                <w:rFonts w:ascii="宋体" w:hAnsi="宋体" w:cs="宋体"/>
                <w:color w:val="auto"/>
                <w:sz w:val="21"/>
                <w:szCs w:val="21"/>
                <w:highlight w:val="none"/>
              </w:rPr>
            </w:r>
            <w:r/>
          </w:p>
        </w:tc>
        <w:tc>
          <w:tcPr>
            <w:tcW w:w="1274" w:type="dxa"/>
            <w:textDirection w:val="lrTb"/>
            <w:noWrap w:val="false"/>
          </w:tcPr>
          <w:p>
            <w:pPr>
              <w:spacing w:before="4" w:line="520" w:lineRule="atLeast"/>
              <w:rPr>
                <w:rFonts w:ascii="宋体" w:hAnsi="宋体" w:cs="宋体"/>
                <w:color w:val="auto"/>
                <w:sz w:val="21"/>
                <w:szCs w:val="21"/>
                <w:highlight w:val="none"/>
              </w:rPr>
            </w:pPr>
            <w:r>
              <w:rPr>
                <w:rFonts w:ascii="宋体" w:hAnsi="宋体" w:cs="宋体"/>
                <w:color w:val="auto"/>
                <w:sz w:val="21"/>
                <w:szCs w:val="21"/>
                <w:highlight w:val="none"/>
              </w:rPr>
            </w:r>
            <w:r/>
          </w:p>
        </w:tc>
      </w:tr>
    </w:tbl>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p>
      <w:p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投标单位：（单位盖章）</w:t>
      </w:r>
      <w:r/>
    </w:p>
    <w:p>
      <w:p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法定代表人或代理人：（签字或盖章）</w:t>
      </w:r>
      <w:r/>
    </w:p>
    <w:p>
      <w:pPr>
        <w:pStyle w:val="1017"/>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日期：         年         月       日</w:t>
      </w:r>
      <w:r/>
    </w:p>
    <w:p>
      <w:pPr>
        <w:spacing w:line="520" w:lineRule="atLeast"/>
        <w:rPr>
          <w:rFonts w:ascii="宋体" w:hAnsi="宋体" w:cs="宋体"/>
          <w:color w:val="auto"/>
          <w:sz w:val="21"/>
          <w:szCs w:val="21"/>
          <w:highlight w:val="none"/>
        </w:rPr>
      </w:pPr>
      <w:r>
        <w:rPr>
          <w:rFonts w:hint="eastAsia" w:ascii="宋体" w:hAnsi="宋体" w:cs="宋体"/>
          <w:color w:val="auto"/>
          <w:sz w:val="21"/>
          <w:szCs w:val="21"/>
          <w:highlight w:val="none"/>
        </w:rPr>
        <w:t xml:space="preserve">注：（1）此表为表样，行数可自行添加，但表式不变。</w:t>
      </w:r>
      <w:r/>
    </w:p>
    <w:p>
      <w:pPr>
        <w:ind w:firstLine="420"/>
        <w:spacing w:line="520" w:lineRule="atLeast"/>
        <w:rPr>
          <w:rFonts w:ascii="宋体" w:hAnsi="宋体" w:cs="宋体"/>
          <w:color w:val="auto"/>
          <w:sz w:val="21"/>
          <w:szCs w:val="21"/>
          <w:highlight w:val="none"/>
        </w:rPr>
      </w:pPr>
      <w:r>
        <w:rPr>
          <w:rFonts w:hint="eastAsia" w:ascii="宋体" w:hAnsi="宋体" w:cs="宋体"/>
          <w:color w:val="auto"/>
          <w:sz w:val="21"/>
          <w:szCs w:val="21"/>
          <w:highlight w:val="none"/>
        </w:rPr>
        <w:t xml:space="preserve">（2）附人员相关证明：人员相关证明资料见招标文件第六章评标方法、评分标准的相关要求。</w:t>
      </w:r>
      <w:r/>
    </w:p>
    <w:p>
      <w:pPr>
        <w:pStyle w:val="972"/>
        <w:pageBreakBefore/>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格式</w:t>
      </w:r>
      <w:r>
        <w:rPr>
          <w:rFonts w:hint="eastAsia" w:ascii="宋体" w:hAnsi="宋体" w:cs="宋体"/>
          <w:color w:val="auto"/>
          <w:sz w:val="21"/>
          <w:szCs w:val="21"/>
          <w:highlight w:val="none"/>
        </w:rPr>
        <w:t xml:space="preserve">10：</w:t>
      </w:r>
      <w:r>
        <w:rPr>
          <w:rFonts w:hint="eastAsia" w:ascii="宋体" w:hAnsi="宋体" w:cs="宋体"/>
          <w:color w:val="auto"/>
          <w:sz w:val="21"/>
          <w:szCs w:val="21"/>
          <w:highlight w:val="none"/>
          <w:lang w:val="zh-CN"/>
        </w:rPr>
        <w:t xml:space="preserve">检验检测能力覆盖率</w:t>
      </w:r>
      <w:r>
        <w:rPr>
          <w:rFonts w:hint="eastAsia" w:ascii="宋体" w:hAnsi="宋体" w:cs="宋体"/>
          <w:color w:val="auto"/>
          <w:sz w:val="21"/>
          <w:szCs w:val="21"/>
          <w:highlight w:val="none"/>
        </w:rPr>
        <w:t xml:space="preserve">承诺书</w:t>
      </w:r>
      <w:r/>
    </w:p>
    <w:p>
      <w:pPr>
        <w:jc w:val="center"/>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检验检测能力覆盖率承诺书</w:t>
      </w:r>
      <w:r/>
    </w:p>
    <w:p>
      <w:pPr>
        <w:ind w:firstLine="48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（投标供应商名称）在此承诺：</w:t>
      </w:r>
      <w:r/>
    </w:p>
    <w:p>
      <w:pPr>
        <w:ind w:firstLine="48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本公司</w:t>
      </w:r>
      <w:r>
        <w:rPr>
          <w:rFonts w:hint="eastAsia" w:ascii="宋体" w:hAnsi="宋体" w:cs="宋体"/>
          <w:bCs/>
          <w:color w:val="auto"/>
          <w:sz w:val="21"/>
          <w:szCs w:val="21"/>
          <w:highlight w:val="none"/>
          <w:u w:val="single"/>
        </w:rPr>
        <w:t xml:space="preserve"> （单位名称） </w:t>
      </w:r>
      <w:r>
        <w:rPr>
          <w:rFonts w:hint="eastAsia" w:ascii="宋体" w:hAnsi="宋体" w:cs="宋体"/>
          <w:bCs/>
          <w:color w:val="auto"/>
          <w:sz w:val="21"/>
          <w:szCs w:val="21"/>
          <w:highlight w:val="none"/>
        </w:rPr>
        <w:t xml:space="preserve">在本项目</w:t>
      </w:r>
      <w:r>
        <w:rPr>
          <w:rFonts w:hint="eastAsia" w:ascii="宋体" w:hAnsi="宋体" w:cs="宋体"/>
          <w:bCs/>
          <w:color w:val="auto"/>
          <w:sz w:val="21"/>
          <w:szCs w:val="21"/>
          <w:highlight w:val="none"/>
          <w:u w:val="single"/>
        </w:rPr>
        <w:t xml:space="preserve">（项目名称及项目编号） </w:t>
      </w:r>
      <w:r>
        <w:rPr>
          <w:rFonts w:hint="eastAsia" w:ascii="宋体" w:hAnsi="宋体" w:cs="宋体"/>
          <w:bCs/>
          <w:color w:val="auto"/>
          <w:sz w:val="21"/>
          <w:szCs w:val="21"/>
          <w:highlight w:val="none"/>
        </w:rPr>
        <w:t xml:space="preserve">的</w:t>
      </w:r>
      <w:r>
        <w:rPr>
          <w:rFonts w:hint="eastAsia" w:ascii="宋体" w:hAnsi="宋体" w:cs="宋体"/>
          <w:bCs/>
          <w:color w:val="auto"/>
          <w:sz w:val="21"/>
          <w:szCs w:val="21"/>
          <w:highlight w:val="none"/>
          <w:lang w:eastAsia="zh-CN"/>
        </w:rPr>
        <w:t xml:space="preserve">采购包</w:t>
      </w:r>
      <w:r>
        <w:rPr>
          <w:rFonts w:hint="eastAsia" w:ascii="宋体" w:hAnsi="宋体" w:cs="宋体"/>
          <w:bCs/>
          <w:color w:val="auto"/>
          <w:sz w:val="21"/>
          <w:szCs w:val="21"/>
          <w:highlight w:val="none"/>
          <w:u w:val="single"/>
        </w:rPr>
        <w:t xml:space="preserve">（序号）  </w:t>
      </w:r>
      <w:r>
        <w:rPr>
          <w:rFonts w:hint="eastAsia" w:ascii="宋体" w:hAnsi="宋体" w:cs="宋体"/>
          <w:bCs/>
          <w:color w:val="auto"/>
          <w:sz w:val="21"/>
          <w:szCs w:val="21"/>
          <w:highlight w:val="none"/>
        </w:rPr>
        <w:t xml:space="preserve">中的产品种类检测覆盖率达到</w:t>
      </w:r>
      <w:r>
        <w:rPr>
          <w:rFonts w:hint="eastAsia" w:ascii="宋体" w:hAnsi="宋体" w:cs="宋体"/>
          <w:bCs/>
          <w:color w:val="auto"/>
          <w:sz w:val="21"/>
          <w:szCs w:val="21"/>
          <w:highlight w:val="none"/>
          <w:u w:val="single"/>
        </w:rPr>
        <w:t xml:space="preserve">  （用分数表示） </w:t>
      </w:r>
      <w:r>
        <w:rPr>
          <w:rFonts w:hint="eastAsia" w:ascii="宋体" w:hAnsi="宋体" w:cs="宋体"/>
          <w:bCs/>
          <w:color w:val="auto"/>
          <w:sz w:val="21"/>
          <w:szCs w:val="21"/>
          <w:highlight w:val="none"/>
        </w:rPr>
        <w:t xml:space="preserve">，共有</w:t>
      </w:r>
      <w:r>
        <w:rPr>
          <w:rFonts w:hint="eastAsia" w:ascii="宋体" w:hAnsi="宋体" w:cs="宋体"/>
          <w:bCs/>
          <w:color w:val="auto"/>
          <w:sz w:val="21"/>
          <w:szCs w:val="21"/>
          <w:highlight w:val="none"/>
          <w:u w:val="single"/>
        </w:rPr>
        <w:t xml:space="preserve">       </w:t>
      </w:r>
      <w:r>
        <w:rPr>
          <w:rFonts w:hint="eastAsia" w:ascii="宋体" w:hAnsi="宋体" w:cs="宋体"/>
          <w:bCs/>
          <w:color w:val="auto"/>
          <w:sz w:val="21"/>
          <w:szCs w:val="21"/>
          <w:highlight w:val="none"/>
        </w:rPr>
        <w:t xml:space="preserve">个产品，具体是</w:t>
      </w:r>
      <w:r>
        <w:rPr>
          <w:rFonts w:hint="eastAsia" w:ascii="宋体" w:hAnsi="宋体" w:cs="宋体"/>
          <w:bCs/>
          <w:color w:val="auto"/>
          <w:sz w:val="21"/>
          <w:szCs w:val="21"/>
          <w:highlight w:val="none"/>
          <w:u w:val="single"/>
        </w:rPr>
        <w:t xml:space="preserve"> （写出具体产品名称）  </w:t>
      </w:r>
      <w:r>
        <w:rPr>
          <w:rFonts w:hint="eastAsia" w:ascii="宋体" w:hAnsi="宋体" w:cs="宋体"/>
          <w:bCs/>
          <w:color w:val="auto"/>
          <w:sz w:val="21"/>
          <w:szCs w:val="21"/>
          <w:highlight w:val="none"/>
        </w:rPr>
        <w:t xml:space="preserve">，我单位有能力完成覆盖率范围内单个产品里的所有检测项目。</w:t>
      </w:r>
      <w:r/>
    </w:p>
    <w:p>
      <w:pPr>
        <w:ind w:firstLine="48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上述承诺如有不实，本公司（单位）将承担一切法律责任，并承担由此给采购人造成的所有损失。</w:t>
      </w:r>
      <w:r/>
    </w:p>
    <w:p>
      <w:pPr>
        <w:ind w:firstLine="480"/>
        <w:spacing w:line="360" w:lineRule="auto"/>
        <w:rPr>
          <w:rFonts w:ascii="宋体" w:hAnsi="宋体" w:cs="宋体"/>
          <w:bCs/>
          <w:color w:val="auto"/>
          <w:sz w:val="21"/>
          <w:szCs w:val="21"/>
          <w:highlight w:val="none"/>
        </w:rPr>
      </w:pPr>
      <w:r>
        <w:rPr>
          <w:rFonts w:ascii="宋体" w:hAnsi="宋体" w:cs="宋体"/>
          <w:bCs/>
          <w:color w:val="auto"/>
          <w:sz w:val="21"/>
          <w:szCs w:val="21"/>
          <w:highlight w:val="none"/>
        </w:rPr>
      </w:r>
      <w:r/>
    </w:p>
    <w:p>
      <w:pPr>
        <w:ind w:firstLine="48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附件1：覆盖率表</w:t>
      </w:r>
      <w:r/>
    </w:p>
    <w:p>
      <w:pPr>
        <w:ind w:firstLine="48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附件2：资质证书批准的检验检测能力表及范围</w:t>
      </w:r>
      <w:r/>
    </w:p>
    <w:p>
      <w:pPr>
        <w:pStyle w:val="1038"/>
        <w:ind w:firstLine="450"/>
        <w:rPr>
          <w:rFonts w:ascii="宋体" w:hAnsi="宋体" w:cs="宋体"/>
          <w:color w:val="auto"/>
          <w:sz w:val="21"/>
          <w:szCs w:val="21"/>
          <w:highlight w:val="none"/>
        </w:rPr>
      </w:pPr>
      <w:r>
        <w:rPr>
          <w:rFonts w:ascii="宋体" w:hAnsi="宋体" w:cs="宋体"/>
          <w:color w:val="auto"/>
          <w:sz w:val="21"/>
          <w:szCs w:val="21"/>
          <w:highlight w:val="none"/>
        </w:rPr>
      </w:r>
      <w:r/>
    </w:p>
    <w:p>
      <w:pPr>
        <w:pStyle w:val="1038"/>
        <w:ind w:firstLine="450"/>
        <w:rPr>
          <w:rFonts w:ascii="宋体" w:hAnsi="宋体" w:cs="宋体"/>
          <w:color w:val="auto"/>
          <w:sz w:val="21"/>
          <w:szCs w:val="21"/>
          <w:highlight w:val="none"/>
        </w:rPr>
      </w:pPr>
      <w:r>
        <w:rPr>
          <w:rFonts w:ascii="宋体" w:hAnsi="宋体" w:cs="宋体"/>
          <w:color w:val="auto"/>
          <w:sz w:val="21"/>
          <w:szCs w:val="21"/>
          <w:highlight w:val="none"/>
        </w:rPr>
      </w:r>
      <w:r/>
    </w:p>
    <w:p>
      <w:pPr>
        <w:pStyle w:val="1038"/>
        <w:ind w:firstLine="450"/>
        <w:rPr>
          <w:rFonts w:ascii="宋体" w:hAnsi="宋体" w:cs="宋体"/>
          <w:color w:val="auto"/>
          <w:sz w:val="21"/>
          <w:szCs w:val="21"/>
          <w:highlight w:val="none"/>
        </w:rPr>
      </w:pPr>
      <w:r>
        <w:rPr>
          <w:rFonts w:ascii="宋体" w:hAnsi="宋体" w:cs="宋体"/>
          <w:color w:val="auto"/>
          <w:sz w:val="21"/>
          <w:szCs w:val="21"/>
          <w:highlight w:val="none"/>
        </w:rPr>
      </w:r>
      <w:r/>
    </w:p>
    <w:p>
      <w:pPr>
        <w:ind w:firstLine="480"/>
        <w:spacing w:line="360" w:lineRule="auto"/>
        <w:rPr>
          <w:rFonts w:ascii="宋体" w:hAnsi="宋体" w:cs="宋体"/>
          <w:bCs/>
          <w:color w:val="auto"/>
          <w:sz w:val="21"/>
          <w:szCs w:val="21"/>
          <w:highlight w:val="none"/>
        </w:rPr>
      </w:pPr>
      <w:r>
        <w:rPr>
          <w:rFonts w:ascii="宋体" w:hAnsi="宋体" w:cs="宋体"/>
          <w:bCs/>
          <w:color w:val="auto"/>
          <w:sz w:val="21"/>
          <w:szCs w:val="21"/>
          <w:highlight w:val="none"/>
        </w:rPr>
      </w:r>
      <w:r/>
    </w:p>
    <w:p>
      <w:pPr>
        <w:spacing w:line="38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投标单位：（单位盖章）</w:t>
      </w:r>
      <w:r/>
    </w:p>
    <w:p>
      <w:pPr>
        <w:spacing w:line="38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单位法定代表人或代理人：（签字或签章）                      年     月     日</w:t>
      </w:r>
      <w:r/>
    </w:p>
    <w:p>
      <w:pPr>
        <w:ind w:firstLine="480"/>
        <w:spacing w:line="360" w:lineRule="auto"/>
        <w:rPr>
          <w:rFonts w:ascii="宋体" w:hAnsi="宋体" w:cs="宋体"/>
          <w:bCs/>
          <w:color w:val="auto"/>
          <w:sz w:val="21"/>
          <w:szCs w:val="21"/>
          <w:highlight w:val="none"/>
        </w:rPr>
      </w:pPr>
      <w:r>
        <w:rPr>
          <w:rFonts w:ascii="宋体" w:hAnsi="宋体" w:cs="宋体"/>
          <w:bCs/>
          <w:color w:val="auto"/>
          <w:sz w:val="21"/>
          <w:szCs w:val="21"/>
          <w:highlight w:val="none"/>
        </w:rPr>
      </w:r>
      <w:r/>
    </w:p>
    <w:p>
      <w:pPr>
        <w:rPr>
          <w:rFonts w:ascii="宋体" w:hAnsi="宋体" w:cs="宋体"/>
          <w:bCs/>
          <w:color w:val="auto"/>
          <w:sz w:val="21"/>
          <w:szCs w:val="21"/>
          <w:highlight w:val="none"/>
        </w:rPr>
      </w:pPr>
      <w:r>
        <w:rPr>
          <w:rFonts w:hint="eastAsia" w:ascii="宋体" w:hAnsi="宋体" w:cs="宋体"/>
          <w:color w:val="auto"/>
          <w:sz w:val="21"/>
          <w:szCs w:val="21"/>
          <w:highlight w:val="none"/>
        </w:rPr>
        <w:br w:type="page" w:clear="all"/>
      </w:r>
      <w:r>
        <w:rPr>
          <w:rFonts w:hint="eastAsia" w:ascii="宋体" w:hAnsi="宋体" w:cs="宋体"/>
          <w:bCs/>
          <w:color w:val="auto"/>
          <w:sz w:val="21"/>
          <w:szCs w:val="21"/>
          <w:highlight w:val="none"/>
        </w:rPr>
        <w:t xml:space="preserve">附件1： 覆盖率表</w:t>
      </w:r>
      <w:r/>
    </w:p>
    <w:p>
      <w:pPr>
        <w:jc w:val="center"/>
        <w:spacing w:line="360" w:lineRule="auto"/>
        <w:rPr>
          <w:rFonts w:ascii="宋体" w:hAnsi="宋体" w:cs="宋体"/>
          <w:bCs/>
          <w:color w:val="auto"/>
          <w:sz w:val="21"/>
          <w:szCs w:val="21"/>
          <w:highlight w:val="none"/>
        </w:rPr>
      </w:pPr>
      <w:r>
        <w:rPr>
          <w:rFonts w:ascii="宋体" w:hAnsi="宋体" w:cs="宋体"/>
          <w:bCs/>
          <w:color w:val="auto"/>
          <w:sz w:val="21"/>
          <w:szCs w:val="21"/>
          <w:highlight w:val="none"/>
        </w:rPr>
      </w:r>
      <w:r/>
    </w:p>
    <w:p>
      <w:pPr>
        <w:jc w:val="center"/>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覆盖率表</w:t>
      </w:r>
      <w:r/>
    </w:p>
    <w:p>
      <w:pPr>
        <w:spacing w:line="360" w:lineRule="auto"/>
        <w:rPr>
          <w:rFonts w:ascii="宋体" w:hAnsi="宋体" w:cs="宋体"/>
          <w:color w:val="auto"/>
          <w:sz w:val="21"/>
          <w:szCs w:val="21"/>
          <w:highlight w:val="none"/>
        </w:rPr>
      </w:pPr>
      <w:r>
        <w:rPr>
          <w:rFonts w:hint="eastAsia" w:ascii="宋体" w:hAnsi="宋体" w:cs="宋体"/>
          <w:bCs/>
          <w:color w:val="auto"/>
          <w:sz w:val="21"/>
          <w:szCs w:val="21"/>
          <w:highlight w:val="none"/>
        </w:rPr>
        <w:t xml:space="preserve">投标供应商名称（盖章）         采购项目编号：             </w:t>
      </w:r>
      <w:r/>
    </w:p>
    <w:tbl>
      <w:tblPr>
        <w:tblStyle w:val="752"/>
        <w:tblW w:w="964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2"/>
        <w:gridCol w:w="2713"/>
        <w:gridCol w:w="2651"/>
        <w:gridCol w:w="2502"/>
        <w:gridCol w:w="1020"/>
      </w:tblGrid>
      <w:tr>
        <w:trPr>
          <w:jc w:val="center"/>
          <w:trHeight w:val="1119"/>
        </w:trPr>
        <w:tc>
          <w:tcPr>
            <w:tcW w:w="762"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序号</w:t>
            </w:r>
            <w:r/>
          </w:p>
        </w:tc>
        <w:tc>
          <w:tcPr>
            <w:tcW w:w="2713"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产品名称</w:t>
            </w:r>
            <w:r/>
          </w:p>
        </w:tc>
        <w:tc>
          <w:tcPr>
            <w:tcW w:w="2651"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检验项目</w:t>
            </w:r>
            <w:r/>
          </w:p>
        </w:tc>
        <w:tc>
          <w:tcPr>
            <w:tcW w:w="2502"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是否在检测范围内</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（是写1，否写0）</w:t>
            </w:r>
            <w:r/>
          </w:p>
        </w:tc>
        <w:tc>
          <w:tcPr>
            <w:tcW w:w="102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备注</w:t>
            </w:r>
            <w:r/>
          </w:p>
        </w:tc>
      </w:tr>
      <w:tr>
        <w:trPr>
          <w:jc w:val="center"/>
          <w:trHeight w:val="525"/>
        </w:trPr>
        <w:tc>
          <w:tcPr>
            <w:tcW w:w="762"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2713"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rPr>
              <w:t xml:space="preserve">例：吸油烟机</w:t>
            </w:r>
            <w:r/>
          </w:p>
        </w:tc>
        <w:tc>
          <w:tcPr>
            <w:tcW w:w="2651"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p>
            <w:pPr>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p>
            <w:pPr>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W w:w="2502" w:type="dxa"/>
            <w:vAlign w:val="center"/>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c>
          <w:tcPr>
            <w:tcW w:w="1020" w:type="dxa"/>
            <w:vAlign w:val="center"/>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460"/>
        </w:trPr>
        <w:tc>
          <w:tcPr>
            <w:tcW w:w="762"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W w:w="2713"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rPr>
              <w:t xml:space="preserve">例：微波炉</w:t>
            </w:r>
            <w:r/>
          </w:p>
        </w:tc>
        <w:tc>
          <w:tcPr>
            <w:tcW w:w="2651"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p>
            <w:pPr>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p>
            <w:pPr>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W w:w="2502" w:type="dxa"/>
            <w:vAlign w:val="center"/>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c>
          <w:tcPr>
            <w:tcW w:w="1020" w:type="dxa"/>
            <w:vAlign w:val="center"/>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525"/>
        </w:trPr>
        <w:tc>
          <w:tcPr>
            <w:tcW w:w="762"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W w:w="2713" w:type="dxa"/>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2651" w:type="dxa"/>
            <w:vAlign w:val="center"/>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c>
          <w:tcPr>
            <w:tcW w:w="2502" w:type="dxa"/>
            <w:vAlign w:val="center"/>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c>
          <w:tcPr>
            <w:tcW w:w="1020" w:type="dxa"/>
            <w:vAlign w:val="center"/>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466"/>
        </w:trPr>
        <w:tc>
          <w:tcPr>
            <w:tcW w:w="762"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W w:w="2713" w:type="dxa"/>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2651" w:type="dxa"/>
            <w:vAlign w:val="center"/>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c>
          <w:tcPr>
            <w:tcW w:w="2502" w:type="dxa"/>
            <w:vAlign w:val="center"/>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c>
          <w:tcPr>
            <w:tcW w:w="1020" w:type="dxa"/>
            <w:vAlign w:val="center"/>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466"/>
        </w:trPr>
        <w:tc>
          <w:tcPr>
            <w:tcW w:w="762"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p>
        </w:tc>
        <w:tc>
          <w:tcPr>
            <w:tcW w:w="2713" w:type="dxa"/>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2651" w:type="dxa"/>
            <w:vAlign w:val="center"/>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c>
          <w:tcPr>
            <w:tcW w:w="2502" w:type="dxa"/>
            <w:vAlign w:val="center"/>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c>
          <w:tcPr>
            <w:tcW w:w="1020" w:type="dxa"/>
            <w:vAlign w:val="center"/>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389"/>
        </w:trPr>
        <w:tc>
          <w:tcPr>
            <w:gridSpan w:val="3"/>
            <w:tcW w:w="6126" w:type="dxa"/>
            <w:vAlign w:val="center"/>
            <w:textDirection w:val="lrTb"/>
            <w:noWrap w:val="false"/>
          </w:tcPr>
          <w:p>
            <w:pPr>
              <w:pStyle w:val="835"/>
              <w:ind w:firstLine="0"/>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产品数量合计（个）</w:t>
            </w:r>
            <w:r/>
          </w:p>
        </w:tc>
        <w:tc>
          <w:tcPr>
            <w:tcW w:w="2502" w:type="dxa"/>
            <w:vAlign w:val="center"/>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c>
          <w:tcPr>
            <w:tcW w:w="1020" w:type="dxa"/>
            <w:vAlign w:val="center"/>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389"/>
        </w:trPr>
        <w:tc>
          <w:tcPr>
            <w:gridSpan w:val="3"/>
            <w:tcW w:w="6126"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覆盖率（用分数表示）</w:t>
            </w:r>
            <w:r/>
          </w:p>
        </w:tc>
        <w:tc>
          <w:tcPr>
            <w:tcW w:w="2502" w:type="dxa"/>
            <w:vAlign w:val="center"/>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c>
          <w:tcPr>
            <w:tcW w:w="1020" w:type="dxa"/>
            <w:vAlign w:val="center"/>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r>
    </w:tbl>
    <w:p>
      <w:pPr>
        <w:rPr>
          <w:rFonts w:ascii="宋体" w:hAnsi="宋体" w:cs="宋体"/>
          <w:color w:val="auto"/>
          <w:sz w:val="21"/>
          <w:szCs w:val="21"/>
          <w:highlight w:val="none"/>
        </w:rPr>
      </w:pPr>
      <w:r>
        <w:rPr>
          <w:rFonts w:ascii="宋体" w:hAnsi="宋体" w:cs="宋体"/>
          <w:color w:val="auto"/>
          <w:sz w:val="21"/>
          <w:szCs w:val="21"/>
          <w:highlight w:val="none"/>
        </w:rPr>
      </w:r>
      <w:r/>
    </w:p>
    <w:p>
      <w:pPr>
        <w:ind w:firstLine="482"/>
        <w:rPr>
          <w:rFonts w:ascii="宋体" w:hAnsi="宋体" w:cs="宋体"/>
          <w:color w:val="auto"/>
          <w:sz w:val="21"/>
          <w:szCs w:val="21"/>
          <w:highlight w:val="none"/>
        </w:rPr>
      </w:pPr>
      <w:r>
        <w:rPr>
          <w:rFonts w:ascii="宋体" w:hAnsi="宋体" w:cs="宋体"/>
          <w:color w:val="auto"/>
          <w:sz w:val="21"/>
          <w:szCs w:val="21"/>
          <w:highlight w:val="none"/>
        </w:rPr>
      </w:r>
      <w:r/>
    </w:p>
    <w:p>
      <w:pPr>
        <w:ind w:firstLine="482"/>
        <w:rPr>
          <w:rFonts w:ascii="宋体" w:hAnsi="宋体" w:cs="宋体"/>
          <w:color w:val="auto"/>
          <w:sz w:val="21"/>
          <w:szCs w:val="21"/>
          <w:highlight w:val="none"/>
        </w:rPr>
      </w:pPr>
      <w:r>
        <w:rPr>
          <w:rFonts w:ascii="宋体" w:hAnsi="宋体" w:cs="宋体"/>
          <w:color w:val="auto"/>
          <w:sz w:val="21"/>
          <w:szCs w:val="21"/>
          <w:highlight w:val="none"/>
        </w:rPr>
      </w:r>
      <w:r/>
    </w:p>
    <w:p>
      <w:pPr>
        <w:ind w:firstLine="560"/>
        <w:spacing w:line="360" w:lineRule="auto"/>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附件2： 资质证书批准的检验检测能力表及范围扫描件上传系统并签章（投标供应商自行在表中勾选出对应的投标产品）</w:t>
      </w:r>
      <w:r/>
    </w:p>
    <w:p>
      <w:pPr>
        <w:pStyle w:val="972"/>
        <w:pageBreakBefore/>
        <w:spacing w:before="0" w:after="0" w:line="360" w:lineRule="auto"/>
        <w:rPr>
          <w:rFonts w:ascii="宋体" w:hAnsi="宋体" w:cs="宋体"/>
          <w:b w:val="0"/>
          <w:color w:val="auto"/>
          <w:sz w:val="21"/>
          <w:szCs w:val="21"/>
          <w:highlight w:val="none"/>
          <w:lang w:val="zh-CN"/>
        </w:rPr>
      </w:pPr>
      <w:r>
        <w:rPr>
          <w:rFonts w:hint="eastAsia" w:ascii="宋体" w:hAnsi="宋体" w:cs="宋体"/>
          <w:color w:val="auto"/>
          <w:sz w:val="21"/>
          <w:szCs w:val="21"/>
          <w:highlight w:val="none"/>
          <w:lang w:val="zh-CN"/>
        </w:rPr>
        <w:t xml:space="preserve">格式</w:t>
      </w:r>
      <w:r>
        <w:rPr>
          <w:rFonts w:hint="eastAsia" w:ascii="宋体" w:hAnsi="宋体" w:cs="宋体"/>
          <w:color w:val="auto"/>
          <w:sz w:val="21"/>
          <w:szCs w:val="21"/>
          <w:highlight w:val="none"/>
        </w:rPr>
        <w:t xml:space="preserve">11</w:t>
      </w:r>
      <w:r>
        <w:rPr>
          <w:rFonts w:hint="eastAsia" w:ascii="宋体" w:hAnsi="宋体" w:cs="宋体"/>
          <w:color w:val="auto"/>
          <w:sz w:val="21"/>
          <w:szCs w:val="21"/>
          <w:highlight w:val="none"/>
          <w:lang w:val="zh-CN"/>
        </w:rPr>
        <w:t xml:space="preserve">、企业类似业绩一览表</w:t>
      </w:r>
      <w:r/>
    </w:p>
    <w:p>
      <w:pPr>
        <w:jc w:val="center"/>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企业类似业绩一览表</w:t>
      </w:r>
      <w:r/>
    </w:p>
    <w:tbl>
      <w:tblPr>
        <w:tblStyle w:val="752"/>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4"/>
        <w:gridCol w:w="1541"/>
        <w:gridCol w:w="1668"/>
        <w:gridCol w:w="1686"/>
        <w:gridCol w:w="1807"/>
        <w:gridCol w:w="1714"/>
      </w:tblGrid>
      <w:tr>
        <w:trPr>
          <w:jc w:val="center"/>
          <w:trHeight w:val="567"/>
        </w:trPr>
        <w:tc>
          <w:tcPr>
            <w:tcW w:w="41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序号</w:t>
            </w:r>
            <w:r/>
          </w:p>
        </w:tc>
        <w:tc>
          <w:tcPr>
            <w:tcW w:w="840"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项目名称</w:t>
            </w:r>
            <w:r/>
          </w:p>
        </w:tc>
        <w:tc>
          <w:tcPr>
            <w:tcW w:w="909"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项目时间</w:t>
            </w:r>
            <w:r/>
          </w:p>
        </w:tc>
        <w:tc>
          <w:tcPr>
            <w:tcW w:w="919" w:type="pct"/>
            <w:vAlign w:val="center"/>
            <w:textDirection w:val="lrTb"/>
            <w:noWrap w:val="false"/>
          </w:tcPr>
          <w:p>
            <w:pPr>
              <w:jc w:val="center"/>
              <w:tabs>
                <w:tab w:val="left" w:pos="6252"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合同金额</w:t>
            </w:r>
            <w:r/>
          </w:p>
          <w:p>
            <w:pPr>
              <w:jc w:val="center"/>
              <w:tabs>
                <w:tab w:val="left" w:pos="6252"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（人民币元）</w:t>
            </w:r>
            <w:r/>
          </w:p>
        </w:tc>
        <w:tc>
          <w:tcPr>
            <w:tcW w:w="985" w:type="pct"/>
            <w:vAlign w:val="center"/>
            <w:textDirection w:val="lrTb"/>
            <w:noWrap w:val="false"/>
          </w:tcPr>
          <w:p>
            <w:pPr>
              <w:jc w:val="center"/>
              <w:tabs>
                <w:tab w:val="left" w:pos="6252"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业主单位及联系电话</w:t>
            </w:r>
            <w:r/>
          </w:p>
        </w:tc>
        <w:tc>
          <w:tcPr>
            <w:tcW w:w="934"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备注</w:t>
            </w:r>
            <w:r/>
          </w:p>
        </w:tc>
      </w:tr>
      <w:tr>
        <w:trPr>
          <w:jc w:val="center"/>
          <w:trHeight w:val="567"/>
        </w:trPr>
        <w:tc>
          <w:tcPr>
            <w:tcW w:w="41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840"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909"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919"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985"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934"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567"/>
        </w:trPr>
        <w:tc>
          <w:tcPr>
            <w:tcW w:w="41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W w:w="840"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909"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919"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985"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934"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567"/>
        </w:trPr>
        <w:tc>
          <w:tcPr>
            <w:tcW w:w="41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W w:w="840"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909"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919"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985"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934"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567"/>
        </w:trPr>
        <w:tc>
          <w:tcPr>
            <w:tcW w:w="41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W w:w="840"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909"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919"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985"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934"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567"/>
        </w:trPr>
        <w:tc>
          <w:tcPr>
            <w:tcW w:w="41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tcW w:w="840"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909"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919"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985"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934"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567"/>
        </w:trPr>
        <w:tc>
          <w:tcPr>
            <w:tcW w:w="41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6</w:t>
            </w:r>
            <w:r/>
          </w:p>
        </w:tc>
        <w:tc>
          <w:tcPr>
            <w:tcW w:w="840"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909"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919"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985"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934"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567"/>
        </w:trPr>
        <w:tc>
          <w:tcPr>
            <w:tcW w:w="411" w:type="pct"/>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p>
        </w:tc>
        <w:tc>
          <w:tcPr>
            <w:tcW w:w="840"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909"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919"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985"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934"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567"/>
        </w:trPr>
        <w:tc>
          <w:tcPr>
            <w:tcW w:w="411"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840"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909"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919"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985"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934"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567"/>
        </w:trPr>
        <w:tc>
          <w:tcPr>
            <w:tcW w:w="411"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840"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909"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919"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985"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934" w:type="pct"/>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r>
    </w:tbl>
    <w:p>
      <w:pPr>
        <w:ind w:firstLine="420"/>
        <w:jc w:val="both"/>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p>
      <w:pPr>
        <w:ind w:firstLine="42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注：具体附件提供要求详见评分标准。</w:t>
      </w:r>
      <w:r/>
    </w:p>
    <w:p>
      <w:pPr>
        <w:ind w:firstLine="420"/>
        <w:jc w:val="both"/>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p>
      <w:pPr>
        <w:ind w:left="570"/>
        <w:jc w:val="both"/>
        <w:spacing w:line="520" w:lineRule="exact"/>
        <w:widowControl w:val="off"/>
        <w:rPr>
          <w:rFonts w:ascii="宋体" w:hAnsi="宋体" w:cs="宋体"/>
          <w:color w:val="auto"/>
          <w:sz w:val="21"/>
          <w:szCs w:val="21"/>
          <w:highlight w:val="none"/>
        </w:rPr>
      </w:pPr>
      <w:r>
        <w:rPr>
          <w:rFonts w:ascii="宋体" w:hAnsi="宋体" w:cs="宋体"/>
          <w:color w:val="auto"/>
          <w:sz w:val="21"/>
          <w:szCs w:val="21"/>
          <w:highlight w:val="none"/>
        </w:rPr>
      </w:r>
      <w:r/>
    </w:p>
    <w:p>
      <w:pPr>
        <w:spacing w:line="38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投标单位：（单位盖章）</w:t>
      </w:r>
      <w:r/>
    </w:p>
    <w:p>
      <w:pPr>
        <w:spacing w:line="38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单位法定代表人或代理人：（签字或签章）                      年     月     日</w:t>
      </w:r>
      <w:r/>
    </w:p>
    <w:p>
      <w:pPr>
        <w:ind w:left="570"/>
        <w:jc w:val="both"/>
        <w:spacing w:line="520" w:lineRule="exact"/>
        <w:widowControl w:val="off"/>
        <w:rPr>
          <w:rFonts w:ascii="宋体" w:hAnsi="宋体" w:cs="宋体"/>
          <w:color w:val="auto"/>
          <w:sz w:val="21"/>
          <w:szCs w:val="21"/>
          <w:highlight w:val="none"/>
        </w:rPr>
      </w:pPr>
      <w:r>
        <w:rPr>
          <w:rFonts w:ascii="宋体" w:hAnsi="宋体" w:cs="宋体"/>
          <w:color w:val="auto"/>
          <w:sz w:val="21"/>
          <w:szCs w:val="21"/>
          <w:highlight w:val="none"/>
        </w:rPr>
      </w:r>
      <w:r/>
    </w:p>
    <w:p>
      <w:pPr>
        <w:pStyle w:val="972"/>
        <w:pageBreakBefore/>
        <w:spacing w:before="0" w:after="0" w:line="360" w:lineRule="auto"/>
        <w:rPr>
          <w:rFonts w:ascii="宋体" w:hAnsi="宋体" w:cs="宋体"/>
          <w:b w:val="0"/>
          <w:color w:val="auto"/>
          <w:sz w:val="21"/>
          <w:szCs w:val="21"/>
          <w:highlight w:val="none"/>
          <w:lang w:val="zh-CN"/>
        </w:rPr>
      </w:pPr>
      <w:r>
        <w:rPr>
          <w:rFonts w:hint="eastAsia" w:ascii="宋体" w:hAnsi="宋体" w:cs="宋体"/>
          <w:color w:val="auto"/>
          <w:sz w:val="21"/>
          <w:szCs w:val="21"/>
          <w:highlight w:val="none"/>
          <w:lang w:val="zh-CN"/>
        </w:rPr>
        <w:t xml:space="preserve">格式</w:t>
      </w:r>
      <w:r>
        <w:rPr>
          <w:rFonts w:hint="eastAsia" w:ascii="宋体" w:hAnsi="宋体" w:cs="宋体"/>
          <w:color w:val="auto"/>
          <w:sz w:val="21"/>
          <w:szCs w:val="21"/>
          <w:highlight w:val="none"/>
        </w:rPr>
        <w:t xml:space="preserve">12</w:t>
      </w:r>
      <w:r>
        <w:rPr>
          <w:rFonts w:hint="eastAsia" w:ascii="宋体" w:hAnsi="宋体" w:cs="宋体"/>
          <w:color w:val="auto"/>
          <w:sz w:val="21"/>
          <w:szCs w:val="21"/>
          <w:highlight w:val="none"/>
          <w:lang w:val="zh-CN"/>
        </w:rPr>
        <w:t xml:space="preserve">、实施方案</w:t>
      </w:r>
      <w:r/>
    </w:p>
    <w:p>
      <w:pPr>
        <w:jc w:val="both"/>
        <w:widowControl w:val="off"/>
        <w:rPr>
          <w:rFonts w:ascii="宋体" w:hAnsi="宋体" w:cs="宋体"/>
          <w:b/>
          <w:color w:val="auto"/>
          <w:sz w:val="21"/>
          <w:szCs w:val="21"/>
          <w:highlight w:val="none"/>
        </w:rPr>
      </w:pPr>
      <w:r>
        <w:rPr>
          <w:rFonts w:ascii="宋体" w:hAnsi="宋体" w:cs="宋体"/>
          <w:b/>
          <w:color w:val="auto"/>
          <w:sz w:val="21"/>
          <w:szCs w:val="21"/>
          <w:highlight w:val="none"/>
        </w:rPr>
      </w:r>
      <w:r/>
    </w:p>
    <w:tbl>
      <w:tblPr>
        <w:tblStyle w:val="752"/>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968"/>
      </w:tblGrid>
      <w:tr>
        <w:trPr>
          <w:trHeight w:val="3595"/>
        </w:trPr>
        <w:tc>
          <w:tcPr>
            <w:tcW w:w="5000" w:type="pct"/>
            <w:textDirection w:val="lrTb"/>
            <w:noWrap w:val="false"/>
          </w:tcPr>
          <w:p>
            <w:pPr>
              <w:jc w:val="center"/>
              <w:spacing w:line="360" w:lineRule="auto"/>
              <w:widowControl w:val="off"/>
              <w:rPr>
                <w:rFonts w:ascii="宋体" w:hAnsi="宋体" w:cs="宋体"/>
                <w:color w:val="auto"/>
                <w:sz w:val="21"/>
                <w:szCs w:val="21"/>
                <w:highlight w:val="none"/>
              </w:rPr>
            </w:pPr>
            <w:r>
              <w:rPr>
                <w:rFonts w:hint="eastAsia" w:ascii="宋体" w:hAnsi="宋体" w:cs="宋体"/>
                <w:b/>
                <w:color w:val="auto"/>
                <w:sz w:val="21"/>
                <w:szCs w:val="21"/>
                <w:highlight w:val="none"/>
              </w:rPr>
              <w:t xml:space="preserve">实施方案</w:t>
            </w:r>
            <w:r/>
          </w:p>
          <w:p>
            <w:pPr>
              <w:spacing w:line="360" w:lineRule="auto"/>
              <w:widowControl w:val="off"/>
              <w:rPr>
                <w:rFonts w:ascii="宋体" w:hAnsi="宋体" w:cs="宋体"/>
                <w:b/>
                <w:bCs/>
                <w:color w:val="auto"/>
                <w:sz w:val="21"/>
                <w:szCs w:val="21"/>
                <w:highlight w:val="none"/>
              </w:rPr>
            </w:pPr>
            <w:r>
              <w:rPr>
                <w:rFonts w:hint="eastAsia" w:ascii="宋体" w:hAnsi="宋体" w:cs="宋体"/>
                <w:color w:val="auto"/>
                <w:sz w:val="21"/>
                <w:szCs w:val="21"/>
                <w:highlight w:val="none"/>
              </w:rPr>
              <w:t xml:space="preserve">提供：投标人针对本项目制定的实施方案：</w:t>
            </w:r>
            <w:r/>
          </w:p>
          <w:p>
            <w:pPr>
              <w:pStyle w:val="836"/>
              <w:ind w:left="0"/>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836"/>
              <w:ind w:left="0"/>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836"/>
              <w:ind w:left="0"/>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836"/>
              <w:ind w:left="0"/>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836"/>
              <w:ind w:left="0"/>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836"/>
              <w:ind w:left="0"/>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836"/>
              <w:ind w:left="0"/>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836"/>
              <w:ind w:left="0"/>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836"/>
              <w:ind w:left="0"/>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836"/>
              <w:ind w:left="0"/>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836"/>
              <w:ind w:left="0"/>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836"/>
              <w:ind w:left="0"/>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836"/>
              <w:ind w:left="0"/>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836"/>
              <w:ind w:left="0"/>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836"/>
              <w:ind w:left="0"/>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836"/>
              <w:ind w:left="0"/>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bl>
    <w:p>
      <w:pPr>
        <w:jc w:val="both"/>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注：格式可自行修改补充。</w:t>
      </w:r>
      <w:r/>
    </w:p>
    <w:p>
      <w:pPr>
        <w:jc w:val="both"/>
        <w:widowControl w:val="off"/>
        <w:rPr>
          <w:rFonts w:ascii="宋体" w:hAnsi="宋体" w:cs="宋体"/>
          <w:color w:val="auto"/>
          <w:sz w:val="21"/>
          <w:szCs w:val="21"/>
          <w:highlight w:val="none"/>
        </w:rPr>
      </w:pPr>
      <w:r>
        <w:rPr>
          <w:rFonts w:ascii="宋体" w:hAnsi="宋体" w:cs="宋体"/>
          <w:color w:val="auto"/>
          <w:sz w:val="21"/>
          <w:szCs w:val="21"/>
          <w:highlight w:val="none"/>
        </w:rPr>
      </w:r>
      <w:r/>
    </w:p>
    <w:p>
      <w:pPr>
        <w:jc w:val="both"/>
        <w:widowControl w:val="off"/>
        <w:rPr>
          <w:rFonts w:ascii="宋体" w:hAnsi="宋体" w:cs="宋体"/>
          <w:color w:val="auto"/>
          <w:sz w:val="21"/>
          <w:szCs w:val="21"/>
          <w:highlight w:val="none"/>
        </w:rPr>
      </w:pPr>
      <w:r>
        <w:rPr>
          <w:rFonts w:ascii="宋体" w:hAnsi="宋体" w:cs="宋体"/>
          <w:color w:val="auto"/>
          <w:sz w:val="21"/>
          <w:szCs w:val="21"/>
          <w:highlight w:val="none"/>
        </w:rPr>
      </w:r>
      <w:r/>
    </w:p>
    <w:p>
      <w:pPr>
        <w:jc w:val="both"/>
        <w:widowControl w:val="off"/>
        <w:rPr>
          <w:rFonts w:ascii="宋体" w:hAnsi="宋体" w:cs="宋体"/>
          <w:color w:val="auto"/>
          <w:sz w:val="21"/>
          <w:szCs w:val="21"/>
          <w:highlight w:val="none"/>
        </w:rPr>
      </w:pPr>
      <w:r>
        <w:rPr>
          <w:rFonts w:ascii="宋体" w:hAnsi="宋体" w:cs="宋体"/>
          <w:color w:val="auto"/>
          <w:sz w:val="21"/>
          <w:szCs w:val="21"/>
          <w:highlight w:val="none"/>
        </w:rPr>
      </w:r>
      <w:r/>
    </w:p>
    <w:p>
      <w:pPr>
        <w:pStyle w:val="972"/>
        <w:pageBreakBefore/>
        <w:spacing w:before="0" w:after="0" w:line="360" w:lineRule="auto"/>
        <w:rPr>
          <w:rFonts w:ascii="宋体" w:hAnsi="宋体" w:cs="宋体"/>
          <w:b w:val="0"/>
          <w:color w:val="auto"/>
          <w:sz w:val="21"/>
          <w:szCs w:val="21"/>
          <w:highlight w:val="none"/>
          <w:lang w:val="zh-CN"/>
        </w:rPr>
      </w:pPr>
      <w:r>
        <w:rPr>
          <w:rFonts w:hint="eastAsia" w:ascii="宋体" w:hAnsi="宋体" w:cs="宋体"/>
          <w:color w:val="auto"/>
          <w:sz w:val="21"/>
          <w:szCs w:val="21"/>
          <w:highlight w:val="none"/>
          <w:lang w:val="zh-CN"/>
        </w:rPr>
        <w:t xml:space="preserve">格式1</w:t>
      </w:r>
      <w:r>
        <w:rPr>
          <w:rFonts w:hint="eastAsia" w:ascii="宋体" w:hAnsi="宋体" w:cs="宋体"/>
          <w:color w:val="auto"/>
          <w:sz w:val="21"/>
          <w:szCs w:val="21"/>
          <w:highlight w:val="none"/>
        </w:rPr>
        <w:t xml:space="preserve">3</w:t>
      </w:r>
      <w:r>
        <w:rPr>
          <w:rFonts w:hint="eastAsia" w:ascii="宋体" w:hAnsi="宋体" w:cs="宋体"/>
          <w:color w:val="auto"/>
          <w:sz w:val="21"/>
          <w:szCs w:val="21"/>
          <w:highlight w:val="none"/>
          <w:lang w:val="zh-CN"/>
        </w:rPr>
        <w:t xml:space="preserve">、投标人与其他单位存在控股、管理关系情况表</w:t>
      </w:r>
      <w:r/>
    </w:p>
    <w:p>
      <w:pPr>
        <w:pStyle w:val="836"/>
        <w:rPr>
          <w:rFonts w:ascii="宋体" w:hAnsi="宋体" w:eastAsia="宋体" w:cs="宋体"/>
          <w:color w:val="auto"/>
          <w:sz w:val="21"/>
          <w:szCs w:val="21"/>
          <w:highlight w:val="none"/>
          <w:lang w:val="zh-CN"/>
        </w:rPr>
      </w:pPr>
      <w:r>
        <w:rPr>
          <w:rFonts w:ascii="宋体" w:hAnsi="宋体" w:eastAsia="宋体" w:cs="宋体"/>
          <w:color w:val="auto"/>
          <w:sz w:val="21"/>
          <w:szCs w:val="21"/>
          <w:highlight w:val="none"/>
          <w:lang w:val="zh-CN"/>
        </w:rPr>
      </w:r>
      <w:r/>
    </w:p>
    <w:p>
      <w:pPr>
        <w:ind w:firstLine="210"/>
        <w:jc w:val="center"/>
        <w:spacing w:line="360" w:lineRule="auto"/>
        <w:widowControl w:val="off"/>
        <w:rPr>
          <w:rFonts w:ascii="宋体" w:hAnsi="宋体" w:cs="宋体"/>
          <w:b/>
          <w:color w:val="auto"/>
          <w:sz w:val="21"/>
          <w:szCs w:val="21"/>
          <w:highlight w:val="none"/>
          <w:lang w:val="zh-CN"/>
        </w:rPr>
      </w:pPr>
      <w:r>
        <w:rPr>
          <w:rFonts w:hint="eastAsia" w:ascii="宋体" w:hAnsi="宋体" w:cs="宋体"/>
          <w:b/>
          <w:color w:val="auto"/>
          <w:sz w:val="21"/>
          <w:szCs w:val="21"/>
          <w:highlight w:val="none"/>
          <w:lang w:val="zh-CN"/>
        </w:rPr>
        <w:t xml:space="preserve">投标人与其他单位存在控股、管理关系情况表</w:t>
      </w:r>
      <w:r/>
    </w:p>
    <w:p>
      <w:pPr>
        <w:pStyle w:val="836"/>
        <w:ind w:left="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单位名称：</w:t>
      </w:r>
      <w:r/>
    </w:p>
    <w:tbl>
      <w:tblPr>
        <w:tblStyle w:val="752"/>
        <w:tblW w:w="499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59"/>
        <w:gridCol w:w="1623"/>
        <w:gridCol w:w="1427"/>
        <w:gridCol w:w="1909"/>
        <w:gridCol w:w="1616"/>
        <w:gridCol w:w="1221"/>
      </w:tblGrid>
      <w:tr>
        <w:trPr>
          <w:trHeight w:val="567"/>
        </w:trPr>
        <w:tc>
          <w:tcPr>
            <w:gridSpan w:val="3"/>
            <w:tcMar>
              <w:left w:w="51" w:type="dxa"/>
              <w:top w:w="0" w:type="dxa"/>
              <w:right w:w="51" w:type="dxa"/>
              <w:bottom w:w="0" w:type="dxa"/>
            </w:tcMar>
            <w:tcW w:w="2379" w:type="pct"/>
            <w:vAlign w:val="center"/>
            <w:textDirection w:val="lrTb"/>
            <w:noWrap w:val="false"/>
          </w:tcPr>
          <w:p>
            <w:pPr>
              <w:pStyle w:val="836"/>
              <w:ind w:left="0"/>
              <w:jc w:val="center"/>
              <w:spacing w:line="24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与投标人存在控股、管理关系的单位名称</w:t>
            </w:r>
            <w:r/>
          </w:p>
        </w:tc>
        <w:tc>
          <w:tcPr>
            <w:gridSpan w:val="3"/>
            <w:tcMar>
              <w:left w:w="51" w:type="dxa"/>
              <w:top w:w="0" w:type="dxa"/>
              <w:right w:w="51" w:type="dxa"/>
              <w:bottom w:w="0" w:type="dxa"/>
            </w:tcMar>
            <w:tcW w:w="2620" w:type="pct"/>
            <w:vAlign w:val="center"/>
            <w:textDirection w:val="lrTb"/>
            <w:noWrap w:val="false"/>
          </w:tcPr>
          <w:p>
            <w:pPr>
              <w:pStyle w:val="836"/>
              <w:ind w:left="0"/>
              <w:jc w:val="center"/>
              <w:spacing w:line="24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控股、管理关系情况说明</w:t>
            </w:r>
            <w:r/>
          </w:p>
        </w:tc>
      </w:tr>
      <w:tr>
        <w:trPr>
          <w:trHeight w:val="567"/>
        </w:trPr>
        <w:tc>
          <w:tcPr>
            <w:tcMar>
              <w:left w:w="51" w:type="dxa"/>
              <w:top w:w="0" w:type="dxa"/>
              <w:right w:w="51" w:type="dxa"/>
              <w:bottom w:w="0" w:type="dxa"/>
            </w:tcMar>
            <w:tcW w:w="695" w:type="pct"/>
            <w:vAlign w:val="center"/>
            <w:textDirection w:val="lrTb"/>
            <w:noWrap w:val="false"/>
          </w:tcPr>
          <w:p>
            <w:pPr>
              <w:pStyle w:val="836"/>
              <w:ind w:left="0"/>
              <w:jc w:val="center"/>
              <w:spacing w:line="240" w:lineRule="auto"/>
              <w:rPr>
                <w:rFonts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单位名称</w:t>
            </w:r>
            <w:r/>
          </w:p>
        </w:tc>
        <w:tc>
          <w:tcPr>
            <w:tcMar>
              <w:left w:w="51" w:type="dxa"/>
              <w:top w:w="0" w:type="dxa"/>
              <w:right w:w="51" w:type="dxa"/>
              <w:bottom w:w="0" w:type="dxa"/>
            </w:tcMar>
            <w:tcW w:w="896" w:type="pct"/>
            <w:vAlign w:val="center"/>
            <w:textDirection w:val="lrTb"/>
            <w:noWrap w:val="false"/>
          </w:tcPr>
          <w:p>
            <w:pPr>
              <w:pStyle w:val="836"/>
              <w:ind w:left="0"/>
              <w:jc w:val="center"/>
              <w:spacing w:line="240" w:lineRule="auto"/>
              <w:rPr>
                <w:rFonts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是否为大型企业，填写“是”或“否”</w:t>
            </w:r>
            <w:r/>
          </w:p>
        </w:tc>
        <w:tc>
          <w:tcPr>
            <w:tcMar>
              <w:left w:w="51" w:type="dxa"/>
              <w:top w:w="0" w:type="dxa"/>
              <w:right w:w="51" w:type="dxa"/>
              <w:bottom w:w="0" w:type="dxa"/>
            </w:tcMar>
            <w:tcW w:w="787" w:type="pct"/>
            <w:vAlign w:val="center"/>
            <w:textDirection w:val="lrTb"/>
            <w:noWrap w:val="false"/>
          </w:tcPr>
          <w:p>
            <w:pPr>
              <w:pStyle w:val="836"/>
              <w:ind w:left="0"/>
              <w:jc w:val="center"/>
              <w:spacing w:line="240" w:lineRule="auto"/>
              <w:rPr>
                <w:rFonts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直接控股关系情况说明（持股比例等）</w:t>
            </w:r>
            <w:r/>
          </w:p>
        </w:tc>
        <w:tc>
          <w:tcPr>
            <w:tcMar>
              <w:left w:w="51" w:type="dxa"/>
              <w:top w:w="0" w:type="dxa"/>
              <w:right w:w="51" w:type="dxa"/>
              <w:bottom w:w="0" w:type="dxa"/>
            </w:tcMar>
            <w:tcW w:w="1054" w:type="pct"/>
            <w:vAlign w:val="center"/>
            <w:textDirection w:val="lrTb"/>
            <w:noWrap w:val="false"/>
          </w:tcPr>
          <w:p>
            <w:pPr>
              <w:pStyle w:val="836"/>
              <w:ind w:left="0"/>
              <w:jc w:val="center"/>
              <w:spacing w:line="240" w:lineRule="auto"/>
              <w:rPr>
                <w:rFonts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单位名称</w:t>
            </w:r>
            <w:r/>
          </w:p>
        </w:tc>
        <w:tc>
          <w:tcPr>
            <w:tcMar>
              <w:left w:w="51" w:type="dxa"/>
              <w:top w:w="0" w:type="dxa"/>
              <w:right w:w="51" w:type="dxa"/>
              <w:bottom w:w="0" w:type="dxa"/>
            </w:tcMar>
            <w:tcW w:w="892" w:type="pct"/>
            <w:vAlign w:val="center"/>
            <w:textDirection w:val="lrTb"/>
            <w:noWrap w:val="false"/>
          </w:tcPr>
          <w:p>
            <w:pPr>
              <w:pStyle w:val="836"/>
              <w:ind w:left="0"/>
              <w:jc w:val="center"/>
              <w:spacing w:line="240" w:lineRule="auto"/>
              <w:rPr>
                <w:rFonts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是否为大型企业，填写“是”或“否”</w:t>
            </w:r>
            <w:r/>
          </w:p>
        </w:tc>
        <w:tc>
          <w:tcPr>
            <w:tcMar>
              <w:left w:w="51" w:type="dxa"/>
              <w:top w:w="0" w:type="dxa"/>
              <w:right w:w="51" w:type="dxa"/>
              <w:bottom w:w="0" w:type="dxa"/>
            </w:tcMar>
            <w:tcW w:w="673" w:type="pct"/>
            <w:vAlign w:val="center"/>
            <w:textDirection w:val="lrTb"/>
            <w:noWrap w:val="false"/>
          </w:tcPr>
          <w:p>
            <w:pPr>
              <w:pStyle w:val="836"/>
              <w:ind w:left="0"/>
              <w:jc w:val="center"/>
              <w:spacing w:line="240" w:lineRule="auto"/>
              <w:rPr>
                <w:rFonts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直接管理关系情况说明</w:t>
            </w:r>
            <w:r/>
          </w:p>
        </w:tc>
      </w:tr>
      <w:tr>
        <w:trPr>
          <w:trHeight w:val="567"/>
        </w:trPr>
        <w:tc>
          <w:tcPr>
            <w:tcMar>
              <w:left w:w="51" w:type="dxa"/>
              <w:top w:w="0" w:type="dxa"/>
              <w:right w:w="51" w:type="dxa"/>
              <w:bottom w:w="0" w:type="dxa"/>
            </w:tcMar>
            <w:tcW w:w="695" w:type="pct"/>
            <w:vAlign w:val="center"/>
            <w:textDirection w:val="lrTb"/>
            <w:noWrap w:val="false"/>
          </w:tcPr>
          <w:p>
            <w:pPr>
              <w:pStyle w:val="836"/>
              <w:jc w:val="center"/>
              <w:spacing w:line="240" w:lineRule="auto"/>
              <w:rPr>
                <w:rFonts w:ascii="宋体" w:hAnsi="宋体" w:eastAsia="宋体" w:cs="宋体"/>
                <w:color w:val="auto"/>
                <w:sz w:val="21"/>
                <w:szCs w:val="21"/>
                <w:highlight w:val="none"/>
                <w:lang w:val="zh-CN"/>
              </w:rPr>
            </w:pPr>
            <w:r>
              <w:rPr>
                <w:rFonts w:ascii="宋体" w:hAnsi="宋体" w:eastAsia="宋体" w:cs="宋体"/>
                <w:color w:val="auto"/>
                <w:sz w:val="21"/>
                <w:szCs w:val="21"/>
                <w:highlight w:val="none"/>
                <w:lang w:val="zh-CN"/>
              </w:rPr>
            </w:r>
            <w:r/>
          </w:p>
        </w:tc>
        <w:tc>
          <w:tcPr>
            <w:tcMar>
              <w:left w:w="51" w:type="dxa"/>
              <w:top w:w="0" w:type="dxa"/>
              <w:right w:w="51" w:type="dxa"/>
              <w:bottom w:w="0" w:type="dxa"/>
            </w:tcMar>
            <w:tcW w:w="896" w:type="pct"/>
            <w:vAlign w:val="center"/>
            <w:textDirection w:val="lrTb"/>
            <w:noWrap w:val="false"/>
          </w:tcPr>
          <w:p>
            <w:pPr>
              <w:pStyle w:val="836"/>
              <w:jc w:val="center"/>
              <w:spacing w:line="240" w:lineRule="auto"/>
              <w:rPr>
                <w:rFonts w:ascii="宋体" w:hAnsi="宋体" w:eastAsia="宋体" w:cs="宋体"/>
                <w:color w:val="auto"/>
                <w:sz w:val="21"/>
                <w:szCs w:val="21"/>
                <w:highlight w:val="none"/>
                <w:lang w:val="zh-CN"/>
              </w:rPr>
            </w:pPr>
            <w:r>
              <w:rPr>
                <w:rFonts w:ascii="宋体" w:hAnsi="宋体" w:eastAsia="宋体" w:cs="宋体"/>
                <w:color w:val="auto"/>
                <w:sz w:val="21"/>
                <w:szCs w:val="21"/>
                <w:highlight w:val="none"/>
                <w:lang w:val="zh-CN"/>
              </w:rPr>
            </w:r>
            <w:r/>
          </w:p>
        </w:tc>
        <w:tc>
          <w:tcPr>
            <w:tcMar>
              <w:left w:w="51" w:type="dxa"/>
              <w:top w:w="0" w:type="dxa"/>
              <w:right w:w="51" w:type="dxa"/>
              <w:bottom w:w="0" w:type="dxa"/>
            </w:tcMar>
            <w:tcW w:w="787" w:type="pct"/>
            <w:vAlign w:val="center"/>
            <w:textDirection w:val="lrTb"/>
            <w:noWrap w:val="false"/>
          </w:tcPr>
          <w:p>
            <w:pPr>
              <w:pStyle w:val="836"/>
              <w:jc w:val="center"/>
              <w:spacing w:line="240" w:lineRule="auto"/>
              <w:rPr>
                <w:rFonts w:ascii="宋体" w:hAnsi="宋体" w:eastAsia="宋体" w:cs="宋体"/>
                <w:color w:val="auto"/>
                <w:sz w:val="21"/>
                <w:szCs w:val="21"/>
                <w:highlight w:val="none"/>
                <w:lang w:val="zh-CN"/>
              </w:rPr>
            </w:pPr>
            <w:r>
              <w:rPr>
                <w:rFonts w:ascii="宋体" w:hAnsi="宋体" w:eastAsia="宋体" w:cs="宋体"/>
                <w:color w:val="auto"/>
                <w:sz w:val="21"/>
                <w:szCs w:val="21"/>
                <w:highlight w:val="none"/>
                <w:lang w:val="zh-CN"/>
              </w:rPr>
            </w:r>
            <w:r/>
          </w:p>
        </w:tc>
        <w:tc>
          <w:tcPr>
            <w:tcMar>
              <w:left w:w="51" w:type="dxa"/>
              <w:top w:w="0" w:type="dxa"/>
              <w:right w:w="51" w:type="dxa"/>
              <w:bottom w:w="0" w:type="dxa"/>
            </w:tcMar>
            <w:tcW w:w="1054" w:type="pct"/>
            <w:vAlign w:val="center"/>
            <w:textDirection w:val="lrTb"/>
            <w:noWrap w:val="false"/>
          </w:tcPr>
          <w:p>
            <w:pPr>
              <w:pStyle w:val="836"/>
              <w:jc w:val="center"/>
              <w:spacing w:line="240" w:lineRule="auto"/>
              <w:rPr>
                <w:rFonts w:ascii="宋体" w:hAnsi="宋体" w:eastAsia="宋体" w:cs="宋体"/>
                <w:color w:val="auto"/>
                <w:sz w:val="21"/>
                <w:szCs w:val="21"/>
                <w:highlight w:val="none"/>
                <w:lang w:val="zh-CN"/>
              </w:rPr>
            </w:pPr>
            <w:r>
              <w:rPr>
                <w:rFonts w:ascii="宋体" w:hAnsi="宋体" w:eastAsia="宋体" w:cs="宋体"/>
                <w:color w:val="auto"/>
                <w:sz w:val="21"/>
                <w:szCs w:val="21"/>
                <w:highlight w:val="none"/>
                <w:lang w:val="zh-CN"/>
              </w:rPr>
            </w:r>
            <w:r/>
          </w:p>
        </w:tc>
        <w:tc>
          <w:tcPr>
            <w:tcMar>
              <w:left w:w="51" w:type="dxa"/>
              <w:top w:w="0" w:type="dxa"/>
              <w:right w:w="51" w:type="dxa"/>
              <w:bottom w:w="0" w:type="dxa"/>
            </w:tcMar>
            <w:tcW w:w="892" w:type="pct"/>
            <w:vAlign w:val="center"/>
            <w:textDirection w:val="lrTb"/>
            <w:noWrap w:val="false"/>
          </w:tcPr>
          <w:p>
            <w:pPr>
              <w:pStyle w:val="836"/>
              <w:jc w:val="center"/>
              <w:spacing w:line="240" w:lineRule="auto"/>
              <w:rPr>
                <w:rFonts w:ascii="宋体" w:hAnsi="宋体" w:eastAsia="宋体" w:cs="宋体"/>
                <w:color w:val="auto"/>
                <w:sz w:val="21"/>
                <w:szCs w:val="21"/>
                <w:highlight w:val="none"/>
                <w:lang w:val="zh-CN"/>
              </w:rPr>
            </w:pPr>
            <w:r>
              <w:rPr>
                <w:rFonts w:ascii="宋体" w:hAnsi="宋体" w:eastAsia="宋体" w:cs="宋体"/>
                <w:color w:val="auto"/>
                <w:sz w:val="21"/>
                <w:szCs w:val="21"/>
                <w:highlight w:val="none"/>
                <w:lang w:val="zh-CN"/>
              </w:rPr>
            </w:r>
            <w:r/>
          </w:p>
        </w:tc>
        <w:tc>
          <w:tcPr>
            <w:tcMar>
              <w:left w:w="51" w:type="dxa"/>
              <w:top w:w="0" w:type="dxa"/>
              <w:right w:w="51" w:type="dxa"/>
              <w:bottom w:w="0" w:type="dxa"/>
            </w:tcMar>
            <w:tcW w:w="673" w:type="pct"/>
            <w:vAlign w:val="center"/>
            <w:textDirection w:val="lrTb"/>
            <w:noWrap w:val="false"/>
          </w:tcPr>
          <w:p>
            <w:pPr>
              <w:pStyle w:val="836"/>
              <w:jc w:val="center"/>
              <w:spacing w:line="240" w:lineRule="auto"/>
              <w:rPr>
                <w:rFonts w:ascii="宋体" w:hAnsi="宋体" w:eastAsia="宋体" w:cs="宋体"/>
                <w:color w:val="auto"/>
                <w:sz w:val="21"/>
                <w:szCs w:val="21"/>
                <w:highlight w:val="none"/>
                <w:lang w:val="zh-CN"/>
              </w:rPr>
            </w:pPr>
            <w:r>
              <w:rPr>
                <w:rFonts w:ascii="宋体" w:hAnsi="宋体" w:eastAsia="宋体" w:cs="宋体"/>
                <w:color w:val="auto"/>
                <w:sz w:val="21"/>
                <w:szCs w:val="21"/>
                <w:highlight w:val="none"/>
                <w:lang w:val="zh-CN"/>
              </w:rPr>
            </w:r>
            <w:r/>
          </w:p>
        </w:tc>
      </w:tr>
      <w:tr>
        <w:trPr>
          <w:trHeight w:val="567"/>
        </w:trPr>
        <w:tc>
          <w:tcPr>
            <w:tcMar>
              <w:left w:w="51" w:type="dxa"/>
              <w:top w:w="0" w:type="dxa"/>
              <w:right w:w="51" w:type="dxa"/>
              <w:bottom w:w="0" w:type="dxa"/>
            </w:tcMar>
            <w:tcW w:w="695" w:type="pct"/>
            <w:vAlign w:val="center"/>
            <w:textDirection w:val="lrTb"/>
            <w:noWrap w:val="false"/>
          </w:tcPr>
          <w:p>
            <w:pPr>
              <w:pStyle w:val="836"/>
              <w:jc w:val="center"/>
              <w:spacing w:line="240" w:lineRule="auto"/>
              <w:rPr>
                <w:rFonts w:ascii="宋体" w:hAnsi="宋体" w:eastAsia="宋体" w:cs="宋体"/>
                <w:color w:val="auto"/>
                <w:sz w:val="21"/>
                <w:szCs w:val="21"/>
                <w:highlight w:val="none"/>
                <w:lang w:val="zh-CN"/>
              </w:rPr>
            </w:pPr>
            <w:r>
              <w:rPr>
                <w:rFonts w:ascii="宋体" w:hAnsi="宋体" w:eastAsia="宋体" w:cs="宋体"/>
                <w:color w:val="auto"/>
                <w:sz w:val="21"/>
                <w:szCs w:val="21"/>
                <w:highlight w:val="none"/>
                <w:lang w:val="zh-CN"/>
              </w:rPr>
            </w:r>
            <w:r/>
          </w:p>
        </w:tc>
        <w:tc>
          <w:tcPr>
            <w:tcMar>
              <w:left w:w="51" w:type="dxa"/>
              <w:top w:w="0" w:type="dxa"/>
              <w:right w:w="51" w:type="dxa"/>
              <w:bottom w:w="0" w:type="dxa"/>
            </w:tcMar>
            <w:tcW w:w="896" w:type="pct"/>
            <w:vAlign w:val="center"/>
            <w:textDirection w:val="lrTb"/>
            <w:noWrap w:val="false"/>
          </w:tcPr>
          <w:p>
            <w:pPr>
              <w:pStyle w:val="836"/>
              <w:jc w:val="center"/>
              <w:spacing w:line="240" w:lineRule="auto"/>
              <w:rPr>
                <w:rFonts w:ascii="宋体" w:hAnsi="宋体" w:eastAsia="宋体" w:cs="宋体"/>
                <w:color w:val="auto"/>
                <w:sz w:val="21"/>
                <w:szCs w:val="21"/>
                <w:highlight w:val="none"/>
                <w:lang w:val="zh-CN"/>
              </w:rPr>
            </w:pPr>
            <w:r>
              <w:rPr>
                <w:rFonts w:ascii="宋体" w:hAnsi="宋体" w:eastAsia="宋体" w:cs="宋体"/>
                <w:color w:val="auto"/>
                <w:sz w:val="21"/>
                <w:szCs w:val="21"/>
                <w:highlight w:val="none"/>
                <w:lang w:val="zh-CN"/>
              </w:rPr>
            </w:r>
            <w:r/>
          </w:p>
        </w:tc>
        <w:tc>
          <w:tcPr>
            <w:tcMar>
              <w:left w:w="51" w:type="dxa"/>
              <w:top w:w="0" w:type="dxa"/>
              <w:right w:w="51" w:type="dxa"/>
              <w:bottom w:w="0" w:type="dxa"/>
            </w:tcMar>
            <w:tcW w:w="787" w:type="pct"/>
            <w:vAlign w:val="center"/>
            <w:textDirection w:val="lrTb"/>
            <w:noWrap w:val="false"/>
          </w:tcPr>
          <w:p>
            <w:pPr>
              <w:pStyle w:val="836"/>
              <w:jc w:val="center"/>
              <w:spacing w:line="240" w:lineRule="auto"/>
              <w:rPr>
                <w:rFonts w:ascii="宋体" w:hAnsi="宋体" w:eastAsia="宋体" w:cs="宋体"/>
                <w:color w:val="auto"/>
                <w:sz w:val="21"/>
                <w:szCs w:val="21"/>
                <w:highlight w:val="none"/>
                <w:lang w:val="zh-CN"/>
              </w:rPr>
            </w:pPr>
            <w:r>
              <w:rPr>
                <w:rFonts w:ascii="宋体" w:hAnsi="宋体" w:eastAsia="宋体" w:cs="宋体"/>
                <w:color w:val="auto"/>
                <w:sz w:val="21"/>
                <w:szCs w:val="21"/>
                <w:highlight w:val="none"/>
                <w:lang w:val="zh-CN"/>
              </w:rPr>
            </w:r>
            <w:r/>
          </w:p>
        </w:tc>
        <w:tc>
          <w:tcPr>
            <w:tcMar>
              <w:left w:w="51" w:type="dxa"/>
              <w:top w:w="0" w:type="dxa"/>
              <w:right w:w="51" w:type="dxa"/>
              <w:bottom w:w="0" w:type="dxa"/>
            </w:tcMar>
            <w:tcW w:w="1054" w:type="pct"/>
            <w:vAlign w:val="center"/>
            <w:textDirection w:val="lrTb"/>
            <w:noWrap w:val="false"/>
          </w:tcPr>
          <w:p>
            <w:pPr>
              <w:pStyle w:val="836"/>
              <w:jc w:val="center"/>
              <w:spacing w:line="240" w:lineRule="auto"/>
              <w:rPr>
                <w:rFonts w:ascii="宋体" w:hAnsi="宋体" w:eastAsia="宋体" w:cs="宋体"/>
                <w:color w:val="auto"/>
                <w:sz w:val="21"/>
                <w:szCs w:val="21"/>
                <w:highlight w:val="none"/>
                <w:lang w:val="zh-CN"/>
              </w:rPr>
            </w:pPr>
            <w:r>
              <w:rPr>
                <w:rFonts w:ascii="宋体" w:hAnsi="宋体" w:eastAsia="宋体" w:cs="宋体"/>
                <w:color w:val="auto"/>
                <w:sz w:val="21"/>
                <w:szCs w:val="21"/>
                <w:highlight w:val="none"/>
                <w:lang w:val="zh-CN"/>
              </w:rPr>
            </w:r>
            <w:r/>
          </w:p>
        </w:tc>
        <w:tc>
          <w:tcPr>
            <w:tcMar>
              <w:left w:w="51" w:type="dxa"/>
              <w:top w:w="0" w:type="dxa"/>
              <w:right w:w="51" w:type="dxa"/>
              <w:bottom w:w="0" w:type="dxa"/>
            </w:tcMar>
            <w:tcW w:w="892" w:type="pct"/>
            <w:vAlign w:val="center"/>
            <w:textDirection w:val="lrTb"/>
            <w:noWrap w:val="false"/>
          </w:tcPr>
          <w:p>
            <w:pPr>
              <w:pStyle w:val="836"/>
              <w:jc w:val="center"/>
              <w:spacing w:line="240" w:lineRule="auto"/>
              <w:rPr>
                <w:rFonts w:ascii="宋体" w:hAnsi="宋体" w:eastAsia="宋体" w:cs="宋体"/>
                <w:color w:val="auto"/>
                <w:sz w:val="21"/>
                <w:szCs w:val="21"/>
                <w:highlight w:val="none"/>
                <w:lang w:val="zh-CN"/>
              </w:rPr>
            </w:pPr>
            <w:r>
              <w:rPr>
                <w:rFonts w:ascii="宋体" w:hAnsi="宋体" w:eastAsia="宋体" w:cs="宋体"/>
                <w:color w:val="auto"/>
                <w:sz w:val="21"/>
                <w:szCs w:val="21"/>
                <w:highlight w:val="none"/>
                <w:lang w:val="zh-CN"/>
              </w:rPr>
            </w:r>
            <w:r/>
          </w:p>
        </w:tc>
        <w:tc>
          <w:tcPr>
            <w:tcMar>
              <w:left w:w="51" w:type="dxa"/>
              <w:top w:w="0" w:type="dxa"/>
              <w:right w:w="51" w:type="dxa"/>
              <w:bottom w:w="0" w:type="dxa"/>
            </w:tcMar>
            <w:tcW w:w="673" w:type="pct"/>
            <w:vAlign w:val="center"/>
            <w:textDirection w:val="lrTb"/>
            <w:noWrap w:val="false"/>
          </w:tcPr>
          <w:p>
            <w:pPr>
              <w:pStyle w:val="836"/>
              <w:jc w:val="center"/>
              <w:spacing w:line="240" w:lineRule="auto"/>
              <w:rPr>
                <w:rFonts w:ascii="宋体" w:hAnsi="宋体" w:eastAsia="宋体" w:cs="宋体"/>
                <w:color w:val="auto"/>
                <w:sz w:val="21"/>
                <w:szCs w:val="21"/>
                <w:highlight w:val="none"/>
                <w:lang w:val="zh-CN"/>
              </w:rPr>
            </w:pPr>
            <w:r>
              <w:rPr>
                <w:rFonts w:ascii="宋体" w:hAnsi="宋体" w:eastAsia="宋体" w:cs="宋体"/>
                <w:color w:val="auto"/>
                <w:sz w:val="21"/>
                <w:szCs w:val="21"/>
                <w:highlight w:val="none"/>
                <w:lang w:val="zh-CN"/>
              </w:rPr>
            </w:r>
            <w:r/>
          </w:p>
        </w:tc>
      </w:tr>
      <w:tr>
        <w:trPr>
          <w:trHeight w:val="567"/>
        </w:trPr>
        <w:tc>
          <w:tcPr>
            <w:tcMar>
              <w:left w:w="51" w:type="dxa"/>
              <w:top w:w="0" w:type="dxa"/>
              <w:right w:w="51" w:type="dxa"/>
              <w:bottom w:w="0" w:type="dxa"/>
            </w:tcMar>
            <w:tcW w:w="695" w:type="pct"/>
            <w:vAlign w:val="center"/>
            <w:textDirection w:val="lrTb"/>
            <w:noWrap w:val="false"/>
          </w:tcPr>
          <w:p>
            <w:pPr>
              <w:pStyle w:val="836"/>
              <w:jc w:val="center"/>
              <w:spacing w:line="240" w:lineRule="auto"/>
              <w:rPr>
                <w:rFonts w:ascii="宋体" w:hAnsi="宋体" w:eastAsia="宋体" w:cs="宋体"/>
                <w:color w:val="auto"/>
                <w:sz w:val="21"/>
                <w:szCs w:val="21"/>
                <w:highlight w:val="none"/>
                <w:lang w:val="zh-CN"/>
              </w:rPr>
            </w:pPr>
            <w:r>
              <w:rPr>
                <w:rFonts w:ascii="宋体" w:hAnsi="宋体" w:eastAsia="宋体" w:cs="宋体"/>
                <w:color w:val="auto"/>
                <w:sz w:val="21"/>
                <w:szCs w:val="21"/>
                <w:highlight w:val="none"/>
                <w:lang w:val="zh-CN"/>
              </w:rPr>
            </w:r>
            <w:r/>
          </w:p>
        </w:tc>
        <w:tc>
          <w:tcPr>
            <w:tcMar>
              <w:left w:w="51" w:type="dxa"/>
              <w:top w:w="0" w:type="dxa"/>
              <w:right w:w="51" w:type="dxa"/>
              <w:bottom w:w="0" w:type="dxa"/>
            </w:tcMar>
            <w:tcW w:w="896" w:type="pct"/>
            <w:vAlign w:val="center"/>
            <w:textDirection w:val="lrTb"/>
            <w:noWrap w:val="false"/>
          </w:tcPr>
          <w:p>
            <w:pPr>
              <w:pStyle w:val="836"/>
              <w:jc w:val="center"/>
              <w:spacing w:line="240" w:lineRule="auto"/>
              <w:rPr>
                <w:rFonts w:ascii="宋体" w:hAnsi="宋体" w:eastAsia="宋体" w:cs="宋体"/>
                <w:color w:val="auto"/>
                <w:sz w:val="21"/>
                <w:szCs w:val="21"/>
                <w:highlight w:val="none"/>
                <w:lang w:val="zh-CN"/>
              </w:rPr>
            </w:pPr>
            <w:r>
              <w:rPr>
                <w:rFonts w:ascii="宋体" w:hAnsi="宋体" w:eastAsia="宋体" w:cs="宋体"/>
                <w:color w:val="auto"/>
                <w:sz w:val="21"/>
                <w:szCs w:val="21"/>
                <w:highlight w:val="none"/>
                <w:lang w:val="zh-CN"/>
              </w:rPr>
            </w:r>
            <w:r/>
          </w:p>
        </w:tc>
        <w:tc>
          <w:tcPr>
            <w:tcMar>
              <w:left w:w="51" w:type="dxa"/>
              <w:top w:w="0" w:type="dxa"/>
              <w:right w:w="51" w:type="dxa"/>
              <w:bottom w:w="0" w:type="dxa"/>
            </w:tcMar>
            <w:tcW w:w="787" w:type="pct"/>
            <w:vAlign w:val="center"/>
            <w:textDirection w:val="lrTb"/>
            <w:noWrap w:val="false"/>
          </w:tcPr>
          <w:p>
            <w:pPr>
              <w:pStyle w:val="836"/>
              <w:jc w:val="center"/>
              <w:spacing w:line="240" w:lineRule="auto"/>
              <w:rPr>
                <w:rFonts w:ascii="宋体" w:hAnsi="宋体" w:eastAsia="宋体" w:cs="宋体"/>
                <w:color w:val="auto"/>
                <w:sz w:val="21"/>
                <w:szCs w:val="21"/>
                <w:highlight w:val="none"/>
                <w:lang w:val="zh-CN"/>
              </w:rPr>
            </w:pPr>
            <w:r>
              <w:rPr>
                <w:rFonts w:ascii="宋体" w:hAnsi="宋体" w:eastAsia="宋体" w:cs="宋体"/>
                <w:color w:val="auto"/>
                <w:sz w:val="21"/>
                <w:szCs w:val="21"/>
                <w:highlight w:val="none"/>
                <w:lang w:val="zh-CN"/>
              </w:rPr>
            </w:r>
            <w:r/>
          </w:p>
        </w:tc>
        <w:tc>
          <w:tcPr>
            <w:tcMar>
              <w:left w:w="51" w:type="dxa"/>
              <w:top w:w="0" w:type="dxa"/>
              <w:right w:w="51" w:type="dxa"/>
              <w:bottom w:w="0" w:type="dxa"/>
            </w:tcMar>
            <w:tcW w:w="1054" w:type="pct"/>
            <w:vAlign w:val="center"/>
            <w:textDirection w:val="lrTb"/>
            <w:noWrap w:val="false"/>
          </w:tcPr>
          <w:p>
            <w:pPr>
              <w:pStyle w:val="836"/>
              <w:jc w:val="center"/>
              <w:spacing w:line="240" w:lineRule="auto"/>
              <w:rPr>
                <w:rFonts w:ascii="宋体" w:hAnsi="宋体" w:eastAsia="宋体" w:cs="宋体"/>
                <w:color w:val="auto"/>
                <w:sz w:val="21"/>
                <w:szCs w:val="21"/>
                <w:highlight w:val="none"/>
                <w:lang w:val="zh-CN"/>
              </w:rPr>
            </w:pPr>
            <w:r>
              <w:rPr>
                <w:rFonts w:ascii="宋体" w:hAnsi="宋体" w:eastAsia="宋体" w:cs="宋体"/>
                <w:color w:val="auto"/>
                <w:sz w:val="21"/>
                <w:szCs w:val="21"/>
                <w:highlight w:val="none"/>
                <w:lang w:val="zh-CN"/>
              </w:rPr>
            </w:r>
            <w:r/>
          </w:p>
        </w:tc>
        <w:tc>
          <w:tcPr>
            <w:tcMar>
              <w:left w:w="51" w:type="dxa"/>
              <w:top w:w="0" w:type="dxa"/>
              <w:right w:w="51" w:type="dxa"/>
              <w:bottom w:w="0" w:type="dxa"/>
            </w:tcMar>
            <w:tcW w:w="892" w:type="pct"/>
            <w:vAlign w:val="center"/>
            <w:textDirection w:val="lrTb"/>
            <w:noWrap w:val="false"/>
          </w:tcPr>
          <w:p>
            <w:pPr>
              <w:pStyle w:val="836"/>
              <w:jc w:val="center"/>
              <w:spacing w:line="240" w:lineRule="auto"/>
              <w:rPr>
                <w:rFonts w:ascii="宋体" w:hAnsi="宋体" w:eastAsia="宋体" w:cs="宋体"/>
                <w:color w:val="auto"/>
                <w:sz w:val="21"/>
                <w:szCs w:val="21"/>
                <w:highlight w:val="none"/>
                <w:lang w:val="zh-CN"/>
              </w:rPr>
            </w:pPr>
            <w:r>
              <w:rPr>
                <w:rFonts w:ascii="宋体" w:hAnsi="宋体" w:eastAsia="宋体" w:cs="宋体"/>
                <w:color w:val="auto"/>
                <w:sz w:val="21"/>
                <w:szCs w:val="21"/>
                <w:highlight w:val="none"/>
                <w:lang w:val="zh-CN"/>
              </w:rPr>
            </w:r>
            <w:r/>
          </w:p>
        </w:tc>
        <w:tc>
          <w:tcPr>
            <w:tcMar>
              <w:left w:w="51" w:type="dxa"/>
              <w:top w:w="0" w:type="dxa"/>
              <w:right w:w="51" w:type="dxa"/>
              <w:bottom w:w="0" w:type="dxa"/>
            </w:tcMar>
            <w:tcW w:w="673" w:type="pct"/>
            <w:vAlign w:val="center"/>
            <w:textDirection w:val="lrTb"/>
            <w:noWrap w:val="false"/>
          </w:tcPr>
          <w:p>
            <w:pPr>
              <w:pStyle w:val="836"/>
              <w:jc w:val="center"/>
              <w:spacing w:line="240" w:lineRule="auto"/>
              <w:rPr>
                <w:rFonts w:ascii="宋体" w:hAnsi="宋体" w:eastAsia="宋体" w:cs="宋体"/>
                <w:color w:val="auto"/>
                <w:sz w:val="21"/>
                <w:szCs w:val="21"/>
                <w:highlight w:val="none"/>
                <w:lang w:val="zh-CN"/>
              </w:rPr>
            </w:pPr>
            <w:r>
              <w:rPr>
                <w:rFonts w:ascii="宋体" w:hAnsi="宋体" w:eastAsia="宋体" w:cs="宋体"/>
                <w:color w:val="auto"/>
                <w:sz w:val="21"/>
                <w:szCs w:val="21"/>
                <w:highlight w:val="none"/>
                <w:lang w:val="zh-CN"/>
              </w:rPr>
            </w:r>
            <w:r/>
          </w:p>
        </w:tc>
      </w:tr>
    </w:tbl>
    <w:p>
      <w:pPr>
        <w:pStyle w:val="836"/>
        <w:ind w:left="0" w:firstLine="482"/>
        <w:rPr>
          <w:rFonts w:ascii="宋体" w:hAnsi="宋体" w:eastAsia="宋体" w:cs="宋体"/>
          <w:b/>
          <w:bCs/>
          <w:color w:val="auto"/>
          <w:sz w:val="21"/>
          <w:szCs w:val="21"/>
          <w:highlight w:val="none"/>
          <w:lang w:val="zh-CN"/>
        </w:rPr>
      </w:pPr>
      <w:r>
        <w:rPr>
          <w:rFonts w:ascii="宋体" w:hAnsi="宋体" w:eastAsia="宋体" w:cs="宋体"/>
          <w:b/>
          <w:bCs/>
          <w:color w:val="auto"/>
          <w:sz w:val="21"/>
          <w:szCs w:val="21"/>
          <w:highlight w:val="none"/>
          <w:lang w:val="zh-CN"/>
        </w:rPr>
      </w:r>
      <w:r/>
    </w:p>
    <w:p>
      <w:pPr>
        <w:pStyle w:val="836"/>
        <w:ind w:left="0" w:firstLine="422"/>
        <w:rPr>
          <w:rFonts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注：</w:t>
      </w:r>
      <w:r/>
    </w:p>
    <w:p>
      <w:pPr>
        <w:pStyle w:val="836"/>
        <w:ind w:left="0" w:firstLine="422"/>
        <w:rPr>
          <w:rFonts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rPr>
        <w:t xml:space="preserve">1.本表仅需填写与</w:t>
      </w:r>
      <w:r>
        <w:rPr>
          <w:rFonts w:hint="eastAsia" w:ascii="宋体" w:hAnsi="宋体" w:eastAsia="宋体" w:cs="宋体"/>
          <w:b/>
          <w:bCs/>
          <w:color w:val="auto"/>
          <w:sz w:val="21"/>
          <w:szCs w:val="21"/>
          <w:highlight w:val="none"/>
          <w:lang w:val="zh-CN"/>
        </w:rPr>
        <w:t xml:space="preserve">投标人存在直接控股、管理关系的</w:t>
      </w:r>
      <w:r>
        <w:rPr>
          <w:rFonts w:hint="eastAsia" w:ascii="宋体" w:hAnsi="宋体" w:eastAsia="宋体" w:cs="宋体"/>
          <w:b/>
          <w:bCs/>
          <w:color w:val="auto"/>
          <w:sz w:val="21"/>
          <w:szCs w:val="21"/>
          <w:highlight w:val="none"/>
        </w:rPr>
        <w:t xml:space="preserve">企业</w:t>
      </w:r>
      <w:r>
        <w:rPr>
          <w:rFonts w:hint="eastAsia" w:ascii="宋体" w:hAnsi="宋体" w:eastAsia="宋体" w:cs="宋体"/>
          <w:b/>
          <w:bCs/>
          <w:color w:val="auto"/>
          <w:sz w:val="21"/>
          <w:szCs w:val="21"/>
          <w:highlight w:val="none"/>
          <w:lang w:val="zh-CN"/>
        </w:rPr>
        <w:t xml:space="preserve">情况。</w:t>
      </w:r>
      <w:r>
        <w:rPr>
          <w:rFonts w:hint="eastAsia" w:ascii="宋体" w:hAnsi="宋体" w:eastAsia="宋体" w:cs="宋体"/>
          <w:b/>
          <w:bCs/>
          <w:color w:val="auto"/>
          <w:sz w:val="21"/>
          <w:szCs w:val="21"/>
          <w:highlight w:val="none"/>
        </w:rPr>
        <w:t xml:space="preserve">投标人应按上表要求据实填写，如</w:t>
      </w:r>
      <w:r>
        <w:rPr>
          <w:rFonts w:hint="eastAsia" w:ascii="宋体" w:hAnsi="宋体" w:eastAsia="宋体" w:cs="宋体"/>
          <w:b/>
          <w:bCs/>
          <w:color w:val="auto"/>
          <w:sz w:val="21"/>
          <w:szCs w:val="21"/>
          <w:highlight w:val="none"/>
          <w:lang w:val="zh-CN"/>
        </w:rPr>
        <w:t xml:space="preserve">填写“无”</w:t>
      </w:r>
      <w:r>
        <w:rPr>
          <w:rFonts w:hint="eastAsia" w:ascii="宋体" w:hAnsi="宋体" w:eastAsia="宋体" w:cs="宋体"/>
          <w:b/>
          <w:bCs/>
          <w:color w:val="auto"/>
          <w:sz w:val="21"/>
          <w:szCs w:val="21"/>
          <w:highlight w:val="none"/>
        </w:rPr>
        <w:t xml:space="preserve">或不填写，均视为投标人声明不存在有关情形</w:t>
      </w:r>
      <w:r>
        <w:rPr>
          <w:rFonts w:hint="eastAsia" w:ascii="宋体" w:hAnsi="宋体" w:eastAsia="宋体" w:cs="宋体"/>
          <w:b/>
          <w:bCs/>
          <w:color w:val="auto"/>
          <w:sz w:val="21"/>
          <w:szCs w:val="21"/>
          <w:highlight w:val="none"/>
          <w:lang w:val="zh-CN"/>
        </w:rPr>
        <w:t xml:space="preserve">。</w:t>
      </w:r>
      <w:r/>
    </w:p>
    <w:p>
      <w:pPr>
        <w:pStyle w:val="836"/>
        <w:ind w:left="0" w:firstLine="422"/>
        <w:rPr>
          <w:rFonts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2.其中“直接控股”是指投标人与大型企业之间存在直接投资并控股（非普通持股）的关系。</w:t>
      </w:r>
      <w:r/>
    </w:p>
    <w:p>
      <w:pPr>
        <w:pStyle w:val="836"/>
        <w:rPr>
          <w:rFonts w:ascii="宋体" w:hAnsi="宋体" w:eastAsia="宋体" w:cs="宋体"/>
          <w:color w:val="auto"/>
          <w:sz w:val="21"/>
          <w:szCs w:val="21"/>
          <w:highlight w:val="none"/>
          <w:lang w:val="zh-CN"/>
        </w:rPr>
      </w:pPr>
      <w:r>
        <w:rPr>
          <w:rFonts w:ascii="宋体" w:hAnsi="宋体" w:eastAsia="宋体" w:cs="宋体"/>
          <w:color w:val="auto"/>
          <w:sz w:val="21"/>
          <w:szCs w:val="21"/>
          <w:highlight w:val="none"/>
          <w:lang w:val="zh-CN"/>
        </w:rPr>
      </w:r>
      <w:r/>
    </w:p>
    <w:p>
      <w:pPr>
        <w:jc w:val="both"/>
        <w:widowControl w:val="off"/>
        <w:rPr>
          <w:rFonts w:ascii="宋体" w:hAnsi="宋体" w:cs="宋体"/>
          <w:b/>
          <w:color w:val="auto"/>
          <w:sz w:val="21"/>
          <w:szCs w:val="21"/>
          <w:highlight w:val="none"/>
        </w:rPr>
      </w:pPr>
      <w:r>
        <w:rPr>
          <w:rFonts w:ascii="宋体" w:hAnsi="宋体" w:cs="宋体"/>
          <w:b/>
          <w:color w:val="auto"/>
          <w:sz w:val="21"/>
          <w:szCs w:val="21"/>
          <w:highlight w:val="none"/>
        </w:rPr>
      </w:r>
      <w:r/>
    </w:p>
    <w:p>
      <w:pPr>
        <w:spacing w:line="38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投标单位：（单位盖章）</w:t>
      </w:r>
      <w:r/>
    </w:p>
    <w:p>
      <w:pPr>
        <w:spacing w:line="38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单位法定代表人或代理人：（签字或签章）                      年     月     日</w:t>
      </w:r>
      <w:r/>
    </w:p>
    <w:p>
      <w:pPr>
        <w:jc w:val="both"/>
        <w:widowControl w:val="off"/>
        <w:rPr>
          <w:rFonts w:ascii="宋体" w:hAnsi="宋体" w:cs="宋体"/>
          <w:b/>
          <w:color w:val="auto"/>
          <w:sz w:val="21"/>
          <w:szCs w:val="21"/>
          <w:highlight w:val="none"/>
        </w:rPr>
      </w:pPr>
      <w:r>
        <w:rPr>
          <w:rFonts w:ascii="宋体" w:hAnsi="宋体" w:cs="宋体"/>
          <w:b/>
          <w:color w:val="auto"/>
          <w:sz w:val="21"/>
          <w:szCs w:val="21"/>
          <w:highlight w:val="none"/>
        </w:rPr>
      </w:r>
      <w:r/>
    </w:p>
    <w:p>
      <w:pPr>
        <w:jc w:val="both"/>
        <w:widowControl w:val="off"/>
        <w:rPr>
          <w:rFonts w:ascii="宋体" w:hAnsi="宋体" w:cs="宋体"/>
          <w:b/>
          <w:color w:val="auto"/>
          <w:sz w:val="21"/>
          <w:szCs w:val="21"/>
          <w:highlight w:val="none"/>
        </w:rPr>
      </w:pPr>
      <w:r>
        <w:rPr>
          <w:rFonts w:ascii="宋体" w:hAnsi="宋体" w:cs="宋体"/>
          <w:b/>
          <w:color w:val="auto"/>
          <w:sz w:val="21"/>
          <w:szCs w:val="21"/>
          <w:highlight w:val="none"/>
        </w:rPr>
      </w:r>
      <w:r/>
    </w:p>
    <w:p>
      <w:pPr>
        <w:jc w:val="both"/>
        <w:widowControl w:val="off"/>
        <w:rPr>
          <w:rFonts w:ascii="宋体" w:hAnsi="宋体" w:cs="宋体"/>
          <w:b/>
          <w:color w:val="auto"/>
          <w:sz w:val="21"/>
          <w:szCs w:val="21"/>
          <w:highlight w:val="none"/>
        </w:rPr>
      </w:pPr>
      <w:r>
        <w:rPr>
          <w:rFonts w:ascii="宋体" w:hAnsi="宋体" w:cs="宋体"/>
          <w:b/>
          <w:color w:val="auto"/>
          <w:sz w:val="21"/>
          <w:szCs w:val="21"/>
          <w:highlight w:val="none"/>
        </w:rPr>
      </w:r>
      <w:r/>
    </w:p>
    <w:p>
      <w:pPr>
        <w:jc w:val="both"/>
        <w:widowControl w:val="off"/>
        <w:rPr>
          <w:rFonts w:ascii="宋体" w:hAnsi="宋体" w:cs="宋体"/>
          <w:b/>
          <w:color w:val="auto"/>
          <w:sz w:val="21"/>
          <w:szCs w:val="21"/>
          <w:highlight w:val="none"/>
        </w:rPr>
      </w:pPr>
      <w:r>
        <w:rPr>
          <w:rFonts w:ascii="宋体" w:hAnsi="宋体" w:cs="宋体"/>
          <w:b/>
          <w:color w:val="auto"/>
          <w:sz w:val="21"/>
          <w:szCs w:val="21"/>
          <w:highlight w:val="none"/>
        </w:rPr>
      </w:r>
      <w:r/>
    </w:p>
    <w:p>
      <w:pPr>
        <w:jc w:val="both"/>
        <w:widowControl w:val="off"/>
        <w:rPr>
          <w:rFonts w:ascii="宋体" w:hAnsi="宋体" w:cs="宋体"/>
          <w:b/>
          <w:color w:val="auto"/>
          <w:sz w:val="21"/>
          <w:szCs w:val="21"/>
          <w:highlight w:val="none"/>
        </w:rPr>
      </w:pPr>
      <w:r>
        <w:rPr>
          <w:rFonts w:ascii="宋体" w:hAnsi="宋体" w:cs="宋体"/>
          <w:b/>
          <w:color w:val="auto"/>
          <w:sz w:val="21"/>
          <w:szCs w:val="21"/>
          <w:highlight w:val="none"/>
        </w:rPr>
      </w:r>
      <w:r/>
    </w:p>
    <w:p>
      <w:pPr>
        <w:jc w:val="both"/>
        <w:widowControl w:val="off"/>
        <w:rPr>
          <w:rFonts w:ascii="宋体" w:hAnsi="宋体" w:cs="宋体"/>
          <w:b/>
          <w:color w:val="auto"/>
          <w:sz w:val="21"/>
          <w:szCs w:val="21"/>
          <w:highlight w:val="none"/>
        </w:rPr>
      </w:pPr>
      <w:r>
        <w:rPr>
          <w:rFonts w:ascii="宋体" w:hAnsi="宋体" w:cs="宋体"/>
          <w:b/>
          <w:color w:val="auto"/>
          <w:sz w:val="21"/>
          <w:szCs w:val="21"/>
          <w:highlight w:val="none"/>
        </w:rPr>
      </w:r>
      <w:r/>
    </w:p>
    <w:p>
      <w:pPr>
        <w:jc w:val="both"/>
        <w:widowControl w:val="off"/>
        <w:rPr>
          <w:rFonts w:ascii="宋体" w:hAnsi="宋体" w:cs="宋体"/>
          <w:b/>
          <w:color w:val="auto"/>
          <w:sz w:val="21"/>
          <w:szCs w:val="21"/>
          <w:highlight w:val="none"/>
        </w:rPr>
      </w:pPr>
      <w:r>
        <w:rPr>
          <w:rFonts w:ascii="宋体" w:hAnsi="宋体" w:cs="宋体"/>
          <w:b/>
          <w:color w:val="auto"/>
          <w:sz w:val="21"/>
          <w:szCs w:val="21"/>
          <w:highlight w:val="none"/>
        </w:rPr>
      </w:r>
      <w:r/>
    </w:p>
    <w:p>
      <w:pPr>
        <w:jc w:val="both"/>
        <w:widowControl w:val="off"/>
        <w:rPr>
          <w:rFonts w:ascii="宋体" w:hAnsi="宋体" w:cs="宋体"/>
          <w:b/>
          <w:color w:val="auto"/>
          <w:sz w:val="21"/>
          <w:szCs w:val="21"/>
          <w:highlight w:val="none"/>
        </w:rPr>
      </w:pPr>
      <w:r>
        <w:rPr>
          <w:rFonts w:ascii="宋体" w:hAnsi="宋体" w:cs="宋体"/>
          <w:b/>
          <w:color w:val="auto"/>
          <w:sz w:val="21"/>
          <w:szCs w:val="21"/>
          <w:highlight w:val="none"/>
        </w:rPr>
      </w:r>
      <w:r/>
    </w:p>
    <w:p>
      <w:pPr>
        <w:jc w:val="both"/>
        <w:widowControl w:val="off"/>
        <w:rPr>
          <w:rFonts w:ascii="宋体" w:hAnsi="宋体" w:cs="宋体"/>
          <w:b/>
          <w:color w:val="auto"/>
          <w:sz w:val="21"/>
          <w:szCs w:val="21"/>
          <w:highlight w:val="none"/>
        </w:rPr>
      </w:pPr>
      <w:r>
        <w:rPr>
          <w:rFonts w:ascii="宋体" w:hAnsi="宋体" w:cs="宋体"/>
          <w:b/>
          <w:color w:val="auto"/>
          <w:sz w:val="21"/>
          <w:szCs w:val="21"/>
          <w:highlight w:val="none"/>
        </w:rPr>
      </w:r>
      <w:r/>
    </w:p>
    <w:p>
      <w:pPr>
        <w:jc w:val="both"/>
        <w:widowControl w:val="off"/>
        <w:rPr>
          <w:rFonts w:ascii="宋体" w:hAnsi="宋体" w:cs="宋体"/>
          <w:b/>
          <w:color w:val="auto"/>
          <w:sz w:val="21"/>
          <w:szCs w:val="21"/>
          <w:highlight w:val="none"/>
        </w:rPr>
      </w:pPr>
      <w:r>
        <w:rPr>
          <w:rFonts w:ascii="宋体" w:hAnsi="宋体" w:cs="宋体"/>
          <w:b/>
          <w:color w:val="auto"/>
          <w:sz w:val="21"/>
          <w:szCs w:val="21"/>
          <w:highlight w:val="none"/>
        </w:rPr>
      </w:r>
      <w:r/>
    </w:p>
    <w:p>
      <w:pPr>
        <w:pStyle w:val="836"/>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jc w:val="both"/>
        <w:widowControl w:val="off"/>
        <w:rPr>
          <w:rFonts w:ascii="宋体" w:hAnsi="宋体" w:cs="宋体"/>
          <w:b/>
          <w:color w:val="auto"/>
          <w:sz w:val="21"/>
          <w:szCs w:val="21"/>
          <w:highlight w:val="none"/>
        </w:rPr>
      </w:pPr>
      <w:r>
        <w:rPr>
          <w:rFonts w:ascii="宋体" w:hAnsi="宋体" w:cs="宋体"/>
          <w:b/>
          <w:color w:val="auto"/>
          <w:sz w:val="21"/>
          <w:szCs w:val="21"/>
          <w:highlight w:val="none"/>
        </w:rPr>
      </w:r>
      <w:r/>
    </w:p>
    <w:p>
      <w:pPr>
        <w:jc w:val="both"/>
        <w:widowControl w:val="off"/>
        <w:rPr>
          <w:rFonts w:ascii="宋体" w:hAnsi="宋体" w:cs="宋体"/>
          <w:b/>
          <w:color w:val="auto"/>
          <w:sz w:val="21"/>
          <w:szCs w:val="21"/>
          <w:highlight w:val="none"/>
        </w:rPr>
      </w:pPr>
      <w:r>
        <w:rPr>
          <w:rFonts w:ascii="宋体" w:hAnsi="宋体" w:cs="宋体"/>
          <w:b/>
          <w:color w:val="auto"/>
          <w:sz w:val="21"/>
          <w:szCs w:val="21"/>
          <w:highlight w:val="none"/>
        </w:rPr>
      </w:r>
      <w:r/>
    </w:p>
    <w:p>
      <w:pPr>
        <w:pStyle w:val="972"/>
        <w:pageBreakBefore/>
        <w:spacing w:before="0" w:after="0"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格式1</w:t>
      </w:r>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lang w:val="zh-CN"/>
        </w:rPr>
        <w:t xml:space="preserve">、中小企业声明函</w:t>
      </w:r>
      <w:r/>
    </w:p>
    <w:p>
      <w:pPr>
        <w:ind w:firstLine="422"/>
        <w:jc w:val="center"/>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中小企业声明函（服务）</w:t>
      </w:r>
      <w:r/>
    </w:p>
    <w:p>
      <w:pPr>
        <w:ind w:left="570"/>
        <w:spacing w:line="520" w:lineRule="exact"/>
        <w:rPr>
          <w:rFonts w:ascii="宋体" w:hAnsi="宋体" w:cs="宋体"/>
          <w:color w:val="auto"/>
          <w:sz w:val="21"/>
          <w:szCs w:val="21"/>
          <w:highlight w:val="none"/>
        </w:rPr>
      </w:pPr>
      <w:r>
        <w:rPr>
          <w:rFonts w:ascii="宋体" w:hAnsi="宋体" w:cs="宋体"/>
          <w:color w:val="auto"/>
          <w:sz w:val="21"/>
          <w:szCs w:val="21"/>
          <w:highlight w:val="none"/>
        </w:rPr>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本公司郑重声明，根据《政府采购促进中小企业发展管理办法》（财库[2020]46号）的规定，本公司参加</w:t>
      </w:r>
      <w:r>
        <w:rPr>
          <w:rFonts w:hint="eastAsia" w:ascii="宋体" w:hAnsi="宋体" w:cs="宋体"/>
          <w:color w:val="auto"/>
          <w:sz w:val="21"/>
          <w:szCs w:val="21"/>
          <w:highlight w:val="none"/>
          <w:u w:val="single"/>
        </w:rPr>
        <w:t xml:space="preserve">（单位名称）</w:t>
      </w:r>
      <w:r>
        <w:rPr>
          <w:rFonts w:hint="eastAsia" w:ascii="宋体" w:hAnsi="宋体" w:cs="宋体"/>
          <w:color w:val="auto"/>
          <w:sz w:val="21"/>
          <w:szCs w:val="21"/>
          <w:highlight w:val="none"/>
        </w:rPr>
        <w:t xml:space="preserve">的</w:t>
      </w:r>
      <w:r>
        <w:rPr>
          <w:rFonts w:hint="eastAsia" w:ascii="宋体" w:hAnsi="宋体" w:cs="宋体"/>
          <w:color w:val="auto"/>
          <w:sz w:val="21"/>
          <w:szCs w:val="21"/>
          <w:highlight w:val="none"/>
          <w:u w:val="single"/>
        </w:rPr>
        <w:t xml:space="preserve">（项目名称）</w:t>
      </w:r>
      <w:r>
        <w:rPr>
          <w:rFonts w:hint="eastAsia" w:ascii="宋体" w:hAnsi="宋体" w:cs="宋体"/>
          <w:color w:val="auto"/>
          <w:sz w:val="21"/>
          <w:szCs w:val="21"/>
          <w:highlight w:val="none"/>
        </w:rPr>
        <w:t xml:space="preserve">采购活动，服务全部由符合政策要求的中小企业承接。相关企业的具体情况如下： </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hint="eastAsia" w:ascii="宋体" w:hAnsi="宋体" w:cs="宋体"/>
          <w:b/>
          <w:bCs/>
          <w:color w:val="auto"/>
          <w:sz w:val="21"/>
          <w:szCs w:val="21"/>
          <w:highlight w:val="none"/>
          <w:u w:val="single"/>
        </w:rPr>
        <w:t xml:space="preserve">（标的名称）</w:t>
      </w:r>
      <w:r>
        <w:rPr>
          <w:rFonts w:hint="eastAsia" w:ascii="宋体" w:hAnsi="宋体" w:cs="宋体"/>
          <w:color w:val="auto"/>
          <w:sz w:val="21"/>
          <w:szCs w:val="21"/>
          <w:highlight w:val="none"/>
        </w:rPr>
        <w:t xml:space="preserve">，属于</w:t>
      </w:r>
      <w:r>
        <w:rPr>
          <w:rFonts w:hint="eastAsia" w:ascii="宋体" w:hAnsi="宋体" w:cs="宋体"/>
          <w:color w:val="auto"/>
          <w:sz w:val="21"/>
          <w:szCs w:val="21"/>
          <w:highlight w:val="none"/>
          <w:u w:val="single"/>
        </w:rPr>
        <w:t xml:space="preserve">（其他未列明行业）</w:t>
      </w:r>
      <w:r>
        <w:rPr>
          <w:rFonts w:hint="eastAsia" w:ascii="宋体" w:hAnsi="宋体" w:cs="宋体"/>
          <w:color w:val="auto"/>
          <w:sz w:val="21"/>
          <w:szCs w:val="21"/>
          <w:highlight w:val="none"/>
        </w:rPr>
        <w:t xml:space="preserve">；承接企业为</w:t>
      </w:r>
      <w:r>
        <w:rPr>
          <w:rFonts w:hint="eastAsia" w:ascii="宋体" w:hAnsi="宋体" w:cs="宋体"/>
          <w:color w:val="auto"/>
          <w:sz w:val="21"/>
          <w:szCs w:val="21"/>
          <w:highlight w:val="none"/>
          <w:u w:val="single"/>
        </w:rPr>
        <w:t xml:space="preserve">（企业名称）</w:t>
      </w:r>
      <w:r>
        <w:rPr>
          <w:rFonts w:hint="eastAsia" w:ascii="宋体" w:hAnsi="宋体" w:cs="宋体"/>
          <w:color w:val="auto"/>
          <w:sz w:val="21"/>
          <w:szCs w:val="21"/>
          <w:highlight w:val="none"/>
        </w:rPr>
        <w:t xml:space="preserve">，从业人员</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人，营业收入为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万元，资产总额为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万元</w:t>
      </w:r>
      <w:r>
        <w:rPr>
          <w:rFonts w:hint="eastAsia" w:ascii="宋体" w:hAnsi="宋体" w:cs="宋体"/>
          <w:color w:val="auto"/>
          <w:sz w:val="21"/>
          <w:szCs w:val="21"/>
          <w:highlight w:val="none"/>
          <w:vertAlign w:val="superscript"/>
        </w:rPr>
        <w:t xml:space="preserve">1</w:t>
      </w:r>
      <w:r>
        <w:rPr>
          <w:rFonts w:hint="eastAsia" w:ascii="宋体" w:hAnsi="宋体" w:cs="宋体"/>
          <w:color w:val="auto"/>
          <w:sz w:val="21"/>
          <w:szCs w:val="21"/>
          <w:highlight w:val="none"/>
        </w:rPr>
        <w:t xml:space="preserve">，属于</w:t>
      </w:r>
      <w:r>
        <w:rPr>
          <w:rFonts w:hint="eastAsia" w:ascii="宋体" w:hAnsi="宋体" w:cs="宋体"/>
          <w:color w:val="auto"/>
          <w:sz w:val="21"/>
          <w:szCs w:val="21"/>
          <w:highlight w:val="none"/>
          <w:u w:val="single"/>
        </w:rPr>
        <w:t xml:space="preserve">（中型企业、小型企业、微型企业）</w:t>
      </w:r>
      <w:r>
        <w:rPr>
          <w:rFonts w:hint="eastAsia" w:ascii="宋体" w:hAnsi="宋体" w:cs="宋体"/>
          <w:color w:val="auto"/>
          <w:sz w:val="21"/>
          <w:szCs w:val="21"/>
          <w:highlight w:val="none"/>
        </w:rPr>
        <w:t xml:space="preserve">；</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 </w:t>
      </w:r>
      <w:r>
        <w:rPr>
          <w:rFonts w:hint="eastAsia" w:ascii="宋体" w:hAnsi="宋体" w:cs="宋体"/>
          <w:color w:val="auto"/>
          <w:sz w:val="21"/>
          <w:szCs w:val="21"/>
          <w:highlight w:val="none"/>
          <w:u w:val="single"/>
        </w:rPr>
        <w:t xml:space="preserve">（标的名称）</w:t>
      </w:r>
      <w:r>
        <w:rPr>
          <w:rFonts w:hint="eastAsia" w:ascii="宋体" w:hAnsi="宋体" w:cs="宋体"/>
          <w:color w:val="auto"/>
          <w:sz w:val="21"/>
          <w:szCs w:val="21"/>
          <w:highlight w:val="none"/>
        </w:rPr>
        <w:t xml:space="preserve">，属于</w:t>
      </w:r>
      <w:r>
        <w:rPr>
          <w:rFonts w:hint="eastAsia" w:ascii="宋体" w:hAnsi="宋体" w:cs="宋体"/>
          <w:color w:val="auto"/>
          <w:sz w:val="21"/>
          <w:szCs w:val="21"/>
          <w:highlight w:val="none"/>
          <w:u w:val="single"/>
        </w:rPr>
        <w:t xml:space="preserve">（其他未列明行业）</w:t>
      </w:r>
      <w:r>
        <w:rPr>
          <w:rFonts w:hint="eastAsia" w:ascii="宋体" w:hAnsi="宋体" w:cs="宋体"/>
          <w:color w:val="auto"/>
          <w:sz w:val="21"/>
          <w:szCs w:val="21"/>
          <w:highlight w:val="none"/>
        </w:rPr>
        <w:t xml:space="preserve">；承接企业为</w:t>
      </w:r>
      <w:r>
        <w:rPr>
          <w:rFonts w:hint="eastAsia" w:ascii="宋体" w:hAnsi="宋体" w:cs="宋体"/>
          <w:color w:val="auto"/>
          <w:sz w:val="21"/>
          <w:szCs w:val="21"/>
          <w:highlight w:val="none"/>
          <w:u w:val="single"/>
        </w:rPr>
        <w:t xml:space="preserve">（企业名称）</w:t>
      </w:r>
      <w:r>
        <w:rPr>
          <w:rFonts w:hint="eastAsia" w:ascii="宋体" w:hAnsi="宋体" w:cs="宋体"/>
          <w:color w:val="auto"/>
          <w:sz w:val="21"/>
          <w:szCs w:val="21"/>
          <w:highlight w:val="none"/>
        </w:rPr>
        <w:t xml:space="preserve">，从业人员</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人，营业收入为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万元，资产总额为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万元，属于</w:t>
      </w:r>
      <w:r>
        <w:rPr>
          <w:rFonts w:hint="eastAsia" w:ascii="宋体" w:hAnsi="宋体" w:cs="宋体"/>
          <w:color w:val="auto"/>
          <w:sz w:val="21"/>
          <w:szCs w:val="21"/>
          <w:highlight w:val="none"/>
          <w:u w:val="single"/>
        </w:rPr>
        <w:t xml:space="preserve">（中型企业、小型企业、微型企业）</w:t>
      </w:r>
      <w:r>
        <w:rPr>
          <w:rFonts w:hint="eastAsia" w:ascii="宋体" w:hAnsi="宋体" w:cs="宋体"/>
          <w:color w:val="auto"/>
          <w:sz w:val="21"/>
          <w:szCs w:val="21"/>
          <w:highlight w:val="none"/>
        </w:rPr>
        <w:t xml:space="preserve">；</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以上企业，不属于大企业的分支机构，不存在控股股东为大企业的情形，也不存在与大企业的负责人为同一人的情形。</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本企业对上述声明内容的真实性负责。如有虚假，将依法承担相应责任。</w:t>
      </w:r>
      <w:r/>
    </w:p>
    <w:p>
      <w:pPr>
        <w:ind w:firstLine="420"/>
        <w:spacing w:line="360" w:lineRule="auto"/>
        <w:rPr>
          <w:rFonts w:ascii="宋体" w:hAnsi="宋体" w:cs="宋体"/>
          <w:color w:val="auto"/>
          <w:sz w:val="21"/>
          <w:szCs w:val="21"/>
          <w:highlight w:val="none"/>
        </w:rPr>
      </w:pPr>
      <w:r>
        <w:rPr>
          <w:rFonts w:ascii="宋体" w:hAnsi="宋体" w:cs="宋体"/>
          <w:color w:val="auto"/>
          <w:sz w:val="21"/>
          <w:szCs w:val="21"/>
          <w:highlight w:val="none"/>
        </w:rPr>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企业名称（盖章）：</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日期：</w:t>
      </w:r>
      <w:r/>
    </w:p>
    <w:p>
      <w:pPr>
        <w:spacing w:line="380" w:lineRule="exact"/>
        <w:rPr>
          <w:rFonts w:ascii="宋体" w:hAnsi="宋体" w:cs="宋体"/>
          <w:b/>
          <w:color w:val="auto"/>
          <w:sz w:val="21"/>
          <w:szCs w:val="21"/>
          <w:highlight w:val="none"/>
        </w:rPr>
      </w:pPr>
      <w:r>
        <w:rPr>
          <w:rFonts w:ascii="宋体" w:hAnsi="宋体" w:cs="宋体"/>
          <w:b/>
          <w:color w:val="auto"/>
          <w:sz w:val="21"/>
          <w:szCs w:val="21"/>
          <w:highlight w:val="none"/>
        </w:rPr>
      </w:r>
      <w:r/>
    </w:p>
    <w:p>
      <w:pPr>
        <w:spacing w:line="380" w:lineRule="exact"/>
        <w:rPr>
          <w:rFonts w:ascii="宋体" w:hAnsi="宋体" w:cs="宋体"/>
          <w:b/>
          <w:color w:val="auto"/>
          <w:sz w:val="21"/>
          <w:szCs w:val="21"/>
          <w:highlight w:val="none"/>
        </w:rPr>
      </w:pPr>
      <w:r>
        <w:rPr>
          <w:rFonts w:ascii="宋体" w:hAnsi="宋体" w:cs="宋体"/>
          <w:b/>
          <w:color w:val="auto"/>
          <w:sz w:val="21"/>
          <w:szCs w:val="21"/>
          <w:highlight w:val="none"/>
        </w:rPr>
      </w:r>
      <w:r/>
    </w:p>
    <w:p>
      <w:pPr>
        <w:spacing w:line="380" w:lineRule="exact"/>
        <w:rPr>
          <w:rFonts w:ascii="宋体" w:hAnsi="宋体" w:cs="宋体"/>
          <w:color w:val="auto"/>
          <w:sz w:val="21"/>
          <w:szCs w:val="21"/>
          <w:highlight w:val="none"/>
          <w:shd w:val="clear" w:color="auto" w:fill="ffffff"/>
        </w:rPr>
      </w:pPr>
      <w:r>
        <w:rPr>
          <w:rFonts w:hint="eastAsia" w:ascii="宋体" w:hAnsi="宋体" w:cs="宋体"/>
          <w:b/>
          <w:color w:val="auto"/>
          <w:sz w:val="21"/>
          <w:szCs w:val="21"/>
          <w:highlight w:val="none"/>
        </w:rPr>
        <w:t xml:space="preserve">备注：</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1、从业人员、营业收入、资产总额填报上一年度数据，无上一年度数据的新成立企业可不填报。</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zh-CN"/>
        </w:rPr>
        <w:t xml:space="preserve">若供应商提供的“中小企业声明函”内容不实的，属于提供虚假材料谋取中标、成交，依照《中华人民共和国政府采购法》等国家有关规定追究相应责任。</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3、</w:t>
      </w:r>
      <w:r>
        <w:rPr>
          <w:rFonts w:hint="eastAsia" w:ascii="宋体" w:hAnsi="宋体" w:cs="宋体"/>
          <w:color w:val="auto"/>
          <w:sz w:val="21"/>
          <w:szCs w:val="21"/>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bookmarkStart w:id="24" w:name="_Hlk72923453"/>
      <w:r>
        <w:rPr>
          <w:rFonts w:hint="eastAsia" w:ascii="宋体" w:hAnsi="宋体" w:cs="宋体"/>
          <w:color w:val="auto"/>
          <w:sz w:val="21"/>
          <w:szCs w:val="21"/>
          <w:highlight w:val="none"/>
          <w:lang w:val="zh-CN"/>
        </w:rPr>
        <w:t xml:space="preserve">符合中小企业划分标准的个体工商户，在政府采购活动中视同中小企业</w:t>
      </w:r>
      <w:bookmarkEnd w:id="24"/>
      <w:r>
        <w:rPr>
          <w:rFonts w:hint="eastAsia" w:ascii="宋体" w:hAnsi="宋体" w:cs="宋体"/>
          <w:color w:val="auto"/>
          <w:sz w:val="21"/>
          <w:szCs w:val="21"/>
          <w:highlight w:val="none"/>
          <w:lang w:val="zh-CN"/>
        </w:rPr>
        <w:t xml:space="preserve">。</w:t>
      </w:r>
      <w:r/>
    </w:p>
    <w:p>
      <w:pPr>
        <w:ind w:firstLine="420"/>
        <w:spacing w:line="360" w:lineRule="auto"/>
        <w:rPr>
          <w:rFonts w:ascii="宋体" w:hAnsi="宋体" w:cs="宋体"/>
          <w:color w:val="auto"/>
          <w:sz w:val="21"/>
          <w:szCs w:val="21"/>
          <w:highlight w:val="none"/>
          <w:lang w:val="zh-CN"/>
        </w:rPr>
      </w:pPr>
      <w:r/>
      <w:bookmarkStart w:id="25" w:name="_Hlk94450593"/>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lang w:val="zh-CN"/>
        </w:rPr>
        <w:t xml:space="preserve">投标文件中的电子签章视为投标人对本声明进行了签署盖章并承担相应责任。</w:t>
      </w:r>
      <w:bookmarkEnd w:id="25"/>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5、</w:t>
      </w:r>
      <w:r>
        <w:rPr>
          <w:rFonts w:hint="eastAsia" w:ascii="宋体" w:hAnsi="宋体" w:cs="宋体"/>
          <w:color w:val="auto"/>
          <w:sz w:val="21"/>
          <w:szCs w:val="21"/>
          <w:highlight w:val="none"/>
          <w:lang w:val="zh-CN"/>
        </w:rPr>
        <w:t xml:space="preserve">供应商应对照《工业和信息化部、国家统计局、国家发展和改革委员会、财政部关于印发中小企业划型标准规定的通知》（工信部企业[2011]300号)的规定，对承接企业的企业规模类型（中型企业、小型企业、微型企业）进行勾选或明确，如供应商未进行勾选或明确的，自行承担《中小企业声明函》可能不被认可的不利后果。</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6、</w:t>
      </w:r>
      <w:r>
        <w:rPr>
          <w:rFonts w:hint="eastAsia" w:ascii="宋体" w:hAnsi="宋体" w:cs="宋体"/>
          <w:color w:val="auto"/>
          <w:sz w:val="21"/>
          <w:szCs w:val="21"/>
          <w:highlight w:val="none"/>
          <w:lang w:val="zh-CN"/>
        </w:rPr>
        <w:t xml:space="preserve">在服务采购项目中，服务由中小企业承接，即提供服务的人员为中小企业依照《中华人民共和国劳动合同法》订立劳动合同的从业人员，才可享受规定的中小企业扶持政策。</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7、</w:t>
      </w:r>
      <w:r>
        <w:rPr>
          <w:rFonts w:hint="eastAsia" w:ascii="宋体" w:hAnsi="宋体" w:cs="宋体"/>
          <w:color w:val="auto"/>
          <w:sz w:val="21"/>
          <w:szCs w:val="21"/>
          <w:highlight w:val="none"/>
          <w:lang w:val="zh-CN"/>
        </w:rPr>
        <w:t xml:space="preserve">供应商享受中小企业扶持政策的，《中小企业声明函》将随中标结果同时公告。</w:t>
      </w:r>
      <w:r>
        <w:rPr>
          <w:rFonts w:hint="eastAsia" w:ascii="宋体" w:hAnsi="宋体" w:cs="宋体"/>
          <w:color w:val="auto"/>
          <w:sz w:val="21"/>
          <w:szCs w:val="21"/>
          <w:highlight w:val="none"/>
          <w:lang w:val="zh-CN"/>
        </w:rPr>
        <w:br w:type="page" w:clear="all"/>
      </w:r>
      <w:r/>
    </w:p>
    <w:p>
      <w:pPr>
        <w:ind w:firstLine="211"/>
        <w:spacing w:before="156" w:line="240" w:lineRule="exact"/>
        <w:rPr>
          <w:rFonts w:ascii="宋体" w:hAnsi="宋体" w:cs="宋体"/>
          <w:b/>
          <w:color w:val="auto"/>
          <w:sz w:val="21"/>
          <w:szCs w:val="21"/>
          <w:highlight w:val="none"/>
        </w:rPr>
      </w:pPr>
      <w:r>
        <w:rPr>
          <w:rFonts w:hint="eastAsia" w:ascii="宋体" w:hAnsi="宋体" w:cs="宋体"/>
          <w:b/>
          <w:color w:val="auto"/>
          <w:sz w:val="21"/>
          <w:szCs w:val="21"/>
          <w:highlight w:val="none"/>
        </w:rPr>
        <w:t xml:space="preserve">附：中小企业划型标准规定（工信部联企业〔2011〕300号）</w:t>
      </w:r>
      <w:r/>
    </w:p>
    <w:p>
      <w:pPr>
        <w:ind w:firstLine="422"/>
        <w:spacing w:before="156" w:line="240" w:lineRule="exact"/>
        <w:rPr>
          <w:rFonts w:ascii="宋体" w:hAnsi="宋体" w:cs="宋体"/>
          <w:color w:val="auto"/>
          <w:sz w:val="21"/>
          <w:szCs w:val="21"/>
          <w:highlight w:val="none"/>
        </w:rPr>
      </w:pPr>
      <w:r>
        <w:rPr>
          <w:rFonts w:hint="eastAsia" w:ascii="宋体" w:hAnsi="宋体" w:cs="宋体"/>
          <w:b/>
          <w:color w:val="auto"/>
          <w:sz w:val="21"/>
          <w:szCs w:val="21"/>
          <w:highlight w:val="none"/>
        </w:rPr>
        <w:t xml:space="preserve">（一）农、林、牧、渔业。</w:t>
      </w:r>
      <w:r>
        <w:rPr>
          <w:rFonts w:hint="eastAsia" w:ascii="宋体" w:hAnsi="宋体" w:cs="宋体"/>
          <w:color w:val="auto"/>
          <w:sz w:val="21"/>
          <w:szCs w:val="21"/>
          <w:highlight w:val="none"/>
        </w:rPr>
        <w:t xml:space="preserve">营业收入20000万元以下的为中小微型企业。其中，营业收入500万元及以上的为中型企业，营业收入50万元及以上的为小型企业，营业收入50万元以下的为微型企业。</w:t>
      </w:r>
      <w:r/>
    </w:p>
    <w:p>
      <w:pPr>
        <w:ind w:firstLine="422"/>
        <w:spacing w:before="156" w:line="240" w:lineRule="exact"/>
        <w:rPr>
          <w:rFonts w:ascii="宋体" w:hAnsi="宋体" w:cs="宋体"/>
          <w:color w:val="auto"/>
          <w:sz w:val="21"/>
          <w:szCs w:val="21"/>
          <w:highlight w:val="none"/>
        </w:rPr>
      </w:pPr>
      <w:r>
        <w:rPr>
          <w:rFonts w:hint="eastAsia" w:ascii="宋体" w:hAnsi="宋体" w:cs="宋体"/>
          <w:b/>
          <w:color w:val="auto"/>
          <w:sz w:val="21"/>
          <w:szCs w:val="21"/>
          <w:highlight w:val="none"/>
        </w:rPr>
        <w:t xml:space="preserve">（二）工业。</w:t>
      </w:r>
      <w:r>
        <w:rPr>
          <w:rFonts w:hint="eastAsia" w:ascii="宋体" w:hAnsi="宋体" w:cs="宋体"/>
          <w:color w:val="auto"/>
          <w:sz w:val="21"/>
          <w:szCs w:val="21"/>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before="156" w:line="240" w:lineRule="exact"/>
        <w:rPr>
          <w:rFonts w:ascii="宋体" w:hAnsi="宋体" w:cs="宋体"/>
          <w:color w:val="auto"/>
          <w:sz w:val="21"/>
          <w:szCs w:val="21"/>
          <w:highlight w:val="none"/>
        </w:rPr>
      </w:pPr>
      <w:r>
        <w:rPr>
          <w:rFonts w:hint="eastAsia" w:ascii="宋体" w:hAnsi="宋体" w:cs="宋体"/>
          <w:b/>
          <w:color w:val="auto"/>
          <w:sz w:val="21"/>
          <w:szCs w:val="21"/>
          <w:highlight w:val="none"/>
        </w:rPr>
        <w:t xml:space="preserve">（三）建筑业。</w:t>
      </w:r>
      <w:r>
        <w:rPr>
          <w:rFonts w:hint="eastAsia" w:ascii="宋体" w:hAnsi="宋体" w:cs="宋体"/>
          <w:color w:val="auto"/>
          <w:sz w:val="21"/>
          <w:szCs w:val="21"/>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before="156" w:line="240" w:lineRule="exact"/>
        <w:rPr>
          <w:rFonts w:ascii="宋体" w:hAnsi="宋体" w:cs="宋体"/>
          <w:color w:val="auto"/>
          <w:sz w:val="21"/>
          <w:szCs w:val="21"/>
          <w:highlight w:val="none"/>
        </w:rPr>
      </w:pPr>
      <w:r>
        <w:rPr>
          <w:rFonts w:hint="eastAsia" w:ascii="宋体" w:hAnsi="宋体" w:cs="宋体"/>
          <w:b/>
          <w:color w:val="auto"/>
          <w:sz w:val="21"/>
          <w:szCs w:val="21"/>
          <w:highlight w:val="none"/>
        </w:rPr>
        <w:t xml:space="preserve">（四）批发业。</w:t>
      </w:r>
      <w:r>
        <w:rPr>
          <w:rFonts w:hint="eastAsia" w:ascii="宋体" w:hAnsi="宋体" w:cs="宋体"/>
          <w:color w:val="auto"/>
          <w:sz w:val="21"/>
          <w:szCs w:val="21"/>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before="156" w:line="240" w:lineRule="exact"/>
        <w:rPr>
          <w:rFonts w:ascii="宋体" w:hAnsi="宋体" w:cs="宋体"/>
          <w:color w:val="auto"/>
          <w:sz w:val="21"/>
          <w:szCs w:val="21"/>
          <w:highlight w:val="none"/>
        </w:rPr>
      </w:pPr>
      <w:r>
        <w:rPr>
          <w:rFonts w:hint="eastAsia" w:ascii="宋体" w:hAnsi="宋体" w:cs="宋体"/>
          <w:b/>
          <w:color w:val="auto"/>
          <w:sz w:val="21"/>
          <w:szCs w:val="21"/>
          <w:highlight w:val="none"/>
        </w:rPr>
        <w:t xml:space="preserve">（五）零售业。</w:t>
      </w:r>
      <w:r>
        <w:rPr>
          <w:rFonts w:hint="eastAsia" w:ascii="宋体" w:hAnsi="宋体" w:cs="宋体"/>
          <w:color w:val="auto"/>
          <w:sz w:val="21"/>
          <w:szCs w:val="21"/>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ascii="宋体" w:hAnsi="宋体" w:cs="宋体"/>
          <w:color w:val="auto"/>
          <w:sz w:val="21"/>
          <w:szCs w:val="21"/>
          <w:highlight w:val="none"/>
        </w:rPr>
      </w:pPr>
      <w:r>
        <w:rPr>
          <w:rFonts w:hint="eastAsia" w:ascii="宋体" w:hAnsi="宋体" w:cs="宋体"/>
          <w:b/>
          <w:color w:val="auto"/>
          <w:sz w:val="21"/>
          <w:szCs w:val="21"/>
          <w:highlight w:val="none"/>
        </w:rPr>
        <w:t xml:space="preserve">（六）交通运输业。</w:t>
      </w:r>
      <w:r>
        <w:rPr>
          <w:rFonts w:hint="eastAsia" w:ascii="宋体" w:hAnsi="宋体" w:cs="宋体"/>
          <w:color w:val="auto"/>
          <w:sz w:val="21"/>
          <w:szCs w:val="21"/>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before="156" w:line="240" w:lineRule="exact"/>
        <w:rPr>
          <w:rFonts w:ascii="宋体" w:hAnsi="宋体" w:cs="宋体"/>
          <w:color w:val="auto"/>
          <w:sz w:val="21"/>
          <w:szCs w:val="21"/>
          <w:highlight w:val="none"/>
        </w:rPr>
      </w:pPr>
      <w:r>
        <w:rPr>
          <w:rFonts w:hint="eastAsia" w:ascii="宋体" w:hAnsi="宋体" w:cs="宋体"/>
          <w:b/>
          <w:color w:val="auto"/>
          <w:sz w:val="21"/>
          <w:szCs w:val="21"/>
          <w:highlight w:val="none"/>
        </w:rPr>
        <w:t xml:space="preserve">（七）仓储业。</w:t>
      </w:r>
      <w:r>
        <w:rPr>
          <w:rFonts w:hint="eastAsia" w:ascii="宋体" w:hAnsi="宋体" w:cs="宋体"/>
          <w:color w:val="auto"/>
          <w:sz w:val="21"/>
          <w:szCs w:val="21"/>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before="156" w:line="240" w:lineRule="exact"/>
        <w:rPr>
          <w:rFonts w:ascii="宋体" w:hAnsi="宋体" w:cs="宋体"/>
          <w:color w:val="auto"/>
          <w:sz w:val="21"/>
          <w:szCs w:val="21"/>
          <w:highlight w:val="none"/>
        </w:rPr>
      </w:pPr>
      <w:r>
        <w:rPr>
          <w:rFonts w:hint="eastAsia" w:ascii="宋体" w:hAnsi="宋体" w:cs="宋体"/>
          <w:b/>
          <w:color w:val="auto"/>
          <w:sz w:val="21"/>
          <w:szCs w:val="21"/>
          <w:highlight w:val="none"/>
        </w:rPr>
        <w:t xml:space="preserve">（八）邮政业。</w:t>
      </w:r>
      <w:r>
        <w:rPr>
          <w:rFonts w:hint="eastAsia" w:ascii="宋体" w:hAnsi="宋体" w:cs="宋体"/>
          <w:color w:val="auto"/>
          <w:sz w:val="21"/>
          <w:szCs w:val="21"/>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before="156" w:line="240" w:lineRule="exact"/>
        <w:rPr>
          <w:rFonts w:ascii="宋体" w:hAnsi="宋体" w:cs="宋体"/>
          <w:color w:val="auto"/>
          <w:sz w:val="21"/>
          <w:szCs w:val="21"/>
          <w:highlight w:val="none"/>
        </w:rPr>
      </w:pPr>
      <w:r>
        <w:rPr>
          <w:rFonts w:hint="eastAsia" w:ascii="宋体" w:hAnsi="宋体" w:cs="宋体"/>
          <w:b/>
          <w:color w:val="auto"/>
          <w:sz w:val="21"/>
          <w:szCs w:val="21"/>
          <w:highlight w:val="none"/>
        </w:rPr>
        <w:t xml:space="preserve">（九）住宿业。</w:t>
      </w:r>
      <w:r>
        <w:rPr>
          <w:rFonts w:hint="eastAsia" w:ascii="宋体" w:hAnsi="宋体" w:cs="宋体"/>
          <w:color w:val="auto"/>
          <w:sz w:val="21"/>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ascii="宋体" w:hAnsi="宋体" w:cs="宋体"/>
          <w:color w:val="auto"/>
          <w:sz w:val="21"/>
          <w:szCs w:val="21"/>
          <w:highlight w:val="none"/>
        </w:rPr>
      </w:pPr>
      <w:r>
        <w:rPr>
          <w:rFonts w:hint="eastAsia" w:ascii="宋体" w:hAnsi="宋体" w:cs="宋体"/>
          <w:b/>
          <w:color w:val="auto"/>
          <w:sz w:val="21"/>
          <w:szCs w:val="21"/>
          <w:highlight w:val="none"/>
        </w:rPr>
        <w:t xml:space="preserve">（十）餐饮业。</w:t>
      </w:r>
      <w:r>
        <w:rPr>
          <w:rFonts w:hint="eastAsia" w:ascii="宋体" w:hAnsi="宋体" w:cs="宋体"/>
          <w:color w:val="auto"/>
          <w:sz w:val="21"/>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ascii="宋体" w:hAnsi="宋体" w:cs="宋体"/>
          <w:color w:val="auto"/>
          <w:sz w:val="21"/>
          <w:szCs w:val="21"/>
          <w:highlight w:val="none"/>
        </w:rPr>
      </w:pPr>
      <w:r>
        <w:rPr>
          <w:rFonts w:hint="eastAsia" w:ascii="宋体" w:hAnsi="宋体" w:cs="宋体"/>
          <w:b/>
          <w:color w:val="auto"/>
          <w:sz w:val="21"/>
          <w:szCs w:val="21"/>
          <w:highlight w:val="none"/>
        </w:rPr>
        <w:t xml:space="preserve">（十一）信息传输业。</w:t>
      </w:r>
      <w:r>
        <w:rPr>
          <w:rFonts w:hint="eastAsia" w:ascii="宋体" w:hAnsi="宋体" w:cs="宋体"/>
          <w:color w:val="auto"/>
          <w:sz w:val="21"/>
          <w:szCs w:val="21"/>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ascii="宋体" w:hAnsi="宋体" w:cs="宋体"/>
          <w:color w:val="auto"/>
          <w:sz w:val="21"/>
          <w:szCs w:val="21"/>
          <w:highlight w:val="none"/>
        </w:rPr>
      </w:pPr>
      <w:r>
        <w:rPr>
          <w:rFonts w:hint="eastAsia" w:ascii="宋体" w:hAnsi="宋体" w:cs="宋体"/>
          <w:b/>
          <w:color w:val="auto"/>
          <w:sz w:val="21"/>
          <w:szCs w:val="21"/>
          <w:highlight w:val="none"/>
        </w:rPr>
        <w:t xml:space="preserve">（十二）软件和信息技术服务业。</w:t>
      </w:r>
      <w:r>
        <w:rPr>
          <w:rFonts w:hint="eastAsia" w:ascii="宋体" w:hAnsi="宋体" w:cs="宋体"/>
          <w:color w:val="auto"/>
          <w:sz w:val="21"/>
          <w:szCs w:val="21"/>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before="156" w:line="240" w:lineRule="exact"/>
        <w:rPr>
          <w:rFonts w:ascii="宋体" w:hAnsi="宋体" w:cs="宋体"/>
          <w:color w:val="auto"/>
          <w:sz w:val="21"/>
          <w:szCs w:val="21"/>
          <w:highlight w:val="none"/>
        </w:rPr>
      </w:pPr>
      <w:r>
        <w:rPr>
          <w:rFonts w:hint="eastAsia" w:ascii="宋体" w:hAnsi="宋体" w:cs="宋体"/>
          <w:b/>
          <w:color w:val="auto"/>
          <w:sz w:val="21"/>
          <w:szCs w:val="21"/>
          <w:highlight w:val="none"/>
        </w:rPr>
        <w:t xml:space="preserve">（十三）房地产开发经营。</w:t>
      </w:r>
      <w:r>
        <w:rPr>
          <w:rFonts w:hint="eastAsia" w:ascii="宋体" w:hAnsi="宋体" w:cs="宋体"/>
          <w:color w:val="auto"/>
          <w:sz w:val="21"/>
          <w:szCs w:val="21"/>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before="156" w:line="240" w:lineRule="exact"/>
        <w:rPr>
          <w:rFonts w:ascii="宋体" w:hAnsi="宋体" w:cs="宋体"/>
          <w:color w:val="auto"/>
          <w:sz w:val="21"/>
          <w:szCs w:val="21"/>
          <w:highlight w:val="none"/>
        </w:rPr>
      </w:pPr>
      <w:r>
        <w:rPr>
          <w:rFonts w:hint="eastAsia" w:ascii="宋体" w:hAnsi="宋体" w:cs="宋体"/>
          <w:b/>
          <w:color w:val="auto"/>
          <w:sz w:val="21"/>
          <w:szCs w:val="21"/>
          <w:highlight w:val="none"/>
        </w:rPr>
        <w:t xml:space="preserve">（十四）物业管理。</w:t>
      </w:r>
      <w:r>
        <w:rPr>
          <w:rFonts w:hint="eastAsia" w:ascii="宋体" w:hAnsi="宋体" w:cs="宋体"/>
          <w:color w:val="auto"/>
          <w:sz w:val="21"/>
          <w:szCs w:val="21"/>
          <w:highlight w:val="none"/>
        </w:rPr>
        <w:t xml:space="preserve">从业人员1000人以下或营业收入5000万元以下的为中小微型企业。其中，从业人员</w:t>
      </w:r>
      <w:r/>
    </w:p>
    <w:p>
      <w:pPr>
        <w:ind w:firstLine="210"/>
        <w:spacing w:before="156" w:line="2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422"/>
        <w:spacing w:before="156" w:line="240" w:lineRule="exact"/>
        <w:rPr>
          <w:rFonts w:ascii="宋体" w:hAnsi="宋体" w:cs="宋体"/>
          <w:color w:val="auto"/>
          <w:sz w:val="21"/>
          <w:szCs w:val="21"/>
          <w:highlight w:val="none"/>
        </w:rPr>
      </w:pPr>
      <w:r>
        <w:rPr>
          <w:rFonts w:hint="eastAsia" w:ascii="宋体" w:hAnsi="宋体" w:cs="宋体"/>
          <w:b/>
          <w:color w:val="auto"/>
          <w:sz w:val="21"/>
          <w:szCs w:val="21"/>
          <w:highlight w:val="none"/>
        </w:rPr>
        <w:t xml:space="preserve">（十五）租赁和商务服务业。</w:t>
      </w:r>
      <w:r>
        <w:rPr>
          <w:rFonts w:hint="eastAsia" w:ascii="宋体" w:hAnsi="宋体" w:cs="宋体"/>
          <w:color w:val="auto"/>
          <w:sz w:val="21"/>
          <w:szCs w:val="21"/>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spacing w:before="156" w:line="240" w:lineRule="exact"/>
        <w:rPr>
          <w:rFonts w:ascii="宋体" w:hAnsi="宋体" w:cs="宋体"/>
          <w:color w:val="auto"/>
          <w:sz w:val="21"/>
          <w:szCs w:val="21"/>
          <w:highlight w:val="none"/>
        </w:rPr>
      </w:pPr>
      <w:r>
        <w:rPr>
          <w:rFonts w:hint="eastAsia" w:ascii="宋体" w:hAnsi="宋体" w:cs="宋体"/>
          <w:b/>
          <w:color w:val="auto"/>
          <w:sz w:val="21"/>
          <w:szCs w:val="21"/>
          <w:highlight w:val="none"/>
        </w:rPr>
        <w:t xml:space="preserve">（十六）其他未列明行业。</w:t>
      </w:r>
      <w:r>
        <w:rPr>
          <w:rFonts w:hint="eastAsia" w:ascii="宋体" w:hAnsi="宋体" w:cs="宋体"/>
          <w:color w:val="auto"/>
          <w:sz w:val="21"/>
          <w:szCs w:val="21"/>
          <w:highlight w:val="none"/>
        </w:rPr>
        <w:t xml:space="preserve">从业人员300人以下的为中小微型企业。其中，从业人员100人及以上的为中型企业；从业人员10人及以上的为小型企业；从业人员10人以下的为微型企业。</w:t>
      </w:r>
      <w:r/>
    </w:p>
    <w:p>
      <w:pPr>
        <w:pStyle w:val="972"/>
        <w:pageBreakBefore/>
        <w:spacing w:before="0" w:after="0" w:line="360" w:lineRule="auto"/>
        <w:rPr>
          <w:rFonts w:ascii="宋体" w:hAnsi="宋体" w:cs="宋体"/>
          <w:b w:val="0"/>
          <w:color w:val="auto"/>
          <w:sz w:val="21"/>
          <w:szCs w:val="21"/>
          <w:highlight w:val="none"/>
          <w:lang w:val="zh-CN"/>
        </w:rPr>
      </w:pPr>
      <w:r>
        <w:rPr>
          <w:rFonts w:hint="eastAsia" w:ascii="宋体" w:hAnsi="宋体" w:cs="宋体"/>
          <w:color w:val="auto"/>
          <w:sz w:val="21"/>
          <w:szCs w:val="21"/>
          <w:highlight w:val="none"/>
          <w:lang w:val="zh-CN"/>
        </w:rPr>
        <w:t xml:space="preserve">格式</w:t>
      </w:r>
      <w:r>
        <w:rPr>
          <w:rFonts w:hint="eastAsia" w:ascii="宋体" w:hAnsi="宋体" w:cs="宋体"/>
          <w:color w:val="auto"/>
          <w:sz w:val="21"/>
          <w:szCs w:val="21"/>
          <w:highlight w:val="none"/>
        </w:rPr>
        <w:t xml:space="preserve">15</w:t>
      </w:r>
      <w:r>
        <w:rPr>
          <w:rFonts w:hint="eastAsia" w:ascii="宋体" w:hAnsi="宋体" w:cs="宋体"/>
          <w:color w:val="auto"/>
          <w:sz w:val="21"/>
          <w:szCs w:val="21"/>
          <w:highlight w:val="none"/>
          <w:lang w:val="zh-CN"/>
        </w:rPr>
        <w:t xml:space="preserve">、残疾人福利性单位声明函（如属）</w:t>
      </w:r>
      <w:r/>
    </w:p>
    <w:p>
      <w:pPr>
        <w:ind w:left="420" w:firstLine="340"/>
        <w:spacing w:after="120"/>
        <w:rPr>
          <w:rFonts w:ascii="宋体" w:hAnsi="宋体" w:cs="宋体"/>
          <w:color w:val="auto"/>
          <w:sz w:val="21"/>
          <w:szCs w:val="21"/>
          <w:highlight w:val="none"/>
          <w:lang w:val="zh-CN"/>
        </w:rPr>
      </w:pPr>
      <w:r>
        <w:rPr>
          <w:rFonts w:ascii="宋体" w:hAnsi="宋体" w:cs="宋体"/>
          <w:color w:val="auto"/>
          <w:sz w:val="21"/>
          <w:szCs w:val="21"/>
          <w:highlight w:val="none"/>
          <w:lang w:val="zh-CN"/>
        </w:rPr>
      </w:r>
      <w:r/>
    </w:p>
    <w:p>
      <w:pPr>
        <w:jc w:val="center"/>
        <w:spacing w:line="400" w:lineRule="exact"/>
        <w:rPr>
          <w:rFonts w:ascii="宋体" w:hAnsi="宋体" w:cs="宋体"/>
          <w:b/>
          <w:color w:val="auto"/>
          <w:sz w:val="21"/>
          <w:szCs w:val="21"/>
          <w:highlight w:val="none"/>
          <w:shd w:val="clear" w:color="auto" w:fill="ffffff"/>
          <w:lang w:val="zh-CN"/>
        </w:rPr>
      </w:pPr>
      <w:r/>
      <w:bookmarkStart w:id="26" w:name="OLE_LINK14"/>
      <w:r/>
      <w:bookmarkStart w:id="27" w:name="OLE_LINK13"/>
      <w:r>
        <w:rPr>
          <w:rFonts w:hint="eastAsia" w:ascii="宋体" w:hAnsi="宋体" w:cs="宋体"/>
          <w:b/>
          <w:color w:val="auto"/>
          <w:sz w:val="21"/>
          <w:szCs w:val="21"/>
          <w:highlight w:val="none"/>
          <w:shd w:val="clear" w:color="auto" w:fill="ffffff"/>
          <w:lang w:val="zh-CN"/>
        </w:rPr>
        <w:t xml:space="preserve">残疾人福利性单位声明函</w:t>
      </w:r>
      <w:bookmarkEnd w:id="26"/>
      <w:r/>
      <w:bookmarkEnd w:id="27"/>
      <w:r/>
      <w:r/>
    </w:p>
    <w:p>
      <w:pPr>
        <w:ind w:left="420" w:firstLine="340"/>
        <w:spacing w:after="120"/>
        <w:rPr>
          <w:rFonts w:ascii="宋体" w:hAnsi="宋体" w:cs="宋体"/>
          <w:color w:val="auto"/>
          <w:sz w:val="21"/>
          <w:szCs w:val="21"/>
          <w:highlight w:val="none"/>
          <w:lang w:val="zh-CN"/>
        </w:rPr>
      </w:pPr>
      <w:r>
        <w:rPr>
          <w:rFonts w:ascii="宋体" w:hAnsi="宋体" w:cs="宋体"/>
          <w:color w:val="auto"/>
          <w:sz w:val="21"/>
          <w:szCs w:val="21"/>
          <w:highlight w:val="none"/>
          <w:lang w:val="zh-CN"/>
        </w:rPr>
      </w:r>
      <w:r/>
    </w:p>
    <w:p>
      <w:pPr>
        <w:ind w:firstLine="630"/>
        <w:spacing w:line="400" w:lineRule="exact"/>
        <w:rPr>
          <w:rFonts w:ascii="宋体" w:hAnsi="宋体" w:cs="宋体"/>
          <w:color w:val="auto"/>
          <w:sz w:val="21"/>
          <w:szCs w:val="21"/>
          <w:highlight w:val="none"/>
          <w:lang w:val="zh-CN"/>
        </w:rPr>
      </w:pPr>
      <w:r>
        <w:rPr>
          <w:rFonts w:ascii="宋体" w:hAnsi="宋体" w:cs="宋体"/>
          <w:color w:val="auto"/>
          <w:sz w:val="21"/>
          <w:szCs w:val="21"/>
          <w:highlight w:val="none"/>
          <w:lang w:val="zh-CN"/>
        </w:rPr>
      </w:r>
      <w:r/>
    </w:p>
    <w:p>
      <w:pPr>
        <w:ind w:firstLine="630"/>
        <w:spacing w:line="40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由本单位提供服务（由本单位承担工程/提供本单位制造的货物），或者提供其他残疾人福利性单位提供服务。</w:t>
      </w:r>
      <w:r/>
    </w:p>
    <w:p>
      <w:pPr>
        <w:ind w:firstLine="630"/>
        <w:spacing w:line="40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本单位对上述声明的真实性负责。如有虚假，将依法承担相应责任。</w:t>
      </w:r>
      <w:r/>
    </w:p>
    <w:p>
      <w:pPr>
        <w:jc w:val="both"/>
        <w:spacing w:line="360" w:lineRule="auto"/>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p>
      <w:pPr>
        <w:jc w:val="both"/>
        <w:spacing w:line="360" w:lineRule="auto"/>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p>
      <w:pPr>
        <w:ind w:left="420" w:firstLine="250"/>
        <w:spacing w:after="120"/>
        <w:rPr>
          <w:rFonts w:ascii="宋体" w:hAnsi="宋体" w:cs="宋体"/>
          <w:color w:val="auto"/>
          <w:sz w:val="21"/>
          <w:szCs w:val="21"/>
          <w:highlight w:val="none"/>
          <w:lang w:val="zh-CN"/>
        </w:rPr>
      </w:pPr>
      <w:r>
        <w:rPr>
          <w:rFonts w:ascii="宋体" w:hAnsi="宋体" w:cs="宋体"/>
          <w:color w:val="auto"/>
          <w:sz w:val="21"/>
          <w:szCs w:val="21"/>
          <w:highlight w:val="none"/>
          <w:lang w:val="zh-CN"/>
        </w:rPr>
      </w:r>
      <w:r/>
    </w:p>
    <w:p>
      <w:pPr>
        <w:ind w:left="420" w:firstLine="250"/>
        <w:spacing w:after="120"/>
        <w:rPr>
          <w:rFonts w:ascii="宋体" w:hAnsi="宋体" w:cs="宋体"/>
          <w:color w:val="auto"/>
          <w:sz w:val="21"/>
          <w:szCs w:val="21"/>
          <w:highlight w:val="none"/>
          <w:lang w:val="zh-CN"/>
        </w:rPr>
      </w:pPr>
      <w:r>
        <w:rPr>
          <w:rFonts w:ascii="宋体" w:hAnsi="宋体" w:cs="宋体"/>
          <w:color w:val="auto"/>
          <w:sz w:val="21"/>
          <w:szCs w:val="21"/>
          <w:highlight w:val="none"/>
          <w:lang w:val="zh-CN"/>
        </w:rPr>
      </w:r>
      <w:r/>
    </w:p>
    <w:p>
      <w:pPr>
        <w:ind w:left="420" w:firstLine="250"/>
        <w:spacing w:after="120"/>
        <w:rPr>
          <w:rFonts w:ascii="宋体" w:hAnsi="宋体" w:cs="宋体"/>
          <w:color w:val="auto"/>
          <w:sz w:val="21"/>
          <w:szCs w:val="21"/>
          <w:highlight w:val="none"/>
          <w:lang w:val="zh-CN"/>
        </w:rPr>
      </w:pPr>
      <w:r>
        <w:rPr>
          <w:rFonts w:ascii="宋体" w:hAnsi="宋体" w:cs="宋体"/>
          <w:color w:val="auto"/>
          <w:sz w:val="21"/>
          <w:szCs w:val="21"/>
          <w:highlight w:val="none"/>
          <w:lang w:val="zh-CN"/>
        </w:rPr>
      </w:r>
      <w:r/>
    </w:p>
    <w:p>
      <w:pPr>
        <w:jc w:val="both"/>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单位名称（盖章）：</w:t>
      </w:r>
      <w:r/>
    </w:p>
    <w:p>
      <w:pPr>
        <w:jc w:val="both"/>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 日  期：</w:t>
      </w:r>
      <w:r/>
    </w:p>
    <w:p>
      <w:pPr>
        <w:jc w:val="both"/>
        <w:spacing w:line="360" w:lineRule="auto"/>
        <w:rPr>
          <w:rFonts w:ascii="宋体" w:hAnsi="宋体" w:cs="宋体"/>
          <w:color w:val="auto"/>
          <w:sz w:val="21"/>
          <w:szCs w:val="21"/>
          <w:highlight w:val="none"/>
          <w:lang w:val="zh-CN"/>
        </w:rPr>
      </w:pPr>
      <w:r>
        <w:rPr>
          <w:rFonts w:ascii="宋体" w:hAnsi="宋体" w:cs="宋体"/>
          <w:color w:val="auto"/>
          <w:sz w:val="21"/>
          <w:szCs w:val="21"/>
          <w:highlight w:val="none"/>
          <w:lang w:val="zh-CN"/>
        </w:rPr>
      </w:r>
      <w:r/>
    </w:p>
    <w:p>
      <w:pPr>
        <w:jc w:val="both"/>
        <w:spacing w:line="360" w:lineRule="auto"/>
        <w:rPr>
          <w:rFonts w:ascii="宋体" w:hAnsi="宋体" w:cs="宋体"/>
          <w:color w:val="auto"/>
          <w:sz w:val="21"/>
          <w:szCs w:val="21"/>
          <w:highlight w:val="none"/>
          <w:lang w:val="zh-CN"/>
        </w:rPr>
      </w:pPr>
      <w:r>
        <w:rPr>
          <w:rFonts w:ascii="宋体" w:hAnsi="宋体" w:cs="宋体"/>
          <w:color w:val="auto"/>
          <w:sz w:val="21"/>
          <w:szCs w:val="21"/>
          <w:highlight w:val="none"/>
          <w:lang w:val="zh-CN"/>
        </w:rPr>
      </w:r>
      <w:r/>
    </w:p>
    <w:p>
      <w:pPr>
        <w:jc w:val="both"/>
        <w:spacing w:line="360" w:lineRule="auto"/>
        <w:rPr>
          <w:rFonts w:ascii="宋体" w:hAnsi="宋体" w:cs="宋体"/>
          <w:color w:val="auto"/>
          <w:sz w:val="21"/>
          <w:szCs w:val="21"/>
          <w:highlight w:val="none"/>
          <w:lang w:val="zh-CN"/>
        </w:rPr>
      </w:pPr>
      <w:r>
        <w:rPr>
          <w:rFonts w:ascii="宋体" w:hAnsi="宋体" w:cs="宋体"/>
          <w:color w:val="auto"/>
          <w:sz w:val="21"/>
          <w:szCs w:val="21"/>
          <w:highlight w:val="none"/>
          <w:lang w:val="zh-CN"/>
        </w:rPr>
      </w:r>
      <w:r/>
    </w:p>
    <w:p>
      <w:pPr>
        <w:jc w:val="both"/>
        <w:spacing w:line="360" w:lineRule="auto"/>
        <w:rPr>
          <w:rFonts w:ascii="宋体" w:hAnsi="宋体" w:cs="宋体"/>
          <w:color w:val="auto"/>
          <w:sz w:val="21"/>
          <w:szCs w:val="21"/>
          <w:highlight w:val="none"/>
          <w:lang w:val="zh-CN"/>
        </w:rPr>
      </w:pPr>
      <w:r>
        <w:rPr>
          <w:rFonts w:ascii="宋体" w:hAnsi="宋体" w:cs="宋体"/>
          <w:color w:val="auto"/>
          <w:sz w:val="21"/>
          <w:szCs w:val="21"/>
          <w:highlight w:val="none"/>
          <w:lang w:val="zh-CN"/>
        </w:rPr>
      </w:r>
      <w:r/>
    </w:p>
    <w:p>
      <w:pPr>
        <w:rPr>
          <w:rFonts w:ascii="宋体" w:hAnsi="宋体" w:cs="宋体"/>
          <w:color w:val="auto"/>
          <w:sz w:val="21"/>
          <w:szCs w:val="21"/>
          <w:highlight w:val="none"/>
          <w:lang w:val="zh-CN"/>
        </w:rPr>
      </w:pPr>
      <w:r>
        <w:rPr>
          <w:rFonts w:ascii="宋体" w:hAnsi="宋体" w:cs="宋体"/>
          <w:color w:val="auto"/>
          <w:sz w:val="21"/>
          <w:szCs w:val="21"/>
          <w:highlight w:val="none"/>
          <w:lang w:val="zh-CN"/>
        </w:rPr>
      </w:r>
      <w:r/>
    </w:p>
    <w:p>
      <w:pPr>
        <w:pStyle w:val="977"/>
        <w:shd w:val="clear" w:color="auto" w:fill="auto"/>
        <w:rPr>
          <w:rFonts w:ascii="宋体" w:hAnsi="宋体" w:cs="宋体"/>
          <w:color w:val="auto"/>
          <w:sz w:val="21"/>
          <w:szCs w:val="21"/>
          <w:highlight w:val="none"/>
          <w:lang w:val="zh-CN"/>
        </w:rPr>
      </w:pPr>
      <w:r>
        <w:rPr>
          <w:rFonts w:ascii="宋体" w:hAnsi="宋体" w:cs="宋体"/>
          <w:color w:val="auto"/>
          <w:sz w:val="21"/>
          <w:szCs w:val="21"/>
          <w:highlight w:val="none"/>
          <w:lang w:val="zh-CN"/>
        </w:rPr>
      </w:r>
      <w:r/>
    </w:p>
    <w:p>
      <w:pPr>
        <w:pStyle w:val="977"/>
        <w:shd w:val="clear" w:color="auto" w:fill="auto"/>
        <w:rPr>
          <w:rFonts w:ascii="宋体" w:hAnsi="宋体" w:cs="宋体"/>
          <w:color w:val="auto"/>
          <w:sz w:val="21"/>
          <w:szCs w:val="21"/>
          <w:highlight w:val="none"/>
          <w:lang w:val="zh-CN"/>
        </w:rPr>
      </w:pPr>
      <w:r>
        <w:rPr>
          <w:rFonts w:ascii="宋体" w:hAnsi="宋体" w:cs="宋体"/>
          <w:color w:val="auto"/>
          <w:sz w:val="21"/>
          <w:szCs w:val="21"/>
          <w:highlight w:val="none"/>
          <w:lang w:val="zh-CN"/>
        </w:rPr>
      </w:r>
      <w:r/>
    </w:p>
    <w:p>
      <w:pPr>
        <w:pStyle w:val="977"/>
        <w:shd w:val="clear" w:color="auto" w:fill="auto"/>
        <w:rPr>
          <w:rFonts w:ascii="宋体" w:hAnsi="宋体" w:cs="宋体"/>
          <w:color w:val="auto"/>
          <w:sz w:val="21"/>
          <w:szCs w:val="21"/>
          <w:highlight w:val="none"/>
          <w:lang w:val="zh-CN"/>
        </w:rPr>
      </w:pPr>
      <w:r>
        <w:rPr>
          <w:rFonts w:ascii="宋体" w:hAnsi="宋体" w:cs="宋体"/>
          <w:color w:val="auto"/>
          <w:sz w:val="21"/>
          <w:szCs w:val="21"/>
          <w:highlight w:val="none"/>
          <w:lang w:val="zh-CN"/>
        </w:rPr>
      </w:r>
      <w:r/>
    </w:p>
    <w:p>
      <w:pPr>
        <w:pStyle w:val="977"/>
        <w:shd w:val="clear" w:color="auto" w:fill="auto"/>
        <w:rPr>
          <w:rFonts w:ascii="宋体" w:hAnsi="宋体" w:cs="宋体"/>
          <w:color w:val="auto"/>
          <w:sz w:val="21"/>
          <w:szCs w:val="21"/>
          <w:highlight w:val="none"/>
          <w:lang w:val="zh-CN"/>
        </w:rPr>
      </w:pPr>
      <w:r>
        <w:rPr>
          <w:rFonts w:ascii="宋体" w:hAnsi="宋体" w:cs="宋体"/>
          <w:color w:val="auto"/>
          <w:sz w:val="21"/>
          <w:szCs w:val="21"/>
          <w:highlight w:val="none"/>
          <w:lang w:val="zh-CN"/>
        </w:rPr>
      </w:r>
      <w:r/>
    </w:p>
    <w:p>
      <w:pPr>
        <w:pStyle w:val="977"/>
        <w:shd w:val="clear" w:color="auto" w:fill="auto"/>
        <w:rPr>
          <w:rFonts w:ascii="宋体" w:hAnsi="宋体" w:cs="宋体"/>
          <w:color w:val="auto"/>
          <w:sz w:val="21"/>
          <w:szCs w:val="21"/>
          <w:highlight w:val="none"/>
          <w:lang w:val="zh-CN"/>
        </w:rPr>
      </w:pPr>
      <w:r>
        <w:rPr>
          <w:rFonts w:ascii="宋体" w:hAnsi="宋体" w:cs="宋体"/>
          <w:color w:val="auto"/>
          <w:sz w:val="21"/>
          <w:szCs w:val="21"/>
          <w:highlight w:val="none"/>
          <w:lang w:val="zh-CN"/>
        </w:rPr>
      </w:r>
      <w:r/>
    </w:p>
    <w:p>
      <w:pPr>
        <w:pStyle w:val="977"/>
        <w:shd w:val="clear" w:color="auto" w:fill="auto"/>
        <w:rPr>
          <w:rFonts w:ascii="宋体" w:hAnsi="宋体" w:cs="宋体"/>
          <w:color w:val="auto"/>
          <w:sz w:val="21"/>
          <w:szCs w:val="21"/>
          <w:highlight w:val="none"/>
          <w:lang w:val="zh-CN"/>
        </w:rPr>
      </w:pPr>
      <w:r>
        <w:rPr>
          <w:rFonts w:ascii="宋体" w:hAnsi="宋体" w:cs="宋体"/>
          <w:color w:val="auto"/>
          <w:sz w:val="21"/>
          <w:szCs w:val="21"/>
          <w:highlight w:val="none"/>
          <w:lang w:val="zh-CN"/>
        </w:rPr>
      </w:r>
      <w:r/>
    </w:p>
    <w:p>
      <w:pPr>
        <w:pStyle w:val="977"/>
        <w:shd w:val="clear" w:color="auto" w:fill="auto"/>
        <w:rPr>
          <w:rFonts w:ascii="宋体" w:hAnsi="宋体" w:cs="宋体"/>
          <w:color w:val="auto"/>
          <w:sz w:val="21"/>
          <w:szCs w:val="21"/>
          <w:highlight w:val="none"/>
          <w:lang w:val="zh-CN"/>
        </w:rPr>
      </w:pPr>
      <w:r>
        <w:rPr>
          <w:rFonts w:ascii="宋体" w:hAnsi="宋体" w:cs="宋体"/>
          <w:color w:val="auto"/>
          <w:sz w:val="21"/>
          <w:szCs w:val="21"/>
          <w:highlight w:val="none"/>
          <w:lang w:val="zh-CN"/>
        </w:rPr>
      </w:r>
      <w:r/>
    </w:p>
    <w:p>
      <w:pPr>
        <w:pStyle w:val="977"/>
        <w:shd w:val="clear" w:color="auto" w:fill="auto"/>
        <w:rPr>
          <w:rFonts w:ascii="宋体" w:hAnsi="宋体" w:cs="宋体"/>
          <w:color w:val="auto"/>
          <w:sz w:val="21"/>
          <w:szCs w:val="21"/>
          <w:highlight w:val="none"/>
          <w:lang w:val="zh-CN"/>
        </w:rPr>
      </w:pPr>
      <w:r>
        <w:rPr>
          <w:rFonts w:ascii="宋体" w:hAnsi="宋体" w:cs="宋体"/>
          <w:color w:val="auto"/>
          <w:sz w:val="21"/>
          <w:szCs w:val="21"/>
          <w:highlight w:val="none"/>
          <w:lang w:val="zh-CN"/>
        </w:rPr>
      </w:r>
      <w:r/>
    </w:p>
    <w:p>
      <w:pPr>
        <w:pStyle w:val="977"/>
        <w:shd w:val="clear" w:color="auto" w:fill="auto"/>
        <w:rPr>
          <w:rFonts w:ascii="宋体" w:hAnsi="宋体" w:cs="宋体"/>
          <w:color w:val="auto"/>
          <w:sz w:val="21"/>
          <w:szCs w:val="21"/>
          <w:highlight w:val="none"/>
          <w:lang w:val="zh-CN"/>
        </w:rPr>
      </w:pPr>
      <w:r>
        <w:rPr>
          <w:rFonts w:ascii="宋体" w:hAnsi="宋体" w:cs="宋体"/>
          <w:color w:val="auto"/>
          <w:sz w:val="21"/>
          <w:szCs w:val="21"/>
          <w:highlight w:val="none"/>
          <w:lang w:val="zh-CN"/>
        </w:rPr>
      </w:r>
      <w:r/>
    </w:p>
    <w:p>
      <w:pPr>
        <w:pStyle w:val="977"/>
        <w:shd w:val="clear" w:color="auto" w:fill="auto"/>
        <w:rPr>
          <w:rFonts w:ascii="宋体" w:hAnsi="宋体" w:cs="宋体"/>
          <w:color w:val="auto"/>
          <w:sz w:val="21"/>
          <w:szCs w:val="21"/>
          <w:highlight w:val="none"/>
          <w:lang w:val="zh-CN"/>
        </w:rPr>
      </w:pPr>
      <w:r>
        <w:rPr>
          <w:rFonts w:ascii="宋体" w:hAnsi="宋体" w:cs="宋体"/>
          <w:color w:val="auto"/>
          <w:sz w:val="21"/>
          <w:szCs w:val="21"/>
          <w:highlight w:val="none"/>
          <w:lang w:val="zh-CN"/>
        </w:rPr>
      </w:r>
      <w:r/>
    </w:p>
    <w:p>
      <w:pPr>
        <w:pStyle w:val="977"/>
        <w:shd w:val="clear" w:color="auto" w:fill="auto"/>
        <w:rPr>
          <w:rFonts w:ascii="宋体" w:hAnsi="宋体" w:cs="宋体"/>
          <w:color w:val="auto"/>
          <w:sz w:val="21"/>
          <w:szCs w:val="21"/>
          <w:highlight w:val="none"/>
          <w:lang w:val="zh-CN"/>
        </w:rPr>
      </w:pPr>
      <w:r>
        <w:rPr>
          <w:rFonts w:ascii="宋体" w:hAnsi="宋体" w:cs="宋体"/>
          <w:color w:val="auto"/>
          <w:sz w:val="21"/>
          <w:szCs w:val="21"/>
          <w:highlight w:val="none"/>
          <w:lang w:val="zh-CN"/>
        </w:rPr>
      </w:r>
      <w:r/>
    </w:p>
    <w:p>
      <w:pPr>
        <w:pStyle w:val="977"/>
        <w:shd w:val="clear" w:color="auto" w:fill="auto"/>
        <w:rPr>
          <w:rFonts w:ascii="宋体" w:hAnsi="宋体" w:cs="宋体"/>
          <w:color w:val="auto"/>
          <w:sz w:val="21"/>
          <w:szCs w:val="21"/>
          <w:highlight w:val="none"/>
          <w:lang w:val="zh-CN"/>
        </w:rPr>
      </w:pPr>
      <w:r>
        <w:rPr>
          <w:rFonts w:ascii="宋体" w:hAnsi="宋体" w:cs="宋体"/>
          <w:color w:val="auto"/>
          <w:sz w:val="21"/>
          <w:szCs w:val="21"/>
          <w:highlight w:val="none"/>
          <w:lang w:val="zh-CN"/>
        </w:rPr>
      </w:r>
      <w:r/>
    </w:p>
    <w:p>
      <w:pPr>
        <w:pStyle w:val="977"/>
        <w:shd w:val="clear" w:color="auto" w:fill="auto"/>
        <w:rPr>
          <w:rFonts w:ascii="宋体" w:hAnsi="宋体" w:cs="宋体"/>
          <w:color w:val="auto"/>
          <w:sz w:val="21"/>
          <w:szCs w:val="21"/>
          <w:highlight w:val="none"/>
          <w:lang w:val="zh-CN"/>
        </w:rPr>
      </w:pPr>
      <w:r>
        <w:rPr>
          <w:rFonts w:ascii="宋体" w:hAnsi="宋体" w:cs="宋体"/>
          <w:color w:val="auto"/>
          <w:sz w:val="21"/>
          <w:szCs w:val="21"/>
          <w:highlight w:val="none"/>
          <w:lang w:val="zh-CN"/>
        </w:rPr>
      </w:r>
      <w:r/>
    </w:p>
    <w:p>
      <w:pPr>
        <w:pStyle w:val="977"/>
        <w:shd w:val="clear" w:color="auto" w:fill="auto"/>
        <w:rPr>
          <w:rFonts w:ascii="宋体" w:hAnsi="宋体" w:cs="宋体"/>
          <w:color w:val="auto"/>
          <w:sz w:val="21"/>
          <w:szCs w:val="21"/>
          <w:highlight w:val="none"/>
          <w:lang w:val="zh-CN"/>
        </w:rPr>
      </w:pPr>
      <w:r>
        <w:rPr>
          <w:rFonts w:ascii="宋体" w:hAnsi="宋体" w:cs="宋体"/>
          <w:color w:val="auto"/>
          <w:sz w:val="21"/>
          <w:szCs w:val="21"/>
          <w:highlight w:val="none"/>
          <w:lang w:val="zh-CN"/>
        </w:rPr>
      </w:r>
      <w:r/>
    </w:p>
    <w:p>
      <w:pPr>
        <w:pStyle w:val="977"/>
        <w:shd w:val="clear" w:color="auto" w:fill="auto"/>
        <w:rPr>
          <w:rFonts w:ascii="宋体" w:hAnsi="宋体" w:cs="宋体"/>
          <w:color w:val="auto"/>
          <w:sz w:val="21"/>
          <w:szCs w:val="21"/>
          <w:highlight w:val="none"/>
          <w:lang w:val="zh-CN"/>
        </w:rPr>
      </w:pPr>
      <w:r>
        <w:rPr>
          <w:rFonts w:ascii="宋体" w:hAnsi="宋体" w:cs="宋体"/>
          <w:color w:val="auto"/>
          <w:sz w:val="21"/>
          <w:szCs w:val="21"/>
          <w:highlight w:val="none"/>
          <w:lang w:val="zh-CN"/>
        </w:rPr>
      </w:r>
      <w:r/>
    </w:p>
    <w:p>
      <w:pPr>
        <w:pStyle w:val="972"/>
        <w:pageBreakBefore/>
        <w:spacing w:before="0" w:after="0"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格式</w:t>
      </w:r>
      <w:r>
        <w:rPr>
          <w:rFonts w:hint="eastAsia" w:ascii="宋体" w:hAnsi="宋体" w:cs="宋体"/>
          <w:color w:val="auto"/>
          <w:sz w:val="21"/>
          <w:szCs w:val="21"/>
          <w:highlight w:val="none"/>
        </w:rPr>
        <w:t xml:space="preserve">16</w:t>
      </w:r>
      <w:r>
        <w:rPr>
          <w:rFonts w:hint="eastAsia" w:ascii="宋体" w:hAnsi="宋体" w:cs="宋体"/>
          <w:color w:val="auto"/>
          <w:sz w:val="21"/>
          <w:szCs w:val="21"/>
          <w:highlight w:val="none"/>
          <w:lang w:val="zh-CN"/>
        </w:rPr>
        <w:t xml:space="preserve">：开票信息</w:t>
      </w:r>
      <w:r/>
    </w:p>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开票信息</w:t>
      </w:r>
      <w:r/>
    </w:p>
    <w:tbl>
      <w:tblPr>
        <w:tblStyle w:val="752"/>
        <w:tblW w:w="62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08"/>
        <w:gridCol w:w="4831"/>
      </w:tblGrid>
      <w:tr>
        <w:trPr>
          <w:jc w:val="center"/>
          <w:trHeight w:val="518"/>
        </w:trPr>
        <w:tc>
          <w:tcPr>
            <w:tcW w:w="1408" w:type="dxa"/>
            <w:vAlign w:val="center"/>
            <w:textDirection w:val="lrTb"/>
            <w:noWrap w:val="false"/>
          </w:tcPr>
          <w:p>
            <w:pPr>
              <w:jc w:val="both"/>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供应商名称</w:t>
            </w:r>
            <w:r/>
          </w:p>
        </w:tc>
        <w:tc>
          <w:tcPr>
            <w:tcW w:w="4831" w:type="dxa"/>
            <w:vAlign w:val="center"/>
            <w:textDirection w:val="lrTb"/>
            <w:noWrap w:val="false"/>
          </w:tcPr>
          <w:p>
            <w:pPr>
              <w:jc w:val="both"/>
              <w:widowControl w:val="off"/>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518"/>
        </w:trPr>
        <w:tc>
          <w:tcPr>
            <w:tcW w:w="1408" w:type="dxa"/>
            <w:vAlign w:val="center"/>
            <w:textDirection w:val="lrTb"/>
            <w:noWrap w:val="false"/>
          </w:tcPr>
          <w:p>
            <w:pPr>
              <w:jc w:val="both"/>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地址</w:t>
            </w:r>
            <w:r/>
          </w:p>
        </w:tc>
        <w:tc>
          <w:tcPr>
            <w:tcW w:w="4831" w:type="dxa"/>
            <w:vAlign w:val="center"/>
            <w:textDirection w:val="lrTb"/>
            <w:noWrap w:val="false"/>
          </w:tcPr>
          <w:p>
            <w:pPr>
              <w:jc w:val="both"/>
              <w:widowControl w:val="off"/>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518"/>
        </w:trPr>
        <w:tc>
          <w:tcPr>
            <w:tcW w:w="1408" w:type="dxa"/>
            <w:vAlign w:val="center"/>
            <w:textDirection w:val="lrTb"/>
            <w:noWrap w:val="false"/>
          </w:tcPr>
          <w:p>
            <w:pPr>
              <w:jc w:val="both"/>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电话</w:t>
            </w:r>
            <w:r/>
          </w:p>
        </w:tc>
        <w:tc>
          <w:tcPr>
            <w:tcW w:w="4831" w:type="dxa"/>
            <w:vAlign w:val="center"/>
            <w:textDirection w:val="lrTb"/>
            <w:noWrap w:val="false"/>
          </w:tcPr>
          <w:p>
            <w:pPr>
              <w:jc w:val="both"/>
              <w:widowControl w:val="off"/>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518"/>
        </w:trPr>
        <w:tc>
          <w:tcPr>
            <w:tcW w:w="1408" w:type="dxa"/>
            <w:vAlign w:val="center"/>
            <w:textDirection w:val="lrTb"/>
            <w:noWrap w:val="false"/>
          </w:tcPr>
          <w:p>
            <w:pPr>
              <w:jc w:val="both"/>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税号</w:t>
            </w:r>
            <w:r/>
          </w:p>
        </w:tc>
        <w:tc>
          <w:tcPr>
            <w:tcW w:w="4831" w:type="dxa"/>
            <w:vAlign w:val="center"/>
            <w:textDirection w:val="lrTb"/>
            <w:noWrap w:val="false"/>
          </w:tcPr>
          <w:p>
            <w:pPr>
              <w:jc w:val="both"/>
              <w:widowControl w:val="off"/>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518"/>
        </w:trPr>
        <w:tc>
          <w:tcPr>
            <w:tcW w:w="1408" w:type="dxa"/>
            <w:vAlign w:val="center"/>
            <w:textDirection w:val="lrTb"/>
            <w:noWrap w:val="false"/>
          </w:tcPr>
          <w:p>
            <w:pPr>
              <w:jc w:val="both"/>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开户行</w:t>
            </w:r>
            <w:r/>
          </w:p>
        </w:tc>
        <w:tc>
          <w:tcPr>
            <w:tcW w:w="4831" w:type="dxa"/>
            <w:vAlign w:val="center"/>
            <w:textDirection w:val="lrTb"/>
            <w:noWrap w:val="false"/>
          </w:tcPr>
          <w:p>
            <w:pPr>
              <w:jc w:val="both"/>
              <w:widowControl w:val="off"/>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546"/>
        </w:trPr>
        <w:tc>
          <w:tcPr>
            <w:tcW w:w="1408" w:type="dxa"/>
            <w:vAlign w:val="center"/>
            <w:textDirection w:val="lrTb"/>
            <w:noWrap w:val="false"/>
          </w:tcPr>
          <w:p>
            <w:pPr>
              <w:jc w:val="both"/>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银行账号</w:t>
            </w:r>
            <w:r/>
          </w:p>
        </w:tc>
        <w:tc>
          <w:tcPr>
            <w:tcW w:w="4831" w:type="dxa"/>
            <w:vAlign w:val="center"/>
            <w:textDirection w:val="lrTb"/>
            <w:noWrap w:val="false"/>
          </w:tcPr>
          <w:p>
            <w:pPr>
              <w:jc w:val="both"/>
              <w:widowControl w:val="off"/>
              <w:rPr>
                <w:rFonts w:ascii="宋体" w:hAnsi="宋体" w:cs="宋体"/>
                <w:color w:val="auto"/>
                <w:sz w:val="21"/>
                <w:szCs w:val="21"/>
                <w:highlight w:val="none"/>
              </w:rPr>
            </w:pPr>
            <w:r>
              <w:rPr>
                <w:rFonts w:ascii="宋体" w:hAnsi="宋体" w:cs="宋体"/>
                <w:color w:val="auto"/>
                <w:sz w:val="21"/>
                <w:szCs w:val="21"/>
                <w:highlight w:val="none"/>
              </w:rPr>
            </w:r>
            <w:r/>
          </w:p>
        </w:tc>
      </w:tr>
    </w:tbl>
    <w:p>
      <w:pPr>
        <w:rPr>
          <w:rFonts w:ascii="宋体" w:hAnsi="宋体" w:cs="宋体"/>
          <w:color w:val="auto"/>
          <w:sz w:val="21"/>
          <w:szCs w:val="21"/>
          <w:highlight w:val="none"/>
        </w:rPr>
      </w:pPr>
      <w:r>
        <w:rPr>
          <w:rFonts w:ascii="宋体" w:hAnsi="宋体" w:cs="宋体"/>
          <w:color w:val="auto"/>
          <w:sz w:val="21"/>
          <w:szCs w:val="21"/>
          <w:highlight w:val="none"/>
        </w:rPr>
      </w:r>
      <w:r/>
    </w:p>
    <w:p>
      <w:pPr>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注：1、供应商中标（成交）后应依照招标（采购）文件的规定缴纳采购代理服务费，代理机构依法开具相应发票。</w:t>
      </w:r>
      <w:r/>
    </w:p>
    <w:p>
      <w:pPr>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如供应商为增值税一般纳税人的，须按上表要求提供开票信息，并制作在投标（响应）文件中。中标（成交）后，代理机构将按所提供的开票信息就代理服务费开具增值税专用发票，否则，将直接开具增值税普通发票。</w:t>
      </w:r>
      <w:r/>
    </w:p>
    <w:p>
      <w:pPr>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3、采购代理机构仅对开票信息内容填写完整的中标（成交）供应商开具增值税专用发票。供应商须对所提供材料信息的真实性、准确性和完整性负责，因材料信息内容的差错缺漏等而导致的后果，由供应商自行承担。</w:t>
      </w:r>
      <w:r/>
    </w:p>
    <w:p>
      <w:pPr>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4、中标（成交）供应商凭已缴纳代理服务费的银行回单至代理机构领取中标（成交）通知书、合同。</w:t>
      </w:r>
      <w:r/>
    </w:p>
    <w:p>
      <w:pPr>
        <w:pStyle w:val="836"/>
        <w:rPr>
          <w:rFonts w:ascii="宋体" w:hAnsi="宋体" w:eastAsia="宋体" w:cs="宋体"/>
          <w:color w:val="auto"/>
          <w:sz w:val="21"/>
          <w:szCs w:val="21"/>
          <w:highlight w:val="none"/>
          <w:lang w:val="zh-CN"/>
        </w:rPr>
      </w:pPr>
      <w:r>
        <w:rPr>
          <w:rFonts w:ascii="宋体" w:hAnsi="宋体" w:eastAsia="宋体" w:cs="宋体"/>
          <w:color w:val="auto"/>
          <w:sz w:val="21"/>
          <w:szCs w:val="21"/>
          <w:highlight w:val="none"/>
          <w:lang w:val="zh-CN"/>
        </w:rPr>
      </w:r>
      <w:r/>
    </w:p>
    <w:p>
      <w:pPr>
        <w:jc w:val="both"/>
        <w:spacing w:line="360" w:lineRule="auto"/>
        <w:rPr>
          <w:rFonts w:ascii="宋体" w:hAnsi="宋体" w:cs="宋体"/>
          <w:color w:val="auto"/>
          <w:sz w:val="21"/>
          <w:szCs w:val="21"/>
          <w:highlight w:val="none"/>
          <w:lang w:val="zh-CN"/>
        </w:rPr>
      </w:pPr>
      <w:r>
        <w:rPr>
          <w:rFonts w:ascii="宋体" w:hAnsi="宋体" w:cs="宋体"/>
          <w:color w:val="auto"/>
          <w:sz w:val="21"/>
          <w:szCs w:val="21"/>
          <w:highlight w:val="none"/>
          <w:lang w:val="zh-CN"/>
        </w:rPr>
      </w:r>
      <w:r/>
    </w:p>
    <w:p>
      <w:pPr>
        <w:jc w:val="both"/>
        <w:spacing w:line="360" w:lineRule="auto"/>
        <w:rPr>
          <w:rFonts w:ascii="宋体" w:hAnsi="宋体" w:cs="宋体"/>
          <w:color w:val="auto"/>
          <w:sz w:val="21"/>
          <w:szCs w:val="21"/>
          <w:highlight w:val="none"/>
          <w:lang w:val="zh-CN"/>
        </w:rPr>
      </w:pPr>
      <w:r>
        <w:rPr>
          <w:rFonts w:ascii="宋体" w:hAnsi="宋体" w:cs="宋体"/>
          <w:color w:val="auto"/>
          <w:sz w:val="21"/>
          <w:szCs w:val="21"/>
          <w:highlight w:val="none"/>
          <w:lang w:val="zh-CN"/>
        </w:rPr>
      </w:r>
      <w:r/>
    </w:p>
    <w:p>
      <w:pPr>
        <w:jc w:val="both"/>
        <w:spacing w:line="360" w:lineRule="auto"/>
        <w:rPr>
          <w:rFonts w:ascii="宋体" w:hAnsi="宋体" w:cs="宋体"/>
          <w:color w:val="auto"/>
          <w:sz w:val="21"/>
          <w:szCs w:val="21"/>
          <w:highlight w:val="none"/>
          <w:lang w:val="zh-CN"/>
        </w:rPr>
      </w:pPr>
      <w:r>
        <w:rPr>
          <w:rFonts w:ascii="宋体" w:hAnsi="宋体" w:cs="宋体"/>
          <w:color w:val="auto"/>
          <w:sz w:val="21"/>
          <w:szCs w:val="21"/>
          <w:highlight w:val="none"/>
          <w:lang w:val="zh-CN"/>
        </w:rPr>
      </w:r>
      <w:r/>
    </w:p>
    <w:p>
      <w:pPr>
        <w:jc w:val="both"/>
        <w:spacing w:line="360" w:lineRule="auto"/>
        <w:rPr>
          <w:rFonts w:ascii="宋体" w:hAnsi="宋体" w:cs="宋体"/>
          <w:color w:val="auto"/>
          <w:sz w:val="21"/>
          <w:szCs w:val="21"/>
          <w:highlight w:val="none"/>
          <w:lang w:val="zh-CN"/>
        </w:rPr>
      </w:pPr>
      <w:r>
        <w:rPr>
          <w:rFonts w:ascii="宋体" w:hAnsi="宋体" w:cs="宋体"/>
          <w:color w:val="auto"/>
          <w:sz w:val="21"/>
          <w:szCs w:val="21"/>
          <w:highlight w:val="none"/>
          <w:lang w:val="zh-CN"/>
        </w:rPr>
      </w:r>
      <w:r/>
    </w:p>
    <w:p>
      <w:pPr>
        <w:jc w:val="both"/>
        <w:spacing w:line="360" w:lineRule="auto"/>
        <w:rPr>
          <w:rFonts w:ascii="宋体" w:hAnsi="宋体" w:cs="宋体"/>
          <w:color w:val="auto"/>
          <w:sz w:val="21"/>
          <w:szCs w:val="21"/>
          <w:highlight w:val="none"/>
          <w:lang w:val="zh-CN"/>
        </w:rPr>
      </w:pPr>
      <w:r>
        <w:rPr>
          <w:rFonts w:ascii="宋体" w:hAnsi="宋体" w:cs="宋体"/>
          <w:color w:val="auto"/>
          <w:sz w:val="21"/>
          <w:szCs w:val="21"/>
          <w:highlight w:val="none"/>
          <w:lang w:val="zh-CN"/>
        </w:rPr>
      </w:r>
      <w:r/>
    </w:p>
    <w:p>
      <w:pPr>
        <w:jc w:val="both"/>
        <w:spacing w:line="360" w:lineRule="auto"/>
        <w:rPr>
          <w:rFonts w:ascii="宋体" w:hAnsi="宋体" w:cs="宋体"/>
          <w:color w:val="auto"/>
          <w:sz w:val="21"/>
          <w:szCs w:val="21"/>
          <w:highlight w:val="none"/>
          <w:lang w:val="zh-CN"/>
        </w:rPr>
      </w:pPr>
      <w:r>
        <w:rPr>
          <w:rFonts w:ascii="宋体" w:hAnsi="宋体" w:cs="宋体"/>
          <w:color w:val="auto"/>
          <w:sz w:val="21"/>
          <w:szCs w:val="21"/>
          <w:highlight w:val="none"/>
          <w:lang w:val="zh-CN"/>
        </w:rPr>
      </w:r>
      <w:r/>
    </w:p>
    <w:p>
      <w:pPr>
        <w:jc w:val="both"/>
        <w:spacing w:line="360" w:lineRule="auto"/>
        <w:rPr>
          <w:rFonts w:ascii="宋体" w:hAnsi="宋体" w:cs="宋体"/>
          <w:color w:val="auto"/>
          <w:sz w:val="21"/>
          <w:szCs w:val="21"/>
          <w:highlight w:val="none"/>
          <w:lang w:val="zh-CN"/>
        </w:rPr>
      </w:pPr>
      <w:r>
        <w:rPr>
          <w:rFonts w:ascii="宋体" w:hAnsi="宋体" w:cs="宋体"/>
          <w:color w:val="auto"/>
          <w:sz w:val="21"/>
          <w:szCs w:val="21"/>
          <w:highlight w:val="none"/>
          <w:lang w:val="zh-CN"/>
        </w:rPr>
      </w:r>
      <w:r/>
    </w:p>
    <w:p>
      <w:pPr>
        <w:jc w:val="both"/>
        <w:spacing w:line="360" w:lineRule="auto"/>
        <w:rPr>
          <w:rFonts w:ascii="宋体" w:hAnsi="宋体" w:cs="宋体"/>
          <w:color w:val="auto"/>
          <w:sz w:val="21"/>
          <w:szCs w:val="21"/>
          <w:highlight w:val="none"/>
          <w:lang w:val="zh-CN"/>
        </w:rPr>
      </w:pPr>
      <w:r>
        <w:rPr>
          <w:rFonts w:ascii="宋体" w:hAnsi="宋体" w:cs="宋体"/>
          <w:color w:val="auto"/>
          <w:sz w:val="21"/>
          <w:szCs w:val="21"/>
          <w:highlight w:val="none"/>
          <w:lang w:val="zh-CN"/>
        </w:rPr>
      </w:r>
      <w:r/>
    </w:p>
    <w:p>
      <w:pPr>
        <w:jc w:val="both"/>
        <w:spacing w:line="360" w:lineRule="auto"/>
        <w:rPr>
          <w:rFonts w:ascii="宋体" w:hAnsi="宋体" w:cs="宋体"/>
          <w:color w:val="auto"/>
          <w:sz w:val="21"/>
          <w:szCs w:val="21"/>
          <w:highlight w:val="none"/>
          <w:lang w:val="zh-CN"/>
        </w:rPr>
      </w:pPr>
      <w:r>
        <w:rPr>
          <w:rFonts w:ascii="宋体" w:hAnsi="宋体" w:cs="宋体"/>
          <w:color w:val="auto"/>
          <w:sz w:val="21"/>
          <w:szCs w:val="21"/>
          <w:highlight w:val="none"/>
          <w:lang w:val="zh-CN"/>
        </w:rPr>
      </w:r>
      <w:r/>
    </w:p>
    <w:p>
      <w:pPr>
        <w:jc w:val="both"/>
        <w:spacing w:line="360" w:lineRule="auto"/>
        <w:rPr>
          <w:rFonts w:ascii="宋体" w:hAnsi="宋体" w:cs="宋体"/>
          <w:color w:val="auto"/>
          <w:sz w:val="21"/>
          <w:szCs w:val="21"/>
          <w:highlight w:val="none"/>
          <w:lang w:val="zh-CN"/>
        </w:rPr>
      </w:pPr>
      <w:r>
        <w:rPr>
          <w:rFonts w:ascii="宋体" w:hAnsi="宋体" w:cs="宋体"/>
          <w:color w:val="auto"/>
          <w:sz w:val="21"/>
          <w:szCs w:val="21"/>
          <w:highlight w:val="none"/>
          <w:lang w:val="zh-CN"/>
        </w:rPr>
      </w:r>
      <w:r/>
    </w:p>
    <w:p>
      <w:pPr>
        <w:rPr>
          <w:rFonts w:ascii="宋体" w:hAnsi="宋体" w:cs="宋体"/>
          <w:b/>
          <w:color w:val="auto"/>
          <w:sz w:val="32"/>
          <w:szCs w:val="32"/>
          <w:highlight w:val="none"/>
          <w:lang w:val="zh-CN"/>
        </w:rPr>
      </w:pPr>
      <w:r/>
      <w:bookmarkStart w:id="28" w:name="_Toc1478"/>
      <w:r>
        <w:rPr>
          <w:rFonts w:hint="eastAsia" w:ascii="宋体" w:hAnsi="宋体" w:cs="宋体"/>
          <w:b/>
          <w:color w:val="auto"/>
          <w:sz w:val="32"/>
          <w:szCs w:val="32"/>
          <w:highlight w:val="none"/>
          <w:lang w:val="zh-CN"/>
        </w:rPr>
        <w:br w:type="page" w:clear="all"/>
      </w:r>
      <w:r/>
    </w:p>
    <w:p>
      <w:pPr>
        <w:jc w:val="center"/>
        <w:spacing w:line="360" w:lineRule="auto"/>
        <w:widowControl w:val="off"/>
        <w:rPr>
          <w:rFonts w:ascii="宋体" w:hAnsi="宋体" w:cs="宋体"/>
          <w:b/>
          <w:color w:val="auto"/>
          <w:sz w:val="32"/>
          <w:szCs w:val="32"/>
          <w:highlight w:val="none"/>
          <w:lang w:val="zh-CN"/>
        </w:rPr>
        <w:outlineLvl w:val="0"/>
      </w:pPr>
      <w:r/>
      <w:bookmarkStart w:id="29" w:name="_Toc15583"/>
      <w:r>
        <w:rPr>
          <w:rFonts w:hint="eastAsia" w:ascii="宋体" w:hAnsi="宋体" w:cs="宋体"/>
          <w:b/>
          <w:color w:val="auto"/>
          <w:sz w:val="32"/>
          <w:szCs w:val="32"/>
          <w:highlight w:val="none"/>
          <w:lang w:val="zh-CN"/>
        </w:rPr>
        <w:t xml:space="preserve">第四章</w:t>
      </w:r>
      <w:r>
        <w:rPr>
          <w:rFonts w:hint="eastAsia" w:ascii="宋体" w:hAnsi="宋体" w:cs="宋体"/>
          <w:b/>
          <w:color w:val="auto"/>
          <w:sz w:val="32"/>
          <w:szCs w:val="32"/>
          <w:highlight w:val="none"/>
        </w:rPr>
        <w:t xml:space="preserve"> </w:t>
      </w:r>
      <w:r>
        <w:rPr>
          <w:rFonts w:hint="eastAsia" w:ascii="宋体" w:hAnsi="宋体" w:cs="宋体"/>
          <w:b/>
          <w:color w:val="auto"/>
          <w:sz w:val="32"/>
          <w:szCs w:val="32"/>
          <w:highlight w:val="none"/>
          <w:lang w:val="zh-CN"/>
        </w:rPr>
        <w:t xml:space="preserve">招标书</w:t>
      </w:r>
      <w:bookmarkEnd w:id="28"/>
      <w:r/>
      <w:bookmarkEnd w:id="29"/>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受苏州市市场监督管理局委托，苏州乐慧招投标咨询有限公司对其拟采购的</w:t>
      </w:r>
      <w:r>
        <w:rPr>
          <w:rFonts w:hint="eastAsia" w:ascii="宋体" w:hAnsi="宋体" w:cs="宋体"/>
          <w:color w:val="auto"/>
          <w:sz w:val="21"/>
          <w:szCs w:val="21"/>
          <w:highlight w:val="none"/>
          <w:lang w:eastAsia="zh-CN"/>
        </w:rPr>
        <w:t xml:space="preserve">2026年度产品质量监督抽查和风险监测项目（原五标段）</w:t>
      </w:r>
      <w:r>
        <w:rPr>
          <w:rFonts w:hint="eastAsia" w:ascii="宋体" w:hAnsi="宋体" w:cs="宋体"/>
          <w:color w:val="auto"/>
          <w:sz w:val="21"/>
          <w:szCs w:val="21"/>
          <w:highlight w:val="none"/>
        </w:rPr>
        <w:t xml:space="preserve">在国内组织公开招标。欢迎符合招标公告投标资格条件的各供应商前来参加投标。</w:t>
      </w:r>
      <w:r/>
    </w:p>
    <w:p>
      <w:pPr>
        <w:ind w:firstLine="422"/>
        <w:jc w:val="both"/>
        <w:spacing w:line="360" w:lineRule="auto"/>
        <w:widowControl w:val="off"/>
        <w:rPr>
          <w:rFonts w:ascii="宋体" w:hAnsi="宋体" w:cs="宋体"/>
          <w:b/>
          <w:color w:val="auto"/>
          <w:sz w:val="21"/>
          <w:szCs w:val="21"/>
          <w:highlight w:val="none"/>
        </w:rPr>
        <w:outlineLvl w:val="1"/>
      </w:pPr>
      <w:r>
        <w:rPr>
          <w:rFonts w:hint="eastAsia" w:ascii="宋体" w:hAnsi="宋体" w:cs="宋体"/>
          <w:b/>
          <w:color w:val="auto"/>
          <w:sz w:val="21"/>
          <w:szCs w:val="21"/>
          <w:highlight w:val="none"/>
        </w:rPr>
        <w:t xml:space="preserve">一、项目概况：</w:t>
      </w:r>
      <w:r/>
    </w:p>
    <w:p>
      <w:pPr>
        <w:ind w:firstLine="422"/>
        <w:jc w:val="both"/>
        <w:spacing w:line="360" w:lineRule="auto"/>
        <w:widowControl w:val="off"/>
        <w:rPr>
          <w:rFonts w:ascii="宋体" w:hAnsi="宋体" w:cs="宋体"/>
          <w:b/>
          <w:color w:val="auto"/>
          <w:sz w:val="21"/>
          <w:szCs w:val="21"/>
          <w:highlight w:val="none"/>
        </w:rPr>
        <w:outlineLvl w:val="1"/>
      </w:pPr>
      <w:r>
        <w:rPr>
          <w:rFonts w:hint="eastAsia" w:ascii="宋体" w:hAnsi="宋体" w:cs="宋体"/>
          <w:b/>
          <w:color w:val="auto"/>
          <w:sz w:val="21"/>
          <w:szCs w:val="21"/>
          <w:highlight w:val="none"/>
        </w:rPr>
        <w:t xml:space="preserve">1.</w:t>
      </w:r>
      <w:r>
        <w:rPr>
          <w:rFonts w:hint="eastAsia" w:ascii="宋体" w:hAnsi="宋体" w:cs="宋体"/>
          <w:b/>
          <w:color w:val="auto"/>
          <w:sz w:val="21"/>
          <w:szCs w:val="21"/>
          <w:highlight w:val="none"/>
          <w:lang w:val="zh-CN"/>
        </w:rPr>
        <w:t xml:space="preserve">项目编号：</w:t>
      </w:r>
      <w:r>
        <w:rPr>
          <w:rFonts w:hint="eastAsia" w:ascii="宋体" w:hAnsi="宋体" w:cs="宋体"/>
          <w:b/>
          <w:color w:val="auto"/>
          <w:sz w:val="21"/>
          <w:szCs w:val="21"/>
          <w:highlight w:val="none"/>
          <w:lang w:eastAsia="zh-CN"/>
        </w:rPr>
        <w:t xml:space="preserve">JSZC-320500-LHZX-G2026-0007</w:t>
      </w:r>
      <w:r>
        <w:rPr>
          <w:rFonts w:hint="eastAsia" w:ascii="宋体" w:hAnsi="宋体" w:cs="宋体"/>
          <w:b/>
          <w:color w:val="auto"/>
          <w:sz w:val="21"/>
          <w:szCs w:val="21"/>
          <w:highlight w:val="none"/>
        </w:rPr>
        <w:t xml:space="preserve">   </w:t>
      </w:r>
      <w:r/>
    </w:p>
    <w:p>
      <w:pPr>
        <w:ind w:firstLine="422"/>
        <w:jc w:val="both"/>
        <w:spacing w:line="360" w:lineRule="auto"/>
        <w:widowControl w:val="off"/>
        <w:rPr>
          <w:rFonts w:hint="eastAsia" w:ascii="宋体" w:hAnsi="宋体" w:eastAsia="宋体" w:cs="宋体"/>
          <w:b/>
          <w:color w:val="auto"/>
          <w:sz w:val="21"/>
          <w:szCs w:val="21"/>
          <w:highlight w:val="none"/>
          <w:lang w:eastAsia="zh-CN"/>
        </w:rPr>
        <w:outlineLvl w:val="1"/>
      </w:pPr>
      <w:r>
        <w:rPr>
          <w:rFonts w:hint="eastAsia" w:ascii="宋体" w:hAnsi="宋体" w:cs="宋体"/>
          <w:b/>
          <w:color w:val="auto"/>
          <w:sz w:val="21"/>
          <w:szCs w:val="21"/>
          <w:highlight w:val="none"/>
        </w:rPr>
        <w:t xml:space="preserve">2.</w:t>
      </w:r>
      <w:r>
        <w:rPr>
          <w:rFonts w:hint="eastAsia" w:ascii="宋体" w:hAnsi="宋体" w:cs="宋体"/>
          <w:b/>
          <w:color w:val="auto"/>
          <w:sz w:val="21"/>
          <w:szCs w:val="21"/>
          <w:highlight w:val="none"/>
          <w:lang w:val="zh-CN"/>
        </w:rPr>
        <w:t xml:space="preserve">采购项目名称：</w:t>
      </w:r>
      <w:r>
        <w:rPr>
          <w:rFonts w:hint="eastAsia" w:ascii="宋体" w:hAnsi="宋体" w:cs="宋体"/>
          <w:bCs/>
          <w:color w:val="auto"/>
          <w:sz w:val="21"/>
          <w:szCs w:val="21"/>
          <w:highlight w:val="none"/>
          <w:lang w:eastAsia="zh-CN"/>
        </w:rPr>
        <w:t xml:space="preserve">2026年度产品质量监督抽查和风险监测项目（原五标段）</w:t>
      </w:r>
      <w:r/>
    </w:p>
    <w:p>
      <w:pPr>
        <w:ind w:firstLine="422"/>
        <w:jc w:val="both"/>
        <w:spacing w:line="360" w:lineRule="auto"/>
        <w:widowControl w:val="off"/>
        <w:rPr>
          <w:rFonts w:hint="eastAsia" w:ascii="宋体" w:hAnsi="宋体" w:eastAsia="宋体" w:cs="宋体"/>
          <w:bCs/>
          <w:color w:val="auto"/>
          <w:sz w:val="21"/>
          <w:szCs w:val="21"/>
          <w:highlight w:val="none"/>
          <w:lang w:eastAsia="zh-CN"/>
        </w:rPr>
        <w:outlineLvl w:val="1"/>
      </w:pPr>
      <w:r>
        <w:rPr>
          <w:rFonts w:hint="eastAsia" w:ascii="宋体" w:hAnsi="宋体" w:cs="宋体"/>
          <w:b/>
          <w:color w:val="auto"/>
          <w:sz w:val="21"/>
          <w:szCs w:val="21"/>
          <w:highlight w:val="none"/>
        </w:rPr>
        <w:t xml:space="preserve">3.采购</w:t>
      </w:r>
      <w:r>
        <w:rPr>
          <w:rFonts w:hint="eastAsia" w:ascii="宋体" w:hAnsi="宋体" w:cs="宋体"/>
          <w:b/>
          <w:color w:val="auto"/>
          <w:sz w:val="21"/>
          <w:szCs w:val="21"/>
          <w:highlight w:val="none"/>
          <w:lang w:val="zh-CN"/>
        </w:rPr>
        <w:t xml:space="preserve">预算（</w:t>
      </w:r>
      <w:r>
        <w:rPr>
          <w:rFonts w:hint="eastAsia" w:ascii="宋体" w:hAnsi="宋体" w:cs="宋体"/>
          <w:b/>
          <w:color w:val="auto"/>
          <w:sz w:val="21"/>
          <w:szCs w:val="21"/>
          <w:highlight w:val="none"/>
        </w:rPr>
        <w:t xml:space="preserve">最高限价</w:t>
      </w:r>
      <w:r>
        <w:rPr>
          <w:rFonts w:hint="eastAsia" w:ascii="宋体" w:hAnsi="宋体" w:cs="宋体"/>
          <w:b/>
          <w:color w:val="auto"/>
          <w:sz w:val="21"/>
          <w:szCs w:val="21"/>
          <w:highlight w:val="none"/>
          <w:lang w:val="zh-CN"/>
        </w:rPr>
        <w:t xml:space="preserve">）：</w:t>
      </w:r>
      <w:r>
        <w:rPr>
          <w:rFonts w:hint="eastAsia" w:ascii="宋体" w:hAnsi="宋体" w:cs="宋体"/>
          <w:color w:val="auto"/>
          <w:sz w:val="21"/>
          <w:szCs w:val="21"/>
          <w:highlight w:val="none"/>
          <w:lang w:eastAsia="zh-CN"/>
        </w:rPr>
        <w:t xml:space="preserve">人民币壹拾玖万捌仟陆佰伍拾元整（￥198650.00）</w:t>
      </w:r>
      <w:r/>
    </w:p>
    <w:p>
      <w:pPr>
        <w:ind w:firstLine="422"/>
        <w:spacing w:line="360" w:lineRule="auto"/>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二、采购内容：</w:t>
      </w:r>
      <w:r/>
    </w:p>
    <w:tbl>
      <w:tblPr>
        <w:tblStyle w:val="752"/>
        <w:tblW w:w="91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7"/>
        <w:gridCol w:w="1449"/>
        <w:gridCol w:w="5390"/>
        <w:gridCol w:w="1501"/>
      </w:tblGrid>
      <w:tr>
        <w:trPr>
          <w:jc w:val="center"/>
          <w:trHeight w:val="340"/>
        </w:trPr>
        <w:tc>
          <w:tcPr>
            <w:tcMar>
              <w:left w:w="11" w:type="dxa"/>
              <w:top w:w="0" w:type="dxa"/>
              <w:right w:w="11" w:type="dxa"/>
              <w:bottom w:w="0" w:type="dxa"/>
            </w:tcMar>
            <w:tcW w:w="827" w:type="dxa"/>
            <w:vAlign w:val="center"/>
            <w:textDirection w:val="lrTb"/>
            <w:noWrap w:val="false"/>
          </w:tcPr>
          <w:p>
            <w:pPr>
              <w:jc w:val="center"/>
              <w:rPr>
                <w:rFonts w:hint="eastAsia" w:ascii="宋体" w:hAnsi="宋体" w:eastAsia="宋体" w:cs="宋体"/>
                <w:b/>
                <w:bCs/>
                <w:color w:val="auto"/>
                <w:sz w:val="21"/>
                <w:szCs w:val="21"/>
                <w:highlight w:val="none"/>
                <w:lang w:eastAsia="zh-CN"/>
              </w:rPr>
            </w:pPr>
            <w:r>
              <w:rPr>
                <w:rFonts w:hint="eastAsia" w:ascii="宋体" w:hAnsi="宋体" w:cs="宋体"/>
                <w:b/>
                <w:bCs/>
                <w:color w:val="auto"/>
                <w:sz w:val="21"/>
                <w:szCs w:val="21"/>
                <w:highlight w:val="none"/>
                <w:lang w:val="en-US" w:eastAsia="zh-CN"/>
              </w:rPr>
              <w:t xml:space="preserve">序号</w:t>
            </w:r>
            <w:r/>
          </w:p>
        </w:tc>
        <w:tc>
          <w:tcPr>
            <w:tcMar>
              <w:left w:w="11" w:type="dxa"/>
              <w:top w:w="0" w:type="dxa"/>
              <w:right w:w="11" w:type="dxa"/>
              <w:bottom w:w="0" w:type="dxa"/>
            </w:tcMar>
            <w:tcW w:w="1449" w:type="dxa"/>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lang w:eastAsia="zh-CN"/>
              </w:rPr>
              <w:t xml:space="preserve">采购包</w:t>
            </w:r>
            <w:r>
              <w:rPr>
                <w:rFonts w:hint="eastAsia" w:ascii="宋体" w:hAnsi="宋体" w:cs="宋体"/>
                <w:b/>
                <w:bCs/>
                <w:color w:val="auto"/>
                <w:sz w:val="21"/>
                <w:szCs w:val="21"/>
                <w:highlight w:val="none"/>
              </w:rPr>
              <w:t xml:space="preserve">名称</w:t>
            </w:r>
            <w:r/>
          </w:p>
        </w:tc>
        <w:tc>
          <w:tcPr>
            <w:tcMar>
              <w:left w:w="11" w:type="dxa"/>
              <w:top w:w="0" w:type="dxa"/>
              <w:right w:w="11" w:type="dxa"/>
              <w:bottom w:w="0" w:type="dxa"/>
            </w:tcMar>
            <w:tcW w:w="5390" w:type="dxa"/>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产品名称</w:t>
            </w:r>
            <w:r/>
          </w:p>
        </w:tc>
        <w:tc>
          <w:tcPr>
            <w:tcMar>
              <w:left w:w="11" w:type="dxa"/>
              <w:top w:w="0" w:type="dxa"/>
              <w:right w:w="11" w:type="dxa"/>
              <w:bottom w:w="0" w:type="dxa"/>
            </w:tcMar>
            <w:tcW w:w="1501" w:type="dxa"/>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采购预算（元）</w:t>
            </w:r>
            <w:r/>
          </w:p>
        </w:tc>
      </w:tr>
      <w:tr>
        <w:trPr>
          <w:jc w:val="center"/>
          <w:trHeight w:val="340"/>
        </w:trPr>
        <w:tc>
          <w:tcPr>
            <w:tcMar>
              <w:left w:w="11" w:type="dxa"/>
              <w:top w:w="0" w:type="dxa"/>
              <w:right w:w="11" w:type="dxa"/>
              <w:bottom w:w="0" w:type="dxa"/>
            </w:tcMar>
            <w:tcW w:w="827"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1</w:t>
            </w:r>
            <w:r/>
          </w:p>
        </w:tc>
        <w:tc>
          <w:tcPr>
            <w:tcMar>
              <w:left w:w="11" w:type="dxa"/>
              <w:top w:w="0" w:type="dxa"/>
              <w:right w:w="11" w:type="dxa"/>
              <w:bottom w:w="0" w:type="dxa"/>
            </w:tcMar>
            <w:tcW w:w="1449"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厨卫家电专项</w:t>
            </w:r>
            <w:r/>
          </w:p>
        </w:tc>
        <w:tc>
          <w:tcPr>
            <w:tcMar>
              <w:left w:w="11" w:type="dxa"/>
              <w:top w:w="0" w:type="dxa"/>
              <w:right w:w="11" w:type="dxa"/>
              <w:bottom w:w="0" w:type="dxa"/>
            </w:tcMar>
            <w:tcW w:w="5390" w:type="dxa"/>
            <w:vAlign w:val="center"/>
            <w:textDirection w:val="lrTb"/>
            <w:noWrap w:val="false"/>
          </w:tcPr>
          <w:p>
            <w:pPr>
              <w:jc w:val="both"/>
              <w:rPr>
                <w:rFonts w:ascii="宋体" w:hAnsi="宋体" w:cs="宋体"/>
                <w:color w:val="auto"/>
                <w:sz w:val="21"/>
                <w:szCs w:val="21"/>
                <w:highlight w:val="none"/>
              </w:rPr>
            </w:pPr>
            <w:r>
              <w:rPr>
                <w:rFonts w:hint="eastAsia" w:ascii="宋体" w:hAnsi="宋体" w:cs="宋体"/>
                <w:color w:val="auto"/>
                <w:sz w:val="21"/>
                <w:szCs w:val="21"/>
                <w:highlight w:val="none"/>
              </w:rPr>
              <w:t xml:space="preserve">吸油烟机，微波炉，储水式电热水器</w:t>
            </w:r>
            <w:r/>
          </w:p>
        </w:tc>
        <w:tc>
          <w:tcPr>
            <w:tcMar>
              <w:left w:w="11" w:type="dxa"/>
              <w:top w:w="0" w:type="dxa"/>
              <w:right w:w="11" w:type="dxa"/>
              <w:bottom w:w="0" w:type="dxa"/>
            </w:tcMar>
            <w:tcW w:w="1501"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198650.00</w:t>
            </w:r>
            <w:r/>
          </w:p>
        </w:tc>
      </w:tr>
    </w:tbl>
    <w:p>
      <w:pPr>
        <w:pStyle w:val="835"/>
        <w:ind w:left="0"/>
        <w:spacing w:line="360" w:lineRule="auto"/>
        <w:rPr>
          <w:rFonts w:hint="eastAsia" w:ascii="宋体" w:hAnsi="宋体" w:eastAsia="宋体" w:cs="宋体"/>
          <w:b/>
          <w:bCs/>
          <w:color w:val="auto"/>
          <w:sz w:val="21"/>
          <w:szCs w:val="21"/>
          <w:highlight w:val="none"/>
          <w:lang w:val="zh-CN"/>
        </w:rPr>
      </w:pPr>
      <w:r>
        <w:rPr>
          <w:rFonts w:hint="eastAsia" w:ascii="宋体" w:hAnsi="宋体" w:cs="宋体"/>
          <w:b/>
          <w:color w:val="auto"/>
          <w:sz w:val="21"/>
          <w:szCs w:val="21"/>
          <w:highlight w:val="none"/>
          <w:lang w:val="en-US" w:eastAsia="zh-CN"/>
        </w:rPr>
        <w:t xml:space="preserve">注：</w:t>
      </w:r>
      <w:r>
        <w:rPr>
          <w:rFonts w:hint="eastAsia" w:ascii="宋体" w:hAnsi="宋体" w:eastAsia="宋体" w:cs="宋体"/>
          <w:color w:val="auto"/>
          <w:sz w:val="21"/>
          <w:szCs w:val="21"/>
          <w:highlight w:val="none"/>
          <w:lang w:val="zh-CN"/>
        </w:rPr>
        <w:t xml:space="preserve">1）</w:t>
      </w:r>
      <w:r>
        <w:rPr>
          <w:rFonts w:hint="eastAsia" w:ascii="宋体" w:hAnsi="宋体" w:eastAsia="宋体" w:cs="宋体"/>
          <w:b/>
          <w:bCs/>
          <w:color w:val="auto"/>
          <w:sz w:val="21"/>
          <w:szCs w:val="21"/>
          <w:highlight w:val="none"/>
          <w:lang w:val="zh-CN"/>
        </w:rPr>
        <w:t xml:space="preserve">已参与JSZC-320500-LHZX-G2026-0004</w:t>
      </w:r>
      <w:r>
        <w:rPr>
          <w:rFonts w:hint="eastAsia" w:ascii="宋体" w:hAnsi="宋体" w:eastAsia="宋体" w:cs="宋体"/>
          <w:b/>
          <w:bCs/>
          <w:color w:val="auto"/>
          <w:sz w:val="21"/>
          <w:szCs w:val="21"/>
          <w:highlight w:val="none"/>
          <w:lang w:val="en-US" w:eastAsia="zh-CN"/>
        </w:rPr>
        <w:t xml:space="preserve">号项目</w:t>
      </w:r>
      <w:r>
        <w:rPr>
          <w:rFonts w:hint="eastAsia" w:ascii="宋体" w:hAnsi="宋体" w:eastAsia="宋体" w:cs="宋体"/>
          <w:b/>
          <w:bCs/>
          <w:color w:val="auto"/>
          <w:sz w:val="21"/>
          <w:szCs w:val="21"/>
          <w:highlight w:val="none"/>
          <w:lang w:val="zh-CN"/>
        </w:rPr>
        <w:t xml:space="preserve">并中标两个标段的</w:t>
      </w:r>
      <w:r>
        <w:rPr>
          <w:rFonts w:hint="eastAsia" w:ascii="宋体" w:hAnsi="宋体" w:eastAsia="宋体" w:cs="宋体"/>
          <w:b/>
          <w:bCs/>
          <w:color w:val="auto"/>
          <w:sz w:val="21"/>
          <w:szCs w:val="21"/>
          <w:highlight w:val="none"/>
          <w:lang w:val="en-US" w:eastAsia="zh-CN"/>
        </w:rPr>
        <w:t xml:space="preserve">投标</w:t>
      </w:r>
      <w:r>
        <w:rPr>
          <w:rFonts w:hint="eastAsia" w:ascii="宋体" w:hAnsi="宋体" w:eastAsia="宋体" w:cs="宋体"/>
          <w:b/>
          <w:bCs/>
          <w:color w:val="auto"/>
          <w:sz w:val="21"/>
          <w:szCs w:val="21"/>
          <w:highlight w:val="none"/>
          <w:lang w:val="zh-CN"/>
        </w:rPr>
        <w:t xml:space="preserve">单位不得再参与本项目的投标。</w:t>
      </w:r>
      <w:r/>
    </w:p>
    <w:p>
      <w:pPr>
        <w:pStyle w:val="835"/>
        <w:ind w:left="0"/>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zh-CN"/>
        </w:rPr>
        <w:t xml:space="preserve">在合同签订之前，若某采购包因质疑、投诉等事项导致中标结果改变的，则不影响其它采购包的中标结果。</w:t>
      </w:r>
      <w:r/>
    </w:p>
    <w:p>
      <w:pPr>
        <w:ind w:firstLine="422"/>
        <w:keepLines w:val="0"/>
        <w:keepNext w:val="0"/>
        <w:pageBreakBefore w:val="0"/>
        <w:spacing w:line="360" w:lineRule="auto"/>
        <w:widowControl/>
        <w:rPr>
          <w:rFonts w:ascii="宋体" w:hAnsi="宋体" w:cs="宋体"/>
          <w:b/>
          <w:color w:val="auto"/>
          <w:sz w:val="21"/>
          <w:szCs w:val="21"/>
          <w:highlight w:val="none"/>
        </w:rPr>
        <w:outlineLvl w:val="1"/>
      </w:pPr>
      <w:r>
        <w:rPr>
          <w:rFonts w:hint="eastAsia" w:ascii="宋体" w:hAnsi="宋体" w:cs="宋体"/>
          <w:b/>
          <w:color w:val="auto"/>
          <w:sz w:val="21"/>
          <w:szCs w:val="21"/>
          <w:highlight w:val="none"/>
        </w:rPr>
        <w:t xml:space="preserve">三、产品抽检方式及批次、检测依据和检测方法：</w:t>
      </w:r>
      <w:r/>
    </w:p>
    <w:p>
      <w:pPr>
        <w:pStyle w:val="835"/>
        <w:ind w:left="0" w:firstLine="0"/>
        <w:keepLines w:val="0"/>
        <w:keepNext w:val="0"/>
        <w:pageBreakBefore w:val="0"/>
        <w:spacing w:line="360" w:lineRule="auto"/>
        <w:widowControl/>
        <w:rPr>
          <w:rFonts w:ascii="宋体" w:hAnsi="宋体" w:eastAsia="宋体" w:cs="宋体"/>
          <w:b/>
          <w:color w:val="auto"/>
          <w:highlight w:val="none"/>
        </w:rPr>
        <w:outlineLvl w:val="2"/>
      </w:pPr>
      <w:r>
        <w:rPr>
          <w:rFonts w:hint="eastAsia" w:ascii="宋体" w:hAnsi="宋体" w:eastAsia="宋体" w:cs="宋体"/>
          <w:b/>
          <w:color w:val="auto"/>
          <w:highlight w:val="none"/>
        </w:rPr>
        <w:t xml:space="preserve">厨卫家电（3个品种50批次）</w:t>
      </w:r>
      <w:r/>
    </w:p>
    <w:p>
      <w:pPr>
        <w:pStyle w:val="835"/>
        <w:ind w:left="0" w:firstLine="422"/>
        <w:keepLines w:val="0"/>
        <w:keepNext w:val="0"/>
        <w:pageBreakBefore w:val="0"/>
        <w:spacing w:line="360" w:lineRule="auto"/>
        <w:widowControl/>
        <w:rPr>
          <w:rFonts w:ascii="宋体" w:hAnsi="宋体" w:eastAsia="宋体" w:cs="宋体"/>
          <w:b/>
          <w:color w:val="auto"/>
          <w:sz w:val="21"/>
          <w:szCs w:val="21"/>
          <w:highlight w:val="none"/>
        </w:rPr>
        <w:outlineLvl w:val="3"/>
      </w:pPr>
      <w:r>
        <w:rPr>
          <w:rFonts w:hint="eastAsia" w:ascii="宋体" w:hAnsi="宋体" w:eastAsia="宋体" w:cs="宋体"/>
          <w:b/>
          <w:color w:val="auto"/>
          <w:sz w:val="21"/>
          <w:szCs w:val="21"/>
          <w:highlight w:val="none"/>
        </w:rPr>
        <w:t xml:space="preserve">（一）抽检方式及批次</w:t>
      </w:r>
      <w:r/>
    </w:p>
    <w:tbl>
      <w:tblPr>
        <w:tblStyle w:val="752"/>
        <w:tblW w:w="916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686"/>
        <w:gridCol w:w="1093"/>
        <w:gridCol w:w="1881"/>
        <w:gridCol w:w="23"/>
        <w:gridCol w:w="1721"/>
        <w:gridCol w:w="1084"/>
        <w:gridCol w:w="714"/>
        <w:gridCol w:w="948"/>
        <w:gridCol w:w="1008"/>
        <w:gridCol w:w="9"/>
      </w:tblGrid>
      <w:tr>
        <w:trPr>
          <w:trHeight w:val="340"/>
        </w:trPr>
        <w:tc>
          <w:tcPr>
            <w:gridSpan w:val="2"/>
            <w:shd w:val="clear" w:color="auto" w:fill="ffffff"/>
            <w:tcMar>
              <w:left w:w="51" w:type="dxa"/>
              <w:top w:w="0" w:type="dxa"/>
              <w:right w:w="51" w:type="dxa"/>
              <w:bottom w:w="0" w:type="dxa"/>
            </w:tcMar>
            <w:tcW w:w="1779" w:type="dxa"/>
            <w:vAlign w:val="center"/>
            <w:vMerge w:val="restart"/>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序号</w:t>
            </w:r>
            <w:r/>
          </w:p>
        </w:tc>
        <w:tc>
          <w:tcPr>
            <w:shd w:val="clear" w:color="auto" w:fill="ffffff"/>
            <w:tcMar>
              <w:left w:w="51" w:type="dxa"/>
              <w:top w:w="0" w:type="dxa"/>
              <w:right w:w="51" w:type="dxa"/>
              <w:bottom w:w="0" w:type="dxa"/>
            </w:tcMar>
            <w:tcW w:w="1881" w:type="dxa"/>
            <w:vAlign w:val="center"/>
            <w:vMerge w:val="restart"/>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产品名称</w:t>
            </w:r>
            <w:r/>
          </w:p>
        </w:tc>
        <w:tc>
          <w:tcPr>
            <w:gridSpan w:val="2"/>
            <w:shd w:val="clear" w:color="auto" w:fill="ffffff"/>
            <w:tcMar>
              <w:left w:w="51" w:type="dxa"/>
              <w:top w:w="0" w:type="dxa"/>
              <w:right w:w="51" w:type="dxa"/>
              <w:bottom w:w="0" w:type="dxa"/>
            </w:tcMar>
            <w:tcW w:w="1744" w:type="dxa"/>
            <w:vAlign w:val="center"/>
            <w:vMerge w:val="restart"/>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抽检方式（监督抽查/风险监测</w:t>
            </w:r>
            <w:r/>
          </w:p>
        </w:tc>
        <w:tc>
          <w:tcPr>
            <w:gridSpan w:val="2"/>
            <w:shd w:val="clear" w:color="auto" w:fill="ffffff"/>
            <w:tcMar>
              <w:left w:w="51" w:type="dxa"/>
              <w:top w:w="0" w:type="dxa"/>
              <w:right w:w="51" w:type="dxa"/>
              <w:bottom w:w="0" w:type="dxa"/>
            </w:tcMar>
            <w:tcW w:w="1798" w:type="dxa"/>
            <w:vAlign w:val="center"/>
            <w:vMerge w:val="restart"/>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2026年抽检计划</w:t>
            </w:r>
            <w:r/>
          </w:p>
        </w:tc>
        <w:tc>
          <w:tcPr>
            <w:shd w:val="clear" w:color="auto" w:fill="ffffff"/>
            <w:tcMar>
              <w:left w:w="51" w:type="dxa"/>
              <w:top w:w="0" w:type="dxa"/>
              <w:right w:w="51" w:type="dxa"/>
              <w:bottom w:w="0" w:type="dxa"/>
            </w:tcMar>
            <w:tcW w:w="948" w:type="dxa"/>
            <w:vAlign w:val="center"/>
            <w:vMerge w:val="restart"/>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限价（元/批次）</w:t>
            </w:r>
            <w:r/>
          </w:p>
        </w:tc>
        <w:tc>
          <w:tcPr>
            <w:gridSpan w:val="2"/>
            <w:shd w:val="clear" w:color="auto" w:fill="ffffff"/>
            <w:tcMar>
              <w:left w:w="51" w:type="dxa"/>
              <w:top w:w="0" w:type="dxa"/>
              <w:right w:w="51" w:type="dxa"/>
              <w:bottom w:w="0" w:type="dxa"/>
            </w:tcMar>
            <w:tcW w:w="1017" w:type="dxa"/>
            <w:vAlign w:val="center"/>
            <w:vMerge w:val="restart"/>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总预算（元）</w:t>
            </w:r>
            <w:r/>
          </w:p>
        </w:tc>
      </w:tr>
      <w:tr>
        <w:trPr>
          <w:trHeight w:val="340"/>
        </w:trPr>
        <w:tc>
          <w:tcPr>
            <w:gridSpan w:val="2"/>
            <w:shd w:val="clear" w:color="auto" w:fill="ffffff"/>
            <w:tcMar>
              <w:left w:w="51" w:type="dxa"/>
              <w:top w:w="0" w:type="dxa"/>
              <w:right w:w="51" w:type="dxa"/>
              <w:bottom w:w="0" w:type="dxa"/>
            </w:tcMar>
            <w:tcW w:w="1779" w:type="dxa"/>
            <w:vAlign w:val="center"/>
            <w:vMerge w:val="continue"/>
            <w:textDirection w:val="lrTb"/>
            <w:noWrap w:val="false"/>
          </w:tcPr>
          <w:p>
            <w:pPr>
              <w:jc w:val="center"/>
              <w:rPr>
                <w:rFonts w:ascii="宋体" w:hAnsi="宋体" w:cs="宋体"/>
                <w:b/>
                <w:bCs/>
                <w:color w:val="auto"/>
                <w:sz w:val="21"/>
                <w:szCs w:val="21"/>
                <w:highlight w:val="none"/>
              </w:rPr>
            </w:pPr>
            <w:r>
              <w:rPr>
                <w:rFonts w:ascii="宋体" w:hAnsi="宋体" w:cs="宋体"/>
                <w:b/>
                <w:bCs/>
                <w:color w:val="auto"/>
                <w:sz w:val="21"/>
                <w:szCs w:val="21"/>
                <w:highlight w:val="none"/>
              </w:rPr>
            </w:r>
            <w:r/>
          </w:p>
        </w:tc>
        <w:tc>
          <w:tcPr>
            <w:shd w:val="clear" w:color="auto" w:fill="ffffff"/>
            <w:tcMar>
              <w:left w:w="51" w:type="dxa"/>
              <w:top w:w="0" w:type="dxa"/>
              <w:right w:w="51" w:type="dxa"/>
              <w:bottom w:w="0" w:type="dxa"/>
            </w:tcMar>
            <w:tcW w:w="1881" w:type="dxa"/>
            <w:vAlign w:val="center"/>
            <w:vMerge w:val="continue"/>
            <w:textDirection w:val="lrTb"/>
            <w:noWrap w:val="false"/>
          </w:tcPr>
          <w:p>
            <w:pPr>
              <w:jc w:val="center"/>
              <w:rPr>
                <w:rFonts w:ascii="宋体" w:hAnsi="宋体" w:cs="宋体"/>
                <w:b/>
                <w:bCs/>
                <w:color w:val="auto"/>
                <w:sz w:val="21"/>
                <w:szCs w:val="21"/>
                <w:highlight w:val="none"/>
              </w:rPr>
            </w:pPr>
            <w:r>
              <w:rPr>
                <w:rFonts w:ascii="宋体" w:hAnsi="宋体" w:cs="宋体"/>
                <w:b/>
                <w:bCs/>
                <w:color w:val="auto"/>
                <w:sz w:val="21"/>
                <w:szCs w:val="21"/>
                <w:highlight w:val="none"/>
              </w:rPr>
            </w:r>
            <w:r/>
          </w:p>
        </w:tc>
        <w:tc>
          <w:tcPr>
            <w:gridSpan w:val="2"/>
            <w:shd w:val="clear" w:color="auto" w:fill="ffffff"/>
            <w:tcMar>
              <w:left w:w="51" w:type="dxa"/>
              <w:top w:w="0" w:type="dxa"/>
              <w:right w:w="51" w:type="dxa"/>
              <w:bottom w:w="0" w:type="dxa"/>
            </w:tcMar>
            <w:tcW w:w="1744" w:type="dxa"/>
            <w:vAlign w:val="center"/>
            <w:vMerge w:val="continue"/>
            <w:textDirection w:val="lrTb"/>
            <w:noWrap w:val="false"/>
          </w:tcPr>
          <w:p>
            <w:pPr>
              <w:jc w:val="center"/>
              <w:rPr>
                <w:rFonts w:ascii="宋体" w:hAnsi="宋体" w:cs="宋体"/>
                <w:b/>
                <w:bCs/>
                <w:color w:val="auto"/>
                <w:sz w:val="21"/>
                <w:szCs w:val="21"/>
                <w:highlight w:val="none"/>
              </w:rPr>
            </w:pPr>
            <w:r>
              <w:rPr>
                <w:rFonts w:ascii="宋体" w:hAnsi="宋体" w:cs="宋体"/>
                <w:b/>
                <w:bCs/>
                <w:color w:val="auto"/>
                <w:sz w:val="21"/>
                <w:szCs w:val="21"/>
                <w:highlight w:val="none"/>
              </w:rPr>
            </w:r>
            <w:r/>
          </w:p>
        </w:tc>
        <w:tc>
          <w:tcPr>
            <w:gridSpan w:val="2"/>
            <w:shd w:val="clear" w:color="auto" w:fill="ffffff"/>
            <w:tcMar>
              <w:left w:w="51" w:type="dxa"/>
              <w:top w:w="0" w:type="dxa"/>
              <w:right w:w="51" w:type="dxa"/>
              <w:bottom w:w="0" w:type="dxa"/>
            </w:tcMar>
            <w:tcW w:w="1798" w:type="dxa"/>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最低批次</w:t>
            </w:r>
            <w:r/>
          </w:p>
        </w:tc>
        <w:tc>
          <w:tcPr>
            <w:shd w:val="clear" w:color="auto" w:fill="ffffff"/>
            <w:tcMar>
              <w:left w:w="51" w:type="dxa"/>
              <w:top w:w="0" w:type="dxa"/>
              <w:right w:w="51" w:type="dxa"/>
              <w:bottom w:w="0" w:type="dxa"/>
            </w:tcMar>
            <w:tcW w:w="948" w:type="dxa"/>
            <w:vAlign w:val="center"/>
            <w:vMerge w:val="continue"/>
            <w:textDirection w:val="lrTb"/>
            <w:noWrap w:val="false"/>
          </w:tcPr>
          <w:p>
            <w:pPr>
              <w:jc w:val="center"/>
              <w:rPr>
                <w:rFonts w:ascii="宋体" w:hAnsi="宋体" w:cs="宋体"/>
                <w:b/>
                <w:bCs/>
                <w:color w:val="auto"/>
                <w:sz w:val="21"/>
                <w:szCs w:val="21"/>
                <w:highlight w:val="none"/>
              </w:rPr>
            </w:pPr>
            <w:r>
              <w:rPr>
                <w:rFonts w:ascii="宋体" w:hAnsi="宋体" w:cs="宋体"/>
                <w:b/>
                <w:bCs/>
                <w:color w:val="auto"/>
                <w:sz w:val="21"/>
                <w:szCs w:val="21"/>
                <w:highlight w:val="none"/>
              </w:rPr>
            </w:r>
            <w:r/>
          </w:p>
        </w:tc>
        <w:tc>
          <w:tcPr>
            <w:gridSpan w:val="2"/>
            <w:shd w:val="clear" w:color="auto" w:fill="ffffff"/>
            <w:tcMar>
              <w:left w:w="51" w:type="dxa"/>
              <w:top w:w="0" w:type="dxa"/>
              <w:right w:w="51" w:type="dxa"/>
              <w:bottom w:w="0" w:type="dxa"/>
            </w:tcMar>
            <w:tcW w:w="1017" w:type="dxa"/>
            <w:vAlign w:val="center"/>
            <w:vMerge w:val="continue"/>
            <w:textDirection w:val="lrTb"/>
            <w:noWrap w:val="false"/>
          </w:tcPr>
          <w:p>
            <w:pPr>
              <w:jc w:val="center"/>
              <w:rPr>
                <w:rFonts w:ascii="宋体" w:hAnsi="宋体" w:cs="宋体"/>
                <w:b/>
                <w:bCs/>
                <w:color w:val="auto"/>
                <w:sz w:val="21"/>
                <w:szCs w:val="21"/>
                <w:highlight w:val="none"/>
              </w:rPr>
            </w:pPr>
            <w:r>
              <w:rPr>
                <w:rFonts w:ascii="宋体" w:hAnsi="宋体" w:cs="宋体"/>
                <w:b/>
                <w:bCs/>
                <w:color w:val="auto"/>
                <w:sz w:val="21"/>
                <w:szCs w:val="21"/>
                <w:highlight w:val="none"/>
              </w:rPr>
            </w:r>
            <w:r/>
          </w:p>
        </w:tc>
      </w:tr>
      <w:tr>
        <w:trPr>
          <w:trHeight w:val="340"/>
        </w:trPr>
        <w:tc>
          <w:tcPr>
            <w:gridSpan w:val="2"/>
            <w:shd w:val="clear" w:color="auto" w:fill="ffffff"/>
            <w:tcMar>
              <w:left w:w="51" w:type="dxa"/>
              <w:top w:w="0" w:type="dxa"/>
              <w:right w:w="51" w:type="dxa"/>
              <w:bottom w:w="0" w:type="dxa"/>
            </w:tcMar>
            <w:tcW w:w="1779"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shd w:val="clear" w:color="auto" w:fill="ffffff"/>
            <w:tcMar>
              <w:left w:w="51" w:type="dxa"/>
              <w:top w:w="0" w:type="dxa"/>
              <w:right w:w="51" w:type="dxa"/>
              <w:bottom w:w="0" w:type="dxa"/>
            </w:tcMar>
            <w:tcW w:w="1881"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吸油烟机</w:t>
            </w:r>
            <w:r/>
          </w:p>
        </w:tc>
        <w:tc>
          <w:tcPr>
            <w:gridSpan w:val="2"/>
            <w:shd w:val="clear" w:color="auto" w:fill="ffffff"/>
            <w:tcMar>
              <w:left w:w="51" w:type="dxa"/>
              <w:top w:w="0" w:type="dxa"/>
              <w:right w:w="51" w:type="dxa"/>
              <w:bottom w:w="0" w:type="dxa"/>
            </w:tcMar>
            <w:tcW w:w="1744"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监督抽查</w:t>
            </w:r>
            <w:r/>
          </w:p>
        </w:tc>
        <w:tc>
          <w:tcPr>
            <w:gridSpan w:val="2"/>
            <w:shd w:val="clear" w:color="auto" w:fill="ffffff"/>
            <w:tcMar>
              <w:left w:w="51" w:type="dxa"/>
              <w:top w:w="0" w:type="dxa"/>
              <w:right w:w="51" w:type="dxa"/>
              <w:bottom w:w="0" w:type="dxa"/>
            </w:tcMar>
            <w:tcW w:w="1798" w:type="dxa"/>
            <w:vAlign w:val="center"/>
            <w:textDirection w:val="lrTb"/>
            <w:noWrap w:val="false"/>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 xml:space="preserve">15</w:t>
            </w:r>
            <w:r/>
          </w:p>
        </w:tc>
        <w:tc>
          <w:tcPr>
            <w:shd w:val="clear" w:color="auto" w:fill="ffffff"/>
            <w:tcMar>
              <w:left w:w="51" w:type="dxa"/>
              <w:top w:w="0" w:type="dxa"/>
              <w:right w:w="51" w:type="dxa"/>
              <w:bottom w:w="0" w:type="dxa"/>
            </w:tcMar>
            <w:tcW w:w="948" w:type="dxa"/>
            <w:vAlign w:val="center"/>
            <w:textDirection w:val="lrTb"/>
            <w:noWrap w:val="false"/>
          </w:tcPr>
          <w:p>
            <w:pPr>
              <w:jc w:val="center"/>
              <w:rPr>
                <w:rFonts w:ascii="宋体" w:hAnsi="宋体" w:cs="宋体"/>
                <w:b/>
                <w:color w:val="auto"/>
                <w:sz w:val="20"/>
                <w:szCs w:val="20"/>
                <w:highlight w:val="none"/>
              </w:rPr>
            </w:pPr>
            <w:r>
              <w:rPr>
                <w:rFonts w:hint="eastAsia" w:ascii="宋体" w:hAnsi="宋体" w:cs="宋体"/>
                <w:b/>
                <w:color w:val="auto"/>
                <w:sz w:val="20"/>
                <w:szCs w:val="20"/>
                <w:highlight w:val="none"/>
              </w:rPr>
              <w:t xml:space="preserve">2910.00</w:t>
            </w:r>
            <w:r/>
          </w:p>
        </w:tc>
        <w:tc>
          <w:tcPr>
            <w:gridSpan w:val="2"/>
            <w:shd w:val="clear" w:color="auto" w:fill="ffffff"/>
            <w:tcMar>
              <w:left w:w="51" w:type="dxa"/>
              <w:top w:w="0" w:type="dxa"/>
              <w:right w:w="51" w:type="dxa"/>
              <w:bottom w:w="0" w:type="dxa"/>
            </w:tcMar>
            <w:tcW w:w="1017" w:type="dxa"/>
            <w:vAlign w:val="center"/>
            <w:textDirection w:val="lrTb"/>
            <w:noWrap w:val="false"/>
          </w:tcPr>
          <w:p>
            <w:pPr>
              <w:jc w:val="center"/>
              <w:rPr>
                <w:rFonts w:ascii="宋体" w:hAnsi="宋体" w:cs="宋体"/>
                <w:b/>
                <w:color w:val="auto"/>
                <w:sz w:val="20"/>
                <w:szCs w:val="20"/>
                <w:highlight w:val="none"/>
              </w:rPr>
            </w:pPr>
            <w:r>
              <w:rPr>
                <w:rFonts w:hint="eastAsia" w:ascii="宋体" w:hAnsi="宋体" w:cs="宋体"/>
                <w:b/>
                <w:color w:val="auto"/>
                <w:sz w:val="20"/>
                <w:szCs w:val="20"/>
                <w:highlight w:val="none"/>
              </w:rPr>
              <w:t xml:space="preserve">43650.00</w:t>
            </w:r>
            <w:r/>
          </w:p>
        </w:tc>
      </w:tr>
      <w:tr>
        <w:trPr>
          <w:trHeight w:val="340"/>
        </w:trPr>
        <w:tc>
          <w:tcPr>
            <w:gridSpan w:val="2"/>
            <w:shd w:val="clear" w:color="auto" w:fill="ffffff"/>
            <w:tcMar>
              <w:left w:w="51" w:type="dxa"/>
              <w:top w:w="0" w:type="dxa"/>
              <w:right w:w="51" w:type="dxa"/>
              <w:bottom w:w="0" w:type="dxa"/>
            </w:tcMar>
            <w:tcW w:w="1779"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shd w:val="clear" w:color="auto" w:fill="ffffff"/>
            <w:tcMar>
              <w:left w:w="51" w:type="dxa"/>
              <w:top w:w="0" w:type="dxa"/>
              <w:right w:w="51" w:type="dxa"/>
              <w:bottom w:w="0" w:type="dxa"/>
            </w:tcMar>
            <w:tcW w:w="1881"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微波炉</w:t>
            </w:r>
            <w:r/>
          </w:p>
        </w:tc>
        <w:tc>
          <w:tcPr>
            <w:gridSpan w:val="2"/>
            <w:shd w:val="clear" w:color="auto" w:fill="ffffff"/>
            <w:tcMar>
              <w:left w:w="51" w:type="dxa"/>
              <w:top w:w="0" w:type="dxa"/>
              <w:right w:w="51" w:type="dxa"/>
              <w:bottom w:w="0" w:type="dxa"/>
            </w:tcMar>
            <w:tcW w:w="1744"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监督抽查</w:t>
            </w:r>
            <w:r/>
          </w:p>
        </w:tc>
        <w:tc>
          <w:tcPr>
            <w:gridSpan w:val="2"/>
            <w:shd w:val="clear" w:color="auto" w:fill="ffffff"/>
            <w:tcMar>
              <w:left w:w="51" w:type="dxa"/>
              <w:top w:w="0" w:type="dxa"/>
              <w:right w:w="51" w:type="dxa"/>
              <w:bottom w:w="0" w:type="dxa"/>
            </w:tcMar>
            <w:tcW w:w="1798" w:type="dxa"/>
            <w:vAlign w:val="center"/>
            <w:textDirection w:val="lrTb"/>
            <w:noWrap w:val="false"/>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 xml:space="preserve">15</w:t>
            </w:r>
            <w:r/>
          </w:p>
        </w:tc>
        <w:tc>
          <w:tcPr>
            <w:shd w:val="clear" w:color="auto" w:fill="ffffff"/>
            <w:tcMar>
              <w:left w:w="51" w:type="dxa"/>
              <w:top w:w="0" w:type="dxa"/>
              <w:right w:w="51" w:type="dxa"/>
              <w:bottom w:w="0" w:type="dxa"/>
            </w:tcMar>
            <w:tcW w:w="948" w:type="dxa"/>
            <w:vAlign w:val="center"/>
            <w:textDirection w:val="lrTb"/>
            <w:noWrap w:val="false"/>
          </w:tcPr>
          <w:p>
            <w:pPr>
              <w:jc w:val="center"/>
              <w:rPr>
                <w:rFonts w:ascii="宋体" w:hAnsi="宋体" w:cs="宋体"/>
                <w:b/>
                <w:color w:val="auto"/>
                <w:sz w:val="20"/>
                <w:szCs w:val="20"/>
                <w:highlight w:val="none"/>
              </w:rPr>
            </w:pPr>
            <w:r>
              <w:rPr>
                <w:rFonts w:hint="eastAsia" w:ascii="宋体" w:hAnsi="宋体" w:cs="宋体"/>
                <w:b/>
                <w:color w:val="auto"/>
                <w:sz w:val="20"/>
                <w:szCs w:val="20"/>
                <w:highlight w:val="none"/>
              </w:rPr>
              <w:t xml:space="preserve">5000.00</w:t>
            </w:r>
            <w:r/>
          </w:p>
        </w:tc>
        <w:tc>
          <w:tcPr>
            <w:gridSpan w:val="2"/>
            <w:shd w:val="clear" w:color="auto" w:fill="ffffff"/>
            <w:tcMar>
              <w:left w:w="51" w:type="dxa"/>
              <w:top w:w="0" w:type="dxa"/>
              <w:right w:w="51" w:type="dxa"/>
              <w:bottom w:w="0" w:type="dxa"/>
            </w:tcMar>
            <w:tcW w:w="1017" w:type="dxa"/>
            <w:vAlign w:val="center"/>
            <w:textDirection w:val="lrTb"/>
            <w:noWrap w:val="false"/>
          </w:tcPr>
          <w:p>
            <w:pPr>
              <w:jc w:val="center"/>
              <w:rPr>
                <w:rFonts w:ascii="宋体" w:hAnsi="宋体" w:cs="宋体"/>
                <w:b/>
                <w:color w:val="auto"/>
                <w:sz w:val="20"/>
                <w:szCs w:val="20"/>
                <w:highlight w:val="none"/>
              </w:rPr>
            </w:pPr>
            <w:r>
              <w:rPr>
                <w:rFonts w:hint="eastAsia" w:ascii="宋体" w:hAnsi="宋体" w:cs="宋体"/>
                <w:b/>
                <w:color w:val="auto"/>
                <w:sz w:val="20"/>
                <w:szCs w:val="20"/>
                <w:highlight w:val="none"/>
              </w:rPr>
              <w:t xml:space="preserve">75000.00</w:t>
            </w:r>
            <w:r/>
          </w:p>
        </w:tc>
      </w:tr>
      <w:tr>
        <w:trPr>
          <w:trHeight w:val="340"/>
        </w:trPr>
        <w:tc>
          <w:tcPr>
            <w:gridSpan w:val="2"/>
            <w:shd w:val="clear" w:color="auto" w:fill="ffffff"/>
            <w:tcMar>
              <w:left w:w="51" w:type="dxa"/>
              <w:top w:w="0" w:type="dxa"/>
              <w:right w:w="51" w:type="dxa"/>
              <w:bottom w:w="0" w:type="dxa"/>
            </w:tcMar>
            <w:tcW w:w="1779"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shd w:val="clear" w:color="auto" w:fill="ffffff"/>
            <w:tcMar>
              <w:left w:w="51" w:type="dxa"/>
              <w:top w:w="0" w:type="dxa"/>
              <w:right w:w="51" w:type="dxa"/>
              <w:bottom w:w="0" w:type="dxa"/>
            </w:tcMar>
            <w:tcW w:w="1881"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储水式电热水器</w:t>
            </w:r>
            <w:r/>
          </w:p>
        </w:tc>
        <w:tc>
          <w:tcPr>
            <w:gridSpan w:val="2"/>
            <w:shd w:val="clear" w:color="auto" w:fill="ffffff"/>
            <w:tcMar>
              <w:left w:w="51" w:type="dxa"/>
              <w:top w:w="0" w:type="dxa"/>
              <w:right w:w="51" w:type="dxa"/>
              <w:bottom w:w="0" w:type="dxa"/>
            </w:tcMar>
            <w:tcW w:w="1744"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监督抽查</w:t>
            </w:r>
            <w:r/>
          </w:p>
        </w:tc>
        <w:tc>
          <w:tcPr>
            <w:gridSpan w:val="2"/>
            <w:shd w:val="clear" w:color="auto" w:fill="ffffff"/>
            <w:tcMar>
              <w:left w:w="51" w:type="dxa"/>
              <w:top w:w="0" w:type="dxa"/>
              <w:right w:w="51" w:type="dxa"/>
              <w:bottom w:w="0" w:type="dxa"/>
            </w:tcMar>
            <w:tcW w:w="1798" w:type="dxa"/>
            <w:vAlign w:val="center"/>
            <w:textDirection w:val="lrTb"/>
            <w:noWrap w:val="false"/>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 xml:space="preserve">20</w:t>
            </w:r>
            <w:r/>
          </w:p>
        </w:tc>
        <w:tc>
          <w:tcPr>
            <w:shd w:val="clear" w:color="auto" w:fill="ffffff"/>
            <w:tcMar>
              <w:left w:w="51" w:type="dxa"/>
              <w:top w:w="0" w:type="dxa"/>
              <w:right w:w="51" w:type="dxa"/>
              <w:bottom w:w="0" w:type="dxa"/>
            </w:tcMar>
            <w:tcW w:w="948" w:type="dxa"/>
            <w:vAlign w:val="center"/>
            <w:textDirection w:val="lrTb"/>
            <w:noWrap w:val="false"/>
          </w:tcPr>
          <w:p>
            <w:pPr>
              <w:jc w:val="center"/>
              <w:rPr>
                <w:rFonts w:ascii="宋体" w:hAnsi="宋体" w:cs="宋体"/>
                <w:b/>
                <w:color w:val="auto"/>
                <w:sz w:val="20"/>
                <w:szCs w:val="20"/>
                <w:highlight w:val="none"/>
              </w:rPr>
            </w:pPr>
            <w:r>
              <w:rPr>
                <w:rFonts w:hint="eastAsia" w:ascii="宋体" w:hAnsi="宋体" w:cs="宋体"/>
                <w:b/>
                <w:color w:val="auto"/>
                <w:sz w:val="20"/>
                <w:szCs w:val="20"/>
                <w:highlight w:val="none"/>
              </w:rPr>
              <w:t xml:space="preserve">4000.00 </w:t>
            </w:r>
            <w:r/>
          </w:p>
        </w:tc>
        <w:tc>
          <w:tcPr>
            <w:gridSpan w:val="2"/>
            <w:shd w:val="clear" w:color="auto" w:fill="ffffff"/>
            <w:tcMar>
              <w:left w:w="51" w:type="dxa"/>
              <w:top w:w="0" w:type="dxa"/>
              <w:right w:w="51" w:type="dxa"/>
              <w:bottom w:w="0" w:type="dxa"/>
            </w:tcMar>
            <w:tcW w:w="1017" w:type="dxa"/>
            <w:vAlign w:val="center"/>
            <w:textDirection w:val="lrTb"/>
            <w:noWrap w:val="false"/>
          </w:tcPr>
          <w:p>
            <w:pPr>
              <w:jc w:val="center"/>
              <w:rPr>
                <w:rFonts w:ascii="宋体" w:hAnsi="宋体" w:cs="宋体"/>
                <w:b/>
                <w:color w:val="auto"/>
                <w:sz w:val="20"/>
                <w:szCs w:val="20"/>
                <w:highlight w:val="none"/>
              </w:rPr>
            </w:pPr>
            <w:r>
              <w:rPr>
                <w:rFonts w:hint="eastAsia" w:ascii="宋体" w:hAnsi="宋体" w:cs="宋体"/>
                <w:b/>
                <w:color w:val="auto"/>
                <w:sz w:val="20"/>
                <w:szCs w:val="20"/>
                <w:highlight w:val="none"/>
              </w:rPr>
              <w:t xml:space="preserve">80000.00</w:t>
            </w:r>
            <w:r/>
          </w:p>
        </w:tc>
      </w:tr>
      <w:tr>
        <w:trPr>
          <w:gridAfter w:val="1"/>
          <w:trHeight w:val="340"/>
        </w:trPr>
        <w:tc>
          <w:tcPr>
            <w:gridSpan w:val="9"/>
            <w:shd w:val="clear" w:color="auto" w:fill="auto"/>
            <w:tcBorders>
              <w:top w:val="none" w:color="000000" w:sz="4" w:space="0"/>
              <w:left w:val="none" w:color="000000" w:sz="4" w:space="0"/>
              <w:bottom w:val="single" w:color="auto" w:sz="4" w:space="0"/>
              <w:right w:val="none" w:color="000000" w:sz="4" w:space="0"/>
            </w:tcBorders>
            <w:tcMar>
              <w:left w:w="51" w:type="dxa"/>
              <w:top w:w="0" w:type="dxa"/>
              <w:right w:w="51" w:type="dxa"/>
              <w:bottom w:w="0" w:type="dxa"/>
            </w:tcMar>
            <w:tcW w:w="9158" w:type="dxa"/>
            <w:vAlign w:val="center"/>
            <w:textDirection w:val="lrTb"/>
            <w:noWrap/>
          </w:tcPr>
          <w:p>
            <w:pPr>
              <w:pStyle w:val="835"/>
              <w:ind w:left="0" w:firstLine="422"/>
              <w:spacing w:before="120" w:line="240" w:lineRule="auto"/>
              <w:rPr>
                <w:rFonts w:ascii="宋体" w:hAnsi="宋体" w:eastAsia="宋体" w:cs="宋体"/>
                <w:b/>
                <w:color w:val="auto"/>
                <w:sz w:val="21"/>
                <w:szCs w:val="21"/>
                <w:highlight w:val="none"/>
              </w:rPr>
              <w:outlineLvl w:val="3"/>
            </w:pPr>
            <w:r>
              <w:rPr>
                <w:rFonts w:hint="eastAsia" w:ascii="宋体" w:hAnsi="宋体" w:eastAsia="宋体" w:cs="宋体"/>
                <w:b/>
                <w:color w:val="auto"/>
                <w:sz w:val="21"/>
                <w:szCs w:val="21"/>
                <w:highlight w:val="none"/>
              </w:rPr>
              <w:t xml:space="preserve">（二）2026年检测依据和检测方法</w:t>
            </w:r>
            <w:r/>
          </w:p>
          <w:p>
            <w:pPr>
              <w:spacing w:before="120"/>
              <w:rPr>
                <w:rFonts w:ascii="宋体" w:hAnsi="宋体" w:cs="宋体"/>
                <w:color w:val="auto"/>
                <w:sz w:val="21"/>
                <w:szCs w:val="21"/>
                <w:highlight w:val="none"/>
              </w:rPr>
            </w:pPr>
            <w:r>
              <w:rPr>
                <w:rFonts w:hint="eastAsia" w:ascii="宋体" w:hAnsi="宋体" w:cs="宋体"/>
                <w:b/>
                <w:bCs/>
                <w:color w:val="auto"/>
                <w:sz w:val="21"/>
                <w:szCs w:val="21"/>
                <w:highlight w:val="none"/>
              </w:rPr>
              <w:t xml:space="preserve">1、吸油烟机</w:t>
            </w:r>
            <w:r/>
          </w:p>
        </w:tc>
      </w:tr>
      <w:tr>
        <w:trPr>
          <w:gridAfter w:val="1"/>
          <w:trHeight w:val="340"/>
        </w:trPr>
        <w:tc>
          <w:tcPr>
            <w:shd w:val="clear" w:color="auto" w:fill="auto"/>
            <w:tcBorders>
              <w:top w:val="single" w:color="auto" w:sz="4" w:space="0"/>
              <w:left w:val="single" w:color="000000" w:sz="4" w:space="0"/>
              <w:bottom w:val="single" w:color="000000" w:sz="4" w:space="0"/>
              <w:right w:val="single" w:color="000000" w:sz="4" w:space="0"/>
            </w:tcBorders>
            <w:tcMar>
              <w:left w:w="51" w:type="dxa"/>
              <w:top w:w="0" w:type="dxa"/>
              <w:right w:w="51" w:type="dxa"/>
              <w:bottom w:w="0" w:type="dxa"/>
            </w:tcMar>
            <w:tcW w:w="686" w:type="dxa"/>
            <w:vAlign w:val="center"/>
            <w:textDirection w:val="lrTb"/>
            <w:noWrap/>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序号</w:t>
            </w:r>
            <w:r/>
          </w:p>
        </w:tc>
        <w:tc>
          <w:tcPr>
            <w:gridSpan w:val="3"/>
            <w:shd w:val="clear" w:color="auto" w:fill="auto"/>
            <w:tcBorders>
              <w:top w:val="single" w:color="auto" w:sz="4" w:space="0"/>
              <w:left w:val="single" w:color="000000" w:sz="4" w:space="0"/>
              <w:bottom w:val="single" w:color="000000" w:sz="4" w:space="0"/>
              <w:right w:val="single" w:color="000000" w:sz="4" w:space="0"/>
            </w:tcBorders>
            <w:tcMar>
              <w:left w:w="51" w:type="dxa"/>
              <w:top w:w="0" w:type="dxa"/>
              <w:right w:w="51" w:type="dxa"/>
              <w:bottom w:w="0" w:type="dxa"/>
            </w:tcMar>
            <w:tcW w:w="2997" w:type="dxa"/>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检验项目</w:t>
            </w:r>
            <w:r/>
          </w:p>
        </w:tc>
        <w:tc>
          <w:tcPr>
            <w:gridSpan w:val="2"/>
            <w:shd w:val="clear" w:color="auto" w:fill="auto"/>
            <w:tcBorders>
              <w:top w:val="single" w:color="auto" w:sz="4" w:space="0"/>
              <w:left w:val="single" w:color="000000" w:sz="4" w:space="0"/>
              <w:bottom w:val="single" w:color="000000" w:sz="4" w:space="0"/>
              <w:right w:val="single" w:color="000000" w:sz="4" w:space="0"/>
            </w:tcBorders>
            <w:tcMar>
              <w:left w:w="51" w:type="dxa"/>
              <w:top w:w="0" w:type="dxa"/>
              <w:right w:w="51" w:type="dxa"/>
              <w:bottom w:w="0" w:type="dxa"/>
            </w:tcMar>
            <w:tcW w:w="2805" w:type="dxa"/>
            <w:vAlign w:val="center"/>
            <w:textDirection w:val="lrTb"/>
            <w:noWrap/>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检验依据</w:t>
            </w:r>
            <w:r/>
          </w:p>
        </w:tc>
        <w:tc>
          <w:tcPr>
            <w:gridSpan w:val="3"/>
            <w:shd w:val="clear" w:color="auto" w:fill="auto"/>
            <w:tcBorders>
              <w:top w:val="single" w:color="auto" w:sz="4" w:space="0"/>
              <w:left w:val="single" w:color="000000" w:sz="4" w:space="0"/>
              <w:bottom w:val="single" w:color="000000" w:sz="4" w:space="0"/>
              <w:right w:val="single" w:color="000000" w:sz="4" w:space="0"/>
            </w:tcBorders>
            <w:tcMar>
              <w:left w:w="51" w:type="dxa"/>
              <w:top w:w="0" w:type="dxa"/>
              <w:right w:w="51" w:type="dxa"/>
              <w:bottom w:w="0" w:type="dxa"/>
            </w:tcMar>
            <w:tcW w:w="2670" w:type="dxa"/>
            <w:vAlign w:val="center"/>
            <w:textDirection w:val="lrTb"/>
            <w:noWrap/>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检验检测方法</w:t>
            </w:r>
            <w:r/>
          </w:p>
        </w:tc>
      </w:tr>
      <w:tr>
        <w:trPr>
          <w:gridAfter w:val="1"/>
          <w:trHeight w:val="340"/>
        </w:trPr>
        <w:tc>
          <w:tcPr>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86"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997"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对触及带电部件的防护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805"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4706.1—2005</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4706.28—2008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4706.28—2024</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67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4706.1—2005</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4706.28—2008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4706.28—2024</w:t>
            </w:r>
            <w:r/>
          </w:p>
        </w:tc>
      </w:tr>
      <w:tr>
        <w:trPr>
          <w:gridAfter w:val="1"/>
          <w:trHeight w:val="340"/>
        </w:trPr>
        <w:tc>
          <w:tcPr>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86"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997"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输入功率和电流</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805"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4706.1—2005</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4706.28—2008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4706.28—2024</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67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4706.1—2005</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4706.28—2008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4706.28—2024</w:t>
            </w:r>
            <w:r/>
          </w:p>
        </w:tc>
      </w:tr>
      <w:tr>
        <w:trPr>
          <w:gridAfter w:val="1"/>
          <w:trHeight w:val="340"/>
        </w:trPr>
        <w:tc>
          <w:tcPr>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86"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997"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发热</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805"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4706.1—2005</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4706.28—2008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4706.28—2024</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67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4706.1—2005</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4706.28—2008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4706.28—2024</w:t>
            </w:r>
            <w:r/>
          </w:p>
        </w:tc>
      </w:tr>
      <w:tr>
        <w:trPr>
          <w:gridAfter w:val="1"/>
          <w:trHeight w:val="340"/>
        </w:trPr>
        <w:tc>
          <w:tcPr>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86"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997"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工作温度下的泄漏电流和电气强度</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805"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4706.1—2005</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4706.28—2008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4706.28—2024</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67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4706.1—2005</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4706.28—2008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4706.28—2024</w:t>
            </w:r>
            <w:r/>
          </w:p>
        </w:tc>
      </w:tr>
      <w:tr>
        <w:trPr>
          <w:gridAfter w:val="1"/>
          <w:trHeight w:val="340"/>
        </w:trPr>
        <w:tc>
          <w:tcPr>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86"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997"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耐潮湿</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805"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4706.1—2005</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4706.28—2008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4706.28—2024</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67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4706.1—2005</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4706.28—2008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4706.28—2024</w:t>
            </w:r>
            <w:r/>
          </w:p>
        </w:tc>
      </w:tr>
      <w:tr>
        <w:trPr>
          <w:gridAfter w:val="1"/>
          <w:trHeight w:val="340"/>
        </w:trPr>
        <w:tc>
          <w:tcPr>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86"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6</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997"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泄漏电流和电气强度</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805"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4706.1—2005</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4706.28—2008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4706.28—2024</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67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4706.1—2005</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4706.28—2008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4706.28—2024</w:t>
            </w:r>
            <w:r/>
          </w:p>
        </w:tc>
      </w:tr>
      <w:tr>
        <w:trPr>
          <w:gridAfter w:val="1"/>
          <w:trHeight w:val="340"/>
        </w:trPr>
        <w:tc>
          <w:tcPr>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86"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7</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997"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非正常工作（不包括第19.11.4条试验）</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805"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4706.1—2005</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4706.28—2008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4706.28—2024</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67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4706.1—2005</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4706.28—2008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4706.28—2024</w:t>
            </w:r>
            <w:r/>
          </w:p>
        </w:tc>
      </w:tr>
      <w:tr>
        <w:trPr>
          <w:gridAfter w:val="1"/>
          <w:trHeight w:val="340"/>
        </w:trPr>
        <w:tc>
          <w:tcPr>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86"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8</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997"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稳定性和机械危险</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805"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4706.1—2005</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4706.28—2008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4706.28—2024</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67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4706.1—2005</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4706.28—2008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4706.28—2024</w:t>
            </w:r>
            <w:r/>
          </w:p>
        </w:tc>
      </w:tr>
      <w:tr>
        <w:trPr>
          <w:gridAfter w:val="1"/>
          <w:trHeight w:val="340"/>
        </w:trPr>
        <w:tc>
          <w:tcPr>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86"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9</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997"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机械强度</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805"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4706.1—2005</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4706.28—2008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4706.28—2024</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67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4706.1—2005</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4706.28—2008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4706.28—2024</w:t>
            </w:r>
            <w:r/>
          </w:p>
        </w:tc>
      </w:tr>
      <w:tr>
        <w:trPr>
          <w:gridAfter w:val="1"/>
          <w:trHeight w:val="340"/>
        </w:trPr>
        <w:tc>
          <w:tcPr>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86"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10</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997"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结构（不包括第22.46条试验）</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805"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4706.1—2005</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4706.28—2008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4706.28—2024</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67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4706.1—2005</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4706.28—2008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4706.28—2024</w:t>
            </w:r>
            <w:r/>
          </w:p>
        </w:tc>
      </w:tr>
      <w:tr>
        <w:trPr>
          <w:gridAfter w:val="1"/>
          <w:trHeight w:val="340"/>
        </w:trPr>
        <w:tc>
          <w:tcPr>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86"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11</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997"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内部布线</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805"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4706.1—2005</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4706.28—2008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4706.28—2024</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67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4706.1—2005</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4706.28—2008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4706.28—2024</w:t>
            </w:r>
            <w:r/>
          </w:p>
        </w:tc>
      </w:tr>
      <w:tr>
        <w:trPr>
          <w:gridAfter w:val="1"/>
          <w:trHeight w:val="340"/>
        </w:trPr>
        <w:tc>
          <w:tcPr>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86"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12</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997"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电源连接和外部软线</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805"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4706.1—2005</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4706.28—2008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4706.28—2024</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67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4706.1—2005</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4706.28—2008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4706.28—2024</w:t>
            </w:r>
            <w:r/>
          </w:p>
        </w:tc>
      </w:tr>
      <w:tr>
        <w:trPr>
          <w:gridAfter w:val="1"/>
          <w:trHeight w:val="340"/>
        </w:trPr>
        <w:tc>
          <w:tcPr>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86"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13</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997"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外部导线用接线端子</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或外部导体用接线端子</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805"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4706.1—2005</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4706.28—2008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4706.28—2024</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67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4706.1—2005</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4706.28—2008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4706.28—2024</w:t>
            </w:r>
            <w:r/>
          </w:p>
        </w:tc>
      </w:tr>
      <w:tr>
        <w:trPr>
          <w:gridAfter w:val="1"/>
          <w:trHeight w:val="340"/>
        </w:trPr>
        <w:tc>
          <w:tcPr>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86"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14</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997"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接地措施</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805"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4706.1—2005</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4706.28—2008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4706.28—2024</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67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4706.1—2005</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4706.28—2008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4706.28—2024v</w:t>
            </w:r>
            <w:r/>
          </w:p>
        </w:tc>
      </w:tr>
      <w:tr>
        <w:trPr>
          <w:gridAfter w:val="1"/>
          <w:trHeight w:val="340"/>
        </w:trPr>
        <w:tc>
          <w:tcPr>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86"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15</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997"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螺钉和连接</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805"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4706.1—2005</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4706.28—2008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4706.28—2024</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67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4706.1—2005</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4706.28—2008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4706.28—2024</w:t>
            </w:r>
            <w:r/>
          </w:p>
        </w:tc>
      </w:tr>
      <w:tr>
        <w:trPr>
          <w:gridAfter w:val="1"/>
          <w:trHeight w:val="340"/>
        </w:trPr>
        <w:tc>
          <w:tcPr>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86"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16</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997"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电气间隙、爬电距离和固体绝缘</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805"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4706.1—2005</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4706.28—2008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4706.28—2024</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67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4706.1—2005</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4706.28—2008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4706.28—2024</w:t>
            </w:r>
            <w:r/>
          </w:p>
        </w:tc>
      </w:tr>
      <w:tr>
        <w:trPr>
          <w:gridAfter w:val="1"/>
          <w:trHeight w:val="340"/>
        </w:trPr>
        <w:tc>
          <w:tcPr>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86"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17</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997"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噪声</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805"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19606—2004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19606—2024</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67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19606—2004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19606—2024</w:t>
            </w:r>
            <w:r/>
          </w:p>
        </w:tc>
      </w:tr>
      <w:tr>
        <w:trPr>
          <w:gridAfter w:val="1"/>
          <w:trHeight w:val="340"/>
        </w:trPr>
        <w:tc>
          <w:tcPr>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86"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18</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997"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空气性能（风量、风压）</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805"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17713—2011</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67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17713—2011</w:t>
            </w:r>
            <w:r/>
          </w:p>
        </w:tc>
      </w:tr>
      <w:tr>
        <w:trPr>
          <w:gridAfter w:val="1"/>
          <w:trHeight w:val="340"/>
        </w:trPr>
        <w:tc>
          <w:tcPr>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86"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19</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997"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空气性能（工作风量、最大风量、最大静压）</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805"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17713-2022</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67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GB/T 17713-2022</w:t>
            </w:r>
            <w:r/>
          </w:p>
        </w:tc>
      </w:tr>
      <w:tr>
        <w:trPr>
          <w:gridAfter w:val="1"/>
          <w:trHeight w:val="340"/>
        </w:trPr>
        <w:tc>
          <w:tcPr>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86"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20</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997"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全压效率</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805"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29539—2013</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67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29539—2013</w:t>
            </w:r>
            <w:r/>
          </w:p>
        </w:tc>
      </w:tr>
      <w:tr>
        <w:trPr>
          <w:gridAfter w:val="1"/>
          <w:trHeight w:val="340"/>
        </w:trPr>
        <w:tc>
          <w:tcPr>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86"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21</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997"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待机功率</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805"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29539—2013</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67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29539—2013</w:t>
            </w:r>
            <w:r/>
          </w:p>
        </w:tc>
      </w:tr>
      <w:tr>
        <w:trPr>
          <w:gridAfter w:val="1"/>
          <w:trHeight w:val="340"/>
        </w:trPr>
        <w:tc>
          <w:tcPr>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86"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22</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997"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关机功率</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805"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29539—2013</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67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29539—2013</w:t>
            </w:r>
            <w:r/>
          </w:p>
        </w:tc>
      </w:tr>
      <w:tr>
        <w:trPr>
          <w:gridAfter w:val="1"/>
          <w:trHeight w:val="340"/>
        </w:trPr>
        <w:tc>
          <w:tcPr>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86"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23</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997"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常态气味降低度</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805"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29539—2013</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67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29539—2013</w:t>
            </w:r>
            <w:r/>
          </w:p>
        </w:tc>
      </w:tr>
      <w:tr>
        <w:trPr>
          <w:gridAfter w:val="1"/>
          <w:trHeight w:val="340"/>
        </w:trPr>
        <w:tc>
          <w:tcPr>
            <w:gridSpan w:val="9"/>
            <w:shd w:val="clear" w:color="auto" w:fill="auto"/>
            <w:tcBorders>
              <w:top w:val="none" w:color="000000" w:sz="4" w:space="0"/>
              <w:left w:val="none" w:color="000000" w:sz="4" w:space="0"/>
              <w:bottom w:val="none" w:color="000000" w:sz="4" w:space="0"/>
              <w:right w:val="none" w:color="000000" w:sz="4" w:space="0"/>
            </w:tcBorders>
            <w:tcMar>
              <w:left w:w="51" w:type="dxa"/>
              <w:top w:w="0" w:type="dxa"/>
              <w:right w:w="51" w:type="dxa"/>
              <w:bottom w:w="0" w:type="dxa"/>
            </w:tcMar>
            <w:tcW w:w="9158" w:type="dxa"/>
            <w:vAlign w:val="center"/>
            <w:textDirection w:val="lrTb"/>
            <w:noWrap/>
          </w:tcPr>
          <w:p>
            <w:pPr>
              <w:spacing w:before="120"/>
              <w:rPr>
                <w:rFonts w:ascii="宋体" w:hAnsi="宋体" w:cs="宋体"/>
                <w:color w:val="auto"/>
                <w:sz w:val="21"/>
                <w:szCs w:val="21"/>
                <w:highlight w:val="none"/>
              </w:rPr>
            </w:pPr>
            <w:r>
              <w:rPr>
                <w:rFonts w:hint="eastAsia" w:ascii="宋体" w:hAnsi="宋体" w:cs="宋体"/>
                <w:b/>
                <w:bCs/>
                <w:color w:val="auto"/>
                <w:sz w:val="21"/>
                <w:szCs w:val="21"/>
                <w:highlight w:val="none"/>
              </w:rPr>
              <w:t xml:space="preserve">2、微波炉</w:t>
            </w:r>
            <w:r/>
          </w:p>
        </w:tc>
      </w:tr>
      <w:tr>
        <w:trPr>
          <w:gridAfter w:val="1"/>
          <w:trHeight w:val="340"/>
        </w:trPr>
        <w:tc>
          <w:tcPr>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86" w:type="dxa"/>
            <w:vAlign w:val="center"/>
            <w:textDirection w:val="lrTb"/>
            <w:noWrap/>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序号</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997" w:type="dxa"/>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检验项目</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805" w:type="dxa"/>
            <w:vAlign w:val="center"/>
            <w:textDirection w:val="lrTb"/>
            <w:noWrap/>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检验依据</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670" w:type="dxa"/>
            <w:vAlign w:val="center"/>
            <w:textDirection w:val="lrTb"/>
            <w:noWrap/>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检验检测方法</w:t>
            </w:r>
            <w:r/>
          </w:p>
        </w:tc>
      </w:tr>
      <w:tr>
        <w:trPr>
          <w:gridAfter w:val="1"/>
          <w:trHeight w:val="340"/>
        </w:trPr>
        <w:tc>
          <w:tcPr>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86"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997"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对触及带电部件的防护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805"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4706.1—2005</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4706.21-2008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4706.21-2024</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67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4706.1—2005</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4706.21-2008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4706.21-2024</w:t>
            </w:r>
            <w:r/>
          </w:p>
        </w:tc>
      </w:tr>
      <w:tr>
        <w:trPr>
          <w:gridAfter w:val="1"/>
          <w:trHeight w:val="340"/>
        </w:trPr>
        <w:tc>
          <w:tcPr>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86"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997"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输入功率和电流</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805"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4706.1—2005</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4706.21-2008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4706.21-2024</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67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4706.1—2005</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4706.21-2008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4706.21-2024</w:t>
            </w:r>
            <w:r/>
          </w:p>
        </w:tc>
      </w:tr>
      <w:tr>
        <w:trPr>
          <w:gridAfter w:val="1"/>
          <w:trHeight w:val="340"/>
        </w:trPr>
        <w:tc>
          <w:tcPr>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86"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997"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发热</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805"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4706.1—2005</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4706.21-2008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4706.21-2024</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67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4706.1—2005</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4706.21-2008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4706.21-2024</w:t>
            </w:r>
            <w:r/>
          </w:p>
        </w:tc>
      </w:tr>
      <w:tr>
        <w:trPr>
          <w:gridAfter w:val="1"/>
          <w:trHeight w:val="340"/>
        </w:trPr>
        <w:tc>
          <w:tcPr>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86"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997"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工作温度下的泄漏电流和电气强度</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805"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4706.1—2005</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4706.21-2008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4706.21-2024</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67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4706.1—2005</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4706.21-2008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4706.21-2024</w:t>
            </w:r>
            <w:r/>
          </w:p>
        </w:tc>
      </w:tr>
      <w:tr>
        <w:trPr>
          <w:gridAfter w:val="1"/>
          <w:trHeight w:val="340"/>
        </w:trPr>
        <w:tc>
          <w:tcPr>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86"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997"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耐潮湿</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805"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4706.1—2005</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4706.21-2008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4706.21-2024</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67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4706.1—2005</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4706.21-2008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4706.21-2024</w:t>
            </w:r>
            <w:r/>
          </w:p>
        </w:tc>
      </w:tr>
      <w:tr>
        <w:trPr>
          <w:gridAfter w:val="1"/>
          <w:trHeight w:val="340"/>
        </w:trPr>
        <w:tc>
          <w:tcPr>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86"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6</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997"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泄漏电流和电气强度</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805"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4706.1—2005</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4706.21-2008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4706.21-2024</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67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4706.1—2005</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4706.21-2008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4706.21-2024</w:t>
            </w:r>
            <w:r/>
          </w:p>
        </w:tc>
      </w:tr>
      <w:tr>
        <w:trPr>
          <w:gridAfter w:val="1"/>
          <w:trHeight w:val="340"/>
        </w:trPr>
        <w:tc>
          <w:tcPr>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86"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7</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997"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非正常工作（不包括第19.11.4条试验）</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805"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4706.1—2005</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4706.21-2008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4706.21-2024</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67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4706.1—2005</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4706.21-2008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4706.21-2024</w:t>
            </w:r>
            <w:r/>
          </w:p>
        </w:tc>
      </w:tr>
      <w:tr>
        <w:trPr>
          <w:gridAfter w:val="1"/>
          <w:trHeight w:val="340"/>
        </w:trPr>
        <w:tc>
          <w:tcPr>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86"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8</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997"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稳定性和机械危险</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805"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4706.1—2005</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4706.21-2008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4706.21-2024</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67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4706.1—2005</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4706.21-2008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4706.21-2024</w:t>
            </w:r>
            <w:r/>
          </w:p>
        </w:tc>
      </w:tr>
      <w:tr>
        <w:trPr>
          <w:gridAfter w:val="1"/>
          <w:trHeight w:val="340"/>
        </w:trPr>
        <w:tc>
          <w:tcPr>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86"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9</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997"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机械强度</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805"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4706.1—2005</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4706.21-2008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4706.21-2024</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67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4706.1—2005</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4706.21-2008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4706.21-2024</w:t>
            </w:r>
            <w:r/>
          </w:p>
        </w:tc>
      </w:tr>
      <w:tr>
        <w:trPr>
          <w:gridAfter w:val="1"/>
          <w:trHeight w:val="340"/>
        </w:trPr>
        <w:tc>
          <w:tcPr>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86"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10</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997"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结构（不包括第22.46条的试验）</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805"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4706.1—2005</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4706.21-2008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4706.21-2024</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67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4706.1—2005</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4706.21-2008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4706.21-2024</w:t>
            </w:r>
            <w:r/>
          </w:p>
        </w:tc>
      </w:tr>
      <w:tr>
        <w:trPr>
          <w:gridAfter w:val="1"/>
          <w:trHeight w:val="340"/>
        </w:trPr>
        <w:tc>
          <w:tcPr>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86"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11</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997"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内部布线</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805"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4706.1—2005</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4706.21-2008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4706.21-2024</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67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4706.1—2005</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4706.21-2008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4706.21-2024</w:t>
            </w:r>
            <w:r/>
          </w:p>
        </w:tc>
      </w:tr>
      <w:tr>
        <w:trPr>
          <w:gridAfter w:val="1"/>
          <w:trHeight w:val="340"/>
        </w:trPr>
        <w:tc>
          <w:tcPr>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86"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12</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997"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电源连接和外部软线</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805"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4706.1—2005</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4706.21-2008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4706.21-2024</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67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4706.1—2005</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4706.21-2008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4706.21-2024</w:t>
            </w:r>
            <w:r/>
          </w:p>
        </w:tc>
      </w:tr>
      <w:tr>
        <w:trPr>
          <w:gridAfter w:val="1"/>
          <w:trHeight w:val="340"/>
        </w:trPr>
        <w:tc>
          <w:tcPr>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86"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13</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997"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外部导线用接线端子</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805"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4706.1—2005</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4706.21-2008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4706.21-2024</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67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4706.1—2005</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4706.21-2008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4706.21-2024</w:t>
            </w:r>
            <w:r/>
          </w:p>
        </w:tc>
      </w:tr>
      <w:tr>
        <w:trPr>
          <w:gridAfter w:val="1"/>
          <w:trHeight w:val="340"/>
        </w:trPr>
        <w:tc>
          <w:tcPr>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86"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14</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997"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接地措施</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805"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4706.1—2005</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4706.21-2008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4706.21-2024</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67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4706.1—2005</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4706.21-2008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4706.21-2024</w:t>
            </w:r>
            <w:r/>
          </w:p>
        </w:tc>
      </w:tr>
      <w:tr>
        <w:trPr>
          <w:gridAfter w:val="1"/>
          <w:trHeight w:val="340"/>
        </w:trPr>
        <w:tc>
          <w:tcPr>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86"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15</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997"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螺钉和连接</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805"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4706.1—2005</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4706.21-2008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4706.21-2024</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67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4706.1—2005</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4706.21-2008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4706.21-2024</w:t>
            </w:r>
            <w:r/>
          </w:p>
        </w:tc>
      </w:tr>
      <w:tr>
        <w:trPr>
          <w:gridAfter w:val="1"/>
          <w:trHeight w:val="340"/>
        </w:trPr>
        <w:tc>
          <w:tcPr>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86"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16</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997"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电气间隙、爬电距离和固体绝缘</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805"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4706.1—2005</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4706.21-2008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4706.21-2024</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67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4706.1—2005</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4706.21-2008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4706.21-2024</w:t>
            </w:r>
            <w:r/>
          </w:p>
        </w:tc>
      </w:tr>
      <w:tr>
        <w:trPr>
          <w:gridAfter w:val="1"/>
          <w:trHeight w:val="340"/>
        </w:trPr>
        <w:tc>
          <w:tcPr>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86"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17</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997"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端子骚扰电压（连续骚扰）</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805"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4343.1—2018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4343.1—2024</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67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4343.1—2018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4343.1—2024</w:t>
            </w:r>
            <w:r/>
          </w:p>
        </w:tc>
      </w:tr>
      <w:tr>
        <w:trPr>
          <w:gridAfter w:val="1"/>
          <w:trHeight w:val="340"/>
        </w:trPr>
        <w:tc>
          <w:tcPr>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86"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18</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997"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骚扰功率、辐射骚扰</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805"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4343.1—2018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4343.1—2024</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67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4343.1—2018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4343.1—2024</w:t>
            </w:r>
            <w:r/>
          </w:p>
        </w:tc>
      </w:tr>
      <w:tr>
        <w:trPr>
          <w:gridAfter w:val="1"/>
          <w:trHeight w:val="340"/>
        </w:trPr>
        <w:tc>
          <w:tcPr>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86"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19</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997"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热效率</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805"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24849-2017</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21456-2024</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67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24849-2017</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21456-2024</w:t>
            </w:r>
            <w:r/>
          </w:p>
        </w:tc>
      </w:tr>
      <w:tr>
        <w:trPr>
          <w:gridAfter w:val="1"/>
          <w:trHeight w:val="340"/>
        </w:trPr>
        <w:tc>
          <w:tcPr>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86"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20</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997"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待机功率</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805"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24849-2017</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21456-2024</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67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24849-2017</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21456-2024</w:t>
            </w:r>
            <w:r/>
          </w:p>
        </w:tc>
      </w:tr>
      <w:tr>
        <w:trPr>
          <w:gridAfter w:val="1"/>
          <w:trHeight w:val="340"/>
        </w:trPr>
        <w:tc>
          <w:tcPr>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86"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21</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997"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烧烤能耗</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805"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24849-2017</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21456-2024</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67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24849-2017</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21456-2024</w:t>
            </w:r>
            <w:r/>
          </w:p>
        </w:tc>
      </w:tr>
      <w:tr>
        <w:trPr>
          <w:gridAfter w:val="1"/>
          <w:trHeight w:val="340"/>
        </w:trPr>
        <w:tc>
          <w:tcPr>
            <w:gridSpan w:val="9"/>
            <w:shd w:val="clear" w:color="auto" w:fill="auto"/>
            <w:tcBorders>
              <w:top w:val="none" w:color="000000" w:sz="4" w:space="0"/>
              <w:left w:val="none" w:color="000000" w:sz="4" w:space="0"/>
              <w:bottom w:val="none" w:color="000000" w:sz="4" w:space="0"/>
              <w:right w:val="none" w:color="000000" w:sz="4" w:space="0"/>
            </w:tcBorders>
            <w:tcMar>
              <w:left w:w="51" w:type="dxa"/>
              <w:top w:w="0" w:type="dxa"/>
              <w:right w:w="51" w:type="dxa"/>
              <w:bottom w:w="0" w:type="dxa"/>
            </w:tcMar>
            <w:tcW w:w="9158" w:type="dxa"/>
            <w:vAlign w:val="center"/>
            <w:textDirection w:val="lrTb"/>
            <w:noWrap/>
          </w:tcPr>
          <w:p>
            <w:pPr>
              <w:spacing w:before="120"/>
              <w:rPr>
                <w:rFonts w:ascii="宋体" w:hAnsi="宋体" w:cs="宋体"/>
                <w:color w:val="auto"/>
                <w:sz w:val="21"/>
                <w:szCs w:val="21"/>
                <w:highlight w:val="none"/>
              </w:rPr>
            </w:pPr>
            <w:r>
              <w:rPr>
                <w:rFonts w:hint="eastAsia" w:ascii="宋体" w:hAnsi="宋体" w:cs="宋体"/>
                <w:b/>
                <w:bCs/>
                <w:color w:val="auto"/>
                <w:sz w:val="21"/>
                <w:szCs w:val="21"/>
                <w:highlight w:val="none"/>
              </w:rPr>
              <w:t xml:space="preserve">3、储水式电热水器</w:t>
            </w:r>
            <w:r/>
          </w:p>
        </w:tc>
      </w:tr>
      <w:tr>
        <w:trPr>
          <w:gridAfter w:val="1"/>
          <w:trHeight w:val="340"/>
        </w:trPr>
        <w:tc>
          <w:tcPr>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86" w:type="dxa"/>
            <w:vAlign w:val="center"/>
            <w:textDirection w:val="lrTb"/>
            <w:noWrap/>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序号</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997" w:type="dxa"/>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检验项目</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805" w:type="dxa"/>
            <w:vAlign w:val="center"/>
            <w:textDirection w:val="lrTb"/>
            <w:noWrap/>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检验依据</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670" w:type="dxa"/>
            <w:vAlign w:val="center"/>
            <w:textDirection w:val="lrTb"/>
            <w:noWrap/>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检验检测方法</w:t>
            </w:r>
            <w:r/>
          </w:p>
        </w:tc>
      </w:tr>
      <w:tr>
        <w:trPr>
          <w:gridAfter w:val="1"/>
          <w:trHeight w:val="340"/>
        </w:trPr>
        <w:tc>
          <w:tcPr>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86"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997"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对触及带电部件的防护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805"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4706.1—1998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4706.12—2006</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4706.12—2024</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67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4706.1—1998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4706.12—2006</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4706.12—2024</w:t>
            </w:r>
            <w:r/>
          </w:p>
        </w:tc>
      </w:tr>
      <w:tr>
        <w:trPr>
          <w:gridAfter w:val="1"/>
          <w:trHeight w:val="340"/>
        </w:trPr>
        <w:tc>
          <w:tcPr>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86"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997"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输入功率和电流</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805"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4706.1—1998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4706.12—2006</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4706.12—2024</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67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4706.1—1998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4706.12—2006</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4706.12—2024</w:t>
            </w:r>
            <w:r/>
          </w:p>
        </w:tc>
      </w:tr>
      <w:tr>
        <w:trPr>
          <w:gridAfter w:val="1"/>
          <w:trHeight w:val="340"/>
        </w:trPr>
        <w:tc>
          <w:tcPr>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86"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997"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发热</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805"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4706.1—1998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4706.12—2006</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4706.12—2024</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67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4706.1—1998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4706.12—2006</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4706.12—2024</w:t>
            </w:r>
            <w:r/>
          </w:p>
        </w:tc>
      </w:tr>
      <w:tr>
        <w:trPr>
          <w:gridAfter w:val="1"/>
          <w:trHeight w:val="340"/>
        </w:trPr>
        <w:tc>
          <w:tcPr>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86"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997"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工作温度下的泄漏电流和电气强度</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805"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4706.1—1998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4706.12—2006</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4706.12—2024</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67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4706.1—1998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4706.12—2006</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4706.12—2024</w:t>
            </w:r>
            <w:r/>
          </w:p>
        </w:tc>
      </w:tr>
      <w:tr>
        <w:trPr>
          <w:gridAfter w:val="1"/>
          <w:trHeight w:val="340"/>
        </w:trPr>
        <w:tc>
          <w:tcPr>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86"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997"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耐潮湿</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805"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4706.1—1998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4706.12—2006</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4706.12—2024</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67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4706.1—1998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4706.12—2006</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4706.12—2024</w:t>
            </w:r>
            <w:r/>
          </w:p>
        </w:tc>
      </w:tr>
      <w:tr>
        <w:trPr>
          <w:gridAfter w:val="1"/>
          <w:trHeight w:val="340"/>
        </w:trPr>
        <w:tc>
          <w:tcPr>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86"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6</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997"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泄漏电流和电气强度</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805"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4706.1—1998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4706.12—2006</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4706.12—2024</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67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4706.1—1998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4706.12—2006</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4706.12—2024</w:t>
            </w:r>
            <w:r/>
          </w:p>
        </w:tc>
      </w:tr>
      <w:tr>
        <w:trPr>
          <w:gridAfter w:val="1"/>
          <w:trHeight w:val="340"/>
        </w:trPr>
        <w:tc>
          <w:tcPr>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86"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7</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997"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非正常工作（不包括第19.11.4条试验）</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805"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4706.1—1998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4706.12—2006</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4706.12—2024</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67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4706.1—1998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4706.12—2006</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4706.12—2024</w:t>
            </w:r>
            <w:r/>
          </w:p>
        </w:tc>
      </w:tr>
      <w:tr>
        <w:trPr>
          <w:gridAfter w:val="1"/>
          <w:trHeight w:val="340"/>
        </w:trPr>
        <w:tc>
          <w:tcPr>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86"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8</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997"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稳定性和机械危险</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805"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4706.1—1998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4706.12—2006</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4706.12—2024</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67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4706.1—1998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4706.12—2006</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4706.12—2024</w:t>
            </w:r>
            <w:r/>
          </w:p>
        </w:tc>
      </w:tr>
      <w:tr>
        <w:trPr>
          <w:gridAfter w:val="1"/>
          <w:trHeight w:val="340"/>
        </w:trPr>
        <w:tc>
          <w:tcPr>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86"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9</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997"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机械强度</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805"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4706.1—1998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4706.12—2006</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4706.12—2024</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67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4706.1—1998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4706.12—2006</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4706.12—2024</w:t>
            </w:r>
            <w:r/>
          </w:p>
        </w:tc>
      </w:tr>
      <w:tr>
        <w:trPr>
          <w:gridAfter w:val="1"/>
          <w:trHeight w:val="340"/>
        </w:trPr>
        <w:tc>
          <w:tcPr>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86"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10</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997"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结构（不包括第22.46条试验）</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805"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4706.1—1998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4706.12—2006</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4706.12—2024</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67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4706.1—1998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4706.12—2006</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4706.12—2024</w:t>
            </w:r>
            <w:r/>
          </w:p>
        </w:tc>
      </w:tr>
      <w:tr>
        <w:trPr>
          <w:gridAfter w:val="1"/>
          <w:trHeight w:val="340"/>
        </w:trPr>
        <w:tc>
          <w:tcPr>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86"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11</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997"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内部布线</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805"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4706.1—1998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4706.12—2006</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4706.12—2024</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67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4706.1—1998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4706.12—2006</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4706.12—2024</w:t>
            </w:r>
            <w:r/>
          </w:p>
        </w:tc>
      </w:tr>
      <w:tr>
        <w:trPr>
          <w:gridAfter w:val="1"/>
          <w:trHeight w:val="340"/>
        </w:trPr>
        <w:tc>
          <w:tcPr>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86"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12</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997"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电源连接和外部软线</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805"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4706.1—1998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4706.12—2006</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4706.12—2024</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67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4706.1—1998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4706.12—2006</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4706.12—2024</w:t>
            </w:r>
            <w:r/>
          </w:p>
        </w:tc>
      </w:tr>
      <w:tr>
        <w:trPr>
          <w:gridAfter w:val="1"/>
          <w:trHeight w:val="340"/>
        </w:trPr>
        <w:tc>
          <w:tcPr>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86"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13</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997"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外部导线用接线端子</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或外部导体用接线端子</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805"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4706.1—1998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4706.12—2006</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4706.12—2024</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67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4706.1—1998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4706.12—2006</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4706.12—2024</w:t>
            </w:r>
            <w:r/>
          </w:p>
        </w:tc>
      </w:tr>
      <w:tr>
        <w:trPr>
          <w:gridAfter w:val="1"/>
          <w:trHeight w:val="340"/>
        </w:trPr>
        <w:tc>
          <w:tcPr>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86"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14</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997"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接地措施</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805"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4706.1—1998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4706.12—2006</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4706.12—2024</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67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4706.1—1998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4706.12—2006</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4706.12—2024</w:t>
            </w:r>
            <w:r/>
          </w:p>
        </w:tc>
      </w:tr>
      <w:tr>
        <w:trPr>
          <w:gridAfter w:val="1"/>
          <w:trHeight w:val="340"/>
        </w:trPr>
        <w:tc>
          <w:tcPr>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86"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15</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997"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螺钉和连接</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805"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4706.1—1998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4706.12—2006</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4706.12—2024</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67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4706.1—1998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4706.12—2006</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4706.12—2024</w:t>
            </w:r>
            <w:r/>
          </w:p>
        </w:tc>
      </w:tr>
      <w:tr>
        <w:trPr>
          <w:gridAfter w:val="1"/>
          <w:trHeight w:val="340"/>
        </w:trPr>
        <w:tc>
          <w:tcPr>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86"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16</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997"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电气间隙、爬电距离和固体绝缘</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805"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4706.1—1998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4706.12—2006</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4706.12—2024</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67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4706.1—1998</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 4706.12—2006</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4706.1—2024</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GB/T 4706.12—2024</w:t>
            </w:r>
            <w:r/>
          </w:p>
        </w:tc>
      </w:tr>
      <w:tr>
        <w:trPr>
          <w:gridAfter w:val="1"/>
          <w:trHeight w:val="340"/>
        </w:trPr>
        <w:tc>
          <w:tcPr>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86"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17</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997"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24h固有能耗系数</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805"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21519—2008</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67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21519—2008</w:t>
            </w:r>
            <w:r/>
          </w:p>
        </w:tc>
      </w:tr>
      <w:tr>
        <w:trPr>
          <w:gridAfter w:val="1"/>
          <w:trHeight w:val="340"/>
        </w:trPr>
        <w:tc>
          <w:tcPr>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686"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18</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997"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热水输出率</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805"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21519—2008</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51" w:type="dxa"/>
              <w:top w:w="0" w:type="dxa"/>
              <w:right w:w="51" w:type="dxa"/>
              <w:bottom w:w="0" w:type="dxa"/>
            </w:tcMar>
            <w:tcW w:w="267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GB 21519—2008</w:t>
            </w:r>
            <w:r/>
          </w:p>
        </w:tc>
      </w:tr>
    </w:tbl>
    <w:p>
      <w:pPr>
        <w:ind w:firstLine="420"/>
        <w:keepLines w:val="0"/>
        <w:keepNext w:val="0"/>
        <w:pageBreakBefore w:val="0"/>
        <w:spacing w:before="181" w:line="360" w:lineRule="auto"/>
        <w:widowControl/>
        <w:rPr>
          <w:rFonts w:ascii="宋体" w:hAnsi="宋体" w:cs="宋体"/>
          <w:b/>
          <w:color w:val="auto"/>
          <w:sz w:val="21"/>
          <w:szCs w:val="21"/>
          <w:highlight w:val="none"/>
        </w:rPr>
        <w:outlineLvl w:val="1"/>
      </w:pPr>
      <w:r>
        <w:rPr>
          <w:rFonts w:hint="eastAsia" w:ascii="宋体" w:hAnsi="宋体" w:cs="宋体"/>
          <w:b/>
          <w:color w:val="auto"/>
          <w:sz w:val="21"/>
          <w:szCs w:val="21"/>
          <w:highlight w:val="none"/>
        </w:rPr>
        <w:t xml:space="preserve">四、工作要求：</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实施时间：中标人应按采购人要求提供抽检计划，经采购人同意后按进度开展抽检工作，中标人须在任务书规定时间内出具检验报告；特殊情况需要延迟检验时间的，需经得采购人同意；在采购人与第三方同等的条件下，中标人应优先完成对采购人的检验任务。</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2、抽样地点：苏州市行政区域内。</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3、抽样对象：苏州市企业生产的待销产品；本地销售实体或本地注册的网络销售者销售的待销产品，具体按有关抽查任务文件执行。</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4、抽样人员：每次抽样承检方应安排2名或以上工作人员共同实施。除现场检验外，抽样人员不得承担其抽样产品的检验工作。</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5、抽检方案：中标人需协助采购人制定具体的项目实施方案，经采购人确认后实施。</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6、核对被抽查企业合法资质：中标人抽样时应当核实被抽查企业的营业执照、组织机构代码证等信息，确定企业持照经营。抽样人员现场发现被抽样生产者、销售者涉嫌存在无证无照等无需检验即可判定违法的情形的，应当终止抽样，立即报告采购人。</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7、抽样工作具体要求：中标人应当根据《江苏省省级产品质量监督抽查工作规范》中第三章抽样要求执行。</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8、检验结果的处理：中标人应当根据《江苏省省级产品质量监督抽查工作规范》中第四章检验要求执行。</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9、结果上报的具体要求：按照采购人要求上报产品质量监督抽查/风险监测结果汇总材料。</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10、异议处理及复检的具体要求：按照采购人要求完成异议处理和复检工作</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11、投标单位承检的检验任务必须由其投标文件中载明的实验室负责检验，否则视为违约，立即取消其合同和中标资格。</w:t>
      </w:r>
      <w:r/>
    </w:p>
    <w:p>
      <w:pPr>
        <w:ind w:firstLine="420"/>
        <w:spacing w:line="360" w:lineRule="auto"/>
        <w:widowControl w:val="off"/>
        <w:rPr>
          <w:rFonts w:ascii="宋体" w:hAnsi="宋体" w:cs="宋体"/>
          <w:b/>
          <w:bCs/>
          <w:color w:val="auto"/>
          <w:sz w:val="21"/>
          <w:szCs w:val="21"/>
          <w:highlight w:val="none"/>
        </w:rPr>
      </w:pPr>
      <w:r>
        <w:rPr>
          <w:rFonts w:hint="eastAsia" w:ascii="宋体" w:hAnsi="宋体" w:cs="宋体"/>
          <w:color w:val="auto"/>
          <w:sz w:val="21"/>
          <w:szCs w:val="21"/>
          <w:highlight w:val="none"/>
        </w:rPr>
        <w:t xml:space="preserve">12、投标单位必须确保抽检工作的公正性、准确性和廉洁性，并以内部制度文件的方式明确抽样与检验分离、抽检与咨询业务分离，加强抽检关键环节控制。并在合同签订后10天内中标人须将廉洁承诺书向采购人备案，接受采购人监督。发现违反承诺书的，采购人有权解除合同，由中标人承担不能及时提交检验报告的违约责任以及赔偿采购人因此产生的损失。</w:t>
      </w:r>
      <w:r/>
    </w:p>
    <w:p>
      <w:pPr>
        <w:ind w:firstLine="420"/>
        <w:spacing w:line="360" w:lineRule="auto"/>
        <w:rPr>
          <w:rFonts w:ascii="宋体" w:hAnsi="宋体" w:cs="宋体"/>
          <w:b/>
          <w:color w:val="auto"/>
          <w:sz w:val="21"/>
          <w:szCs w:val="21"/>
          <w:highlight w:val="none"/>
        </w:rPr>
        <w:outlineLvl w:val="1"/>
      </w:pPr>
      <w:r>
        <w:rPr>
          <w:rFonts w:hint="eastAsia" w:ascii="宋体" w:hAnsi="宋体" w:cs="宋体"/>
          <w:b/>
          <w:color w:val="auto"/>
          <w:sz w:val="21"/>
          <w:szCs w:val="21"/>
          <w:highlight w:val="none"/>
        </w:rPr>
        <w:t xml:space="preserve">五、综合说明</w:t>
      </w:r>
      <w:r/>
    </w:p>
    <w:p>
      <w:pPr>
        <w:ind w:firstLine="422"/>
        <w:spacing w:line="360" w:lineRule="auto"/>
        <w:widowControl w:val="off"/>
        <w:rPr>
          <w:rFonts w:ascii="宋体" w:hAnsi="宋体" w:cs="宋体"/>
          <w:color w:val="auto"/>
          <w:sz w:val="21"/>
          <w:szCs w:val="21"/>
          <w:highlight w:val="none"/>
        </w:rPr>
      </w:pPr>
      <w:r>
        <w:rPr>
          <w:rFonts w:hint="eastAsia" w:ascii="宋体" w:hAnsi="宋体" w:cs="宋体"/>
          <w:b/>
          <w:bCs/>
          <w:color w:val="auto"/>
          <w:sz w:val="21"/>
          <w:szCs w:val="21"/>
          <w:highlight w:val="none"/>
        </w:rPr>
        <w:t xml:space="preserve">1、投标单位若缺少所投</w:t>
      </w:r>
      <w:r>
        <w:rPr>
          <w:rFonts w:hint="eastAsia" w:ascii="宋体" w:hAnsi="宋体" w:cs="宋体"/>
          <w:b/>
          <w:bCs/>
          <w:color w:val="auto"/>
          <w:sz w:val="21"/>
          <w:szCs w:val="21"/>
          <w:highlight w:val="none"/>
          <w:lang w:eastAsia="zh-CN"/>
        </w:rPr>
        <w:t xml:space="preserve">采购包</w:t>
      </w:r>
      <w:r>
        <w:rPr>
          <w:rFonts w:hint="eastAsia" w:ascii="宋体" w:hAnsi="宋体" w:cs="宋体"/>
          <w:b/>
          <w:bCs/>
          <w:color w:val="auto"/>
          <w:sz w:val="21"/>
          <w:szCs w:val="21"/>
          <w:highlight w:val="none"/>
        </w:rPr>
        <w:t xml:space="preserve">内产品检测能力的，须提供相应承诺书（格式自拟），承诺在中标后两个月内取得所投</w:t>
      </w:r>
      <w:r>
        <w:rPr>
          <w:rFonts w:hint="eastAsia" w:ascii="宋体" w:hAnsi="宋体" w:cs="宋体"/>
          <w:b/>
          <w:bCs/>
          <w:color w:val="auto"/>
          <w:sz w:val="21"/>
          <w:szCs w:val="21"/>
          <w:highlight w:val="none"/>
          <w:lang w:eastAsia="zh-CN"/>
        </w:rPr>
        <w:t xml:space="preserve">采购包</w:t>
      </w:r>
      <w:r>
        <w:rPr>
          <w:rFonts w:hint="eastAsia" w:ascii="宋体" w:hAnsi="宋体" w:cs="宋体"/>
          <w:b/>
          <w:bCs/>
          <w:color w:val="auto"/>
          <w:sz w:val="21"/>
          <w:szCs w:val="21"/>
          <w:highlight w:val="none"/>
        </w:rPr>
        <w:t xml:space="preserve">所有产品的CMA资质。</w:t>
      </w:r>
      <w:r/>
    </w:p>
    <w:p>
      <w:pPr>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2、各供应商提供的服务能够</w:t>
      </w:r>
      <w:r>
        <w:rPr>
          <w:rFonts w:hint="eastAsia" w:ascii="宋体" w:hAnsi="宋体" w:cs="宋体"/>
          <w:bCs/>
          <w:color w:val="auto"/>
          <w:sz w:val="21"/>
          <w:szCs w:val="21"/>
          <w:highlight w:val="none"/>
        </w:rPr>
        <w:t xml:space="preserve">至少达到招标文件要求，</w:t>
      </w:r>
      <w:r>
        <w:rPr>
          <w:rFonts w:hint="eastAsia" w:ascii="宋体" w:hAnsi="宋体" w:cs="宋体"/>
          <w:color w:val="auto"/>
          <w:sz w:val="21"/>
          <w:szCs w:val="21"/>
          <w:highlight w:val="none"/>
        </w:rPr>
        <w:t xml:space="preserve">如果其中某些条款不响应时，应在文件中逐条列出，未列出的视同响应。</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3、投标人需在投标文件中明确服务内容和服务方案。</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4、投标人应对所投项目的全部内容进行报价，只投其中部分内容者或出现选择性报价的，其投标文件将被拒绝。</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5、其他要求：</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5.1供应商在项目进行过程中产生的任何安全、损坏等责任事故一律由供应商自行承担。如遇突发情况，供应商需协助采购人完成需要配合的服务。</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5.2本项目不允许转包、分包，发现查实者一律取消合同。</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5.3供应商应对服务危险性、潜在危险认真考虑周全，对所有项目安全负责，并承担由此可能产生的一切费用，采购人不承担任何责任；如需采购人配合的工作，供应商需及时通知采购方。</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6、</w:t>
      </w:r>
      <w:r>
        <w:rPr>
          <w:rFonts w:hint="eastAsia" w:ascii="宋体" w:hAnsi="宋体" w:cs="宋体"/>
          <w:color w:val="auto"/>
          <w:sz w:val="21"/>
          <w:szCs w:val="21"/>
          <w:highlight w:val="none"/>
          <w:lang w:eastAsia="zh-CN"/>
        </w:rPr>
        <w:t xml:space="preserve">采购包</w:t>
      </w:r>
      <w:r>
        <w:rPr>
          <w:rFonts w:hint="eastAsia" w:ascii="宋体" w:hAnsi="宋体" w:cs="宋体"/>
          <w:color w:val="auto"/>
          <w:sz w:val="21"/>
          <w:szCs w:val="21"/>
          <w:highlight w:val="none"/>
        </w:rPr>
        <w:t xml:space="preserve">报价包括完成项目服务工作所需的采样费、检测费、实验室及检测设备使用费用、耗材、各种税费、人工、保险、劳保、利润、税金、及合同包含的所有风险、责任等各项应有的所有费用。</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7、服务期限：自合同签订之日起至2026年12月31日止（具体以采购人要求为准）。</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8、服务地点：</w:t>
      </w:r>
      <w:r>
        <w:rPr>
          <w:rFonts w:hint="eastAsia" w:ascii="宋体" w:hAnsi="宋体" w:cs="宋体"/>
          <w:bCs/>
          <w:color w:val="auto"/>
          <w:sz w:val="21"/>
          <w:szCs w:val="21"/>
          <w:highlight w:val="none"/>
        </w:rPr>
        <w:t xml:space="preserve">采购人指定地点。</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9、服务响应：中标单位应提供7*24小时服务支持，服务期内出现的问题，中标单位必须20分钟内响应，1.5小时到达现场，2小时内解决问题。其他未尽事宜按其中标单位所提供的相应承诺执行。</w:t>
      </w:r>
      <w:r/>
    </w:p>
    <w:p>
      <w:pPr>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10、付款方式：(详见合同)</w:t>
      </w:r>
      <w:r/>
    </w:p>
    <w:p>
      <w:pPr>
        <w:ind w:firstLine="411"/>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11、节能产品、环境标志产品</w:t>
      </w:r>
      <w:r/>
    </w:p>
    <w:p>
      <w:pPr>
        <w:ind w:firstLine="411"/>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（1）本次拟采购的产品不涉及《节能产品政府采购品目清单》范围内的产品。</w:t>
      </w:r>
      <w:r/>
    </w:p>
    <w:p>
      <w:pPr>
        <w:ind w:firstLine="411"/>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（2）本次拟采购的产品不涉及《环境标志产品政府采购品目清单》范围内的产品。</w:t>
      </w:r>
      <w:r/>
    </w:p>
    <w:p>
      <w:pPr>
        <w:ind w:firstLine="411"/>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12、凡涉及招标文件的补充说明和修改，均以苏州政府采购网上发布的通知为准。</w:t>
      </w:r>
      <w:r/>
    </w:p>
    <w:p>
      <w:pPr>
        <w:rPr>
          <w:rFonts w:ascii="宋体" w:hAnsi="宋体" w:cs="宋体"/>
          <w:color w:val="auto"/>
          <w:sz w:val="21"/>
          <w:szCs w:val="21"/>
          <w:highlight w:val="none"/>
          <w:lang w:val="zh-CN"/>
        </w:rPr>
      </w:pPr>
      <w:r/>
      <w:bookmarkStart w:id="30" w:name="_Toc19665"/>
      <w:r/>
      <w:r/>
    </w:p>
    <w:p>
      <w:pPr>
        <w:jc w:val="center"/>
        <w:spacing w:line="360" w:lineRule="auto"/>
        <w:widowControl w:val="off"/>
        <w:rPr>
          <w:rFonts w:ascii="宋体" w:hAnsi="宋体" w:cs="宋体"/>
          <w:b/>
          <w:color w:val="auto"/>
          <w:sz w:val="32"/>
          <w:szCs w:val="32"/>
          <w:highlight w:val="none"/>
          <w:lang w:val="zh-CN"/>
        </w:rPr>
        <w:outlineLvl w:val="0"/>
      </w:pPr>
      <w:r>
        <w:rPr>
          <w:rFonts w:hint="eastAsia" w:ascii="宋体" w:hAnsi="宋体" w:cs="宋体"/>
          <w:color w:val="auto"/>
          <w:highlight w:val="none"/>
          <w:lang w:val="zh-CN"/>
        </w:rPr>
        <w:br w:type="page" w:clear="all"/>
      </w:r>
      <w:bookmarkEnd w:id="30"/>
      <w:r/>
      <w:r/>
    </w:p>
    <w:p>
      <w:pPr>
        <w:jc w:val="center"/>
        <w:spacing w:line="360" w:lineRule="auto"/>
        <w:widowControl w:val="off"/>
        <w:rPr>
          <w:color w:val="auto"/>
          <w:highlight w:val="none"/>
        </w:rPr>
        <w:outlineLvl w:val="0"/>
      </w:pPr>
      <w:r/>
      <w:bookmarkStart w:id="31" w:name="_Toc133149827"/>
      <w:r/>
      <w:bookmarkStart w:id="32" w:name="_Toc13856"/>
      <w:r/>
      <w:bookmarkStart w:id="33" w:name="_Toc29098"/>
      <w:r>
        <w:rPr>
          <w:rFonts w:hint="eastAsia" w:ascii="宋体" w:hAnsi="宋体" w:cs="宋体"/>
          <w:b/>
          <w:color w:val="auto"/>
          <w:sz w:val="32"/>
          <w:szCs w:val="32"/>
          <w:highlight w:val="none"/>
          <w:lang w:val="zh-CN"/>
        </w:rPr>
        <w:t xml:space="preserve">第五章 合同主要条款</w:t>
      </w:r>
      <w:bookmarkEnd w:id="31"/>
      <w:r/>
      <w:bookmarkEnd w:id="32"/>
      <w:r/>
      <w:r/>
    </w:p>
    <w:p>
      <w:pPr>
        <w:pStyle w:val="756"/>
        <w:jc w:val="right"/>
        <w:rPr>
          <w:rFonts w:hAnsi="宋体" w:cs="宋体"/>
          <w:color w:val="auto"/>
          <w:sz w:val="21"/>
          <w:szCs w:val="21"/>
          <w:highlight w:val="none"/>
        </w:rPr>
      </w:pPr>
      <w:r>
        <w:rPr>
          <w:rFonts w:hAnsi="宋体" w:cs="宋体"/>
          <w:color w:val="auto"/>
          <w:sz w:val="21"/>
          <w:szCs w:val="21"/>
          <w:highlight w:val="none"/>
        </w:rPr>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甲方：</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地址：</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联系人：</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电话：</w:t>
      </w:r>
      <w:r/>
    </w:p>
    <w:p>
      <w:pPr>
        <w:ind w:firstLine="420"/>
        <w:spacing w:line="360" w:lineRule="auto"/>
        <w:rPr>
          <w:rFonts w:ascii="宋体" w:hAnsi="宋体" w:cs="宋体"/>
          <w:color w:val="auto"/>
          <w:sz w:val="21"/>
          <w:szCs w:val="21"/>
          <w:highlight w:val="none"/>
        </w:rPr>
      </w:pPr>
      <w:r>
        <w:rPr>
          <w:rFonts w:ascii="宋体" w:hAnsi="宋体" w:cs="宋体"/>
          <w:color w:val="auto"/>
          <w:sz w:val="21"/>
          <w:szCs w:val="21"/>
          <w:highlight w:val="none"/>
        </w:rPr>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乙方：</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地址：</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联系人：</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电话：</w:t>
      </w:r>
      <w:r/>
    </w:p>
    <w:p>
      <w:pPr>
        <w:pStyle w:val="756"/>
        <w:ind w:firstLine="420"/>
        <w:spacing w:line="360" w:lineRule="auto"/>
        <w:rPr>
          <w:rFonts w:ascii="宋体" w:hAnsi="宋体" w:cs="宋体"/>
          <w:color w:val="auto"/>
          <w:sz w:val="21"/>
          <w:szCs w:val="21"/>
          <w:highlight w:val="none"/>
        </w:rPr>
      </w:pPr>
      <w:r>
        <w:rPr>
          <w:rFonts w:ascii="宋体" w:hAnsi="宋体" w:cs="宋体"/>
          <w:color w:val="auto"/>
          <w:sz w:val="21"/>
          <w:szCs w:val="21"/>
          <w:highlight w:val="none"/>
        </w:rPr>
      </w:r>
      <w:r/>
    </w:p>
    <w:p>
      <w:pPr>
        <w:pStyle w:val="761"/>
        <w:ind w:firstLine="422"/>
        <w:spacing w:line="360" w:lineRule="auto"/>
        <w:rPr>
          <w:rFonts w:hAnsi="宋体" w:eastAsia="宋体" w:cs="宋体"/>
          <w:b/>
          <w:bCs/>
          <w:color w:val="auto"/>
          <w:sz w:val="21"/>
          <w:szCs w:val="21"/>
          <w:highlight w:val="none"/>
          <w:u w:val="single"/>
        </w:rPr>
      </w:pPr>
      <w:r>
        <w:rPr>
          <w:rFonts w:hint="eastAsia" w:hAnsi="宋体" w:eastAsia="宋体" w:cs="宋体"/>
          <w:b/>
          <w:bCs/>
          <w:color w:val="auto"/>
          <w:sz w:val="21"/>
          <w:szCs w:val="21"/>
          <w:highlight w:val="none"/>
          <w:u w:val="single"/>
        </w:rPr>
        <w:t xml:space="preserve">                                                                 </w:t>
      </w:r>
      <w:r/>
    </w:p>
    <w:p>
      <w:pPr>
        <w:pStyle w:val="761"/>
        <w:ind w:firstLine="422"/>
        <w:spacing w:line="360" w:lineRule="auto"/>
        <w:rPr>
          <w:rFonts w:hAnsi="宋体" w:eastAsia="宋体" w:cs="宋体"/>
          <w:b/>
          <w:bCs/>
          <w:color w:val="auto"/>
          <w:sz w:val="21"/>
          <w:szCs w:val="21"/>
          <w:highlight w:val="none"/>
          <w:u w:val="single"/>
        </w:rPr>
      </w:pPr>
      <w:r>
        <w:rPr>
          <w:rFonts w:hint="eastAsia" w:hAnsi="宋体" w:eastAsia="宋体" w:cs="宋体"/>
          <w:b/>
          <w:bCs/>
          <w:color w:val="auto"/>
          <w:sz w:val="21"/>
          <w:szCs w:val="21"/>
          <w:highlight w:val="none"/>
          <w:u w:val="single"/>
        </w:rPr>
        <w:t xml:space="preserve">                                                                 </w:t>
      </w:r>
      <w:r/>
    </w:p>
    <w:p>
      <w:pPr>
        <w:pStyle w:val="761"/>
        <w:numPr>
          <w:ilvl w:val="0"/>
          <w:numId w:val="3"/>
        </w:numPr>
        <w:ind w:firstLine="422"/>
        <w:spacing w:line="360" w:lineRule="auto"/>
        <w:rPr>
          <w:rFonts w:hAnsi="宋体" w:eastAsia="宋体" w:cs="宋体"/>
          <w:color w:val="auto"/>
          <w:sz w:val="21"/>
          <w:szCs w:val="21"/>
          <w:highlight w:val="none"/>
        </w:rPr>
      </w:pPr>
      <w:r>
        <w:rPr>
          <w:rFonts w:hint="eastAsia" w:hAnsi="宋体" w:eastAsia="宋体" w:cs="宋体"/>
          <w:b/>
          <w:bCs/>
          <w:color w:val="auto"/>
          <w:sz w:val="21"/>
          <w:szCs w:val="21"/>
          <w:highlight w:val="none"/>
        </w:rPr>
        <w:t xml:space="preserve">合同内容</w:t>
      </w:r>
      <w:r/>
    </w:p>
    <w:p>
      <w:pPr>
        <w:pStyle w:val="761"/>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1.乙方负责完成甲方的</w:t>
      </w:r>
      <w:r>
        <w:rPr>
          <w:rFonts w:hint="eastAsia" w:hAnsi="宋体" w:eastAsia="宋体" w:cs="宋体"/>
          <w:color w:val="auto"/>
          <w:sz w:val="21"/>
          <w:szCs w:val="21"/>
          <w:highlight w:val="none"/>
          <w:u w:val="single"/>
        </w:rPr>
        <w:t xml:space="preserve">                     </w:t>
      </w:r>
      <w:r>
        <w:rPr>
          <w:rFonts w:hint="eastAsia" w:hAnsi="宋体" w:eastAsia="宋体" w:cs="宋体"/>
          <w:color w:val="auto"/>
          <w:sz w:val="21"/>
          <w:szCs w:val="21"/>
          <w:highlight w:val="none"/>
        </w:rPr>
        <w:t xml:space="preserve">项目相关工作。</w:t>
      </w:r>
      <w:r/>
    </w:p>
    <w:p>
      <w:pPr>
        <w:pStyle w:val="761"/>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2.下列文件为本合同不可分割部分（可根据实际情况自行选择）：</w:t>
      </w:r>
      <w:r/>
    </w:p>
    <w:p>
      <w:pPr>
        <w:pStyle w:val="761"/>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（1）中标通知书；</w:t>
      </w:r>
      <w:r/>
    </w:p>
    <w:p>
      <w:pPr>
        <w:pStyle w:val="761"/>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（2）乙方的投标文件；</w:t>
      </w:r>
      <w:r/>
    </w:p>
    <w:p>
      <w:pPr>
        <w:pStyle w:val="761"/>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（3）乙方在投标过程中所作的其它承诺、声明、书面澄清等；</w:t>
      </w:r>
      <w:r/>
    </w:p>
    <w:p>
      <w:pPr>
        <w:pStyle w:val="761"/>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（4）招标文件及其附件；</w:t>
      </w:r>
      <w:r/>
    </w:p>
    <w:p>
      <w:pPr>
        <w:pStyle w:val="761"/>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（5）合同附件；</w:t>
      </w:r>
      <w:r/>
    </w:p>
    <w:p>
      <w:pPr>
        <w:pStyle w:val="761"/>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以上与本合同具有同等法律效力。</w:t>
      </w:r>
      <w:r/>
    </w:p>
    <w:p>
      <w:pPr>
        <w:pStyle w:val="761"/>
        <w:numPr>
          <w:ilvl w:val="0"/>
          <w:numId w:val="3"/>
        </w:numPr>
        <w:ind w:firstLine="422"/>
        <w:spacing w:line="360" w:lineRule="auto"/>
        <w:rPr>
          <w:rFonts w:hAnsi="宋体" w:eastAsia="宋体" w:cs="宋体"/>
          <w:color w:val="auto"/>
          <w:sz w:val="21"/>
          <w:szCs w:val="21"/>
          <w:highlight w:val="none"/>
        </w:rPr>
      </w:pPr>
      <w:r>
        <w:rPr>
          <w:rFonts w:hint="eastAsia" w:hAnsi="宋体" w:eastAsia="宋体" w:cs="宋体"/>
          <w:b/>
          <w:bCs/>
          <w:color w:val="auto"/>
          <w:sz w:val="21"/>
          <w:szCs w:val="21"/>
          <w:highlight w:val="none"/>
        </w:rPr>
        <w:t xml:space="preserve">服务内容、履约验收方式及验收标准</w:t>
      </w:r>
      <w:r>
        <w:rPr>
          <w:rFonts w:hint="eastAsia" w:hAnsi="宋体" w:eastAsia="宋体" w:cs="宋体"/>
          <w:color w:val="auto"/>
          <w:sz w:val="21"/>
          <w:szCs w:val="21"/>
          <w:highlight w:val="none"/>
        </w:rPr>
        <w:t xml:space="preserve"> </w:t>
      </w:r>
      <w:r/>
    </w:p>
    <w:p>
      <w:pPr>
        <w:pStyle w:val="761"/>
        <w:numPr>
          <w:ilvl w:val="0"/>
          <w:numId w:val="4"/>
        </w:numPr>
        <w:ind w:firstLine="420"/>
        <w:spacing w:line="360" w:lineRule="auto"/>
        <w:rPr>
          <w:rFonts w:hAnsi="宋体" w:eastAsia="宋体" w:cs="宋体"/>
          <w:color w:val="auto"/>
          <w:sz w:val="21"/>
          <w:szCs w:val="21"/>
          <w:highlight w:val="none"/>
          <w:u w:val="single"/>
        </w:rPr>
      </w:pPr>
      <w:r>
        <w:rPr>
          <w:rFonts w:hint="eastAsia" w:hAnsi="宋体" w:eastAsia="宋体" w:cs="宋体"/>
          <w:color w:val="auto"/>
          <w:sz w:val="21"/>
          <w:szCs w:val="21"/>
          <w:highlight w:val="none"/>
          <w:u w:val="single"/>
        </w:rPr>
        <w:t xml:space="preserve">                                                            </w:t>
      </w:r>
      <w:r/>
    </w:p>
    <w:p>
      <w:pPr>
        <w:pStyle w:val="761"/>
        <w:numPr>
          <w:ilvl w:val="0"/>
          <w:numId w:val="4"/>
        </w:numPr>
        <w:ind w:firstLine="420"/>
        <w:spacing w:line="360" w:lineRule="auto"/>
        <w:rPr>
          <w:rFonts w:hAnsi="宋体" w:eastAsia="宋体" w:cs="宋体"/>
          <w:color w:val="auto"/>
          <w:sz w:val="21"/>
          <w:szCs w:val="21"/>
          <w:highlight w:val="none"/>
          <w:u w:val="single"/>
        </w:rPr>
      </w:pPr>
      <w:r>
        <w:rPr>
          <w:rFonts w:hint="eastAsia" w:hAnsi="宋体" w:eastAsia="宋体" w:cs="宋体"/>
          <w:color w:val="auto"/>
          <w:sz w:val="21"/>
          <w:szCs w:val="21"/>
          <w:highlight w:val="none"/>
          <w:u w:val="single"/>
        </w:rPr>
        <w:t xml:space="preserve">                                                              </w:t>
      </w:r>
      <w:r/>
    </w:p>
    <w:p>
      <w:pPr>
        <w:ind w:firstLine="420"/>
        <w:spacing w:before="19" w:line="360" w:lineRule="auto"/>
        <w:tabs>
          <w:tab w:val="left" w:pos="1980" w:leader="none"/>
        </w:tabs>
        <w:rPr>
          <w:rFonts w:ascii="宋体" w:hAnsi="宋体" w:cs="宋体"/>
          <w:color w:val="auto"/>
          <w:sz w:val="21"/>
          <w:szCs w:val="21"/>
          <w:highlight w:val="none"/>
          <w:u w:val="single"/>
        </w:rPr>
      </w:pPr>
      <w:r>
        <w:rPr>
          <w:rFonts w:hint="eastAsia" w:ascii="宋体" w:hAnsi="宋体" w:cs="宋体"/>
          <w:color w:val="auto"/>
          <w:sz w:val="21"/>
          <w:szCs w:val="21"/>
          <w:highlight w:val="none"/>
        </w:rPr>
        <w:t xml:space="preserve">（3）</w:t>
      </w:r>
      <w:r>
        <w:rPr>
          <w:rFonts w:hint="eastAsia" w:ascii="宋体" w:hAnsi="宋体" w:cs="宋体"/>
          <w:color w:val="auto"/>
          <w:sz w:val="21"/>
          <w:szCs w:val="21"/>
          <w:highlight w:val="none"/>
          <w:u w:val="single"/>
        </w:rPr>
        <w:t xml:space="preserve">实际委托检测协议中，甲方在合同履行期间，有权依照招标文件相关要求对乙方提供的相关服务或交付的工作成果进行阶段性验收及总体验收。如需委托第三方验收，验收费用由甲方承担。因乙方提供的服务不符合标准导致甲方重复支出的验收费用，由乙方承担。</w:t>
      </w:r>
      <w:r/>
    </w:p>
    <w:p>
      <w:pPr>
        <w:pStyle w:val="761"/>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u w:val="single"/>
        </w:rPr>
        <w:t xml:space="preserve">                                                          </w:t>
      </w:r>
      <w:r/>
    </w:p>
    <w:p>
      <w:pPr>
        <w:pStyle w:val="761"/>
        <w:numPr>
          <w:ilvl w:val="0"/>
          <w:numId w:val="3"/>
        </w:numPr>
        <w:ind w:firstLine="422"/>
        <w:spacing w:line="360" w:lineRule="auto"/>
        <w:rPr>
          <w:rFonts w:hAnsi="宋体" w:eastAsia="宋体" w:cs="宋体"/>
          <w:b/>
          <w:bCs/>
          <w:color w:val="auto"/>
          <w:sz w:val="21"/>
          <w:szCs w:val="21"/>
          <w:highlight w:val="none"/>
        </w:rPr>
      </w:pPr>
      <w:r>
        <w:rPr>
          <w:rFonts w:hint="eastAsia" w:hAnsi="宋体" w:eastAsia="宋体" w:cs="宋体"/>
          <w:b/>
          <w:bCs/>
          <w:color w:val="auto"/>
          <w:sz w:val="21"/>
          <w:szCs w:val="21"/>
          <w:highlight w:val="none"/>
        </w:rPr>
        <w:t xml:space="preserve">价格与支付</w:t>
      </w:r>
      <w:r/>
    </w:p>
    <w:p>
      <w:pPr>
        <w:pStyle w:val="761"/>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1.价格与服务期限</w:t>
      </w:r>
      <w:r/>
    </w:p>
    <w:p>
      <w:pPr>
        <w:pStyle w:val="761"/>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（1）合同标的及总金额</w:t>
      </w:r>
      <w:r/>
    </w:p>
    <w:tbl>
      <w:tblPr>
        <w:tblStyle w:val="752"/>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0"/>
        <w:gridCol w:w="3280"/>
        <w:gridCol w:w="930"/>
        <w:gridCol w:w="963"/>
        <w:gridCol w:w="1525"/>
        <w:gridCol w:w="1622"/>
      </w:tblGrid>
      <w:tr>
        <w:trPr>
          <w:trHeight w:val="454"/>
        </w:trPr>
        <w:tc>
          <w:tcPr>
            <w:tcW w:w="463" w:type="pct"/>
            <w:vAlign w:val="center"/>
            <w:textDirection w:val="lrTb"/>
            <w:noWrap w:val="false"/>
          </w:tcPr>
          <w:p>
            <w:pPr>
              <w:pStyle w:val="761"/>
              <w:jc w:val="center"/>
              <w:rPr>
                <w:rFonts w:hAnsi="宋体" w:eastAsia="宋体" w:cs="宋体"/>
                <w:color w:val="auto"/>
                <w:sz w:val="21"/>
                <w:szCs w:val="21"/>
                <w:highlight w:val="none"/>
              </w:rPr>
            </w:pPr>
            <w:r>
              <w:rPr>
                <w:rFonts w:hint="eastAsia" w:hAnsi="宋体" w:eastAsia="宋体" w:cs="宋体"/>
                <w:color w:val="auto"/>
                <w:sz w:val="21"/>
                <w:szCs w:val="21"/>
                <w:highlight w:val="none"/>
              </w:rPr>
              <w:t xml:space="preserve">序号</w:t>
            </w:r>
            <w:r/>
          </w:p>
        </w:tc>
        <w:tc>
          <w:tcPr>
            <w:tcW w:w="1787" w:type="pct"/>
            <w:vAlign w:val="center"/>
            <w:textDirection w:val="lrTb"/>
            <w:noWrap w:val="false"/>
          </w:tcPr>
          <w:p>
            <w:pPr>
              <w:pStyle w:val="761"/>
              <w:jc w:val="center"/>
              <w:rPr>
                <w:rFonts w:hAnsi="宋体" w:eastAsia="宋体" w:cs="宋体"/>
                <w:color w:val="auto"/>
                <w:sz w:val="21"/>
                <w:szCs w:val="21"/>
                <w:highlight w:val="none"/>
              </w:rPr>
            </w:pPr>
            <w:r>
              <w:rPr>
                <w:rFonts w:hint="eastAsia" w:hAnsi="宋体" w:eastAsia="宋体" w:cs="宋体"/>
                <w:color w:val="auto"/>
                <w:sz w:val="21"/>
                <w:szCs w:val="21"/>
                <w:highlight w:val="none"/>
              </w:rPr>
              <w:t xml:space="preserve">服务（货物、项目）名称</w:t>
            </w:r>
            <w:r/>
          </w:p>
        </w:tc>
        <w:tc>
          <w:tcPr>
            <w:tcW w:w="507" w:type="pct"/>
            <w:vAlign w:val="center"/>
            <w:textDirection w:val="lrTb"/>
            <w:noWrap w:val="false"/>
          </w:tcPr>
          <w:p>
            <w:pPr>
              <w:pStyle w:val="761"/>
              <w:jc w:val="center"/>
              <w:rPr>
                <w:rFonts w:hAnsi="宋体" w:eastAsia="宋体" w:cs="宋体"/>
                <w:color w:val="auto"/>
                <w:sz w:val="21"/>
                <w:szCs w:val="21"/>
                <w:highlight w:val="none"/>
              </w:rPr>
            </w:pPr>
            <w:r>
              <w:rPr>
                <w:rFonts w:hint="eastAsia" w:hAnsi="宋体" w:eastAsia="宋体" w:cs="宋体"/>
                <w:color w:val="auto"/>
                <w:sz w:val="21"/>
                <w:szCs w:val="21"/>
                <w:highlight w:val="none"/>
              </w:rPr>
              <w:t xml:space="preserve">数量</w:t>
            </w:r>
            <w:r/>
          </w:p>
        </w:tc>
        <w:tc>
          <w:tcPr>
            <w:tcW w:w="525" w:type="pct"/>
            <w:vAlign w:val="center"/>
            <w:textDirection w:val="lrTb"/>
            <w:noWrap w:val="false"/>
          </w:tcPr>
          <w:p>
            <w:pPr>
              <w:pStyle w:val="761"/>
              <w:jc w:val="center"/>
              <w:rPr>
                <w:rFonts w:hAnsi="宋体" w:eastAsia="宋体" w:cs="宋体"/>
                <w:color w:val="auto"/>
                <w:sz w:val="21"/>
                <w:szCs w:val="21"/>
                <w:highlight w:val="none"/>
              </w:rPr>
            </w:pPr>
            <w:r>
              <w:rPr>
                <w:rFonts w:hint="eastAsia" w:hAnsi="宋体" w:eastAsia="宋体" w:cs="宋体"/>
                <w:color w:val="auto"/>
                <w:sz w:val="21"/>
                <w:szCs w:val="21"/>
                <w:highlight w:val="none"/>
              </w:rPr>
              <w:t xml:space="preserve">单位</w:t>
            </w:r>
            <w:r/>
          </w:p>
        </w:tc>
        <w:tc>
          <w:tcPr>
            <w:tcW w:w="831" w:type="pct"/>
            <w:vAlign w:val="center"/>
            <w:textDirection w:val="lrTb"/>
            <w:noWrap w:val="false"/>
          </w:tcPr>
          <w:p>
            <w:pPr>
              <w:pStyle w:val="761"/>
              <w:jc w:val="center"/>
              <w:rPr>
                <w:rFonts w:hAnsi="宋体" w:eastAsia="宋体" w:cs="宋体"/>
                <w:color w:val="auto"/>
                <w:sz w:val="21"/>
                <w:szCs w:val="21"/>
                <w:highlight w:val="none"/>
              </w:rPr>
            </w:pPr>
            <w:r>
              <w:rPr>
                <w:rFonts w:hint="eastAsia" w:hAnsi="宋体" w:eastAsia="宋体" w:cs="宋体"/>
                <w:color w:val="auto"/>
                <w:sz w:val="21"/>
                <w:szCs w:val="21"/>
                <w:highlight w:val="none"/>
              </w:rPr>
              <w:t xml:space="preserve">单价（元）</w:t>
            </w:r>
            <w:r/>
          </w:p>
        </w:tc>
        <w:tc>
          <w:tcPr>
            <w:tcW w:w="884" w:type="pct"/>
            <w:vAlign w:val="center"/>
            <w:textDirection w:val="lrTb"/>
            <w:noWrap w:val="false"/>
          </w:tcPr>
          <w:p>
            <w:pPr>
              <w:pStyle w:val="761"/>
              <w:jc w:val="center"/>
              <w:rPr>
                <w:rFonts w:hAnsi="宋体" w:eastAsia="宋体" w:cs="宋体"/>
                <w:color w:val="auto"/>
                <w:sz w:val="21"/>
                <w:szCs w:val="21"/>
                <w:highlight w:val="none"/>
              </w:rPr>
            </w:pPr>
            <w:r>
              <w:rPr>
                <w:rFonts w:hint="eastAsia" w:hAnsi="宋体" w:eastAsia="宋体" w:cs="宋体"/>
                <w:color w:val="auto"/>
                <w:sz w:val="21"/>
                <w:szCs w:val="21"/>
                <w:highlight w:val="none"/>
              </w:rPr>
              <w:t xml:space="preserve">小计（元）</w:t>
            </w:r>
            <w:r/>
          </w:p>
        </w:tc>
      </w:tr>
      <w:tr>
        <w:trPr>
          <w:trHeight w:val="454"/>
        </w:trPr>
        <w:tc>
          <w:tcPr>
            <w:tcW w:w="463" w:type="pct"/>
            <w:vAlign w:val="center"/>
            <w:textDirection w:val="lrTb"/>
            <w:noWrap w:val="false"/>
          </w:tcPr>
          <w:p>
            <w:pPr>
              <w:pStyle w:val="761"/>
              <w:jc w:val="center"/>
              <w:rPr>
                <w:rFonts w:hAnsi="宋体" w:eastAsia="宋体" w:cs="宋体"/>
                <w:color w:val="auto"/>
                <w:sz w:val="21"/>
                <w:szCs w:val="21"/>
                <w:highlight w:val="none"/>
              </w:rPr>
            </w:pPr>
            <w:r>
              <w:rPr>
                <w:rFonts w:hint="eastAsia" w:hAnsi="宋体" w:eastAsia="宋体" w:cs="宋体"/>
                <w:color w:val="auto"/>
                <w:sz w:val="21"/>
                <w:szCs w:val="21"/>
                <w:highlight w:val="none"/>
              </w:rPr>
              <w:t xml:space="preserve">1</w:t>
            </w:r>
            <w:r/>
          </w:p>
        </w:tc>
        <w:tc>
          <w:tcPr>
            <w:tcW w:w="1787" w:type="pct"/>
            <w:vAlign w:val="center"/>
            <w:textDirection w:val="lrTb"/>
            <w:noWrap w:val="false"/>
          </w:tcPr>
          <w:p>
            <w:pPr>
              <w:pStyle w:val="761"/>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W w:w="507" w:type="pct"/>
            <w:vAlign w:val="center"/>
            <w:textDirection w:val="lrTb"/>
            <w:noWrap w:val="false"/>
          </w:tcPr>
          <w:p>
            <w:pPr>
              <w:pStyle w:val="761"/>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W w:w="525" w:type="pct"/>
            <w:vAlign w:val="center"/>
            <w:textDirection w:val="lrTb"/>
            <w:noWrap w:val="false"/>
          </w:tcPr>
          <w:p>
            <w:pPr>
              <w:pStyle w:val="761"/>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W w:w="831" w:type="pct"/>
            <w:vAlign w:val="center"/>
            <w:textDirection w:val="lrTb"/>
            <w:noWrap w:val="false"/>
          </w:tcPr>
          <w:p>
            <w:pPr>
              <w:pStyle w:val="761"/>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W w:w="884" w:type="pct"/>
            <w:vAlign w:val="center"/>
            <w:textDirection w:val="lrTb"/>
            <w:noWrap w:val="false"/>
          </w:tcPr>
          <w:p>
            <w:pPr>
              <w:pStyle w:val="761"/>
              <w:jc w:val="center"/>
              <w:rPr>
                <w:rFonts w:hAnsi="宋体" w:eastAsia="宋体" w:cs="宋体"/>
                <w:color w:val="auto"/>
                <w:sz w:val="21"/>
                <w:szCs w:val="21"/>
                <w:highlight w:val="none"/>
              </w:rPr>
            </w:pPr>
            <w:r>
              <w:rPr>
                <w:rFonts w:hAnsi="宋体" w:eastAsia="宋体" w:cs="宋体"/>
                <w:color w:val="auto"/>
                <w:sz w:val="21"/>
                <w:szCs w:val="21"/>
                <w:highlight w:val="none"/>
              </w:rPr>
            </w:r>
            <w:r/>
          </w:p>
        </w:tc>
      </w:tr>
      <w:tr>
        <w:trPr>
          <w:trHeight w:val="454"/>
        </w:trPr>
        <w:tc>
          <w:tcPr>
            <w:tcW w:w="463" w:type="pct"/>
            <w:vAlign w:val="center"/>
            <w:textDirection w:val="lrTb"/>
            <w:noWrap w:val="false"/>
          </w:tcPr>
          <w:p>
            <w:pPr>
              <w:pStyle w:val="761"/>
              <w:jc w:val="center"/>
              <w:rPr>
                <w:rFonts w:hAnsi="宋体" w:eastAsia="宋体" w:cs="宋体"/>
                <w:color w:val="auto"/>
                <w:sz w:val="21"/>
                <w:szCs w:val="21"/>
                <w:highlight w:val="none"/>
              </w:rPr>
            </w:pPr>
            <w:r>
              <w:rPr>
                <w:rFonts w:hint="eastAsia" w:hAnsi="宋体" w:eastAsia="宋体" w:cs="宋体"/>
                <w:color w:val="auto"/>
                <w:sz w:val="21"/>
                <w:szCs w:val="21"/>
                <w:highlight w:val="none"/>
              </w:rPr>
              <w:t xml:space="preserve">2</w:t>
            </w:r>
            <w:r/>
          </w:p>
        </w:tc>
        <w:tc>
          <w:tcPr>
            <w:tcW w:w="1787" w:type="pct"/>
            <w:vAlign w:val="center"/>
            <w:textDirection w:val="lrTb"/>
            <w:noWrap w:val="false"/>
          </w:tcPr>
          <w:p>
            <w:pPr>
              <w:pStyle w:val="761"/>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W w:w="507" w:type="pct"/>
            <w:vAlign w:val="center"/>
            <w:textDirection w:val="lrTb"/>
            <w:noWrap w:val="false"/>
          </w:tcPr>
          <w:p>
            <w:pPr>
              <w:pStyle w:val="761"/>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W w:w="525" w:type="pct"/>
            <w:vAlign w:val="center"/>
            <w:textDirection w:val="lrTb"/>
            <w:noWrap w:val="false"/>
          </w:tcPr>
          <w:p>
            <w:pPr>
              <w:pStyle w:val="761"/>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W w:w="831" w:type="pct"/>
            <w:vAlign w:val="center"/>
            <w:textDirection w:val="lrTb"/>
            <w:noWrap w:val="false"/>
          </w:tcPr>
          <w:p>
            <w:pPr>
              <w:pStyle w:val="761"/>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W w:w="884" w:type="pct"/>
            <w:vAlign w:val="center"/>
            <w:textDirection w:val="lrTb"/>
            <w:noWrap w:val="false"/>
          </w:tcPr>
          <w:p>
            <w:pPr>
              <w:pStyle w:val="761"/>
              <w:jc w:val="center"/>
              <w:rPr>
                <w:rFonts w:hAnsi="宋体" w:eastAsia="宋体" w:cs="宋体"/>
                <w:color w:val="auto"/>
                <w:sz w:val="21"/>
                <w:szCs w:val="21"/>
                <w:highlight w:val="none"/>
              </w:rPr>
            </w:pPr>
            <w:r>
              <w:rPr>
                <w:rFonts w:hAnsi="宋体" w:eastAsia="宋体" w:cs="宋体"/>
                <w:color w:val="auto"/>
                <w:sz w:val="21"/>
                <w:szCs w:val="21"/>
                <w:highlight w:val="none"/>
              </w:rPr>
            </w:r>
            <w:r/>
          </w:p>
        </w:tc>
      </w:tr>
      <w:tr>
        <w:trPr>
          <w:trHeight w:val="454"/>
        </w:trPr>
        <w:tc>
          <w:tcPr>
            <w:tcW w:w="463" w:type="pct"/>
            <w:vAlign w:val="center"/>
            <w:textDirection w:val="lrTb"/>
            <w:noWrap w:val="false"/>
          </w:tcPr>
          <w:p>
            <w:pPr>
              <w:pStyle w:val="761"/>
              <w:jc w:val="center"/>
              <w:rPr>
                <w:rFonts w:hAnsi="宋体" w:eastAsia="宋体" w:cs="宋体"/>
                <w:color w:val="auto"/>
                <w:sz w:val="21"/>
                <w:szCs w:val="21"/>
                <w:highlight w:val="none"/>
              </w:rPr>
            </w:pPr>
            <w:r>
              <w:rPr>
                <w:rFonts w:hint="eastAsia" w:hAnsi="宋体" w:eastAsia="宋体" w:cs="宋体"/>
                <w:color w:val="auto"/>
                <w:sz w:val="21"/>
                <w:szCs w:val="21"/>
                <w:highlight w:val="none"/>
              </w:rPr>
              <w:t xml:space="preserve">3</w:t>
            </w:r>
            <w:r/>
          </w:p>
        </w:tc>
        <w:tc>
          <w:tcPr>
            <w:tcW w:w="1787" w:type="pct"/>
            <w:vAlign w:val="center"/>
            <w:textDirection w:val="lrTb"/>
            <w:noWrap w:val="false"/>
          </w:tcPr>
          <w:p>
            <w:pPr>
              <w:pStyle w:val="761"/>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W w:w="507" w:type="pct"/>
            <w:vAlign w:val="center"/>
            <w:textDirection w:val="lrTb"/>
            <w:noWrap w:val="false"/>
          </w:tcPr>
          <w:p>
            <w:pPr>
              <w:pStyle w:val="761"/>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W w:w="525" w:type="pct"/>
            <w:vAlign w:val="center"/>
            <w:textDirection w:val="lrTb"/>
            <w:noWrap w:val="false"/>
          </w:tcPr>
          <w:p>
            <w:pPr>
              <w:pStyle w:val="761"/>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W w:w="831" w:type="pct"/>
            <w:vAlign w:val="center"/>
            <w:textDirection w:val="lrTb"/>
            <w:noWrap w:val="false"/>
          </w:tcPr>
          <w:p>
            <w:pPr>
              <w:pStyle w:val="761"/>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W w:w="884" w:type="pct"/>
            <w:vAlign w:val="center"/>
            <w:textDirection w:val="lrTb"/>
            <w:noWrap w:val="false"/>
          </w:tcPr>
          <w:p>
            <w:pPr>
              <w:pStyle w:val="761"/>
              <w:jc w:val="center"/>
              <w:rPr>
                <w:rFonts w:hAnsi="宋体" w:eastAsia="宋体" w:cs="宋体"/>
                <w:color w:val="auto"/>
                <w:sz w:val="21"/>
                <w:szCs w:val="21"/>
                <w:highlight w:val="none"/>
              </w:rPr>
            </w:pPr>
            <w:r>
              <w:rPr>
                <w:rFonts w:hAnsi="宋体" w:eastAsia="宋体" w:cs="宋体"/>
                <w:color w:val="auto"/>
                <w:sz w:val="21"/>
                <w:szCs w:val="21"/>
                <w:highlight w:val="none"/>
              </w:rPr>
            </w:r>
            <w:r/>
          </w:p>
        </w:tc>
      </w:tr>
    </w:tbl>
    <w:p>
      <w:pPr>
        <w:pStyle w:val="761"/>
        <w:ind w:firstLine="420"/>
        <w:spacing w:before="120"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合同总金额为</w:t>
      </w:r>
      <w:r>
        <w:rPr>
          <w:rFonts w:hint="eastAsia" w:hAnsi="宋体" w:eastAsia="宋体" w:cs="宋体"/>
          <w:b/>
          <w:bCs/>
          <w:color w:val="auto"/>
          <w:sz w:val="21"/>
          <w:szCs w:val="21"/>
          <w:highlight w:val="none"/>
          <w:u w:val="single"/>
        </w:rPr>
        <w:t xml:space="preserve">人民币（大写）   元整（￥     ），</w:t>
      </w:r>
      <w:r>
        <w:rPr>
          <w:rFonts w:hint="eastAsia" w:hAnsi="宋体" w:eastAsia="宋体" w:cs="宋体"/>
          <w:color w:val="auto"/>
          <w:sz w:val="21"/>
          <w:szCs w:val="21"/>
          <w:highlight w:val="none"/>
        </w:rPr>
        <w:t xml:space="preserve">为包干价。除双方另有约定外，甲方无需向乙方支付除本条款约定的合同金额外的其他任何费用。</w:t>
      </w:r>
      <w:r/>
    </w:p>
    <w:p>
      <w:pPr>
        <w:pStyle w:val="761"/>
        <w:ind w:firstLine="420"/>
        <w:spacing w:line="360" w:lineRule="auto"/>
        <w:rPr>
          <w:rFonts w:hAnsi="宋体" w:eastAsia="宋体" w:cs="宋体"/>
          <w:b/>
          <w:bCs/>
          <w:color w:val="auto"/>
          <w:sz w:val="21"/>
          <w:szCs w:val="21"/>
          <w:highlight w:val="none"/>
        </w:rPr>
      </w:pPr>
      <w:r>
        <w:rPr>
          <w:rFonts w:hint="eastAsia" w:hAnsi="宋体" w:eastAsia="宋体" w:cs="宋体"/>
          <w:color w:val="auto"/>
          <w:sz w:val="21"/>
          <w:szCs w:val="21"/>
          <w:highlight w:val="none"/>
        </w:rPr>
        <w:t xml:space="preserve">（2）合同履行期限：</w:t>
      </w:r>
      <w:r>
        <w:rPr>
          <w:rFonts w:hint="eastAsia" w:hAnsi="宋体" w:eastAsia="宋体" w:cs="宋体"/>
          <w:b/>
          <w:bCs/>
          <w:color w:val="auto"/>
          <w:sz w:val="21"/>
          <w:szCs w:val="21"/>
          <w:highlight w:val="none"/>
          <w:u w:val="single"/>
        </w:rPr>
        <w:t xml:space="preserve">自合同签订之日起至      年       月底。</w:t>
      </w:r>
      <w:r/>
    </w:p>
    <w:p>
      <w:pPr>
        <w:pStyle w:val="761"/>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2.付款方式</w:t>
      </w:r>
      <w:r/>
    </w:p>
    <w:p>
      <w:pPr>
        <w:pStyle w:val="761"/>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甲方按照以下第</w:t>
      </w:r>
      <w:r>
        <w:rPr>
          <w:rFonts w:hint="eastAsia" w:hAnsi="宋体" w:eastAsia="宋体" w:cs="宋体"/>
          <w:color w:val="auto"/>
          <w:sz w:val="21"/>
          <w:szCs w:val="21"/>
          <w:highlight w:val="none"/>
          <w:u w:val="single"/>
        </w:rPr>
        <w:t xml:space="preserve">（2）</w:t>
      </w:r>
      <w:r>
        <w:rPr>
          <w:rFonts w:hint="eastAsia" w:hAnsi="宋体" w:eastAsia="宋体" w:cs="宋体"/>
          <w:color w:val="auto"/>
          <w:sz w:val="21"/>
          <w:szCs w:val="21"/>
          <w:highlight w:val="none"/>
        </w:rPr>
        <w:t xml:space="preserve">种方式支付合同款。</w:t>
      </w:r>
      <w:r/>
    </w:p>
    <w:p>
      <w:pPr>
        <w:pStyle w:val="761"/>
        <w:numPr>
          <w:ilvl w:val="0"/>
          <w:numId w:val="5"/>
        </w:numPr>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一次性付款：</w:t>
      </w:r>
      <w:r>
        <w:rPr>
          <w:rFonts w:hint="eastAsia" w:hAnsi="宋体" w:eastAsia="宋体" w:cs="宋体"/>
          <w:color w:val="auto"/>
          <w:sz w:val="21"/>
          <w:szCs w:val="21"/>
          <w:highlight w:val="none"/>
          <w:u w:val="single"/>
        </w:rPr>
        <w:t xml:space="preserve">乙方履约完毕经甲方验收通过后(无质量问题、售后服务纠纷，以及其他经济法律纠纷等)30个工作日内甲方向乙方一次性付清合同全款。</w:t>
      </w:r>
      <w:r>
        <w:rPr>
          <w:rFonts w:hint="eastAsia" w:hAnsi="宋体" w:eastAsia="宋体" w:cs="宋体"/>
          <w:color w:val="auto"/>
          <w:sz w:val="21"/>
          <w:szCs w:val="21"/>
          <w:highlight w:val="none"/>
        </w:rPr>
        <w:t xml:space="preserve">                                  </w:t>
      </w:r>
      <w:r/>
    </w:p>
    <w:p>
      <w:pPr>
        <w:pStyle w:val="761"/>
        <w:numPr>
          <w:ilvl w:val="0"/>
          <w:numId w:val="5"/>
        </w:numPr>
        <w:ind w:firstLine="420"/>
        <w:spacing w:line="360" w:lineRule="auto"/>
        <w:rPr>
          <w:rFonts w:hAnsi="宋体" w:eastAsia="宋体" w:cs="宋体"/>
          <w:color w:val="auto"/>
          <w:sz w:val="21"/>
          <w:szCs w:val="21"/>
          <w:highlight w:val="none"/>
          <w:u w:val="single"/>
        </w:rPr>
      </w:pPr>
      <w:r>
        <w:rPr>
          <w:rFonts w:hint="eastAsia" w:hAnsi="宋体" w:eastAsia="宋体" w:cs="宋体"/>
          <w:color w:val="auto"/>
          <w:sz w:val="21"/>
          <w:szCs w:val="21"/>
          <w:highlight w:val="none"/>
        </w:rPr>
        <w:t xml:space="preserve">分期付款，付款时间及数额分别为：</w:t>
      </w:r>
      <w:r>
        <w:rPr>
          <w:rFonts w:hint="eastAsia" w:hAnsi="宋体" w:eastAsia="宋体" w:cs="宋体"/>
          <w:color w:val="auto"/>
          <w:sz w:val="21"/>
          <w:szCs w:val="21"/>
          <w:highlight w:val="none"/>
          <w:u w:val="single"/>
        </w:rPr>
        <w:t xml:space="preserve">合同签订后30个工作日内，甲方向乙方支付合同总金额的40%，即付人民币大写         元整（￥          ）；乙方履约完毕经甲方验收通过后(无质量问题、售后服务纠纷，以及其他经济法律纠纷等)30个工作日内甲方向乙方据实付清全部款项。                           </w:t>
      </w:r>
      <w:r/>
    </w:p>
    <w:p>
      <w:pPr>
        <w:pStyle w:val="761"/>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甲方以银行转账方式支付合同款。第二次付款前，乙方应提供合法有效且符合甲方要求的发票及《政府采购履约验收单》，若乙方未按约提供的，甲方有权迟延付款且不承担逾期付款的违约责任。因财政审批及支付安排计划等原因导致甲方付款周期调整或延迟，甲方无需承担逾期付款的违约责任，乙方亦承诺放弃对该违约责任的主张，同时乙方不得因此暂停履行合同义务。</w:t>
      </w:r>
      <w:r/>
    </w:p>
    <w:p>
      <w:pPr>
        <w:pStyle w:val="761"/>
        <w:ind w:firstLine="420"/>
        <w:spacing w:line="360" w:lineRule="auto"/>
        <w:rPr>
          <w:rFonts w:hAnsi="宋体" w:eastAsia="宋体" w:cs="宋体"/>
          <w:bCs/>
          <w:color w:val="auto"/>
          <w:sz w:val="21"/>
          <w:szCs w:val="21"/>
          <w:highlight w:val="none"/>
        </w:rPr>
      </w:pPr>
      <w:r>
        <w:rPr>
          <w:rFonts w:hint="eastAsia" w:hAnsi="宋体" w:eastAsia="宋体" w:cs="宋体"/>
          <w:color w:val="auto"/>
          <w:sz w:val="21"/>
          <w:szCs w:val="21"/>
          <w:highlight w:val="none"/>
        </w:rPr>
        <w:t xml:space="preserve">3.乙方</w:t>
      </w:r>
      <w:r>
        <w:rPr>
          <w:rFonts w:hint="eastAsia" w:hAnsi="宋体" w:eastAsia="宋体" w:cs="宋体"/>
          <w:bCs/>
          <w:color w:val="auto"/>
          <w:sz w:val="21"/>
          <w:szCs w:val="21"/>
          <w:highlight w:val="none"/>
        </w:rPr>
        <w:t xml:space="preserve">收款账户信息</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户名：</w:t>
      </w:r>
      <w:r>
        <w:rPr>
          <w:rFonts w:hint="eastAsia" w:ascii="宋体" w:hAnsi="宋体" w:cs="宋体"/>
          <w:color w:val="auto"/>
          <w:sz w:val="21"/>
          <w:szCs w:val="21"/>
          <w:highlight w:val="none"/>
          <w:u w:val="single"/>
        </w:rPr>
        <w:t xml:space="preserve">                                                                  </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账号：</w:t>
      </w:r>
      <w:r>
        <w:rPr>
          <w:rFonts w:hint="eastAsia" w:ascii="宋体" w:hAnsi="宋体" w:cs="宋体"/>
          <w:color w:val="auto"/>
          <w:sz w:val="21"/>
          <w:szCs w:val="21"/>
          <w:highlight w:val="none"/>
          <w:u w:val="single"/>
        </w:rPr>
        <w:t xml:space="preserve">                                                                  </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开户行：</w:t>
      </w:r>
      <w:r>
        <w:rPr>
          <w:rFonts w:hint="eastAsia" w:ascii="宋体" w:hAnsi="宋体" w:cs="宋体"/>
          <w:color w:val="auto"/>
          <w:sz w:val="21"/>
          <w:szCs w:val="21"/>
          <w:highlight w:val="none"/>
          <w:u w:val="single"/>
        </w:rPr>
        <w:t xml:space="preserve">                                                         </w:t>
      </w:r>
      <w:r/>
    </w:p>
    <w:p>
      <w:pPr>
        <w:pStyle w:val="761"/>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4.若遇国家或地方政府政策性调整，双方另行协商。</w:t>
      </w:r>
      <w:r/>
    </w:p>
    <w:p>
      <w:pPr>
        <w:pStyle w:val="761"/>
        <w:numPr>
          <w:ilvl w:val="0"/>
          <w:numId w:val="3"/>
        </w:numPr>
        <w:ind w:firstLine="422"/>
        <w:spacing w:line="360" w:lineRule="auto"/>
        <w:rPr>
          <w:rFonts w:hAnsi="宋体" w:eastAsia="宋体" w:cs="宋体"/>
          <w:b/>
          <w:bCs/>
          <w:color w:val="auto"/>
          <w:sz w:val="21"/>
          <w:szCs w:val="21"/>
          <w:highlight w:val="none"/>
        </w:rPr>
      </w:pPr>
      <w:r>
        <w:rPr>
          <w:rFonts w:hint="eastAsia" w:hAnsi="宋体" w:eastAsia="宋体" w:cs="宋体"/>
          <w:b/>
          <w:bCs/>
          <w:color w:val="auto"/>
          <w:sz w:val="21"/>
          <w:szCs w:val="21"/>
          <w:highlight w:val="none"/>
        </w:rPr>
        <w:t xml:space="preserve">双方的权利义务</w:t>
      </w:r>
      <w:r/>
    </w:p>
    <w:p>
      <w:pPr>
        <w:pStyle w:val="761"/>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1.甲方的权利义务</w:t>
      </w:r>
      <w:r/>
    </w:p>
    <w:p>
      <w:pPr>
        <w:pStyle w:val="761"/>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（1）甲方有义务向乙方及时提供</w:t>
      </w:r>
      <w:r>
        <w:rPr>
          <w:rFonts w:hint="eastAsia" w:hAnsi="宋体" w:eastAsia="宋体" w:cs="宋体"/>
          <w:color w:val="auto"/>
          <w:sz w:val="21"/>
          <w:szCs w:val="21"/>
          <w:highlight w:val="none"/>
          <w:u w:val="single"/>
        </w:rPr>
        <w:t xml:space="preserve">开展风险隐患排查工作所必需的政策、法律、法规、行政指导性文件，作为排查的依据</w:t>
      </w:r>
      <w:r>
        <w:rPr>
          <w:rFonts w:hint="eastAsia" w:hAnsi="宋体" w:eastAsia="宋体" w:cs="宋体"/>
          <w:color w:val="auto"/>
          <w:sz w:val="21"/>
          <w:szCs w:val="21"/>
          <w:highlight w:val="none"/>
        </w:rPr>
        <w:t xml:space="preserve">，并提供项目实施的必要条件。</w:t>
      </w:r>
      <w:r/>
    </w:p>
    <w:p>
      <w:pPr>
        <w:pStyle w:val="761"/>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（2）甲方应当按照本合同约定和验收结果按时向乙方支付本合同约定的价款。</w:t>
      </w:r>
      <w:r/>
    </w:p>
    <w:p>
      <w:pPr>
        <w:pStyle w:val="761"/>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（3）本合同履行过程中产生的所有知识产权归甲方所有。</w:t>
      </w:r>
      <w:r/>
    </w:p>
    <w:p>
      <w:pPr>
        <w:pStyle w:val="761"/>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（4）甲方应依照本合同向乙方提供所抽查产品的《产品质量监督抽查/风险监测任务委托书》、《产品质量监督抽查通知书》、抽查实施细则。</w:t>
      </w:r>
      <w:r/>
    </w:p>
    <w:p>
      <w:pPr>
        <w:pStyle w:val="761"/>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（5）甲方有权根据客观事实及工作实际要求对本合同进行调整和变更，调整和变更情况应当及时告知乙方，乙方如有不同意见应及时反馈，最终变更结果以双方商定结果为准。</w:t>
      </w:r>
      <w:r/>
    </w:p>
    <w:p>
      <w:pPr>
        <w:pStyle w:val="761"/>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（6）甲方有权随时向乙方了解项目进度，并要求乙方提供项目相关资料。</w:t>
      </w:r>
      <w:r/>
    </w:p>
    <w:p>
      <w:pPr>
        <w:pStyle w:val="761"/>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（7）</w:t>
      </w:r>
      <w:r>
        <w:rPr>
          <w:rFonts w:hint="eastAsia" w:hAnsi="宋体" w:eastAsia="宋体" w:cs="宋体"/>
          <w:color w:val="auto"/>
          <w:sz w:val="21"/>
          <w:szCs w:val="21"/>
          <w:highlight w:val="none"/>
          <w:u w:val="single"/>
        </w:rPr>
        <w:t xml:space="preserve">其他                                                        </w:t>
      </w:r>
      <w:r/>
    </w:p>
    <w:p>
      <w:pPr>
        <w:pStyle w:val="761"/>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2.乙方的权利义务</w:t>
      </w:r>
      <w:r/>
    </w:p>
    <w:p>
      <w:pPr>
        <w:pStyle w:val="761"/>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（1）应当认真执行并按时完成任务，自觉接受甲方监督，对甲方提出的合理意见，应当予以采纳并及时整改；应当坚守工作范围的职责，不得介入甲方行政执法管理范围的事务性工作；</w:t>
      </w:r>
      <w:r/>
    </w:p>
    <w:p>
      <w:pPr>
        <w:pStyle w:val="761"/>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（2）配合政府审计监督。</w:t>
      </w:r>
      <w:r/>
    </w:p>
    <w:p>
      <w:pPr>
        <w:pStyle w:val="761"/>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（3）乙方应自行负责其服务人员的安全保障，如其服务人员在履行本合同中发生意外事故或第三方造成损害的，均由乙方自行负责，如由此造成甲方损失的，还应赔偿甲方一切损失。</w:t>
      </w:r>
      <w:r/>
    </w:p>
    <w:p>
      <w:pPr>
        <w:pStyle w:val="761"/>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（4）乙方应当具备开展本合同委托内容的下列条件：</w:t>
      </w:r>
      <w:r/>
    </w:p>
    <w:p>
      <w:pPr>
        <w:pStyle w:val="761"/>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①乙方应具备一定抽样技术能力，人员配置、作业管理等应满足抽样技术要求，确保抽查工作的顺利开展。</w:t>
      </w:r>
      <w:r/>
    </w:p>
    <w:p>
      <w:pPr>
        <w:pStyle w:val="761"/>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②乙方应具有国家认证认可监督管理委员会或省级市场监督管理部门颁发的有效期内(有效期能覆盖本次任务的完成)的检验检测机构资质认定证书(CMA)。</w:t>
      </w:r>
      <w:r/>
    </w:p>
    <w:p>
      <w:pPr>
        <w:pStyle w:val="761"/>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③具有必备的仪器设备、人员(须经培训符合要求)和检测能力；</w:t>
      </w:r>
      <w:r/>
    </w:p>
    <w:p>
      <w:pPr>
        <w:pStyle w:val="761"/>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（5）乙方不得存在借承担监督抽查及风险监测任务工作之机为本机构拉客户、事先通知被抽查企业，直接或间接参与企业接待等违法违规行为。</w:t>
      </w:r>
      <w:r/>
    </w:p>
    <w:p>
      <w:pPr>
        <w:pStyle w:val="761"/>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6）乙方应当保证抽样、检验工作的合法合规性，对其抽取、检验的样品负责，所抽样品应满足相关产品抽查方案、抽查实施细则中检验要求，检验结果应反映对样品的真实评价，对抽样、检验过程及样品信息的准确性负责，做好检验数据的原始记录，不得隐瞒、毁损和伪造检验结果。</w:t>
      </w:r>
      <w:r/>
    </w:p>
    <w:p>
      <w:pPr>
        <w:pStyle w:val="761"/>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7）乙方应当严格按照本合同约定的内容承担相关工作，不得超范围开展产品质量监督抽查相关业务；在本合同履行期间内不得与被抽查企业签订同类产品的有偿服务协议或者接受被抽查企业对同一产品的委托检验。</w:t>
      </w:r>
      <w:r/>
    </w:p>
    <w:p>
      <w:pPr>
        <w:pStyle w:val="761"/>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（8）除甲方书面许可外，乙方不得以任何形式分包检验检测项目、不得租赁或者借用他人检测设备。</w:t>
      </w:r>
      <w:r/>
    </w:p>
    <w:p>
      <w:pPr>
        <w:pStyle w:val="761"/>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9）乙方应当在本合同约定时限内，保质保量完成抽查任务。如因遭遇不可抗力或其他因素影响项目任务的正常执行进度，致使承担任务需要调整时，乙方应当及时向甲方提交书面报告，经甲方确定处理意见后执行。</w:t>
      </w:r>
      <w:r/>
    </w:p>
    <w:p>
      <w:pPr>
        <w:pStyle w:val="761"/>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（10）监督检查及风险监测任务中所购买样品的所有权归属甲方，乙方需对样品妥善保管，样品处置需符合《江苏省省级产品质量监督抽查工作规范》要求。</w:t>
      </w:r>
      <w:r/>
    </w:p>
    <w:p>
      <w:pPr>
        <w:pStyle w:val="761"/>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（11）乙方应积极提供资料并配合甲方在任务实施期间开展随机检查和任务完成后开展验收检查。</w:t>
      </w:r>
      <w:r/>
    </w:p>
    <w:p>
      <w:pPr>
        <w:pStyle w:val="761"/>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（12）服务费用支付后，乙方仍应当按合同及甲方的要求履行本次任务涉及产品的异议处理、样品处置等工作。</w:t>
      </w:r>
      <w:r/>
    </w:p>
    <w:p>
      <w:pPr>
        <w:pStyle w:val="761"/>
        <w:ind w:firstLine="420"/>
        <w:spacing w:line="360" w:lineRule="auto"/>
        <w:rPr>
          <w:rFonts w:hAnsi="宋体" w:eastAsia="宋体" w:cs="宋体"/>
          <w:color w:val="auto"/>
          <w:sz w:val="21"/>
          <w:szCs w:val="21"/>
          <w:highlight w:val="none"/>
          <w:u w:val="single"/>
        </w:rPr>
      </w:pPr>
      <w:r>
        <w:rPr>
          <w:rFonts w:hint="eastAsia" w:hAnsi="宋体" w:eastAsia="宋体" w:cs="宋体"/>
          <w:color w:val="auto"/>
          <w:sz w:val="21"/>
          <w:szCs w:val="21"/>
          <w:highlight w:val="none"/>
        </w:rPr>
        <w:t xml:space="preserve">（13）</w:t>
      </w:r>
      <w:r>
        <w:rPr>
          <w:rFonts w:hint="eastAsia" w:hAnsi="宋体" w:eastAsia="宋体" w:cs="宋体"/>
          <w:color w:val="auto"/>
          <w:sz w:val="21"/>
          <w:szCs w:val="21"/>
          <w:highlight w:val="none"/>
          <w:u w:val="single"/>
        </w:rPr>
        <w:t xml:space="preserve">其他                                                         </w:t>
      </w:r>
      <w:r/>
    </w:p>
    <w:p>
      <w:pPr>
        <w:pStyle w:val="761"/>
        <w:numPr>
          <w:ilvl w:val="0"/>
          <w:numId w:val="3"/>
        </w:numPr>
        <w:ind w:firstLine="422"/>
        <w:spacing w:line="360" w:lineRule="auto"/>
        <w:rPr>
          <w:rFonts w:hAnsi="宋体" w:eastAsia="宋体" w:cs="宋体"/>
          <w:b/>
          <w:bCs/>
          <w:color w:val="auto"/>
          <w:sz w:val="21"/>
          <w:szCs w:val="21"/>
          <w:highlight w:val="none"/>
        </w:rPr>
      </w:pPr>
      <w:r>
        <w:rPr>
          <w:rFonts w:hint="eastAsia" w:hAnsi="宋体" w:eastAsia="宋体" w:cs="宋体"/>
          <w:b/>
          <w:bCs/>
          <w:color w:val="auto"/>
          <w:sz w:val="21"/>
          <w:szCs w:val="21"/>
          <w:highlight w:val="none"/>
        </w:rPr>
        <w:t xml:space="preserve">保密要求</w:t>
      </w:r>
      <w:r/>
    </w:p>
    <w:p>
      <w:pPr>
        <w:pStyle w:val="761"/>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1. 乙方应严格保守产品质量监督抽查/风险监测信息，未经甲方同意，不得将抽查结果对外发布，不得将抽查结果提供给任何部门、单位及个人，同时不得外泄被抽查企业的商业秘密。</w:t>
      </w:r>
      <w:r/>
    </w:p>
    <w:p>
      <w:pPr>
        <w:pStyle w:val="761"/>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2.乙方在开展产品质量监督抽查/风险监测工作过程中，存在违法、违规和违反合同行为的，甲方可以随时解除合同，乙方需承担因其所造成的损失。</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3.本合同终止时，乙方应立即将上述所涉及之资料、数据和信息归还甲方，乙方将上述材料归还甲方并不意味着在任何程度上解除乙方根据本合同应承担的保密义务。</w:t>
      </w:r>
      <w:r/>
    </w:p>
    <w:p>
      <w:pPr>
        <w:pStyle w:val="761"/>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4.保密义务的期限为永久。</w:t>
      </w:r>
      <w:r/>
    </w:p>
    <w:p>
      <w:pPr>
        <w:pStyle w:val="761"/>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5.保密要求条款为独立条款，不论本合同是否签署、变更、解除或终止等，本条款均有效。</w:t>
      </w:r>
      <w:r/>
    </w:p>
    <w:p>
      <w:pPr>
        <w:pStyle w:val="761"/>
        <w:numPr>
          <w:ilvl w:val="0"/>
          <w:numId w:val="3"/>
        </w:numPr>
        <w:ind w:firstLine="422"/>
        <w:spacing w:line="360" w:lineRule="auto"/>
        <w:rPr>
          <w:rFonts w:hAnsi="宋体" w:eastAsia="宋体" w:cs="宋体"/>
          <w:b/>
          <w:bCs/>
          <w:color w:val="auto"/>
          <w:sz w:val="21"/>
          <w:szCs w:val="21"/>
          <w:highlight w:val="none"/>
        </w:rPr>
      </w:pPr>
      <w:r>
        <w:rPr>
          <w:rFonts w:hint="eastAsia" w:hAnsi="宋体" w:eastAsia="宋体" w:cs="宋体"/>
          <w:b/>
          <w:bCs/>
          <w:color w:val="auto"/>
          <w:sz w:val="21"/>
          <w:szCs w:val="21"/>
          <w:highlight w:val="none"/>
        </w:rPr>
        <w:t xml:space="preserve">违约责任</w:t>
      </w:r>
      <w:r/>
    </w:p>
    <w:p>
      <w:pPr>
        <w:pStyle w:val="761"/>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合同一方不履行合同义务或者履行合同义务不符合约定的，应当承担继续履行、采取补救措施或赔偿损失等违约责任。</w:t>
      </w:r>
      <w:r/>
    </w:p>
    <w:p>
      <w:pPr>
        <w:pStyle w:val="761"/>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1.甲方违约责任</w:t>
      </w:r>
      <w:r/>
    </w:p>
    <w:p>
      <w:pPr>
        <w:pStyle w:val="761"/>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（1）在合同生效后，甲方无正当理由要求终止合同的，应向乙方偿付合同总价款的5%作为违约金，违约金不足以补偿损失的，乙方有权要求甲方补足。</w:t>
      </w:r>
      <w:r/>
    </w:p>
    <w:p>
      <w:pPr>
        <w:pStyle w:val="761"/>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（2）甲方无正当理由逾期支付价款的应按照逾期付款金额的每天万分之四支付逾期付款违约金。</w:t>
      </w:r>
      <w:r/>
    </w:p>
    <w:p>
      <w:pPr>
        <w:pStyle w:val="761"/>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（3）甲方违反合同规定，无理由拒绝接收乙方交付的符合甲方要求的合格标的物，应当承担乙方由此造成的损失。</w:t>
      </w:r>
      <w:r/>
    </w:p>
    <w:p>
      <w:pPr>
        <w:pStyle w:val="761"/>
        <w:ind w:firstLine="420"/>
        <w:spacing w:line="360" w:lineRule="auto"/>
        <w:rPr>
          <w:rFonts w:hAnsi="宋体" w:eastAsia="宋体" w:cs="宋体"/>
          <w:color w:val="auto"/>
          <w:sz w:val="21"/>
          <w:szCs w:val="21"/>
          <w:highlight w:val="none"/>
          <w:u w:val="single"/>
        </w:rPr>
      </w:pPr>
      <w:r>
        <w:rPr>
          <w:rFonts w:hint="eastAsia" w:hAnsi="宋体" w:eastAsia="宋体" w:cs="宋体"/>
          <w:color w:val="auto"/>
          <w:sz w:val="21"/>
          <w:szCs w:val="21"/>
          <w:highlight w:val="none"/>
        </w:rPr>
        <w:t xml:space="preserve">（4）</w:t>
      </w:r>
      <w:r>
        <w:rPr>
          <w:rFonts w:hint="eastAsia" w:hAnsi="宋体" w:eastAsia="宋体" w:cs="宋体"/>
          <w:color w:val="auto"/>
          <w:sz w:val="21"/>
          <w:szCs w:val="21"/>
          <w:highlight w:val="none"/>
          <w:u w:val="single"/>
        </w:rPr>
        <w:t xml:space="preserve">其他                                                         </w:t>
      </w:r>
      <w:r/>
    </w:p>
    <w:p>
      <w:pPr>
        <w:pStyle w:val="761"/>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2.乙方违约责任</w:t>
      </w:r>
      <w:r/>
    </w:p>
    <w:p>
      <w:pPr>
        <w:pStyle w:val="761"/>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（1）乙方不能提供服务或服务不合格从而影响甲方按期正常工作的，应向甲方偿付合同总价款5%的违约金，违约金不足以补偿损失的，甲方有权要求乙方补足。</w:t>
      </w:r>
      <w:r/>
    </w:p>
    <w:p>
      <w:pPr>
        <w:pStyle w:val="761"/>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（2）合同生效后，乙方无故单方解除合同的，应向甲方承担违约责任，违约金为合同总价的20%，并赔偿甲方因此而造成的直接损失。</w:t>
      </w:r>
      <w:r/>
    </w:p>
    <w:p>
      <w:pPr>
        <w:pStyle w:val="761"/>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（3）在合同履行过程中，由于乙方的故意或过失造成甲方或第三方损失的，乙方应赔偿甲方或第三方的实际损失。</w:t>
      </w:r>
      <w:r/>
    </w:p>
    <w:p>
      <w:pPr>
        <w:pStyle w:val="761"/>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4）乙方有违反本合同约定或损害甲方利益，经甲方催告后仍未整改的，甲方有权解除本合同，乙方应向甲方返还甲方已支付的全部费用，并偿付合同总价款5%的违约金，违约金不足以补偿损失的甲方有权要求乙方补足。</w:t>
      </w:r>
      <w:r/>
    </w:p>
    <w:p>
      <w:pPr>
        <w:pStyle w:val="761"/>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（5）</w:t>
      </w:r>
      <w:r>
        <w:rPr>
          <w:rFonts w:hint="eastAsia" w:hAnsi="宋体" w:eastAsia="宋体" w:cs="宋体"/>
          <w:color w:val="auto"/>
          <w:sz w:val="21"/>
          <w:szCs w:val="21"/>
          <w:highlight w:val="none"/>
          <w:u w:val="single"/>
        </w:rPr>
        <w:t xml:space="preserve">其他                                                        </w:t>
      </w:r>
      <w:r/>
    </w:p>
    <w:p>
      <w:pPr>
        <w:pStyle w:val="761"/>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3.不可抗力</w:t>
      </w:r>
      <w:r/>
    </w:p>
    <w:p>
      <w:pPr>
        <w:pStyle w:val="761"/>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1）不可抗力是指严重的自然灾害和灾难（如台风、洪水、地震、火灾和爆炸等）、战争（不论是否宣战）、叛乱、动乱等。合同中的任何一方，由于不可抗力事件而影响合同义务的执行时，则延迟履行合同义务的期限相当于不可抗力事件影响的时间。</w:t>
      </w:r>
      <w:r/>
    </w:p>
    <w:p>
      <w:pPr>
        <w:pStyle w:val="761"/>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2）受到不可抗力影响的一方应在不可抗力事故发生后，尽快将所发生的不可抗力事件的情况以书面通知另一方，并在三天内将有关行政主管部门出具的证明文件提交给另一方审阅确认，受影响的一方同时应尽量设法缩小这种影响和由此而引起的延误，一旦不可抗力的影响消除后应将此情况立即通知对方。</w:t>
      </w:r>
      <w:r/>
    </w:p>
    <w:p>
      <w:pPr>
        <w:pStyle w:val="761"/>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4.双方互不承担间接损失。在任何情况下，双方相互承担的各种违约损害赔偿责任总和最高不超过本合同的总金额。</w:t>
      </w:r>
      <w:r/>
    </w:p>
    <w:p>
      <w:pPr>
        <w:pStyle w:val="761"/>
        <w:numPr>
          <w:ilvl w:val="0"/>
          <w:numId w:val="3"/>
        </w:numPr>
        <w:ind w:firstLine="422"/>
        <w:spacing w:line="360" w:lineRule="auto"/>
        <w:rPr>
          <w:rFonts w:hAnsi="宋体" w:eastAsia="宋体" w:cs="宋体"/>
          <w:b/>
          <w:bCs/>
          <w:color w:val="auto"/>
          <w:sz w:val="21"/>
          <w:szCs w:val="21"/>
          <w:highlight w:val="none"/>
        </w:rPr>
      </w:pPr>
      <w:r>
        <w:rPr>
          <w:rFonts w:hint="eastAsia" w:hAnsi="宋体" w:eastAsia="宋体" w:cs="宋体"/>
          <w:b/>
          <w:bCs/>
          <w:color w:val="auto"/>
          <w:sz w:val="21"/>
          <w:szCs w:val="21"/>
          <w:highlight w:val="none"/>
        </w:rPr>
        <w:t xml:space="preserve">合同的解除、转让与分包</w:t>
      </w:r>
      <w:r/>
    </w:p>
    <w:p>
      <w:pPr>
        <w:pStyle w:val="761"/>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（一）合同的解除</w:t>
      </w:r>
      <w:r/>
    </w:p>
    <w:p>
      <w:pPr>
        <w:pStyle w:val="761"/>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1.甲方和乙方协商一致，可以解除合同；</w:t>
      </w:r>
      <w:r/>
    </w:p>
    <w:p>
      <w:pPr>
        <w:pStyle w:val="761"/>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2.在合同有效期内一方不得擅自变更或中止此项合同（包括为此项目配备的人员），如未经双方书面同意，擅自变更或中止此项的一方自行承担违约责任。</w:t>
      </w:r>
      <w:r/>
    </w:p>
    <w:p>
      <w:pPr>
        <w:pStyle w:val="761"/>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3.有下列情形之一，合同一方可以解除合同：</w:t>
      </w:r>
      <w:r/>
    </w:p>
    <w:p>
      <w:pPr>
        <w:pStyle w:val="761"/>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（1）因不可抗力致使不能实现合同目的，未受不可抗力影响的一方有权解除合同；</w:t>
      </w:r>
      <w:r/>
    </w:p>
    <w:p>
      <w:pPr>
        <w:pStyle w:val="761"/>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（2）因合同一方违约导致合同不能履行，另一方有权解除合同；</w:t>
      </w:r>
      <w:r/>
    </w:p>
    <w:p>
      <w:pPr>
        <w:pStyle w:val="761"/>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（3）在合同履行期间，乙方出现规划设计达不到要求或3次无法按承诺的服务响应时间提供相应服务的，甲方有权解除合同。</w:t>
      </w:r>
      <w:r/>
    </w:p>
    <w:p>
      <w:pPr>
        <w:pStyle w:val="761"/>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4.有权解除合同的一方，应当在违约事实或不可抗力发生之后三十天内书面通知对方以主张解除合同，合同在书面通知到达对方时解除。</w:t>
      </w:r>
      <w:r/>
    </w:p>
    <w:p>
      <w:pPr>
        <w:pStyle w:val="761"/>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（二）合同的转让和分包</w:t>
      </w:r>
      <w:r/>
    </w:p>
    <w:p>
      <w:pPr>
        <w:pStyle w:val="761"/>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 1.政府采购合同的部分和全部都不得转让；</w:t>
      </w:r>
      <w:r/>
    </w:p>
    <w:p>
      <w:pPr>
        <w:pStyle w:val="761"/>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 2.经甲方和同级政府采购监督管理部门事先书面同意，乙方可将合同项下非主体、非关键性工作分包给他人完成。接受分包的人应当具备相应的资格条件，并不得再次分包。分包后不能解除乙方履行本合同的责任和义务，接受分包的人与乙方共同对甲方连带承担合同的责任和义务。</w:t>
      </w:r>
      <w:r/>
    </w:p>
    <w:p>
      <w:pPr>
        <w:pStyle w:val="761"/>
        <w:numPr>
          <w:ilvl w:val="0"/>
          <w:numId w:val="3"/>
        </w:numPr>
        <w:ind w:firstLine="422"/>
        <w:spacing w:line="360" w:lineRule="auto"/>
        <w:rPr>
          <w:rFonts w:hAnsi="宋体" w:eastAsia="宋体" w:cs="宋体"/>
          <w:b/>
          <w:bCs/>
          <w:color w:val="auto"/>
          <w:sz w:val="21"/>
          <w:szCs w:val="21"/>
          <w:highlight w:val="none"/>
        </w:rPr>
      </w:pPr>
      <w:r>
        <w:rPr>
          <w:rFonts w:hint="eastAsia" w:hAnsi="宋体" w:eastAsia="宋体" w:cs="宋体"/>
          <w:b/>
          <w:bCs/>
          <w:color w:val="auto"/>
          <w:sz w:val="21"/>
          <w:szCs w:val="21"/>
          <w:highlight w:val="none"/>
        </w:rPr>
        <w:t xml:space="preserve">通知条款</w:t>
      </w:r>
      <w:r/>
    </w:p>
    <w:p>
      <w:pPr>
        <w:pStyle w:val="761"/>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一方根据本合同约定和法律规定就相关事宜通知对方时，可按照首部所列的地址、电话等任意一种方式及时通知对。一方接到对方通知或其他书面文件后，应在收到通知七日内做出答复，逾期不答复的，即视为默认，一方联系方式发生变更时应提前七日书面告知对方，没有书面告知的，一方根据原联系方式发出的通知，视为有效送达。</w:t>
      </w:r>
      <w:r/>
    </w:p>
    <w:p>
      <w:pPr>
        <w:pStyle w:val="761"/>
        <w:numPr>
          <w:ilvl w:val="0"/>
          <w:numId w:val="3"/>
        </w:numPr>
        <w:ind w:firstLine="422"/>
        <w:spacing w:line="360" w:lineRule="auto"/>
        <w:rPr>
          <w:rFonts w:hAnsi="宋体" w:eastAsia="宋体" w:cs="宋体"/>
          <w:b/>
          <w:bCs/>
          <w:color w:val="auto"/>
          <w:sz w:val="21"/>
          <w:szCs w:val="21"/>
          <w:highlight w:val="none"/>
        </w:rPr>
      </w:pPr>
      <w:r>
        <w:rPr>
          <w:rFonts w:hint="eastAsia" w:hAnsi="宋体" w:eastAsia="宋体" w:cs="宋体"/>
          <w:b/>
          <w:bCs/>
          <w:color w:val="auto"/>
          <w:sz w:val="21"/>
          <w:szCs w:val="21"/>
          <w:highlight w:val="none"/>
        </w:rPr>
        <w:t xml:space="preserve">争议的解决</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甲乙双方因本合同发生争议的，双方应友好协商解决。协商不成的，任何一方均有权向甲方所在地人民法院起诉。因乙方违反本合同约定或乙方追究甲方违约但不成立而产生纠纷的，甲方为处理此纠纷产生的费用由乙方承担，该费用包括但不限于保全费、诉讼费、执行费、鉴定费、律师费、差旅费等。</w:t>
      </w:r>
      <w:r/>
    </w:p>
    <w:p>
      <w:pPr>
        <w:pStyle w:val="761"/>
        <w:numPr>
          <w:ilvl w:val="0"/>
          <w:numId w:val="3"/>
        </w:numPr>
        <w:ind w:firstLine="422"/>
        <w:spacing w:line="360" w:lineRule="auto"/>
        <w:rPr>
          <w:rFonts w:hAnsi="宋体" w:eastAsia="宋体" w:cs="宋体"/>
          <w:b/>
          <w:bCs/>
          <w:color w:val="auto"/>
          <w:sz w:val="21"/>
          <w:szCs w:val="21"/>
          <w:highlight w:val="none"/>
        </w:rPr>
      </w:pPr>
      <w:r>
        <w:rPr>
          <w:rFonts w:hint="eastAsia" w:hAnsi="宋体" w:eastAsia="宋体" w:cs="宋体"/>
          <w:b/>
          <w:bCs/>
          <w:color w:val="auto"/>
          <w:sz w:val="21"/>
          <w:szCs w:val="21"/>
          <w:highlight w:val="none"/>
        </w:rPr>
        <w:t xml:space="preserve">合同生效及其它</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1.如甲乙双方通过“苏采云”系统线上签订电子合同的，则本合同自双方在“苏采云”系统中加盖电子印章之日起生效。如甲乙双方签订纸质合同的，则本合同自甲乙双方签章之日起生效。</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2.如签署纸质合同，合同壹式伍份，甲乙双方各执贰份，代理机构壹份，具有同等法律效力。</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本合同系指本文件及其附件中的所有部分，招标文件、中标的投标文件、中标通知书、中标人在采购过程中的澄清和承诺等为本合同不可缺少的组成部分。本合同履行过程中发生相关修改内容，须符合《中华人民共和国政府采购法》和相关法律法规规定；补充协议作为本合同不可分割的一部分。</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4.本合同应按照中华人民共和国的现行法律进行解释。</w:t>
      </w:r>
      <w:r/>
    </w:p>
    <w:p>
      <w:pPr>
        <w:pStyle w:val="761"/>
        <w:ind w:firstLine="420"/>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p>
      <w:pPr>
        <w:pStyle w:val="761"/>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甲方（盖章）：                         乙方（盖章）：</w:t>
      </w:r>
      <w:r/>
    </w:p>
    <w:p>
      <w:pPr>
        <w:pStyle w:val="761"/>
        <w:ind w:firstLine="420"/>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p>
      <w:pPr>
        <w:pStyle w:val="761"/>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法定（授权）代表人（签字）：          法定（授权）代表人（签字）：</w:t>
      </w:r>
      <w:r/>
    </w:p>
    <w:p>
      <w:pPr>
        <w:pStyle w:val="761"/>
        <w:ind w:firstLine="420"/>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p>
      <w:pPr>
        <w:pStyle w:val="761"/>
        <w:jc w:val="left"/>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日期：   年   月   日                 日期：   年   月   日</w:t>
      </w:r>
      <w:r/>
    </w:p>
    <w:p>
      <w:pPr>
        <w:ind w:firstLine="643"/>
        <w:jc w:val="center"/>
        <w:spacing w:line="360" w:lineRule="auto"/>
        <w:widowControl w:val="off"/>
        <w:rPr>
          <w:rFonts w:ascii="宋体" w:hAnsi="宋体" w:cs="宋体"/>
          <w:b/>
          <w:color w:val="auto"/>
          <w:sz w:val="32"/>
          <w:szCs w:val="32"/>
          <w:highlight w:val="none"/>
        </w:rPr>
        <w:outlineLvl w:val="0"/>
      </w:pPr>
      <w:r>
        <w:rPr>
          <w:rFonts w:ascii="宋体" w:hAnsi="宋体" w:cs="宋体"/>
          <w:b/>
          <w:color w:val="auto"/>
          <w:sz w:val="32"/>
          <w:szCs w:val="32"/>
          <w:highlight w:val="none"/>
        </w:rPr>
      </w:r>
      <w:r/>
    </w:p>
    <w:p>
      <w:pPr>
        <w:jc w:val="center"/>
        <w:spacing w:line="360" w:lineRule="auto"/>
        <w:widowControl w:val="off"/>
        <w:rPr>
          <w:rFonts w:ascii="宋体" w:hAnsi="宋体" w:cs="宋体"/>
          <w:b/>
          <w:color w:val="auto"/>
          <w:sz w:val="32"/>
          <w:szCs w:val="32"/>
          <w:highlight w:val="none"/>
        </w:rPr>
        <w:outlineLvl w:val="0"/>
      </w:pPr>
      <w:r>
        <w:rPr>
          <w:rFonts w:ascii="宋体" w:hAnsi="宋体" w:cs="宋体"/>
          <w:b/>
          <w:color w:val="auto"/>
          <w:sz w:val="32"/>
          <w:szCs w:val="32"/>
          <w:highlight w:val="none"/>
        </w:rPr>
      </w:r>
      <w:r/>
    </w:p>
    <w:p>
      <w:pPr>
        <w:jc w:val="center"/>
        <w:spacing w:line="360" w:lineRule="auto"/>
        <w:widowControl w:val="off"/>
        <w:rPr>
          <w:rFonts w:ascii="宋体" w:hAnsi="宋体" w:cs="宋体"/>
          <w:b/>
          <w:color w:val="auto"/>
          <w:sz w:val="32"/>
          <w:szCs w:val="32"/>
          <w:highlight w:val="none"/>
        </w:rPr>
        <w:outlineLvl w:val="0"/>
      </w:pPr>
      <w:r>
        <w:rPr>
          <w:rFonts w:ascii="宋体" w:hAnsi="宋体" w:cs="宋体"/>
          <w:b/>
          <w:color w:val="auto"/>
          <w:sz w:val="32"/>
          <w:szCs w:val="32"/>
          <w:highlight w:val="none"/>
        </w:rPr>
      </w:r>
      <w:r/>
    </w:p>
    <w:p>
      <w:pPr>
        <w:jc w:val="center"/>
        <w:spacing w:line="360" w:lineRule="auto"/>
        <w:widowControl w:val="off"/>
        <w:rPr>
          <w:rFonts w:ascii="宋体" w:hAnsi="宋体" w:cs="宋体"/>
          <w:b/>
          <w:color w:val="auto"/>
          <w:sz w:val="32"/>
          <w:szCs w:val="32"/>
          <w:highlight w:val="none"/>
        </w:rPr>
        <w:outlineLvl w:val="0"/>
      </w:pPr>
      <w:r>
        <w:rPr>
          <w:rFonts w:ascii="宋体" w:hAnsi="宋体" w:cs="宋体"/>
          <w:b/>
          <w:color w:val="auto"/>
          <w:sz w:val="32"/>
          <w:szCs w:val="32"/>
          <w:highlight w:val="none"/>
        </w:rPr>
      </w:r>
      <w:r/>
    </w:p>
    <w:p>
      <w:pPr>
        <w:jc w:val="center"/>
        <w:spacing w:line="360" w:lineRule="auto"/>
        <w:widowControl w:val="off"/>
        <w:rPr>
          <w:rFonts w:ascii="宋体" w:hAnsi="宋体" w:cs="宋体"/>
          <w:b/>
          <w:color w:val="auto"/>
          <w:sz w:val="32"/>
          <w:szCs w:val="32"/>
          <w:highlight w:val="none"/>
        </w:rPr>
        <w:outlineLvl w:val="0"/>
      </w:pPr>
      <w:r>
        <w:rPr>
          <w:rFonts w:ascii="宋体" w:hAnsi="宋体" w:cs="宋体"/>
          <w:b/>
          <w:color w:val="auto"/>
          <w:sz w:val="32"/>
          <w:szCs w:val="32"/>
          <w:highlight w:val="none"/>
        </w:rPr>
      </w:r>
      <w:r/>
    </w:p>
    <w:p>
      <w:pPr>
        <w:jc w:val="center"/>
        <w:spacing w:line="360" w:lineRule="auto"/>
        <w:widowControl w:val="off"/>
        <w:rPr>
          <w:rFonts w:ascii="宋体" w:hAnsi="宋体" w:cs="宋体"/>
          <w:b/>
          <w:color w:val="auto"/>
          <w:sz w:val="32"/>
          <w:szCs w:val="32"/>
          <w:highlight w:val="none"/>
        </w:rPr>
        <w:outlineLvl w:val="0"/>
      </w:pPr>
      <w:r>
        <w:rPr>
          <w:rFonts w:ascii="宋体" w:hAnsi="宋体" w:cs="宋体"/>
          <w:b/>
          <w:color w:val="auto"/>
          <w:sz w:val="32"/>
          <w:szCs w:val="32"/>
          <w:highlight w:val="none"/>
        </w:rPr>
      </w:r>
      <w:r/>
    </w:p>
    <w:p>
      <w:pPr>
        <w:jc w:val="center"/>
        <w:spacing w:line="360" w:lineRule="auto"/>
        <w:widowControl w:val="off"/>
        <w:rPr>
          <w:rFonts w:ascii="宋体" w:hAnsi="宋体" w:cs="宋体"/>
          <w:b/>
          <w:color w:val="auto"/>
          <w:sz w:val="32"/>
          <w:szCs w:val="32"/>
          <w:highlight w:val="none"/>
        </w:rPr>
        <w:outlineLvl w:val="0"/>
      </w:pPr>
      <w:r>
        <w:rPr>
          <w:rFonts w:ascii="宋体" w:hAnsi="宋体" w:cs="宋体"/>
          <w:b/>
          <w:color w:val="auto"/>
          <w:sz w:val="32"/>
          <w:szCs w:val="32"/>
          <w:highlight w:val="none"/>
        </w:rPr>
      </w:r>
      <w:r/>
    </w:p>
    <w:p>
      <w:pPr>
        <w:jc w:val="center"/>
        <w:spacing w:line="360" w:lineRule="auto"/>
        <w:widowControl w:val="off"/>
        <w:rPr>
          <w:rFonts w:ascii="宋体" w:hAnsi="宋体" w:cs="宋体"/>
          <w:b/>
          <w:color w:val="auto"/>
          <w:sz w:val="32"/>
          <w:szCs w:val="32"/>
          <w:highlight w:val="none"/>
        </w:rPr>
        <w:outlineLvl w:val="0"/>
      </w:pPr>
      <w:r>
        <w:rPr>
          <w:rFonts w:ascii="宋体" w:hAnsi="宋体" w:cs="宋体"/>
          <w:b/>
          <w:color w:val="auto"/>
          <w:sz w:val="32"/>
          <w:szCs w:val="32"/>
          <w:highlight w:val="none"/>
        </w:rPr>
      </w:r>
      <w:r/>
    </w:p>
    <w:p>
      <w:pPr>
        <w:jc w:val="center"/>
        <w:spacing w:line="360" w:lineRule="auto"/>
        <w:widowControl w:val="off"/>
        <w:rPr>
          <w:rFonts w:ascii="宋体" w:hAnsi="宋体" w:cs="宋体"/>
          <w:b/>
          <w:color w:val="auto"/>
          <w:sz w:val="32"/>
          <w:szCs w:val="32"/>
          <w:highlight w:val="none"/>
        </w:rPr>
        <w:outlineLvl w:val="0"/>
      </w:pPr>
      <w:r>
        <w:rPr>
          <w:rFonts w:ascii="宋体" w:hAnsi="宋体" w:cs="宋体"/>
          <w:b/>
          <w:color w:val="auto"/>
          <w:sz w:val="32"/>
          <w:szCs w:val="32"/>
          <w:highlight w:val="none"/>
        </w:rPr>
      </w:r>
      <w:r/>
    </w:p>
    <w:p>
      <w:pPr>
        <w:jc w:val="center"/>
        <w:spacing w:line="360" w:lineRule="auto"/>
        <w:widowControl w:val="off"/>
        <w:rPr>
          <w:rFonts w:ascii="宋体" w:hAnsi="宋体" w:cs="宋体"/>
          <w:b/>
          <w:color w:val="auto"/>
          <w:sz w:val="32"/>
          <w:szCs w:val="32"/>
          <w:highlight w:val="none"/>
        </w:rPr>
        <w:outlineLvl w:val="0"/>
      </w:pPr>
      <w:r>
        <w:rPr>
          <w:rFonts w:ascii="宋体" w:hAnsi="宋体" w:cs="宋体"/>
          <w:b/>
          <w:color w:val="auto"/>
          <w:sz w:val="32"/>
          <w:szCs w:val="32"/>
          <w:highlight w:val="none"/>
        </w:rPr>
      </w:r>
      <w:r/>
    </w:p>
    <w:p>
      <w:pPr>
        <w:jc w:val="center"/>
        <w:spacing w:line="360" w:lineRule="auto"/>
        <w:widowControl w:val="off"/>
        <w:rPr>
          <w:rFonts w:ascii="宋体" w:hAnsi="宋体" w:cs="宋体"/>
          <w:b/>
          <w:color w:val="auto"/>
          <w:sz w:val="32"/>
          <w:szCs w:val="32"/>
          <w:highlight w:val="none"/>
        </w:rPr>
        <w:outlineLvl w:val="0"/>
      </w:pPr>
      <w:r>
        <w:rPr>
          <w:rFonts w:ascii="宋体" w:hAnsi="宋体" w:cs="宋体"/>
          <w:b/>
          <w:color w:val="auto"/>
          <w:sz w:val="32"/>
          <w:szCs w:val="32"/>
          <w:highlight w:val="none"/>
        </w:rPr>
      </w:r>
      <w:r/>
    </w:p>
    <w:p>
      <w:pPr>
        <w:rPr>
          <w:rFonts w:ascii="宋体" w:hAnsi="宋体" w:cs="宋体"/>
          <w:b/>
          <w:color w:val="auto"/>
          <w:sz w:val="32"/>
          <w:szCs w:val="32"/>
          <w:highlight w:val="none"/>
        </w:rPr>
      </w:pPr>
      <w:r>
        <w:rPr>
          <w:rFonts w:hint="eastAsia" w:ascii="宋体" w:hAnsi="宋体" w:cs="宋体"/>
          <w:b/>
          <w:color w:val="auto"/>
          <w:sz w:val="32"/>
          <w:szCs w:val="32"/>
          <w:highlight w:val="none"/>
        </w:rPr>
        <w:br w:type="page" w:clear="all"/>
      </w:r>
      <w:r/>
    </w:p>
    <w:p>
      <w:pPr>
        <w:jc w:val="center"/>
        <w:spacing w:line="360" w:lineRule="auto"/>
        <w:widowControl w:val="off"/>
        <w:rPr>
          <w:rFonts w:ascii="宋体" w:hAnsi="宋体" w:cs="宋体"/>
          <w:b/>
          <w:color w:val="auto"/>
          <w:sz w:val="32"/>
          <w:szCs w:val="32"/>
          <w:highlight w:val="none"/>
          <w:lang w:val="zh-CN"/>
        </w:rPr>
        <w:outlineLvl w:val="0"/>
      </w:pPr>
      <w:r/>
      <w:bookmarkStart w:id="34" w:name="_Toc3718"/>
      <w:r>
        <w:rPr>
          <w:rFonts w:hint="eastAsia" w:ascii="宋体" w:hAnsi="宋体" w:cs="宋体"/>
          <w:b/>
          <w:color w:val="auto"/>
          <w:sz w:val="32"/>
          <w:szCs w:val="32"/>
          <w:highlight w:val="none"/>
          <w:lang w:val="zh-CN"/>
        </w:rPr>
        <w:t xml:space="preserve">第六章 评标方法、评分标准</w:t>
      </w:r>
      <w:bookmarkEnd w:id="33"/>
      <w:r/>
      <w:bookmarkEnd w:id="34"/>
      <w:r/>
      <w:r/>
    </w:p>
    <w:p>
      <w:pPr>
        <w:ind w:firstLine="422"/>
        <w:spacing w:line="360" w:lineRule="auto"/>
        <w:rPr>
          <w:rFonts w:ascii="宋体" w:hAnsi="宋体" w:cs="宋体"/>
          <w:b/>
          <w:bCs/>
          <w:color w:val="auto"/>
          <w:sz w:val="21"/>
          <w:szCs w:val="21"/>
          <w:highlight w:val="none"/>
        </w:rPr>
        <w:outlineLvl w:val="1"/>
      </w:pPr>
      <w:r>
        <w:rPr>
          <w:rFonts w:hint="eastAsia" w:ascii="宋体" w:hAnsi="宋体" w:cs="宋体"/>
          <w:b/>
          <w:bCs/>
          <w:color w:val="auto"/>
          <w:sz w:val="21"/>
          <w:szCs w:val="21"/>
          <w:highlight w:val="none"/>
        </w:rPr>
        <w:t xml:space="preserve">一、评标方法：</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1、评价和比较采用综合评分法，即指投标文件满足招标文件全部实质性要求，且按照评审因素的量化指标评审得分最高的投标人为排名第一的中标候选人的评标方法。</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、评标委员会各成员独立对每个进入打分程序的有效投标单位的标书技术和资质部分以打分的形式进行评审和评价。</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对评委的评分(除价格分外)进行统计汇总，直接算术平均，计算出每个投标单位的得分，加上价格得分即为每个投标单位的综合得分。评标结果按评审后得分由高到低顺序排列。得分相同的，按投标报价由低到高顺序排列。得分且投标报价相同的并列。投标文件满足招标文件全部实质性要求，且按照前述综合评审得分由高到低的顺序作为中标候选人的排序。如选取中标候选人时出现评审得分相同，且投标报价也相同的并列情况的，则由代理机构组织以抽签方式确定优先选取顺序。</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、评标委员会根据采购人的授权，按照中标候选人的顺序在中标候选人中直接确定中标供应商。</w:t>
      </w:r>
      <w:r/>
    </w:p>
    <w:p>
      <w:pPr>
        <w:pStyle w:val="761"/>
        <w:ind w:firstLine="422"/>
        <w:spacing w:line="360" w:lineRule="auto"/>
        <w:rPr>
          <w:rFonts w:hAnsi="宋体" w:eastAsia="宋体" w:cs="宋体"/>
          <w:b/>
          <w:color w:val="auto"/>
          <w:sz w:val="21"/>
          <w:szCs w:val="21"/>
          <w:highlight w:val="none"/>
        </w:rPr>
      </w:pPr>
      <w:r>
        <w:rPr>
          <w:rFonts w:hint="eastAsia" w:hAnsi="宋体" w:eastAsia="宋体" w:cs="宋体"/>
          <w:b/>
          <w:color w:val="auto"/>
          <w:sz w:val="21"/>
          <w:szCs w:val="21"/>
          <w:highlight w:val="none"/>
        </w:rPr>
        <w:t xml:space="preserve">6、非预留份额面向中小企业采购：</w:t>
      </w:r>
      <w:r/>
    </w:p>
    <w:p>
      <w:pPr>
        <w:pStyle w:val="761"/>
        <w:ind w:firstLine="420"/>
        <w:spacing w:line="360" w:lineRule="auto"/>
        <w:rPr>
          <w:rFonts w:hAnsi="宋体" w:eastAsia="宋体" w:cs="宋体"/>
          <w:bCs/>
          <w:color w:val="auto"/>
          <w:sz w:val="21"/>
          <w:szCs w:val="21"/>
          <w:highlight w:val="none"/>
        </w:rPr>
      </w:pPr>
      <w:r>
        <w:rPr>
          <w:rFonts w:hint="eastAsia" w:hAnsi="宋体" w:eastAsia="宋体" w:cs="宋体"/>
          <w:bCs/>
          <w:color w:val="auto"/>
          <w:sz w:val="21"/>
          <w:szCs w:val="21"/>
          <w:highlight w:val="none"/>
        </w:rPr>
        <w:t xml:space="preserve">（一）中小微型企业</w:t>
      </w:r>
      <w:r/>
    </w:p>
    <w:p>
      <w:pPr>
        <w:pStyle w:val="761"/>
        <w:ind w:firstLine="420"/>
        <w:spacing w:line="360" w:lineRule="auto"/>
        <w:rPr>
          <w:rFonts w:hAnsi="宋体" w:eastAsia="宋体" w:cs="宋体"/>
          <w:bCs/>
          <w:color w:val="auto"/>
          <w:sz w:val="21"/>
          <w:szCs w:val="21"/>
          <w:highlight w:val="none"/>
        </w:rPr>
      </w:pPr>
      <w:r>
        <w:rPr>
          <w:rFonts w:hint="eastAsia" w:hAnsi="宋体" w:eastAsia="宋体" w:cs="宋体"/>
          <w:bCs/>
          <w:color w:val="auto"/>
          <w:sz w:val="21"/>
          <w:szCs w:val="21"/>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w:t>
      </w:r>
      <w:r/>
    </w:p>
    <w:p>
      <w:pPr>
        <w:pStyle w:val="761"/>
        <w:ind w:firstLine="420"/>
        <w:spacing w:line="360" w:lineRule="auto"/>
        <w:rPr>
          <w:rFonts w:hAnsi="宋体" w:eastAsia="宋体" w:cs="宋体"/>
          <w:bCs/>
          <w:color w:val="auto"/>
          <w:sz w:val="21"/>
          <w:szCs w:val="21"/>
          <w:highlight w:val="none"/>
        </w:rPr>
      </w:pPr>
      <w:r>
        <w:rPr>
          <w:rFonts w:hint="eastAsia" w:hAnsi="宋体" w:eastAsia="宋体" w:cs="宋体"/>
          <w:bCs/>
          <w:color w:val="auto"/>
          <w:sz w:val="21"/>
          <w:szCs w:val="21"/>
          <w:highlight w:val="none"/>
        </w:rPr>
        <w:t xml:space="preserve">1、本项目属于非预留份额专门面向中小企业采购。如承接服务的供应商为小微企业、监狱企业、残疾人福利性单位，对其报价给予20%的扣除，用扣除后的价格参与评审。如扣除后的价格为最低价的，则作为评标基准价，中标金额则以实际投标报价为准。</w:t>
      </w:r>
      <w:r/>
    </w:p>
    <w:p>
      <w:pPr>
        <w:pStyle w:val="761"/>
        <w:ind w:firstLine="420"/>
        <w:spacing w:line="360" w:lineRule="auto"/>
        <w:rPr>
          <w:rFonts w:hAnsi="宋体" w:eastAsia="宋体" w:cs="宋体"/>
          <w:bCs/>
          <w:color w:val="auto"/>
          <w:sz w:val="21"/>
          <w:szCs w:val="21"/>
          <w:highlight w:val="none"/>
        </w:rPr>
      </w:pPr>
      <w:r>
        <w:rPr>
          <w:rFonts w:hint="eastAsia" w:hAnsi="宋体" w:eastAsia="宋体" w:cs="宋体"/>
          <w:bCs/>
          <w:color w:val="auto"/>
          <w:sz w:val="21"/>
          <w:szCs w:val="21"/>
          <w:highlight w:val="none"/>
        </w:rPr>
        <w:t xml:space="preserve">注：</w:t>
      </w:r>
      <w:r>
        <w:rPr>
          <w:rFonts w:hint="eastAsia" w:hAnsi="宋体" w:eastAsia="宋体" w:cs="宋体"/>
          <w:color w:val="auto"/>
          <w:sz w:val="21"/>
          <w:szCs w:val="21"/>
          <w:highlight w:val="none"/>
        </w:rPr>
        <w:t xml:space="preserve">接受联合体的项目，</w:t>
      </w:r>
      <w:r>
        <w:rPr>
          <w:rFonts w:hint="eastAsia" w:hAnsi="宋体" w:eastAsia="宋体" w:cs="宋体"/>
          <w:bCs/>
          <w:color w:val="auto"/>
          <w:sz w:val="21"/>
          <w:szCs w:val="21"/>
          <w:highlight w:val="none"/>
        </w:rPr>
        <w:t xml:space="preserve">如供应商为联合体投标，联合体各方均为小微企业的，其价格在评审时给予20%的扣除，用扣除后的价格参与评审。联合体为大中型企业和小微企业组成的，依据供应商联合体协议，小微企业在联合体协议中的合同份额占到合同总金额30%以上的，其价格在评审时给予6%的扣除，用扣除后的价格参与评审。</w:t>
      </w:r>
      <w:r/>
    </w:p>
    <w:p>
      <w:pPr>
        <w:pStyle w:val="761"/>
        <w:ind w:firstLine="420"/>
        <w:spacing w:line="360" w:lineRule="auto"/>
        <w:rPr>
          <w:rFonts w:hAnsi="宋体" w:eastAsia="宋体" w:cs="宋体"/>
          <w:bCs/>
          <w:color w:val="auto"/>
          <w:sz w:val="21"/>
          <w:szCs w:val="21"/>
          <w:highlight w:val="none"/>
        </w:rPr>
      </w:pPr>
      <w:r>
        <w:rPr>
          <w:rFonts w:hint="eastAsia" w:hAnsi="宋体" w:eastAsia="宋体" w:cs="宋体"/>
          <w:bCs/>
          <w:color w:val="auto"/>
          <w:sz w:val="21"/>
          <w:szCs w:val="21"/>
          <w:highlight w:val="none"/>
        </w:rPr>
        <w:t xml:space="preserve">2、本项目采购标的对应的中小企业划分标准所属行业为</w:t>
      </w:r>
      <w:r>
        <w:rPr>
          <w:rFonts w:hint="eastAsia" w:hAnsi="宋体" w:eastAsia="宋体" w:cs="宋体"/>
          <w:b/>
          <w:color w:val="auto"/>
          <w:sz w:val="21"/>
          <w:szCs w:val="21"/>
          <w:highlight w:val="none"/>
          <w:u w:val="single"/>
        </w:rPr>
        <w:t xml:space="preserve">其他未列明行业</w:t>
      </w:r>
      <w:r>
        <w:rPr>
          <w:rFonts w:hint="eastAsia" w:hAnsi="宋体" w:eastAsia="宋体" w:cs="宋体"/>
          <w:b/>
          <w:color w:val="auto"/>
          <w:sz w:val="21"/>
          <w:szCs w:val="21"/>
          <w:highlight w:val="none"/>
        </w:rPr>
        <w:t xml:space="preserve">。</w:t>
      </w:r>
      <w:r>
        <w:rPr>
          <w:rFonts w:hint="eastAsia" w:hAnsi="宋体" w:eastAsia="宋体" w:cs="宋体"/>
          <w:bCs/>
          <w:color w:val="auto"/>
          <w:sz w:val="21"/>
          <w:szCs w:val="21"/>
          <w:highlight w:val="none"/>
        </w:rPr>
        <w:t xml:space="preserve">中小微企业划型标准根据《中小企业划型标准规定》（工信部联企业【2011】300号）。</w:t>
      </w:r>
      <w:r/>
    </w:p>
    <w:p>
      <w:pPr>
        <w:pStyle w:val="761"/>
        <w:ind w:firstLine="420"/>
        <w:spacing w:line="360" w:lineRule="auto"/>
        <w:rPr>
          <w:rFonts w:hAnsi="宋体" w:eastAsia="宋体" w:cs="宋体"/>
          <w:bCs/>
          <w:color w:val="auto"/>
          <w:sz w:val="21"/>
          <w:szCs w:val="21"/>
          <w:highlight w:val="none"/>
        </w:rPr>
      </w:pPr>
      <w:r>
        <w:rPr>
          <w:rFonts w:hint="eastAsia" w:hAnsi="宋体" w:eastAsia="宋体" w:cs="宋体"/>
          <w:bCs/>
          <w:color w:val="auto"/>
          <w:sz w:val="21"/>
          <w:szCs w:val="21"/>
          <w:highlight w:val="none"/>
        </w:rPr>
        <w:t xml:space="preserve">3、依据《政府采购促进中小企业发展管理办法》规定享受扶持政策获得政府采购合同的，小微企业不得将合同分包给大中型企业，中型企业不得将合同分包给大型企业。</w:t>
      </w:r>
      <w:r/>
    </w:p>
    <w:p>
      <w:pPr>
        <w:pStyle w:val="761"/>
        <w:ind w:firstLine="420"/>
        <w:spacing w:line="360" w:lineRule="auto"/>
        <w:rPr>
          <w:rFonts w:hAnsi="宋体" w:eastAsia="宋体" w:cs="宋体"/>
          <w:bCs/>
          <w:color w:val="auto"/>
          <w:sz w:val="21"/>
          <w:szCs w:val="21"/>
          <w:highlight w:val="none"/>
        </w:rPr>
      </w:pPr>
      <w:r>
        <w:rPr>
          <w:rFonts w:hint="eastAsia" w:hAnsi="宋体" w:eastAsia="宋体" w:cs="宋体"/>
          <w:bCs/>
          <w:color w:val="auto"/>
          <w:sz w:val="21"/>
          <w:szCs w:val="21"/>
          <w:highlight w:val="none"/>
        </w:rPr>
        <w:t xml:space="preserve">4、中小企业参加政府采购活动，应当出具《政府采购促进中小企业发展管理办法》附件规定《中小企业声明函》，否则不得享受相关中小企业扶持政策。</w:t>
      </w:r>
      <w:r/>
    </w:p>
    <w:p>
      <w:pPr>
        <w:pStyle w:val="761"/>
        <w:ind w:firstLine="420"/>
        <w:spacing w:line="360" w:lineRule="auto"/>
        <w:rPr>
          <w:rFonts w:hAnsi="宋体" w:eastAsia="宋体" w:cs="宋体"/>
          <w:bCs/>
          <w:color w:val="auto"/>
          <w:sz w:val="21"/>
          <w:szCs w:val="21"/>
          <w:highlight w:val="none"/>
        </w:rPr>
      </w:pPr>
      <w:r>
        <w:rPr>
          <w:rFonts w:hint="eastAsia" w:hAnsi="宋体" w:eastAsia="宋体" w:cs="宋体"/>
          <w:bCs/>
          <w:color w:val="auto"/>
          <w:sz w:val="21"/>
          <w:szCs w:val="21"/>
          <w:highlight w:val="none"/>
        </w:rPr>
        <w:t xml:space="preserve">5、本项目中，供应商提供的服务由中小企业承接，即提供服务的人员为中小企业依照《中华人民共和国劳动合同法》订立劳动合同的从业人员，才可享受规定的中小企业扶持政策。</w:t>
      </w:r>
      <w:r/>
    </w:p>
    <w:p>
      <w:pPr>
        <w:pStyle w:val="761"/>
        <w:ind w:firstLine="420"/>
        <w:spacing w:line="360" w:lineRule="auto"/>
        <w:rPr>
          <w:rFonts w:hAnsi="宋体" w:eastAsia="宋体" w:cs="宋体"/>
          <w:bCs/>
          <w:color w:val="auto"/>
          <w:sz w:val="21"/>
          <w:szCs w:val="21"/>
          <w:highlight w:val="none"/>
        </w:rPr>
      </w:pPr>
      <w:r>
        <w:rPr>
          <w:rFonts w:hint="eastAsia" w:hAnsi="宋体" w:eastAsia="宋体" w:cs="宋体"/>
          <w:bCs/>
          <w:color w:val="auto"/>
          <w:sz w:val="21"/>
          <w:szCs w:val="21"/>
          <w:highlight w:val="none"/>
        </w:rPr>
        <w:t xml:space="preserve">6、若供应商提供的《中小企业声明函》为虚假声明则视同提供虚假材料，按政府采购相关规定处理并报请政府监管部门给予行政处罚。</w:t>
      </w:r>
      <w:r/>
    </w:p>
    <w:p>
      <w:pPr>
        <w:pStyle w:val="761"/>
        <w:ind w:firstLine="420"/>
        <w:spacing w:line="360" w:lineRule="auto"/>
        <w:rPr>
          <w:rFonts w:hAnsi="宋体" w:eastAsia="宋体" w:cs="宋体"/>
          <w:bCs/>
          <w:color w:val="auto"/>
          <w:sz w:val="21"/>
          <w:szCs w:val="21"/>
          <w:highlight w:val="none"/>
        </w:rPr>
      </w:pPr>
      <w:r>
        <w:rPr>
          <w:rFonts w:hint="eastAsia" w:hAnsi="宋体" w:eastAsia="宋体" w:cs="宋体"/>
          <w:bCs/>
          <w:color w:val="auto"/>
          <w:sz w:val="21"/>
          <w:szCs w:val="21"/>
          <w:highlight w:val="none"/>
        </w:rPr>
        <w:t xml:space="preserve">（二）残疾人福利性单位</w:t>
      </w:r>
      <w:r/>
    </w:p>
    <w:p>
      <w:pPr>
        <w:pStyle w:val="761"/>
        <w:ind w:firstLine="420"/>
        <w:spacing w:line="360" w:lineRule="auto"/>
        <w:rPr>
          <w:rFonts w:hAnsi="宋体" w:eastAsia="宋体" w:cs="宋体"/>
          <w:bCs/>
          <w:color w:val="auto"/>
          <w:sz w:val="21"/>
          <w:szCs w:val="21"/>
          <w:highlight w:val="none"/>
        </w:rPr>
      </w:pPr>
      <w:r>
        <w:rPr>
          <w:rFonts w:hint="eastAsia" w:hAnsi="宋体" w:eastAsia="宋体" w:cs="宋体"/>
          <w:bCs/>
          <w:color w:val="auto"/>
          <w:sz w:val="21"/>
          <w:szCs w:val="21"/>
          <w:highlight w:val="none"/>
        </w:rPr>
        <w:t xml:space="preserve">根据《关于贯彻执行绿色采购、促进残疾人就业和支持监狱企业发展有关政策的通知（苏财购〔2019〕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p>
    <w:p>
      <w:pPr>
        <w:pStyle w:val="761"/>
        <w:ind w:firstLine="420"/>
        <w:spacing w:line="360" w:lineRule="auto"/>
        <w:rPr>
          <w:rFonts w:hAnsi="宋体" w:eastAsia="宋体" w:cs="宋体"/>
          <w:bCs/>
          <w:color w:val="auto"/>
          <w:sz w:val="21"/>
          <w:szCs w:val="21"/>
          <w:highlight w:val="none"/>
        </w:rPr>
      </w:pPr>
      <w:r>
        <w:rPr>
          <w:rFonts w:hint="eastAsia" w:hAnsi="宋体" w:eastAsia="宋体" w:cs="宋体"/>
          <w:bCs/>
          <w:color w:val="auto"/>
          <w:sz w:val="21"/>
          <w:szCs w:val="21"/>
          <w:highlight w:val="none"/>
        </w:rPr>
        <w:t xml:space="preserve">（三）监狱企业</w:t>
      </w:r>
      <w:r/>
    </w:p>
    <w:p>
      <w:pPr>
        <w:pStyle w:val="761"/>
        <w:ind w:firstLine="420"/>
        <w:spacing w:line="360" w:lineRule="auto"/>
        <w:rPr>
          <w:rFonts w:hAnsi="宋体" w:eastAsia="宋体" w:cs="宋体"/>
          <w:bCs/>
          <w:color w:val="auto"/>
          <w:sz w:val="21"/>
          <w:szCs w:val="21"/>
          <w:highlight w:val="none"/>
        </w:rPr>
      </w:pPr>
      <w:r>
        <w:rPr>
          <w:rFonts w:hint="eastAsia" w:hAnsi="宋体" w:eastAsia="宋体" w:cs="宋体"/>
          <w:bCs/>
          <w:color w:val="auto"/>
          <w:sz w:val="21"/>
          <w:szCs w:val="21"/>
          <w:highlight w:val="none"/>
        </w:rPr>
        <w:t xml:space="preserve">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价格扣除政策。</w:t>
      </w:r>
      <w:r/>
    </w:p>
    <w:p>
      <w:pPr>
        <w:numPr>
          <w:ilvl w:val="0"/>
          <w:numId w:val="6"/>
        </w:numPr>
        <w:ind w:firstLine="422"/>
        <w:spacing w:line="360" w:lineRule="auto"/>
        <w:rPr>
          <w:rFonts w:ascii="宋体" w:hAnsi="宋体" w:cs="宋体"/>
          <w:b/>
          <w:bCs/>
          <w:color w:val="auto"/>
          <w:sz w:val="21"/>
          <w:szCs w:val="21"/>
          <w:highlight w:val="none"/>
        </w:rPr>
        <w:outlineLvl w:val="1"/>
      </w:pPr>
      <w:r>
        <w:rPr>
          <w:rFonts w:hint="eastAsia" w:ascii="宋体" w:hAnsi="宋体" w:cs="宋体"/>
          <w:b/>
          <w:bCs/>
          <w:color w:val="auto"/>
          <w:sz w:val="21"/>
          <w:szCs w:val="21"/>
          <w:highlight w:val="none"/>
        </w:rPr>
        <w:t xml:space="preserve">综合评分标准：</w:t>
      </w:r>
      <w:r/>
    </w:p>
    <w:p>
      <w:pPr>
        <w:ind w:firstLine="422"/>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（一）价格基准分：10分</w:t>
      </w:r>
      <w:r/>
    </w:p>
    <w:p>
      <w:pPr>
        <w:ind w:firstLine="420"/>
        <w:spacing w:line="360" w:lineRule="auto"/>
        <w:widowControl w:val="off"/>
        <w:rPr>
          <w:rFonts w:ascii="宋体" w:hAnsi="宋体" w:cs="宋体"/>
          <w:color w:val="auto"/>
          <w:sz w:val="21"/>
          <w:szCs w:val="21"/>
          <w:highlight w:val="none"/>
        </w:rPr>
      </w:pPr>
      <w:r/>
      <w:bookmarkStart w:id="35" w:name="_Toc529468327"/>
      <w:r>
        <w:rPr>
          <w:rFonts w:hint="eastAsia" w:ascii="宋体" w:hAnsi="宋体" w:cs="宋体"/>
          <w:color w:val="auto"/>
          <w:sz w:val="21"/>
          <w:szCs w:val="21"/>
          <w:highlight w:val="none"/>
        </w:rPr>
        <w:t xml:space="preserve">投标报价低于或等于财政预算价格的，为有效投标报价。超财政预算的投标报价为无效投标报价。无效投标报价的投标文件不进行评审，也不得标。</w:t>
      </w:r>
      <w:bookmarkEnd w:id="35"/>
      <w:r/>
      <w:r/>
    </w:p>
    <w:p>
      <w:pPr>
        <w:ind w:firstLine="420"/>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采用低价优先法计算，即满足招标文件要求且最高的优惠率为评审基准价，其价格分为满分。其他供应商的报价得分统一按照下列公式计算：</w:t>
      </w:r>
      <w:r/>
    </w:p>
    <w:p>
      <w:pPr>
        <w:ind w:firstLine="420"/>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投标报价得分=（1-评审基准价）／（1-投标报价）×价格权值×100，结果保留两位小数。</w:t>
      </w:r>
      <w:r/>
    </w:p>
    <w:p>
      <w:pPr>
        <w:ind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评标委员会认为投标人(供应商）的报价明显低于其他参与投标人(供应商）的报价或明显低于采购预算时，有可能影响产品质量或者不能诚信履约的，应当要求其在合理的时间内提供书面说明，必提交相关证明材料；投标人(供应商）不能证明其报价合理性的，评标委员会应当将其作为无效处理。）</w:t>
      </w:r>
      <w:r/>
    </w:p>
    <w:p>
      <w:pPr>
        <w:ind w:firstLine="422"/>
        <w:spacing w:line="360" w:lineRule="auto"/>
        <w:rPr>
          <w:rFonts w:ascii="宋体" w:hAnsi="宋体" w:cs="宋体"/>
          <w:b/>
          <w:color w:val="auto"/>
          <w:sz w:val="21"/>
          <w:szCs w:val="21"/>
          <w:highlight w:val="none"/>
        </w:rPr>
      </w:pPr>
      <w:r>
        <w:rPr>
          <w:rFonts w:hint="eastAsia" w:ascii="宋体" w:hAnsi="宋体" w:cs="宋体"/>
          <w:b/>
          <w:bCs/>
          <w:color w:val="auto"/>
          <w:sz w:val="21"/>
          <w:szCs w:val="21"/>
          <w:highlight w:val="none"/>
        </w:rPr>
        <w:t xml:space="preserve">（二）服务方案比较：54分</w:t>
      </w:r>
      <w:r/>
    </w:p>
    <w:p>
      <w:pPr>
        <w:ind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服务实施方案中需要对本项目的机构内部工作部署、抽样、样品接收及核查、检验、配合异议处理及复检的工作内容和安排、检验结果的处理、保密工作、检验结果数据追溯、应急工作的实施等内容进行合理安排和制定。</w:t>
      </w:r>
      <w:r/>
    </w:p>
    <w:p>
      <w:pPr>
        <w:ind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1、机构内部工作部署方案</w:t>
      </w:r>
      <w:bookmarkStart w:id="36" w:name="OLE_LINK23"/>
      <w:r/>
      <w:bookmarkStart w:id="37" w:name="OLE_LINK22"/>
      <w:r>
        <w:rPr>
          <w:rFonts w:hint="eastAsia" w:ascii="宋体" w:hAnsi="宋体" w:cs="宋体"/>
          <w:b/>
          <w:color w:val="auto"/>
          <w:sz w:val="21"/>
          <w:szCs w:val="21"/>
          <w:highlight w:val="none"/>
        </w:rPr>
        <w:t xml:space="preserve">（6分）</w:t>
      </w:r>
      <w:bookmarkEnd w:id="36"/>
      <w:r/>
      <w:bookmarkEnd w:id="37"/>
      <w:r/>
      <w:r/>
    </w:p>
    <w:p>
      <w:pPr>
        <w:ind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方案编写贴近所投</w:t>
      </w:r>
      <w:r>
        <w:rPr>
          <w:rFonts w:hint="eastAsia" w:ascii="宋体" w:hAnsi="宋体" w:cs="宋体"/>
          <w:bCs/>
          <w:color w:val="auto"/>
          <w:sz w:val="21"/>
          <w:szCs w:val="21"/>
          <w:highlight w:val="none"/>
          <w:lang w:eastAsia="zh-CN"/>
        </w:rPr>
        <w:t xml:space="preserve">采购包</w:t>
      </w:r>
      <w:r>
        <w:rPr>
          <w:rFonts w:hint="eastAsia" w:ascii="宋体" w:hAnsi="宋体" w:cs="宋体"/>
          <w:bCs/>
          <w:color w:val="auto"/>
          <w:sz w:val="21"/>
          <w:szCs w:val="21"/>
          <w:highlight w:val="none"/>
        </w:rPr>
        <w:t xml:space="preserve">产品实际抽查工作，要素完整，方案合理、可行，完全满足采购需求，得6分；</w:t>
      </w:r>
      <w:r/>
    </w:p>
    <w:p>
      <w:pPr>
        <w:ind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方案编写贴近所投</w:t>
      </w:r>
      <w:r>
        <w:rPr>
          <w:rFonts w:hint="eastAsia" w:ascii="宋体" w:hAnsi="宋体" w:cs="宋体"/>
          <w:bCs/>
          <w:color w:val="auto"/>
          <w:sz w:val="21"/>
          <w:szCs w:val="21"/>
          <w:highlight w:val="none"/>
          <w:lang w:eastAsia="zh-CN"/>
        </w:rPr>
        <w:t xml:space="preserve">采购包</w:t>
      </w:r>
      <w:r>
        <w:rPr>
          <w:rFonts w:hint="eastAsia" w:ascii="宋体" w:hAnsi="宋体" w:cs="宋体"/>
          <w:bCs/>
          <w:color w:val="auto"/>
          <w:sz w:val="21"/>
          <w:szCs w:val="21"/>
          <w:highlight w:val="none"/>
        </w:rPr>
        <w:t xml:space="preserve">产品实际抽查工作，要素部分缺失，方案存在缺陷，部分满足招标文件要求，得3分；</w:t>
      </w:r>
      <w:r/>
    </w:p>
    <w:p>
      <w:pPr>
        <w:ind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方案要素不合理、不完整，难以满足招标文件要求的或未提供相关内容，得0分。</w:t>
      </w:r>
      <w:r/>
    </w:p>
    <w:p>
      <w:pPr>
        <w:ind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2、抽检服务方案（6分）</w:t>
      </w:r>
      <w:r/>
    </w:p>
    <w:p>
      <w:pPr>
        <w:ind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抽检服务方案包括：抽样工作的具体内容及组织安排；样品接收及核查机制；检验工作的具体内容及要求。</w:t>
      </w:r>
      <w:r/>
    </w:p>
    <w:p>
      <w:pPr>
        <w:ind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方案编写贴近所投</w:t>
      </w:r>
      <w:r>
        <w:rPr>
          <w:rFonts w:hint="eastAsia" w:ascii="宋体" w:hAnsi="宋体" w:cs="宋体"/>
          <w:bCs/>
          <w:color w:val="auto"/>
          <w:sz w:val="21"/>
          <w:szCs w:val="21"/>
          <w:highlight w:val="none"/>
          <w:lang w:eastAsia="zh-CN"/>
        </w:rPr>
        <w:t xml:space="preserve">采购包</w:t>
      </w:r>
      <w:r>
        <w:rPr>
          <w:rFonts w:hint="eastAsia" w:ascii="宋体" w:hAnsi="宋体" w:cs="宋体"/>
          <w:bCs/>
          <w:color w:val="auto"/>
          <w:sz w:val="21"/>
          <w:szCs w:val="21"/>
          <w:highlight w:val="none"/>
        </w:rPr>
        <w:t xml:space="preserve">产品实际抽查工作，要素完整，方案合理、可行，完全满足采购需求，得6分；</w:t>
      </w:r>
      <w:r/>
    </w:p>
    <w:p>
      <w:pPr>
        <w:ind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方案编写贴近所投</w:t>
      </w:r>
      <w:r>
        <w:rPr>
          <w:rFonts w:hint="eastAsia" w:ascii="宋体" w:hAnsi="宋体" w:cs="宋体"/>
          <w:bCs/>
          <w:color w:val="auto"/>
          <w:sz w:val="21"/>
          <w:szCs w:val="21"/>
          <w:highlight w:val="none"/>
          <w:lang w:eastAsia="zh-CN"/>
        </w:rPr>
        <w:t xml:space="preserve">采购包</w:t>
      </w:r>
      <w:r>
        <w:rPr>
          <w:rFonts w:hint="eastAsia" w:ascii="宋体" w:hAnsi="宋体" w:cs="宋体"/>
          <w:bCs/>
          <w:color w:val="auto"/>
          <w:sz w:val="21"/>
          <w:szCs w:val="21"/>
          <w:highlight w:val="none"/>
        </w:rPr>
        <w:t xml:space="preserve">产品实际抽查工作，要素基本完整，存在缺陷，部分满足招标文件要求，得3分；</w:t>
      </w:r>
      <w:r/>
    </w:p>
    <w:p>
      <w:pPr>
        <w:ind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方案要素不合理、不完整，难以满足招标文件要求的或未提供相关内容，得0分。</w:t>
      </w:r>
      <w:r/>
    </w:p>
    <w:p>
      <w:pPr>
        <w:ind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3、实验室方案</w:t>
      </w:r>
      <w:bookmarkStart w:id="38" w:name="OLE_LINK21"/>
      <w:r/>
      <w:bookmarkStart w:id="39" w:name="OLE_LINK20"/>
      <w:r>
        <w:rPr>
          <w:rFonts w:hint="eastAsia" w:ascii="宋体" w:hAnsi="宋体" w:cs="宋体"/>
          <w:b/>
          <w:color w:val="auto"/>
          <w:sz w:val="21"/>
          <w:szCs w:val="21"/>
          <w:highlight w:val="none"/>
        </w:rPr>
        <w:t xml:space="preserve">（6分）</w:t>
      </w:r>
      <w:bookmarkEnd w:id="38"/>
      <w:r/>
      <w:bookmarkEnd w:id="39"/>
      <w:r/>
      <w:r/>
    </w:p>
    <w:p>
      <w:pPr>
        <w:ind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方案中需包括检验机构基本情况、机构内部架构、机构检测能力、机构实验室条件（包括实验室面积、环境控制设施配置情况等）等内容。</w:t>
      </w:r>
      <w:r/>
    </w:p>
    <w:p>
      <w:pPr>
        <w:ind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（1）方案中对机构基本情况、内部架构、机构检测能力、机构实验室条件内容介绍详实，清楚，得6分；</w:t>
      </w:r>
      <w:r/>
    </w:p>
    <w:p>
      <w:pPr>
        <w:ind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（2）方案中对机构基本情况、内部架构、机构检测能力、机构实验室条件内容介绍较详实，较清楚，得3分；</w:t>
      </w:r>
      <w:r/>
    </w:p>
    <w:p>
      <w:pPr>
        <w:ind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（3）方案不清楚或没有该部分内容的介绍，得0分。</w:t>
      </w:r>
      <w:r/>
    </w:p>
    <w:p>
      <w:pPr>
        <w:ind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4、应急处理方案（6分）</w:t>
      </w:r>
      <w:r/>
    </w:p>
    <w:p>
      <w:pPr>
        <w:ind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方案内容包括应急管理措施、应急人员配置清单、安全保障措施、风险控制等内容。</w:t>
      </w:r>
      <w:r/>
    </w:p>
    <w:p>
      <w:pPr>
        <w:ind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以上内容不存在瑕疵得6分；以上内容存在1处瑕疵得3分；未提供方案或不满足项目需求和要求或内容存在2处及以上瑕疵得0分。</w:t>
      </w:r>
      <w:r/>
    </w:p>
    <w:p>
      <w:pPr>
        <w:ind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5、针对本项目的特点、重点和难点的分析和解决方案（6分）</w:t>
      </w:r>
      <w:r/>
    </w:p>
    <w:p>
      <w:pPr>
        <w:ind w:firstLine="420"/>
        <w:spacing w:line="360" w:lineRule="auto"/>
        <w:rPr>
          <w:rFonts w:ascii="宋体" w:hAnsi="宋体" w:cs="宋体"/>
          <w:color w:val="auto"/>
          <w:sz w:val="21"/>
          <w:szCs w:val="21"/>
          <w:highlight w:val="none"/>
        </w:rPr>
      </w:pPr>
      <w:r>
        <w:rPr>
          <w:rFonts w:hint="eastAsia" w:ascii="宋体" w:hAnsi="宋体" w:cs="宋体"/>
          <w:bCs/>
          <w:color w:val="auto"/>
          <w:sz w:val="21"/>
          <w:szCs w:val="21"/>
          <w:highlight w:val="none"/>
        </w:rPr>
        <w:t xml:space="preserve">投标供应商根据项目需求提供，对本项目特点、重点和难点的理解分析以及具有专业性、规范性、针对性、创新性的解决方案。</w:t>
      </w:r>
      <w:r/>
    </w:p>
    <w:p>
      <w:pPr>
        <w:ind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以上内容不存在瑕疵得6分；以上内容存在1处瑕疵得3分；未提供方案或不满足项目需求和要求或内容存在2处及以上瑕疵得0分。</w:t>
      </w:r>
      <w:r/>
    </w:p>
    <w:p>
      <w:pPr>
        <w:ind w:firstLine="422"/>
        <w:spacing w:line="360" w:lineRule="auto"/>
        <w:rPr>
          <w:rFonts w:ascii="宋体" w:hAnsi="宋体" w:cs="宋体"/>
          <w:bCs/>
          <w:color w:val="auto"/>
          <w:sz w:val="21"/>
          <w:szCs w:val="21"/>
          <w:highlight w:val="none"/>
        </w:rPr>
      </w:pPr>
      <w:r>
        <w:rPr>
          <w:rFonts w:hint="eastAsia" w:ascii="宋体" w:hAnsi="宋体" w:cs="宋体"/>
          <w:b/>
          <w:color w:val="auto"/>
          <w:sz w:val="21"/>
          <w:szCs w:val="21"/>
          <w:highlight w:val="none"/>
        </w:rPr>
        <w:t xml:space="preserve">6、后期工作方案（6分）</w:t>
      </w:r>
      <w:r/>
    </w:p>
    <w:p>
      <w:pPr>
        <w:ind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后期工作方案包括：配合异议处理及复检的工作内容和安排；检验结果的处理。</w:t>
      </w:r>
      <w:r/>
    </w:p>
    <w:p>
      <w:pPr>
        <w:ind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方案编写贴近所投</w:t>
      </w:r>
      <w:r>
        <w:rPr>
          <w:rFonts w:hint="eastAsia" w:ascii="宋体" w:hAnsi="宋体" w:cs="宋体"/>
          <w:bCs/>
          <w:color w:val="auto"/>
          <w:sz w:val="21"/>
          <w:szCs w:val="21"/>
          <w:highlight w:val="none"/>
          <w:lang w:eastAsia="zh-CN"/>
        </w:rPr>
        <w:t xml:space="preserve">采购包</w:t>
      </w:r>
      <w:r>
        <w:rPr>
          <w:rFonts w:hint="eastAsia" w:ascii="宋体" w:hAnsi="宋体" w:cs="宋体"/>
          <w:bCs/>
          <w:color w:val="auto"/>
          <w:sz w:val="21"/>
          <w:szCs w:val="21"/>
          <w:highlight w:val="none"/>
        </w:rPr>
        <w:t xml:space="preserve">产品实际抽查工作，要素完整，方案合理、可行，完全满足采购需求，得6分。</w:t>
      </w:r>
      <w:r/>
    </w:p>
    <w:p>
      <w:pPr>
        <w:ind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方案编写贴近所投</w:t>
      </w:r>
      <w:r>
        <w:rPr>
          <w:rFonts w:hint="eastAsia" w:ascii="宋体" w:hAnsi="宋体" w:cs="宋体"/>
          <w:bCs/>
          <w:color w:val="auto"/>
          <w:sz w:val="21"/>
          <w:szCs w:val="21"/>
          <w:highlight w:val="none"/>
          <w:lang w:eastAsia="zh-CN"/>
        </w:rPr>
        <w:t xml:space="preserve">采购包</w:t>
      </w:r>
      <w:r>
        <w:rPr>
          <w:rFonts w:hint="eastAsia" w:ascii="宋体" w:hAnsi="宋体" w:cs="宋体"/>
          <w:bCs/>
          <w:color w:val="auto"/>
          <w:sz w:val="21"/>
          <w:szCs w:val="21"/>
          <w:highlight w:val="none"/>
        </w:rPr>
        <w:t xml:space="preserve">产品实际抽查工作，要素基本完整，存在缺陷，部分满足招标文件要求，得3分。</w:t>
      </w:r>
      <w:r/>
    </w:p>
    <w:p>
      <w:pPr>
        <w:ind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方案要素不合理、不完整，难以满足招标文件要求的或未提供相关内容，得0分。</w:t>
      </w:r>
      <w:r/>
    </w:p>
    <w:p>
      <w:pPr>
        <w:ind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7、响应能力比较（6分）</w:t>
      </w:r>
      <w:r/>
    </w:p>
    <w:p>
      <w:pPr>
        <w:ind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供应商具备配合采购人应急处置的能力，供应商在采集样品后，应按相关要求尽快将样品送达承检机构，供应商应在采集样品后4小时内（含4小时）将相关样品送达本单位检测实验室（从采购人所在地至投标供应商实验室），每提前0.5小时得1分，最高得4分。提供承诺书（格式自拟）原件扫描件上传系统签章和可以提前送检的相关证明扫描件上传系统签章，不提供或提供不全均不得分。</w:t>
      </w:r>
      <w:r/>
    </w:p>
    <w:p>
      <w:pPr>
        <w:ind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2）供应商承诺在接到抽检任务（含应急任务）3小时内（含3小时，从本单位到采购人所在地）响应采购人，每提前0.5小时得0.5分，最高的2分。提供相关承诺书（格式自拟）原件扫描件上传系统签章及可以提前响应的相关证明扫描件上传系统签章，不提供或提供证明材料不全均不得分。</w:t>
      </w:r>
      <w:r/>
    </w:p>
    <w:p>
      <w:pPr>
        <w:ind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8、管理制度比较（12分）</w:t>
      </w:r>
      <w:r/>
    </w:p>
    <w:p>
      <w:pPr>
        <w:ind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抽样、检验工作管理制度，包含但不限于目标依据，适用范围，基本原则，职责分工，抽样管理，检验管理，结果处理，监督管理等：具备且完整，完全符合招标文件要求，得4分；具备但缺失，得2分；其余得0分。</w:t>
      </w:r>
      <w:r/>
    </w:p>
    <w:p>
      <w:pPr>
        <w:ind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2）样品管理、处置工作管理制度:包含但不限于样品管理（样品抽取、封样、保存）制度；样品处置（合格样品、不合格样品及特殊样品处置）制度；关键控制点与责任追溯制度：具备且完整，完全符合招标文件要求，得4分；具备但缺失，得2分；其余得0分。</w:t>
      </w:r>
      <w:r/>
    </w:p>
    <w:p>
      <w:pPr>
        <w:ind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3）异议处理、复检及结果上报管理制度，包含但不限于异议申请与受理，意义审核与调查，处理结论制度，复检程序管理制度，结果上报与信息公开制度，配套保障措施等制度：具备且完整，完全符合招标文件要求，得4分；具备但缺失，得2分；其余得0分。</w:t>
      </w:r>
      <w:r/>
    </w:p>
    <w:p>
      <w:pPr>
        <w:ind w:firstLine="422"/>
        <w:spacing w:line="360" w:lineRule="auto"/>
        <w:rPr>
          <w:rFonts w:ascii="宋体" w:hAnsi="宋体" w:cs="宋体"/>
          <w:bCs/>
          <w:color w:val="auto"/>
          <w:sz w:val="21"/>
          <w:szCs w:val="21"/>
          <w:highlight w:val="none"/>
        </w:rPr>
      </w:pPr>
      <w:r>
        <w:rPr>
          <w:rFonts w:hint="eastAsia" w:ascii="宋体" w:hAnsi="宋体" w:cs="宋体"/>
          <w:b/>
          <w:color w:val="auto"/>
          <w:sz w:val="21"/>
          <w:szCs w:val="21"/>
          <w:highlight w:val="none"/>
        </w:rPr>
        <w:t xml:space="preserve">（三）综合实力比较：36分</w:t>
      </w:r>
      <w:r/>
    </w:p>
    <w:p>
      <w:pPr>
        <w:ind w:firstLine="422"/>
        <w:spacing w:line="360" w:lineRule="auto"/>
        <w:widowControl w:val="off"/>
        <w:rPr>
          <w:rFonts w:ascii="宋体" w:hAnsi="宋体" w:cs="宋体"/>
          <w:b/>
          <w:color w:val="auto"/>
          <w:sz w:val="21"/>
          <w:szCs w:val="21"/>
          <w:highlight w:val="none"/>
        </w:rPr>
      </w:pPr>
      <w:r>
        <w:rPr>
          <w:rFonts w:hint="eastAsia" w:ascii="宋体" w:hAnsi="宋体" w:cs="宋体"/>
          <w:b/>
          <w:color w:val="auto"/>
          <w:sz w:val="21"/>
          <w:szCs w:val="21"/>
          <w:highlight w:val="none"/>
        </w:rPr>
        <w:t xml:space="preserve">1、人员配置方案（12分）</w:t>
      </w:r>
      <w:r/>
    </w:p>
    <w:p>
      <w:pPr>
        <w:ind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所投</w:t>
      </w:r>
      <w:r>
        <w:rPr>
          <w:rFonts w:hint="eastAsia" w:ascii="宋体" w:hAnsi="宋体" w:cs="宋体"/>
          <w:bCs/>
          <w:color w:val="auto"/>
          <w:sz w:val="21"/>
          <w:szCs w:val="21"/>
          <w:highlight w:val="none"/>
          <w:lang w:eastAsia="zh-CN"/>
        </w:rPr>
        <w:t xml:space="preserve">采购包</w:t>
      </w:r>
      <w:r>
        <w:rPr>
          <w:rFonts w:hint="eastAsia" w:ascii="宋体" w:hAnsi="宋体" w:cs="宋体"/>
          <w:bCs/>
          <w:color w:val="auto"/>
          <w:sz w:val="21"/>
          <w:szCs w:val="21"/>
          <w:highlight w:val="none"/>
        </w:rPr>
        <w:t xml:space="preserve">产品的抽检工作项目团队岗位配置合理，包括项目负责人、抽样相关人员、样品接收人员、检验相关人员（包括检测人员、报告审核人员、授权签字人等），人员分工明确，专业能力覆盖所投</w:t>
      </w:r>
      <w:r>
        <w:rPr>
          <w:rFonts w:hint="eastAsia" w:ascii="宋体" w:hAnsi="宋体" w:cs="宋体"/>
          <w:bCs/>
          <w:color w:val="auto"/>
          <w:sz w:val="21"/>
          <w:szCs w:val="21"/>
          <w:highlight w:val="none"/>
          <w:lang w:eastAsia="zh-CN"/>
        </w:rPr>
        <w:t xml:space="preserve">采购包</w:t>
      </w:r>
      <w:r>
        <w:rPr>
          <w:rFonts w:hint="eastAsia" w:ascii="宋体" w:hAnsi="宋体" w:cs="宋体"/>
          <w:bCs/>
          <w:color w:val="auto"/>
          <w:sz w:val="21"/>
          <w:szCs w:val="21"/>
          <w:highlight w:val="none"/>
        </w:rPr>
        <w:t xml:space="preserve">检测内容。抽样、检验人员应符合《江苏省省级产品质量监督任务承检机构检验人员管理办法》的要求。</w:t>
      </w:r>
      <w:r/>
    </w:p>
    <w:p>
      <w:pPr>
        <w:ind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（1）抽样人员数量满6人得2分，每增加1人加0.5分，最高得3分；</w:t>
      </w:r>
      <w:r/>
    </w:p>
    <w:p>
      <w:pPr>
        <w:ind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（2）检验人员数量有8人得2分，每增加1人加0.5分，最高得3分；</w:t>
      </w:r>
      <w:r/>
    </w:p>
    <w:p>
      <w:pPr>
        <w:ind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（3）项目团队中具有与本项目专业相关的高级及以上工程师职称的，1人得1分。按最高职称计，不重复计分，本项最高得6分。</w:t>
      </w:r>
      <w:r/>
    </w:p>
    <w:p>
      <w:pPr>
        <w:ind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注：以上（1）-（3）投标文件中应提供项目团队名单、对应证书及投标单位为其缴纳的近半年内任意一个月的社保证明，材料不提供或提供不全或无法认定的，对应人员不计入有效评分。</w:t>
      </w:r>
      <w:r/>
    </w:p>
    <w:p>
      <w:pPr>
        <w:ind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2、检验检测能力覆盖率（10分）</w:t>
      </w:r>
      <w:r/>
    </w:p>
    <w:p>
      <w:pPr>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eastAsia="zh-CN"/>
        </w:rPr>
        <w:t xml:space="preserve">采购包</w:t>
      </w:r>
      <w:r>
        <w:rPr>
          <w:rFonts w:hint="eastAsia" w:ascii="宋体" w:hAnsi="宋体" w:cs="宋体"/>
          <w:color w:val="auto"/>
          <w:sz w:val="21"/>
          <w:szCs w:val="21"/>
          <w:highlight w:val="none"/>
        </w:rPr>
        <w:t xml:space="preserve">检验检测能力覆盖率＜2/3的本项不得分；覆盖率在2/3及以上且小于100%的，本项得5分，覆盖率达到100%的，得10分，本项最高得10分。</w:t>
      </w:r>
      <w:r/>
    </w:p>
    <w:p>
      <w:pPr>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注：投标文件中须提供有效的资质认定证书（CMA）及附表，对相应检验项目、检验依据及检验方法在表中标明所投</w:t>
      </w:r>
      <w:r>
        <w:rPr>
          <w:rFonts w:hint="eastAsia" w:ascii="宋体" w:hAnsi="宋体" w:cs="宋体"/>
          <w:color w:val="auto"/>
          <w:sz w:val="21"/>
          <w:szCs w:val="21"/>
          <w:highlight w:val="none"/>
          <w:lang w:eastAsia="zh-CN"/>
        </w:rPr>
        <w:t xml:space="preserve">采购包</w:t>
      </w:r>
      <w:r>
        <w:rPr>
          <w:rFonts w:hint="eastAsia" w:ascii="宋体" w:hAnsi="宋体" w:cs="宋体"/>
          <w:color w:val="auto"/>
          <w:sz w:val="21"/>
          <w:szCs w:val="21"/>
          <w:highlight w:val="none"/>
        </w:rPr>
        <w:t xml:space="preserve">的所有产品，不提供证明材料或证明材料不清晰、难以辨认的不得分。</w:t>
      </w:r>
      <w:r/>
    </w:p>
    <w:p>
      <w:pPr>
        <w:ind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3、承担产品质量监督抽查或风险监测任务经历（6分）</w:t>
      </w:r>
      <w:r/>
    </w:p>
    <w:p>
      <w:pPr>
        <w:ind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近3年（2023年1月1日起至今）承担过所</w:t>
      </w:r>
      <w:r>
        <w:rPr>
          <w:rFonts w:hint="eastAsia" w:ascii="宋体" w:hAnsi="宋体" w:cs="宋体"/>
          <w:bCs/>
          <w:color w:val="auto"/>
          <w:sz w:val="21"/>
          <w:szCs w:val="21"/>
          <w:highlight w:val="none"/>
          <w:lang w:val="en-US" w:eastAsia="zh-CN"/>
        </w:rPr>
        <w:t xml:space="preserve">投</w:t>
      </w:r>
      <w:r>
        <w:rPr>
          <w:rFonts w:hint="eastAsia" w:ascii="宋体" w:hAnsi="宋体" w:cs="宋体"/>
          <w:bCs/>
          <w:color w:val="auto"/>
          <w:sz w:val="21"/>
          <w:szCs w:val="21"/>
          <w:highlight w:val="none"/>
          <w:lang w:eastAsia="zh-CN"/>
        </w:rPr>
        <w:t xml:space="preserve">采购包</w:t>
      </w:r>
      <w:r>
        <w:rPr>
          <w:rFonts w:hint="eastAsia" w:ascii="宋体" w:hAnsi="宋体" w:cs="宋体"/>
          <w:bCs/>
          <w:color w:val="auto"/>
          <w:sz w:val="21"/>
          <w:szCs w:val="21"/>
          <w:highlight w:val="none"/>
        </w:rPr>
        <w:t xml:space="preserve">产品质量监督抽查或风险监测任务的经历，每提供一个得1分，本项最高得6分。</w:t>
      </w:r>
      <w:r/>
    </w:p>
    <w:p>
      <w:pPr>
        <w:ind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注：投标文件中提供任务委托书复印件或合同复印件等相关证明文件。</w:t>
      </w:r>
      <w:r/>
    </w:p>
    <w:p>
      <w:pPr>
        <w:ind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4、承担过所投</w:t>
      </w:r>
      <w:r>
        <w:rPr>
          <w:rFonts w:hint="eastAsia" w:ascii="宋体" w:hAnsi="宋体" w:cs="宋体"/>
          <w:b/>
          <w:color w:val="auto"/>
          <w:sz w:val="21"/>
          <w:szCs w:val="21"/>
          <w:highlight w:val="none"/>
          <w:lang w:eastAsia="zh-CN"/>
        </w:rPr>
        <w:t xml:space="preserve">采购包</w:t>
      </w:r>
      <w:r>
        <w:rPr>
          <w:rFonts w:hint="eastAsia" w:ascii="宋体" w:hAnsi="宋体" w:cs="宋体"/>
          <w:b/>
          <w:color w:val="auto"/>
          <w:sz w:val="21"/>
          <w:szCs w:val="21"/>
          <w:highlight w:val="none"/>
        </w:rPr>
        <w:t xml:space="preserve">产品标准制（修）订（3分）</w:t>
      </w:r>
      <w:r/>
    </w:p>
    <w:p>
      <w:pPr>
        <w:ind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参与过所投</w:t>
      </w:r>
      <w:r>
        <w:rPr>
          <w:rFonts w:hint="eastAsia" w:ascii="宋体" w:hAnsi="宋体" w:cs="宋体"/>
          <w:bCs/>
          <w:color w:val="auto"/>
          <w:sz w:val="21"/>
          <w:szCs w:val="21"/>
          <w:highlight w:val="none"/>
          <w:lang w:eastAsia="zh-CN"/>
        </w:rPr>
        <w:t xml:space="preserve">采购包</w:t>
      </w:r>
      <w:r>
        <w:rPr>
          <w:rFonts w:hint="eastAsia" w:ascii="宋体" w:hAnsi="宋体" w:cs="宋体"/>
          <w:bCs/>
          <w:color w:val="auto"/>
          <w:sz w:val="21"/>
          <w:szCs w:val="21"/>
          <w:highlight w:val="none"/>
        </w:rPr>
        <w:t xml:space="preserve">产品或相关领域产品现行有效的国家、行业标准制（修）订（已发布），具备一项得1分，最高得3分。</w:t>
      </w:r>
      <w:r/>
    </w:p>
    <w:p>
      <w:pPr>
        <w:ind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注：投标文件中提供相关证明材料含投标人名称或编制人的扫描件。</w:t>
      </w:r>
      <w:r/>
    </w:p>
    <w:p>
      <w:pPr>
        <w:ind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5、履约信用情况（2分）</w:t>
      </w:r>
      <w:r/>
    </w:p>
    <w:p>
      <w:pPr>
        <w:ind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投标人近3年（2023年1月1日以来）在市场监管领域相关产品质量监督抽查或风险监测任务中，没有因工作质量问题被通报的，得2分；需提供承诺函，格式自拟，否则不得分。</w:t>
      </w:r>
      <w:r/>
    </w:p>
    <w:p>
      <w:pPr>
        <w:ind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注：投标人没有参加过市场监管领域相关产品质量监督抽查或风险监测任务的，视为无工作质量问题。</w:t>
      </w:r>
      <w:r/>
    </w:p>
    <w:p>
      <w:pPr>
        <w:ind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6、实验室实力（3分）</w:t>
      </w:r>
      <w:r/>
    </w:p>
    <w:p>
      <w:pPr>
        <w:ind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（1）投标供应商具有所投</w:t>
      </w:r>
      <w:r>
        <w:rPr>
          <w:rFonts w:hint="eastAsia" w:ascii="宋体" w:hAnsi="宋体" w:cs="宋体"/>
          <w:bCs/>
          <w:color w:val="auto"/>
          <w:sz w:val="21"/>
          <w:szCs w:val="21"/>
          <w:highlight w:val="none"/>
          <w:lang w:eastAsia="zh-CN"/>
        </w:rPr>
        <w:t xml:space="preserve">采购包</w:t>
      </w:r>
      <w:r>
        <w:rPr>
          <w:rFonts w:hint="eastAsia" w:ascii="宋体" w:hAnsi="宋体" w:cs="宋体"/>
          <w:bCs/>
          <w:color w:val="auto"/>
          <w:sz w:val="21"/>
          <w:szCs w:val="21"/>
          <w:highlight w:val="none"/>
        </w:rPr>
        <w:t xml:space="preserve">内产品国家级检验检测中心的得3分。</w:t>
      </w:r>
      <w:r/>
    </w:p>
    <w:p>
      <w:pPr>
        <w:ind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（2）投标供应商具有所投</w:t>
      </w:r>
      <w:r>
        <w:rPr>
          <w:rFonts w:hint="eastAsia" w:ascii="宋体" w:hAnsi="宋体" w:cs="宋体"/>
          <w:bCs/>
          <w:color w:val="auto"/>
          <w:sz w:val="21"/>
          <w:szCs w:val="21"/>
          <w:highlight w:val="none"/>
          <w:lang w:eastAsia="zh-CN"/>
        </w:rPr>
        <w:t xml:space="preserve">采购包</w:t>
      </w:r>
      <w:r>
        <w:rPr>
          <w:rFonts w:hint="eastAsia" w:ascii="宋体" w:hAnsi="宋体" w:cs="宋体"/>
          <w:bCs/>
          <w:color w:val="auto"/>
          <w:sz w:val="21"/>
          <w:szCs w:val="21"/>
          <w:highlight w:val="none"/>
        </w:rPr>
        <w:t xml:space="preserve">内产品省级检验检测中心的得2分。</w:t>
      </w:r>
      <w:r/>
    </w:p>
    <w:p>
      <w:pPr>
        <w:ind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（3）投标供应商具有所投</w:t>
      </w:r>
      <w:r>
        <w:rPr>
          <w:rFonts w:hint="eastAsia" w:ascii="宋体" w:hAnsi="宋体" w:cs="宋体"/>
          <w:bCs/>
          <w:color w:val="auto"/>
          <w:sz w:val="21"/>
          <w:szCs w:val="21"/>
          <w:highlight w:val="none"/>
          <w:lang w:eastAsia="zh-CN"/>
        </w:rPr>
        <w:t xml:space="preserve">采购包</w:t>
      </w:r>
      <w:r>
        <w:rPr>
          <w:rFonts w:hint="eastAsia" w:ascii="宋体" w:hAnsi="宋体" w:cs="宋体"/>
          <w:bCs/>
          <w:color w:val="auto"/>
          <w:sz w:val="21"/>
          <w:szCs w:val="21"/>
          <w:highlight w:val="none"/>
        </w:rPr>
        <w:t xml:space="preserve">全部检验检测能力但没有所投</w:t>
      </w:r>
      <w:r>
        <w:rPr>
          <w:rFonts w:hint="eastAsia" w:ascii="宋体" w:hAnsi="宋体" w:cs="宋体"/>
          <w:bCs/>
          <w:color w:val="auto"/>
          <w:sz w:val="21"/>
          <w:szCs w:val="21"/>
          <w:highlight w:val="none"/>
          <w:lang w:eastAsia="zh-CN"/>
        </w:rPr>
        <w:t xml:space="preserve">采购包</w:t>
      </w:r>
      <w:r>
        <w:rPr>
          <w:rFonts w:hint="eastAsia" w:ascii="宋体" w:hAnsi="宋体" w:cs="宋体"/>
          <w:bCs/>
          <w:color w:val="auto"/>
          <w:sz w:val="21"/>
          <w:szCs w:val="21"/>
          <w:highlight w:val="none"/>
        </w:rPr>
        <w:t xml:space="preserve">内产品国家级、省级检验检测中心的得1分。</w:t>
      </w:r>
      <w:r/>
    </w:p>
    <w:p>
      <w:pPr>
        <w:ind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注：以有效的CMA证书附页或市场监管部门批复的文件为准。</w:t>
      </w:r>
      <w:r/>
    </w:p>
    <w:p>
      <w:pPr>
        <w:ind w:firstLine="482"/>
        <w:jc w:val="right"/>
        <w:spacing w:line="360" w:lineRule="auto"/>
        <w:rPr>
          <w:rStyle w:val="817"/>
          <w:rFonts w:ascii="宋体" w:hAnsi="宋体"/>
          <w:b/>
          <w:bCs/>
          <w:color w:val="auto"/>
          <w:highlight w:val="none"/>
        </w:rPr>
      </w:pPr>
      <w:r>
        <w:rPr>
          <w:rStyle w:val="817"/>
          <w:rFonts w:hint="eastAsia" w:ascii="宋体" w:hAnsi="宋体"/>
          <w:b/>
          <w:bCs/>
          <w:color w:val="auto"/>
          <w:highlight w:val="none"/>
        </w:rPr>
        <w:t xml:space="preserve">注：针对评分标准中评分的每一条，响应人在响应文件中均应提供清晰明了的相关资料并做出相应说明供评委评判，不提供相关资料的视为不具备该项得分的条件。</w:t>
      </w:r>
      <w:r/>
    </w:p>
    <w:p>
      <w:pPr>
        <w:ind w:firstLine="482"/>
        <w:jc w:val="right"/>
        <w:spacing w:line="360" w:lineRule="auto"/>
        <w:rPr>
          <w:rStyle w:val="817"/>
          <w:rFonts w:ascii="宋体" w:hAnsi="宋体"/>
          <w:b/>
          <w:bCs/>
          <w:color w:val="auto"/>
          <w:highlight w:val="none"/>
        </w:rPr>
      </w:pPr>
      <w:r>
        <w:rPr>
          <w:rFonts w:ascii="宋体" w:hAnsi="宋体"/>
          <w:b/>
          <w:bCs/>
          <w:color w:val="auto"/>
          <w:highlight w:val="none"/>
        </w:rPr>
      </w:r>
      <w:r/>
    </w:p>
    <w:p>
      <w:pPr>
        <w:ind w:firstLine="482"/>
        <w:jc w:val="right"/>
        <w:spacing w:line="360" w:lineRule="auto"/>
        <w:rPr>
          <w:rFonts w:ascii="宋体" w:hAnsi="宋体" w:cs="宋体"/>
          <w:b/>
          <w:bCs/>
          <w:color w:val="auto"/>
          <w:highlight w:val="none"/>
        </w:rPr>
      </w:pPr>
      <w:r>
        <w:rPr>
          <w:rFonts w:hint="eastAsia" w:ascii="宋体" w:hAnsi="宋体" w:cs="宋体"/>
          <w:b/>
          <w:bCs/>
          <w:color w:val="auto"/>
          <w:highlight w:val="none"/>
        </w:rPr>
        <w:t xml:space="preserve">（全文完）</w:t>
      </w:r>
      <w:r/>
    </w:p>
    <w:p>
      <w:pPr>
        <w:rPr>
          <w:color w:val="auto"/>
          <w:highlight w:val="none"/>
        </w:rPr>
      </w:pPr>
      <w:r>
        <w:rPr>
          <w:color w:val="auto"/>
          <w:highlight w:val="none"/>
        </w:rPr>
      </w:r>
      <w:r/>
    </w:p>
    <w:p>
      <w:pPr>
        <w:pStyle w:val="835"/>
        <w:rPr>
          <w:rFonts w:hint="eastAsia"/>
          <w:color w:val="auto"/>
          <w:highlight w:val="none"/>
        </w:rPr>
      </w:pPr>
      <w:r>
        <w:rPr>
          <w:rFonts w:hint="eastAsia"/>
          <w:color w:val="auto"/>
          <w:highlight w:val="none"/>
        </w:rPr>
      </w:r>
      <w:r/>
    </w:p>
    <w:p>
      <w:pPr>
        <w:pStyle w:val="835"/>
        <w:rPr>
          <w:rFonts w:hint="eastAsia"/>
          <w:color w:val="auto"/>
          <w:highlight w:val="none"/>
        </w:rPr>
      </w:pPr>
      <w:r>
        <w:rPr>
          <w:rFonts w:hint="eastAsia"/>
          <w:color w:val="auto"/>
          <w:highlight w:val="none"/>
        </w:rPr>
      </w:r>
      <w:r/>
    </w:p>
    <w:p>
      <w:pPr>
        <w:pStyle w:val="835"/>
        <w:rPr>
          <w:rFonts w:hint="eastAsia"/>
          <w:color w:val="auto"/>
          <w:highlight w:val="none"/>
        </w:rPr>
      </w:pPr>
      <w:r>
        <w:rPr>
          <w:rFonts w:hint="eastAsia"/>
          <w:color w:val="auto"/>
          <w:highlight w:val="none"/>
        </w:rPr>
      </w:r>
      <w:r/>
    </w:p>
    <w:p>
      <w:pPr>
        <w:pStyle w:val="835"/>
        <w:rPr>
          <w:rFonts w:hint="eastAsia"/>
          <w:color w:val="auto"/>
          <w:highlight w:val="none"/>
        </w:rPr>
      </w:pPr>
      <w:r>
        <w:rPr>
          <w:rFonts w:hint="eastAsia"/>
          <w:color w:val="auto"/>
          <w:highlight w:val="none"/>
        </w:rPr>
      </w:r>
      <w:r/>
    </w:p>
    <w:p>
      <w:pPr>
        <w:pStyle w:val="835"/>
        <w:rPr>
          <w:rFonts w:hint="eastAsia"/>
          <w:color w:val="auto"/>
          <w:highlight w:val="none"/>
        </w:rPr>
      </w:pPr>
      <w:r>
        <w:rPr>
          <w:rFonts w:hint="eastAsia"/>
          <w:color w:val="auto"/>
          <w:highlight w:val="none"/>
        </w:rPr>
      </w:r>
      <w:r/>
    </w:p>
    <w:p>
      <w:pPr>
        <w:jc w:val="both"/>
        <w:spacing w:line="360" w:lineRule="auto"/>
        <w:rPr>
          <w:rFonts w:ascii="宋体" w:hAnsi="宋体" w:cs="宋体"/>
          <w:b/>
          <w:bCs/>
          <w:color w:val="auto"/>
          <w:highlight w:val="none"/>
        </w:rPr>
      </w:pPr>
      <w:r>
        <w:rPr>
          <w:rFonts w:ascii="宋体" w:hAnsi="宋体" w:cs="宋体"/>
          <w:b/>
          <w:bCs/>
          <w:color w:val="auto"/>
          <w:highlight w:val="none"/>
        </w:rPr>
      </w:r>
      <w:bookmarkEnd w:id="40"/>
      <w:r/>
      <w:r/>
    </w:p>
    <w:sectPr>
      <w:footnotePr/>
      <w:endnotePr/>
      <w:type w:val="nextPage"/>
      <w:pgSz w:w="11906" w:h="16838" w:orient="portrait"/>
      <w:pgMar w:top="1134" w:right="1474" w:bottom="1134" w:left="147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黑体">
    <w:panose1 w:val="02010609060101010101"/>
  </w:font>
  <w:font w:name="仿宋_GB2312">
    <w:panose1 w:val="02010609060101010101"/>
  </w:font>
  <w:font w:name="Cambria">
    <w:panose1 w:val="02040503050406030204"/>
  </w:font>
  <w:font w:name="Calibri Light">
    <w:panose1 w:val="020F0302020204030204"/>
  </w:font>
  <w:font w:name="方正仿宋简体">
    <w:panose1 w:val="020B0503020202020204"/>
  </w:font>
  <w:font w:name="Courier New">
    <w:panose1 w:val="02070309020205020404"/>
  </w:font>
  <w:font w:name="Calibri">
    <w:panose1 w:val="020F0502020204030204"/>
  </w:font>
  <w:font w:name="楷体_GB2312">
    <w:panose1 w:val="02010609060101010101"/>
  </w:font>
  <w:font w:name="创艺简仿宋">
    <w:panose1 w:val="020B0503020202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87"/>
                            <w:tabs>
                              <w:tab w:val="clear" w:pos="4153" w:leader="none"/>
                              <w:tab w:val="clear" w:pos="8306" w:leader="none"/>
                            </w:tabs>
                          </w:pPr>
                          <w:r>
                            <w:fldChar w:fldCharType="begin"/>
                          </w:r>
                          <w:r>
                            <w:instrText xml:space="preserve"> PAGE  \* MERGEFORMAT </w:instrText>
                          </w:r>
                          <w:r>
                            <w:fldChar w:fldCharType="separate"/>
                          </w:r>
                          <w:r>
                            <w:t xml:space="preserve">141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7"/>
                      <w:tabs>
                        <w:tab w:val="clear" w:pos="4153" w:leader="none"/>
                        <w:tab w:val="clear" w:pos="8306" w:leader="none"/>
                      </w:tabs>
                    </w:pPr>
                    <w:r>
                      <w:fldChar w:fldCharType="begin"/>
                    </w:r>
                    <w:r>
                      <w:instrText xml:space="preserve"> PAGE  \* MERGEFORMAT </w:instrText>
                    </w:r>
                    <w:r>
                      <w:fldChar w:fldCharType="separate"/>
                    </w:r>
                    <w:r>
                      <w:t xml:space="preserve">141</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87"/>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85</w:t>
                          </w:r>
                          <w:r>
                            <w:fldChar w:fldCharType="end"/>
                          </w:r>
                          <w:r>
                            <w:t xml:space="preserve"> 页</w:t>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7"/>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85</w:t>
                    </w:r>
                    <w:r>
                      <w:fldChar w:fldCharType="end"/>
                    </w:r>
                    <w:r>
                      <w:t xml:space="preserve"> 页</w:t>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jc w:val="center"/>
      <w:rPr>
        <w:rFonts w:hint="eastAsia" w:ascii="宋体" w:hAnsi="宋体" w:eastAsia="宋体" w:cs="宋体"/>
        <w:lang w:eastAsia="zh-CN"/>
      </w:rPr>
    </w:pPr>
    <w:r>
      <w:rPr>
        <w:rFonts w:hint="eastAsia" w:ascii="宋体" w:hAnsi="宋体" w:cs="宋体"/>
        <w:u w:val="single"/>
      </w:rPr>
      <w:t xml:space="preserve">招标文件                                                       </w:t>
    </w:r>
    <w:r>
      <w:rPr>
        <w:rFonts w:hint="eastAsia" w:ascii="宋体" w:hAnsi="宋体" w:cs="宋体"/>
        <w:u w:val="single"/>
        <w:lang w:eastAsia="zh-CN"/>
      </w:rPr>
      <w:t xml:space="preserve">2026年度产品质量监督抽查和风险监测</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nothing"/>
      <w:lvlText w:val="第%1章"/>
      <w:lvlJc w:val="left"/>
      <w:pPr/>
    </w:lvl>
    <w:lvl w:ilvl="1">
      <w:start w:val="1"/>
      <w:numFmt w:val="decimal"/>
      <w:isLgl w:val="false"/>
      <w:suff w:val="nothing"/>
      <w:lvlText w:val=""/>
      <w:lvlJc w:val="left"/>
      <w:pPr/>
    </w:lvl>
    <w:lvl w:ilvl="2">
      <w:start w:val="1"/>
      <w:numFmt w:val="decimal"/>
      <w:isLgl w:val="false"/>
      <w:suff w:val="nothing"/>
      <w:lvlText w:val=""/>
      <w:lvlJc w:val="left"/>
      <w:pPr/>
    </w:lvl>
    <w:lvl w:ilvl="3">
      <w:start w:val="1"/>
      <w:numFmt w:val="decimal"/>
      <w:pStyle w:val="973"/>
      <w:isLgl w:val="false"/>
      <w:suff w:val="nothing"/>
      <w:lvlText w:val=""/>
      <w:lvlJc w:val="left"/>
      <w:pPr/>
    </w:lvl>
    <w:lvl w:ilvl="4">
      <w:start w:val="1"/>
      <w:numFmt w:val="decimal"/>
      <w:isLgl w:val="false"/>
      <w:suff w:val="nothing"/>
      <w:lvlText w:val=""/>
      <w:lvlJc w:val="left"/>
      <w:pPr/>
    </w:lvl>
    <w:lvl w:ilvl="5">
      <w:start w:val="1"/>
      <w:numFmt w:val="decimal"/>
      <w:isLgl w:val="false"/>
      <w:suff w:val="nothing"/>
      <w:lvlText w:val=""/>
      <w:lvlJc w:val="left"/>
      <w:pPr/>
    </w:lvl>
    <w:lvl w:ilvl="6">
      <w:start w:val="1"/>
      <w:numFmt w:val="decimal"/>
      <w:isLgl w:val="false"/>
      <w:suff w:val="nothing"/>
      <w:lvlText w:val=""/>
      <w:lvlJc w:val="left"/>
      <w:pPr/>
    </w:lvl>
    <w:lvl w:ilvl="7">
      <w:start w:val="1"/>
      <w:numFmt w:val="decimal"/>
      <w:isLgl w:val="false"/>
      <w:suff w:val="nothing"/>
      <w:lvlText w:val=""/>
      <w:lvlJc w:val="left"/>
      <w:pPr/>
    </w:lvl>
    <w:lvl w:ilvl="8">
      <w:start w:val="1"/>
      <w:numFmt w:val="decimal"/>
      <w:isLgl w:val="false"/>
      <w:suff w:val="nothing"/>
      <w:lvlText w:val=""/>
      <w:lvlJc w:val="left"/>
      <w:p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3"/>
  </w:num>
  <w:num w:numId="4">
    <w:abstractNumId w:val="4"/>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1" w:default="1">
    <w:name w:val="Normal"/>
    <w:uiPriority w:val="0"/>
    <w:qFormat/>
    <w:rPr>
      <w:rFonts w:hint="default" w:ascii="Times New Roman" w:hAnsi="Times New Roman" w:eastAsia="宋体" w:cs="Times New Roman"/>
      <w:sz w:val="24"/>
      <w:szCs w:val="24"/>
      <w:lang w:val="en-US" w:eastAsia="zh-CN" w:bidi="ar-SA"/>
    </w:rPr>
  </w:style>
  <w:style w:type="paragraph" w:styleId="742">
    <w:name w:val="Heading 1"/>
    <w:basedOn w:val="741"/>
    <w:next w:val="741"/>
    <w:link w:val="818"/>
    <w:uiPriority w:val="9"/>
    <w:qFormat/>
    <w:pPr>
      <w:keepLines/>
      <w:keepNext/>
      <w:spacing w:before="480" w:after="200"/>
      <w:outlineLvl w:val="0"/>
    </w:pPr>
    <w:rPr>
      <w:rFonts w:ascii="Arial" w:hAnsi="Arial" w:eastAsia="Arial" w:cs="Arial"/>
      <w:sz w:val="40"/>
      <w:szCs w:val="40"/>
    </w:rPr>
  </w:style>
  <w:style w:type="paragraph" w:styleId="743">
    <w:name w:val="Heading 2"/>
    <w:basedOn w:val="741"/>
    <w:next w:val="741"/>
    <w:link w:val="819"/>
    <w:uiPriority w:val="9"/>
    <w:unhideWhenUsed/>
    <w:qFormat/>
    <w:pPr>
      <w:keepLines/>
      <w:keepNext/>
      <w:spacing w:before="360" w:after="200"/>
      <w:outlineLvl w:val="1"/>
    </w:pPr>
    <w:rPr>
      <w:rFonts w:ascii="Arial" w:hAnsi="Arial" w:eastAsia="Arial" w:cs="Arial"/>
      <w:sz w:val="34"/>
    </w:rPr>
  </w:style>
  <w:style w:type="paragraph" w:styleId="744">
    <w:name w:val="Heading 3"/>
    <w:basedOn w:val="741"/>
    <w:next w:val="741"/>
    <w:link w:val="820"/>
    <w:uiPriority w:val="9"/>
    <w:unhideWhenUsed/>
    <w:qFormat/>
    <w:pPr>
      <w:keepLines/>
      <w:keepNext/>
      <w:spacing w:before="320" w:after="200"/>
      <w:outlineLvl w:val="2"/>
    </w:pPr>
    <w:rPr>
      <w:rFonts w:ascii="Arial" w:hAnsi="Arial" w:eastAsia="Arial" w:cs="Arial"/>
      <w:sz w:val="30"/>
      <w:szCs w:val="30"/>
    </w:rPr>
  </w:style>
  <w:style w:type="paragraph" w:styleId="745">
    <w:name w:val="Heading 4"/>
    <w:basedOn w:val="741"/>
    <w:next w:val="741"/>
    <w:link w:val="821"/>
    <w:uiPriority w:val="9"/>
    <w:unhideWhenUsed/>
    <w:qFormat/>
    <w:pPr>
      <w:keepLines/>
      <w:keepNext/>
      <w:spacing w:before="320" w:after="200"/>
      <w:outlineLvl w:val="3"/>
    </w:pPr>
    <w:rPr>
      <w:rFonts w:ascii="Arial" w:hAnsi="Arial" w:eastAsia="Arial" w:cs="Arial"/>
      <w:b/>
      <w:bCs/>
      <w:sz w:val="26"/>
      <w:szCs w:val="26"/>
    </w:rPr>
  </w:style>
  <w:style w:type="paragraph" w:styleId="746">
    <w:name w:val="Heading 5"/>
    <w:basedOn w:val="741"/>
    <w:next w:val="741"/>
    <w:link w:val="822"/>
    <w:uiPriority w:val="9"/>
    <w:unhideWhenUsed/>
    <w:qFormat/>
    <w:pPr>
      <w:keepLines/>
      <w:keepNext/>
      <w:spacing w:before="320" w:after="200"/>
      <w:outlineLvl w:val="4"/>
    </w:pPr>
    <w:rPr>
      <w:rFonts w:ascii="Arial" w:hAnsi="Arial" w:eastAsia="Arial" w:cs="Arial"/>
      <w:b/>
      <w:bCs/>
    </w:rPr>
  </w:style>
  <w:style w:type="paragraph" w:styleId="747">
    <w:name w:val="Heading 6"/>
    <w:basedOn w:val="741"/>
    <w:next w:val="741"/>
    <w:link w:val="823"/>
    <w:uiPriority w:val="9"/>
    <w:unhideWhenUsed/>
    <w:qFormat/>
    <w:pPr>
      <w:keepLines/>
      <w:keepNext/>
      <w:spacing w:before="320" w:after="200"/>
      <w:outlineLvl w:val="5"/>
    </w:pPr>
    <w:rPr>
      <w:rFonts w:ascii="Arial" w:hAnsi="Arial" w:eastAsia="Arial" w:cs="Arial"/>
      <w:b/>
      <w:bCs/>
      <w:sz w:val="22"/>
      <w:szCs w:val="22"/>
    </w:rPr>
  </w:style>
  <w:style w:type="paragraph" w:styleId="748">
    <w:name w:val="Heading 7"/>
    <w:basedOn w:val="741"/>
    <w:next w:val="741"/>
    <w:link w:val="824"/>
    <w:uiPriority w:val="9"/>
    <w:unhideWhenUsed/>
    <w:qFormat/>
    <w:pPr>
      <w:keepLines/>
      <w:keepNext/>
      <w:spacing w:before="320" w:after="200"/>
      <w:outlineLvl w:val="6"/>
    </w:pPr>
    <w:rPr>
      <w:rFonts w:ascii="Arial" w:hAnsi="Arial" w:eastAsia="Arial" w:cs="Arial"/>
      <w:b/>
      <w:bCs/>
      <w:i/>
      <w:iCs/>
      <w:sz w:val="22"/>
      <w:szCs w:val="22"/>
    </w:rPr>
  </w:style>
  <w:style w:type="paragraph" w:styleId="749">
    <w:name w:val="Heading 8"/>
    <w:basedOn w:val="741"/>
    <w:next w:val="741"/>
    <w:link w:val="825"/>
    <w:uiPriority w:val="9"/>
    <w:unhideWhenUsed/>
    <w:qFormat/>
    <w:pPr>
      <w:keepLines/>
      <w:keepNext/>
      <w:spacing w:before="320" w:after="200"/>
      <w:outlineLvl w:val="7"/>
    </w:pPr>
    <w:rPr>
      <w:rFonts w:ascii="Arial" w:hAnsi="Arial" w:eastAsia="Arial" w:cs="Arial"/>
      <w:i/>
      <w:iCs/>
      <w:sz w:val="22"/>
      <w:szCs w:val="22"/>
    </w:rPr>
  </w:style>
  <w:style w:type="paragraph" w:styleId="750">
    <w:name w:val="Heading 9"/>
    <w:basedOn w:val="741"/>
    <w:next w:val="741"/>
    <w:link w:val="826"/>
    <w:uiPriority w:val="9"/>
    <w:unhideWhenUsed/>
    <w:qFormat/>
    <w:pPr>
      <w:keepLines/>
      <w:keepNext/>
      <w:spacing w:before="320" w:after="200"/>
      <w:outlineLvl w:val="8"/>
    </w:pPr>
    <w:rPr>
      <w:rFonts w:ascii="Arial" w:hAnsi="Arial" w:eastAsia="Arial" w:cs="Arial"/>
      <w:i/>
      <w:iCs/>
      <w:sz w:val="21"/>
      <w:szCs w:val="21"/>
    </w:rPr>
  </w:style>
  <w:style w:type="character" w:styleId="751" w:default="1">
    <w:name w:val="Default Paragraph Font"/>
    <w:uiPriority w:val="1"/>
    <w:semiHidden/>
    <w:unhideWhenUsed/>
    <w:qFormat/>
  </w:style>
  <w:style w:type="table" w:styleId="752" w:default="1">
    <w:name w:val="Normal Table"/>
    <w:uiPriority w:val="99"/>
    <w:semiHidden/>
    <w:unhideWhenUsed/>
    <w:qFormat/>
    <w:tblPr>
      <w:tblCellMar>
        <w:left w:w="108" w:type="dxa"/>
        <w:top w:w="0" w:type="dxa"/>
        <w:right w:w="108" w:type="dxa"/>
        <w:bottom w:w="0" w:type="dxa"/>
      </w:tblCellMar>
    </w:tblPr>
  </w:style>
  <w:style w:type="paragraph" w:styleId="753">
    <w:name w:val="toc 7"/>
    <w:basedOn w:val="741"/>
    <w:next w:val="741"/>
    <w:uiPriority w:val="39"/>
    <w:unhideWhenUsed/>
    <w:qFormat/>
    <w:pPr>
      <w:ind w:left="1701"/>
      <w:spacing w:after="57"/>
    </w:pPr>
  </w:style>
  <w:style w:type="paragraph" w:styleId="754">
    <w:name w:val="Caption"/>
    <w:basedOn w:val="741"/>
    <w:next w:val="741"/>
    <w:uiPriority w:val="35"/>
    <w:semiHidden/>
    <w:unhideWhenUsed/>
    <w:qFormat/>
    <w:pPr>
      <w:spacing w:line="276" w:lineRule="auto"/>
    </w:pPr>
    <w:rPr>
      <w:b/>
      <w:bCs/>
      <w:color w:val="4f81bd" w:themeColor="accent1"/>
      <w:sz w:val="18"/>
      <w:szCs w:val="18"/>
    </w:rPr>
  </w:style>
  <w:style w:type="paragraph" w:styleId="755">
    <w:name w:val="annotation text"/>
    <w:basedOn w:val="741"/>
    <w:uiPriority w:val="99"/>
    <w:semiHidden/>
    <w:unhideWhenUsed/>
    <w:qFormat/>
  </w:style>
  <w:style w:type="paragraph" w:styleId="756">
    <w:name w:val="Body Text"/>
    <w:basedOn w:val="741"/>
    <w:uiPriority w:val="0"/>
    <w:qFormat/>
    <w:pPr>
      <w:spacing w:line="400" w:lineRule="exact"/>
    </w:pPr>
    <w:rPr>
      <w:rFonts w:ascii="楷体_GB2312"/>
      <w:sz w:val="28"/>
    </w:rPr>
  </w:style>
  <w:style w:type="paragraph" w:styleId="757">
    <w:name w:val="Body Text Indent"/>
    <w:basedOn w:val="741"/>
    <w:next w:val="758"/>
    <w:uiPriority w:val="99"/>
    <w:qFormat/>
    <w:pPr>
      <w:ind w:left="420"/>
      <w:spacing w:after="120"/>
    </w:pPr>
    <w:rPr>
      <w:rFonts w:ascii="Calibri" w:hAnsi="Calibri" w:cs="Calibri"/>
    </w:rPr>
  </w:style>
  <w:style w:type="paragraph" w:styleId="758">
    <w:name w:val="Body Text First Indent 2"/>
    <w:basedOn w:val="757"/>
    <w:uiPriority w:val="0"/>
    <w:unhideWhenUsed/>
    <w:qFormat/>
    <w:pPr>
      <w:ind w:firstLine="420"/>
    </w:pPr>
  </w:style>
  <w:style w:type="paragraph" w:styleId="759">
    <w:name w:val="toc 5"/>
    <w:basedOn w:val="741"/>
    <w:next w:val="741"/>
    <w:uiPriority w:val="39"/>
    <w:unhideWhenUsed/>
    <w:qFormat/>
    <w:pPr>
      <w:ind w:left="1134"/>
      <w:spacing w:after="57"/>
    </w:pPr>
  </w:style>
  <w:style w:type="paragraph" w:styleId="760">
    <w:name w:val="toc 3"/>
    <w:basedOn w:val="741"/>
    <w:next w:val="741"/>
    <w:uiPriority w:val="39"/>
    <w:unhideWhenUsed/>
    <w:qFormat/>
    <w:pPr>
      <w:ind w:left="567"/>
      <w:spacing w:after="57"/>
    </w:pPr>
  </w:style>
  <w:style w:type="paragraph" w:styleId="761">
    <w:name w:val="Plain Text"/>
    <w:basedOn w:val="741"/>
    <w:uiPriority w:val="0"/>
    <w:qFormat/>
    <w:pPr>
      <w:jc w:val="both"/>
      <w:widowControl w:val="off"/>
    </w:pPr>
    <w:rPr>
      <w:rFonts w:ascii="宋体" w:hAnsi="Courier New" w:eastAsia="楷体_GB2312"/>
      <w:sz w:val="26"/>
      <w:szCs w:val="20"/>
    </w:rPr>
  </w:style>
  <w:style w:type="paragraph" w:styleId="762">
    <w:name w:val="toc 8"/>
    <w:basedOn w:val="741"/>
    <w:next w:val="741"/>
    <w:uiPriority w:val="39"/>
    <w:unhideWhenUsed/>
    <w:qFormat/>
    <w:pPr>
      <w:ind w:left="1984"/>
      <w:spacing w:after="57"/>
    </w:pPr>
  </w:style>
  <w:style w:type="paragraph" w:styleId="763">
    <w:name w:val="endnote text"/>
    <w:basedOn w:val="741"/>
    <w:link w:val="827"/>
    <w:uiPriority w:val="99"/>
    <w:semiHidden/>
    <w:unhideWhenUsed/>
    <w:qFormat/>
    <w:rPr>
      <w:sz w:val="20"/>
    </w:rPr>
  </w:style>
  <w:style w:type="paragraph" w:styleId="764">
    <w:name w:val="Footer"/>
    <w:basedOn w:val="741"/>
    <w:link w:val="828"/>
    <w:uiPriority w:val="99"/>
    <w:unhideWhenUsed/>
    <w:qFormat/>
    <w:pPr>
      <w:tabs>
        <w:tab w:val="center" w:pos="7143" w:leader="none"/>
        <w:tab w:val="right" w:pos="14287" w:leader="none"/>
      </w:tabs>
    </w:pPr>
  </w:style>
  <w:style w:type="paragraph" w:styleId="765">
    <w:name w:val="Header"/>
    <w:basedOn w:val="741"/>
    <w:link w:val="829"/>
    <w:uiPriority w:val="99"/>
    <w:unhideWhenUsed/>
    <w:qFormat/>
    <w:pPr>
      <w:tabs>
        <w:tab w:val="center" w:pos="7143" w:leader="none"/>
        <w:tab w:val="right" w:pos="14287" w:leader="none"/>
      </w:tabs>
    </w:pPr>
  </w:style>
  <w:style w:type="paragraph" w:styleId="766">
    <w:name w:val="toc 1"/>
    <w:basedOn w:val="741"/>
    <w:next w:val="741"/>
    <w:uiPriority w:val="39"/>
    <w:unhideWhenUsed/>
    <w:qFormat/>
    <w:pPr>
      <w:spacing w:after="57"/>
    </w:pPr>
  </w:style>
  <w:style w:type="paragraph" w:styleId="767">
    <w:name w:val="toc 4"/>
    <w:basedOn w:val="741"/>
    <w:next w:val="741"/>
    <w:uiPriority w:val="39"/>
    <w:unhideWhenUsed/>
    <w:qFormat/>
    <w:pPr>
      <w:ind w:left="850"/>
      <w:spacing w:after="57"/>
    </w:pPr>
  </w:style>
  <w:style w:type="paragraph" w:styleId="768">
    <w:name w:val="Subtitle"/>
    <w:basedOn w:val="741"/>
    <w:next w:val="741"/>
    <w:link w:val="830"/>
    <w:uiPriority w:val="11"/>
    <w:qFormat/>
    <w:pPr>
      <w:spacing w:before="200" w:after="200"/>
    </w:pPr>
  </w:style>
  <w:style w:type="paragraph" w:styleId="769">
    <w:name w:val="footnote text"/>
    <w:basedOn w:val="741"/>
    <w:link w:val="831"/>
    <w:uiPriority w:val="99"/>
    <w:semiHidden/>
    <w:unhideWhenUsed/>
    <w:qFormat/>
    <w:pPr>
      <w:spacing w:after="40"/>
    </w:pPr>
    <w:rPr>
      <w:sz w:val="18"/>
    </w:rPr>
  </w:style>
  <w:style w:type="paragraph" w:styleId="770">
    <w:name w:val="toc 6"/>
    <w:basedOn w:val="741"/>
    <w:next w:val="741"/>
    <w:uiPriority w:val="39"/>
    <w:unhideWhenUsed/>
    <w:qFormat/>
    <w:pPr>
      <w:ind w:left="1417"/>
      <w:spacing w:after="57"/>
    </w:pPr>
  </w:style>
  <w:style w:type="paragraph" w:styleId="771">
    <w:name w:val="table of figures"/>
    <w:basedOn w:val="741"/>
    <w:next w:val="741"/>
    <w:uiPriority w:val="99"/>
    <w:unhideWhenUsed/>
    <w:qFormat/>
  </w:style>
  <w:style w:type="paragraph" w:styleId="772">
    <w:name w:val="toc 2"/>
    <w:basedOn w:val="741"/>
    <w:next w:val="741"/>
    <w:uiPriority w:val="39"/>
    <w:unhideWhenUsed/>
    <w:qFormat/>
    <w:pPr>
      <w:ind w:left="283"/>
      <w:spacing w:after="57"/>
    </w:pPr>
  </w:style>
  <w:style w:type="paragraph" w:styleId="773">
    <w:name w:val="toc 9"/>
    <w:basedOn w:val="741"/>
    <w:next w:val="741"/>
    <w:uiPriority w:val="39"/>
    <w:unhideWhenUsed/>
    <w:qFormat/>
    <w:pPr>
      <w:ind w:left="2268"/>
      <w:spacing w:after="57"/>
    </w:pPr>
  </w:style>
  <w:style w:type="paragraph" w:styleId="774">
    <w:name w:val="Normal (Web)"/>
    <w:basedOn w:val="741"/>
    <w:uiPriority w:val="99"/>
    <w:qFormat/>
    <w:pPr>
      <w:spacing w:beforeAutospacing="1" w:afterAutospacing="1"/>
    </w:pPr>
  </w:style>
  <w:style w:type="paragraph" w:styleId="775">
    <w:name w:val="Title"/>
    <w:basedOn w:val="741"/>
    <w:next w:val="741"/>
    <w:link w:val="832"/>
    <w:uiPriority w:val="10"/>
    <w:qFormat/>
    <w:pPr>
      <w:contextualSpacing/>
      <w:spacing w:before="300" w:after="200"/>
    </w:pPr>
    <w:rPr>
      <w:sz w:val="48"/>
      <w:szCs w:val="48"/>
    </w:rPr>
  </w:style>
  <w:style w:type="table" w:styleId="77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7">
    <w:name w:val="endnote reference"/>
    <w:uiPriority w:val="99"/>
    <w:semiHidden/>
    <w:unhideWhenUsed/>
    <w:qFormat/>
    <w:rPr>
      <w:vertAlign w:val="superscript"/>
    </w:rPr>
  </w:style>
  <w:style w:type="character" w:styleId="778">
    <w:name w:val="Hyperlink"/>
    <w:basedOn w:val="751"/>
    <w:uiPriority w:val="99"/>
    <w:unhideWhenUsed/>
    <w:qFormat/>
    <w:rPr>
      <w:color w:val="0000ff" w:themeColor="hyperlink"/>
      <w:u w:val="single"/>
    </w:rPr>
  </w:style>
  <w:style w:type="character" w:styleId="779">
    <w:name w:val="footnote reference"/>
    <w:uiPriority w:val="99"/>
    <w:unhideWhenUsed/>
    <w:qFormat/>
    <w:rPr>
      <w:vertAlign w:val="superscript"/>
    </w:rPr>
  </w:style>
  <w:style w:type="character" w:styleId="780" w:customStyle="1">
    <w:name w:val="Heading 1 Char"/>
    <w:basedOn w:val="751"/>
    <w:uiPriority w:val="9"/>
    <w:qFormat/>
    <w:rPr>
      <w:rFonts w:ascii="Arial" w:hAnsi="Arial" w:eastAsia="Arial" w:cs="Arial"/>
      <w:sz w:val="40"/>
      <w:szCs w:val="40"/>
    </w:rPr>
  </w:style>
  <w:style w:type="character" w:styleId="781" w:customStyle="1">
    <w:name w:val="Heading 2 Char"/>
    <w:basedOn w:val="751"/>
    <w:uiPriority w:val="9"/>
    <w:rPr>
      <w:rFonts w:ascii="Arial" w:hAnsi="Arial" w:eastAsia="Arial" w:cs="Arial"/>
      <w:sz w:val="34"/>
    </w:rPr>
  </w:style>
  <w:style w:type="character" w:styleId="782" w:customStyle="1">
    <w:name w:val="Heading 3 Char"/>
    <w:basedOn w:val="751"/>
    <w:uiPriority w:val="9"/>
    <w:rPr>
      <w:rFonts w:ascii="Arial" w:hAnsi="Arial" w:eastAsia="Arial" w:cs="Arial"/>
      <w:sz w:val="30"/>
      <w:szCs w:val="30"/>
    </w:rPr>
  </w:style>
  <w:style w:type="character" w:styleId="783" w:customStyle="1">
    <w:name w:val="Heading 4 Char"/>
    <w:basedOn w:val="751"/>
    <w:uiPriority w:val="9"/>
    <w:rPr>
      <w:rFonts w:ascii="Arial" w:hAnsi="Arial" w:eastAsia="Arial" w:cs="Arial"/>
      <w:b/>
      <w:bCs/>
      <w:sz w:val="26"/>
      <w:szCs w:val="26"/>
    </w:rPr>
  </w:style>
  <w:style w:type="character" w:styleId="784" w:customStyle="1">
    <w:name w:val="Heading 5 Char"/>
    <w:basedOn w:val="751"/>
    <w:uiPriority w:val="9"/>
    <w:qFormat/>
    <w:rPr>
      <w:rFonts w:ascii="Arial" w:hAnsi="Arial" w:eastAsia="Arial" w:cs="Arial"/>
      <w:b/>
      <w:bCs/>
      <w:sz w:val="24"/>
      <w:szCs w:val="24"/>
    </w:rPr>
  </w:style>
  <w:style w:type="character" w:styleId="785" w:customStyle="1">
    <w:name w:val="Heading 6 Char"/>
    <w:basedOn w:val="751"/>
    <w:uiPriority w:val="9"/>
    <w:rPr>
      <w:rFonts w:ascii="Arial" w:hAnsi="Arial" w:eastAsia="Arial" w:cs="Arial"/>
      <w:b/>
      <w:bCs/>
      <w:sz w:val="22"/>
      <w:szCs w:val="22"/>
    </w:rPr>
  </w:style>
  <w:style w:type="character" w:styleId="786" w:customStyle="1">
    <w:name w:val="Heading 7 Char"/>
    <w:basedOn w:val="751"/>
    <w:uiPriority w:val="9"/>
    <w:rPr>
      <w:rFonts w:ascii="Arial" w:hAnsi="Arial" w:eastAsia="Arial" w:cs="Arial"/>
      <w:b/>
      <w:bCs/>
      <w:i/>
      <w:iCs/>
      <w:sz w:val="22"/>
      <w:szCs w:val="22"/>
    </w:rPr>
  </w:style>
  <w:style w:type="character" w:styleId="787" w:customStyle="1">
    <w:name w:val="Heading 8 Char"/>
    <w:basedOn w:val="751"/>
    <w:uiPriority w:val="9"/>
    <w:rPr>
      <w:rFonts w:ascii="Arial" w:hAnsi="Arial" w:eastAsia="Arial" w:cs="Arial"/>
      <w:i/>
      <w:iCs/>
      <w:sz w:val="22"/>
      <w:szCs w:val="22"/>
    </w:rPr>
  </w:style>
  <w:style w:type="character" w:styleId="788" w:customStyle="1">
    <w:name w:val="Heading 9 Char"/>
    <w:basedOn w:val="751"/>
    <w:uiPriority w:val="9"/>
    <w:rPr>
      <w:rFonts w:ascii="Arial" w:hAnsi="Arial" w:eastAsia="Arial" w:cs="Arial"/>
      <w:i/>
      <w:iCs/>
      <w:sz w:val="21"/>
      <w:szCs w:val="21"/>
    </w:rPr>
  </w:style>
  <w:style w:type="character" w:styleId="789" w:customStyle="1">
    <w:name w:val="Title Char"/>
    <w:basedOn w:val="751"/>
    <w:uiPriority w:val="10"/>
    <w:qFormat/>
    <w:rPr>
      <w:sz w:val="48"/>
      <w:szCs w:val="48"/>
    </w:rPr>
  </w:style>
  <w:style w:type="character" w:styleId="790" w:customStyle="1">
    <w:name w:val="Subtitle Char"/>
    <w:basedOn w:val="751"/>
    <w:uiPriority w:val="11"/>
    <w:rPr>
      <w:sz w:val="24"/>
      <w:szCs w:val="24"/>
    </w:rPr>
  </w:style>
  <w:style w:type="character" w:styleId="791" w:customStyle="1">
    <w:name w:val="Quote Char"/>
    <w:uiPriority w:val="29"/>
    <w:rPr>
      <w:i/>
    </w:rPr>
  </w:style>
  <w:style w:type="character" w:styleId="792" w:customStyle="1">
    <w:name w:val="Intense Quote Char"/>
    <w:uiPriority w:val="30"/>
    <w:rPr>
      <w:i/>
    </w:rPr>
  </w:style>
  <w:style w:type="character" w:styleId="793" w:customStyle="1">
    <w:name w:val="Header Char"/>
    <w:basedOn w:val="751"/>
    <w:uiPriority w:val="99"/>
  </w:style>
  <w:style w:type="character" w:styleId="794" w:customStyle="1">
    <w:name w:val="Caption Char"/>
    <w:uiPriority w:val="99"/>
  </w:style>
  <w:style w:type="table" w:styleId="795" w:customStyle="1">
    <w:name w:val="Plain Table 1"/>
    <w:basedOn w:val="752"/>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6" w:customStyle="1">
    <w:name w:val="Plain Table 2"/>
    <w:basedOn w:val="752"/>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7" w:customStyle="1">
    <w:name w:val="Plain Table 3"/>
    <w:basedOn w:val="75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8" w:customStyle="1">
    <w:name w:val="Plain Table 4"/>
    <w:basedOn w:val="752"/>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9" w:customStyle="1">
    <w:name w:val="Plain Table 5"/>
    <w:basedOn w:val="752"/>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0" w:customStyle="1">
    <w:name w:val="Grid Table 1 Light"/>
    <w:basedOn w:val="75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1" w:customStyle="1">
    <w:name w:val="Grid Table 2"/>
    <w:basedOn w:val="75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2" w:customStyle="1">
    <w:name w:val="Grid Table 3"/>
    <w:basedOn w:val="752"/>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4"/>
    <w:basedOn w:val="752"/>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4" w:customStyle="1">
    <w:name w:val="Grid Table 5 Dark"/>
    <w:basedOn w:val="752"/>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5" w:customStyle="1">
    <w:name w:val="Grid Table 6 Colorful"/>
    <w:basedOn w:val="752"/>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06" w:customStyle="1">
    <w:name w:val="Grid Table 7 Colorful"/>
    <w:basedOn w:val="75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7" w:customStyle="1">
    <w:name w:val="List Table 1 Light"/>
    <w:basedOn w:val="752"/>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8" w:customStyle="1">
    <w:name w:val="List Table 2"/>
    <w:basedOn w:val="752"/>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9" w:customStyle="1">
    <w:name w:val="List Table 3"/>
    <w:basedOn w:val="75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0" w:customStyle="1">
    <w:name w:val="List Table 4"/>
    <w:basedOn w:val="75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1" w:customStyle="1">
    <w:name w:val="List Table 5 Dark"/>
    <w:basedOn w:val="752"/>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12" w:customStyle="1">
    <w:name w:val="List Table 6 Colorful"/>
    <w:basedOn w:val="752"/>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13" w:customStyle="1">
    <w:name w:val="List Table 7 Colorful"/>
    <w:basedOn w:val="752"/>
    <w:uiPriority w:val="99"/>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14" w:customStyle="1">
    <w:name w:val="Footnote Text Char"/>
    <w:uiPriority w:val="99"/>
    <w:qFormat/>
    <w:rPr>
      <w:sz w:val="18"/>
    </w:rPr>
  </w:style>
  <w:style w:type="character" w:styleId="815" w:customStyle="1">
    <w:name w:val="Endnote Text Char"/>
    <w:uiPriority w:val="99"/>
    <w:rPr>
      <w:sz w:val="20"/>
    </w:rPr>
  </w:style>
  <w:style w:type="paragraph" w:styleId="816" w:customStyle="1">
    <w:name w:val="TOC Heading"/>
    <w:uiPriority w:val="39"/>
    <w:unhideWhenUsed/>
    <w:qFormat/>
    <w:rPr>
      <w:rFonts w:hint="default" w:ascii="Times New Roman" w:hAnsi="Times New Roman" w:eastAsia="宋体" w:cs="Times New Roman"/>
    </w:rPr>
  </w:style>
  <w:style w:type="character" w:styleId="817" w:customStyle="1">
    <w:name w:val="NormalCharacter11"/>
    <w:uiPriority w:val="99"/>
    <w:semiHidden/>
    <w:qFormat/>
    <w:rPr>
      <w:rFonts w:ascii="Calibri" w:hAnsi="Calibri"/>
      <w:lang w:val="en-US" w:eastAsia="zh-CN" w:bidi="ar-SA"/>
    </w:rPr>
  </w:style>
  <w:style w:type="character" w:styleId="818" w:customStyle="1">
    <w:name w:val="标题 1 字符"/>
    <w:link w:val="742"/>
    <w:uiPriority w:val="9"/>
    <w:qFormat/>
    <w:rPr>
      <w:rFonts w:ascii="Arial" w:hAnsi="Arial" w:eastAsia="Arial" w:cs="Arial"/>
      <w:sz w:val="40"/>
      <w:szCs w:val="40"/>
    </w:rPr>
  </w:style>
  <w:style w:type="character" w:styleId="819" w:customStyle="1">
    <w:name w:val="标题 2 字符"/>
    <w:link w:val="743"/>
    <w:uiPriority w:val="9"/>
    <w:qFormat/>
    <w:rPr>
      <w:rFonts w:ascii="Arial" w:hAnsi="Arial" w:eastAsia="Arial" w:cs="Arial"/>
      <w:sz w:val="34"/>
    </w:rPr>
  </w:style>
  <w:style w:type="character" w:styleId="820" w:customStyle="1">
    <w:name w:val="标题 3 字符"/>
    <w:link w:val="744"/>
    <w:uiPriority w:val="9"/>
    <w:qFormat/>
    <w:rPr>
      <w:rFonts w:ascii="Arial" w:hAnsi="Arial" w:eastAsia="Arial" w:cs="Arial"/>
      <w:sz w:val="30"/>
      <w:szCs w:val="30"/>
    </w:rPr>
  </w:style>
  <w:style w:type="character" w:styleId="821" w:customStyle="1">
    <w:name w:val="标题 4 字符"/>
    <w:link w:val="745"/>
    <w:uiPriority w:val="9"/>
    <w:qFormat/>
    <w:rPr>
      <w:rFonts w:ascii="Arial" w:hAnsi="Arial" w:eastAsia="Arial" w:cs="Arial"/>
      <w:b/>
      <w:bCs/>
      <w:sz w:val="26"/>
      <w:szCs w:val="26"/>
    </w:rPr>
  </w:style>
  <w:style w:type="character" w:styleId="822" w:customStyle="1">
    <w:name w:val="标题 5 字符"/>
    <w:link w:val="746"/>
    <w:uiPriority w:val="9"/>
    <w:qFormat/>
    <w:rPr>
      <w:rFonts w:ascii="Arial" w:hAnsi="Arial" w:eastAsia="Arial" w:cs="Arial"/>
      <w:b/>
      <w:bCs/>
      <w:sz w:val="24"/>
      <w:szCs w:val="24"/>
    </w:rPr>
  </w:style>
  <w:style w:type="character" w:styleId="823" w:customStyle="1">
    <w:name w:val="标题 6 字符"/>
    <w:link w:val="747"/>
    <w:uiPriority w:val="9"/>
    <w:qFormat/>
    <w:rPr>
      <w:rFonts w:ascii="Arial" w:hAnsi="Arial" w:eastAsia="Arial" w:cs="Arial"/>
      <w:b/>
      <w:bCs/>
      <w:sz w:val="22"/>
      <w:szCs w:val="22"/>
    </w:rPr>
  </w:style>
  <w:style w:type="character" w:styleId="824" w:customStyle="1">
    <w:name w:val="标题 7 字符"/>
    <w:link w:val="748"/>
    <w:uiPriority w:val="9"/>
    <w:qFormat/>
    <w:rPr>
      <w:rFonts w:ascii="Arial" w:hAnsi="Arial" w:eastAsia="Arial" w:cs="Arial"/>
      <w:b/>
      <w:bCs/>
      <w:i/>
      <w:iCs/>
      <w:sz w:val="22"/>
      <w:szCs w:val="22"/>
    </w:rPr>
  </w:style>
  <w:style w:type="character" w:styleId="825" w:customStyle="1">
    <w:name w:val="标题 8 字符"/>
    <w:link w:val="749"/>
    <w:uiPriority w:val="9"/>
    <w:qFormat/>
    <w:rPr>
      <w:rFonts w:ascii="Arial" w:hAnsi="Arial" w:eastAsia="Arial" w:cs="Arial"/>
      <w:i/>
      <w:iCs/>
      <w:sz w:val="22"/>
      <w:szCs w:val="22"/>
    </w:rPr>
  </w:style>
  <w:style w:type="character" w:styleId="826" w:customStyle="1">
    <w:name w:val="标题 9 字符"/>
    <w:link w:val="750"/>
    <w:uiPriority w:val="9"/>
    <w:qFormat/>
    <w:rPr>
      <w:rFonts w:ascii="Arial" w:hAnsi="Arial" w:eastAsia="Arial" w:cs="Arial"/>
      <w:i/>
      <w:iCs/>
      <w:sz w:val="21"/>
      <w:szCs w:val="21"/>
    </w:rPr>
  </w:style>
  <w:style w:type="character" w:styleId="827" w:customStyle="1">
    <w:name w:val="尾注文本 字符"/>
    <w:link w:val="763"/>
    <w:uiPriority w:val="99"/>
    <w:qFormat/>
    <w:rPr>
      <w:sz w:val="20"/>
    </w:rPr>
  </w:style>
  <w:style w:type="character" w:styleId="828" w:customStyle="1">
    <w:name w:val="页脚 字符"/>
    <w:link w:val="764"/>
    <w:uiPriority w:val="99"/>
    <w:qFormat/>
  </w:style>
  <w:style w:type="character" w:styleId="829" w:customStyle="1">
    <w:name w:val="页眉 字符"/>
    <w:link w:val="765"/>
    <w:uiPriority w:val="99"/>
    <w:qFormat/>
  </w:style>
  <w:style w:type="character" w:styleId="830" w:customStyle="1">
    <w:name w:val="副标题 字符"/>
    <w:link w:val="768"/>
    <w:uiPriority w:val="11"/>
    <w:qFormat/>
    <w:rPr>
      <w:sz w:val="24"/>
      <w:szCs w:val="24"/>
    </w:rPr>
  </w:style>
  <w:style w:type="character" w:styleId="831" w:customStyle="1">
    <w:name w:val="脚注文本 字符"/>
    <w:link w:val="769"/>
    <w:uiPriority w:val="99"/>
    <w:qFormat/>
    <w:rPr>
      <w:sz w:val="18"/>
    </w:rPr>
  </w:style>
  <w:style w:type="character" w:styleId="832" w:customStyle="1">
    <w:name w:val="标题 字符"/>
    <w:link w:val="775"/>
    <w:uiPriority w:val="10"/>
    <w:qFormat/>
    <w:rPr>
      <w:sz w:val="48"/>
      <w:szCs w:val="48"/>
    </w:rPr>
  </w:style>
  <w:style w:type="paragraph" w:styleId="833" w:customStyle="1">
    <w:name w:val="标题 31"/>
    <w:basedOn w:val="741"/>
    <w:next w:val="741"/>
    <w:uiPriority w:val="0"/>
    <w:qFormat/>
    <w:pPr>
      <w:keepLines/>
      <w:keepNext/>
      <w:outlineLvl w:val="2"/>
    </w:pPr>
    <w:rPr>
      <w:rFonts w:ascii="Calibri" w:hAnsi="Calibri"/>
      <w:b/>
      <w:sz w:val="21"/>
    </w:rPr>
  </w:style>
  <w:style w:type="paragraph" w:styleId="834" w:customStyle="1">
    <w:name w:val="样式 10 磅13"/>
    <w:uiPriority w:val="0"/>
    <w:unhideWhenUsed/>
    <w:qFormat/>
    <w:pPr>
      <w:jc w:val="both"/>
      <w:widowControl w:val="off"/>
    </w:pPr>
    <w:rPr>
      <w:rFonts w:hint="default" w:ascii="Times New Roman" w:hAnsi="Times New Roman" w:eastAsia="宋体" w:cs="Times New Roman"/>
      <w:sz w:val="21"/>
      <w:szCs w:val="24"/>
      <w:lang w:val="en-US" w:eastAsia="zh-CN" w:bidi="ar-SA"/>
    </w:rPr>
  </w:style>
  <w:style w:type="paragraph" w:styleId="835" w:customStyle="1">
    <w:name w:val="正文首行缩进 211"/>
    <w:basedOn w:val="836"/>
    <w:uiPriority w:val="99"/>
    <w:unhideWhenUsed/>
    <w:qFormat/>
    <w:pPr>
      <w:ind w:firstLine="420"/>
    </w:pPr>
  </w:style>
  <w:style w:type="paragraph" w:styleId="836" w:customStyle="1">
    <w:name w:val="正文文本缩进11"/>
    <w:basedOn w:val="741"/>
    <w:next w:val="837"/>
    <w:uiPriority w:val="0"/>
    <w:qFormat/>
    <w:pPr>
      <w:ind w:left="570"/>
      <w:spacing w:line="520" w:lineRule="exact"/>
    </w:pPr>
    <w:rPr>
      <w:rFonts w:ascii="方正仿宋简体" w:hAnsi="创艺简仿宋" w:eastAsia="方正仿宋简体"/>
    </w:rPr>
  </w:style>
  <w:style w:type="paragraph" w:styleId="837" w:customStyle="1">
    <w:name w:val="寄信人地址11"/>
    <w:basedOn w:val="741"/>
    <w:uiPriority w:val="0"/>
    <w:qFormat/>
    <w:rPr>
      <w:rFonts w:ascii="Arial" w:hAnsi="Arial"/>
    </w:rPr>
  </w:style>
  <w:style w:type="paragraph" w:styleId="838" w:customStyle="1">
    <w:name w:val="段"/>
    <w:next w:val="741"/>
    <w:uiPriority w:val="0"/>
    <w:qFormat/>
    <w:pPr>
      <w:ind w:firstLine="200"/>
      <w:jc w:val="both"/>
    </w:pPr>
    <w:rPr>
      <w:rFonts w:hint="default" w:ascii="宋体" w:hAnsi="Times New Roman" w:eastAsia="宋体" w:cs="宋体"/>
      <w:sz w:val="21"/>
      <w:szCs w:val="21"/>
      <w:lang w:val="en-US" w:eastAsia="zh-CN" w:bidi="ar-SA"/>
    </w:rPr>
  </w:style>
  <w:style w:type="paragraph" w:styleId="839">
    <w:name w:val="List Paragraph"/>
    <w:basedOn w:val="741"/>
    <w:uiPriority w:val="34"/>
    <w:qFormat/>
    <w:pPr>
      <w:contextualSpacing/>
      <w:ind w:left="720"/>
    </w:pPr>
  </w:style>
  <w:style w:type="paragraph" w:styleId="840">
    <w:name w:val="Quote"/>
    <w:basedOn w:val="741"/>
    <w:next w:val="741"/>
    <w:link w:val="841"/>
    <w:uiPriority w:val="29"/>
    <w:qFormat/>
    <w:pPr>
      <w:ind w:left="720" w:right="720"/>
    </w:pPr>
    <w:rPr>
      <w:i/>
    </w:rPr>
  </w:style>
  <w:style w:type="character" w:styleId="841" w:customStyle="1">
    <w:name w:val="引用 字符"/>
    <w:link w:val="840"/>
    <w:uiPriority w:val="29"/>
    <w:qFormat/>
    <w:rPr>
      <w:i/>
    </w:rPr>
  </w:style>
  <w:style w:type="paragraph" w:styleId="842">
    <w:name w:val="Intense Quote"/>
    <w:basedOn w:val="741"/>
    <w:next w:val="741"/>
    <w:link w:val="84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3" w:customStyle="1">
    <w:name w:val="明显引用 字符"/>
    <w:link w:val="842"/>
    <w:uiPriority w:val="30"/>
    <w:qFormat/>
    <w:rPr>
      <w:i/>
    </w:rPr>
  </w:style>
  <w:style w:type="character" w:styleId="844" w:customStyle="1">
    <w:name w:val="Footer Char"/>
    <w:uiPriority w:val="99"/>
    <w:qFormat/>
  </w:style>
  <w:style w:type="table" w:styleId="845"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6"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7"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8"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9"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0"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1"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2"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53"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4"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55"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6"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7"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8"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9"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60"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61"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2"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3"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4"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5"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3"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74"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75"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76"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7"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8"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9"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0"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1"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2"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3"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4"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5"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6"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887"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88"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12" w:space="0"/>
        </w:tcBorders>
      </w:tcPr>
    </w:tblStylePr>
    <w:tblStylePr w:type="lastCol">
      <w:rPr>
        <w:b/>
        <w:color w:val="d99896" w:themeColor="accent2" w:themeTint="96"/>
      </w:rPr>
    </w:tblStylePr>
    <w:tblStylePr w:type="lastRow">
      <w:rPr>
        <w:b/>
        <w:color w:val="d99896" w:themeColor="accent2" w:themeTint="96"/>
      </w:rPr>
    </w:tblStylePr>
  </w:style>
  <w:style w:type="table" w:styleId="889"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B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90"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91"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92"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93"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4"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5"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6"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7"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8"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9"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0"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1"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2"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3"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4"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5"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6"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7"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8"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9"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10"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1"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2"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3"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4"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5"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6"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7"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8"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9"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0"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1"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2"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3"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4"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5"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6"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7"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8"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29"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30"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931"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932"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33"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34"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35"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36"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b/>
        <w:color w:val="2a4a71" w:themeColor="accent1" w:themeShade="94"/>
      </w:rPr>
    </w:tblStylePr>
    <w:tblStylePr w:type="firstRow">
      <w:rPr>
        <w:b/>
        <w:color w:val="2a4a71" w:themeColor="accent1" w:themeShade="94"/>
      </w:rPr>
      <w:tcPr>
        <w:tcBorders>
          <w:bottom w:val="single" w:color="4F81BD" w:themeColor="accent1" w:sz="4" w:space="0"/>
        </w:tcBorders>
      </w:tcPr>
    </w:tblStylePr>
    <w:tblStylePr w:type="lastCol">
      <w:rPr>
        <w:b/>
        <w:color w:val="2a4a71" w:themeColor="accent1" w:themeShade="94"/>
      </w:rPr>
    </w:tblStylePr>
    <w:tblStylePr w:type="lastRow">
      <w:rPr>
        <w:b/>
        <w:color w:val="2a4a71" w:themeColor="accent1" w:themeShade="94"/>
      </w:rPr>
      <w:tcPr>
        <w:tcBorders>
          <w:top w:val="single" w:color="4F81BD" w:themeColor="accent1" w:sz="4" w:space="0"/>
        </w:tcBorders>
      </w:tcPr>
    </w:tblStylePr>
  </w:style>
  <w:style w:type="table" w:styleId="937"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4" w:space="0"/>
        </w:tcBorders>
      </w:tcPr>
    </w:tblStylePr>
    <w:tblStylePr w:type="lastCol">
      <w:rPr>
        <w:b/>
        <w:color w:val="d99896" w:themeColor="accent2" w:themeTint="96"/>
      </w:rPr>
    </w:tblStylePr>
    <w:tblStylePr w:type="lastRow">
      <w:rPr>
        <w:b/>
        <w:color w:val="d99896" w:themeColor="accent2" w:themeTint="96"/>
      </w:rPr>
      <w:tcPr>
        <w:tcBorders>
          <w:top w:val="single" w:color="D99795" w:themeColor="accent2" w:themeTint="97" w:sz="4" w:space="0"/>
        </w:tcBorders>
      </w:tcPr>
    </w:tblStylePr>
  </w:style>
  <w:style w:type="table" w:styleId="938"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C"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C" w:themeColor="accent3" w:themeTint="98" w:sz="4" w:space="0"/>
        </w:tcBorders>
      </w:tcPr>
    </w:tblStylePr>
  </w:style>
  <w:style w:type="table" w:styleId="939"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40"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41"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42"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3"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rFonts w:ascii="Arial" w:hAnsi="Arial"/>
        <w:i/>
        <w:color w:val="2a4a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4"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5"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6"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7"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8"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9"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0"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1"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2"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3"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4"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5"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6"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7"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8"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9"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0"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1"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2"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3"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4"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5"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6"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7"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8"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9"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970" w:customStyle="1">
    <w:name w:val="TOC 标题1"/>
    <w:uiPriority w:val="39"/>
    <w:unhideWhenUsed/>
    <w:qFormat/>
    <w:rPr>
      <w:rFonts w:hint="default" w:ascii="Times New Roman" w:hAnsi="Times New Roman" w:eastAsia="宋体" w:cs="Times New Roman"/>
      <w:lang w:val="en-US" w:eastAsia="zh-CN" w:bidi="ar-SA"/>
    </w:rPr>
  </w:style>
  <w:style w:type="paragraph" w:styleId="971" w:customStyle="1">
    <w:name w:val="标题 11"/>
    <w:basedOn w:val="741"/>
    <w:next w:val="741"/>
    <w:uiPriority w:val="0"/>
    <w:qFormat/>
    <w:pPr>
      <w:keepLines/>
      <w:keepNext/>
      <w:spacing w:before="340" w:after="330" w:line="578" w:lineRule="auto"/>
      <w:outlineLvl w:val="0"/>
    </w:pPr>
    <w:rPr>
      <w:rFonts w:eastAsia="楷体_GB2312"/>
      <w:b/>
      <w:sz w:val="44"/>
      <w:szCs w:val="20"/>
    </w:rPr>
  </w:style>
  <w:style w:type="paragraph" w:styleId="972" w:customStyle="1">
    <w:name w:val="标题 21"/>
    <w:basedOn w:val="741"/>
    <w:next w:val="741"/>
    <w:uiPriority w:val="0"/>
    <w:qFormat/>
    <w:pPr>
      <w:keepLines/>
      <w:keepNext/>
      <w:spacing w:before="260" w:after="260" w:line="416" w:lineRule="auto"/>
      <w:outlineLvl w:val="1"/>
    </w:pPr>
    <w:rPr>
      <w:rFonts w:ascii="Calibri Light" w:hAnsi="Calibri Light"/>
      <w:b/>
      <w:bCs/>
      <w:sz w:val="32"/>
      <w:szCs w:val="32"/>
    </w:rPr>
  </w:style>
  <w:style w:type="paragraph" w:styleId="973" w:customStyle="1">
    <w:name w:val="标题 41"/>
    <w:basedOn w:val="741"/>
    <w:next w:val="741"/>
    <w:uiPriority w:val="0"/>
    <w:qFormat/>
    <w:pPr>
      <w:numPr>
        <w:ilvl w:val="3"/>
        <w:numId w:val="1"/>
      </w:numPr>
      <w:keepLines/>
      <w:keepNext/>
      <w:spacing w:before="280" w:after="290" w:line="376" w:lineRule="auto"/>
      <w:outlineLvl w:val="3"/>
    </w:pPr>
    <w:rPr>
      <w:rFonts w:ascii="Cambria" w:hAnsi="Cambria" w:cs="Cambria"/>
      <w:b/>
      <w:bCs/>
      <w:sz w:val="28"/>
      <w:szCs w:val="28"/>
    </w:rPr>
  </w:style>
  <w:style w:type="character" w:styleId="974" w:customStyle="1">
    <w:name w:val="默认段落字体1"/>
    <w:uiPriority w:val="1"/>
    <w:unhideWhenUsed/>
    <w:qFormat/>
  </w:style>
  <w:style w:type="table" w:styleId="975" w:customStyle="1">
    <w:name w:val="普通表格1"/>
    <w:uiPriority w:val="99"/>
    <w:unhideWhenUsed/>
    <w:qFormat/>
    <w:tblPr>
      <w:tblCellMar>
        <w:left w:w="0" w:type="dxa"/>
        <w:top w:w="0" w:type="dxa"/>
        <w:right w:w="0" w:type="dxa"/>
        <w:bottom w:w="0" w:type="dxa"/>
      </w:tblCellMar>
    </w:tblPr>
  </w:style>
  <w:style w:type="paragraph" w:styleId="976" w:customStyle="1">
    <w:name w:val="正文缩进1"/>
    <w:basedOn w:val="741"/>
    <w:next w:val="741"/>
    <w:uiPriority w:val="0"/>
    <w:qFormat/>
    <w:pPr>
      <w:ind w:firstLine="420"/>
    </w:pPr>
    <w:rPr>
      <w:rFonts w:eastAsia="楷体_GB2312"/>
      <w:szCs w:val="20"/>
    </w:rPr>
  </w:style>
  <w:style w:type="paragraph" w:styleId="977" w:customStyle="1">
    <w:name w:val="文档结构图1"/>
    <w:basedOn w:val="741"/>
    <w:uiPriority w:val="0"/>
    <w:semiHidden/>
    <w:qFormat/>
    <w:pPr>
      <w:shd w:val="clear" w:color="auto" w:fill="000080"/>
    </w:pPr>
  </w:style>
  <w:style w:type="paragraph" w:styleId="978" w:customStyle="1">
    <w:name w:val="批注文字1"/>
    <w:basedOn w:val="741"/>
    <w:link w:val="979"/>
    <w:uiPriority w:val="0"/>
    <w:qFormat/>
  </w:style>
  <w:style w:type="character" w:styleId="979" w:customStyle="1">
    <w:name w:val="批注文字 Char"/>
    <w:link w:val="978"/>
    <w:uiPriority w:val="0"/>
    <w:qFormat/>
    <w:rPr>
      <w:sz w:val="24"/>
      <w:szCs w:val="24"/>
    </w:rPr>
  </w:style>
  <w:style w:type="paragraph" w:styleId="980" w:customStyle="1">
    <w:name w:val="正文文本1"/>
    <w:basedOn w:val="741"/>
    <w:next w:val="976"/>
    <w:uiPriority w:val="0"/>
    <w:qFormat/>
  </w:style>
  <w:style w:type="paragraph" w:styleId="981" w:customStyle="1">
    <w:name w:val="文本块1"/>
    <w:basedOn w:val="741"/>
    <w:uiPriority w:val="0"/>
    <w:qFormat/>
    <w:pPr>
      <w:ind w:left="630" w:right="-609" w:firstLine="420"/>
      <w:spacing w:line="360" w:lineRule="auto"/>
    </w:pPr>
    <w:rPr>
      <w:rFonts w:hint="eastAsia" w:ascii="仿宋_GB2312" w:eastAsia="仿宋_GB2312"/>
      <w:sz w:val="26"/>
      <w:szCs w:val="20"/>
    </w:rPr>
  </w:style>
  <w:style w:type="paragraph" w:styleId="982" w:customStyle="1">
    <w:name w:val="索引 41"/>
    <w:basedOn w:val="741"/>
    <w:next w:val="741"/>
    <w:uiPriority w:val="99"/>
    <w:unhideWhenUsed/>
    <w:qFormat/>
    <w:pPr>
      <w:ind w:left="600"/>
    </w:pPr>
    <w:rPr>
      <w:rFonts w:ascii="宋体"/>
      <w:b/>
      <w:position w:val="-10"/>
      <w:szCs w:val="20"/>
    </w:rPr>
  </w:style>
  <w:style w:type="paragraph" w:styleId="983" w:customStyle="1">
    <w:name w:val="纯文本11"/>
    <w:basedOn w:val="741"/>
    <w:uiPriority w:val="0"/>
    <w:qFormat/>
    <w:rPr>
      <w:rFonts w:ascii="宋体" w:hAnsi="Courier New" w:eastAsia="楷体_GB2312"/>
      <w:sz w:val="26"/>
      <w:szCs w:val="20"/>
    </w:rPr>
  </w:style>
  <w:style w:type="paragraph" w:styleId="984" w:customStyle="1">
    <w:name w:val="日期1"/>
    <w:basedOn w:val="741"/>
    <w:next w:val="741"/>
    <w:uiPriority w:val="0"/>
    <w:qFormat/>
    <w:rPr>
      <w:rFonts w:ascii="宋体" w:hAnsi="宋体" w:eastAsia="楷体_GB2312"/>
      <w:szCs w:val="20"/>
    </w:rPr>
  </w:style>
  <w:style w:type="paragraph" w:styleId="985" w:customStyle="1">
    <w:name w:val="批注框文本1"/>
    <w:basedOn w:val="741"/>
    <w:link w:val="986"/>
    <w:uiPriority w:val="0"/>
    <w:qFormat/>
    <w:rPr>
      <w:sz w:val="18"/>
      <w:szCs w:val="18"/>
    </w:rPr>
  </w:style>
  <w:style w:type="character" w:styleId="986" w:customStyle="1">
    <w:name w:val="批注框文本 Char"/>
    <w:link w:val="985"/>
    <w:uiPriority w:val="0"/>
    <w:qFormat/>
    <w:rPr>
      <w:sz w:val="18"/>
      <w:szCs w:val="18"/>
    </w:rPr>
  </w:style>
  <w:style w:type="paragraph" w:styleId="987" w:customStyle="1">
    <w:name w:val="页脚1"/>
    <w:basedOn w:val="741"/>
    <w:uiPriority w:val="0"/>
    <w:qFormat/>
    <w:pPr>
      <w:tabs>
        <w:tab w:val="center" w:pos="4153" w:leader="none"/>
        <w:tab w:val="right" w:pos="8306" w:leader="none"/>
      </w:tabs>
    </w:pPr>
    <w:rPr>
      <w:sz w:val="18"/>
    </w:rPr>
  </w:style>
  <w:style w:type="paragraph" w:styleId="988" w:customStyle="1">
    <w:name w:val="页眉1"/>
    <w:basedOn w:val="741"/>
    <w:uiPriority w:val="0"/>
    <w:qFormat/>
    <w:pPr>
      <w:jc w:val="both"/>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989" w:customStyle="1">
    <w:name w:val="目录 11"/>
    <w:basedOn w:val="741"/>
    <w:next w:val="741"/>
    <w:uiPriority w:val="0"/>
    <w:qFormat/>
    <w:rPr>
      <w:rFonts w:eastAsia="楷体_GB2312"/>
      <w:szCs w:val="20"/>
    </w:rPr>
  </w:style>
  <w:style w:type="paragraph" w:styleId="990" w:customStyle="1">
    <w:name w:val="正文文本缩进 31"/>
    <w:basedOn w:val="741"/>
    <w:uiPriority w:val="0"/>
    <w:qFormat/>
    <w:pPr>
      <w:ind w:left="420"/>
      <w:spacing w:after="120"/>
    </w:pPr>
    <w:rPr>
      <w:sz w:val="16"/>
      <w:szCs w:val="16"/>
    </w:rPr>
  </w:style>
  <w:style w:type="paragraph" w:styleId="991" w:customStyle="1">
    <w:name w:val="HTML 预设格式1"/>
    <w:basedOn w:val="741"/>
    <w:uiPriority w:val="0"/>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paragraph" w:styleId="992" w:customStyle="1">
    <w:name w:val="普通(网站)1"/>
    <w:basedOn w:val="741"/>
    <w:uiPriority w:val="0"/>
    <w:unhideWhenUsed/>
    <w:qFormat/>
    <w:pPr>
      <w:spacing w:before="100" w:beforeAutospacing="1" w:after="100" w:afterAutospacing="1"/>
    </w:pPr>
    <w:rPr>
      <w:rFonts w:ascii="宋体" w:hAnsi="宋体" w:cs="宋体"/>
    </w:rPr>
  </w:style>
  <w:style w:type="paragraph" w:styleId="993" w:customStyle="1">
    <w:name w:val="标题1"/>
    <w:basedOn w:val="741"/>
    <w:uiPriority w:val="0"/>
    <w:qFormat/>
    <w:pPr>
      <w:jc w:val="center"/>
      <w:spacing w:before="240" w:after="60"/>
      <w:outlineLvl w:val="0"/>
    </w:pPr>
    <w:rPr>
      <w:rFonts w:ascii="Cambria" w:hAnsi="Cambria"/>
      <w:b/>
      <w:bCs/>
      <w:sz w:val="32"/>
      <w:szCs w:val="32"/>
    </w:rPr>
  </w:style>
  <w:style w:type="paragraph" w:styleId="994" w:customStyle="1">
    <w:name w:val="批注主题1"/>
    <w:basedOn w:val="978"/>
    <w:next w:val="978"/>
    <w:link w:val="995"/>
    <w:uiPriority w:val="0"/>
    <w:qFormat/>
    <w:rPr>
      <w:b/>
      <w:bCs/>
    </w:rPr>
  </w:style>
  <w:style w:type="character" w:styleId="995" w:customStyle="1">
    <w:name w:val="批注主题 Char"/>
    <w:link w:val="994"/>
    <w:uiPriority w:val="0"/>
    <w:qFormat/>
    <w:rPr>
      <w:b/>
      <w:bCs/>
      <w:sz w:val="24"/>
      <w:szCs w:val="24"/>
    </w:rPr>
  </w:style>
  <w:style w:type="table" w:styleId="996" w:customStyle="1">
    <w:name w:val="网格型1"/>
    <w:basedOn w:val="975"/>
    <w:uiPriority w:val="0"/>
    <w:qFormat/>
    <w:pPr>
      <w:jc w:val="both"/>
      <w:widowControl w:val="off"/>
    </w:pPr>
    <w:tblPr/>
  </w:style>
  <w:style w:type="character" w:styleId="997" w:customStyle="1">
    <w:name w:val="要点1"/>
    <w:uiPriority w:val="0"/>
    <w:qFormat/>
    <w:rPr>
      <w:b/>
      <w:bCs/>
    </w:rPr>
  </w:style>
  <w:style w:type="character" w:styleId="998" w:customStyle="1">
    <w:name w:val="页码1"/>
    <w:basedOn w:val="974"/>
    <w:uiPriority w:val="0"/>
    <w:qFormat/>
  </w:style>
  <w:style w:type="character" w:styleId="999" w:customStyle="1">
    <w:name w:val="已访问的超链接1"/>
    <w:uiPriority w:val="0"/>
    <w:qFormat/>
    <w:rPr>
      <w:color w:val="800080"/>
      <w:u w:val="none"/>
    </w:rPr>
  </w:style>
  <w:style w:type="character" w:styleId="1000" w:customStyle="1">
    <w:name w:val="强调1"/>
    <w:uiPriority w:val="0"/>
    <w:qFormat/>
    <w:rPr>
      <w:b/>
      <w:bCs/>
    </w:rPr>
  </w:style>
  <w:style w:type="character" w:styleId="1001" w:customStyle="1">
    <w:name w:val="HTML 定义1"/>
    <w:uiPriority w:val="0"/>
    <w:qFormat/>
  </w:style>
  <w:style w:type="character" w:styleId="1002" w:customStyle="1">
    <w:name w:val="HTML 打字机1"/>
    <w:uiPriority w:val="0"/>
    <w:qFormat/>
    <w:rPr>
      <w:rFonts w:ascii="monospace" w:hAnsi="monospace" w:eastAsia="monospace" w:cs="monospace"/>
      <w:sz w:val="20"/>
    </w:rPr>
  </w:style>
  <w:style w:type="character" w:styleId="1003" w:customStyle="1">
    <w:name w:val="HTML 缩写1"/>
    <w:uiPriority w:val="0"/>
    <w:qFormat/>
  </w:style>
  <w:style w:type="character" w:styleId="1004" w:customStyle="1">
    <w:name w:val="HTML 变量1"/>
    <w:uiPriority w:val="0"/>
    <w:qFormat/>
  </w:style>
  <w:style w:type="character" w:styleId="1005" w:customStyle="1">
    <w:name w:val="超链接1"/>
    <w:uiPriority w:val="0"/>
    <w:qFormat/>
    <w:rPr>
      <w:color w:val="0000ff"/>
      <w:u w:val="none"/>
    </w:rPr>
  </w:style>
  <w:style w:type="character" w:styleId="1006" w:customStyle="1">
    <w:name w:val="HTML 代码1"/>
    <w:uiPriority w:val="0"/>
    <w:qFormat/>
    <w:rPr>
      <w:rFonts w:ascii="monospace" w:hAnsi="monospace" w:eastAsia="monospace" w:cs="monospace"/>
      <w:sz w:val="20"/>
    </w:rPr>
  </w:style>
  <w:style w:type="character" w:styleId="1007" w:customStyle="1">
    <w:name w:val="批注引用1"/>
    <w:uiPriority w:val="0"/>
    <w:qFormat/>
    <w:rPr>
      <w:sz w:val="21"/>
      <w:szCs w:val="21"/>
    </w:rPr>
  </w:style>
  <w:style w:type="character" w:styleId="1008" w:customStyle="1">
    <w:name w:val="HTML 引文1"/>
    <w:uiPriority w:val="0"/>
    <w:qFormat/>
  </w:style>
  <w:style w:type="character" w:styleId="1009" w:customStyle="1">
    <w:name w:val="HTML 键盘1"/>
    <w:uiPriority w:val="0"/>
    <w:qFormat/>
    <w:rPr>
      <w:rFonts w:ascii="monospace" w:hAnsi="monospace" w:eastAsia="monospace" w:cs="monospace"/>
      <w:sz w:val="20"/>
    </w:rPr>
  </w:style>
  <w:style w:type="character" w:styleId="1010" w:customStyle="1">
    <w:name w:val="HTML 样本1"/>
    <w:uiPriority w:val="0"/>
    <w:qFormat/>
    <w:rPr>
      <w:rFonts w:ascii="monospace" w:hAnsi="monospace" w:eastAsia="monospace" w:cs="monospace"/>
    </w:rPr>
  </w:style>
  <w:style w:type="paragraph" w:styleId="1011" w:customStyle="1">
    <w:name w:val="正文首行缩进 21"/>
    <w:basedOn w:val="1012"/>
    <w:uiPriority w:val="0"/>
    <w:qFormat/>
    <w:pPr>
      <w:ind w:firstLine="420"/>
    </w:pPr>
  </w:style>
  <w:style w:type="paragraph" w:styleId="1012" w:customStyle="1">
    <w:name w:val="正文文本缩进1"/>
    <w:basedOn w:val="741"/>
    <w:next w:val="1013"/>
    <w:uiPriority w:val="0"/>
    <w:qFormat/>
    <w:pPr>
      <w:ind w:left="420"/>
      <w:spacing w:after="120"/>
    </w:pPr>
    <w:rPr>
      <w:rFonts w:ascii="Calibri" w:hAnsi="Calibri"/>
      <w:sz w:val="21"/>
      <w:szCs w:val="21"/>
    </w:rPr>
  </w:style>
  <w:style w:type="paragraph" w:styleId="1013" w:customStyle="1">
    <w:name w:val="寄信人地址1"/>
    <w:basedOn w:val="741"/>
    <w:uiPriority w:val="0"/>
    <w:unhideWhenUsed/>
    <w:qFormat/>
    <w:rPr>
      <w:rFonts w:ascii="Arial" w:hAnsi="Arial"/>
    </w:rPr>
  </w:style>
  <w:style w:type="paragraph" w:styleId="1014" w:customStyle="1">
    <w:name w:val="首行缩进"/>
    <w:basedOn w:val="741"/>
    <w:uiPriority w:val="0"/>
    <w:qFormat/>
    <w:pPr>
      <w:ind w:firstLine="480"/>
    </w:pPr>
    <w:rPr>
      <w:rFonts w:ascii="Calibri" w:hAnsi="Calibri"/>
      <w:sz w:val="21"/>
      <w:lang w:val="zh-CN"/>
    </w:rPr>
  </w:style>
  <w:style w:type="paragraph" w:styleId="1015" w:customStyle="1">
    <w:name w:val="目录 51"/>
    <w:next w:val="741"/>
    <w:uiPriority w:val="0"/>
    <w:qFormat/>
    <w:pPr>
      <w:ind w:left="1275"/>
      <w:jc w:val="both"/>
    </w:pPr>
    <w:rPr>
      <w:rFonts w:hint="default" w:ascii="Times New Roman" w:hAnsi="Times New Roman" w:eastAsia="宋体" w:cs="Times New Roman"/>
      <w:sz w:val="21"/>
      <w:lang w:val="en-US" w:eastAsia="zh-CN" w:bidi="ar-SA"/>
    </w:rPr>
  </w:style>
  <w:style w:type="paragraph" w:styleId="1016" w:customStyle="1">
    <w:name w:val="列出段落1"/>
    <w:basedOn w:val="741"/>
    <w:uiPriority w:val="0"/>
    <w:qFormat/>
    <w:pPr>
      <w:ind w:firstLine="420"/>
    </w:pPr>
  </w:style>
  <w:style w:type="paragraph" w:styleId="1017" w:customStyle="1">
    <w:name w:val="纯文本5"/>
    <w:uiPriority w:val="0"/>
    <w:qFormat/>
    <w:pPr>
      <w:jc w:val="both"/>
      <w:widowControl w:val="off"/>
    </w:pPr>
    <w:rPr>
      <w:rFonts w:hint="default" w:ascii="宋体" w:hAnsi="Courier New" w:eastAsia="楷体_GB2312" w:cs="Times New Roman"/>
      <w:sz w:val="26"/>
      <w:lang w:val="en-US" w:eastAsia="zh-CN" w:bidi="ar-SA"/>
    </w:rPr>
  </w:style>
  <w:style w:type="paragraph" w:styleId="1018" w:customStyle="1">
    <w:name w:val="Andy_正文"/>
    <w:basedOn w:val="741"/>
    <w:uiPriority w:val="0"/>
    <w:qFormat/>
    <w:pPr>
      <w:ind w:firstLine="480"/>
      <w:jc w:val="both"/>
      <w:spacing w:line="360" w:lineRule="auto"/>
      <w:widowControl w:val="off"/>
    </w:pPr>
    <w:rPr>
      <w:rFonts w:ascii="Calibri" w:hAnsi="Calibri"/>
    </w:rPr>
  </w:style>
  <w:style w:type="paragraph" w:styleId="1019" w:customStyle="1">
    <w:name w:val="纯文本1"/>
    <w:basedOn w:val="741"/>
    <w:uiPriority w:val="0"/>
    <w:qFormat/>
    <w:rPr>
      <w:rFonts w:ascii="宋体" w:hAnsi="Courier New" w:eastAsia="楷体_GB2312"/>
      <w:sz w:val="26"/>
      <w:szCs w:val="20"/>
    </w:rPr>
  </w:style>
  <w:style w:type="paragraph" w:styleId="1020" w:customStyle="1">
    <w:name w:val="正文 五号"/>
    <w:basedOn w:val="741"/>
    <w:uiPriority w:val="0"/>
    <w:qFormat/>
    <w:pPr>
      <w:ind w:firstLine="643"/>
      <w:spacing w:line="360" w:lineRule="auto"/>
    </w:pPr>
    <w:rPr>
      <w:rFonts w:hint="eastAsia"/>
    </w:rPr>
  </w:style>
  <w:style w:type="character" w:styleId="1021" w:customStyle="1">
    <w:name w:val="font21"/>
    <w:uiPriority w:val="0"/>
    <w:qFormat/>
    <w:rPr>
      <w:rFonts w:hint="eastAsia" w:ascii="仿宋" w:hAnsi="仿宋" w:eastAsia="仿宋" w:cs="仿宋"/>
      <w:color w:val="000000"/>
      <w:sz w:val="22"/>
      <w:szCs w:val="22"/>
      <w:u w:val="none"/>
    </w:rPr>
  </w:style>
  <w:style w:type="character" w:styleId="1022" w:customStyle="1">
    <w:name w:val="font81"/>
    <w:uiPriority w:val="0"/>
    <w:qFormat/>
    <w:rPr>
      <w:rFonts w:hint="eastAsia" w:ascii="宋体" w:hAnsi="宋体" w:eastAsia="宋体" w:cs="宋体"/>
      <w:color w:val="000000"/>
      <w:sz w:val="22"/>
      <w:szCs w:val="22"/>
      <w:u w:val="none"/>
    </w:rPr>
  </w:style>
  <w:style w:type="character" w:styleId="1023" w:customStyle="1">
    <w:name w:val="hover"/>
    <w:uiPriority w:val="0"/>
    <w:qFormat/>
  </w:style>
  <w:style w:type="character" w:styleId="1024" w:customStyle="1">
    <w:name w:val="hover1"/>
    <w:uiPriority w:val="0"/>
    <w:qFormat/>
    <w:rPr>
      <w:color w:val="2590eb"/>
    </w:rPr>
  </w:style>
  <w:style w:type="character" w:styleId="1025" w:customStyle="1">
    <w:name w:val="hover2"/>
    <w:uiPriority w:val="0"/>
    <w:qFormat/>
    <w:rPr>
      <w:color w:val="2590eb"/>
    </w:rPr>
  </w:style>
  <w:style w:type="character" w:styleId="1026" w:customStyle="1">
    <w:name w:val="hover3"/>
    <w:uiPriority w:val="0"/>
    <w:qFormat/>
  </w:style>
  <w:style w:type="character" w:styleId="1027" w:customStyle="1">
    <w:name w:val="font101"/>
    <w:uiPriority w:val="0"/>
    <w:qFormat/>
    <w:rPr>
      <w:rFonts w:ascii="Calibri" w:hAnsi="Calibri" w:cs="Calibri"/>
      <w:color w:val="000000"/>
      <w:sz w:val="18"/>
      <w:szCs w:val="18"/>
      <w:u w:val="none"/>
    </w:rPr>
  </w:style>
  <w:style w:type="character" w:styleId="1028" w:customStyle="1">
    <w:name w:val="font01"/>
    <w:uiPriority w:val="0"/>
    <w:qFormat/>
    <w:rPr>
      <w:rFonts w:hint="eastAsia" w:ascii="宋体" w:hAnsi="宋体" w:eastAsia="宋体" w:cs="宋体"/>
      <w:color w:val="000000"/>
      <w:sz w:val="18"/>
      <w:szCs w:val="18"/>
      <w:u w:val="none"/>
    </w:rPr>
  </w:style>
  <w:style w:type="character" w:styleId="1029" w:customStyle="1">
    <w:name w:val="font51"/>
    <w:uiPriority w:val="0"/>
    <w:qFormat/>
    <w:rPr>
      <w:rFonts w:hint="eastAsia" w:ascii="宋体" w:hAnsi="宋体" w:eastAsia="宋体" w:cs="宋体"/>
      <w:b/>
      <w:color w:val="ff0000"/>
      <w:sz w:val="21"/>
      <w:szCs w:val="21"/>
      <w:u w:val="none"/>
    </w:rPr>
  </w:style>
  <w:style w:type="character" w:styleId="1030" w:customStyle="1">
    <w:name w:val="font121"/>
    <w:uiPriority w:val="0"/>
    <w:qFormat/>
    <w:rPr>
      <w:rFonts w:ascii="Calibri" w:hAnsi="Calibri" w:cs="Calibri"/>
      <w:b/>
      <w:color w:val="ff0000"/>
      <w:sz w:val="21"/>
      <w:szCs w:val="21"/>
      <w:u w:val="none"/>
    </w:rPr>
  </w:style>
  <w:style w:type="character" w:styleId="1031" w:customStyle="1">
    <w:name w:val="font31"/>
    <w:uiPriority w:val="0"/>
    <w:qFormat/>
    <w:rPr>
      <w:rFonts w:hint="eastAsia" w:ascii="宋体" w:hAnsi="宋体" w:eastAsia="宋体" w:cs="宋体"/>
      <w:color w:val="000000"/>
      <w:sz w:val="40"/>
      <w:szCs w:val="40"/>
      <w:u w:val="none"/>
    </w:rPr>
  </w:style>
  <w:style w:type="character" w:styleId="1032" w:customStyle="1">
    <w:name w:val="font11"/>
    <w:uiPriority w:val="0"/>
    <w:qFormat/>
    <w:rPr>
      <w:rFonts w:ascii="Arial" w:hAnsi="Arial" w:cs="Arial"/>
      <w:color w:val="000000"/>
      <w:sz w:val="20"/>
      <w:szCs w:val="20"/>
      <w:u w:val="none"/>
    </w:rPr>
  </w:style>
  <w:style w:type="paragraph" w:styleId="1033" w:customStyle="1">
    <w:name w:val="纯文本4"/>
    <w:basedOn w:val="741"/>
    <w:uiPriority w:val="0"/>
    <w:qFormat/>
    <w:rPr>
      <w:rFonts w:ascii="宋体" w:hAnsi="Courier New" w:eastAsia="楷体_GB2312"/>
      <w:sz w:val="26"/>
      <w:szCs w:val="20"/>
    </w:rPr>
  </w:style>
  <w:style w:type="paragraph" w:styleId="1034" w:customStyle="1">
    <w:name w:val="Normal_0"/>
    <w:uiPriority w:val="0"/>
    <w:qFormat/>
    <w:pPr>
      <w:ind w:firstLine="200"/>
      <w:jc w:val="both"/>
      <w:spacing w:line="360" w:lineRule="auto"/>
      <w:widowControl w:val="off"/>
    </w:pPr>
    <w:rPr>
      <w:rFonts w:hint="default" w:ascii="Calibri" w:hAnsi="Calibri" w:eastAsia="仿宋_GB2312" w:cs="Times New Roman"/>
      <w:sz w:val="24"/>
      <w:lang w:val="en-US" w:eastAsia="zh-CN" w:bidi="ar-SA"/>
    </w:rPr>
  </w:style>
  <w:style w:type="paragraph" w:styleId="1035" w:customStyle="1">
    <w:name w:val="纯文本1111"/>
    <w:basedOn w:val="741"/>
    <w:uiPriority w:val="0"/>
    <w:qFormat/>
    <w:rPr>
      <w:rFonts w:ascii="宋体" w:hAnsi="Courier New"/>
    </w:rPr>
  </w:style>
  <w:style w:type="paragraph" w:styleId="1036" w:customStyle="1">
    <w:name w:val="纯文本2"/>
    <w:basedOn w:val="741"/>
    <w:uiPriority w:val="0"/>
    <w:qFormat/>
    <w:rPr>
      <w:rFonts w:ascii="宋体" w:hAnsi="Courier New"/>
    </w:rPr>
  </w:style>
  <w:style w:type="character" w:styleId="1037" w:customStyle="1">
    <w:name w:val="font61"/>
    <w:uiPriority w:val="0"/>
    <w:qFormat/>
    <w:rPr>
      <w:rFonts w:hint="eastAsia" w:ascii="宋体" w:hAnsi="宋体" w:eastAsia="宋体" w:cs="宋体"/>
      <w:color w:val="000000"/>
      <w:sz w:val="21"/>
      <w:szCs w:val="21"/>
      <w:u w:val="none"/>
    </w:rPr>
  </w:style>
  <w:style w:type="paragraph" w:styleId="1038" w:customStyle="1">
    <w:name w:val="列出段落11"/>
    <w:basedOn w:val="741"/>
    <w:uiPriority w:val="99"/>
    <w:qFormat/>
    <w:pPr>
      <w:ind w:firstLine="420"/>
    </w:pPr>
    <w:rPr>
      <w:rFonts w:ascii="Calibri" w:hAnsi="Calibri" w:cs="Calibri"/>
      <w:szCs w:val="22"/>
    </w:rPr>
  </w:style>
  <w:style w:type="paragraph" w:styleId="1039" w:customStyle="1">
    <w:name w:val="修订1"/>
    <w:uiPriority w:val="99"/>
    <w:unhideWhenUsed/>
    <w:qFormat/>
    <w:rPr>
      <w:rFonts w:hint="default" w:ascii="Times New Roman" w:hAnsi="Times New Roman" w:eastAsia="宋体" w:cs="Times New Roman"/>
      <w:sz w:val="24"/>
      <w:szCs w:val="24"/>
      <w:lang w:val="en-US" w:eastAsia="zh-CN" w:bidi="ar-SA"/>
    </w:rPr>
  </w:style>
  <w:style w:type="paragraph" w:styleId="1040" w:customStyle="1">
    <w:name w:val="Plain Text1"/>
    <w:basedOn w:val="741"/>
    <w:uiPriority w:val="0"/>
    <w:qFormat/>
    <w:rPr>
      <w:rFonts w:hint="eastAsia" w:hAnsi="Courier New" w:eastAsia="楷体_GB2312"/>
      <w:sz w:val="28"/>
    </w:rPr>
  </w:style>
  <w:style w:type="paragraph" w:styleId="1041" w:customStyle="1">
    <w:name w:val="Acetate1"/>
    <w:basedOn w:val="741"/>
    <w:uiPriority w:val="0"/>
    <w:semiHidden/>
    <w:qFormat/>
    <w:rPr>
      <w:sz w:val="18"/>
      <w:szCs w:val="18"/>
    </w:rPr>
  </w:style>
  <w:style w:type="character" w:styleId="1042" w:customStyle="1">
    <w:name w:val="NormalCharacter1"/>
    <w:uiPriority w:val="0"/>
    <w:semiHidden/>
    <w:qFormat/>
  </w:style>
  <w:style w:type="character" w:styleId="1043" w:customStyle="1">
    <w:name w:val="font41"/>
    <w:basedOn w:val="974"/>
    <w:uiPriority w:val="0"/>
    <w:qFormat/>
    <w:rPr>
      <w:rFonts w:ascii="Times New Roman" w:hAnsi="Times New Roman" w:cs="Times New Roman"/>
      <w:b/>
      <w:bCs/>
      <w:color w:val="000000"/>
      <w:sz w:val="20"/>
      <w:szCs w:val="20"/>
      <w:u w:val="none"/>
    </w:rPr>
  </w:style>
  <w:style w:type="paragraph" w:styleId="1044" w:customStyle="1">
    <w:name w:val="BodyText1I1"/>
    <w:basedOn w:val="1045"/>
    <w:next w:val="741"/>
    <w:uiPriority w:val="0"/>
    <w:qFormat/>
    <w:pPr>
      <w:ind w:firstLine="420"/>
      <w:spacing w:after="120"/>
    </w:pPr>
    <w:rPr>
      <w:sz w:val="24"/>
    </w:rPr>
  </w:style>
  <w:style w:type="paragraph" w:styleId="1045" w:customStyle="1">
    <w:name w:val="BodyText1"/>
    <w:basedOn w:val="741"/>
    <w:uiPriority w:val="0"/>
    <w:qFormat/>
    <w:rPr>
      <w:sz w:val="32"/>
    </w:rPr>
  </w:style>
  <w:style w:type="paragraph" w:styleId="1046">
    <w:name w:val="No Spacing"/>
    <w:uiPriority w:val="1"/>
    <w:qFormat/>
    <w:rPr>
      <w:rFonts w:hint="default" w:ascii="Calibri" w:hAnsi="Calibri" w:eastAsia="宋体" w:cs="Times New Roman"/>
      <w:sz w:val="22"/>
      <w:szCs w:val="22"/>
      <w:lang w:val="en-US" w:eastAsia="zh-CN" w:bidi="ar-SA"/>
    </w:rPr>
  </w:style>
  <w:style w:type="paragraph" w:styleId="1047" w:customStyle="1">
    <w:name w:val="Default"/>
    <w:uiPriority w:val="0"/>
    <w:qFormat/>
    <w:pPr>
      <w:widowControl w:val="off"/>
    </w:pPr>
    <w:rPr>
      <w:rFonts w:hint="default" w:ascii="Times New Roman" w:hAnsi="Times New Roman" w:eastAsia="宋体" w:cs="Calibri"/>
      <w:color w:val="000000"/>
      <w:sz w:val="24"/>
      <w:szCs w:val="24"/>
      <w:lang w:val="en-US" w:eastAsia="zh-CN" w:bidi="ar-SA"/>
    </w:rPr>
  </w:style>
  <w:style w:type="paragraph" w:styleId="1048" w:customStyle="1">
    <w:name w:val="Table Text"/>
    <w:basedOn w:val="741"/>
    <w:uiPriority w:val="0"/>
    <w:semiHidden/>
    <w:qFormat/>
    <w:rPr>
      <w:rFonts w:ascii="宋体" w:hAnsi="宋体" w:cs="宋体"/>
      <w:sz w:val="19"/>
      <w:szCs w:val="19"/>
      <w:lang w:eastAsia="en-US"/>
    </w:rPr>
  </w:style>
  <w:style w:type="table" w:styleId="1049" w:customStyle="1">
    <w:name w:val="Table Normal"/>
    <w:uiPriority w:val="0"/>
    <w:unhideWhenUsed/>
    <w:qFormat/>
    <w:tblPr>
      <w:tblCellMar>
        <w:left w:w="0" w:type="dxa"/>
        <w:top w:w="0" w:type="dxa"/>
        <w:right w:w="0" w:type="dxa"/>
        <w:bottom w:w="0" w:type="dxa"/>
      </w:tblCellMar>
    </w:tblPr>
  </w:style>
  <w:style w:type="numbering" w:styleId="105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随</dc:creator>
  <cp:lastModifiedBy>王佳静</cp:lastModifiedBy>
  <cp:revision>8</cp:revision>
  <dcterms:created xsi:type="dcterms:W3CDTF">2026-03-24T03:07:00Z</dcterms:created>
  <dcterms:modified xsi:type="dcterms:W3CDTF">2026-04-23T06:30:51Z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73B050CB34254D34845C80E5266DFFE4_13</vt:lpwstr>
  </property>
  <property fmtid="{D5CDD505-2E9C-101B-9397-08002B2CF9AE}" pid="4" name="KSOTemplateDocerSaveRecord">
    <vt:lpwstr>eyJoZGlkIjoiNzEzMTllZmM0YzJlMzgyY2RlM2ViMDc0Mjc3OTdkOGQiLCJ1c2VySWQiOiIxMDAzNzk0ODM2In0=</vt:lpwstr>
  </property>
</Properties>
</file>