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pStyle w:val="1087"/>
        <w:ind w:firstLine="0"/>
        <w:jc w:val="center"/>
        <w:rPr>
          <w:rFonts w:hint="eastAsia" w:eastAsia="黑体"/>
          <w:b/>
          <w:bCs/>
          <w:color w:val="auto"/>
          <w:sz w:val="84"/>
          <w:highlight w:val="none"/>
        </w:rPr>
      </w:pPr>
      <w:r>
        <w:rPr>
          <w:rFonts w:hint="eastAsia" w:eastAsia="黑体"/>
          <w:b/>
          <w:bCs/>
          <w:color w:val="auto"/>
          <w:sz w:val="84"/>
          <w:highlight w:val="none"/>
        </w:rPr>
      </w:r>
      <w:r/>
    </w:p>
    <w:p>
      <w:pPr>
        <w:pStyle w:val="1087"/>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eastAsia" w:ascii="宋体" w:hAnsi="宋体" w:eastAsiaTheme="minorEastAsia"/>
          <w:bCs/>
          <w:color w:val="auto"/>
          <w:sz w:val="32"/>
          <w:szCs w:val="32"/>
          <w:highlight w:val="none"/>
          <w:lang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名称</w:t>
      </w:r>
      <w:r>
        <w:rPr>
          <w:rFonts w:hint="eastAsia" w:ascii="宋体" w:hAnsi="宋体"/>
          <w:bCs/>
          <w:color w:val="auto"/>
          <w:sz w:val="32"/>
          <w:szCs w:val="32"/>
          <w:highlight w:val="none"/>
          <w:lang w:eastAsia="zh-CN"/>
        </w:rPr>
        <w:t xml:space="preserve">：连云港市市区城市污水处理厂污泥好氧堆肥资源化利用处置服务（专门面向中小企业项目）二次</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default" w:ascii="宋体" w:hAnsi="宋体" w:eastAsia="宋体"/>
          <w:bCs/>
          <w:color w:val="auto"/>
          <w:sz w:val="32"/>
          <w:szCs w:val="32"/>
          <w:highlight w:val="none"/>
          <w:lang w:val="en-US"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编号：</w:t>
      </w:r>
      <w:r>
        <w:rPr>
          <w:rFonts w:hint="eastAsia" w:ascii="宋体" w:hAnsi="宋体"/>
          <w:bCs/>
          <w:color w:val="auto"/>
          <w:sz w:val="32"/>
          <w:szCs w:val="32"/>
          <w:highlight w:val="none"/>
          <w:lang w:eastAsia="zh-CN"/>
        </w:rPr>
        <w:t xml:space="preserve">JSZC-320700-JSJY-G2026-0021</w:t>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江苏建友兴业工程项目管理有限公司</w:t>
      </w:r>
      <w:r/>
    </w:p>
    <w:p>
      <w:pPr>
        <w:jc w:val="center"/>
        <w:rPr>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Arial" w:hAnsi="Arial" w:eastAsia="宋体" w:cs="Times New Roman"/>
          <w:b/>
          <w:bCs/>
          <w:color w:val="auto"/>
          <w:sz w:val="32"/>
          <w:szCs w:val="24"/>
          <w:highlight w:val="none"/>
          <w:u w:val="single"/>
        </w:rPr>
        <w:t xml:space="preserve">202</w:t>
      </w:r>
      <w:r>
        <w:rPr>
          <w:rFonts w:hint="eastAsia" w:ascii="Arial" w:hAnsi="Arial" w:eastAsia="宋体" w:cs="Times New Roman"/>
          <w:b/>
          <w:bCs/>
          <w:color w:val="auto"/>
          <w:sz w:val="32"/>
          <w:szCs w:val="24"/>
          <w:highlight w:val="none"/>
          <w:u w:val="singl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white"/>
          <w:u w:val="single"/>
          <w:lang w:val="en-US" w:eastAsia="zh-CN"/>
        </w:rPr>
        <w:t xml:space="preserve"> </w:t>
      </w:r>
      <w:r>
        <w:rPr>
          <w:rFonts w:hint="eastAsia" w:ascii="Arial" w:hAnsi="Arial" w:eastAsia="宋体" w:cs="Times New Roman"/>
          <w:b/>
          <w:bCs/>
          <w:color w:val="auto"/>
          <w:sz w:val="32"/>
          <w:szCs w:val="24"/>
          <w:highlight w:val="white"/>
          <w:u w:val="single"/>
          <w:lang w:val="en-US" w:eastAsia="zh-CN"/>
        </w:rPr>
        <w:t xml:space="preserve">05</w:t>
      </w:r>
      <w:r>
        <w:rPr>
          <w:rFonts w:hint="eastAsia" w:ascii="Arial" w:hAnsi="Arial" w:eastAsia="宋体" w:cs="Times New Roman"/>
          <w:b/>
          <w:bCs/>
          <w:color w:val="auto"/>
          <w:sz w:val="32"/>
          <w:szCs w:val="24"/>
          <w:highlight w:val="white"/>
        </w:rPr>
        <w:t xml:space="preserve">月</w:t>
      </w:r>
      <w:r>
        <w:rPr>
          <w:rFonts w:hint="eastAsia" w:ascii="Arial" w:hAnsi="Arial" w:eastAsia="宋体" w:cs="Times New Roman"/>
          <w:b/>
          <w:bCs/>
          <w:color w:val="auto"/>
          <w:sz w:val="32"/>
          <w:szCs w:val="24"/>
          <w:highlight w:val="white"/>
          <w:u w:val="single"/>
          <w:lang w:val="en-US" w:eastAsia="zh-CN"/>
        </w:rPr>
        <w:t xml:space="preserve"> </w:t>
      </w:r>
      <w:r>
        <w:rPr>
          <w:rFonts w:hint="eastAsia" w:ascii="Arial" w:hAnsi="Arial" w:eastAsia="宋体" w:cs="Times New Roman"/>
          <w:b/>
          <w:bCs/>
          <w:color w:val="auto"/>
          <w:sz w:val="32"/>
          <w:szCs w:val="24"/>
          <w:highlight w:val="white"/>
          <w:u w:val="single"/>
          <w:lang w:val="en-US" w:eastAsia="zh-CN"/>
        </w:rPr>
        <w:t xml:space="preserve">18</w:t>
      </w:r>
      <w:r>
        <w:rPr>
          <w:rFonts w:hint="eastAsia"/>
          <w:b/>
          <w:bCs/>
          <w:color w:val="auto"/>
          <w:sz w:val="32"/>
          <w:highlight w:val="white"/>
        </w:rPr>
        <w:t xml:space="preserve">日</w:t>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1"/>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lang w:eastAsia="zh-CN"/>
        </w:rPr>
        <w:t xml:space="preserve">投标人</w:t>
      </w:r>
      <w:r>
        <w:rPr>
          <w:rFonts w:hint="eastAsia" w:ascii="黑体" w:hAnsi="宋体" w:eastAsia="黑体"/>
          <w:bCs/>
          <w:color w:val="auto"/>
          <w:sz w:val="36"/>
          <w:szCs w:val="36"/>
          <w:highlight w:val="none"/>
        </w:rPr>
        <w:t xml:space="preserve">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7</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24</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30</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32</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34</w:t>
      </w:r>
      <w:r/>
    </w:p>
    <w:p>
      <w:pPr>
        <w:pStyle w:val="1078"/>
        <w:tabs>
          <w:tab w:val="right" w:pos="8296" w:leader="dot"/>
        </w:tabs>
        <w:rPr>
          <w:color w:val="auto"/>
          <w:sz w:val="32"/>
          <w:highlight w:val="none"/>
        </w:rPr>
      </w:pPr>
      <w:r>
        <w:rPr>
          <w:color w:val="auto"/>
          <w:sz w:val="32"/>
          <w:highlight w:val="none"/>
        </w:rPr>
      </w:r>
      <w:r/>
    </w:p>
    <w:p>
      <w:pPr>
        <w:jc w:val="left"/>
        <w:widowControl/>
        <w:rPr>
          <w:color w:val="auto"/>
          <w:highlight w:val="none"/>
        </w:rPr>
      </w:pPr>
      <w:r>
        <w:rPr>
          <w:color w:val="auto"/>
          <w:highlight w:val="none"/>
        </w:rPr>
        <w:fldChar w:fldCharType="end"/>
      </w:r>
      <w:r>
        <w:rPr>
          <w:color w:val="auto"/>
          <w:highlight w:val="none"/>
        </w:rPr>
        <w:br w:type="page" w:clear="all"/>
      </w:r>
      <w:r/>
    </w:p>
    <w:p>
      <w:pPr>
        <w:pStyle w:val="1063"/>
        <w:jc w:val="center"/>
        <w:spacing w:before="156" w:after="156" w:line="360" w:lineRule="auto"/>
        <w:rPr>
          <w:rFonts w:ascii="黑体" w:hAnsi="黑体" w:eastAsia="黑体"/>
          <w:b w:val="0"/>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1063"/>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第一章投标邀请</w:t>
      </w:r>
      <w:bookmarkEnd w:id="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受采购人的委托，</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连云港市市区城市污水处理厂污泥好氧堆肥资源化利用处置服务（专门面向中小企业项目）二次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JSZC-320700-JSJY-G2026-0021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tbl>
      <w:tblPr>
        <w:tblStyle w:val="1080"/>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项目概况</w:t>
            </w:r>
            <w:r>
              <w:rPr>
                <w:highlight w:val="white"/>
              </w:rPr>
            </w: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连云港市市区城市污水处理厂污泥好氧堆肥资源化利用处置服务（专门面向中小企业项目）二次</w:t>
            </w:r>
            <w:r>
              <w:rPr>
                <w:rFonts w:hint="eastAsia" w:ascii="宋体" w:hAnsi="宋体" w:eastAsia="宋体" w:cs="宋体"/>
                <w:color w:val="auto"/>
                <w:sz w:val="24"/>
                <w:szCs w:val="24"/>
                <w:highlight w:val="white"/>
              </w:rPr>
              <w:t xml:space="preserve">招标项目的潜在</w:t>
            </w:r>
            <w:r>
              <w:rPr>
                <w:rFonts w:hint="eastAsia" w:ascii="宋体" w:hAnsi="宋体" w:eastAsia="宋体" w:cs="宋体"/>
                <w:color w:val="auto"/>
                <w:sz w:val="24"/>
                <w:szCs w:val="24"/>
                <w:highlight w:val="white"/>
                <w:lang w:eastAsia="zh-CN"/>
              </w:rPr>
              <w:t xml:space="preserve">投标人</w:t>
            </w:r>
            <w:r>
              <w:rPr>
                <w:rFonts w:hint="eastAsia" w:ascii="宋体" w:hAnsi="宋体" w:eastAsia="宋体" w:cs="宋体"/>
                <w:color w:val="auto"/>
                <w:sz w:val="24"/>
                <w:szCs w:val="24"/>
                <w:highlight w:val="white"/>
              </w:rPr>
              <w:t xml:space="preserve">可在“江苏政府采购网”自行免费下载招标文件，并于</w:t>
            </w:r>
            <w:r>
              <w:rPr>
                <w:rFonts w:hint="eastAsia" w:ascii="宋体" w:hAnsi="宋体" w:eastAsia="宋体" w:cs="宋体"/>
                <w:color w:val="auto"/>
                <w:sz w:val="24"/>
                <w:szCs w:val="24"/>
                <w:highlight w:val="white"/>
                <w:lang w:eastAsia="zh-CN"/>
              </w:rPr>
              <w:t xml:space="preserve">2026年</w:t>
            </w:r>
            <w:r>
              <w:rPr>
                <w:rFonts w:hint="eastAsia" w:ascii="宋体" w:hAnsi="宋体" w:eastAsia="宋体" w:cs="宋体"/>
                <w:color w:val="auto"/>
                <w:sz w:val="24"/>
                <w:szCs w:val="24"/>
                <w:highlight w:val="white"/>
                <w:lang w:val="en-US" w:eastAsia="zh-CN"/>
              </w:rPr>
              <w:t xml:space="preserve">06</w:t>
            </w:r>
            <w:r>
              <w:rPr>
                <w:rFonts w:hint="eastAsia" w:ascii="宋体" w:hAnsi="宋体" w:eastAsia="宋体" w:cs="宋体"/>
                <w:color w:val="auto"/>
                <w:sz w:val="24"/>
                <w:szCs w:val="24"/>
                <w:highlight w:val="white"/>
                <w:lang w:eastAsia="zh-CN"/>
              </w:rPr>
              <w:t xml:space="preserve">月</w:t>
            </w:r>
            <w:r>
              <w:rPr>
                <w:rFonts w:hint="eastAsia" w:ascii="宋体" w:hAnsi="宋体" w:eastAsia="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lang w:eastAsia="zh-CN"/>
              </w:rPr>
              <w:t xml:space="preserve">日</w:t>
            </w:r>
            <w:r>
              <w:rPr>
                <w:rFonts w:hint="eastAsia" w:ascii="宋体" w:hAnsi="宋体" w:eastAsia="宋体" w:cs="宋体"/>
                <w:color w:val="auto"/>
                <w:sz w:val="24"/>
                <w:szCs w:val="24"/>
                <w:highlight w:val="white"/>
                <w:lang w:val="en-US" w:eastAsia="zh-CN"/>
              </w:rPr>
              <w:t xml:space="preserve">09</w:t>
            </w:r>
            <w:r>
              <w:rPr>
                <w:rFonts w:hint="eastAsia" w:ascii="宋体" w:hAnsi="宋体" w:eastAsia="宋体" w:cs="宋体"/>
                <w:color w:val="auto"/>
                <w:sz w:val="24"/>
                <w:szCs w:val="24"/>
                <w:highlight w:val="white"/>
              </w:rPr>
              <w:t xml:space="preserve">:00:00（北京时间）前递交（上传）投标文件。</w:t>
            </w:r>
            <w:r>
              <w:rPr>
                <w:highlight w:val="white"/>
              </w:rPr>
            </w:r>
            <w:r/>
          </w:p>
        </w:tc>
      </w:tr>
    </w:tbl>
    <w:p>
      <w:pPr>
        <w:keepLines w:val="0"/>
        <w:keepNext w:val="0"/>
        <w:pageBreakBefore w:val="0"/>
        <w:spacing w:line="500" w:lineRule="exact"/>
        <w:widowControl w:val="off"/>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bidi="ar-SA"/>
        </w:rPr>
        <w:t xml:space="preserve">一、项目基本情况</w:t>
      </w:r>
      <w:r>
        <w:rPr>
          <w:highlight w:val="white"/>
        </w:rPr>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1.项目编号：JSZC-320700-JSJY-G2026-0021</w:t>
      </w:r>
      <w:r>
        <w:rPr>
          <w:highlight w:val="white"/>
        </w:rPr>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white"/>
          <w:lang w:val="en-US" w:eastAsia="zh-CN"/>
        </w:rPr>
        <w:t xml:space="preserve">2.项目名称：连云港市市区城市污水处理厂污泥好氧堆肥资源化</w:t>
      </w:r>
      <w:r>
        <w:rPr>
          <w:rFonts w:hint="eastAsia" w:ascii="宋体" w:hAnsi="宋体" w:eastAsia="宋体" w:cs="宋体"/>
          <w:color w:val="auto"/>
          <w:sz w:val="24"/>
          <w:szCs w:val="24"/>
          <w:highlight w:val="none"/>
          <w:lang w:val="en-US" w:eastAsia="zh-CN"/>
        </w:rPr>
        <w:t xml:space="preserve">利用处置服务（专门面向中小企业项目）二次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eastAsia="宋体" w:cs="Times New Roman"/>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190</w:t>
      </w:r>
      <w:r>
        <w:rPr>
          <w:rFonts w:hint="eastAsia" w:ascii="宋体" w:hAnsi="宋体" w:eastAsia="宋体" w:cs="Times New Roman"/>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80%、60%的污泥进行好氧堆肥资源化利用处置服务，以实现污泥的无害化处置。合同签订后10个工作日内提供服务，服务期为3年</w:t>
      </w:r>
      <w:r>
        <w:rPr>
          <w:rFonts w:hint="eastAsia" w:ascii="宋体" w:hAnsi="宋体" w:eastAsia="宋体" w:cs="宋体"/>
          <w:color w:val="auto"/>
          <w:sz w:val="24"/>
          <w:szCs w:val="24"/>
          <w:highlight w:val="none"/>
          <w:lang w:val="en-US" w:eastAsia="zh-CN"/>
        </w:rPr>
        <w:t xml:space="preserve">。具体内容详见招标文件第四章“项目需求”。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 三年。</w:t>
      </w:r>
      <w:r/>
    </w:p>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二、申请人的资格要求</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1.2.2025年度的财务状况报告（成立不满一年无需提供）；</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1.4.具备履行合同所必需的设备和专业技术能力的声明及证明材料；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（投标文件中无需提供证明材料）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3.落实政府采购政策需满足的资格要求：</w:t>
      </w:r>
      <w:r>
        <w:rPr>
          <w:rFonts w:hint="eastAsia" w:ascii="宋体" w:hAnsi="宋体" w:eastAsia="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4.本项目不接受联合体投标。</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供应商须为江苏企业“环保脸谱”（一企一档）管理信息系统入库企业(供应商提供加盖公章的网站截图)，或承诺成交后一个月内进入江苏企业“环保脸谱”（一企一档）管理信息系统（提供承诺函，格式自拟）。如供应商未进入管理信息系统导致无法承接工作的，采购人将终止合同并清退出场，采购人因此受到损失的，供应商承担赔偿责任。</w:t>
      </w:r>
      <w:r/>
    </w:p>
    <w:p>
      <w:pPr>
        <w:ind w:firstLine="480"/>
        <w:jc w:val="left"/>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（2）法律、法规规定的其他条件。</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三、获取招标文件</w:t>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lang w:val="en-US" w:eastAsia="zh-CN"/>
        </w:rPr>
        <w:t xml:space="preserve">1、时间：202</w:t>
      </w:r>
      <w:r>
        <w:rPr>
          <w:rFonts w:hint="eastAsia" w:ascii="宋体" w:hAnsi="宋体" w:eastAsia="宋体" w:cs="宋体"/>
          <w:color w:val="auto"/>
          <w:sz w:val="24"/>
          <w:szCs w:val="24"/>
          <w:highlight w:val="white"/>
          <w:lang w:val="en-US" w:eastAsia="zh-CN"/>
        </w:rPr>
        <w:t xml:space="preserve">6年</w:t>
      </w:r>
      <w:r>
        <w:rPr>
          <w:rFonts w:hint="eastAsia" w:ascii="宋体" w:hAnsi="宋体" w:eastAsia="宋体" w:cs="宋体"/>
          <w:color w:val="auto"/>
          <w:sz w:val="24"/>
          <w:szCs w:val="24"/>
          <w:highlight w:val="white"/>
          <w:lang w:val="en-US" w:eastAsia="zh-CN"/>
        </w:rPr>
        <w:t xml:space="preserve">05月19日</w:t>
      </w:r>
      <w:r>
        <w:rPr>
          <w:rFonts w:hint="eastAsia" w:ascii="宋体" w:hAnsi="宋体" w:eastAsia="宋体" w:cs="宋体"/>
          <w:color w:val="auto"/>
          <w:sz w:val="24"/>
          <w:szCs w:val="24"/>
          <w:highlight w:val="white"/>
          <w:lang w:val="en-US" w:eastAsia="zh-CN"/>
        </w:rPr>
        <w:t xml:space="preserve">至2026年</w:t>
      </w:r>
      <w:r>
        <w:rPr>
          <w:rFonts w:hint="eastAsia" w:ascii="宋体" w:hAnsi="宋体" w:eastAsia="宋体" w:cs="宋体"/>
          <w:color w:val="auto"/>
          <w:sz w:val="24"/>
          <w:szCs w:val="24"/>
          <w:highlight w:val="white"/>
          <w:lang w:val="en-US" w:eastAsia="zh-CN"/>
        </w:rPr>
        <w:t xml:space="preserve">05月26日</w:t>
      </w:r>
      <w:r>
        <w:rPr>
          <w:rFonts w:hint="eastAsia" w:ascii="宋体" w:hAnsi="宋体" w:eastAsia="宋体" w:cs="宋体"/>
          <w:color w:val="auto"/>
          <w:sz w:val="24"/>
          <w:szCs w:val="24"/>
          <w:highlight w:val="white"/>
          <w:lang w:val="en-US" w:eastAsia="zh-CN"/>
        </w:rPr>
        <w:t xml:space="preserve">23时59分止（北京时间）。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2、地点：“江苏政府采购网”自行免费下载招标文件。</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3、方式：登录“苏采云”政府采购交易系统，自行下载。</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4、售价：0.00元</w:t>
      </w:r>
      <w:r>
        <w:rPr>
          <w:highlight w:val="white"/>
        </w:rPr>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white"/>
        </w:rPr>
      </w:pPr>
      <w:r>
        <w:rPr>
          <w:rFonts w:hint="eastAsia" w:ascii="Times New Roman" w:hAnsi="Times New Roman" w:eastAsia="宋体" w:cs="Times New Roman"/>
          <w:b/>
          <w:bCs/>
          <w:color w:val="auto"/>
          <w:sz w:val="32"/>
          <w:szCs w:val="32"/>
          <w:highlight w:val="white"/>
          <w:lang w:val="en-US" w:eastAsia="zh-CN" w:bidi="ar-SA"/>
        </w:rPr>
        <w:t xml:space="preserve">四、投标文件提交</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1.提交投标文件截止时间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截止时间：2026年</w:t>
      </w:r>
      <w:r>
        <w:rPr>
          <w:rFonts w:hint="eastAsia" w:ascii="宋体" w:hAnsi="宋体" w:eastAsia="宋体" w:cs="宋体"/>
          <w:color w:val="auto"/>
          <w:sz w:val="24"/>
          <w:szCs w:val="24"/>
          <w:highlight w:val="white"/>
          <w:lang w:val="en-US" w:eastAsia="zh-CN"/>
        </w:rPr>
        <w:t xml:space="preserve">06月11日</w:t>
      </w:r>
      <w:r>
        <w:rPr>
          <w:rFonts w:hint="eastAsia" w:ascii="宋体" w:hAnsi="宋体" w:eastAsia="宋体" w:cs="宋体"/>
          <w:color w:val="auto"/>
          <w:sz w:val="24"/>
          <w:szCs w:val="24"/>
          <w:highlight w:val="white"/>
          <w:lang w:val="en-US" w:eastAsia="zh-CN"/>
        </w:rPr>
        <w:t xml:space="preserve">09时00分（北京时间）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地点：“苏采云”政府采购交易系统网上开标大厅</w:t>
      </w:r>
      <w:r>
        <w:rPr>
          <w:highlight w:val="white"/>
        </w:rPr>
      </w:r>
      <w:r/>
    </w:p>
    <w:p>
      <w:pPr>
        <w:numPr>
          <w:ilvl w:val="0"/>
          <w:numId w:val="2"/>
        </w:num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white"/>
        </w:rPr>
      </w:pPr>
      <w:r>
        <w:rPr>
          <w:rFonts w:hint="eastAsia" w:ascii="Times New Roman" w:hAnsi="Times New Roman" w:eastAsia="宋体" w:cs="Times New Roman"/>
          <w:b/>
          <w:bCs/>
          <w:color w:val="auto"/>
          <w:sz w:val="32"/>
          <w:szCs w:val="32"/>
          <w:highlight w:val="none"/>
          <w:lang w:val="en-US" w:eastAsia="zh-CN" w:bidi="ar-SA"/>
        </w:rPr>
        <w:t xml:space="preserve">开启</w:t>
      </w:r>
      <w:bookmarkStart w:id="23" w:name="_GoBack"/>
      <w:r>
        <w:rPr>
          <w:highlight w:val="white"/>
        </w:rPr>
      </w:r>
      <w:bookmarkEnd w:id="23"/>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时间：2026年</w:t>
      </w:r>
      <w:r>
        <w:rPr>
          <w:rFonts w:hint="eastAsia" w:ascii="宋体" w:hAnsi="宋体" w:eastAsia="宋体" w:cs="宋体"/>
          <w:color w:val="auto"/>
          <w:sz w:val="24"/>
          <w:szCs w:val="24"/>
          <w:highlight w:val="white"/>
          <w:lang w:val="en-US" w:eastAsia="zh-CN"/>
        </w:rPr>
        <w:t xml:space="preserve">06月11日</w:t>
      </w:r>
      <w:r>
        <w:rPr>
          <w:rFonts w:hint="eastAsia" w:ascii="宋体" w:hAnsi="宋体" w:eastAsia="宋体" w:cs="宋体"/>
          <w:color w:val="auto"/>
          <w:sz w:val="24"/>
          <w:szCs w:val="24"/>
          <w:highlight w:val="white"/>
          <w:lang w:val="en-US" w:eastAsia="zh-CN"/>
        </w:rPr>
        <w:t xml:space="preserve">09时00分（北京时间）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white"/>
          <w:lang w:val="en-US" w:eastAsia="zh-CN"/>
        </w:rPr>
        <w:t xml:space="preserve">地点：连云港市公共资源交易</w:t>
      </w:r>
      <w:r>
        <w:rPr>
          <w:rFonts w:hint="eastAsia" w:ascii="宋体" w:hAnsi="宋体" w:eastAsia="宋体" w:cs="宋体"/>
          <w:color w:val="auto"/>
          <w:sz w:val="24"/>
          <w:szCs w:val="24"/>
          <w:highlight w:val="none"/>
          <w:lang w:val="en-US" w:eastAsia="zh-CN"/>
        </w:rPr>
        <w:t xml:space="preserve">中心市区二楼开标</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六、公告期限</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七、其他补充事宜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1.本次招标不收取投标保证金。</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2.本招标文件中斜体且有下划线部分为实质性要求和条件，供应商须逐条做出满足实质性要求和条件的响应，否则将按无效响应处理。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both"/>
        <w:keepLines w:val="0"/>
        <w:keepNext w:val="0"/>
        <w:pageBreakBefore w:val="0"/>
        <w:spacing w:line="500" w:lineRule="exact"/>
        <w:widowControl w:val="off"/>
        <w:rPr>
          <w:rStyle w:val="108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1081"/>
          <w:rFonts w:hint="eastAsia" w:ascii="宋体" w:hAnsi="宋体" w:eastAsia="宋体" w:cs="宋体"/>
          <w:color w:val="auto"/>
          <w:sz w:val="24"/>
          <w:szCs w:val="24"/>
          <w:highlight w:val="none"/>
          <w:lang w:val="en-US" w:eastAsia="zh-CN"/>
        </w:rPr>
        <w:t xml:space="preserve">http://www.ccgp-jiangsu.gov.cn/jiangsu/zlxz</w:t>
      </w:r>
      <w:r/>
    </w:p>
    <w:p>
      <w:pPr>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Style w:val="1081"/>
          <w:rFonts w:hint="eastAsia" w:ascii="宋体" w:hAnsi="宋体" w:eastAsia="宋体" w:cs="宋体"/>
          <w:color w:val="auto"/>
          <w:sz w:val="24"/>
          <w:szCs w:val="24"/>
          <w:highlight w:val="none"/>
          <w:lang w:val="en-US" w:eastAsia="zh-CN"/>
        </w:rPr>
        <w:t xml:space="preserve">/ee/ee3a4bc5a3454a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a2b0d9312230633ce9.html</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5.如标书制作工具中格式和内容与“江苏政府采购网”发布的招标文件不一致，请以“江苏政府采购网”发布的招标文件为准。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七、对本次招标提出询问，请按以下方式联系</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名称：连云港市市政公用事业发展中心</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地址：连云港市海州区南极南路64号</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联系方式：0518-83086598  13675203736</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名称：江苏建友兴业工程项目管理有限公司</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地址：连云港市海州区凤凰大道2-13号四楼408</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联系人：宣工</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联系方式：0518-85816677   17751699355</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电话：0518-83086598</w:t>
      </w:r>
      <w:r/>
    </w:p>
    <w:p>
      <w:pPr>
        <w:ind w:firstLine="480"/>
        <w:jc w:val="left"/>
        <w:spacing w:line="500" w:lineRule="exact"/>
        <w:rPr>
          <w:rFonts w:hint="eastAsia" w:ascii="宋体" w:hAnsi="宋体" w:eastAsia="宋体" w:cs="宋体"/>
          <w:color w:val="auto"/>
          <w:sz w:val="24"/>
          <w:szCs w:val="24"/>
          <w:highlight w:val="none"/>
          <w:lang w:val="en-US" w:eastAsia="zh-CN"/>
        </w:rPr>
      </w:pPr>
      <w:r/>
      <w:bookmarkStart w:id="1" w:name="_Toc155796357"/>
      <w:r>
        <w:rPr>
          <w:rFonts w:hint="eastAsia" w:ascii="宋体" w:hAnsi="宋体" w:eastAsia="宋体" w:cs="宋体"/>
          <w:color w:val="auto"/>
          <w:sz w:val="24"/>
          <w:szCs w:val="24"/>
          <w:highlight w:val="none"/>
          <w:lang w:val="en-US" w:eastAsia="zh-CN"/>
        </w:rPr>
        <w:br w:type="page" w:clear="all"/>
      </w:r>
      <w:r/>
    </w:p>
    <w:p>
      <w:pPr>
        <w:pStyle w:val="1063"/>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 xml:space="preserve">投标人</w:t>
      </w:r>
      <w:r>
        <w:rPr>
          <w:rFonts w:hint="eastAsia" w:ascii="黑体" w:hAnsi="黑体" w:eastAsia="黑体"/>
          <w:b w:val="0"/>
          <w:color w:val="auto"/>
          <w:highlight w:val="none"/>
        </w:rPr>
        <w:t xml:space="preserve">须知</w:t>
      </w:r>
      <w:bookmarkEnd w:id="1"/>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1065"/>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1、招标方式</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1065"/>
        <w:ind w:firstLine="562"/>
        <w:jc w:val="left"/>
        <w:pageBreakBefore w:val="0"/>
        <w:spacing w:before="0" w:after="0" w:line="500" w:lineRule="exact"/>
        <w:widowControl w:val="off"/>
        <w:rPr>
          <w:rFonts w:hint="eastAsia" w:eastAsiaTheme="minorEastAsia"/>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2.3满足本招标文件全部实质性要求和条件的规定。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3.1本次招标及由此产生的合同受中华人民共和国有关的法律法规制约和保护。</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4.1</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应自行承担所有与参加投标有关的费用，无论投标过程中的做法和结果如何，采购人和</w:t>
      </w:r>
      <w:r>
        <w:rPr>
          <w:rFonts w:hint="eastAsia" w:eastAsia="宋体"/>
          <w:color w:val="auto"/>
          <w:sz w:val="24"/>
          <w:szCs w:val="24"/>
          <w:highlight w:val="none"/>
          <w:lang w:eastAsia="zh-CN"/>
        </w:rPr>
        <w:t xml:space="preserve">江苏建友兴业工程项目管理有限公司</w:t>
      </w:r>
      <w:r>
        <w:rPr>
          <w:rFonts w:hint="eastAsia"/>
          <w:color w:val="auto"/>
          <w:sz w:val="24"/>
          <w:szCs w:val="24"/>
          <w:highlight w:val="none"/>
        </w:rPr>
        <w:t xml:space="preserve">（</w:t>
      </w:r>
      <w:r>
        <w:rPr>
          <w:rFonts w:hint="eastAsia" w:eastAsia="宋体"/>
          <w:color w:val="auto"/>
          <w:sz w:val="24"/>
          <w:szCs w:val="24"/>
          <w:highlight w:val="none"/>
          <w:lang w:eastAsia="zh-CN"/>
        </w:rPr>
        <w:t xml:space="preserve">以下简称代理公司</w:t>
      </w:r>
      <w:r>
        <w:rPr>
          <w:rFonts w:hint="eastAsia"/>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4.2本次采购代理费按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在报价时应综合考虑以上相关费用，但不得单列。相关费用必须在中标公示后中标通知书发出前由中标人一次性付清。</w:t>
      </w:r>
      <w:r/>
    </w:p>
    <w:p>
      <w:pPr>
        <w:pStyle w:val="1065"/>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一旦参加本项目采购活动，即被认为接受了本招标文件的规定和约束。</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6.1招标文件由以下部分</w:t>
      </w:r>
      <w:r>
        <w:rPr>
          <w:rFonts w:hint="eastAsia" w:ascii="宋体" w:hAnsi="宋体"/>
          <w:color w:val="auto"/>
          <w:sz w:val="24"/>
          <w:highlight w:val="none"/>
        </w:rPr>
        <w:t xml:space="preserve">组成</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代理公司</w:t>
      </w:r>
      <w:r>
        <w:rPr>
          <w:rFonts w:hint="eastAsia"/>
          <w:color w:val="auto"/>
          <w:sz w:val="24"/>
          <w:szCs w:val="24"/>
          <w:highlight w:val="none"/>
        </w:rPr>
        <w:t xml:space="preserve">联系解决。</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 xml:space="preserve">投标人</w:t>
      </w:r>
      <w:r>
        <w:rPr>
          <w:rFonts w:hint="eastAsia"/>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7.1任何要求对招标文件进行澄清的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w:t>
      </w:r>
      <w:r>
        <w:rPr>
          <w:rFonts w:hint="eastAsia"/>
          <w:color w:val="auto"/>
          <w:sz w:val="24"/>
          <w:szCs w:val="24"/>
          <w:highlight w:val="none"/>
          <w:lang w:eastAsia="zh-CN"/>
        </w:rPr>
        <w:t xml:space="preserve">代理公司</w:t>
      </w:r>
      <w:r>
        <w:rPr>
          <w:rFonts w:hint="eastAsia"/>
          <w:color w:val="auto"/>
          <w:sz w:val="24"/>
          <w:szCs w:val="24"/>
          <w:highlight w:val="none"/>
        </w:rPr>
        <w:t xml:space="preserve">。</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8.1在投标截止时间前，采购人和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可以对招标文件进行修改。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有权按照法定的要求推迟投标截止日期和开标日期。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8.3招标文件的修改将在江苏政府采购网公布，补充文件将作为招标文件的组成部分，并对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w:t>
      </w:r>
      <w:r>
        <w:rPr>
          <w:rFonts w:hint="eastAsia"/>
          <w:color w:val="auto"/>
          <w:sz w:val="24"/>
          <w:szCs w:val="24"/>
          <w:highlight w:val="none"/>
          <w:lang w:eastAsia="zh-CN"/>
        </w:rPr>
        <w:t xml:space="preserve">及其他</w:t>
      </w:r>
      <w:r>
        <w:rPr>
          <w:rFonts w:hint="eastAsia"/>
          <w:color w:val="auto"/>
          <w:sz w:val="24"/>
          <w:szCs w:val="24"/>
          <w:highlight w:val="none"/>
        </w:rPr>
        <w:t xml:space="preserve">要求等内容逐条作出满足原要求和条件的响应。</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10.1除专用术语外，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编写的投标文件应包括资格证明文件、符合性证明文件、投标分项报价表、技术要求响应及偏离表（如有请提供）、商务要求响应及偏离表、其他证明文件、投标函、开标一览表等部分。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11.2如投标文件制作工具</w:t>
      </w:r>
      <w:r>
        <w:rPr>
          <w:rFonts w:hint="eastAsia"/>
          <w:color w:val="auto"/>
          <w:sz w:val="24"/>
          <w:szCs w:val="24"/>
          <w:highlight w:val="none"/>
          <w:lang w:eastAsia="zh-CN"/>
        </w:rPr>
        <w:t xml:space="preserve">中的</w:t>
      </w:r>
      <w:r>
        <w:rPr>
          <w:rFonts w:hint="eastAsia"/>
          <w:color w:val="auto"/>
          <w:sz w:val="24"/>
          <w:szCs w:val="24"/>
          <w:highlight w:val="none"/>
        </w:rPr>
        <w:t xml:space="preserve">格式和内容与江苏政府采购网发布的招标文件不一致，请以江苏政府采购网发布的招标文件为准。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12.2招标文件对证明文件无明确形式要求的，证明文件可以以文字资料、图纸和数据等形式提交。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w:t>
      </w:r>
      <w:r>
        <w:rPr>
          <w:rFonts w:hint="eastAsia"/>
          <w:color w:val="auto"/>
          <w:sz w:val="24"/>
          <w:szCs w:val="24"/>
          <w:highlight w:val="none"/>
          <w:lang w:eastAsia="zh-CN"/>
        </w:rPr>
        <w:t xml:space="preserve">规定</w:t>
      </w:r>
      <w:r>
        <w:rPr>
          <w:rFonts w:hint="eastAsia"/>
          <w:color w:val="auto"/>
          <w:sz w:val="24"/>
          <w:szCs w:val="24"/>
          <w:highlight w:val="none"/>
        </w:rPr>
        <w:t xml:space="preserve">格式及要求填写并附法定代表人（单位负责人）与委托代理人身份证明。</w:t>
      </w:r>
      <w:r/>
    </w:p>
    <w:p>
      <w:pPr>
        <w:pStyle w:val="1065"/>
        <w:ind w:firstLine="562"/>
        <w:jc w:val="left"/>
        <w:pageBreakBefore w:val="0"/>
        <w:spacing w:before="0" w:after="0" w:line="500" w:lineRule="exact"/>
        <w:widowControl w:val="off"/>
        <w:rPr>
          <w:color w:val="auto"/>
          <w:highlight w:val="none"/>
        </w:rPr>
      </w:pPr>
      <w:r>
        <w:rPr>
          <w:rFonts w:hint="eastAsia"/>
          <w:color w:val="auto"/>
          <w:sz w:val="28"/>
          <w:szCs w:val="28"/>
          <w:highlight w:val="none"/>
        </w:rPr>
        <w:t xml:space="preserve">13、投标分项报价表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投标人</w:t>
      </w:r>
      <w:r>
        <w:rPr>
          <w:rFonts w:hint="eastAsia"/>
          <w:color w:val="auto"/>
          <w:sz w:val="24"/>
          <w:szCs w:val="24"/>
          <w:highlight w:val="none"/>
        </w:rPr>
        <w:t xml:space="preserve">应根据投标报价要求在投标分项报价表中列明各项投标单价、总价等，未全部列示的作无效响应处理。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13.2投标文件中的单价和总价无特殊规定的采用人民币报价，以元为单位标注。招标文件中另有规定的按规定执行。</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需对招标文件中的技术要求与商务要求逐项作出响应或偏离。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15.1</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15.2</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需根据招标文件要求提供培训计划、人员安排等。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15.3</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需根据招标文件要求提供所投标</w:t>
      </w:r>
      <w:r>
        <w:rPr>
          <w:rFonts w:hint="eastAsia"/>
          <w:color w:val="auto"/>
          <w:sz w:val="24"/>
          <w:szCs w:val="24"/>
          <w:highlight w:val="none"/>
          <w:lang w:eastAsia="zh-CN"/>
        </w:rPr>
        <w:t xml:space="preserve">的主要</w:t>
      </w:r>
      <w:r>
        <w:rPr>
          <w:rFonts w:hint="eastAsia"/>
          <w:color w:val="auto"/>
          <w:sz w:val="24"/>
          <w:szCs w:val="24"/>
          <w:highlight w:val="none"/>
        </w:rPr>
        <w:t xml:space="preserve">组成部分、功能设计、实现思路及关键技术等。</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应按照招标文件中提供的格式完整、正确填写投标函、开标一览表。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17.1投标有效期为招标文件规定的开标之日后六十（60）天。投标有效期比规定短的将被视为未实质性响应招标文件而予以拒绝。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17.2在特殊情况下，</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18.1</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19.1</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自身原因造成电子投标文件递交（上传）不成功的按照本招标文件第二章第27.1条规定做无效投标处理。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拒绝接收在招标文件规定的投标截止时间后递交（上传）的任何投标文件。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21.1</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撤回电子投标文件的，则认为其不再参与本项目投标活动。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21.3在投标截止时间至招标文件中规定的投标有效期满之间的这段时间内，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22.1</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应当按时参加开标活动，并在“苏采云”系统规定的时间内对投标文件进行解密。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22.2开标仪式由</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22.3</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w:t>
      </w:r>
      <w:r>
        <w:rPr>
          <w:rFonts w:hint="eastAsia"/>
          <w:color w:val="auto"/>
          <w:sz w:val="24"/>
          <w:szCs w:val="24"/>
          <w:highlight w:val="none"/>
          <w:lang w:eastAsia="zh-CN"/>
        </w:rPr>
        <w:t xml:space="preserve">涉及的</w:t>
      </w:r>
      <w:r>
        <w:rPr>
          <w:rFonts w:hint="eastAsia"/>
          <w:color w:val="auto"/>
          <w:sz w:val="24"/>
          <w:szCs w:val="24"/>
          <w:highlight w:val="none"/>
        </w:rPr>
        <w:t xml:space="preserve">投标文件解密、开标结果确认等工作，应当按照《操作手册》规定执行。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22.4</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 xml:space="preserve">投标人</w:t>
      </w:r>
      <w:r>
        <w:rPr>
          <w:rFonts w:hint="eastAsia"/>
          <w:color w:val="auto"/>
          <w:sz w:val="24"/>
          <w:szCs w:val="24"/>
          <w:highlight w:val="none"/>
        </w:rPr>
        <w:t xml:space="preserve">在开、评标全过程中应保持通讯畅通，及时登录“苏采云”系统查阅、答复相关信息，并安排专人与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及评委会联系。</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23.1开标后，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将组织评委会进行评标。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23.2评委会由采购人代表和有关技术、经济等方面的评审专家组成，且人员构成符合政府采购有关规定。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23.3评委会按照采购文件规定的评审程序、评审方法和评审标准进行独立评审并确定中标候选人。</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24.1凡是与审查、澄清、评价和比较投标的有关资料以及</w:t>
      </w:r>
      <w:r>
        <w:rPr>
          <w:rFonts w:hint="eastAsia"/>
          <w:color w:val="auto"/>
          <w:sz w:val="24"/>
          <w:szCs w:val="24"/>
          <w:highlight w:val="none"/>
          <w:lang w:eastAsia="zh-CN"/>
        </w:rPr>
        <w:t xml:space="preserve">投标</w:t>
      </w:r>
      <w:r>
        <w:rPr>
          <w:rFonts w:hint="eastAsia"/>
          <w:color w:val="auto"/>
          <w:sz w:val="24"/>
          <w:szCs w:val="24"/>
          <w:highlight w:val="none"/>
        </w:rPr>
        <w:t xml:space="preserve">建议等，采购人、评审专家、</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24.2在评标过程中，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24.3</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24.4采用综合评分法的项目，未中标的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25.1评标期间，评委会对投标文件中含义不明确、同类问题表述不一致或者有明显文字和计算错误的内容，有权要求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w:t>
      </w:r>
      <w:r>
        <w:rPr>
          <w:rFonts w:hint="eastAsia"/>
          <w:color w:val="auto"/>
          <w:sz w:val="24"/>
          <w:szCs w:val="24"/>
          <w:highlight w:val="none"/>
          <w:lang w:eastAsia="zh-CN"/>
        </w:rPr>
        <w:t xml:space="preserve">表人</w:t>
      </w:r>
      <w:r>
        <w:rPr>
          <w:rFonts w:hint="eastAsia"/>
          <w:color w:val="auto"/>
          <w:sz w:val="24"/>
          <w:szCs w:val="24"/>
          <w:highlight w:val="none"/>
        </w:rPr>
        <w:t xml:space="preserve">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25.2需要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25.3接到评委会澄清、说明或者补正要求的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26、对投标文件的初审</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26.1投标文件初审分为资格审查和符合性审查。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500" w:lineRule="exact"/>
        <w:widowControl w:val="off"/>
        <w:rPr>
          <w:rFonts w:hint="eastAsia"/>
          <w:color w:val="auto"/>
          <w:sz w:val="24"/>
          <w:szCs w:val="24"/>
          <w:highlight w:val="none"/>
        </w:rPr>
      </w:pPr>
      <w:r>
        <w:rPr>
          <w:rFonts w:hint="eastAsia" w:ascii="宋体" w:hAnsi="宋体"/>
          <w:bCs/>
          <w:color w:val="auto"/>
          <w:sz w:val="24"/>
          <w:highlight w:val="none"/>
        </w:rPr>
        <w:t xml:space="preserve">采购人在进行资格性审查的同时，将在“信用中国”网</w:t>
      </w:r>
      <w:r>
        <w:rPr>
          <w:rFonts w:hint="eastAsia"/>
          <w:color w:val="auto"/>
          <w:sz w:val="24"/>
          <w:szCs w:val="24"/>
          <w:highlight w:val="none"/>
        </w:rPr>
        <w:t xml:space="preserve">（www.creditchina.gov.</w:t>
      </w:r>
      <w:r/>
    </w:p>
    <w:p>
      <w:pPr>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cn）、中国政府采购网（www.ccgp.gov.cn）查询</w:t>
      </w:r>
      <w:r>
        <w:rPr>
          <w:rFonts w:hint="eastAsia"/>
          <w:color w:val="auto"/>
          <w:sz w:val="24"/>
          <w:szCs w:val="24"/>
          <w:highlight w:val="none"/>
          <w:lang w:eastAsia="zh-CN"/>
        </w:rPr>
        <w:t xml:space="preserve">投标人</w:t>
      </w:r>
      <w:r>
        <w:rPr>
          <w:rFonts w:hint="eastAsia"/>
          <w:color w:val="auto"/>
          <w:sz w:val="24"/>
          <w:szCs w:val="24"/>
          <w:highlight w:val="none"/>
        </w:rPr>
        <w:t xml:space="preserve">的信用记录，以确定</w:t>
      </w:r>
      <w:r>
        <w:rPr>
          <w:rFonts w:hint="eastAsia"/>
          <w:color w:val="auto"/>
          <w:sz w:val="24"/>
          <w:szCs w:val="24"/>
          <w:highlight w:val="none"/>
          <w:lang w:eastAsia="zh-CN"/>
        </w:rPr>
        <w:t xml:space="preserve">投标人</w:t>
      </w:r>
      <w:r>
        <w:rPr>
          <w:rFonts w:hint="eastAsia"/>
          <w:color w:val="auto"/>
          <w:sz w:val="24"/>
          <w:szCs w:val="24"/>
          <w:highlight w:val="none"/>
        </w:rPr>
        <w:t xml:space="preserve">是否具备投标资格，查询结果留存并归档。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rFonts w:hint="eastAsia"/>
          <w:color w:val="auto"/>
          <w:sz w:val="24"/>
          <w:szCs w:val="24"/>
          <w:highlight w:val="none"/>
        </w:rPr>
        <w:t xml:space="preserve">，将在“苏采云”系统中告知其未通过资格审查或符合性审查的原因，评审结束后，将不再告知。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的权利或</w:t>
      </w:r>
      <w:r>
        <w:rPr>
          <w:rFonts w:hint="eastAsia"/>
          <w:color w:val="auto"/>
          <w:sz w:val="24"/>
          <w:szCs w:val="24"/>
          <w:highlight w:val="none"/>
          <w:lang w:eastAsia="zh-CN"/>
        </w:rPr>
        <w:t xml:space="preserve">投标人</w:t>
      </w:r>
      <w:r>
        <w:rPr>
          <w:rFonts w:hint="eastAsia"/>
          <w:color w:val="auto"/>
          <w:sz w:val="24"/>
          <w:szCs w:val="24"/>
          <w:highlight w:val="none"/>
        </w:rPr>
        <w:t xml:space="preserve">的义务，纠正这些偏离或保留将会对其他实质性响应要求的</w:t>
      </w:r>
      <w:r>
        <w:rPr>
          <w:rFonts w:hint="eastAsia"/>
          <w:color w:val="auto"/>
          <w:sz w:val="24"/>
          <w:szCs w:val="24"/>
          <w:highlight w:val="none"/>
          <w:lang w:eastAsia="zh-CN"/>
        </w:rPr>
        <w:t xml:space="preserve">投标人</w:t>
      </w:r>
      <w:r>
        <w:rPr>
          <w:rFonts w:hint="eastAsia"/>
          <w:color w:val="auto"/>
          <w:sz w:val="24"/>
          <w:szCs w:val="24"/>
          <w:highlight w:val="none"/>
        </w:rPr>
        <w:t xml:space="preserve">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不得通过修改或撤销不符合要求的偏离或保留而使其投标成为实质性响应的投标。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26.4评委会将对确定为实质性响应的投标进行进一步审核，看其是否有计算上或累加上的算术错误，修正错误的原则如下：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26.5评委会将按上述修正错误的方法调整投标文件中的投标报价，并通过“苏采云”系统告知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26.6采用最低评标价法的采购项目，提供相同品牌产品的不同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 xml:space="preserve">投标人</w:t>
      </w:r>
      <w:r>
        <w:rPr>
          <w:rFonts w:hint="eastAsia"/>
          <w:color w:val="auto"/>
          <w:sz w:val="24"/>
          <w:szCs w:val="24"/>
          <w:highlight w:val="none"/>
        </w:rPr>
        <w:t xml:space="preserve">，招标文件未规定的采取随机抽取方式确定，其他投标无效。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使用综合评分法的采购项目，提供相同品牌产品且通过资格审查、符合性审查的不同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参加同一合同项下投标的，按一家</w:t>
      </w:r>
      <w:r>
        <w:rPr>
          <w:rFonts w:hint="eastAsia"/>
          <w:color w:val="auto"/>
          <w:sz w:val="24"/>
          <w:szCs w:val="24"/>
          <w:highlight w:val="none"/>
          <w:lang w:eastAsia="zh-CN"/>
        </w:rPr>
        <w:t xml:space="preserve">投标人</w:t>
      </w:r>
      <w:r>
        <w:rPr>
          <w:rFonts w:hint="eastAsia"/>
          <w:color w:val="auto"/>
          <w:sz w:val="24"/>
          <w:szCs w:val="24"/>
          <w:highlight w:val="none"/>
        </w:rPr>
        <w:t xml:space="preserve">计算，评审后得分最高的同品牌</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获得中标人推荐资格；评审得分相同的，由评委员会按照招标文件规定的方式确定一个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获得中标人推荐资格，招标文件未规定的采取随机抽取方式确定，其他同品牌</w:t>
      </w:r>
      <w:r>
        <w:rPr>
          <w:rFonts w:hint="eastAsia"/>
          <w:color w:val="auto"/>
          <w:sz w:val="24"/>
          <w:szCs w:val="24"/>
          <w:highlight w:val="none"/>
          <w:lang w:eastAsia="zh-CN"/>
        </w:rPr>
        <w:t xml:space="preserve">投标人</w:t>
      </w:r>
      <w:r>
        <w:rPr>
          <w:rFonts w:hint="eastAsia"/>
          <w:color w:val="auto"/>
          <w:sz w:val="24"/>
          <w:szCs w:val="24"/>
          <w:highlight w:val="none"/>
        </w:rPr>
        <w:t xml:space="preserve">不作为中标候选人。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非单一产品采购项目，招标文件中将载明核心产品。多家</w:t>
      </w:r>
      <w:r>
        <w:rPr>
          <w:rFonts w:hint="eastAsia"/>
          <w:color w:val="auto"/>
          <w:sz w:val="24"/>
          <w:szCs w:val="24"/>
          <w:highlight w:val="none"/>
          <w:lang w:eastAsia="zh-CN"/>
        </w:rPr>
        <w:t xml:space="preserve">投标人</w:t>
      </w:r>
      <w:r>
        <w:rPr>
          <w:rFonts w:hint="eastAsia"/>
          <w:color w:val="auto"/>
          <w:sz w:val="24"/>
          <w:szCs w:val="24"/>
          <w:highlight w:val="none"/>
        </w:rPr>
        <w:t xml:space="preserve">提供的核心产品品牌相同的，按前两款规定处理。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27.1无效投标条款：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（7）评委会认为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w:t>
      </w:r>
      <w:r>
        <w:rPr>
          <w:rFonts w:hint="eastAsia"/>
          <w:color w:val="auto"/>
          <w:sz w:val="24"/>
          <w:szCs w:val="24"/>
          <w:highlight w:val="none"/>
          <w:lang w:eastAsia="zh-CN"/>
        </w:rPr>
        <w:t xml:space="preserve">查的投标人</w:t>
      </w:r>
      <w:r>
        <w:rPr>
          <w:rFonts w:hint="eastAsia"/>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不能证明其报价合理性的。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（8）不符合招标文件中规定的实质性要求和条件的（本招标文件中斜体且有下划线部分为实质性要求和条件）。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所投标产品不在强制采购范围内或者未按要求提供国家确定的认证机构出具的、处于有效期之内的节能产品认证证书的。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的投标文件相互混装。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27.3废标条款：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（1）因“苏采云”</w:t>
      </w:r>
      <w:r>
        <w:rPr>
          <w:rFonts w:hint="eastAsia"/>
          <w:color w:val="auto"/>
          <w:sz w:val="24"/>
          <w:szCs w:val="24"/>
          <w:highlight w:val="none"/>
          <w:lang w:eastAsia="zh-CN"/>
        </w:rPr>
        <w:t xml:space="preserve">系统故障</w:t>
      </w:r>
      <w:r>
        <w:rPr>
          <w:rFonts w:hint="eastAsia"/>
          <w:color w:val="auto"/>
          <w:sz w:val="24"/>
          <w:szCs w:val="24"/>
          <w:highlight w:val="none"/>
        </w:rPr>
        <w:t xml:space="preserve">原因造成开标不成功的。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（2）评委会认定招标文件存在歧义、重大缺陷导致评审工作无法进行的。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w:t>
      </w:r>
      <w:r>
        <w:rPr>
          <w:rFonts w:hint="eastAsia"/>
          <w:color w:val="auto"/>
          <w:sz w:val="24"/>
          <w:szCs w:val="24"/>
          <w:highlight w:val="none"/>
          <w:lang w:eastAsia="zh-CN"/>
        </w:rPr>
        <w:t xml:space="preserve">做</w:t>
      </w:r>
      <w:r>
        <w:rPr>
          <w:rFonts w:hint="eastAsia"/>
          <w:color w:val="auto"/>
          <w:sz w:val="24"/>
          <w:szCs w:val="24"/>
          <w:highlight w:val="none"/>
        </w:rPr>
        <w:t xml:space="preserve">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27.4出现投标截止时间结束后参加投标的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不足三家情况的，按照政府采购相关规定执行。</w:t>
      </w:r>
      <w:r/>
    </w:p>
    <w:p>
      <w:pPr>
        <w:ind w:firstLine="480"/>
        <w:pageBreakBefore w:val="0"/>
        <w:spacing w:line="360" w:lineRule="auto"/>
        <w:widowControl w:val="off"/>
        <w:rPr>
          <w:rFonts w:hint="eastAsia" w:ascii="宋体" w:hAnsi="宋体"/>
          <w:b/>
          <w:bCs w:val="0"/>
          <w:color w:val="auto"/>
          <w:sz w:val="24"/>
          <w:szCs w:val="21"/>
          <w:highlight w:val="none"/>
          <w:lang w:val="en-US" w:eastAsia="zh-CN"/>
        </w:rPr>
      </w:pPr>
      <w:r/>
      <w:bookmarkStart w:id="2" w:name="_Toc120614219"/>
      <w:r>
        <w:rPr>
          <w:rFonts w:hint="eastAsia" w:ascii="宋体" w:hAnsi="宋体"/>
          <w:b/>
          <w:bCs w:val="0"/>
          <w:color w:val="auto"/>
          <w:sz w:val="24"/>
          <w:szCs w:val="21"/>
          <w:highlight w:val="none"/>
          <w:lang w:val="en-US" w:eastAsia="zh-CN"/>
        </w:rPr>
        <w:t xml:space="preserve">27.5.政府采购异常低价审查：</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政府采购评审中出现下列情形之一的，评审委员会应当启动异常低价投标审查程序：</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0"/>
        <w:pageBreakBefore w:val="0"/>
        <w:spacing w:line="360" w:lineRule="auto"/>
        <w:widowControl w:val="off"/>
        <w:rPr>
          <w:rFonts w:hint="eastAsia" w:ascii="黑体" w:hAnsi="黑体" w:eastAsia="黑体"/>
          <w:b w:val="0"/>
          <w:color w:val="auto"/>
          <w:highlight w:val="none"/>
        </w:rPr>
      </w:pPr>
      <w:r>
        <w:rPr>
          <w:rFonts w:hint="eastAsia" w:ascii="宋体" w:hAnsi="宋体"/>
          <w:b w:val="0"/>
          <w:bCs/>
          <w:color w:val="auto"/>
          <w:sz w:val="24"/>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w:t>
      </w:r>
      <w:r>
        <w:rPr>
          <w:rFonts w:hint="eastAsia" w:ascii="宋体" w:hAnsi="宋体"/>
          <w:b w:val="0"/>
          <w:bCs/>
          <w:color w:val="auto"/>
          <w:sz w:val="24"/>
          <w:szCs w:val="21"/>
          <w:highlight w:val="none"/>
          <w:lang w:val="en-US" w:eastAsia="zh-CN"/>
        </w:rPr>
        <w:t xml:space="preserve">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val="0"/>
          <w:bCs/>
          <w:color w:val="auto"/>
          <w:sz w:val="24"/>
          <w:szCs w:val="21"/>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 xml:space="preserve">。</w:t>
      </w:r>
      <w:bookmarkEnd w:id="2"/>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28.1中标候选人的选取原则和数量详见招标文件第五章规定。</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28.2采购人应根据评委会推荐的中标候选人确定中标人。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28.3</w:t>
      </w:r>
      <w:r>
        <w:rPr>
          <w:rFonts w:hint="eastAsia"/>
          <w:color w:val="auto"/>
          <w:sz w:val="24"/>
          <w:szCs w:val="24"/>
          <w:highlight w:val="none"/>
          <w:lang w:eastAsia="zh-CN"/>
        </w:rPr>
        <w:t xml:space="preserve">代理公司</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28.4若有充分证据证明，中标人存在下列情形之一的，一经查实，将被取消中标资格：</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（1）提供虚假材料谋取中标的。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（2）向采购人、采购中心行贿或者提供其他不正当利益的。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（3）属于本文件规定的无效条件，但在评标过程中又未被评委会发现的。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（4）与采购人或者其他</w:t>
      </w:r>
      <w:r>
        <w:rPr>
          <w:rFonts w:hint="eastAsia"/>
          <w:color w:val="auto"/>
          <w:sz w:val="24"/>
          <w:szCs w:val="24"/>
          <w:highlight w:val="none"/>
          <w:lang w:eastAsia="zh-CN"/>
        </w:rPr>
        <w:t xml:space="preserve">投标人</w:t>
      </w:r>
      <w:r>
        <w:rPr>
          <w:rFonts w:hint="eastAsia"/>
          <w:color w:val="auto"/>
          <w:sz w:val="24"/>
          <w:szCs w:val="24"/>
          <w:highlight w:val="none"/>
        </w:rPr>
        <w:t xml:space="preserve">恶意串通的。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（5）采取不正当手段诋毁、排挤其他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.5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 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29.1 中标结果确定后，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各提供</w:t>
      </w:r>
      <w:r>
        <w:rPr>
          <w:rFonts w:hint="eastAsia" w:eastAsia="宋体"/>
          <w:b/>
          <w:bCs/>
          <w:color w:val="auto"/>
          <w:sz w:val="24"/>
          <w:szCs w:val="24"/>
          <w:highlight w:val="none"/>
          <w:lang w:eastAsia="zh-CN"/>
        </w:rPr>
        <w:t xml:space="preserve">一正</w:t>
      </w:r>
      <w:r>
        <w:rPr>
          <w:rFonts w:hint="eastAsia" w:eastAsia="宋体"/>
          <w:b/>
          <w:bCs/>
          <w:color w:val="auto"/>
          <w:sz w:val="24"/>
          <w:szCs w:val="24"/>
          <w:highlight w:val="none"/>
          <w:lang w:val="en-US" w:eastAsia="zh-CN"/>
        </w:rPr>
        <w:t xml:space="preserve">四副</w:t>
      </w:r>
      <w:r>
        <w:rPr>
          <w:rFonts w:hint="eastAsia"/>
          <w:color w:val="auto"/>
          <w:sz w:val="24"/>
          <w:szCs w:val="24"/>
          <w:highlight w:val="none"/>
        </w:rPr>
        <w:t xml:space="preserve">与电子投标文件一致的纸质打印胶装投标文件，封面、骑缝需加盖公章。</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30.2招标文件、中标人的投标文件及招标过程中有关澄清、承诺等文件均应作为合同附件。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33.1</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委托授权范围的，</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应当告知</w:t>
      </w:r>
      <w:r>
        <w:rPr>
          <w:rFonts w:hint="eastAsia"/>
          <w:color w:val="auto"/>
          <w:sz w:val="24"/>
          <w:szCs w:val="24"/>
          <w:highlight w:val="none"/>
          <w:lang w:eastAsia="zh-CN"/>
        </w:rPr>
        <w:t xml:space="preserve">投标人</w:t>
      </w:r>
      <w:r>
        <w:rPr>
          <w:rFonts w:hint="eastAsia"/>
          <w:color w:val="auto"/>
          <w:sz w:val="24"/>
          <w:szCs w:val="24"/>
          <w:highlight w:val="none"/>
        </w:rPr>
        <w:t xml:space="preserve">向采购人提出。</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34.1提出质疑的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34.2</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提出质疑。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未依照采购公告要求获取采购文件的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34.3提出质疑时，必须坚持“实事求是”的原则，不能臆测。属于须由法定部门调查、侦查或先行作出相关认定的事项，质疑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不具有法定调查、认定权限。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34.4质疑函的接收方式为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pStyle w:val="1065"/>
        <w:ind w:firstLine="562"/>
        <w:jc w:val="left"/>
        <w:pageBreakBefore w:val="0"/>
        <w:spacing w:before="0" w:after="0" w:line="500" w:lineRule="exact"/>
        <w:widowControl w:val="off"/>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不负责搜集必要的证明材料等工作。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35.2 对符合法定要求的质疑，采购人、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35.3 对不符合质疑要求的，采购人、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未在法定的时间内提供补充必要的证明材料的，视同放弃质疑。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（4）未参加采购活动的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组成联合体，联合体中任何一方或多方未按要求签字（盖章）、加盖公章的质疑。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35.5采购人、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依法受理的质疑，将按照政府采购有关规定，在法定期限内答复。</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36.1 质疑</w:t>
      </w:r>
      <w:r>
        <w:rPr>
          <w:rFonts w:hint="eastAsia"/>
          <w:color w:val="auto"/>
          <w:sz w:val="24"/>
          <w:szCs w:val="24"/>
          <w:highlight w:val="none"/>
          <w:lang w:eastAsia="zh-CN"/>
        </w:rPr>
        <w:t xml:space="preserve">投标人</w:t>
      </w:r>
      <w:r>
        <w:rPr>
          <w:rFonts w:hint="eastAsia"/>
          <w:color w:val="auto"/>
          <w:sz w:val="24"/>
          <w:szCs w:val="24"/>
          <w:highlight w:val="none"/>
        </w:rPr>
        <w:t xml:space="preserve">未按照法定程序进行质疑投诉的，视为一般失信行为。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36.2 质疑</w:t>
      </w:r>
      <w:r>
        <w:rPr>
          <w:rFonts w:hint="eastAsia"/>
          <w:color w:val="auto"/>
          <w:sz w:val="24"/>
          <w:szCs w:val="24"/>
          <w:highlight w:val="none"/>
          <w:lang w:eastAsia="zh-CN"/>
        </w:rPr>
        <w:t xml:space="preserve">投标人</w:t>
      </w:r>
      <w:r>
        <w:rPr>
          <w:rFonts w:hint="eastAsia"/>
          <w:color w:val="auto"/>
          <w:sz w:val="24"/>
          <w:szCs w:val="24"/>
          <w:highlight w:val="none"/>
        </w:rPr>
        <w:t xml:space="preserve">不配合或者采用不正当手段干扰政府采购质疑、投诉处理工作的，视为一般失信行为。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36.3 质疑</w:t>
      </w:r>
      <w:r>
        <w:rPr>
          <w:rFonts w:hint="eastAsia"/>
          <w:color w:val="auto"/>
          <w:sz w:val="24"/>
          <w:szCs w:val="24"/>
          <w:highlight w:val="none"/>
          <w:lang w:eastAsia="zh-CN"/>
        </w:rPr>
        <w:t xml:space="preserve">投标人</w:t>
      </w:r>
      <w:r>
        <w:rPr>
          <w:rFonts w:hint="eastAsia"/>
          <w:color w:val="auto"/>
          <w:sz w:val="24"/>
          <w:szCs w:val="24"/>
          <w:highlight w:val="none"/>
        </w:rPr>
        <w:t xml:space="preserve">投诉受理期间，就同一事项多头举报，干扰财政部门投诉处理的，视为一般失信行为。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36.4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在全国范围12个月内三次以上质疑查无实据的，视为一般失信行为。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36.5 质疑</w:t>
      </w:r>
      <w:r>
        <w:rPr>
          <w:rFonts w:hint="eastAsia"/>
          <w:color w:val="auto"/>
          <w:sz w:val="24"/>
          <w:szCs w:val="24"/>
          <w:highlight w:val="none"/>
          <w:lang w:eastAsia="zh-CN"/>
        </w:rPr>
        <w:t xml:space="preserve">投标人</w:t>
      </w:r>
      <w:r>
        <w:rPr>
          <w:rFonts w:hint="eastAsia"/>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36.6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在全国范围12个月内三次以上投诉查无实据的，视为严重失信行为。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36.7未尽事宜，依照有关法律、法规执行。</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37、促进中小企业发展</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（1）供应商为</w:t>
      </w:r>
      <w:r>
        <w:rPr>
          <w:rFonts w:hint="eastAsia" w:eastAsia="宋体"/>
          <w:color w:val="auto"/>
          <w:sz w:val="24"/>
          <w:szCs w:val="24"/>
          <w:highlight w:val="none"/>
          <w:lang w:val="en-US" w:eastAsia="zh-CN" w:bidi="ar-SA"/>
        </w:rPr>
        <w:t xml:space="preserve">中型企业、</w:t>
      </w:r>
      <w:r>
        <w:rPr>
          <w:rFonts w:hint="eastAsia" w:asciiTheme="minorHAnsi" w:eastAsiaTheme="minorEastAsia"/>
          <w:color w:val="auto"/>
          <w:sz w:val="24"/>
          <w:szCs w:val="24"/>
          <w:highlight w:val="none"/>
          <w:lang w:val="en-US" w:eastAsia="zh-CN" w:bidi="ar-SA"/>
        </w:rPr>
        <w:t xml:space="preserve">小型企业、微型企业的，提供《中小企业声明函》（第六章 投标文件格式）。</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r/>
    </w:p>
    <w:p>
      <w:pPr>
        <w:pStyle w:val="1092"/>
        <w:ind w:firstLine="562"/>
        <w:jc w:val="left"/>
        <w:spacing w:before="0" w:after="0" w:line="360" w:lineRule="auto"/>
        <w:rPr>
          <w:rFonts w:hint="default"/>
          <w:color w:val="auto"/>
          <w:sz w:val="28"/>
          <w:szCs w:val="28"/>
          <w:highlight w:val="none"/>
        </w:rPr>
      </w:pPr>
      <w:r>
        <w:rPr>
          <w:rFonts w:hint="eastAsia"/>
          <w:color w:val="auto"/>
          <w:sz w:val="28"/>
          <w:szCs w:val="28"/>
          <w:highlight w:val="none"/>
        </w:rPr>
        <w:t xml:space="preserve">38、政府采购中实施本国产品标准及相关政策</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heme="minorHAnsi" w:hAnsiTheme="minorHAnsi" w:eastAsiaTheme="minorEastAsia" w:cstheme="minorBidi"/>
          <w:b/>
          <w:bCs/>
          <w:color w:val="auto"/>
          <w:sz w:val="28"/>
          <w:szCs w:val="28"/>
          <w:highlight w:val="none"/>
          <w:lang w:val="en-US" w:eastAsia="zh-CN" w:bidi="ar-SA"/>
        </w:rPr>
        <w:outlineLvl w:val="2"/>
      </w:pPr>
      <w:r>
        <w:rPr>
          <w:rFonts w:hint="eastAsia" w:ascii="宋体" w:hAnsi="宋体" w:cs="宋体" w:eastAsiaTheme="minorEastAsia"/>
          <w:b w:val="0"/>
          <w:bCs/>
          <w:color w:val="auto"/>
          <w:sz w:val="24"/>
          <w:szCs w:val="24"/>
          <w:highlight w:val="none"/>
          <w:lang w:val="en-US" w:eastAsia="zh-CN" w:bidi="ar-SA"/>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39、支持绿色发展</w:t>
      </w:r>
      <w:r/>
    </w:p>
    <w:p>
      <w:pPr>
        <w:ind w:firstLine="480"/>
        <w:jc w:val="left"/>
        <w:spacing w:line="500" w:lineRule="exac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color w:val="auto"/>
          <w:sz w:val="24"/>
          <w:szCs w:val="24"/>
          <w:highlight w:val="none"/>
        </w:rPr>
      </w:pPr>
      <w:r>
        <w:rPr>
          <w:rFonts w:hint="eastAsia" w:asciiTheme="minorHAnsi" w:eastAsiaTheme="minorEastAsia"/>
          <w:color w:val="auto"/>
          <w:sz w:val="24"/>
          <w:szCs w:val="24"/>
          <w:highlight w:val="none"/>
          <w:lang w:val="en-US" w:eastAsia="zh-CN" w:bidi="ar-SA"/>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b w:val="0"/>
          <w:bCs w:val="0"/>
          <w:color w:val="auto"/>
          <w:sz w:val="24"/>
          <w:highlight w:val="none"/>
          <w:lang w:val="en-US" w:eastAsia="zh-CN" w:bidi="ar-SA"/>
        </w:rPr>
        <w:t xml:space="preserve">。</w:t>
      </w:r>
      <w:r>
        <w:rPr>
          <w:color w:val="auto"/>
          <w:sz w:val="24"/>
          <w:szCs w:val="24"/>
          <w:highlight w:val="none"/>
        </w:rPr>
        <w:br w:type="page" w:clear="all"/>
      </w:r>
      <w:r/>
    </w:p>
    <w:p>
      <w:pPr>
        <w:pStyle w:val="1063"/>
        <w:jc w:val="center"/>
        <w:spacing w:before="156" w:after="156" w:line="360" w:lineRule="auto"/>
        <w:rPr>
          <w:rFonts w:ascii="黑体" w:hAnsi="黑体" w:eastAsia="黑体"/>
          <w:b w:val="0"/>
          <w:color w:val="auto"/>
          <w:highlight w:val="none"/>
        </w:rPr>
      </w:pPr>
      <w:r/>
      <w:bookmarkStart w:id="3" w:name="_Toc155796358"/>
      <w:r>
        <w:rPr>
          <w:rFonts w:hint="eastAsia" w:ascii="黑体" w:hAnsi="黑体" w:eastAsia="黑体"/>
          <w:b w:val="0"/>
          <w:color w:val="auto"/>
          <w:highlight w:val="none"/>
        </w:rPr>
        <w:t xml:space="preserve">第三章合同文本</w:t>
      </w:r>
      <w:bookmarkEnd w:id="3"/>
      <w:r/>
      <w:r/>
    </w:p>
    <w:p>
      <w:pPr>
        <w:jc w:val="both"/>
        <w:spacing w:line="1000" w:lineRule="exact"/>
        <w:rPr>
          <w:rFonts w:ascii="宋体" w:hAnsi="宋体" w:cs="宋体"/>
          <w:b/>
          <w:bCs/>
          <w:color w:val="auto"/>
          <w:sz w:val="48"/>
          <w:szCs w:val="48"/>
          <w:highlight w:val="none"/>
        </w:rPr>
      </w:pPr>
      <w:r>
        <w:rPr>
          <w:rFonts w:ascii="宋体" w:hAnsi="宋体" w:cs="宋体"/>
          <w:b/>
          <w:bCs/>
          <w:color w:val="auto"/>
          <w:sz w:val="48"/>
          <w:szCs w:val="48"/>
          <w:highlight w:val="none"/>
        </w:rPr>
      </w:r>
      <w:r/>
    </w:p>
    <w:p>
      <w:pPr>
        <w:jc w:val="center"/>
        <w:spacing w:line="360" w:lineRule="auto"/>
        <w:rPr>
          <w:rFonts w:ascii="宋体" w:hAnsi="宋体" w:eastAsia="宋体" w:cs="Times New Roman"/>
          <w:b/>
          <w:bCs/>
          <w:color w:val="auto"/>
          <w:sz w:val="52"/>
          <w:szCs w:val="24"/>
          <w:highlight w:val="none"/>
        </w:rPr>
      </w:pPr>
      <w:r>
        <w:rPr>
          <w:rFonts w:ascii="宋体" w:hAnsi="宋体" w:eastAsia="宋体" w:cs="Times New Roman"/>
          <w:b/>
          <w:bCs/>
          <w:color w:val="auto"/>
          <w:sz w:val="52"/>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59"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中标单位澄清函</w:t>
      </w:r>
      <w:r/>
    </w:p>
    <w:p>
      <w:pPr>
        <w:ind w:firstLine="42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年月日连云港市区城市污水处理厂污泥</w:t>
      </w:r>
      <w:r>
        <w:rPr>
          <w:rFonts w:hint="eastAsia" w:ascii="宋体" w:hAnsi="宋体" w:eastAsia="宋体" w:cs="Times New Roman"/>
          <w:color w:val="auto"/>
          <w:sz w:val="24"/>
          <w:szCs w:val="24"/>
          <w:highlight w:val="none"/>
        </w:rPr>
        <w:t xml:space="preserve">好氧堆肥资源化利用处置</w:t>
      </w:r>
      <w:r>
        <w:rPr>
          <w:rFonts w:hint="eastAsia" w:ascii="宋体" w:hAnsi="宋体" w:eastAsia="宋体" w:cs="Times New Roman"/>
          <w:color w:val="auto"/>
          <w:sz w:val="24"/>
          <w:szCs w:val="20"/>
          <w:highlight w:val="none"/>
        </w:rPr>
        <w:t xml:space="preserve">服务项目</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为加强市区城市污水处理厂污泥处置，确保市区城市污水处理厂的稳定运行，对市区污水处理厂所产含水率80%、60%的污泥进行好氧堆肥资源化利用处置服务，以实现污泥的无害化处置</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540"/>
        <w:keepLines w:val="0"/>
        <w:keepNext w:val="0"/>
        <w:pageBreakBefore w:val="0"/>
        <w:spacing w:line="480" w:lineRule="exact"/>
        <w:widowControl w:val="off"/>
        <w:rPr>
          <w:rFonts w:hint="eastAsia" w:ascii="宋体" w:hAnsi="宋体" w:eastAsia="宋体" w:cs="宋体"/>
          <w:color w:val="auto"/>
          <w:sz w:val="36"/>
          <w:szCs w:val="20"/>
          <w:highlight w:val="none"/>
          <w:lang w:val="en-US" w:eastAsia="zh-CN"/>
        </w:rPr>
        <w:sectPr>
          <w:footerReference w:type="default" r:id="rId12"/>
          <w:footerReference w:type="first" r:id="rId13"/>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color w:val="auto"/>
          <w:sz w:val="36"/>
          <w:szCs w:val="20"/>
          <w:highlight w:val="none"/>
          <w:lang w:val="en-US" w:eastAsia="zh-CN"/>
        </w:rPr>
      </w:r>
      <w:r/>
    </w:p>
    <w:p>
      <w:pPr>
        <w:rPr>
          <w:color w:val="auto"/>
          <w:highlight w:val="none"/>
        </w:rPr>
      </w:pPr>
      <w:r>
        <w:rPr>
          <w:color w:val="auto"/>
          <w:highlight w:val="none"/>
        </w:rPr>
      </w:r>
      <w:r/>
    </w:p>
    <w:p>
      <w:pPr>
        <w:pStyle w:val="1063"/>
        <w:jc w:val="center"/>
        <w:pageBreakBefore w:val="0"/>
        <w:spacing w:before="156" w:after="156" w:line="460" w:lineRule="exact"/>
        <w:widowControl w:val="off"/>
        <w:rPr>
          <w:rFonts w:ascii="黑体" w:hAnsi="黑体" w:eastAsia="黑体"/>
          <w:b w:val="0"/>
          <w:color w:val="auto"/>
          <w:highlight w:val="none"/>
        </w:rPr>
      </w:pPr>
      <w:r/>
      <w:bookmarkStart w:id="4" w:name="_Toc155796359"/>
      <w:r>
        <w:rPr>
          <w:rFonts w:hint="eastAsia" w:ascii="黑体" w:hAnsi="黑体" w:eastAsia="黑体"/>
          <w:b w:val="0"/>
          <w:color w:val="auto"/>
          <w:highlight w:val="none"/>
        </w:rPr>
        <w:t xml:space="preserve">第四章采购需求</w:t>
      </w:r>
      <w:bookmarkEnd w:id="4"/>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说明：本项目采购方式为公开招标，本项目属性为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rPr>
        <w:t xml:space="preserve">。</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一、项目背景：</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二、项目概况：</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为加强市区城市污水处理厂污泥处置，确保市区城市污水处理厂的稳定运行，对市区污水处理厂所产含水率80%、60%的污泥进行好氧堆肥资源化利用处置，以实现污泥的无害化处置，服务期为3年。</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三、服务技术要求及其他：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1、服务范围：连云港市市区城市污水处理厂所产含水率80%、60%的污泥进行好氧堆肥资源化利用处置。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2、服务要求：接收连云港市市区城市污水处理厂所产含水率80%、60%的污泥进行好氧堆肥资源化利用处置，确保污泥100%无害化处置。</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bCs w:val="0"/>
          <w:i/>
          <w:iCs/>
          <w:color w:val="auto"/>
          <w:sz w:val="24"/>
          <w:szCs w:val="24"/>
          <w:highlight w:val="none"/>
          <w:u w:val="single"/>
        </w:rPr>
        <w:t xml:space="preserve">3、服务时间：自合同签订之日起3年</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4、服务标准：按采购人要求完成污泥好氧堆肥资源化利用处置工作。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5、人员配备要求：</w:t>
      </w:r>
      <w:r>
        <w:rPr>
          <w:rFonts w:hint="eastAsia" w:ascii="宋体" w:hAnsi="宋体" w:eastAsia="宋体" w:cs="宋体"/>
          <w:color w:val="auto"/>
          <w:sz w:val="24"/>
          <w:szCs w:val="24"/>
          <w:highlight w:val="none"/>
        </w:rPr>
        <w:t xml:space="preserve">根据项目需求自行配置</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6、工作内容：</w:t>
      </w:r>
      <w:r>
        <w:rPr>
          <w:rFonts w:hint="eastAsia" w:ascii="宋体" w:hAnsi="宋体" w:eastAsia="宋体" w:cs="宋体"/>
          <w:bCs/>
          <w:color w:val="auto"/>
          <w:sz w:val="24"/>
          <w:szCs w:val="24"/>
          <w:highlight w:val="none"/>
        </w:rPr>
        <w:t xml:space="preserve">对市区污水处理厂所产含水率80%、60%的污泥，利用一体化智能好氧发酵生产线进行好氧堆肥资源化利用进行处置，以实现污泥的无害化处置。</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污泥运输费用：运输距离80km以内（含80km）由市区各污水处理厂负责，超出部分由中标单位承担。</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个月（需提供加盖公章的书面承诺书）。</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11、污泥处置项目须具备环境影响报告书的批复（投标文件中提供批复复印件）；</w:t>
      </w:r>
      <w:r/>
    </w:p>
    <w:p>
      <w:pPr>
        <w:ind w:firstLine="480"/>
        <w:spacing w:line="360" w:lineRule="auto"/>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lang w:val="en-US" w:eastAsia="zh-CN"/>
        </w:rPr>
        <w:t xml:space="preserve">12</w:t>
      </w:r>
      <w:r>
        <w:rPr>
          <w:rFonts w:hint="eastAsia" w:ascii="宋体" w:hAnsi="宋体" w:eastAsia="宋体" w:cs="宋体"/>
          <w:b w:val="0"/>
          <w:bCs w:val="0"/>
          <w:i w:val="0"/>
          <w:iCs w:val="0"/>
          <w:color w:val="auto"/>
          <w:sz w:val="24"/>
          <w:szCs w:val="24"/>
          <w:highlight w:val="none"/>
          <w:u w:val="none"/>
        </w:rPr>
        <w:t xml:space="preserve">、污泥贮存场所必须符合环保要求，单独设置</w:t>
      </w:r>
      <w:r>
        <w:rPr>
          <w:rFonts w:hint="eastAsia" w:ascii="宋体" w:hAnsi="宋体" w:eastAsia="宋体" w:cs="宋体"/>
          <w:b w:val="0"/>
          <w:bCs w:val="0"/>
          <w:i w:val="0"/>
          <w:iCs w:val="0"/>
          <w:color w:val="auto"/>
          <w:sz w:val="24"/>
          <w:szCs w:val="24"/>
          <w:highlight w:val="none"/>
          <w:u w:val="none"/>
          <w:lang w:eastAsia="zh-CN"/>
        </w:rPr>
        <w:t xml:space="preserve">三</w:t>
      </w:r>
      <w:r>
        <w:rPr>
          <w:rFonts w:hint="eastAsia" w:ascii="宋体" w:hAnsi="宋体" w:eastAsia="宋体" w:cs="宋体"/>
          <w:b w:val="0"/>
          <w:bCs w:val="0"/>
          <w:i w:val="0"/>
          <w:iCs w:val="0"/>
          <w:color w:val="auto"/>
          <w:sz w:val="24"/>
          <w:szCs w:val="24"/>
          <w:highlight w:val="none"/>
          <w:u w:val="none"/>
        </w:rPr>
        <w:t xml:space="preserve">防设施，要求提供设施照片、承诺书等证明材料</w:t>
      </w:r>
      <w:r>
        <w:rPr>
          <w:rFonts w:hint="eastAsia" w:ascii="宋体" w:hAnsi="宋体" w:eastAsia="宋体" w:cs="宋体"/>
          <w:b w:val="0"/>
          <w:bCs w:val="0"/>
          <w:i w:val="0"/>
          <w:iCs w:val="0"/>
          <w:color w:val="auto"/>
          <w:sz w:val="24"/>
          <w:szCs w:val="24"/>
          <w:highlight w:val="none"/>
          <w:u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四、付款方式与履约保证金</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（1）本项目合同为固定单价合同，付款金额以实际污泥处置量进行结算，超出预算金额按预算金额支付。</w:t>
      </w:r>
      <w:r/>
    </w:p>
    <w:p>
      <w:pPr>
        <w:ind w:firstLine="482"/>
        <w:jc w:val="left"/>
        <w:spacing w:line="56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（3）采购人支付运营服务费前，中标供应商须提供等额的正式发票给采购人，以便采购人及时办理转帐支付手续。本项目所涉及费用均以人民币结算。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65"/>
        <w:ind w:firstLine="482"/>
        <w:rPr>
          <w:rFonts w:hint="eastAsia"/>
          <w:color w:val="auto"/>
          <w:highlight w:val="none"/>
          <w:lang w:val="en-US" w:eastAsia="zh-CN"/>
        </w:rPr>
        <w:sectPr>
          <w:footerReference w:type="default" r:id="rId14"/>
          <w:footerReference w:type="first" r:id="rId15"/>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本招标文件中斜体且有下划线部分为实质性要求和条件，供应商须逐条做出满足实质性要求和条件的响应，否则将按无效响应处理。</w:t>
      </w:r>
      <w:r/>
    </w:p>
    <w:p>
      <w:pPr>
        <w:pStyle w:val="1063"/>
        <w:jc w:val="center"/>
        <w:spacing w:before="156" w:after="156" w:line="360" w:lineRule="auto"/>
        <w:rPr>
          <w:rFonts w:ascii="黑体" w:hAnsi="黑体" w:eastAsia="黑体"/>
          <w:b w:val="0"/>
          <w:color w:val="auto"/>
          <w:highlight w:val="none"/>
        </w:rPr>
      </w:pPr>
      <w:r/>
      <w:bookmarkStart w:id="5" w:name="_Toc155796360"/>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5"/>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（3）总得分=价格分+商务技术分。</w:t>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价格分</w:t>
      </w:r>
      <w:r>
        <w:rPr>
          <w:rFonts w:hint="eastAsia" w:ascii="宋体" w:hAnsi="宋体" w:eastAsia="宋体" w:cs="宋体"/>
          <w:color w:val="auto"/>
          <w:sz w:val="24"/>
          <w:szCs w:val="24"/>
          <w:highlight w:val="none"/>
        </w:rPr>
        <w:t xml:space="preserve">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Times New Roman"/>
          <w:b w:val="0"/>
          <w:bCs w:val="0"/>
          <w:color w:val="auto"/>
          <w:sz w:val="24"/>
          <w:szCs w:val="24"/>
          <w:highlight w:val="none"/>
        </w:rPr>
        <w:t xml:space="preserve">商务分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68"/>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污泥暂存设施（10）</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具有污泥暂存设施日储泥量不少于500吨，且正常使用的得10分，不提供不得分。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注：1、提供场地防雨、防渗、防臭功能完备的污泥暂存设施图片。</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2、提供符合实际情况的承诺书，并加盖公章。</w:t>
            </w:r>
            <w:r/>
          </w:p>
        </w:tc>
      </w:tr>
      <w:tr>
        <w:trPr>
          <w:jc w:val="center"/>
          <w:trHeight w:val="9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合同业绩证明材料</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提供相关污泥处置的合同业绩材料，每有一份得5分，最高得10分。提供20</w:t>
            </w: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年（含）以来合同复印件为准，不提供不得分。（时间以合同签订日期为准。）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投标人体系证书</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c>
          <w:tcPr>
            <w:tcW w:w="547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highlight w:val="none"/>
              </w:rPr>
              <w:t xml:space="preserve">、投标人具有有效期内的质量管理体系认证；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2、投标人具有有效期内的环境管理体系认证；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3、投标人具有有效期内的职业健康安全管理认证证书；</w:t>
            </w:r>
            <w:r/>
          </w:p>
          <w:p>
            <w:pP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上述体系认证证书每一项得2分，最高得6分。需提供原件扫描上传至投标文件中，否则不予计分。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项目负责人（4分）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项目负责人具</w:t>
            </w:r>
            <w:r>
              <w:rPr>
                <w:rFonts w:hint="eastAsia" w:ascii="宋体" w:hAnsi="宋体" w:eastAsia="宋体" w:cs="宋体"/>
                <w:color w:val="auto"/>
                <w:szCs w:val="21"/>
                <w:highlight w:val="none"/>
                <w:lang w:eastAsia="zh-CN"/>
              </w:rPr>
              <w:t xml:space="preserve">有</w:t>
            </w:r>
            <w:r>
              <w:rPr>
                <w:rFonts w:hint="eastAsia" w:ascii="宋体" w:hAnsi="宋体" w:eastAsia="宋体" w:cs="宋体"/>
                <w:color w:val="auto"/>
                <w:szCs w:val="21"/>
                <w:highlight w:val="none"/>
              </w:rPr>
              <w:t xml:space="preserve">相关</w:t>
            </w:r>
            <w:r>
              <w:rPr>
                <w:rFonts w:hint="eastAsia" w:ascii="宋体" w:hAnsi="宋体" w:eastAsia="宋体" w:cs="宋体"/>
                <w:color w:val="auto"/>
                <w:szCs w:val="21"/>
                <w:highlight w:val="none"/>
                <w:lang w:eastAsia="zh-CN"/>
              </w:rPr>
              <w:t xml:space="preserve">环</w:t>
            </w:r>
            <w:r>
              <w:rPr>
                <w:rFonts w:hint="eastAsia" w:ascii="宋体" w:hAnsi="宋体" w:eastAsia="宋体" w:cs="宋体"/>
                <w:color w:val="auto"/>
                <w:szCs w:val="21"/>
                <w:highlight w:val="none"/>
              </w:rPr>
              <w:t xml:space="preserve">保专业高级职称（副高或正高均可）的得4分，最高得4分；未提供的不得分。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1"/>
                <w:highlight w:val="none"/>
              </w:rPr>
            </w:pPr>
            <w:r>
              <w:rPr>
                <w:rFonts w:hint="eastAsia" w:ascii="宋体" w:hAnsi="宋体" w:eastAsia="宋体" w:cs="宋体"/>
                <w:b/>
                <w:bCs/>
                <w:color w:val="auto"/>
                <w:highlight w:val="none"/>
              </w:rPr>
              <w:t xml:space="preserve">提供项目负责人</w:t>
            </w:r>
            <w:r>
              <w:rPr>
                <w:rFonts w:hint="eastAsia" w:ascii="宋体" w:hAnsi="宋体" w:eastAsia="宋体" w:cs="宋体"/>
                <w:b/>
                <w:bCs/>
                <w:color w:val="auto"/>
                <w:highlight w:val="none"/>
                <w:lang w:eastAsia="zh-CN"/>
              </w:rPr>
              <w:t xml:space="preserve">证书</w:t>
            </w:r>
            <w:r>
              <w:rPr>
                <w:rFonts w:hint="eastAsia" w:ascii="宋体" w:hAnsi="宋体" w:eastAsia="宋体" w:cs="宋体"/>
                <w:b/>
                <w:bCs/>
                <w:color w:val="auto"/>
                <w:highlight w:val="none"/>
              </w:rPr>
              <w:t xml:space="preserve">及劳动合同（有效期内）</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项目运营组织架构和人员配置（10分）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具有项目运营合理组织架构，相关人员配置：</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拟派项目团队人员不少于5人（含5人）的得10分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拟派项目团队人员4人（含4人）以下的，得5分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提供项目团队人员名单及劳动合同（有效期内）</w:t>
            </w:r>
            <w:r/>
          </w:p>
        </w:tc>
      </w:tr>
    </w:tbl>
    <w:p>
      <w:pPr>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eastAsia="zh-CN"/>
        </w:rPr>
        <w:t xml:space="preserve">技术</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68"/>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1807"/>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项目实施方案及污泥堆肥工艺（15分）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从污泥接收、计量、暂存、处置、使用等环节表述项目全过程处置方案，污泥处置使用好氧堆肥工艺，能耗较为合理，堆肥产品用于绿化等非农业生产。</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描述准确、完整，得15分；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描述比较准确、完整：10分；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描述一般准确、完整：5分。不提供不得分。</w:t>
            </w:r>
            <w:r/>
          </w:p>
        </w:tc>
      </w:tr>
      <w:tr>
        <w:trPr>
          <w:jc w:val="center"/>
          <w:trHeight w:val="1323"/>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环境应急预案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5471" w:type="dxa"/>
            <w:textDirection w:val="lrTb"/>
            <w:noWrap w:val="false"/>
          </w:tcPr>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环境应急预案完整，管控措施到位。</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优：方案准确、完整得5分；</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良：方案基本准确、完整得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中：方案一般得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分。不提供不得分。</w:t>
            </w:r>
            <w:r/>
          </w:p>
        </w:tc>
      </w:tr>
      <w:tr>
        <w:trPr>
          <w:jc w:val="center"/>
          <w:trHeight w:val="129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规章制度和操作规程（5分）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规章制度和操作规程齐全、完整。</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优：文件准确、完整得5分；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良：文件基本准确、完整得3分；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中：文件一般得1分。不提供不得分。</w:t>
            </w:r>
            <w:r/>
          </w:p>
        </w:tc>
      </w:tr>
      <w:tr>
        <w:trPr>
          <w:jc w:val="center"/>
          <w:trHeight w:val="1549"/>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应急响应措施（10分）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投标人需提供本项目的应急响应措施：</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优：应急响应措施及时性、有效性、可行性强得10分；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良：应急响应措施及时性、有效性、可行性较强得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分；中：应急响应措施及时性、有效性、可行性一般得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本项最高得10分，未提供的不得分。</w:t>
            </w:r>
            <w:r/>
          </w:p>
        </w:tc>
      </w:tr>
      <w:tr>
        <w:trPr>
          <w:jc w:val="center"/>
          <w:trHeight w:val="1273"/>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547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从接收污泥、暂存、处置、运输、付款等环节表述，</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内容表述贴合且完善的，得5分；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较完善的，得3分；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不够完善的，得1分。未作说明的不得分。</w:t>
            </w:r>
            <w:r/>
          </w:p>
        </w:tc>
      </w:tr>
    </w:tbl>
    <w:p>
      <w:pPr>
        <w:jc w:val="left"/>
        <w:widowControl/>
        <w:rPr>
          <w:color w:val="auto"/>
          <w:sz w:val="24"/>
          <w:szCs w:val="24"/>
          <w:highlight w:val="none"/>
        </w:rPr>
      </w:pPr>
      <w:r>
        <w:rPr>
          <w:color w:val="auto"/>
          <w:sz w:val="24"/>
          <w:szCs w:val="24"/>
          <w:highlight w:val="none"/>
        </w:rPr>
        <w:br w:type="page" w:clear="all"/>
      </w:r>
      <w:r/>
    </w:p>
    <w:p>
      <w:pPr>
        <w:pStyle w:val="1063"/>
        <w:jc w:val="center"/>
        <w:spacing w:before="156" w:after="156" w:line="360" w:lineRule="auto"/>
        <w:rPr>
          <w:rFonts w:ascii="黑体" w:hAnsi="黑体" w:eastAsia="黑体"/>
          <w:b w:val="0"/>
          <w:color w:val="auto"/>
          <w:highlight w:val="none"/>
        </w:rPr>
      </w:pPr>
      <w:r/>
      <w:bookmarkStart w:id="6" w:name="_Toc155796361"/>
      <w:r>
        <w:rPr>
          <w:rFonts w:hint="eastAsia" w:ascii="黑体" w:hAnsi="黑体" w:eastAsia="黑体"/>
          <w:b w:val="0"/>
          <w:color w:val="auto"/>
          <w:highlight w:val="none"/>
        </w:rPr>
        <w:t xml:space="preserve">第六章投标文件格式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项目名称：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项目编号：</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 xml:space="preserve">投标人</w:t>
      </w:r>
      <w:r>
        <w:rPr>
          <w:rFonts w:hint="eastAsia" w:ascii="宋体" w:hAnsi="宋体" w:eastAsia="宋体" w:cs="Times New Roman"/>
          <w:b/>
          <w:color w:val="auto"/>
          <w:sz w:val="36"/>
          <w:szCs w:val="21"/>
          <w:highlight w:val="none"/>
        </w:rPr>
        <w:t xml:space="preserve">名称：</w:t>
      </w:r>
      <w:r>
        <w:rPr>
          <w:rFonts w:hint="eastAsia" w:ascii="宋体" w:hAnsi="宋体" w:eastAsia="宋体" w:cs="Times New Roman"/>
          <w:b/>
          <w:color w:val="auto"/>
          <w:sz w:val="36"/>
          <w:szCs w:val="21"/>
          <w:highlight w:val="none"/>
          <w:u w:val="single"/>
        </w:rPr>
        <w:t xml:space="preserve">（加盖CA电子公章）</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日期：</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一、法人或者其他组织的营业执照等证明文件，自然人的身份证明</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二、</w:t>
      </w:r>
      <w:r>
        <w:rPr>
          <w:rFonts w:hint="eastAsia" w:ascii="宋体" w:hAnsi="宋体" w:eastAsia="宋体" w:cs="宋体"/>
          <w:i/>
          <w:color w:val="auto"/>
          <w:sz w:val="30"/>
          <w:szCs w:val="30"/>
          <w:highlight w:val="none"/>
          <w:u w:val="single"/>
          <w:lang w:eastAsia="zh-CN"/>
        </w:rPr>
        <w:t xml:space="preserve">2025年度</w:t>
      </w:r>
      <w:r>
        <w:rPr>
          <w:rFonts w:hint="eastAsia" w:ascii="宋体" w:hAnsi="宋体" w:eastAsia="宋体" w:cs="宋体"/>
          <w:i/>
          <w:color w:val="auto"/>
          <w:sz w:val="30"/>
          <w:szCs w:val="30"/>
          <w:highlight w:val="none"/>
          <w:u w:val="single"/>
        </w:rPr>
        <w:t xml:space="preserve">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eastAsia="宋体"/>
          <w:i/>
          <w:color w:val="auto"/>
          <w:sz w:val="24"/>
          <w:szCs w:val="24"/>
          <w:highlight w:val="none"/>
          <w:u w:val="single"/>
          <w:lang w:eastAsia="zh-CN"/>
        </w:rPr>
        <w:t xml:space="preserve">投标人</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w:t>
      </w:r>
      <w:r>
        <w:rPr>
          <w:rFonts w:hint="eastAsia" w:ascii="Calibri" w:hAnsi="Calibri" w:eastAsia="宋体" w:cs="Times New Roman"/>
          <w:color w:val="auto"/>
          <w:sz w:val="24"/>
          <w:szCs w:val="24"/>
          <w:highlight w:val="none"/>
          <w:lang w:eastAsia="zh-CN"/>
        </w:rPr>
        <w:t xml:space="preserve">供应商</w:t>
      </w:r>
      <w:r>
        <w:rPr>
          <w:rFonts w:hint="eastAsia" w:ascii="Calibri" w:hAnsi="Calibri" w:eastAsia="宋体" w:cs="Times New Roman"/>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九、授权委托书与法定代表人（单位负责人）身份证明</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86"/>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86"/>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86"/>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86"/>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7" w:name="_格式3__银行出具的资信证明"/>
      <w:r/>
      <w:bookmarkEnd w:id="7"/>
      <w:r/>
      <w:bookmarkStart w:id="8" w:name="_Hlt26671380"/>
      <w:r/>
      <w:bookmarkEnd w:id="8"/>
      <w:r/>
      <w:bookmarkStart w:id="9" w:name="_Hlt26955070"/>
      <w:r/>
      <w:bookmarkEnd w:id="9"/>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10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江苏建友兴业工程项目管理有限公司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姓名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代表我方______________（</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我方将根据招标文件的规定，严格履行合同的责任和义务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账号：</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法定代表人（单位负责人）或委托代理人（签字或盖章）：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500" w:lineRule="exact"/>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color w:val="auto"/>
          <w:sz w:val="30"/>
          <w:szCs w:val="30"/>
          <w:highlight w:val="none"/>
          <w:u w:val="single"/>
        </w:rPr>
      </w:r>
      <w:r/>
    </w:p>
    <w:p>
      <w:pPr>
        <w:jc w:val="left"/>
        <w:spacing w:line="500" w:lineRule="exac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三、关于符合本国产品标准的声明函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center"/>
        <w:rPr>
          <w:rFonts w:hint="eastAsia" w:ascii="宋体" w:hAnsi="宋体"/>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 xml:space="preserve">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w:t>
      </w:r>
      <w:r>
        <w:rPr>
          <w:rFonts w:hint="eastAsia" w:ascii="宋体" w:hAnsi="宋体"/>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1，生产厂为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2，厂址为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3。</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4在中国境内生产。</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5在中国境内完成。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w:t>
      </w:r>
      <w:r>
        <w:rPr>
          <w:rFonts w:hint="eastAsia" w:ascii="宋体" w:hAnsi="宋体"/>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w:t>
      </w:r>
      <w:r>
        <w:rPr>
          <w:rFonts w:hint="eastAsia" w:ascii="宋体" w:hAnsi="宋体"/>
          <w:color w:val="auto"/>
          <w:sz w:val="24"/>
          <w:szCs w:val="24"/>
          <w:highlight w:val="none"/>
          <w:u w:val="singl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在中国境内生产。</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本公司（单位）对上述声明内容的真实性负责。如有虚假，愿承担相应法律责任。</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公司（单位）名称（盖章）：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日期：　     年　  月　  日</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1、产品如有型号，请在“产品名称”栏一并填写。</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2、生产厂名与厂址应与生产厂营业执照载明的相关信息保持一致。</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3、该产品的中国境内生产的组件成本占比相关要求实施前，“规定比例”栏可不填，下同。</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4、该产品的关键组件要求实施前，“关键组件”栏可不填。</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5、该产品的关键工序要求实施前，“关键工序”栏可不填。</w:t>
      </w:r>
      <w:r/>
    </w:p>
    <w:p>
      <w:pPr>
        <w:jc w:val="left"/>
        <w:rPr>
          <w:rFonts w:hint="eastAsia" w:ascii="宋体" w:hAnsi="宋体"/>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szCs w:val="24"/>
          <w:highlight w:val="none"/>
          <w:lang w:val="en-US" w:eastAsia="zh-CN" w:bidi="ar-SA"/>
        </w:rPr>
        <w:t xml:space="preserve">6、划除栏无需填写。</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eastAsia="zh-CN"/>
        </w:rPr>
        <w:t xml:space="preserve">四</w:t>
      </w:r>
      <w:r>
        <w:rPr>
          <w:rFonts w:hint="eastAsia" w:ascii="宋体" w:hAnsi="宋体" w:eastAsia="宋体" w:cs="宋体"/>
          <w:i/>
          <w:color w:val="auto"/>
          <w:sz w:val="30"/>
          <w:szCs w:val="30"/>
          <w:highlight w:val="none"/>
          <w:u w:val="single"/>
        </w:rPr>
        <w:t xml:space="preserve">、投标分项报价表（分包号：**）</w:t>
      </w:r>
      <w:r/>
    </w:p>
    <w:p>
      <w:pPr>
        <w:jc w:val="center"/>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b/>
          <w:bCs/>
          <w:i w:val="0"/>
          <w:iCs/>
          <w:color w:val="auto"/>
          <w:sz w:val="28"/>
          <w:szCs w:val="28"/>
          <w:highlight w:val="none"/>
          <w:u w:val="none"/>
          <w:lang w:val="en-US" w:eastAsia="zh-CN"/>
        </w:rPr>
        <w:t xml:space="preserve">（根据招标文件报价要求报价，格式自定）</w:t>
      </w:r>
      <w:r/>
    </w:p>
    <w:p>
      <w:pPr>
        <w:jc w:val="center"/>
        <w:keepLines/>
        <w:keepNext/>
        <w:spacing w:before="360" w:after="200" w:line="360" w:lineRule="auto"/>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color w:val="auto"/>
          <w:sz w:val="30"/>
          <w:szCs w:val="30"/>
          <w:highlight w:val="none"/>
          <w:u w:val="singl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bookmarkStart w:id="10" w:name="_Hlt26955054"/>
      <w:r/>
      <w:bookmarkEnd w:id="10"/>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五</w:t>
      </w:r>
      <w:r>
        <w:rPr>
          <w:rFonts w:hint="eastAsia" w:ascii="宋体" w:hAnsi="宋体" w:eastAsia="宋体" w:cs="宋体"/>
          <w:i/>
          <w:color w:val="auto"/>
          <w:sz w:val="30"/>
          <w:szCs w:val="30"/>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项目名称：项目编号：分包号：</w:t>
      </w:r>
      <w:r/>
    </w:p>
    <w:tbl>
      <w:tblPr>
        <w:tblStyle w:val="106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1" w:name="_Hlt26609391"/>
            <w:r/>
            <w:bookmarkEnd w:id="11"/>
            <w:r/>
            <w:bookmarkStart w:id="12" w:name="_Hlt26955064"/>
            <w:r/>
            <w:bookmarkEnd w:id="12"/>
            <w:r/>
            <w:bookmarkStart w:id="13" w:name="_Hlt24879081"/>
            <w:r/>
            <w:bookmarkEnd w:id="13"/>
            <w:r/>
            <w:bookmarkStart w:id="14" w:name="_Hlt26955056"/>
            <w:r/>
            <w:bookmarkEnd w:id="14"/>
            <w:r/>
            <w:bookmarkStart w:id="15" w:name="_Hlt26782999"/>
            <w:r/>
            <w:bookmarkEnd w:id="15"/>
            <w:r/>
            <w:bookmarkStart w:id="16" w:name="_Hlt26671343"/>
            <w:r/>
            <w:bookmarkEnd w:id="16"/>
            <w:r/>
            <w:bookmarkStart w:id="17" w:name="_Hlt26671372"/>
            <w:r/>
            <w:bookmarkEnd w:id="17"/>
            <w:r/>
            <w:bookmarkStart w:id="18" w:name="_Hlt26580838"/>
            <w:r/>
            <w:bookmarkEnd w:id="18"/>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rPr>
          <w:color w:val="auto"/>
          <w:highlight w:val="none"/>
        </w:rPr>
      </w:pPr>
      <w:r/>
      <w:bookmarkStart w:id="19" w:name="_格式2__法定代表人授权书"/>
      <w:r/>
      <w:bookmarkEnd w:id="19"/>
      <w:r/>
      <w:bookmarkStart w:id="20" w:name="_Hlt26671374"/>
      <w:r/>
      <w:bookmarkEnd w:id="20"/>
      <w:r/>
      <w:bookmarkStart w:id="21" w:name="_Hlt26609389"/>
      <w:r/>
      <w:bookmarkEnd w:id="21"/>
      <w:r/>
      <w:bookmarkStart w:id="22" w:name="_Hlt26955066"/>
      <w:r/>
      <w:bookmarkEnd w:id="22"/>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六</w:t>
      </w:r>
      <w:r>
        <w:rPr>
          <w:rFonts w:hint="eastAsia" w:ascii="宋体" w:hAnsi="宋体" w:eastAsia="宋体" w:cs="宋体"/>
          <w:i/>
          <w:color w:val="auto"/>
          <w:sz w:val="30"/>
          <w:szCs w:val="30"/>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1080"/>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元/吨</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4"/>
                <w:highlight w:val="none"/>
              </w:rPr>
              <w:t xml:space="preserve">（单价）</w:t>
            </w:r>
            <w:r>
              <w:rPr>
                <w:rFonts w:ascii="Times New Roman" w:hAnsi="Times New Roman" w:eastAsia="宋体" w:cs="Times New Roman"/>
                <w:color w:val="auto"/>
                <w:sz w:val="24"/>
                <w:szCs w:val="24"/>
                <w:highlight w:val="none"/>
              </w:rPr>
              <w:t xml:space="preserve">（大写）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仿宋_GB2312">
    <w:panose1 w:val="02010609060101010101"/>
  </w:font>
  <w:font w:name="黑体">
    <w:panose1 w:val="02010609060101010101"/>
  </w:font>
  <w:font w:name="Wingdings">
    <w:panose1 w:val="05000000000000000000"/>
  </w:font>
  <w:font w:name="Symbol">
    <w:panose1 w:val="05050102010706020507"/>
  </w:font>
  <w:font w:name="楷体">
    <w:panose1 w:val="02010609060101010101"/>
  </w:font>
  <w:font w:name="Calibri">
    <w:panose1 w:val="020F0502020204030204"/>
  </w:font>
  <w:font w:name="方正中等线简体">
    <w:panose1 w:val="020B0503020202020204"/>
  </w:font>
  <w:font w:name="MS Mincho">
    <w:panose1 w:val="020206030504050903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7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0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0487"/>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0487"/>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v:textbox>
            </v:shape>
          </w:pict>
        </mc:Fallback>
      </mc:AlternateContent>
    </w:r>
    <w:r/>
  </w:p>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9532"/>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66"/>
                          </w:p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9532"/>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66"/>
                    </w:pPr>
                    <w:r/>
                    <w:r/>
                  </w:p>
                </w:txbxContent>
              </v:textbox>
            </v:shape>
          </w:pict>
        </mc:Fallback>
      </mc:AlternateContent>
    </w:r>
    <w:r/>
  </w:p>
  <w:p>
    <w:pPr>
      <w:pStyle w:val="107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4">
    <w:name w:val="Heading 1 Char"/>
    <w:basedOn w:val="1067"/>
    <w:link w:val="1063"/>
    <w:uiPriority w:val="9"/>
    <w:rPr>
      <w:rFonts w:ascii="Arial" w:hAnsi="Arial" w:eastAsia="Arial" w:cs="Arial"/>
      <w:sz w:val="40"/>
      <w:szCs w:val="40"/>
    </w:rPr>
  </w:style>
  <w:style w:type="character" w:styleId="895">
    <w:name w:val="Heading 2 Char"/>
    <w:basedOn w:val="1067"/>
    <w:link w:val="1064"/>
    <w:uiPriority w:val="9"/>
    <w:rPr>
      <w:rFonts w:ascii="Arial" w:hAnsi="Arial" w:eastAsia="Arial" w:cs="Arial"/>
      <w:sz w:val="34"/>
    </w:rPr>
  </w:style>
  <w:style w:type="character" w:styleId="896">
    <w:name w:val="Heading 3 Char"/>
    <w:basedOn w:val="1067"/>
    <w:link w:val="1065"/>
    <w:uiPriority w:val="9"/>
    <w:rPr>
      <w:rFonts w:ascii="Arial" w:hAnsi="Arial" w:eastAsia="Arial" w:cs="Arial"/>
      <w:sz w:val="30"/>
      <w:szCs w:val="30"/>
    </w:rPr>
  </w:style>
  <w:style w:type="character" w:styleId="897">
    <w:name w:val="Heading 4 Char"/>
    <w:basedOn w:val="1067"/>
    <w:link w:val="1066"/>
    <w:uiPriority w:val="9"/>
    <w:rPr>
      <w:rFonts w:ascii="Arial" w:hAnsi="Arial" w:eastAsia="Arial" w:cs="Arial"/>
      <w:b/>
      <w:bCs/>
      <w:sz w:val="26"/>
      <w:szCs w:val="26"/>
    </w:rPr>
  </w:style>
  <w:style w:type="paragraph" w:styleId="898">
    <w:name w:val="Heading 5"/>
    <w:basedOn w:val="1062"/>
    <w:next w:val="1062"/>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basedOn w:val="1067"/>
    <w:link w:val="898"/>
    <w:uiPriority w:val="9"/>
    <w:rPr>
      <w:rFonts w:ascii="Arial" w:hAnsi="Arial" w:eastAsia="Arial" w:cs="Arial"/>
      <w:b/>
      <w:bCs/>
      <w:sz w:val="24"/>
      <w:szCs w:val="24"/>
    </w:rPr>
  </w:style>
  <w:style w:type="paragraph" w:styleId="900">
    <w:name w:val="Heading 6"/>
    <w:basedOn w:val="1062"/>
    <w:next w:val="1062"/>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basedOn w:val="1067"/>
    <w:link w:val="900"/>
    <w:uiPriority w:val="9"/>
    <w:rPr>
      <w:rFonts w:ascii="Arial" w:hAnsi="Arial" w:eastAsia="Arial" w:cs="Arial"/>
      <w:b/>
      <w:bCs/>
      <w:sz w:val="22"/>
      <w:szCs w:val="22"/>
    </w:rPr>
  </w:style>
  <w:style w:type="paragraph" w:styleId="902">
    <w:name w:val="Heading 7"/>
    <w:basedOn w:val="1062"/>
    <w:next w:val="1062"/>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basedOn w:val="1067"/>
    <w:link w:val="902"/>
    <w:uiPriority w:val="9"/>
    <w:rPr>
      <w:rFonts w:ascii="Arial" w:hAnsi="Arial" w:eastAsia="Arial" w:cs="Arial"/>
      <w:b/>
      <w:bCs/>
      <w:i/>
      <w:iCs/>
      <w:sz w:val="22"/>
      <w:szCs w:val="22"/>
    </w:rPr>
  </w:style>
  <w:style w:type="paragraph" w:styleId="904">
    <w:name w:val="Heading 8"/>
    <w:basedOn w:val="1062"/>
    <w:next w:val="1062"/>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basedOn w:val="1067"/>
    <w:link w:val="904"/>
    <w:uiPriority w:val="9"/>
    <w:rPr>
      <w:rFonts w:ascii="Arial" w:hAnsi="Arial" w:eastAsia="Arial" w:cs="Arial"/>
      <w:i/>
      <w:iCs/>
      <w:sz w:val="22"/>
      <w:szCs w:val="22"/>
    </w:rPr>
  </w:style>
  <w:style w:type="paragraph" w:styleId="906">
    <w:name w:val="Heading 9"/>
    <w:basedOn w:val="1062"/>
    <w:next w:val="1062"/>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basedOn w:val="1067"/>
    <w:link w:val="906"/>
    <w:uiPriority w:val="9"/>
    <w:rPr>
      <w:rFonts w:ascii="Arial" w:hAnsi="Arial" w:eastAsia="Arial" w:cs="Arial"/>
      <w:i/>
      <w:iCs/>
      <w:sz w:val="21"/>
      <w:szCs w:val="21"/>
    </w:rPr>
  </w:style>
  <w:style w:type="paragraph" w:styleId="908">
    <w:name w:val="No Spacing"/>
    <w:uiPriority w:val="1"/>
    <w:qFormat/>
    <w:pPr>
      <w:spacing w:before="0" w:after="0" w:line="240" w:lineRule="auto"/>
    </w:pPr>
  </w:style>
  <w:style w:type="paragraph" w:styleId="909">
    <w:name w:val="Title"/>
    <w:basedOn w:val="1062"/>
    <w:next w:val="1062"/>
    <w:link w:val="910"/>
    <w:uiPriority w:val="10"/>
    <w:qFormat/>
    <w:pPr>
      <w:contextualSpacing/>
      <w:spacing w:before="300" w:after="200"/>
    </w:pPr>
    <w:rPr>
      <w:sz w:val="48"/>
      <w:szCs w:val="48"/>
    </w:rPr>
  </w:style>
  <w:style w:type="character" w:styleId="910">
    <w:name w:val="Title Char"/>
    <w:basedOn w:val="1067"/>
    <w:link w:val="909"/>
    <w:uiPriority w:val="10"/>
    <w:rPr>
      <w:sz w:val="48"/>
      <w:szCs w:val="48"/>
    </w:rPr>
  </w:style>
  <w:style w:type="paragraph" w:styleId="911">
    <w:name w:val="Subtitle"/>
    <w:basedOn w:val="1062"/>
    <w:next w:val="1062"/>
    <w:link w:val="912"/>
    <w:uiPriority w:val="11"/>
    <w:qFormat/>
    <w:pPr>
      <w:spacing w:before="200" w:after="200"/>
    </w:pPr>
    <w:rPr>
      <w:sz w:val="24"/>
      <w:szCs w:val="24"/>
    </w:rPr>
  </w:style>
  <w:style w:type="character" w:styleId="912">
    <w:name w:val="Subtitle Char"/>
    <w:basedOn w:val="1067"/>
    <w:link w:val="911"/>
    <w:uiPriority w:val="11"/>
    <w:rPr>
      <w:sz w:val="24"/>
      <w:szCs w:val="24"/>
    </w:rPr>
  </w:style>
  <w:style w:type="paragraph" w:styleId="913">
    <w:name w:val="Quote"/>
    <w:basedOn w:val="1062"/>
    <w:next w:val="1062"/>
    <w:link w:val="914"/>
    <w:uiPriority w:val="29"/>
    <w:qFormat/>
    <w:pPr>
      <w:ind w:left="720" w:right="720"/>
    </w:pPr>
    <w:rPr>
      <w:i/>
    </w:rPr>
  </w:style>
  <w:style w:type="character" w:styleId="914">
    <w:name w:val="Quote Char"/>
    <w:link w:val="913"/>
    <w:uiPriority w:val="29"/>
    <w:rPr>
      <w:i/>
    </w:rPr>
  </w:style>
  <w:style w:type="paragraph" w:styleId="915">
    <w:name w:val="Intense Quote"/>
    <w:basedOn w:val="1062"/>
    <w:next w:val="1062"/>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character" w:styleId="917">
    <w:name w:val="Header Char"/>
    <w:basedOn w:val="1067"/>
    <w:link w:val="1076"/>
    <w:uiPriority w:val="99"/>
  </w:style>
  <w:style w:type="character" w:styleId="918">
    <w:name w:val="Footer Char"/>
    <w:basedOn w:val="1067"/>
    <w:link w:val="1075"/>
    <w:uiPriority w:val="99"/>
  </w:style>
  <w:style w:type="paragraph" w:styleId="919">
    <w:name w:val="Caption"/>
    <w:basedOn w:val="1062"/>
    <w:next w:val="1062"/>
    <w:uiPriority w:val="35"/>
    <w:semiHidden/>
    <w:unhideWhenUsed/>
    <w:qFormat/>
    <w:pPr>
      <w:spacing w:line="276" w:lineRule="auto"/>
    </w:pPr>
    <w:rPr>
      <w:b/>
      <w:bCs/>
      <w:color w:val="4f81bd" w:themeColor="accent1"/>
      <w:sz w:val="18"/>
      <w:szCs w:val="18"/>
    </w:rPr>
  </w:style>
  <w:style w:type="character" w:styleId="920">
    <w:name w:val="Caption Char"/>
    <w:basedOn w:val="919"/>
    <w:link w:val="1075"/>
    <w:uiPriority w:val="99"/>
  </w:style>
  <w:style w:type="table" w:styleId="921">
    <w:name w:val="Table Grid Light"/>
    <w:basedOn w:val="10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basedOn w:val="10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basedOn w:val="10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basedOn w:val="10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basedOn w:val="10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basedOn w:val="10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basedOn w:val="10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basedOn w:val="10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basedOn w:val="10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basedOn w:val="10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basedOn w:val="10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basedOn w:val="10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basedOn w:val="10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basedOn w:val="10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basedOn w:val="10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basedOn w:val="10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basedOn w:val="10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basedOn w:val="10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basedOn w:val="10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basedOn w:val="10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basedOn w:val="10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basedOn w:val="10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basedOn w:val="10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basedOn w:val="10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10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basedOn w:val="10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basedOn w:val="10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basedOn w:val="10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basedOn w:val="10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basedOn w:val="10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basedOn w:val="10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57">
    <w:name w:val="Grid Table 5 Dark - Accent 2"/>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8">
    <w:name w:val="Grid Table 5 Dark - Accent 3"/>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9">
    <w:name w:val="Grid Table 5 Dark- Accent 4"/>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0">
    <w:name w:val="Grid Table 5 Dark - Accent 5"/>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1">
    <w:name w:val="Grid Table 5 Dark - Accent 6"/>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62">
    <w:name w:val="Grid Table 6 Colorful"/>
    <w:basedOn w:val="10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basedOn w:val="10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basedOn w:val="10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basedOn w:val="10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basedOn w:val="10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basedOn w:val="10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8">
    <w:name w:val="Grid Table 6 Colorful - Accent 6"/>
    <w:basedOn w:val="10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9">
    <w:name w:val="Grid Table 7 Colorful"/>
    <w:basedOn w:val="10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basedOn w:val="10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basedOn w:val="10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basedOn w:val="10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basedOn w:val="10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basedOn w:val="10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basedOn w:val="10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basedOn w:val="10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basedOn w:val="10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basedOn w:val="10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basedOn w:val="10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basedOn w:val="10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basedOn w:val="10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basedOn w:val="10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basedOn w:val="10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basedOn w:val="10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basedOn w:val="10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basedOn w:val="10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basedOn w:val="10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basedOn w:val="10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basedOn w:val="10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basedOn w:val="10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basedOn w:val="10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2">
    <w:name w:val="List Table 3 - Accent 2"/>
    <w:basedOn w:val="10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93">
    <w:name w:val="List Table 3 - Accent 3"/>
    <w:basedOn w:val="10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94">
    <w:name w:val="List Table 3 - Accent 4"/>
    <w:basedOn w:val="10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95">
    <w:name w:val="List Table 3 - Accent 5"/>
    <w:basedOn w:val="10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6">
    <w:name w:val="List Table 3 - Accent 6"/>
    <w:basedOn w:val="10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97">
    <w:name w:val="List Table 4"/>
    <w:basedOn w:val="10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basedOn w:val="10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9">
    <w:name w:val="List Table 4 - Accent 2"/>
    <w:basedOn w:val="10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0">
    <w:name w:val="List Table 4 - Accent 3"/>
    <w:basedOn w:val="10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1">
    <w:name w:val="List Table 4 - Accent 4"/>
    <w:basedOn w:val="10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02">
    <w:name w:val="List Table 4 - Accent 5"/>
    <w:basedOn w:val="10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03">
    <w:name w:val="List Table 4 - Accent 6"/>
    <w:basedOn w:val="10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04">
    <w:name w:val="List Table 5 Dark"/>
    <w:basedOn w:val="10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basedOn w:val="10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basedOn w:val="10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basedOn w:val="10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basedOn w:val="10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basedOn w:val="10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basedOn w:val="10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basedOn w:val="10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13">
    <w:name w:val="List Table 6 Colorful - Accent 2"/>
    <w:basedOn w:val="10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14">
    <w:name w:val="List Table 6 Colorful - Accent 3"/>
    <w:basedOn w:val="10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15">
    <w:name w:val="List Table 6 Colorful - Accent 4"/>
    <w:basedOn w:val="10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6">
    <w:name w:val="List Table 6 Colorful - Accent 5"/>
    <w:basedOn w:val="10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17">
    <w:name w:val="List Table 6 Colorful - Accent 6"/>
    <w:basedOn w:val="10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8">
    <w:name w:val="List Table 7 Colorful"/>
    <w:basedOn w:val="10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basedOn w:val="10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0">
    <w:name w:val="List Table 7 Colorful - Accent 2"/>
    <w:basedOn w:val="10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1">
    <w:name w:val="List Table 7 Colorful - Accent 3"/>
    <w:basedOn w:val="10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22">
    <w:name w:val="List Table 7 Colorful - Accent 4"/>
    <w:basedOn w:val="10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23">
    <w:name w:val="List Table 7 Colorful - Accent 5"/>
    <w:basedOn w:val="10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24">
    <w:name w:val="List Table 7 Colorful - Accent 6"/>
    <w:basedOn w:val="10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25">
    <w:name w:val="Lined - Accent"/>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7">
    <w:name w:val="Lined - Accent 2"/>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8">
    <w:name w:val="Lined - Accent 3"/>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9">
    <w:name w:val="Lined - Accent 4"/>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0">
    <w:name w:val="Lined - Accent 5"/>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1">
    <w:name w:val="Lined - Accent 6"/>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2">
    <w:name w:val="Bordered &amp; Lined - Accent"/>
    <w:basedOn w:val="10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basedOn w:val="10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4">
    <w:name w:val="Bordered &amp; Lined - Accent 2"/>
    <w:basedOn w:val="10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5">
    <w:name w:val="Bordered &amp; Lined - Accent 3"/>
    <w:basedOn w:val="10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6">
    <w:name w:val="Bordered &amp; Lined - Accent 4"/>
    <w:basedOn w:val="10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7">
    <w:name w:val="Bordered &amp; Lined - Accent 5"/>
    <w:basedOn w:val="10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8">
    <w:name w:val="Bordered &amp; Lined - Accent 6"/>
    <w:basedOn w:val="10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9">
    <w:name w:val="Bordered"/>
    <w:basedOn w:val="10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basedOn w:val="10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basedOn w:val="10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basedOn w:val="10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basedOn w:val="10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basedOn w:val="10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basedOn w:val="10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6">
    <w:name w:val="footnote text"/>
    <w:basedOn w:val="1062"/>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basedOn w:val="1067"/>
    <w:uiPriority w:val="99"/>
    <w:unhideWhenUsed/>
    <w:rPr>
      <w:vertAlign w:val="superscript"/>
    </w:rPr>
  </w:style>
  <w:style w:type="paragraph" w:styleId="1049">
    <w:name w:val="endnote text"/>
    <w:basedOn w:val="1062"/>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basedOn w:val="1067"/>
    <w:uiPriority w:val="99"/>
    <w:semiHidden/>
    <w:unhideWhenUsed/>
    <w:rPr>
      <w:vertAlign w:val="superscript"/>
    </w:rPr>
  </w:style>
  <w:style w:type="paragraph" w:styleId="1052">
    <w:name w:val="toc 2"/>
    <w:basedOn w:val="1062"/>
    <w:next w:val="1062"/>
    <w:uiPriority w:val="39"/>
    <w:unhideWhenUsed/>
    <w:pPr>
      <w:ind w:left="283" w:right="0" w:firstLine="0"/>
      <w:spacing w:after="57"/>
    </w:pPr>
  </w:style>
  <w:style w:type="paragraph" w:styleId="1053">
    <w:name w:val="toc 3"/>
    <w:basedOn w:val="1062"/>
    <w:next w:val="1062"/>
    <w:uiPriority w:val="39"/>
    <w:unhideWhenUsed/>
    <w:pPr>
      <w:ind w:left="567" w:right="0" w:firstLine="0"/>
      <w:spacing w:after="57"/>
    </w:pPr>
  </w:style>
  <w:style w:type="paragraph" w:styleId="1054">
    <w:name w:val="toc 4"/>
    <w:basedOn w:val="1062"/>
    <w:next w:val="1062"/>
    <w:uiPriority w:val="39"/>
    <w:unhideWhenUsed/>
    <w:pPr>
      <w:ind w:left="850" w:right="0" w:firstLine="0"/>
      <w:spacing w:after="57"/>
    </w:pPr>
  </w:style>
  <w:style w:type="paragraph" w:styleId="1055">
    <w:name w:val="toc 5"/>
    <w:basedOn w:val="1062"/>
    <w:next w:val="1062"/>
    <w:uiPriority w:val="39"/>
    <w:unhideWhenUsed/>
    <w:pPr>
      <w:ind w:left="1134" w:right="0" w:firstLine="0"/>
      <w:spacing w:after="57"/>
    </w:pPr>
  </w:style>
  <w:style w:type="paragraph" w:styleId="1056">
    <w:name w:val="toc 6"/>
    <w:basedOn w:val="1062"/>
    <w:next w:val="1062"/>
    <w:uiPriority w:val="39"/>
    <w:unhideWhenUsed/>
    <w:pPr>
      <w:ind w:left="1417" w:right="0" w:firstLine="0"/>
      <w:spacing w:after="57"/>
    </w:pPr>
  </w:style>
  <w:style w:type="paragraph" w:styleId="1057">
    <w:name w:val="toc 7"/>
    <w:basedOn w:val="1062"/>
    <w:next w:val="1062"/>
    <w:uiPriority w:val="39"/>
    <w:unhideWhenUsed/>
    <w:pPr>
      <w:ind w:left="1701" w:right="0" w:firstLine="0"/>
      <w:spacing w:after="57"/>
    </w:pPr>
  </w:style>
  <w:style w:type="paragraph" w:styleId="1058">
    <w:name w:val="toc 8"/>
    <w:basedOn w:val="1062"/>
    <w:next w:val="1062"/>
    <w:uiPriority w:val="39"/>
    <w:unhideWhenUsed/>
    <w:pPr>
      <w:ind w:left="1984" w:right="0" w:firstLine="0"/>
      <w:spacing w:after="57"/>
    </w:pPr>
  </w:style>
  <w:style w:type="paragraph" w:styleId="1059">
    <w:name w:val="toc 9"/>
    <w:basedOn w:val="1062"/>
    <w:next w:val="1062"/>
    <w:uiPriority w:val="39"/>
    <w:unhideWhenUsed/>
    <w:pPr>
      <w:ind w:left="2268" w:right="0" w:firstLine="0"/>
      <w:spacing w:after="57"/>
    </w:pPr>
  </w:style>
  <w:style w:type="paragraph" w:styleId="1060">
    <w:name w:val="TOC Heading"/>
    <w:uiPriority w:val="39"/>
    <w:unhideWhenUsed/>
  </w:style>
  <w:style w:type="paragraph" w:styleId="1061">
    <w:name w:val="table of figures"/>
    <w:basedOn w:val="1062"/>
    <w:next w:val="1062"/>
    <w:uiPriority w:val="99"/>
    <w:unhideWhenUsed/>
    <w:pPr>
      <w:spacing w:after="0" w:afterAutospacing="0"/>
    </w:pPr>
  </w:style>
  <w:style w:type="paragraph" w:styleId="106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1063">
    <w:name w:val="Heading 1"/>
    <w:basedOn w:val="1062"/>
    <w:next w:val="1062"/>
    <w:uiPriority w:val="9"/>
    <w:qFormat/>
    <w:pPr>
      <w:keepLines/>
      <w:keepNext/>
      <w:spacing w:before="340" w:after="330" w:line="578" w:lineRule="auto"/>
      <w:outlineLvl w:val="0"/>
    </w:pPr>
    <w:rPr>
      <w:b/>
      <w:bCs/>
      <w:sz w:val="44"/>
      <w:szCs w:val="44"/>
    </w:rPr>
  </w:style>
  <w:style w:type="paragraph" w:styleId="1064">
    <w:name w:val="Heading 2"/>
    <w:basedOn w:val="1062"/>
    <w:next w:val="106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65">
    <w:name w:val="Heading 3"/>
    <w:basedOn w:val="1062"/>
    <w:next w:val="1069"/>
    <w:uiPriority w:val="9"/>
    <w:unhideWhenUsed/>
    <w:qFormat/>
    <w:pPr>
      <w:keepLines/>
      <w:keepNext/>
      <w:spacing w:before="260" w:after="260" w:line="416" w:lineRule="auto"/>
      <w:outlineLvl w:val="2"/>
    </w:pPr>
    <w:rPr>
      <w:b/>
      <w:bCs/>
      <w:sz w:val="32"/>
      <w:szCs w:val="32"/>
    </w:rPr>
  </w:style>
  <w:style w:type="paragraph" w:styleId="1066">
    <w:name w:val="Heading 4"/>
    <w:basedOn w:val="1062"/>
    <w:next w:val="1062"/>
    <w:uiPriority w:val="9"/>
    <w:unhideWhenUsed/>
    <w:qFormat/>
    <w:pPr>
      <w:keepLines/>
      <w:keepNext/>
      <w:spacing w:before="320" w:after="200"/>
      <w:outlineLvl w:val="3"/>
    </w:pPr>
    <w:rPr>
      <w:rFonts w:ascii="Arial" w:hAnsi="Arial" w:eastAsia="Arial" w:cs="Arial"/>
      <w:b/>
      <w:bCs/>
      <w:sz w:val="26"/>
      <w:szCs w:val="26"/>
    </w:rPr>
  </w:style>
  <w:style w:type="character" w:styleId="1067" w:default="1">
    <w:name w:val="Default Paragraph Font"/>
    <w:uiPriority w:val="0"/>
    <w:semiHidden/>
    <w:qFormat/>
  </w:style>
  <w:style w:type="table" w:styleId="1068" w:default="1">
    <w:name w:val="Normal Table"/>
    <w:uiPriority w:val="0"/>
    <w:semiHidden/>
    <w:qFormat/>
    <w:tblPr>
      <w:tblCellMar>
        <w:left w:w="108" w:type="dxa"/>
        <w:top w:w="0" w:type="dxa"/>
        <w:right w:w="108" w:type="dxa"/>
        <w:bottom w:w="0" w:type="dxa"/>
      </w:tblCellMar>
    </w:tblPr>
  </w:style>
  <w:style w:type="paragraph" w:styleId="1069">
    <w:name w:val="Normal Indent"/>
    <w:basedOn w:val="1062"/>
    <w:uiPriority w:val="0"/>
    <w:qFormat/>
    <w:pPr>
      <w:ind w:firstLine="420"/>
    </w:pPr>
  </w:style>
  <w:style w:type="paragraph" w:styleId="1070">
    <w:name w:val="Body Text"/>
    <w:basedOn w:val="1062"/>
    <w:next w:val="1062"/>
    <w:uiPriority w:val="0"/>
    <w:qFormat/>
    <w:rPr>
      <w:rFonts w:eastAsia="楷体_GB2312"/>
      <w:b/>
      <w:bCs/>
      <w:color w:val="ff0000"/>
      <w:sz w:val="32"/>
      <w:szCs w:val="32"/>
      <w:lang w:val="zh-CN"/>
    </w:rPr>
  </w:style>
  <w:style w:type="paragraph" w:styleId="1071">
    <w:name w:val="Body Text Indent"/>
    <w:basedOn w:val="1062"/>
    <w:next w:val="1072"/>
    <w:uiPriority w:val="0"/>
    <w:qFormat/>
    <w:pPr>
      <w:ind w:firstLine="645"/>
    </w:pPr>
    <w:rPr>
      <w:rFonts w:ascii="楷体_GB2312" w:eastAsia="楷体_GB2312"/>
      <w:sz w:val="32"/>
      <w:szCs w:val="20"/>
    </w:rPr>
  </w:style>
  <w:style w:type="paragraph" w:styleId="1072">
    <w:name w:val="envelope return"/>
    <w:basedOn w:val="1062"/>
    <w:uiPriority w:val="99"/>
    <w:qFormat/>
    <w:rPr>
      <w:rFonts w:ascii="Arial" w:hAnsi="Arial"/>
    </w:rPr>
  </w:style>
  <w:style w:type="paragraph" w:styleId="1073">
    <w:name w:val="Block Text"/>
    <w:basedOn w:val="1062"/>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1074">
    <w:name w:val="Plain Text"/>
    <w:basedOn w:val="1062"/>
    <w:uiPriority w:val="0"/>
    <w:qFormat/>
    <w:rPr>
      <w:rFonts w:ascii="宋体" w:hAnsi="Courier New" w:eastAsia="宋体" w:cs="Times New Roman"/>
      <w:szCs w:val="20"/>
    </w:rPr>
  </w:style>
  <w:style w:type="paragraph" w:styleId="1075">
    <w:name w:val="Footer"/>
    <w:basedOn w:val="1062"/>
    <w:uiPriority w:val="99"/>
    <w:unhideWhenUsed/>
    <w:qFormat/>
    <w:pPr>
      <w:jc w:val="left"/>
      <w:tabs>
        <w:tab w:val="center" w:pos="4153" w:leader="none"/>
        <w:tab w:val="right" w:pos="8306" w:leader="none"/>
      </w:tabs>
    </w:pPr>
    <w:rPr>
      <w:sz w:val="18"/>
      <w:szCs w:val="18"/>
    </w:rPr>
  </w:style>
  <w:style w:type="paragraph" w:styleId="1076">
    <w:name w:val="Header"/>
    <w:basedOn w:val="1062"/>
    <w:next w:val="10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77" w:customStyle="1">
    <w:name w:val="Quote1"/>
    <w:basedOn w:val="1062"/>
    <w:next w:val="1062"/>
    <w:uiPriority w:val="99"/>
    <w:qFormat/>
    <w:pPr>
      <w:ind w:left="864" w:right="864"/>
      <w:jc w:val="center"/>
      <w:spacing w:before="200" w:after="160"/>
      <w:widowControl/>
    </w:pPr>
    <w:rPr>
      <w:rFonts w:ascii="宋体"/>
      <w:i/>
      <w:color w:val="404040"/>
    </w:rPr>
  </w:style>
  <w:style w:type="paragraph" w:styleId="1078">
    <w:name w:val="toc 1"/>
    <w:basedOn w:val="1062"/>
    <w:next w:val="1062"/>
    <w:uiPriority w:val="39"/>
    <w:unhideWhenUsed/>
    <w:qFormat/>
  </w:style>
  <w:style w:type="paragraph" w:styleId="1079">
    <w:name w:val="Body Text First Indent"/>
    <w:basedOn w:val="1070"/>
    <w:uiPriority w:val="99"/>
    <w:unhideWhenUsed/>
    <w:qFormat/>
    <w:pPr>
      <w:ind w:firstLine="420"/>
    </w:pPr>
  </w:style>
  <w:style w:type="table" w:styleId="1080">
    <w:name w:val="Table Grid"/>
    <w:basedOn w:val="10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name w:val="Hyperlink"/>
    <w:uiPriority w:val="99"/>
    <w:qFormat/>
    <w:rPr>
      <w:color w:val="0000ff"/>
      <w:u w:val="none"/>
    </w:rPr>
  </w:style>
  <w:style w:type="character" w:styleId="1082">
    <w:name w:val="annotation reference"/>
    <w:uiPriority w:val="0"/>
    <w:qFormat/>
    <w:rPr>
      <w:sz w:val="21"/>
      <w:szCs w:val="21"/>
    </w:rPr>
  </w:style>
  <w:style w:type="paragraph" w:styleId="1083" w:customStyle="1">
    <w:name w:val="Table Text"/>
    <w:basedOn w:val="1062"/>
    <w:uiPriority w:val="0"/>
    <w:semiHidden/>
    <w:qFormat/>
    <w:rPr>
      <w:rFonts w:ascii="宋体" w:hAnsi="宋体" w:eastAsia="宋体" w:cs="宋体"/>
      <w:sz w:val="24"/>
      <w:szCs w:val="24"/>
      <w:lang w:val="en-US" w:eastAsia="en-US" w:bidi="ar-SA"/>
    </w:rPr>
  </w:style>
  <w:style w:type="table" w:styleId="1084" w:customStyle="1">
    <w:name w:val="Table Normal"/>
    <w:uiPriority w:val="0"/>
    <w:unhideWhenUsed/>
    <w:qFormat/>
    <w:tblPr>
      <w:tblCellMar>
        <w:left w:w="0" w:type="dxa"/>
        <w:top w:w="0" w:type="dxa"/>
        <w:right w:w="0" w:type="dxa"/>
        <w:bottom w:w="0" w:type="dxa"/>
      </w:tblCellMar>
    </w:tblPr>
  </w:style>
  <w:style w:type="paragraph" w:styleId="1085" w:customStyle="1">
    <w:name w:val="Default"/>
    <w:uiPriority w:val="99"/>
    <w:qFormat/>
    <w:pPr>
      <w:widowControl w:val="off"/>
    </w:pPr>
    <w:rPr>
      <w:rFonts w:hint="default" w:ascii="MS Mincho" w:hAnsi="Calibri" w:eastAsia="宋体" w:cs="Times New Roman"/>
      <w:color w:val="000000"/>
      <w:sz w:val="21"/>
      <w:szCs w:val="24"/>
    </w:rPr>
  </w:style>
  <w:style w:type="paragraph" w:styleId="1086" w:customStyle="1">
    <w:name w:val="Char"/>
    <w:basedOn w:val="1062"/>
    <w:uiPriority w:val="0"/>
    <w:qFormat/>
    <w:pPr>
      <w:ind w:firstLine="200"/>
      <w:tabs>
        <w:tab w:val="left" w:pos="360" w:leader="none"/>
      </w:tabs>
    </w:pPr>
    <w:rPr>
      <w:sz w:val="28"/>
      <w:szCs w:val="30"/>
    </w:rPr>
  </w:style>
  <w:style w:type="paragraph" w:styleId="1087" w:customStyle="1">
    <w:name w:val="普通正文"/>
    <w:basedOn w:val="1062"/>
    <w:uiPriority w:val="0"/>
    <w:qFormat/>
    <w:pPr>
      <w:ind w:firstLine="480"/>
      <w:jc w:val="left"/>
      <w:spacing w:before="120" w:after="120" w:line="360" w:lineRule="auto"/>
    </w:pPr>
    <w:rPr>
      <w:rFonts w:ascii="Arial" w:hAnsi="Arial"/>
      <w:sz w:val="24"/>
      <w:szCs w:val="24"/>
    </w:rPr>
  </w:style>
  <w:style w:type="paragraph" w:styleId="1088">
    <w:name w:val="List Paragraph"/>
    <w:basedOn w:val="1062"/>
    <w:uiPriority w:val="0"/>
    <w:qFormat/>
    <w:pPr>
      <w:ind w:firstLine="420"/>
    </w:pPr>
    <w:rPr>
      <w:rFonts w:ascii="Calibri" w:hAnsi="Calibri"/>
      <w:szCs w:val="22"/>
    </w:rPr>
  </w:style>
  <w:style w:type="paragraph" w:styleId="1089"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1090" w:customStyle="1">
    <w:name w:val="列表段落1"/>
    <w:basedOn w:val="1062"/>
    <w:uiPriority w:val="99"/>
    <w:qFormat/>
    <w:pPr>
      <w:ind w:firstLine="420"/>
      <w:jc w:val="left"/>
    </w:pPr>
    <w:rPr>
      <w:rFonts w:ascii="宋体" w:hAnsi="宋体" w:eastAsia="宋体" w:cs="宋体"/>
      <w:sz w:val="22"/>
      <w:lang w:val="zh-CN" w:bidi="zh-CN"/>
    </w:rPr>
  </w:style>
  <w:style w:type="paragraph" w:styleId="1091" w:customStyle="1">
    <w:name w:val="列出段落4"/>
    <w:basedOn w:val="1062"/>
    <w:uiPriority w:val="99"/>
    <w:unhideWhenUsed/>
    <w:qFormat/>
    <w:pPr>
      <w:ind w:firstLine="420"/>
      <w:spacing w:line="240" w:lineRule="auto"/>
    </w:pPr>
    <w:rPr>
      <w:rFonts w:ascii="Calibri" w:hAnsi="Calibri" w:eastAsia="楷体"/>
      <w:sz w:val="21"/>
      <w:szCs w:val="22"/>
    </w:rPr>
  </w:style>
  <w:style w:type="paragraph" w:styleId="1092" w:customStyle="1">
    <w:name w:val="标题 31"/>
    <w:next w:val="1062"/>
    <w:uiPriority w:val="0"/>
    <w:qFormat/>
    <w:pPr>
      <w:jc w:val="both"/>
      <w:keepLines/>
      <w:keepNext/>
      <w:spacing w:before="260" w:after="260" w:line="416" w:lineRule="auto"/>
      <w:widowControl w:val="off"/>
      <w:outlineLvl w:val="2"/>
    </w:pPr>
    <w:rPr>
      <w:rFonts w:ascii="Times New Roman" w:hAnsi="Times New Roman" w:eastAsiaTheme="minorEastAsia" w:cstheme="minorBidi"/>
      <w:b/>
      <w:bCs/>
      <w:sz w:val="32"/>
      <w:szCs w:val="32"/>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宣茹曼</cp:lastModifiedBy>
  <cp:revision>3</cp:revision>
  <dcterms:created xsi:type="dcterms:W3CDTF">2024-04-18T07:05:00Z</dcterms:created>
  <dcterms:modified xsi:type="dcterms:W3CDTF">2026-05-18T08:34:11Z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CBB86247D6384C188AEA7A3496B69BD4_11</vt:lpwstr>
  </property>
  <property fmtid="{D5CDD505-2E9C-101B-9397-08002B2CF9AE}" pid="4" name="KSOTemplateDocerSaveRecord">
    <vt:lpwstr>eyJoZGlkIjoiYjVjMjFkNDdkZGZkZWJlOGJiNjNmMjUzOWIyNTkwMmIiLCJ1c2VySWQiOiIyNTgwNDk4MzkifQ==</vt:lpwstr>
  </property>
</Properties>
</file>