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A52DA4">
      <w:pPr>
        <w:pStyle w:val="297"/>
        <w:ind w:firstLine="0"/>
        <w:jc w:val="center"/>
        <w:rPr>
          <w:rFonts w:ascii="宋体" w:hAnsi="宋体" w:cs="宋体"/>
          <w:b/>
          <w:bCs/>
          <w:color w:val="auto"/>
          <w:sz w:val="84"/>
          <w:highlight w:val="none"/>
        </w:rPr>
      </w:pPr>
    </w:p>
    <w:p w14:paraId="2C713139">
      <w:pPr>
        <w:pStyle w:val="297"/>
        <w:ind w:firstLine="0"/>
        <w:jc w:val="center"/>
        <w:rPr>
          <w:rFonts w:ascii="宋体" w:hAnsi="宋体" w:cs="宋体"/>
          <w:b/>
          <w:bCs/>
          <w:color w:val="auto"/>
          <w:sz w:val="84"/>
          <w:highlight w:val="none"/>
        </w:rPr>
      </w:pPr>
      <w:r>
        <w:rPr>
          <w:rFonts w:hint="eastAsia" w:ascii="宋体" w:hAnsi="宋体" w:cs="宋体"/>
          <w:b/>
          <w:bCs/>
          <w:color w:val="auto"/>
          <w:sz w:val="84"/>
          <w:highlight w:val="none"/>
        </w:rPr>
        <w:t>招　标　文　件</w:t>
      </w:r>
    </w:p>
    <w:p w14:paraId="17FBB050">
      <w:pPr>
        <w:pStyle w:val="297"/>
        <w:ind w:firstLine="0"/>
        <w:jc w:val="center"/>
        <w:rPr>
          <w:rFonts w:ascii="宋体" w:hAnsi="宋体" w:cs="宋体"/>
          <w:b/>
          <w:bCs/>
          <w:color w:val="auto"/>
          <w:sz w:val="32"/>
          <w:highlight w:val="none"/>
        </w:rPr>
      </w:pPr>
    </w:p>
    <w:p w14:paraId="06ADF66B">
      <w:pPr>
        <w:pStyle w:val="297"/>
        <w:ind w:firstLine="0"/>
        <w:jc w:val="center"/>
        <w:rPr>
          <w:rFonts w:ascii="宋体" w:hAnsi="宋体" w:cs="宋体"/>
          <w:b/>
          <w:bCs/>
          <w:color w:val="auto"/>
          <w:sz w:val="32"/>
          <w:highlight w:val="none"/>
        </w:rPr>
      </w:pPr>
    </w:p>
    <w:p w14:paraId="6C68926C">
      <w:pPr>
        <w:pStyle w:val="297"/>
        <w:spacing w:before="0" w:after="0" w:line="480" w:lineRule="auto"/>
        <w:ind w:firstLine="643" w:firstLineChars="200"/>
        <w:jc w:val="both"/>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lang w:eastAsia="zh-CN"/>
        </w:rPr>
        <w:t>江苏省新海高级中学拔尖创新人才培养项目（</w:t>
      </w:r>
      <w:r>
        <w:rPr>
          <w:rFonts w:hint="eastAsia" w:ascii="宋体" w:hAnsi="宋体" w:cs="宋体"/>
          <w:b/>
          <w:bCs/>
          <w:color w:val="auto"/>
          <w:sz w:val="32"/>
          <w:szCs w:val="32"/>
          <w:highlight w:val="none"/>
          <w:lang w:val="en-US" w:eastAsia="zh-CN"/>
        </w:rPr>
        <w:t>专门面向中小企业）</w:t>
      </w:r>
    </w:p>
    <w:p w14:paraId="69FCC4E3">
      <w:pPr>
        <w:spacing w:line="480" w:lineRule="auto"/>
        <w:ind w:firstLine="643" w:firstLineChars="200"/>
        <w:rPr>
          <w:rFonts w:ascii="宋体" w:hAnsi="宋体" w:cs="宋体"/>
          <w:b/>
          <w:bCs/>
          <w:color w:val="auto"/>
          <w:sz w:val="32"/>
          <w:szCs w:val="32"/>
          <w:highlight w:val="none"/>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eastAsia="zh-CN"/>
        </w:rPr>
        <w:t>JSZC-320700-BHXM-G2026-0004</w:t>
      </w:r>
    </w:p>
    <w:p w14:paraId="5EEC6C3D">
      <w:pPr>
        <w:pStyle w:val="297"/>
        <w:spacing w:before="0" w:after="0"/>
        <w:ind w:firstLine="0"/>
        <w:rPr>
          <w:rFonts w:ascii="宋体" w:hAnsi="宋体" w:cs="宋体"/>
          <w:b/>
          <w:bCs/>
          <w:color w:val="auto"/>
          <w:highlight w:val="none"/>
        </w:rPr>
      </w:pPr>
    </w:p>
    <w:p w14:paraId="4E74AE59">
      <w:pPr>
        <w:pStyle w:val="297"/>
        <w:spacing w:before="0" w:after="0"/>
        <w:ind w:firstLine="0"/>
        <w:rPr>
          <w:rFonts w:ascii="宋体" w:hAnsi="宋体" w:cs="宋体"/>
          <w:b/>
          <w:bCs/>
          <w:color w:val="auto"/>
          <w:highlight w:val="none"/>
        </w:rPr>
      </w:pPr>
    </w:p>
    <w:p w14:paraId="7A915729">
      <w:pPr>
        <w:spacing w:line="480" w:lineRule="auto"/>
        <w:ind w:firstLine="1606" w:firstLineChars="500"/>
        <w:jc w:val="left"/>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采   购   人：</w:t>
      </w:r>
      <w:r>
        <w:rPr>
          <w:rFonts w:hint="eastAsia" w:ascii="宋体" w:hAnsi="宋体" w:cs="宋体"/>
          <w:b/>
          <w:bCs/>
          <w:color w:val="auto"/>
          <w:sz w:val="32"/>
          <w:szCs w:val="32"/>
          <w:highlight w:val="none"/>
          <w:lang w:eastAsia="zh-CN"/>
        </w:rPr>
        <w:t>江苏省新海高级中学</w:t>
      </w:r>
    </w:p>
    <w:p w14:paraId="1D183D15">
      <w:pPr>
        <w:pStyle w:val="297"/>
        <w:spacing w:before="0" w:after="0" w:line="480" w:lineRule="auto"/>
        <w:ind w:firstLine="0"/>
        <w:jc w:val="center"/>
        <w:rPr>
          <w:rFonts w:hint="eastAsia" w:ascii="宋体" w:hAnsi="宋体" w:eastAsia="宋体" w:cs="宋体"/>
          <w:color w:val="auto"/>
          <w:sz w:val="32"/>
          <w:szCs w:val="32"/>
          <w:highlight w:val="none"/>
          <w:lang w:eastAsia="zh-CN"/>
        </w:rPr>
      </w:pPr>
      <w:r>
        <w:rPr>
          <w:rFonts w:hint="eastAsia" w:ascii="宋体" w:hAnsi="宋体" w:cs="宋体"/>
          <w:b/>
          <w:bCs/>
          <w:color w:val="auto"/>
          <w:sz w:val="32"/>
          <w:szCs w:val="32"/>
          <w:highlight w:val="none"/>
        </w:rPr>
        <w:t>采购代理机构：</w:t>
      </w:r>
      <w:r>
        <w:rPr>
          <w:rFonts w:hint="eastAsia" w:ascii="宋体" w:hAnsi="宋体" w:cs="宋体"/>
          <w:b/>
          <w:bCs/>
          <w:color w:val="auto"/>
          <w:sz w:val="32"/>
          <w:szCs w:val="32"/>
          <w:highlight w:val="none"/>
          <w:lang w:eastAsia="zh-CN"/>
        </w:rPr>
        <w:t>江苏宝宏项目管理咨询有限公司</w:t>
      </w:r>
    </w:p>
    <w:p w14:paraId="1FF4DFF6">
      <w:pPr>
        <w:pStyle w:val="297"/>
        <w:spacing w:before="0" w:after="0" w:line="480" w:lineRule="auto"/>
        <w:ind w:firstLine="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4</w:t>
      </w:r>
      <w:r>
        <w:rPr>
          <w:rFonts w:hint="eastAsia" w:ascii="宋体" w:hAnsi="宋体" w:cs="宋体"/>
          <w:b/>
          <w:bCs/>
          <w:color w:val="auto"/>
          <w:sz w:val="32"/>
          <w:szCs w:val="32"/>
          <w:highlight w:val="none"/>
        </w:rPr>
        <w:t>月</w:t>
      </w:r>
    </w:p>
    <w:p w14:paraId="5D668B12">
      <w:pPr>
        <w:pStyle w:val="297"/>
        <w:spacing w:before="0" w:after="0"/>
        <w:ind w:firstLine="0"/>
        <w:jc w:val="both"/>
        <w:rPr>
          <w:rFonts w:ascii="宋体" w:hAnsi="宋体" w:cs="宋体"/>
          <w:color w:val="auto"/>
          <w:highlight w:val="none"/>
        </w:rPr>
      </w:pPr>
    </w:p>
    <w:p w14:paraId="432789A4">
      <w:pPr>
        <w:rPr>
          <w:rFonts w:ascii="宋体" w:hAnsi="宋体" w:cs="宋体"/>
          <w:color w:val="auto"/>
          <w:sz w:val="44"/>
          <w:highlight w:val="none"/>
        </w:rPr>
      </w:pPr>
      <w:bookmarkStart w:id="0" w:name="_Toc2559"/>
      <w:bookmarkStart w:id="1" w:name="_Toc3486"/>
      <w:bookmarkStart w:id="2" w:name="_Toc120614210"/>
      <w:bookmarkStart w:id="3" w:name="_Toc20823272"/>
      <w:bookmarkStart w:id="4" w:name="_Toc513029200"/>
      <w:bookmarkStart w:id="5" w:name="_Toc479757206"/>
      <w:bookmarkStart w:id="6" w:name="_Toc523127445"/>
      <w:bookmarkStart w:id="7" w:name="_Toc16938516"/>
      <w:r>
        <w:rPr>
          <w:rFonts w:hint="eastAsia" w:ascii="宋体" w:hAnsi="宋体" w:cs="宋体"/>
          <w:color w:val="auto"/>
          <w:sz w:val="44"/>
          <w:highlight w:val="none"/>
        </w:rPr>
        <w:br w:type="page"/>
      </w:r>
    </w:p>
    <w:p w14:paraId="6F0B91A8">
      <w:pPr>
        <w:pStyle w:val="297"/>
        <w:spacing w:before="0" w:after="0" w:line="480" w:lineRule="auto"/>
        <w:ind w:firstLine="0"/>
        <w:jc w:val="center"/>
        <w:rPr>
          <w:rFonts w:ascii="宋体" w:hAnsi="宋体" w:cs="宋体"/>
          <w:color w:val="auto"/>
          <w:sz w:val="44"/>
          <w:highlight w:val="none"/>
        </w:rPr>
      </w:pPr>
      <w:r>
        <w:rPr>
          <w:rFonts w:hint="eastAsia" w:ascii="宋体" w:hAnsi="宋体" w:cs="宋体"/>
          <w:color w:val="auto"/>
          <w:sz w:val="44"/>
          <w:highlight w:val="none"/>
        </w:rPr>
        <w:t>总  目  录</w:t>
      </w:r>
      <w:bookmarkEnd w:id="0"/>
      <w:bookmarkEnd w:id="1"/>
    </w:p>
    <w:p w14:paraId="7574946D">
      <w:pPr>
        <w:pStyle w:val="24"/>
        <w:tabs>
          <w:tab w:val="right" w:leader="hyphen" w:pos="8953"/>
        </w:tabs>
        <w:spacing w:after="0" w:line="480" w:lineRule="auto"/>
        <w:rPr>
          <w:color w:val="auto"/>
          <w:sz w:val="30"/>
          <w:szCs w:val="30"/>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TOC \o "1-3" \h \u </w:instrText>
      </w:r>
      <w:r>
        <w:rPr>
          <w:rFonts w:hint="eastAsia" w:ascii="宋体" w:hAnsi="宋体" w:cs="宋体"/>
          <w:color w:val="auto"/>
          <w:sz w:val="28"/>
          <w:highlight w:val="none"/>
        </w:rPr>
        <w:fldChar w:fldCharType="separate"/>
      </w:r>
      <w:r>
        <w:rPr>
          <w:color w:val="auto"/>
          <w:highlight w:val="none"/>
        </w:rPr>
        <w:fldChar w:fldCharType="begin"/>
      </w:r>
      <w:r>
        <w:rPr>
          <w:color w:val="auto"/>
          <w:highlight w:val="none"/>
        </w:rPr>
        <w:instrText xml:space="preserve"> HYPERLINK \l "_Toc7586" </w:instrText>
      </w:r>
      <w:r>
        <w:rPr>
          <w:color w:val="auto"/>
          <w:highlight w:val="none"/>
        </w:rPr>
        <w:fldChar w:fldCharType="separate"/>
      </w:r>
      <w:r>
        <w:rPr>
          <w:rFonts w:hint="eastAsia"/>
          <w:color w:val="auto"/>
          <w:sz w:val="30"/>
          <w:szCs w:val="30"/>
          <w:highlight w:val="none"/>
        </w:rPr>
        <w:t>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_Toc7586 \h </w:instrText>
      </w:r>
      <w:r>
        <w:rPr>
          <w:color w:val="auto"/>
          <w:sz w:val="30"/>
          <w:szCs w:val="30"/>
          <w:highlight w:val="none"/>
        </w:rPr>
        <w:fldChar w:fldCharType="separate"/>
      </w:r>
      <w:r>
        <w:rPr>
          <w:color w:val="auto"/>
          <w:sz w:val="30"/>
          <w:szCs w:val="30"/>
          <w:highlight w:val="none"/>
        </w:rPr>
        <w:t>1</w:t>
      </w:r>
      <w:r>
        <w:rPr>
          <w:color w:val="auto"/>
          <w:sz w:val="30"/>
          <w:szCs w:val="30"/>
          <w:highlight w:val="none"/>
        </w:rPr>
        <w:fldChar w:fldCharType="end"/>
      </w:r>
      <w:r>
        <w:rPr>
          <w:color w:val="auto"/>
          <w:sz w:val="30"/>
          <w:szCs w:val="30"/>
          <w:highlight w:val="none"/>
        </w:rPr>
        <w:fldChar w:fldCharType="end"/>
      </w:r>
    </w:p>
    <w:p w14:paraId="1664B0EE">
      <w:pPr>
        <w:pStyle w:val="30"/>
        <w:tabs>
          <w:tab w:val="right" w:leader="hyphen" w:pos="8953"/>
        </w:tabs>
        <w:spacing w:after="0" w:line="480" w:lineRule="auto"/>
        <w:ind w:left="0"/>
        <w:rPr>
          <w:color w:val="auto"/>
          <w:sz w:val="30"/>
          <w:szCs w:val="30"/>
          <w:highlight w:val="none"/>
        </w:rPr>
      </w:pPr>
      <w:r>
        <w:rPr>
          <w:color w:val="auto"/>
          <w:highlight w:val="none"/>
        </w:rPr>
        <w:fldChar w:fldCharType="begin"/>
      </w:r>
      <w:r>
        <w:rPr>
          <w:color w:val="auto"/>
          <w:highlight w:val="none"/>
        </w:rPr>
        <w:instrText xml:space="preserve"> HYPERLINK \l "_Toc8942" </w:instrText>
      </w:r>
      <w:r>
        <w:rPr>
          <w:color w:val="auto"/>
          <w:highlight w:val="none"/>
        </w:rPr>
        <w:fldChar w:fldCharType="separate"/>
      </w:r>
      <w:r>
        <w:rPr>
          <w:rFonts w:hint="eastAsia"/>
          <w:color w:val="auto"/>
          <w:sz w:val="30"/>
          <w:szCs w:val="30"/>
          <w:highlight w:val="none"/>
        </w:rPr>
        <w:t>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_Toc8942 \h </w:instrText>
      </w:r>
      <w:r>
        <w:rPr>
          <w:color w:val="auto"/>
          <w:sz w:val="30"/>
          <w:szCs w:val="30"/>
          <w:highlight w:val="none"/>
        </w:rPr>
        <w:fldChar w:fldCharType="separate"/>
      </w:r>
      <w:r>
        <w:rPr>
          <w:color w:val="auto"/>
          <w:sz w:val="30"/>
          <w:szCs w:val="30"/>
          <w:highlight w:val="none"/>
        </w:rPr>
        <w:t>6</w:t>
      </w:r>
      <w:r>
        <w:rPr>
          <w:color w:val="auto"/>
          <w:sz w:val="30"/>
          <w:szCs w:val="30"/>
          <w:highlight w:val="none"/>
        </w:rPr>
        <w:fldChar w:fldCharType="end"/>
      </w:r>
      <w:r>
        <w:rPr>
          <w:color w:val="auto"/>
          <w:sz w:val="30"/>
          <w:szCs w:val="30"/>
          <w:highlight w:val="none"/>
        </w:rPr>
        <w:fldChar w:fldCharType="end"/>
      </w:r>
    </w:p>
    <w:p w14:paraId="1B9AB573">
      <w:pPr>
        <w:pStyle w:val="24"/>
        <w:tabs>
          <w:tab w:val="right" w:leader="hyphen" w:pos="8953"/>
        </w:tabs>
        <w:spacing w:after="0" w:line="480" w:lineRule="auto"/>
        <w:rPr>
          <w:color w:val="auto"/>
          <w:sz w:val="30"/>
          <w:szCs w:val="30"/>
          <w:highlight w:val="none"/>
        </w:rPr>
      </w:pPr>
      <w:r>
        <w:rPr>
          <w:color w:val="auto"/>
          <w:highlight w:val="none"/>
        </w:rPr>
        <w:fldChar w:fldCharType="begin"/>
      </w:r>
      <w:r>
        <w:rPr>
          <w:color w:val="auto"/>
          <w:highlight w:val="none"/>
        </w:rPr>
        <w:instrText xml:space="preserve"> HYPERLINK \l "_Toc10779" </w:instrText>
      </w:r>
      <w:r>
        <w:rPr>
          <w:color w:val="auto"/>
          <w:highlight w:val="none"/>
        </w:rPr>
        <w:fldChar w:fldCharType="separate"/>
      </w:r>
      <w:r>
        <w:rPr>
          <w:rFonts w:hint="eastAsia" w:ascii="Arial" w:hAnsi="Arial" w:cs="Arial"/>
          <w:color w:val="auto"/>
          <w:sz w:val="30"/>
          <w:szCs w:val="30"/>
          <w:highlight w:val="none"/>
        </w:rPr>
        <w:t>第三章  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_Toc10779 \h </w:instrText>
      </w:r>
      <w:r>
        <w:rPr>
          <w:color w:val="auto"/>
          <w:sz w:val="30"/>
          <w:szCs w:val="30"/>
          <w:highlight w:val="none"/>
        </w:rPr>
        <w:fldChar w:fldCharType="separate"/>
      </w:r>
      <w:r>
        <w:rPr>
          <w:color w:val="auto"/>
          <w:sz w:val="30"/>
          <w:szCs w:val="30"/>
          <w:highlight w:val="none"/>
        </w:rPr>
        <w:t>21</w:t>
      </w:r>
      <w:r>
        <w:rPr>
          <w:color w:val="auto"/>
          <w:sz w:val="30"/>
          <w:szCs w:val="30"/>
          <w:highlight w:val="none"/>
        </w:rPr>
        <w:fldChar w:fldCharType="end"/>
      </w:r>
      <w:r>
        <w:rPr>
          <w:color w:val="auto"/>
          <w:sz w:val="30"/>
          <w:szCs w:val="30"/>
          <w:highlight w:val="none"/>
        </w:rPr>
        <w:fldChar w:fldCharType="end"/>
      </w:r>
    </w:p>
    <w:p w14:paraId="0C1D8327">
      <w:pPr>
        <w:pStyle w:val="24"/>
        <w:tabs>
          <w:tab w:val="right" w:leader="hyphen" w:pos="8953"/>
        </w:tabs>
        <w:spacing w:after="0" w:line="480" w:lineRule="auto"/>
        <w:rPr>
          <w:color w:val="auto"/>
          <w:sz w:val="30"/>
          <w:szCs w:val="30"/>
          <w:highlight w:val="none"/>
        </w:rPr>
      </w:pPr>
      <w:r>
        <w:rPr>
          <w:color w:val="auto"/>
          <w:highlight w:val="none"/>
        </w:rPr>
        <w:fldChar w:fldCharType="begin"/>
      </w:r>
      <w:r>
        <w:rPr>
          <w:color w:val="auto"/>
          <w:highlight w:val="none"/>
        </w:rPr>
        <w:instrText xml:space="preserve"> HYPERLINK \l "_Toc6127" </w:instrText>
      </w:r>
      <w:r>
        <w:rPr>
          <w:color w:val="auto"/>
          <w:highlight w:val="none"/>
        </w:rPr>
        <w:fldChar w:fldCharType="separate"/>
      </w:r>
      <w:r>
        <w:rPr>
          <w:rFonts w:hint="eastAsia" w:ascii="宋体" w:hAnsi="宋体" w:cs="宋体"/>
          <w:color w:val="auto"/>
          <w:sz w:val="30"/>
          <w:szCs w:val="30"/>
          <w:highlight w:val="none"/>
        </w:rPr>
        <w:t xml:space="preserve">第四章 </w:t>
      </w:r>
      <w:r>
        <w:rPr>
          <w:rFonts w:hint="eastAsia" w:hAnsi="宋体" w:cs="宋体"/>
          <w:color w:val="auto"/>
          <w:sz w:val="30"/>
          <w:szCs w:val="30"/>
          <w:highlight w:val="none"/>
        </w:rPr>
        <w:t xml:space="preserve"> </w:t>
      </w:r>
      <w:r>
        <w:rPr>
          <w:rFonts w:hint="eastAsia" w:ascii="宋体" w:hAnsi="宋体" w:cs="宋体"/>
          <w:color w:val="auto"/>
          <w:sz w:val="30"/>
          <w:szCs w:val="30"/>
          <w:highlight w:val="none"/>
        </w:rPr>
        <w:t>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_Toc6127 \h </w:instrText>
      </w:r>
      <w:r>
        <w:rPr>
          <w:color w:val="auto"/>
          <w:sz w:val="30"/>
          <w:szCs w:val="30"/>
          <w:highlight w:val="none"/>
        </w:rPr>
        <w:fldChar w:fldCharType="separate"/>
      </w:r>
      <w:r>
        <w:rPr>
          <w:color w:val="auto"/>
          <w:sz w:val="30"/>
          <w:szCs w:val="30"/>
          <w:highlight w:val="none"/>
        </w:rPr>
        <w:t>28</w:t>
      </w:r>
      <w:r>
        <w:rPr>
          <w:color w:val="auto"/>
          <w:sz w:val="30"/>
          <w:szCs w:val="30"/>
          <w:highlight w:val="none"/>
        </w:rPr>
        <w:fldChar w:fldCharType="end"/>
      </w:r>
      <w:r>
        <w:rPr>
          <w:color w:val="auto"/>
          <w:sz w:val="30"/>
          <w:szCs w:val="30"/>
          <w:highlight w:val="none"/>
        </w:rPr>
        <w:fldChar w:fldCharType="end"/>
      </w:r>
    </w:p>
    <w:p w14:paraId="023B6547">
      <w:pPr>
        <w:pStyle w:val="24"/>
        <w:tabs>
          <w:tab w:val="right" w:leader="hyphen" w:pos="8953"/>
        </w:tabs>
        <w:spacing w:after="0" w:line="480" w:lineRule="auto"/>
        <w:rPr>
          <w:color w:val="auto"/>
          <w:sz w:val="30"/>
          <w:szCs w:val="30"/>
          <w:highlight w:val="none"/>
        </w:rPr>
      </w:pPr>
      <w:r>
        <w:rPr>
          <w:color w:val="auto"/>
          <w:highlight w:val="none"/>
        </w:rPr>
        <w:fldChar w:fldCharType="begin"/>
      </w:r>
      <w:r>
        <w:rPr>
          <w:color w:val="auto"/>
          <w:highlight w:val="none"/>
        </w:rPr>
        <w:instrText xml:space="preserve"> HYPERLINK \l "_Toc3818" </w:instrText>
      </w:r>
      <w:r>
        <w:rPr>
          <w:color w:val="auto"/>
          <w:highlight w:val="none"/>
        </w:rPr>
        <w:fldChar w:fldCharType="separate"/>
      </w:r>
      <w:r>
        <w:rPr>
          <w:rFonts w:hint="eastAsia" w:ascii="宋体" w:hAnsi="宋体" w:cs="宋体"/>
          <w:color w:val="auto"/>
          <w:sz w:val="30"/>
          <w:szCs w:val="30"/>
          <w:highlight w:val="none"/>
        </w:rPr>
        <w:t>第五章  评标方法与评标标准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_Toc3818 \h </w:instrText>
      </w:r>
      <w:r>
        <w:rPr>
          <w:color w:val="auto"/>
          <w:sz w:val="30"/>
          <w:szCs w:val="30"/>
          <w:highlight w:val="none"/>
        </w:rPr>
        <w:fldChar w:fldCharType="separate"/>
      </w:r>
      <w:r>
        <w:rPr>
          <w:color w:val="auto"/>
          <w:sz w:val="30"/>
          <w:szCs w:val="30"/>
          <w:highlight w:val="none"/>
        </w:rPr>
        <w:t>32</w:t>
      </w:r>
      <w:r>
        <w:rPr>
          <w:color w:val="auto"/>
          <w:sz w:val="30"/>
          <w:szCs w:val="30"/>
          <w:highlight w:val="none"/>
        </w:rPr>
        <w:fldChar w:fldCharType="end"/>
      </w:r>
      <w:r>
        <w:rPr>
          <w:color w:val="auto"/>
          <w:sz w:val="30"/>
          <w:szCs w:val="30"/>
          <w:highlight w:val="none"/>
        </w:rPr>
        <w:fldChar w:fldCharType="end"/>
      </w:r>
    </w:p>
    <w:p w14:paraId="0F3ADB1A">
      <w:pPr>
        <w:pStyle w:val="24"/>
        <w:tabs>
          <w:tab w:val="right" w:leader="hyphen" w:pos="8953"/>
        </w:tabs>
        <w:spacing w:after="0" w:line="480" w:lineRule="auto"/>
        <w:rPr>
          <w:color w:val="auto"/>
          <w:highlight w:val="none"/>
        </w:rPr>
      </w:pPr>
      <w:r>
        <w:rPr>
          <w:color w:val="auto"/>
          <w:highlight w:val="none"/>
        </w:rPr>
        <w:fldChar w:fldCharType="begin"/>
      </w:r>
      <w:r>
        <w:rPr>
          <w:color w:val="auto"/>
          <w:highlight w:val="none"/>
        </w:rPr>
        <w:instrText xml:space="preserve"> HYPERLINK \l "_Toc10505" </w:instrText>
      </w:r>
      <w:r>
        <w:rPr>
          <w:color w:val="auto"/>
          <w:highlight w:val="none"/>
        </w:rPr>
        <w:fldChar w:fldCharType="separate"/>
      </w:r>
      <w:r>
        <w:rPr>
          <w:rFonts w:hint="eastAsia" w:ascii="宋体" w:hAnsi="宋体" w:cs="宋体"/>
          <w:color w:val="auto"/>
          <w:sz w:val="30"/>
          <w:szCs w:val="30"/>
          <w:highlight w:val="none"/>
        </w:rPr>
        <w:t>第六章  投标文件格式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_Toc10505 \h </w:instrText>
      </w:r>
      <w:r>
        <w:rPr>
          <w:color w:val="auto"/>
          <w:sz w:val="30"/>
          <w:szCs w:val="30"/>
          <w:highlight w:val="none"/>
        </w:rPr>
        <w:fldChar w:fldCharType="separate"/>
      </w:r>
      <w:r>
        <w:rPr>
          <w:color w:val="auto"/>
          <w:sz w:val="30"/>
          <w:szCs w:val="30"/>
          <w:highlight w:val="none"/>
        </w:rPr>
        <w:t>36</w:t>
      </w:r>
      <w:r>
        <w:rPr>
          <w:color w:val="auto"/>
          <w:sz w:val="30"/>
          <w:szCs w:val="30"/>
          <w:highlight w:val="none"/>
        </w:rPr>
        <w:fldChar w:fldCharType="end"/>
      </w:r>
      <w:r>
        <w:rPr>
          <w:color w:val="auto"/>
          <w:sz w:val="30"/>
          <w:szCs w:val="30"/>
          <w:highlight w:val="none"/>
        </w:rPr>
        <w:fldChar w:fldCharType="end"/>
      </w:r>
    </w:p>
    <w:p w14:paraId="7A814DF0">
      <w:pPr>
        <w:spacing w:line="480" w:lineRule="auto"/>
        <w:rPr>
          <w:rFonts w:ascii="宋体" w:hAnsi="宋体" w:cs="宋体"/>
          <w:color w:val="auto"/>
          <w:sz w:val="28"/>
          <w:highlight w:val="none"/>
        </w:rPr>
      </w:pPr>
      <w:r>
        <w:rPr>
          <w:rFonts w:hint="eastAsia" w:ascii="宋体" w:hAnsi="宋体" w:cs="宋体"/>
          <w:color w:val="auto"/>
          <w:highlight w:val="none"/>
        </w:rPr>
        <w:fldChar w:fldCharType="end"/>
      </w:r>
    </w:p>
    <w:p w14:paraId="1BA64401">
      <w:pPr>
        <w:rPr>
          <w:rFonts w:ascii="宋体" w:hAnsi="宋体" w:cs="宋体"/>
          <w:color w:val="auto"/>
          <w:highlight w:val="none"/>
        </w:rPr>
      </w:pPr>
    </w:p>
    <w:p w14:paraId="040F6F86">
      <w:pPr>
        <w:rPr>
          <w:rFonts w:ascii="宋体" w:hAnsi="宋体" w:cs="宋体"/>
          <w:color w:val="auto"/>
          <w:highlight w:val="none"/>
        </w:rPr>
      </w:pPr>
    </w:p>
    <w:p w14:paraId="701F70EC">
      <w:pPr>
        <w:rPr>
          <w:rFonts w:ascii="宋体" w:hAnsi="宋体" w:cs="宋体"/>
          <w:color w:val="auto"/>
          <w:highlight w:val="none"/>
        </w:rPr>
      </w:pPr>
    </w:p>
    <w:p w14:paraId="4C93AF39">
      <w:pPr>
        <w:rPr>
          <w:rFonts w:ascii="宋体" w:hAnsi="宋体" w:cs="宋体"/>
          <w:color w:val="auto"/>
          <w:highlight w:val="none"/>
        </w:rPr>
      </w:pPr>
    </w:p>
    <w:p w14:paraId="15F0AFB7">
      <w:pPr>
        <w:rPr>
          <w:rFonts w:ascii="宋体" w:hAnsi="宋体" w:cs="宋体"/>
          <w:color w:val="auto"/>
          <w:highlight w:val="none"/>
        </w:rPr>
      </w:pPr>
    </w:p>
    <w:p w14:paraId="3BDB0427">
      <w:pPr>
        <w:rPr>
          <w:rFonts w:ascii="宋体" w:hAnsi="宋体" w:cs="宋体"/>
          <w:color w:val="auto"/>
          <w:highlight w:val="none"/>
        </w:rPr>
      </w:pPr>
    </w:p>
    <w:p w14:paraId="60DEE7A5">
      <w:pPr>
        <w:rPr>
          <w:rFonts w:ascii="宋体" w:hAnsi="宋体" w:cs="宋体"/>
          <w:color w:val="auto"/>
          <w:highlight w:val="none"/>
        </w:rPr>
      </w:pPr>
    </w:p>
    <w:p w14:paraId="63BABAD6">
      <w:pPr>
        <w:pStyle w:val="213"/>
        <w:rPr>
          <w:rFonts w:ascii="宋体" w:hAnsi="宋体" w:eastAsia="宋体" w:cs="宋体"/>
          <w:color w:val="auto"/>
          <w:sz w:val="44"/>
          <w:szCs w:val="44"/>
          <w:highlight w:val="none"/>
        </w:rPr>
        <w:sectPr>
          <w:headerReference r:id="rId3" w:type="default"/>
          <w:footerReference r:id="rId4" w:type="default"/>
          <w:pgSz w:w="11906" w:h="16838"/>
          <w:pgMar w:top="1418" w:right="1588" w:bottom="1418" w:left="1365" w:header="851" w:footer="907" w:gutter="0"/>
          <w:cols w:space="1701" w:num="1"/>
          <w:titlePg/>
          <w:docGrid w:linePitch="360" w:charSpace="0"/>
        </w:sectPr>
      </w:pPr>
      <w:bookmarkStart w:id="8" w:name="_Toc1635"/>
    </w:p>
    <w:p w14:paraId="1202AD39">
      <w:pPr>
        <w:pStyle w:val="2"/>
        <w:jc w:val="center"/>
        <w:rPr>
          <w:color w:val="auto"/>
          <w:highlight w:val="none"/>
        </w:rPr>
      </w:pPr>
      <w:bookmarkStart w:id="9" w:name="_Toc7586"/>
      <w:r>
        <w:rPr>
          <w:rFonts w:hint="eastAsia"/>
          <w:color w:val="auto"/>
          <w:highlight w:val="none"/>
        </w:rPr>
        <w:t xml:space="preserve">第一章  </w:t>
      </w:r>
      <w:bookmarkEnd w:id="2"/>
      <w:r>
        <w:rPr>
          <w:rFonts w:hint="eastAsia"/>
          <w:color w:val="auto"/>
          <w:highlight w:val="none"/>
        </w:rPr>
        <w:t>投标邀请</w:t>
      </w:r>
      <w:bookmarkEnd w:id="8"/>
      <w:bookmarkEnd w:id="9"/>
    </w:p>
    <w:p w14:paraId="05E466DD">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受</w:t>
      </w:r>
      <w:r>
        <w:rPr>
          <w:rFonts w:hint="eastAsia" w:ascii="宋体" w:hAnsi="宋体" w:cs="宋体"/>
          <w:color w:val="auto"/>
          <w:sz w:val="24"/>
          <w:szCs w:val="24"/>
          <w:highlight w:val="none"/>
          <w:u w:val="single"/>
          <w:lang w:eastAsia="zh-CN"/>
        </w:rPr>
        <w:t>江苏省新海高级中学</w:t>
      </w:r>
      <w:r>
        <w:rPr>
          <w:rFonts w:hint="eastAsia" w:ascii="宋体" w:hAnsi="宋体" w:cs="宋体"/>
          <w:color w:val="auto"/>
          <w:sz w:val="24"/>
          <w:szCs w:val="24"/>
          <w:highlight w:val="none"/>
        </w:rPr>
        <w:t>的委托，</w:t>
      </w:r>
      <w:r>
        <w:rPr>
          <w:rFonts w:hint="eastAsia" w:ascii="宋体" w:hAnsi="宋体" w:cs="宋体"/>
          <w:color w:val="auto"/>
          <w:sz w:val="24"/>
          <w:szCs w:val="24"/>
          <w:highlight w:val="none"/>
          <w:u w:val="single"/>
          <w:lang w:eastAsia="zh-CN"/>
        </w:rPr>
        <w:t>江苏宝宏项目管理咨询有限公司</w:t>
      </w:r>
      <w:r>
        <w:rPr>
          <w:rFonts w:hint="eastAsia" w:ascii="宋体" w:hAnsi="宋体" w:cs="宋体"/>
          <w:color w:val="auto"/>
          <w:sz w:val="24"/>
          <w:szCs w:val="24"/>
          <w:highlight w:val="none"/>
        </w:rPr>
        <w:t>就</w:t>
      </w:r>
      <w:r>
        <w:rPr>
          <w:rFonts w:hint="eastAsia" w:ascii="宋体" w:hAnsi="宋体" w:cs="宋体"/>
          <w:color w:val="auto"/>
          <w:sz w:val="24"/>
          <w:szCs w:val="24"/>
          <w:highlight w:val="none"/>
          <w:u w:val="single"/>
          <w:lang w:eastAsia="zh-CN"/>
        </w:rPr>
        <w:t>江苏省新海高级中学拔尖创新人才培养项目（</w:t>
      </w:r>
      <w:r>
        <w:rPr>
          <w:rFonts w:hint="eastAsia" w:ascii="宋体" w:hAnsi="宋体" w:cs="宋体"/>
          <w:color w:val="auto"/>
          <w:sz w:val="24"/>
          <w:szCs w:val="24"/>
          <w:highlight w:val="none"/>
          <w:u w:val="single"/>
          <w:lang w:val="en-US" w:eastAsia="zh-CN"/>
        </w:rPr>
        <w:t>专门面向中小企业）</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lang w:eastAsia="zh-CN"/>
        </w:rPr>
        <w:t>JSZC-320700-BHXM-G2026-0004)</w:t>
      </w:r>
      <w:r>
        <w:rPr>
          <w:rFonts w:hint="eastAsia" w:ascii="宋体" w:hAnsi="宋体" w:cs="宋体"/>
          <w:color w:val="auto"/>
          <w:sz w:val="24"/>
          <w:szCs w:val="24"/>
          <w:highlight w:val="none"/>
        </w:rPr>
        <w:t>项目进行</w:t>
      </w:r>
      <w:r>
        <w:rPr>
          <w:rFonts w:hint="eastAsia" w:ascii="宋体" w:hAnsi="宋体" w:cs="宋体"/>
          <w:b/>
          <w:bCs/>
          <w:color w:val="auto"/>
          <w:sz w:val="24"/>
          <w:szCs w:val="24"/>
          <w:highlight w:val="none"/>
        </w:rPr>
        <w:t>公开招标</w:t>
      </w:r>
      <w:r>
        <w:rPr>
          <w:rFonts w:hint="eastAsia" w:ascii="宋体" w:hAnsi="宋体" w:cs="宋体"/>
          <w:color w:val="auto"/>
          <w:sz w:val="24"/>
          <w:szCs w:val="24"/>
          <w:highlight w:val="none"/>
        </w:rPr>
        <w:t>采购，欢迎符合条件的供应商投标。</w:t>
      </w:r>
    </w:p>
    <w:p w14:paraId="2C0D33C8">
      <w:pPr>
        <w:pBdr>
          <w:top w:val="single" w:color="000000" w:sz="4" w:space="1"/>
          <w:left w:val="single" w:color="000000" w:sz="4" w:space="4"/>
          <w:bottom w:val="single" w:color="000000" w:sz="4" w:space="1"/>
          <w:right w:val="single" w:color="000000" w:sz="4" w:space="4"/>
        </w:pBd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15052D25">
      <w:pPr>
        <w:pBdr>
          <w:top w:val="single" w:color="000000" w:sz="4" w:space="1"/>
          <w:left w:val="single" w:color="000000" w:sz="4" w:space="4"/>
          <w:bottom w:val="single" w:color="000000" w:sz="4" w:space="1"/>
          <w:right w:val="single" w:color="000000" w:sz="4" w:space="4"/>
        </w:pBdr>
        <w:spacing w:line="520" w:lineRule="exact"/>
        <w:ind w:firstLine="480"/>
        <w:rPr>
          <w:rFonts w:ascii="宋体" w:hAnsi="宋体" w:cs="宋体"/>
          <w:color w:val="auto"/>
          <w:sz w:val="28"/>
          <w:szCs w:val="28"/>
          <w:highlight w:val="none"/>
        </w:rPr>
      </w:pPr>
      <w:r>
        <w:rPr>
          <w:rFonts w:hint="eastAsia" w:ascii="宋体" w:hAnsi="宋体" w:cs="宋体"/>
          <w:color w:val="auto"/>
          <w:sz w:val="24"/>
          <w:szCs w:val="24"/>
          <w:highlight w:val="none"/>
          <w:u w:val="single"/>
          <w:lang w:eastAsia="zh-CN"/>
        </w:rPr>
        <w:t>江苏省新海高级中学拔尖创新人才培养项目（</w:t>
      </w:r>
      <w:r>
        <w:rPr>
          <w:rFonts w:hint="eastAsia" w:ascii="宋体" w:hAnsi="宋体" w:cs="宋体"/>
          <w:color w:val="auto"/>
          <w:sz w:val="24"/>
          <w:szCs w:val="24"/>
          <w:highlight w:val="none"/>
          <w:u w:val="single"/>
          <w:lang w:val="en-US" w:eastAsia="zh-CN"/>
        </w:rPr>
        <w:t>专门面向中小企业）</w:t>
      </w:r>
      <w:r>
        <w:rPr>
          <w:rFonts w:hint="eastAsia" w:ascii="宋体" w:hAnsi="宋体" w:cs="宋体"/>
          <w:color w:val="auto"/>
          <w:sz w:val="24"/>
          <w:szCs w:val="24"/>
          <w:highlight w:val="none"/>
        </w:rPr>
        <w:t>招标项目的潜在投标人可在</w:t>
      </w:r>
      <w:r>
        <w:rPr>
          <w:rFonts w:hint="eastAsia" w:ascii="宋体" w:hAnsi="宋体" w:cs="宋体"/>
          <w:color w:val="auto"/>
          <w:sz w:val="24"/>
          <w:szCs w:val="24"/>
          <w:highlight w:val="none"/>
          <w:u w:val="single"/>
        </w:rPr>
        <w:t>“江苏政府采购网”“苏采云系统”内自行免费下载</w:t>
      </w:r>
      <w:r>
        <w:rPr>
          <w:rFonts w:hint="eastAsia" w:ascii="宋体" w:hAnsi="宋体" w:cs="宋体"/>
          <w:color w:val="auto"/>
          <w:sz w:val="24"/>
          <w:szCs w:val="24"/>
          <w:highlight w:val="none"/>
        </w:rPr>
        <w:t>招标文件，并于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 xml:space="preserve">05 </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22</w:t>
      </w:r>
      <w:r>
        <w:rPr>
          <w:rFonts w:hint="eastAsia" w:ascii="宋体" w:hAnsi="宋体" w:cs="宋体"/>
          <w:color w:val="auto"/>
          <w:sz w:val="24"/>
          <w:szCs w:val="24"/>
          <w:highlight w:val="none"/>
          <w:u w:val="single"/>
        </w:rPr>
        <w:t>日9点00分（</w:t>
      </w:r>
      <w:r>
        <w:rPr>
          <w:rFonts w:hint="eastAsia" w:ascii="宋体" w:hAnsi="宋体" w:cs="宋体"/>
          <w:color w:val="auto"/>
          <w:sz w:val="24"/>
          <w:szCs w:val="24"/>
          <w:highlight w:val="none"/>
        </w:rPr>
        <w:t>北京时间）前</w:t>
      </w:r>
      <w:r>
        <w:rPr>
          <w:rFonts w:hint="eastAsia" w:ascii="宋体" w:hAnsi="宋体" w:cs="宋体"/>
          <w:color w:val="auto"/>
          <w:sz w:val="24"/>
          <w:szCs w:val="24"/>
          <w:highlight w:val="none"/>
          <w:u w:val="single"/>
        </w:rPr>
        <w:t>上传电子投标文件</w:t>
      </w:r>
      <w:r>
        <w:rPr>
          <w:rFonts w:hint="eastAsia" w:ascii="宋体" w:hAnsi="宋体" w:cs="宋体"/>
          <w:color w:val="auto"/>
          <w:sz w:val="24"/>
          <w:szCs w:val="24"/>
          <w:highlight w:val="none"/>
        </w:rPr>
        <w:t>。</w:t>
      </w:r>
    </w:p>
    <w:p w14:paraId="0B0D155C">
      <w:pPr>
        <w:pStyle w:val="215"/>
        <w:spacing w:before="145" w:after="145" w:line="520" w:lineRule="exact"/>
        <w:ind w:firstLine="498"/>
        <w:rPr>
          <w:rFonts w:ascii="宋体" w:hAnsi="宋体" w:cs="宋体"/>
          <w:b w:val="0"/>
          <w:bCs w:val="0"/>
          <w:color w:val="auto"/>
          <w:highlight w:val="none"/>
        </w:rPr>
      </w:pPr>
      <w:bookmarkStart w:id="10" w:name="_Toc35393790"/>
      <w:bookmarkStart w:id="11" w:name="_Toc28359079"/>
      <w:bookmarkStart w:id="12" w:name="_Toc21136"/>
      <w:bookmarkStart w:id="13" w:name="_Toc31855"/>
      <w:bookmarkStart w:id="14" w:name="_Toc35393621"/>
      <w:bookmarkStart w:id="15" w:name="_Toc28359002"/>
      <w:bookmarkStart w:id="16" w:name="_Toc3330"/>
      <w:bookmarkStart w:id="17" w:name="_Toc38985263"/>
      <w:bookmarkStart w:id="18" w:name="_Toc16002"/>
      <w:bookmarkStart w:id="19" w:name="_Hlk24379207"/>
      <w:r>
        <w:rPr>
          <w:rFonts w:hint="eastAsia" w:ascii="宋体" w:hAnsi="宋体" w:cs="宋体"/>
          <w:b w:val="0"/>
          <w:bCs w:val="0"/>
          <w:color w:val="auto"/>
          <w:highlight w:val="none"/>
        </w:rPr>
        <w:t>一、项目基本情况</w:t>
      </w:r>
      <w:bookmarkEnd w:id="10"/>
      <w:bookmarkEnd w:id="11"/>
      <w:bookmarkEnd w:id="12"/>
      <w:bookmarkEnd w:id="13"/>
      <w:bookmarkEnd w:id="14"/>
      <w:bookmarkEnd w:id="15"/>
      <w:bookmarkEnd w:id="16"/>
      <w:bookmarkEnd w:id="17"/>
      <w:bookmarkEnd w:id="18"/>
    </w:p>
    <w:p w14:paraId="3425A0FF">
      <w:pPr>
        <w:spacing w:line="480" w:lineRule="exact"/>
        <w:ind w:firstLine="480"/>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u w:val="none"/>
          <w:lang w:eastAsia="zh-CN"/>
        </w:rPr>
        <w:t>JSZC-320700-BHXM-G2026-0004</w:t>
      </w:r>
    </w:p>
    <w:p w14:paraId="24A06D60">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2.项目名称：</w:t>
      </w:r>
      <w:bookmarkEnd w:id="19"/>
      <w:r>
        <w:rPr>
          <w:rFonts w:hint="eastAsia" w:ascii="宋体" w:hAnsi="宋体" w:cs="宋体"/>
          <w:color w:val="auto"/>
          <w:sz w:val="24"/>
          <w:szCs w:val="24"/>
          <w:highlight w:val="none"/>
          <w:u w:val="none"/>
          <w:lang w:eastAsia="zh-CN"/>
        </w:rPr>
        <w:t>江苏省新海高级中学拔尖创新人才培养项目（</w:t>
      </w:r>
      <w:r>
        <w:rPr>
          <w:rFonts w:hint="eastAsia" w:ascii="宋体" w:hAnsi="宋体" w:cs="宋体"/>
          <w:color w:val="auto"/>
          <w:sz w:val="24"/>
          <w:szCs w:val="24"/>
          <w:highlight w:val="none"/>
          <w:u w:val="none"/>
          <w:lang w:val="en-US" w:eastAsia="zh-CN"/>
        </w:rPr>
        <w:t>专门面向中小企业）</w:t>
      </w:r>
    </w:p>
    <w:p w14:paraId="1FD8ACC2">
      <w:pPr>
        <w:spacing w:line="48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3</w:t>
      </w:r>
      <w:r>
        <w:rPr>
          <w:rFonts w:hint="eastAsia" w:ascii="宋体" w:hAnsi="宋体" w:cs="宋体"/>
          <w:b w:val="0"/>
          <w:bCs w:val="0"/>
          <w:color w:val="auto"/>
          <w:sz w:val="24"/>
          <w:szCs w:val="24"/>
          <w:highlight w:val="none"/>
        </w:rPr>
        <w:t>.预算金额</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264万</w:t>
      </w:r>
      <w:r>
        <w:rPr>
          <w:rFonts w:hint="eastAsia" w:ascii="宋体" w:hAnsi="宋体" w:cs="宋体"/>
          <w:b w:val="0"/>
          <w:bCs w:val="0"/>
          <w:color w:val="auto"/>
          <w:sz w:val="24"/>
          <w:szCs w:val="24"/>
          <w:highlight w:val="none"/>
        </w:rPr>
        <w:t>元；</w:t>
      </w:r>
      <w:r>
        <w:rPr>
          <w:rFonts w:hint="eastAsia" w:ascii="宋体" w:hAnsi="宋体" w:cs="宋体"/>
          <w:b w:val="0"/>
          <w:bCs w:val="0"/>
          <w:color w:val="auto"/>
          <w:sz w:val="24"/>
          <w:szCs w:val="24"/>
          <w:highlight w:val="none"/>
          <w:lang w:eastAsia="zh-CN"/>
        </w:rPr>
        <w:t>最高限价：</w:t>
      </w:r>
      <w:r>
        <w:rPr>
          <w:rFonts w:hint="eastAsia" w:ascii="宋体" w:hAnsi="宋体" w:cs="宋体"/>
          <w:b w:val="0"/>
          <w:bCs w:val="0"/>
          <w:color w:val="auto"/>
          <w:sz w:val="24"/>
          <w:szCs w:val="24"/>
          <w:highlight w:val="none"/>
          <w:lang w:val="en-US" w:eastAsia="zh-CN"/>
        </w:rPr>
        <w:t>263.52万元。</w:t>
      </w:r>
    </w:p>
    <w:p w14:paraId="14778B12">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报价要求：</w:t>
      </w:r>
      <w:r>
        <w:rPr>
          <w:rFonts w:hint="eastAsia" w:ascii="宋体" w:hAnsi="宋体" w:eastAsia="宋体" w:cs="Times New Roman"/>
          <w:color w:val="auto"/>
          <w:sz w:val="24"/>
          <w:szCs w:val="24"/>
          <w:highlight w:val="none"/>
          <w:lang w:val="en-US" w:eastAsia="zh-CN"/>
        </w:rPr>
        <w:t>本项目</w:t>
      </w:r>
      <w:r>
        <w:rPr>
          <w:rFonts w:hint="eastAsia" w:ascii="宋体" w:hAnsi="宋体" w:cs="Times New Roman"/>
          <w:color w:val="auto"/>
          <w:sz w:val="24"/>
          <w:szCs w:val="24"/>
          <w:highlight w:val="none"/>
          <w:lang w:val="en-US" w:eastAsia="zh-CN"/>
        </w:rPr>
        <w:t>投标</w:t>
      </w:r>
      <w:r>
        <w:rPr>
          <w:rFonts w:hint="eastAsia" w:ascii="宋体" w:hAnsi="宋体" w:eastAsia="宋体" w:cs="Times New Roman"/>
          <w:color w:val="auto"/>
          <w:sz w:val="24"/>
          <w:szCs w:val="24"/>
          <w:highlight w:val="none"/>
          <w:lang w:val="en-US" w:eastAsia="zh-CN"/>
        </w:rPr>
        <w:t>报价采用下浮比例报价</w:t>
      </w:r>
      <w:r>
        <w:rPr>
          <w:rFonts w:hint="eastAsia" w:ascii="宋体" w:hAnsi="宋体" w:cs="Times New Roman"/>
          <w:color w:val="auto"/>
          <w:sz w:val="24"/>
          <w:szCs w:val="24"/>
          <w:highlight w:val="none"/>
          <w:lang w:val="en-US" w:eastAsia="zh-CN"/>
        </w:rPr>
        <w:t>（在最高限价的基础上）</w:t>
      </w:r>
      <w:r>
        <w:rPr>
          <w:rFonts w:hint="eastAsia" w:ascii="宋体" w:hAnsi="宋体" w:eastAsia="宋体" w:cs="Times New Roman"/>
          <w:color w:val="auto"/>
          <w:sz w:val="24"/>
          <w:szCs w:val="24"/>
          <w:highlight w:val="none"/>
          <w:lang w:val="en-US" w:eastAsia="zh-CN"/>
        </w:rPr>
        <w:t>，0%≤下浮比例＜100%，超出该范围的</w:t>
      </w:r>
      <w:r>
        <w:rPr>
          <w:rFonts w:hint="eastAsia" w:ascii="宋体" w:hAnsi="宋体" w:cs="Times New Roman"/>
          <w:color w:val="auto"/>
          <w:sz w:val="24"/>
          <w:szCs w:val="24"/>
          <w:highlight w:val="none"/>
          <w:lang w:val="en-US" w:eastAsia="zh-CN"/>
        </w:rPr>
        <w:t>投标</w:t>
      </w:r>
      <w:r>
        <w:rPr>
          <w:rFonts w:hint="eastAsia" w:ascii="宋体" w:hAnsi="宋体" w:eastAsia="宋体" w:cs="Times New Roman"/>
          <w:color w:val="auto"/>
          <w:sz w:val="24"/>
          <w:szCs w:val="24"/>
          <w:highlight w:val="none"/>
          <w:lang w:val="en-US" w:eastAsia="zh-CN"/>
        </w:rPr>
        <w:t>无效</w:t>
      </w:r>
      <w:r>
        <w:rPr>
          <w:rFonts w:hint="eastAsia" w:ascii="宋体" w:hAnsi="宋体" w:cs="Times New Roman"/>
          <w:color w:val="auto"/>
          <w:sz w:val="24"/>
          <w:szCs w:val="24"/>
          <w:highlight w:val="none"/>
          <w:lang w:val="en-US" w:eastAsia="zh-CN"/>
        </w:rPr>
        <w:t>。</w:t>
      </w:r>
    </w:p>
    <w:p w14:paraId="342D0143">
      <w:pPr>
        <w:pStyle w:val="330"/>
        <w:spacing w:line="480" w:lineRule="exact"/>
        <w:ind w:firstLine="480"/>
        <w:rPr>
          <w:rFonts w:hint="eastAsia"/>
          <w:color w:val="auto"/>
          <w:sz w:val="24"/>
          <w:szCs w:val="24"/>
          <w:highlight w:val="none"/>
          <w:lang w:val="en-US" w:eastAsia="zh-CN"/>
        </w:rPr>
      </w:pPr>
      <w:r>
        <w:rPr>
          <w:rFonts w:hint="eastAsia"/>
          <w:color w:val="auto"/>
          <w:sz w:val="24"/>
          <w:szCs w:val="24"/>
          <w:highlight w:val="none"/>
        </w:rPr>
        <w:t>采购需求：</w:t>
      </w:r>
      <w:r>
        <w:rPr>
          <w:rFonts w:hint="eastAsia"/>
          <w:color w:val="auto"/>
          <w:sz w:val="24"/>
          <w:szCs w:val="24"/>
          <w:highlight w:val="none"/>
          <w:lang w:val="en-US" w:eastAsia="zh-CN"/>
        </w:rPr>
        <w:t>江苏省新海高级中学（以下简称“新中”）</w:t>
      </w:r>
      <w:r>
        <w:rPr>
          <w:rFonts w:ascii="宋体" w:hAnsi="宋体" w:eastAsia="宋体" w:cs="宋体"/>
          <w:color w:val="auto"/>
          <w:sz w:val="24"/>
          <w:highlight w:val="none"/>
        </w:rPr>
        <w:t>拔尖创新人才培养</w:t>
      </w:r>
      <w:r>
        <w:rPr>
          <w:rFonts w:hint="eastAsia" w:cs="宋体"/>
          <w:color w:val="auto"/>
          <w:sz w:val="24"/>
          <w:highlight w:val="none"/>
          <w:lang w:eastAsia="zh-CN"/>
        </w:rPr>
        <w:t>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lang w:val="en-US" w:eastAsia="zh-CN" w:bidi="ar-SA"/>
        </w:rPr>
        <w:t>旨在通过专家名师沉浸式培训和示范引领，以及对学校拔尖创新人才培养的全过程进行指导，帮助学校培养一批拔尖创新人才，具体包括为</w:t>
      </w:r>
      <w:r>
        <w:rPr>
          <w:rFonts w:hint="eastAsia" w:cs="宋体"/>
          <w:color w:val="auto"/>
          <w:sz w:val="24"/>
          <w:szCs w:val="24"/>
          <w:highlight w:val="none"/>
          <w:lang w:val="en-US" w:eastAsia="zh-CN" w:bidi="ar-SA"/>
        </w:rPr>
        <w:t>当前</w:t>
      </w:r>
      <w:r>
        <w:rPr>
          <w:rFonts w:hint="eastAsia"/>
          <w:color w:val="auto"/>
          <w:sz w:val="24"/>
          <w:szCs w:val="24"/>
          <w:highlight w:val="none"/>
          <w:lang w:val="en-US" w:eastAsia="zh-CN"/>
        </w:rPr>
        <w:t>高二升高三学子</w:t>
      </w:r>
      <w:r>
        <w:rPr>
          <w:rFonts w:hint="eastAsia" w:ascii="宋体" w:hAnsi="宋体" w:eastAsia="宋体" w:cs="宋体"/>
          <w:color w:val="auto"/>
          <w:sz w:val="24"/>
          <w:szCs w:val="24"/>
          <w:highlight w:val="none"/>
          <w:lang w:val="en-US" w:eastAsia="zh-CN" w:bidi="ar-SA"/>
        </w:rPr>
        <w:t>展开四大板块内容服务，分别为</w:t>
      </w:r>
      <w:r>
        <w:rPr>
          <w:rFonts w:hint="eastAsia" w:cs="宋体"/>
          <w:color w:val="auto"/>
          <w:sz w:val="24"/>
          <w:szCs w:val="24"/>
          <w:highlight w:val="none"/>
          <w:lang w:val="en-US" w:eastAsia="zh-CN" w:bidi="ar-SA"/>
        </w:rPr>
        <w:t>学业质量</w:t>
      </w:r>
      <w:r>
        <w:rPr>
          <w:rFonts w:hint="eastAsia" w:ascii="宋体" w:hAnsi="宋体" w:eastAsia="宋体" w:cs="宋体"/>
          <w:color w:val="auto"/>
          <w:sz w:val="24"/>
          <w:szCs w:val="24"/>
          <w:highlight w:val="none"/>
          <w:lang w:val="en-US" w:eastAsia="zh-CN" w:bidi="ar-SA"/>
        </w:rPr>
        <w:t>提升、强基综评全流程服务、名校经验技巧交流分享与拔尖创新人才训练，大幅提升拔尖创新人才综合素养，从而促进学校的跨越式发展，助力江苏省新海高级中学成为江苏省乃</w:t>
      </w:r>
      <w:r>
        <w:rPr>
          <w:rFonts w:hint="eastAsia" w:cs="宋体"/>
          <w:color w:val="auto"/>
          <w:sz w:val="24"/>
          <w:szCs w:val="24"/>
          <w:highlight w:val="none"/>
          <w:lang w:val="en-US" w:eastAsia="zh-CN" w:bidi="ar-SA"/>
        </w:rPr>
        <w:t>至</w:t>
      </w:r>
      <w:r>
        <w:rPr>
          <w:rFonts w:hint="eastAsia" w:ascii="宋体" w:hAnsi="宋体" w:eastAsia="宋体" w:cs="宋体"/>
          <w:color w:val="auto"/>
          <w:sz w:val="24"/>
          <w:szCs w:val="24"/>
          <w:highlight w:val="none"/>
          <w:lang w:val="en-US" w:eastAsia="zh-CN" w:bidi="ar-SA"/>
        </w:rPr>
        <w:t>全国办学水平和教育教学质量一流的名校</w:t>
      </w:r>
      <w:r>
        <w:rPr>
          <w:rFonts w:hint="eastAsia"/>
          <w:color w:val="auto"/>
          <w:sz w:val="24"/>
          <w:szCs w:val="24"/>
          <w:highlight w:val="none"/>
          <w:lang w:val="en-US" w:eastAsia="zh-CN"/>
        </w:rPr>
        <w:t>；采购需求见第四部分项目需求。</w:t>
      </w:r>
    </w:p>
    <w:p w14:paraId="234D9DF4">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对项目需求、评审因素和评审标准部分的询问、质疑请与采购人联系，由采购人负责答复。</w:t>
      </w:r>
    </w:p>
    <w:p w14:paraId="7FDFC59C">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合同履行期限（服务时间）：自合同签订生效之日起，至202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月底前完成所有服务内容。</w:t>
      </w:r>
    </w:p>
    <w:p w14:paraId="2EF6840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14:paraId="5416E051">
      <w:pPr>
        <w:pStyle w:val="215"/>
        <w:spacing w:before="145" w:after="145" w:line="520" w:lineRule="exact"/>
        <w:ind w:firstLine="498"/>
        <w:rPr>
          <w:rFonts w:ascii="宋体" w:hAnsi="宋体" w:cs="宋体"/>
          <w:b w:val="0"/>
          <w:bCs w:val="0"/>
          <w:color w:val="auto"/>
          <w:highlight w:val="none"/>
        </w:rPr>
      </w:pPr>
      <w:bookmarkStart w:id="20" w:name="_Toc1258"/>
      <w:bookmarkStart w:id="21" w:name="_Toc3796"/>
      <w:bookmarkStart w:id="22" w:name="_Toc35393622"/>
      <w:bookmarkStart w:id="23" w:name="_Toc2318"/>
      <w:bookmarkStart w:id="24" w:name="_Toc28359080"/>
      <w:bookmarkStart w:id="25" w:name="_Toc38985264"/>
      <w:bookmarkStart w:id="26" w:name="_Toc28359003"/>
      <w:bookmarkStart w:id="27" w:name="_Toc35393791"/>
      <w:bookmarkStart w:id="28" w:name="_Toc7875"/>
      <w:r>
        <w:rPr>
          <w:rFonts w:hint="eastAsia" w:ascii="宋体" w:hAnsi="宋体" w:cs="宋体"/>
          <w:b w:val="0"/>
          <w:bCs w:val="0"/>
          <w:color w:val="auto"/>
          <w:highlight w:val="none"/>
        </w:rPr>
        <w:t>二、申请人的资格要求：</w:t>
      </w:r>
      <w:bookmarkEnd w:id="20"/>
      <w:bookmarkEnd w:id="21"/>
      <w:bookmarkEnd w:id="22"/>
      <w:bookmarkEnd w:id="23"/>
      <w:bookmarkEnd w:id="24"/>
      <w:bookmarkEnd w:id="25"/>
      <w:bookmarkEnd w:id="26"/>
      <w:bookmarkEnd w:id="27"/>
      <w:bookmarkEnd w:id="28"/>
    </w:p>
    <w:p w14:paraId="7DD8BEDD">
      <w:pPr>
        <w:spacing w:line="520" w:lineRule="exact"/>
        <w:ind w:firstLine="480"/>
        <w:rPr>
          <w:rFonts w:ascii="宋体" w:hAnsi="宋体" w:cs="宋体"/>
          <w:color w:val="auto"/>
          <w:sz w:val="24"/>
          <w:szCs w:val="24"/>
          <w:highlight w:val="none"/>
        </w:rPr>
      </w:pPr>
      <w:bookmarkStart w:id="29" w:name="_Toc28359004"/>
      <w:bookmarkStart w:id="30" w:name="_Toc38985265"/>
      <w:bookmarkStart w:id="31" w:name="_Toc35393792"/>
      <w:bookmarkStart w:id="32" w:name="_Toc35393623"/>
      <w:bookmarkStart w:id="33" w:name="_Toc28359081"/>
      <w:r>
        <w:rPr>
          <w:rFonts w:hint="eastAsia" w:ascii="宋体" w:hAnsi="宋体" w:cs="宋体"/>
          <w:color w:val="auto"/>
          <w:sz w:val="24"/>
          <w:szCs w:val="24"/>
          <w:highlight w:val="none"/>
        </w:rPr>
        <w:t>（一）通用资格要求</w:t>
      </w:r>
    </w:p>
    <w:p w14:paraId="4EC1783F">
      <w:pPr>
        <w:spacing w:line="520" w:lineRule="exact"/>
        <w:ind w:firstLine="480"/>
        <w:jc w:val="left"/>
        <w:rPr>
          <w:rFonts w:ascii="宋体" w:hAnsi="宋体" w:cs="宋体"/>
          <w:color w:val="auto"/>
          <w:sz w:val="24"/>
          <w:szCs w:val="24"/>
          <w:highlight w:val="none"/>
        </w:rPr>
      </w:pPr>
      <w:bookmarkStart w:id="34" w:name="_Toc21470"/>
      <w:bookmarkStart w:id="35" w:name="_Toc22630"/>
      <w:r>
        <w:rPr>
          <w:rFonts w:hint="eastAsia" w:ascii="宋体" w:hAnsi="宋体" w:cs="宋体"/>
          <w:color w:val="auto"/>
          <w:sz w:val="24"/>
          <w:szCs w:val="24"/>
          <w:highlight w:val="none"/>
        </w:rPr>
        <w:t>1.满足《中华人民共和国政府采购法》第二十二条规定，并提供下列材料：</w:t>
      </w:r>
    </w:p>
    <w:p w14:paraId="4C6BE5F7">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（1）法人或者其他组织的营业执照等证明文件，自然人的身份证明；</w:t>
      </w:r>
    </w:p>
    <w:p w14:paraId="370606F3">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2025</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val="en-US" w:eastAsia="zh-CN"/>
        </w:rPr>
        <w:t>或2024年度</w:t>
      </w:r>
      <w:r>
        <w:rPr>
          <w:rFonts w:hint="eastAsia" w:ascii="宋体" w:hAnsi="宋体" w:cs="宋体"/>
          <w:color w:val="auto"/>
          <w:sz w:val="24"/>
          <w:szCs w:val="24"/>
          <w:highlight w:val="none"/>
        </w:rPr>
        <w:t>经审计的财务状况报告或银行出具的资信证明（成立不满一个年度的不需提供）；（根据连财购〔2023〕4号文件精神，可提供《财务状况报告及税收、社会保障资金缴纳情况承诺函》）</w:t>
      </w:r>
    </w:p>
    <w:p w14:paraId="5B643E05">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（3）依法缴纳税收和社会保障资金的相关证明材料；（根据连财购〔2023〕4号文件精神，可提供《财务状况报告及税收、社会保障资金缴纳情况承诺函》）</w:t>
      </w:r>
    </w:p>
    <w:p w14:paraId="020B663F">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（4）具备履行合同所必需的设备和专业技术能力的声明及证明材料；</w:t>
      </w:r>
    </w:p>
    <w:p w14:paraId="6380C231">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（5）参加政府采购活动前三年内在经营活动中没有重大违法记录的书面声明。</w:t>
      </w:r>
    </w:p>
    <w:p w14:paraId="0C039EED">
      <w:pPr>
        <w:pageBreakBefore w:val="0"/>
        <w:widowControl w:val="0"/>
        <w:kinsoku/>
        <w:wordWrap/>
        <w:overflowPunct/>
        <w:topLinePunct w:val="0"/>
        <w:autoSpaceDE/>
        <w:autoSpaceDN/>
        <w:bidi w:val="0"/>
        <w:adjustRightInd/>
        <w:snapToGrid/>
        <w:spacing w:line="560" w:lineRule="exact"/>
        <w:ind w:firstLine="480"/>
        <w:textAlignment w:val="auto"/>
        <w:rPr>
          <w:rFonts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w:t>
      </w:r>
      <w:r>
        <w:rPr>
          <w:rFonts w:hint="eastAsia" w:ascii="宋体" w:hAnsi="宋体" w:eastAsia="宋体" w:cs="宋体"/>
          <w:b/>
          <w:bCs/>
          <w:color w:val="auto"/>
          <w:sz w:val="24"/>
          <w:highlight w:val="none"/>
        </w:rPr>
        <w:t>根据财政部、工业和信息化部关于印发《政府采购促进中</w:t>
      </w:r>
      <w:r>
        <w:rPr>
          <w:rFonts w:hint="eastAsia" w:ascii="宋体" w:hAnsi="宋体" w:cs="宋体"/>
          <w:b/>
          <w:bCs/>
          <w:color w:val="auto"/>
          <w:sz w:val="24"/>
          <w:highlight w:val="none"/>
          <w:lang w:val="en-US" w:eastAsia="zh-CN"/>
        </w:rPr>
        <w:t>小</w:t>
      </w:r>
      <w:r>
        <w:rPr>
          <w:rFonts w:hint="eastAsia" w:ascii="宋体" w:hAnsi="宋体" w:eastAsia="宋体" w:cs="宋体"/>
          <w:b/>
          <w:bCs/>
          <w:color w:val="auto"/>
          <w:sz w:val="24"/>
          <w:highlight w:val="none"/>
        </w:rPr>
        <w:t>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cs="宋体"/>
          <w:color w:val="auto"/>
          <w:sz w:val="24"/>
          <w:szCs w:val="24"/>
          <w:highlight w:val="none"/>
        </w:rPr>
        <w:t>。</w:t>
      </w:r>
    </w:p>
    <w:p w14:paraId="21272081">
      <w:pPr>
        <w:spacing w:line="520" w:lineRule="exact"/>
        <w:ind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3.本项目的特定资格要求：</w:t>
      </w:r>
      <w:r>
        <w:rPr>
          <w:rFonts w:hint="eastAsia" w:ascii="宋体" w:hAnsi="宋体" w:cs="宋体"/>
          <w:color w:val="auto"/>
          <w:sz w:val="24"/>
          <w:szCs w:val="24"/>
          <w:highlight w:val="none"/>
          <w:lang w:val="en-US" w:eastAsia="zh-CN"/>
        </w:rPr>
        <w:t>/</w:t>
      </w:r>
    </w:p>
    <w:p w14:paraId="74046859">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4.本项目的其他资格要求：</w:t>
      </w:r>
    </w:p>
    <w:p w14:paraId="7E594EED">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（1）资格审查现场查询时，被信用中国、中国政府采购网列入失信被执行人、税收违法黑名单、政府采购严重违法失信行为记录名单的投标人，拒绝其参与政府采购活动。</w:t>
      </w:r>
    </w:p>
    <w:p w14:paraId="4183AC04">
      <w:pPr>
        <w:spacing w:line="52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（2）中标后不允许分包或转包。</w:t>
      </w:r>
    </w:p>
    <w:p w14:paraId="3E71978C">
      <w:pPr>
        <w:spacing w:line="520" w:lineRule="exact"/>
        <w:ind w:firstLine="480"/>
        <w:jc w:val="left"/>
        <w:rPr>
          <w:rFonts w:ascii="宋体" w:hAnsi="宋体" w:cs="宋体"/>
          <w:color w:val="auto"/>
          <w:sz w:val="24"/>
          <w:highlight w:val="none"/>
        </w:rPr>
      </w:pPr>
      <w:r>
        <w:rPr>
          <w:rFonts w:hint="eastAsia" w:ascii="宋体" w:hAnsi="宋体" w:cs="宋体"/>
          <w:color w:val="auto"/>
          <w:sz w:val="24"/>
          <w:szCs w:val="24"/>
          <w:highlight w:val="none"/>
        </w:rPr>
        <w:t>5.法律法规规定的其他条件。</w:t>
      </w:r>
    </w:p>
    <w:p w14:paraId="3AE0388B">
      <w:pPr>
        <w:pStyle w:val="215"/>
        <w:spacing w:before="145" w:after="145" w:line="520" w:lineRule="exact"/>
        <w:ind w:firstLine="498"/>
        <w:rPr>
          <w:rFonts w:ascii="宋体" w:hAnsi="宋体" w:cs="宋体"/>
          <w:b w:val="0"/>
          <w:bCs w:val="0"/>
          <w:color w:val="auto"/>
          <w:highlight w:val="none"/>
        </w:rPr>
      </w:pPr>
      <w:bookmarkStart w:id="36" w:name="_Toc5390"/>
      <w:bookmarkStart w:id="37" w:name="_Toc32466"/>
      <w:r>
        <w:rPr>
          <w:rFonts w:hint="eastAsia" w:ascii="宋体" w:hAnsi="宋体" w:cs="宋体"/>
          <w:b w:val="0"/>
          <w:bCs w:val="0"/>
          <w:color w:val="auto"/>
          <w:highlight w:val="none"/>
        </w:rPr>
        <w:t>三、获取招标文件</w:t>
      </w:r>
      <w:bookmarkEnd w:id="29"/>
      <w:bookmarkEnd w:id="30"/>
      <w:bookmarkEnd w:id="31"/>
      <w:bookmarkEnd w:id="32"/>
      <w:bookmarkEnd w:id="33"/>
      <w:bookmarkEnd w:id="34"/>
      <w:bookmarkEnd w:id="35"/>
      <w:bookmarkEnd w:id="36"/>
      <w:bookmarkEnd w:id="37"/>
    </w:p>
    <w:p w14:paraId="3A3020D7">
      <w:pPr>
        <w:spacing w:line="520" w:lineRule="exact"/>
        <w:ind w:firstLine="540"/>
        <w:rPr>
          <w:rFonts w:ascii="宋体" w:hAnsi="宋体" w:cs="宋体"/>
          <w:color w:val="auto"/>
          <w:sz w:val="24"/>
          <w:szCs w:val="24"/>
          <w:highlight w:val="none"/>
        </w:rPr>
      </w:pPr>
      <w:bookmarkStart w:id="38" w:name="_Toc28359005"/>
      <w:bookmarkStart w:id="39" w:name="_Toc28359082"/>
      <w:bookmarkStart w:id="40" w:name="_Toc35393624"/>
      <w:bookmarkStart w:id="41" w:name="_Toc35393793"/>
      <w:bookmarkStart w:id="42" w:name="_Toc38985266"/>
      <w:r>
        <w:rPr>
          <w:rFonts w:hint="eastAsia" w:ascii="宋体" w:hAnsi="宋体" w:cs="宋体"/>
          <w:color w:val="auto"/>
          <w:sz w:val="24"/>
          <w:szCs w:val="24"/>
          <w:highlight w:val="none"/>
        </w:rPr>
        <w:t>1.时间：202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日（北京时间）</w:t>
      </w:r>
    </w:p>
    <w:p w14:paraId="4C01390C">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2.方式：在“江苏政府采购网”自行免费下载招标文件。</w:t>
      </w:r>
    </w:p>
    <w:p w14:paraId="082B3FB1">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（1）潜在投标人访问电子招标投标交易平台的网络地址和方法：</w:t>
      </w:r>
    </w:p>
    <w:p w14:paraId="0A95B930">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①登录http://jszfcg.jsczt.cn/或进入江苏政府采购网，点击“苏采云”进入系统。</w:t>
      </w:r>
    </w:p>
    <w:p w14:paraId="5D3FE959">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242D9713">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③潜在投标人访问“苏采云”系统的网络地址和方法：“苏采云”系统的网址：http://jszfcg.jsczt.cn/</w:t>
      </w:r>
    </w:p>
    <w:p w14:paraId="6563770B">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p>
    <w:p w14:paraId="455B00DF">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⑤招标文件(后缀名为“.kedt”)、供应商操作手册及政府采购客户端工具可通过“苏采云”系统－－已报名项目－－报名详情页面内相应链接进行下载。</w:t>
      </w:r>
    </w:p>
    <w:p w14:paraId="3E05552A">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⑥招标代理机构(采购代理机构)将数据电文形式的招标文件加载至“苏采云”系统，供潜在投标人下载或者查阅。</w:t>
      </w:r>
    </w:p>
    <w:p w14:paraId="4211521E">
      <w:pPr>
        <w:spacing w:line="52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⑦请潜在投标人提前安装相应的控件(详见《江苏省政府采购管理交易系统(苏采云)供应商操作手册》)并使用谷歌浏览器登录“苏采云”系统参与不见面开评标。</w:t>
      </w:r>
    </w:p>
    <w:p w14:paraId="29B6A38D">
      <w:pPr>
        <w:pStyle w:val="215"/>
        <w:spacing w:before="145" w:after="145" w:line="520" w:lineRule="exact"/>
        <w:ind w:firstLine="498"/>
        <w:rPr>
          <w:rFonts w:ascii="宋体" w:hAnsi="宋体" w:cs="宋体"/>
          <w:b w:val="0"/>
          <w:bCs w:val="0"/>
          <w:color w:val="auto"/>
          <w:highlight w:val="none"/>
        </w:rPr>
      </w:pPr>
      <w:bookmarkStart w:id="43" w:name="_Toc5288"/>
      <w:bookmarkStart w:id="44" w:name="_Toc19306"/>
      <w:bookmarkStart w:id="45" w:name="_Toc20677"/>
      <w:bookmarkStart w:id="46" w:name="_Toc4894"/>
      <w:r>
        <w:rPr>
          <w:rFonts w:hint="eastAsia" w:ascii="宋体" w:hAnsi="宋体" w:cs="宋体"/>
          <w:b w:val="0"/>
          <w:bCs w:val="0"/>
          <w:color w:val="auto"/>
          <w:highlight w:val="none"/>
        </w:rPr>
        <w:t>四、提交投标文件</w:t>
      </w:r>
      <w:bookmarkEnd w:id="38"/>
      <w:bookmarkEnd w:id="39"/>
      <w:r>
        <w:rPr>
          <w:rFonts w:hint="eastAsia" w:ascii="宋体" w:hAnsi="宋体" w:cs="宋体"/>
          <w:b w:val="0"/>
          <w:bCs w:val="0"/>
          <w:color w:val="auto"/>
          <w:highlight w:val="none"/>
        </w:rPr>
        <w:t>截止时间、开标时间和地点</w:t>
      </w:r>
      <w:bookmarkEnd w:id="40"/>
      <w:bookmarkEnd w:id="41"/>
      <w:bookmarkEnd w:id="42"/>
      <w:bookmarkEnd w:id="43"/>
      <w:bookmarkEnd w:id="44"/>
      <w:bookmarkEnd w:id="45"/>
      <w:bookmarkEnd w:id="46"/>
    </w:p>
    <w:p w14:paraId="4D6DB7B4">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rPr>
        <w:t>日上午9点00分（北京时间）</w:t>
      </w:r>
    </w:p>
    <w:p w14:paraId="2529DB21">
      <w:pPr>
        <w:spacing w:line="52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2.地点：“苏采云”政府采购交易系统网上开标大厅。</w:t>
      </w:r>
    </w:p>
    <w:p w14:paraId="5FA3127F">
      <w:pPr>
        <w:pStyle w:val="215"/>
        <w:spacing w:before="145" w:after="145" w:line="520" w:lineRule="exact"/>
        <w:ind w:firstLine="498"/>
        <w:rPr>
          <w:rFonts w:ascii="宋体" w:hAnsi="宋体" w:cs="宋体"/>
          <w:b w:val="0"/>
          <w:bCs w:val="0"/>
          <w:color w:val="auto"/>
          <w:highlight w:val="none"/>
        </w:rPr>
      </w:pPr>
      <w:bookmarkStart w:id="47" w:name="_Toc35393794"/>
      <w:bookmarkStart w:id="48" w:name="_Toc7040"/>
      <w:bookmarkStart w:id="49" w:name="_Toc35393625"/>
      <w:bookmarkStart w:id="50" w:name="_Toc5821"/>
      <w:bookmarkStart w:id="51" w:name="_Toc14305"/>
      <w:bookmarkStart w:id="52" w:name="_Toc28359084"/>
      <w:bookmarkStart w:id="53" w:name="_Toc38985267"/>
      <w:bookmarkStart w:id="54" w:name="_Toc28359007"/>
      <w:bookmarkStart w:id="55" w:name="_Toc16250"/>
      <w:r>
        <w:rPr>
          <w:rFonts w:hint="eastAsia" w:ascii="宋体" w:hAnsi="宋体" w:cs="宋体"/>
          <w:b w:val="0"/>
          <w:bCs w:val="0"/>
          <w:color w:val="auto"/>
          <w:highlight w:val="none"/>
        </w:rPr>
        <w:t>五、公告期限</w:t>
      </w:r>
      <w:bookmarkEnd w:id="47"/>
      <w:bookmarkEnd w:id="48"/>
      <w:bookmarkEnd w:id="49"/>
      <w:bookmarkEnd w:id="50"/>
      <w:bookmarkEnd w:id="51"/>
      <w:bookmarkEnd w:id="52"/>
      <w:bookmarkEnd w:id="53"/>
      <w:bookmarkEnd w:id="54"/>
      <w:bookmarkEnd w:id="55"/>
    </w:p>
    <w:p w14:paraId="65FE91C2">
      <w:pPr>
        <w:spacing w:line="520" w:lineRule="exact"/>
        <w:ind w:firstLine="480"/>
        <w:rPr>
          <w:rFonts w:ascii="宋体" w:hAnsi="宋体" w:cs="宋体"/>
          <w:color w:val="auto"/>
          <w:sz w:val="24"/>
          <w:szCs w:val="24"/>
          <w:highlight w:val="none"/>
        </w:rPr>
      </w:pPr>
      <w:bookmarkStart w:id="56" w:name="_Toc38985268"/>
      <w:bookmarkStart w:id="57" w:name="_Toc35393795"/>
      <w:bookmarkStart w:id="58" w:name="_Toc35393626"/>
      <w:r>
        <w:rPr>
          <w:rFonts w:hint="eastAsia" w:ascii="宋体" w:hAnsi="宋体" w:cs="宋体"/>
          <w:color w:val="auto"/>
          <w:sz w:val="24"/>
          <w:szCs w:val="24"/>
          <w:highlight w:val="none"/>
        </w:rPr>
        <w:t>招标公告及招标文件公告期限为自本公告发布之日起</w:t>
      </w:r>
      <w:r>
        <w:rPr>
          <w:rFonts w:hint="eastAsia" w:ascii="宋体" w:hAnsi="宋体" w:cs="宋体"/>
          <w:b/>
          <w:bCs/>
          <w:color w:val="auto"/>
          <w:sz w:val="24"/>
          <w:szCs w:val="24"/>
          <w:highlight w:val="none"/>
        </w:rPr>
        <w:t>5个工作日</w:t>
      </w:r>
      <w:r>
        <w:rPr>
          <w:rFonts w:hint="eastAsia" w:ascii="宋体" w:hAnsi="宋体" w:cs="宋体"/>
          <w:color w:val="auto"/>
          <w:sz w:val="24"/>
          <w:szCs w:val="24"/>
          <w:highlight w:val="none"/>
        </w:rPr>
        <w:t>。</w:t>
      </w:r>
    </w:p>
    <w:p w14:paraId="4C580518">
      <w:pPr>
        <w:pStyle w:val="215"/>
        <w:spacing w:before="145" w:after="145" w:line="520" w:lineRule="exact"/>
        <w:ind w:firstLine="498"/>
        <w:rPr>
          <w:rFonts w:ascii="宋体" w:hAnsi="宋体" w:cs="宋体"/>
          <w:b w:val="0"/>
          <w:bCs w:val="0"/>
          <w:color w:val="auto"/>
          <w:highlight w:val="none"/>
        </w:rPr>
      </w:pPr>
      <w:bookmarkStart w:id="59" w:name="_Toc17617"/>
      <w:bookmarkStart w:id="60" w:name="_Toc19066"/>
      <w:bookmarkStart w:id="61" w:name="_Toc19730"/>
      <w:bookmarkStart w:id="62" w:name="_Toc22483"/>
      <w:r>
        <w:rPr>
          <w:rFonts w:hint="eastAsia" w:ascii="宋体" w:hAnsi="宋体" w:cs="宋体"/>
          <w:b w:val="0"/>
          <w:bCs w:val="0"/>
          <w:color w:val="auto"/>
          <w:highlight w:val="none"/>
        </w:rPr>
        <w:t>六、其他补充事宜</w:t>
      </w:r>
      <w:bookmarkEnd w:id="56"/>
      <w:bookmarkEnd w:id="57"/>
      <w:bookmarkEnd w:id="58"/>
      <w:bookmarkEnd w:id="59"/>
      <w:bookmarkEnd w:id="60"/>
      <w:bookmarkEnd w:id="61"/>
      <w:bookmarkEnd w:id="62"/>
    </w:p>
    <w:p w14:paraId="5F97758C">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1.本招标文件中标注★的款项为实质性响应要求和条件，如不满足将按无效响应处理。</w:t>
      </w:r>
    </w:p>
    <w:p w14:paraId="4739FE15">
      <w:pPr>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投标文件编制或提交失误，由此造成的一切损失由供应商自行承担。</w:t>
      </w:r>
    </w:p>
    <w:p w14:paraId="51A6DD28">
      <w:pPr>
        <w:pStyle w:val="215"/>
        <w:spacing w:before="145" w:after="145" w:line="520" w:lineRule="exact"/>
        <w:ind w:firstLine="498"/>
        <w:rPr>
          <w:rFonts w:ascii="宋体" w:hAnsi="宋体" w:cs="宋体"/>
          <w:b w:val="0"/>
          <w:bCs w:val="0"/>
          <w:color w:val="auto"/>
          <w:highlight w:val="none"/>
        </w:rPr>
      </w:pPr>
      <w:bookmarkStart w:id="63" w:name="_Toc23381"/>
      <w:bookmarkStart w:id="64" w:name="_Toc35393627"/>
      <w:bookmarkStart w:id="65" w:name="_Toc38985269"/>
      <w:bookmarkStart w:id="66" w:name="_Toc35393796"/>
      <w:bookmarkStart w:id="67" w:name="_Toc26205"/>
      <w:bookmarkStart w:id="68" w:name="_Toc28359008"/>
      <w:bookmarkStart w:id="69" w:name="_Toc28359085"/>
      <w:bookmarkStart w:id="70" w:name="_Toc23899"/>
      <w:bookmarkStart w:id="71" w:name="_Toc5783"/>
      <w:r>
        <w:rPr>
          <w:rFonts w:hint="eastAsia" w:ascii="宋体" w:hAnsi="宋体" w:cs="宋体"/>
          <w:b w:val="0"/>
          <w:bCs w:val="0"/>
          <w:color w:val="auto"/>
          <w:highlight w:val="none"/>
        </w:rPr>
        <w:t>七、本次招标联系方式</w:t>
      </w:r>
      <w:bookmarkEnd w:id="63"/>
      <w:bookmarkEnd w:id="64"/>
      <w:bookmarkEnd w:id="65"/>
      <w:bookmarkEnd w:id="66"/>
      <w:bookmarkEnd w:id="67"/>
      <w:bookmarkEnd w:id="68"/>
      <w:bookmarkEnd w:id="69"/>
      <w:bookmarkEnd w:id="70"/>
      <w:bookmarkEnd w:id="71"/>
    </w:p>
    <w:p w14:paraId="0506B13A">
      <w:pPr>
        <w:widowControl/>
        <w:spacing w:line="520" w:lineRule="exact"/>
        <w:ind w:firstLine="72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0BC827CE">
      <w:pPr>
        <w:spacing w:line="520" w:lineRule="exact"/>
        <w:ind w:firstLine="720"/>
        <w:jc w:val="left"/>
        <w:rPr>
          <w:rFonts w:hint="eastAsia" w:ascii="宋体" w:hAnsi="宋体" w:cs="宋体"/>
          <w:color w:val="auto"/>
          <w:sz w:val="24"/>
          <w:szCs w:val="24"/>
          <w:highlight w:val="none"/>
          <w:lang w:eastAsia="zh-CN"/>
        </w:rPr>
      </w:pPr>
      <w:r>
        <w:rPr>
          <w:rFonts w:hint="eastAsia" w:ascii="宋体" w:hAnsi="宋体" w:cs="宋体"/>
          <w:color w:val="auto"/>
          <w:spacing w:val="240"/>
          <w:kern w:val="0"/>
          <w:sz w:val="24"/>
          <w:szCs w:val="24"/>
          <w:highlight w:val="none"/>
          <w:fitText w:val="960" w:id="1023417476"/>
        </w:rPr>
        <w:t>名</w:t>
      </w:r>
      <w:r>
        <w:rPr>
          <w:rFonts w:hint="eastAsia" w:ascii="宋体" w:hAnsi="宋体" w:cs="宋体"/>
          <w:color w:val="auto"/>
          <w:spacing w:val="0"/>
          <w:kern w:val="0"/>
          <w:sz w:val="24"/>
          <w:szCs w:val="24"/>
          <w:highlight w:val="none"/>
          <w:fitText w:val="960" w:id="1023417476"/>
        </w:rPr>
        <w:t>称</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江苏省新海高级中学</w:t>
      </w:r>
    </w:p>
    <w:p w14:paraId="4CA6B654">
      <w:pPr>
        <w:spacing w:line="520" w:lineRule="exact"/>
        <w:ind w:firstLine="720"/>
        <w:jc w:val="left"/>
        <w:rPr>
          <w:rFonts w:hint="default" w:ascii="宋体" w:hAnsi="宋体" w:eastAsia="宋体" w:cs="宋体"/>
          <w:color w:val="auto"/>
          <w:sz w:val="24"/>
          <w:szCs w:val="24"/>
          <w:highlight w:val="none"/>
          <w:lang w:val="en-US" w:eastAsia="zh-CN"/>
        </w:rPr>
      </w:pPr>
      <w:r>
        <w:rPr>
          <w:rFonts w:hint="eastAsia" w:ascii="宋体" w:hAnsi="宋体" w:cs="宋体"/>
          <w:color w:val="auto"/>
          <w:spacing w:val="240"/>
          <w:kern w:val="0"/>
          <w:sz w:val="24"/>
          <w:szCs w:val="24"/>
          <w:highlight w:val="none"/>
          <w:fitText w:val="960" w:id="1363179541"/>
        </w:rPr>
        <w:t>地</w:t>
      </w:r>
      <w:r>
        <w:rPr>
          <w:rFonts w:hint="eastAsia" w:ascii="宋体" w:hAnsi="宋体" w:cs="宋体"/>
          <w:color w:val="auto"/>
          <w:spacing w:val="0"/>
          <w:kern w:val="0"/>
          <w:sz w:val="24"/>
          <w:szCs w:val="24"/>
          <w:highlight w:val="none"/>
          <w:fitText w:val="960" w:id="1363179541"/>
        </w:rPr>
        <w:t>址</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连云港市海州区新东街道苍梧路58号</w:t>
      </w:r>
    </w:p>
    <w:p w14:paraId="63B74186">
      <w:pPr>
        <w:spacing w:line="520" w:lineRule="exact"/>
        <w:ind w:firstLine="72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72" w:name="_Toc28359009"/>
      <w:bookmarkStart w:id="73" w:name="_Toc28359086"/>
      <w:r>
        <w:rPr>
          <w:rFonts w:hint="eastAsia" w:ascii="宋体" w:hAnsi="宋体" w:cs="宋体"/>
          <w:color w:val="auto"/>
          <w:sz w:val="24"/>
          <w:szCs w:val="24"/>
          <w:highlight w:val="none"/>
          <w:lang w:val="en-US" w:eastAsia="zh-CN"/>
        </w:rPr>
        <w:t>周老师  0518-85893161</w:t>
      </w:r>
    </w:p>
    <w:p w14:paraId="54402A93">
      <w:pPr>
        <w:spacing w:line="520" w:lineRule="exact"/>
        <w:ind w:left="1079" w:hanging="300"/>
        <w:jc w:val="left"/>
        <w:rPr>
          <w:rFonts w:ascii="宋体" w:hAnsi="宋体" w:cs="宋体"/>
          <w:color w:val="auto"/>
          <w:sz w:val="24"/>
          <w:szCs w:val="24"/>
          <w:highlight w:val="none"/>
        </w:rPr>
      </w:pPr>
      <w:r>
        <w:rPr>
          <w:rFonts w:hint="eastAsia" w:ascii="宋体" w:hAnsi="宋体" w:cs="宋体"/>
          <w:color w:val="auto"/>
          <w:sz w:val="24"/>
          <w:szCs w:val="24"/>
          <w:highlight w:val="none"/>
        </w:rPr>
        <w:t>2.</w:t>
      </w:r>
      <w:bookmarkEnd w:id="72"/>
      <w:bookmarkEnd w:id="73"/>
      <w:r>
        <w:rPr>
          <w:rFonts w:hint="eastAsia" w:ascii="宋体" w:hAnsi="宋体" w:cs="宋体"/>
          <w:color w:val="auto"/>
          <w:sz w:val="24"/>
          <w:szCs w:val="24"/>
          <w:highlight w:val="none"/>
        </w:rPr>
        <w:t>采购代理机构信息</w:t>
      </w:r>
    </w:p>
    <w:p w14:paraId="52344693">
      <w:pPr>
        <w:spacing w:line="520" w:lineRule="exact"/>
        <w:ind w:firstLine="720"/>
        <w:rPr>
          <w:rFonts w:hint="eastAsia" w:ascii="宋体" w:hAnsi="宋体" w:cs="宋体"/>
          <w:color w:val="auto"/>
          <w:sz w:val="24"/>
          <w:szCs w:val="24"/>
          <w:highlight w:val="none"/>
          <w:lang w:eastAsia="zh-CN"/>
        </w:rPr>
      </w:pPr>
      <w:r>
        <w:rPr>
          <w:rFonts w:hint="eastAsia" w:ascii="宋体" w:hAnsi="宋体" w:cs="宋体"/>
          <w:color w:val="auto"/>
          <w:spacing w:val="240"/>
          <w:kern w:val="0"/>
          <w:sz w:val="24"/>
          <w:szCs w:val="24"/>
          <w:highlight w:val="none"/>
          <w:fitText w:val="960" w:id="2026590622"/>
        </w:rPr>
        <w:t>名</w:t>
      </w:r>
      <w:r>
        <w:rPr>
          <w:rFonts w:hint="eastAsia" w:ascii="宋体" w:hAnsi="宋体" w:cs="宋体"/>
          <w:color w:val="auto"/>
          <w:spacing w:val="0"/>
          <w:kern w:val="0"/>
          <w:sz w:val="24"/>
          <w:szCs w:val="24"/>
          <w:highlight w:val="none"/>
          <w:fitText w:val="960" w:id="2026590622"/>
        </w:rPr>
        <w:t>称</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江苏宝宏项目管理咨询有限公司</w:t>
      </w:r>
    </w:p>
    <w:p w14:paraId="63AA82E0">
      <w:pPr>
        <w:spacing w:line="520" w:lineRule="exact"/>
        <w:ind w:firstLine="720"/>
        <w:rPr>
          <w:rFonts w:ascii="宋体" w:hAnsi="宋体" w:cs="宋体"/>
          <w:color w:val="auto"/>
          <w:sz w:val="24"/>
          <w:szCs w:val="24"/>
          <w:highlight w:val="none"/>
        </w:rPr>
      </w:pPr>
      <w:r>
        <w:rPr>
          <w:rFonts w:hint="eastAsia" w:ascii="宋体" w:hAnsi="宋体" w:cs="宋体"/>
          <w:color w:val="auto"/>
          <w:spacing w:val="240"/>
          <w:kern w:val="0"/>
          <w:sz w:val="24"/>
          <w:szCs w:val="24"/>
          <w:highlight w:val="none"/>
          <w:fitText w:val="960" w:id="886459857"/>
        </w:rPr>
        <w:t>地</w:t>
      </w:r>
      <w:r>
        <w:rPr>
          <w:rFonts w:hint="eastAsia" w:ascii="宋体" w:hAnsi="宋体" w:cs="宋体"/>
          <w:color w:val="auto"/>
          <w:spacing w:val="0"/>
          <w:kern w:val="0"/>
          <w:sz w:val="24"/>
          <w:szCs w:val="24"/>
          <w:highlight w:val="none"/>
          <w:fitText w:val="960" w:id="886459857"/>
        </w:rPr>
        <w:t>址</w:t>
      </w:r>
      <w:r>
        <w:rPr>
          <w:rFonts w:hint="eastAsia" w:ascii="宋体" w:hAnsi="宋体" w:cs="宋体"/>
          <w:color w:val="auto"/>
          <w:sz w:val="24"/>
          <w:szCs w:val="24"/>
          <w:highlight w:val="none"/>
        </w:rPr>
        <w:t>：</w:t>
      </w:r>
      <w:r>
        <w:rPr>
          <w:rFonts w:hint="eastAsia" w:ascii="宋体" w:hAnsi="宋体" w:cs="宋体"/>
          <w:color w:val="auto"/>
          <w:sz w:val="24"/>
          <w:szCs w:val="28"/>
          <w:highlight w:val="none"/>
        </w:rPr>
        <w:t>连云港市海州经济开发区朐凤路116号</w:t>
      </w:r>
    </w:p>
    <w:p w14:paraId="1734230F">
      <w:pPr>
        <w:spacing w:line="520" w:lineRule="exact"/>
        <w:ind w:firstLine="720"/>
        <w:rPr>
          <w:rFonts w:hint="default" w:ascii="宋体" w:hAnsi="宋体" w:cs="宋体"/>
          <w:color w:val="auto"/>
          <w:sz w:val="24"/>
          <w:szCs w:val="24"/>
          <w:highlight w:val="none"/>
          <w:lang w:val="en-US"/>
        </w:rPr>
      </w:pPr>
      <w:r>
        <w:rPr>
          <w:rFonts w:hint="eastAsia" w:ascii="宋体" w:hAnsi="宋体" w:cs="宋体"/>
          <w:color w:val="auto"/>
          <w:spacing w:val="60"/>
          <w:kern w:val="0"/>
          <w:sz w:val="24"/>
          <w:szCs w:val="24"/>
          <w:highlight w:val="none"/>
          <w:fitText w:val="960" w:id="1215960002"/>
        </w:rPr>
        <w:t>联系</w:t>
      </w:r>
      <w:r>
        <w:rPr>
          <w:rFonts w:hint="eastAsia" w:ascii="宋体" w:hAnsi="宋体" w:cs="宋体"/>
          <w:color w:val="auto"/>
          <w:spacing w:val="0"/>
          <w:kern w:val="0"/>
          <w:sz w:val="24"/>
          <w:szCs w:val="24"/>
          <w:highlight w:val="none"/>
          <w:fitText w:val="960" w:id="1215960002"/>
        </w:rPr>
        <w:t>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王工</w:t>
      </w:r>
    </w:p>
    <w:p w14:paraId="201EE28F">
      <w:pPr>
        <w:spacing w:line="520" w:lineRule="exact"/>
        <w:ind w:firstLine="72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74" w:name="_Toc28359087"/>
      <w:bookmarkStart w:id="75" w:name="_Toc28359010"/>
      <w:r>
        <w:rPr>
          <w:rFonts w:hint="eastAsia" w:ascii="宋体" w:hAnsi="宋体" w:cs="宋体"/>
          <w:color w:val="auto"/>
          <w:sz w:val="24"/>
          <w:szCs w:val="24"/>
          <w:highlight w:val="none"/>
          <w:lang w:val="en-US" w:eastAsia="zh-CN"/>
        </w:rPr>
        <w:t>18936672920</w:t>
      </w:r>
    </w:p>
    <w:p w14:paraId="6AAA3B1D">
      <w:pPr>
        <w:spacing w:line="520" w:lineRule="exact"/>
        <w:ind w:firstLine="72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38B206B6">
      <w:pPr>
        <w:spacing w:line="520" w:lineRule="exact"/>
        <w:ind w:firstLine="720"/>
        <w:rPr>
          <w:rFonts w:ascii="宋体" w:hAnsi="宋体" w:cs="宋体"/>
          <w:color w:val="auto"/>
          <w:sz w:val="24"/>
          <w:szCs w:val="24"/>
          <w:highlight w:val="none"/>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val="en-US" w:eastAsia="zh-CN"/>
        </w:rPr>
        <w:t>王工</w:t>
      </w:r>
    </w:p>
    <w:p w14:paraId="3466273E">
      <w:pPr>
        <w:spacing w:line="520" w:lineRule="exact"/>
        <w:ind w:firstLine="720"/>
        <w:rPr>
          <w:rFonts w:hint="default" w:ascii="宋体" w:hAnsi="宋体" w:eastAsia="宋体" w:cs="宋体"/>
          <w:color w:val="auto"/>
          <w:sz w:val="24"/>
          <w:szCs w:val="24"/>
          <w:highlight w:val="none"/>
          <w:lang w:val="en-US" w:eastAsia="zh-CN"/>
        </w:rPr>
      </w:pPr>
      <w:r>
        <w:rPr>
          <w:rFonts w:hint="eastAsia" w:ascii="宋体" w:hAnsi="宋体" w:cs="宋体"/>
          <w:color w:val="auto"/>
          <w:spacing w:val="360"/>
          <w:kern w:val="0"/>
          <w:sz w:val="24"/>
          <w:szCs w:val="24"/>
          <w:highlight w:val="none"/>
          <w:fitText w:val="1200" w:id="878460500"/>
        </w:rPr>
        <w:t>电</w:t>
      </w:r>
      <w:r>
        <w:rPr>
          <w:rFonts w:hint="eastAsia" w:ascii="宋体" w:hAnsi="宋体" w:cs="宋体"/>
          <w:color w:val="auto"/>
          <w:spacing w:val="0"/>
          <w:kern w:val="0"/>
          <w:sz w:val="24"/>
          <w:szCs w:val="24"/>
          <w:highlight w:val="none"/>
          <w:fitText w:val="1200" w:id="878460500"/>
        </w:rPr>
        <w:t>话</w:t>
      </w:r>
      <w:r>
        <w:rPr>
          <w:rFonts w:hint="eastAsia" w:ascii="宋体" w:hAnsi="宋体" w:cs="宋体"/>
          <w:color w:val="auto"/>
          <w:sz w:val="24"/>
          <w:szCs w:val="24"/>
          <w:highlight w:val="none"/>
        </w:rPr>
        <w:t>：</w:t>
      </w:r>
      <w:bookmarkEnd w:id="74"/>
      <w:bookmarkEnd w:id="75"/>
      <w:r>
        <w:rPr>
          <w:rFonts w:hint="eastAsia" w:ascii="宋体" w:hAnsi="宋体" w:cs="宋体"/>
          <w:color w:val="auto"/>
          <w:sz w:val="24"/>
          <w:szCs w:val="24"/>
          <w:highlight w:val="none"/>
          <w:lang w:val="en-US" w:eastAsia="zh-CN"/>
        </w:rPr>
        <w:t>18936672920</w:t>
      </w:r>
    </w:p>
    <w:p w14:paraId="4200ABC2">
      <w:pPr>
        <w:spacing w:line="520" w:lineRule="exact"/>
        <w:ind w:firstLine="720"/>
        <w:rPr>
          <w:rFonts w:hint="default" w:ascii="宋体" w:hAnsi="宋体" w:cs="宋体"/>
          <w:color w:val="auto"/>
          <w:sz w:val="24"/>
          <w:szCs w:val="24"/>
          <w:highlight w:val="none"/>
          <w:lang w:val="en-US"/>
        </w:rPr>
      </w:pPr>
    </w:p>
    <w:p w14:paraId="58620D15">
      <w:pPr>
        <w:pStyle w:val="215"/>
        <w:spacing w:before="145" w:after="145" w:line="520" w:lineRule="exact"/>
        <w:ind w:firstLine="498"/>
        <w:rPr>
          <w:rFonts w:ascii="宋体" w:hAnsi="宋体" w:cs="宋体"/>
          <w:b w:val="0"/>
          <w:bCs w:val="0"/>
          <w:color w:val="auto"/>
          <w:highlight w:val="none"/>
        </w:rPr>
      </w:pPr>
      <w:bookmarkStart w:id="76" w:name="_Toc7355"/>
      <w:bookmarkStart w:id="77" w:name="_Toc15455"/>
      <w:bookmarkStart w:id="78" w:name="_Toc5164"/>
      <w:bookmarkStart w:id="79" w:name="_Toc25874"/>
      <w:r>
        <w:rPr>
          <w:rFonts w:hint="eastAsia" w:ascii="宋体" w:hAnsi="宋体" w:cs="宋体"/>
          <w:b w:val="0"/>
          <w:bCs w:val="0"/>
          <w:color w:val="auto"/>
          <w:highlight w:val="none"/>
        </w:rPr>
        <w:t>八、其他</w:t>
      </w:r>
      <w:bookmarkEnd w:id="76"/>
      <w:bookmarkEnd w:id="77"/>
      <w:bookmarkEnd w:id="78"/>
      <w:bookmarkEnd w:id="79"/>
    </w:p>
    <w:p w14:paraId="095D2CB7">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highlight w:val="none"/>
        </w:rPr>
        <w:t>1.</w:t>
      </w:r>
      <w:r>
        <w:rPr>
          <w:rFonts w:hint="eastAsia" w:ascii="宋体" w:hAnsi="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0DE5C335">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2.有关本次招标的事项若存在变动或修改，敬请及时关注</w:t>
      </w:r>
      <w:r>
        <w:rPr>
          <w:rFonts w:hint="eastAsia" w:ascii="宋体" w:hAnsi="宋体" w:cs="宋体"/>
          <w:b/>
          <w:bCs/>
          <w:color w:val="auto"/>
          <w:sz w:val="24"/>
          <w:szCs w:val="24"/>
          <w:highlight w:val="none"/>
          <w:lang w:eastAsia="zh-CN"/>
        </w:rPr>
        <w:t>江苏宝宏项目管理咨询有限公司</w:t>
      </w:r>
      <w:r>
        <w:rPr>
          <w:rFonts w:hint="eastAsia" w:ascii="宋体" w:hAnsi="宋体" w:cs="宋体"/>
          <w:color w:val="auto"/>
          <w:sz w:val="24"/>
          <w:szCs w:val="24"/>
          <w:highlight w:val="none"/>
        </w:rPr>
        <w:t>在“</w:t>
      </w:r>
      <w:r>
        <w:rPr>
          <w:rFonts w:hint="eastAsia" w:ascii="宋体" w:hAnsi="宋体" w:cs="宋体"/>
          <w:b/>
          <w:bCs/>
          <w:color w:val="auto"/>
          <w:sz w:val="24"/>
          <w:szCs w:val="24"/>
          <w:highlight w:val="none"/>
        </w:rPr>
        <w:t>江苏政府采购网</w:t>
      </w:r>
      <w:r>
        <w:rPr>
          <w:rFonts w:hint="eastAsia" w:ascii="宋体" w:hAnsi="宋体" w:cs="宋体"/>
          <w:color w:val="auto"/>
          <w:sz w:val="24"/>
          <w:szCs w:val="24"/>
          <w:highlight w:val="none"/>
        </w:rPr>
        <w:t>”发布的更正公告。</w:t>
      </w:r>
    </w:p>
    <w:p w14:paraId="070C06EC">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3.本次招标不收取投标保证金。</w:t>
      </w:r>
    </w:p>
    <w:p w14:paraId="54A712DF">
      <w:pPr>
        <w:pStyle w:val="214"/>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sz w:val="24"/>
          <w:szCs w:val="24"/>
          <w:highlight w:val="none"/>
        </w:rPr>
        <w:br w:type="page" w:clear="all"/>
      </w:r>
      <w:bookmarkStart w:id="80" w:name="_Toc120614211"/>
      <w:bookmarkStart w:id="81" w:name="_Toc8942"/>
      <w:bookmarkStart w:id="82" w:name="_Toc18854"/>
      <w:r>
        <w:rPr>
          <w:rStyle w:val="65"/>
          <w:rFonts w:hint="eastAsia"/>
          <w:b w:val="0"/>
          <w:bCs w:val="0"/>
          <w:color w:val="auto"/>
          <w:highlight w:val="none"/>
        </w:rPr>
        <w:t xml:space="preserve">第二章  </w:t>
      </w:r>
      <w:bookmarkEnd w:id="3"/>
      <w:bookmarkEnd w:id="4"/>
      <w:bookmarkEnd w:id="5"/>
      <w:bookmarkEnd w:id="6"/>
      <w:bookmarkEnd w:id="7"/>
      <w:bookmarkEnd w:id="80"/>
      <w:bookmarkStart w:id="83" w:name="_Toc120614213"/>
      <w:bookmarkStart w:id="84" w:name="_Toc16938518"/>
      <w:bookmarkStart w:id="85" w:name="_Toc513029202"/>
      <w:bookmarkStart w:id="86" w:name="_Toc20823274"/>
      <w:r>
        <w:rPr>
          <w:rStyle w:val="65"/>
          <w:rFonts w:hint="eastAsia"/>
          <w:b w:val="0"/>
          <w:bCs w:val="0"/>
          <w:color w:val="auto"/>
          <w:highlight w:val="none"/>
        </w:rPr>
        <w:t>投标人须知</w:t>
      </w:r>
      <w:bookmarkEnd w:id="81"/>
      <w:bookmarkEnd w:id="82"/>
      <w:bookmarkEnd w:id="83"/>
      <w:bookmarkEnd w:id="84"/>
      <w:bookmarkEnd w:id="85"/>
      <w:bookmarkEnd w:id="86"/>
    </w:p>
    <w:p w14:paraId="5420FB51">
      <w:pPr>
        <w:pStyle w:val="215"/>
        <w:spacing w:before="145" w:after="145" w:line="520" w:lineRule="exact"/>
        <w:ind w:firstLine="498"/>
        <w:rPr>
          <w:rFonts w:ascii="宋体" w:hAnsi="宋体" w:cs="宋体"/>
          <w:b w:val="0"/>
          <w:bCs w:val="0"/>
          <w:color w:val="auto"/>
          <w:highlight w:val="none"/>
        </w:rPr>
      </w:pPr>
      <w:bookmarkStart w:id="87" w:name="_Toc6848"/>
      <w:bookmarkStart w:id="88" w:name="_Toc1598"/>
      <w:bookmarkStart w:id="89" w:name="_Toc16938519"/>
      <w:bookmarkStart w:id="90" w:name="_Toc120614214"/>
      <w:bookmarkStart w:id="91" w:name="_Toc513029203"/>
      <w:bookmarkStart w:id="92" w:name="_Toc20823275"/>
      <w:bookmarkStart w:id="93" w:name="_Toc11249"/>
      <w:r>
        <w:rPr>
          <w:rFonts w:hint="eastAsia" w:ascii="宋体" w:hAnsi="宋体" w:cs="宋体"/>
          <w:b w:val="0"/>
          <w:bCs w:val="0"/>
          <w:color w:val="auto"/>
          <w:highlight w:val="none"/>
        </w:rPr>
        <w:t>一、总则</w:t>
      </w:r>
      <w:bookmarkEnd w:id="87"/>
      <w:bookmarkEnd w:id="88"/>
      <w:bookmarkEnd w:id="89"/>
      <w:bookmarkEnd w:id="90"/>
      <w:bookmarkEnd w:id="91"/>
      <w:bookmarkEnd w:id="92"/>
      <w:bookmarkEnd w:id="93"/>
    </w:p>
    <w:p w14:paraId="687007D9">
      <w:pPr>
        <w:pStyle w:val="217"/>
        <w:spacing w:before="0" w:after="0" w:line="520" w:lineRule="exact"/>
        <w:ind w:firstLine="420"/>
        <w:rPr>
          <w:rFonts w:ascii="宋体" w:hAnsi="宋体" w:eastAsia="宋体" w:cs="宋体"/>
          <w:b w:val="0"/>
          <w:bCs w:val="0"/>
          <w:color w:val="auto"/>
          <w:highlight w:val="none"/>
        </w:rPr>
      </w:pPr>
      <w:bookmarkStart w:id="94" w:name="_Hlt16619475"/>
      <w:bookmarkEnd w:id="94"/>
      <w:bookmarkStart w:id="95" w:name="_Toc458694821"/>
      <w:bookmarkStart w:id="96" w:name="_Toc16938520"/>
      <w:bookmarkStart w:id="97" w:name="_Toc20823276"/>
      <w:bookmarkStart w:id="98" w:name="_Toc513029204"/>
      <w:r>
        <w:rPr>
          <w:rFonts w:hint="eastAsia" w:ascii="宋体" w:hAnsi="宋体" w:eastAsia="宋体" w:cs="宋体"/>
          <w:b w:val="0"/>
          <w:bCs w:val="0"/>
          <w:color w:val="auto"/>
          <w:highlight w:val="none"/>
        </w:rPr>
        <w:t>1</w:t>
      </w:r>
      <w:bookmarkEnd w:id="95"/>
      <w:r>
        <w:rPr>
          <w:rFonts w:hint="eastAsia" w:ascii="宋体" w:hAnsi="宋体" w:eastAsia="宋体" w:cs="宋体"/>
          <w:b w:val="0"/>
          <w:bCs w:val="0"/>
          <w:color w:val="auto"/>
          <w:highlight w:val="none"/>
        </w:rPr>
        <w:t>.招标方式</w:t>
      </w:r>
      <w:bookmarkEnd w:id="96"/>
      <w:bookmarkEnd w:id="97"/>
      <w:bookmarkEnd w:id="98"/>
    </w:p>
    <w:p w14:paraId="38BD6C0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1.1 本次招标采取</w:t>
      </w:r>
      <w:r>
        <w:rPr>
          <w:rFonts w:hint="eastAsia" w:ascii="宋体" w:hAnsi="宋体" w:cs="宋体"/>
          <w:b/>
          <w:bCs/>
          <w:color w:val="auto"/>
          <w:sz w:val="24"/>
          <w:highlight w:val="none"/>
        </w:rPr>
        <w:t>公开招标</w:t>
      </w:r>
      <w:r>
        <w:rPr>
          <w:rFonts w:hint="eastAsia" w:ascii="宋体" w:hAnsi="宋体" w:cs="宋体"/>
          <w:color w:val="auto"/>
          <w:sz w:val="24"/>
          <w:highlight w:val="none"/>
        </w:rPr>
        <w:t>方式，本招标文件仅适用于招标公告中所述项目。</w:t>
      </w:r>
    </w:p>
    <w:p w14:paraId="695C7FC0">
      <w:pPr>
        <w:pStyle w:val="217"/>
        <w:spacing w:before="0" w:after="0" w:line="520" w:lineRule="exact"/>
        <w:ind w:firstLine="420"/>
        <w:rPr>
          <w:rFonts w:ascii="宋体" w:hAnsi="宋体" w:eastAsia="宋体" w:cs="宋体"/>
          <w:b w:val="0"/>
          <w:bCs w:val="0"/>
          <w:color w:val="auto"/>
          <w:highlight w:val="none"/>
        </w:rPr>
      </w:pPr>
      <w:bookmarkStart w:id="99" w:name="_Toc16938521"/>
      <w:bookmarkStart w:id="100" w:name="_Toc20823277"/>
      <w:bookmarkStart w:id="101" w:name="_Toc513029205"/>
      <w:r>
        <w:rPr>
          <w:rFonts w:hint="eastAsia" w:ascii="宋体" w:hAnsi="宋体" w:eastAsia="宋体" w:cs="宋体"/>
          <w:b w:val="0"/>
          <w:bCs w:val="0"/>
          <w:color w:val="auto"/>
          <w:highlight w:val="none"/>
        </w:rPr>
        <w:t>2.合格的投标人</w:t>
      </w:r>
      <w:bookmarkEnd w:id="99"/>
      <w:bookmarkEnd w:id="100"/>
      <w:bookmarkEnd w:id="101"/>
    </w:p>
    <w:p w14:paraId="2156A27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2.1满足招标公告中供应商的资格要求的规定。</w:t>
      </w:r>
    </w:p>
    <w:p w14:paraId="54D0174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2.2 满足本文件实质性要求和条件的规定。</w:t>
      </w:r>
    </w:p>
    <w:p w14:paraId="237AA851">
      <w:pPr>
        <w:pStyle w:val="217"/>
        <w:spacing w:before="0" w:after="0" w:line="520" w:lineRule="exact"/>
        <w:ind w:firstLine="420"/>
        <w:rPr>
          <w:rFonts w:ascii="宋体" w:hAnsi="宋体" w:eastAsia="宋体" w:cs="宋体"/>
          <w:b w:val="0"/>
          <w:bCs w:val="0"/>
          <w:color w:val="auto"/>
          <w:highlight w:val="none"/>
        </w:rPr>
      </w:pPr>
      <w:bookmarkStart w:id="102" w:name="_Toc513029206"/>
      <w:bookmarkStart w:id="103" w:name="_Toc20823278"/>
      <w:bookmarkStart w:id="104" w:name="_Toc16938522"/>
      <w:r>
        <w:rPr>
          <w:rFonts w:hint="eastAsia" w:ascii="宋体" w:hAnsi="宋体" w:eastAsia="宋体" w:cs="宋体"/>
          <w:b w:val="0"/>
          <w:bCs w:val="0"/>
          <w:color w:val="auto"/>
          <w:highlight w:val="none"/>
        </w:rPr>
        <w:t>3.适用法律</w:t>
      </w:r>
      <w:bookmarkEnd w:id="102"/>
      <w:bookmarkEnd w:id="103"/>
      <w:bookmarkEnd w:id="104"/>
    </w:p>
    <w:p w14:paraId="137EBAA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3.1 本次招标及由此产生的合同受中华人民共和国有关的法律法规制约和保护。</w:t>
      </w:r>
    </w:p>
    <w:p w14:paraId="3CEC01C5">
      <w:pPr>
        <w:pStyle w:val="217"/>
        <w:spacing w:before="0" w:after="0" w:line="520" w:lineRule="exact"/>
        <w:ind w:firstLine="420"/>
        <w:rPr>
          <w:rFonts w:ascii="宋体" w:hAnsi="宋体" w:eastAsia="宋体" w:cs="宋体"/>
          <w:b w:val="0"/>
          <w:bCs w:val="0"/>
          <w:color w:val="auto"/>
          <w:highlight w:val="none"/>
        </w:rPr>
      </w:pPr>
      <w:bookmarkStart w:id="105" w:name="_Toc16938523"/>
      <w:bookmarkStart w:id="106" w:name="_Toc20823279"/>
      <w:bookmarkStart w:id="107" w:name="_Toc462564067"/>
      <w:bookmarkStart w:id="108" w:name="_Toc513029207"/>
      <w:r>
        <w:rPr>
          <w:rFonts w:hint="eastAsia" w:ascii="宋体" w:hAnsi="宋体" w:eastAsia="宋体" w:cs="宋体"/>
          <w:b w:val="0"/>
          <w:bCs w:val="0"/>
          <w:color w:val="auto"/>
          <w:highlight w:val="none"/>
        </w:rPr>
        <w:t>4.投标费用</w:t>
      </w:r>
      <w:bookmarkEnd w:id="105"/>
      <w:bookmarkEnd w:id="106"/>
      <w:bookmarkEnd w:id="107"/>
      <w:bookmarkEnd w:id="108"/>
    </w:p>
    <w:p w14:paraId="6C69A4E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4.1 投标人应自行承担所有与参加投标有关的费用，无论投标过程中的做法和结果如何，</w:t>
      </w:r>
      <w:r>
        <w:rPr>
          <w:rFonts w:hint="eastAsia" w:ascii="宋体" w:hAnsi="宋体" w:cs="宋体"/>
          <w:b/>
          <w:bCs/>
          <w:color w:val="auto"/>
          <w:sz w:val="24"/>
          <w:highlight w:val="none"/>
          <w:lang w:eastAsia="zh-CN"/>
        </w:rPr>
        <w:t>江苏宝宏项目管理咨询有限公司</w:t>
      </w:r>
      <w:r>
        <w:rPr>
          <w:rFonts w:hint="eastAsia" w:ascii="宋体" w:hAnsi="宋体" w:cs="宋体"/>
          <w:color w:val="auto"/>
          <w:sz w:val="24"/>
          <w:highlight w:val="none"/>
        </w:rPr>
        <w:t>（以下简称采购代理机构）在任何情况下均无义务和责任承担这些费用。</w:t>
      </w:r>
    </w:p>
    <w:p w14:paraId="55AD32D7">
      <w:pPr>
        <w:spacing w:line="520" w:lineRule="exact"/>
        <w:ind w:firstLine="480"/>
        <w:rPr>
          <w:rFonts w:ascii="宋体" w:hAnsi="宋体" w:cs="宋体"/>
          <w:b/>
          <w:bCs/>
          <w:color w:val="auto"/>
          <w:sz w:val="24"/>
          <w:highlight w:val="none"/>
        </w:rPr>
      </w:pPr>
      <w:r>
        <w:rPr>
          <w:rFonts w:hint="eastAsia" w:ascii="宋体" w:hAnsi="宋体" w:cs="宋体"/>
          <w:color w:val="auto"/>
          <w:sz w:val="24"/>
          <w:highlight w:val="none"/>
        </w:rPr>
        <w:t>4.2 本次招标采购代理服务费：</w:t>
      </w:r>
      <w:r>
        <w:rPr>
          <w:rFonts w:hint="eastAsia" w:ascii="宋体" w:hAnsi="宋体" w:eastAsia="宋体" w:cs="宋体"/>
          <w:b/>
          <w:bCs/>
          <w:color w:val="auto"/>
          <w:sz w:val="24"/>
          <w:highlight w:val="none"/>
          <w:lang w:val="en-US" w:eastAsia="zh-CN"/>
        </w:rPr>
        <w:t>招标代理服务收费为《江苏省政府采购代理服务收费指导意见》（苏政采协[2024]20号）收费标准下浮40%</w:t>
      </w:r>
      <w:r>
        <w:rPr>
          <w:rFonts w:hint="eastAsia" w:ascii="宋体" w:hAnsi="宋体" w:eastAsia="宋体" w:cs="宋体"/>
          <w:b/>
          <w:bCs/>
          <w:color w:val="auto"/>
          <w:sz w:val="24"/>
          <w:highlight w:val="none"/>
          <w:lang w:val="zh-CN" w:eastAsia="zh-CN"/>
        </w:rPr>
        <w:t>计取</w:t>
      </w:r>
      <w:r>
        <w:rPr>
          <w:rFonts w:hint="eastAsia" w:ascii="宋体" w:hAnsi="宋体" w:cs="宋体"/>
          <w:b/>
          <w:bCs/>
          <w:color w:val="auto"/>
          <w:sz w:val="24"/>
          <w:highlight w:val="none"/>
        </w:rPr>
        <w:t>；以上费用最终由中标人在领取中标通知书时一次性支付，投标人须将此部分费用综合考虑在报价中，不得单列。</w:t>
      </w:r>
    </w:p>
    <w:p w14:paraId="3777E991">
      <w:pPr>
        <w:pStyle w:val="217"/>
        <w:spacing w:before="0" w:after="0" w:line="520" w:lineRule="exact"/>
        <w:ind w:firstLine="602"/>
        <w:rPr>
          <w:rFonts w:ascii="宋体" w:hAnsi="宋体" w:eastAsia="宋体" w:cs="宋体"/>
          <w:b w:val="0"/>
          <w:bCs w:val="0"/>
          <w:color w:val="auto"/>
          <w:highlight w:val="none"/>
        </w:rPr>
      </w:pPr>
      <w:r>
        <w:rPr>
          <w:rFonts w:hint="eastAsia" w:ascii="宋体" w:hAnsi="宋体" w:eastAsia="宋体" w:cs="宋体"/>
          <w:b w:val="0"/>
          <w:bCs w:val="0"/>
          <w:color w:val="auto"/>
          <w:sz w:val="30"/>
          <w:highlight w:val="none"/>
        </w:rPr>
        <w:t>5.</w:t>
      </w:r>
      <w:r>
        <w:rPr>
          <w:rFonts w:hint="eastAsia" w:ascii="宋体" w:hAnsi="宋体" w:eastAsia="宋体" w:cs="宋体"/>
          <w:b w:val="0"/>
          <w:bCs w:val="0"/>
          <w:color w:val="auto"/>
          <w:highlight w:val="none"/>
        </w:rPr>
        <w:t>招标文件的约束力</w:t>
      </w:r>
    </w:p>
    <w:p w14:paraId="718D3C5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5.1 投标人一旦参加本项目采购活动，即被认为接受了本招标文件的规定和约束。</w:t>
      </w:r>
    </w:p>
    <w:p w14:paraId="6B3CCDC4">
      <w:pPr>
        <w:pStyle w:val="215"/>
        <w:spacing w:before="145" w:after="145" w:line="520" w:lineRule="exact"/>
        <w:ind w:firstLine="321"/>
        <w:rPr>
          <w:rFonts w:ascii="宋体" w:hAnsi="宋体" w:cs="宋体"/>
          <w:b w:val="0"/>
          <w:bCs w:val="0"/>
          <w:color w:val="auto"/>
          <w:highlight w:val="none"/>
        </w:rPr>
      </w:pPr>
      <w:bookmarkStart w:id="109" w:name="_Toc513029209"/>
      <w:bookmarkStart w:id="110" w:name="_Toc120614215"/>
      <w:bookmarkStart w:id="111" w:name="_Toc13550"/>
      <w:bookmarkStart w:id="112" w:name="_Toc20823281"/>
      <w:bookmarkStart w:id="113" w:name="_Toc3528"/>
      <w:bookmarkStart w:id="114" w:name="_Toc16938525"/>
      <w:bookmarkStart w:id="115" w:name="_Toc2081"/>
      <w:r>
        <w:rPr>
          <w:rFonts w:hint="eastAsia" w:ascii="宋体" w:hAnsi="宋体" w:cs="宋体"/>
          <w:b w:val="0"/>
          <w:bCs w:val="0"/>
          <w:color w:val="auto"/>
          <w:highlight w:val="none"/>
        </w:rPr>
        <w:t>二、招标文件</w:t>
      </w:r>
      <w:bookmarkEnd w:id="109"/>
      <w:bookmarkEnd w:id="110"/>
      <w:bookmarkEnd w:id="111"/>
      <w:bookmarkEnd w:id="112"/>
      <w:bookmarkEnd w:id="113"/>
      <w:bookmarkEnd w:id="114"/>
      <w:bookmarkEnd w:id="115"/>
    </w:p>
    <w:p w14:paraId="01C1B21E">
      <w:pPr>
        <w:pStyle w:val="217"/>
        <w:spacing w:before="0" w:after="0" w:line="520" w:lineRule="exact"/>
        <w:ind w:firstLine="420"/>
        <w:rPr>
          <w:rFonts w:ascii="宋体" w:hAnsi="宋体" w:eastAsia="宋体" w:cs="宋体"/>
          <w:b w:val="0"/>
          <w:bCs w:val="0"/>
          <w:color w:val="auto"/>
          <w:highlight w:val="none"/>
        </w:rPr>
      </w:pPr>
      <w:bookmarkStart w:id="116" w:name="_Toc513029210"/>
      <w:bookmarkStart w:id="117" w:name="_Toc16938526"/>
      <w:bookmarkStart w:id="118" w:name="_Toc20823282"/>
      <w:r>
        <w:rPr>
          <w:rFonts w:hint="eastAsia" w:ascii="宋体" w:hAnsi="宋体" w:eastAsia="宋体" w:cs="宋体"/>
          <w:b w:val="0"/>
          <w:bCs w:val="0"/>
          <w:color w:val="auto"/>
          <w:highlight w:val="none"/>
        </w:rPr>
        <w:t>6.招标文件构成</w:t>
      </w:r>
      <w:bookmarkEnd w:id="116"/>
      <w:bookmarkEnd w:id="117"/>
      <w:bookmarkEnd w:id="118"/>
    </w:p>
    <w:p w14:paraId="7806BC9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6.1 招标文件由以下部分组成：</w:t>
      </w:r>
    </w:p>
    <w:p w14:paraId="7323E64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（1）投标邀请</w:t>
      </w:r>
    </w:p>
    <w:p w14:paraId="652B99C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（2）投标人须知</w:t>
      </w:r>
    </w:p>
    <w:p w14:paraId="404BCCE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（3）合同文本</w:t>
      </w:r>
    </w:p>
    <w:p w14:paraId="2B08FB1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（4）采购需求</w:t>
      </w:r>
    </w:p>
    <w:p w14:paraId="262BA34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（5）评标方法与评标标准</w:t>
      </w:r>
    </w:p>
    <w:p w14:paraId="567E09C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（6）投标文件格式</w:t>
      </w:r>
    </w:p>
    <w:p w14:paraId="6505E2D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请仔细检查招标文件是否齐全，如有缺漏请立即与采购代理机构联系解决。</w:t>
      </w:r>
    </w:p>
    <w:p w14:paraId="0405D62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1D17BCF">
      <w:pPr>
        <w:pStyle w:val="217"/>
        <w:spacing w:before="0" w:after="0" w:line="520" w:lineRule="exact"/>
        <w:ind w:firstLine="560"/>
        <w:rPr>
          <w:rFonts w:ascii="宋体" w:hAnsi="宋体" w:eastAsia="宋体" w:cs="宋体"/>
          <w:b w:val="0"/>
          <w:bCs w:val="0"/>
          <w:color w:val="auto"/>
          <w:highlight w:val="none"/>
        </w:rPr>
      </w:pPr>
      <w:bookmarkStart w:id="119" w:name="_Toc462564070"/>
      <w:bookmarkStart w:id="120" w:name="_Toc20823283"/>
      <w:bookmarkStart w:id="121" w:name="_Toc513029211"/>
      <w:bookmarkStart w:id="122" w:name="_Toc16938527"/>
      <w:r>
        <w:rPr>
          <w:rFonts w:hint="eastAsia" w:ascii="宋体" w:hAnsi="宋体" w:eastAsia="宋体" w:cs="宋体"/>
          <w:b w:val="0"/>
          <w:bCs w:val="0"/>
          <w:color w:val="auto"/>
          <w:highlight w:val="none"/>
        </w:rPr>
        <w:t>7.招标文件的澄清</w:t>
      </w:r>
      <w:bookmarkEnd w:id="119"/>
      <w:bookmarkEnd w:id="120"/>
      <w:bookmarkEnd w:id="121"/>
      <w:bookmarkEnd w:id="122"/>
    </w:p>
    <w:p w14:paraId="1A9FA044">
      <w:pPr>
        <w:spacing w:line="520" w:lineRule="exact"/>
        <w:ind w:firstLine="480"/>
        <w:rPr>
          <w:rFonts w:ascii="宋体" w:hAnsi="宋体" w:cs="宋体"/>
          <w:color w:val="auto"/>
          <w:sz w:val="24"/>
          <w:szCs w:val="24"/>
          <w:highlight w:val="none"/>
        </w:rPr>
      </w:pPr>
      <w:r>
        <w:rPr>
          <w:rFonts w:hint="eastAsia" w:ascii="宋体" w:hAnsi="宋体" w:cs="宋体"/>
          <w:color w:val="auto"/>
          <w:sz w:val="24"/>
          <w:highlight w:val="none"/>
        </w:rPr>
        <w:t>7.1 任何要求对招标文件进行澄清的投标人，应在投标截止期十日前按招标公告中的通讯地址，以书面形式通知采购代理机构或采购人。</w:t>
      </w:r>
    </w:p>
    <w:p w14:paraId="5A5B24C9">
      <w:pPr>
        <w:pStyle w:val="217"/>
        <w:spacing w:before="0" w:after="0" w:line="520" w:lineRule="exact"/>
        <w:ind w:firstLine="560"/>
        <w:rPr>
          <w:rFonts w:ascii="宋体" w:hAnsi="宋体" w:eastAsia="宋体" w:cs="宋体"/>
          <w:b w:val="0"/>
          <w:bCs w:val="0"/>
          <w:color w:val="auto"/>
          <w:highlight w:val="none"/>
        </w:rPr>
      </w:pPr>
      <w:bookmarkStart w:id="123" w:name="_Toc513029212"/>
      <w:bookmarkStart w:id="124" w:name="_Toc20823284"/>
      <w:bookmarkStart w:id="125" w:name="_Toc462564071"/>
      <w:bookmarkStart w:id="126" w:name="_Toc16938528"/>
      <w:r>
        <w:rPr>
          <w:rFonts w:hint="eastAsia" w:ascii="宋体" w:hAnsi="宋体" w:eastAsia="宋体" w:cs="宋体"/>
          <w:b w:val="0"/>
          <w:bCs w:val="0"/>
          <w:color w:val="auto"/>
          <w:highlight w:val="none"/>
        </w:rPr>
        <w:t>8.标文件的修改</w:t>
      </w:r>
      <w:bookmarkEnd w:id="123"/>
      <w:bookmarkEnd w:id="124"/>
      <w:bookmarkEnd w:id="125"/>
      <w:bookmarkEnd w:id="126"/>
    </w:p>
    <w:p w14:paraId="43F290F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8.1 在投标截止时间前，采购人可以对招标文件进行修改。</w:t>
      </w:r>
    </w:p>
    <w:p w14:paraId="0515677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8.2 采购人有权按照法定的要求推迟投标截止日期和开标日期。</w:t>
      </w:r>
    </w:p>
    <w:p w14:paraId="179DF81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8.3 招标文件的修改将在江苏政府采购网公布，补充文件将作为招标文件的组成部分，并对投标人具有约束力。</w:t>
      </w:r>
    </w:p>
    <w:p w14:paraId="17C66749">
      <w:pPr>
        <w:pStyle w:val="215"/>
        <w:spacing w:before="145" w:after="145" w:line="520" w:lineRule="exact"/>
        <w:ind w:firstLine="482"/>
        <w:rPr>
          <w:rFonts w:ascii="宋体" w:hAnsi="宋体" w:cs="宋体"/>
          <w:b w:val="0"/>
          <w:bCs w:val="0"/>
          <w:color w:val="auto"/>
          <w:highlight w:val="none"/>
        </w:rPr>
      </w:pPr>
      <w:bookmarkStart w:id="127" w:name="_Toc18017"/>
      <w:bookmarkStart w:id="128" w:name="_Toc16938529"/>
      <w:bookmarkStart w:id="129" w:name="_Toc6353"/>
      <w:bookmarkStart w:id="130" w:name="_Toc20823285"/>
      <w:bookmarkStart w:id="131" w:name="_Toc18646"/>
      <w:bookmarkStart w:id="132" w:name="_Toc462564072"/>
      <w:bookmarkStart w:id="133" w:name="_Toc513029213"/>
      <w:bookmarkStart w:id="134" w:name="_Toc120614216"/>
      <w:r>
        <w:rPr>
          <w:rFonts w:hint="eastAsia" w:ascii="宋体" w:hAnsi="宋体" w:cs="宋体"/>
          <w:b w:val="0"/>
          <w:bCs w:val="0"/>
          <w:color w:val="auto"/>
          <w:highlight w:val="none"/>
        </w:rPr>
        <w:t>三、投标文件的编制</w:t>
      </w:r>
      <w:bookmarkEnd w:id="127"/>
      <w:bookmarkEnd w:id="128"/>
      <w:bookmarkEnd w:id="129"/>
      <w:bookmarkEnd w:id="130"/>
      <w:bookmarkEnd w:id="131"/>
      <w:bookmarkEnd w:id="132"/>
      <w:bookmarkEnd w:id="133"/>
      <w:bookmarkEnd w:id="134"/>
    </w:p>
    <w:p w14:paraId="30AA1303">
      <w:pPr>
        <w:pStyle w:val="217"/>
        <w:spacing w:before="0" w:after="0" w:line="520" w:lineRule="exact"/>
        <w:ind w:firstLine="560"/>
        <w:rPr>
          <w:rFonts w:ascii="宋体" w:hAnsi="宋体" w:eastAsia="宋体" w:cs="宋体"/>
          <w:b w:val="0"/>
          <w:bCs w:val="0"/>
          <w:color w:val="auto"/>
          <w:highlight w:val="none"/>
        </w:rPr>
      </w:pPr>
      <w:bookmarkStart w:id="135" w:name="_Toc462564073"/>
      <w:bookmarkStart w:id="136" w:name="_Toc513029214"/>
      <w:bookmarkStart w:id="137" w:name="_Toc16938530"/>
      <w:bookmarkStart w:id="138" w:name="_Toc20823286"/>
      <w:r>
        <w:rPr>
          <w:rFonts w:hint="eastAsia" w:ascii="宋体" w:hAnsi="宋体" w:eastAsia="宋体" w:cs="宋体"/>
          <w:b w:val="0"/>
          <w:bCs w:val="0"/>
          <w:color w:val="auto"/>
          <w:highlight w:val="none"/>
        </w:rPr>
        <w:t>9.投标文件的语言及度量衡单位</w:t>
      </w:r>
      <w:bookmarkEnd w:id="135"/>
      <w:bookmarkEnd w:id="136"/>
      <w:bookmarkEnd w:id="137"/>
      <w:bookmarkEnd w:id="138"/>
    </w:p>
    <w:p w14:paraId="42B2AC6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9.1 投标人提交的投标文件以及投标人与采购人、采购代理机构就有关投标的所有来往通知、函件和文件均应使用简体中文。</w:t>
      </w:r>
    </w:p>
    <w:p w14:paraId="2C3FCB0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9.2 除技术性能另有规定外，投标文件所使用的度量衡单位，均须采用国家法定计量单位。</w:t>
      </w:r>
    </w:p>
    <w:p w14:paraId="6208C4FD">
      <w:pPr>
        <w:pStyle w:val="217"/>
        <w:spacing w:before="0" w:after="0" w:line="520" w:lineRule="exact"/>
        <w:ind w:firstLine="420"/>
        <w:rPr>
          <w:rFonts w:ascii="宋体" w:hAnsi="宋体" w:eastAsia="宋体" w:cs="宋体"/>
          <w:b w:val="0"/>
          <w:bCs w:val="0"/>
          <w:color w:val="auto"/>
          <w:highlight w:val="none"/>
        </w:rPr>
      </w:pPr>
      <w:bookmarkStart w:id="139" w:name="_Toc16938531"/>
      <w:bookmarkStart w:id="140" w:name="_Toc462564074"/>
      <w:bookmarkStart w:id="141" w:name="_Toc20823287"/>
      <w:bookmarkStart w:id="142" w:name="_Toc513029215"/>
      <w:r>
        <w:rPr>
          <w:rFonts w:hint="eastAsia" w:ascii="宋体" w:hAnsi="宋体" w:eastAsia="宋体" w:cs="宋体"/>
          <w:b w:val="0"/>
          <w:bCs w:val="0"/>
          <w:color w:val="auto"/>
          <w:highlight w:val="none"/>
        </w:rPr>
        <w:t>10.投标文件构成</w:t>
      </w:r>
      <w:bookmarkEnd w:id="139"/>
      <w:bookmarkEnd w:id="140"/>
      <w:bookmarkEnd w:id="141"/>
      <w:bookmarkEnd w:id="142"/>
    </w:p>
    <w:p w14:paraId="778C1E7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10.1 投标人编写的投标文件应包括资格证明文件、符合性证明文件、投标分项报价表、技术要求响应及偏离表、商务要求响应及偏离表、其他证明文件、投标函、开标一览表等部分。</w:t>
      </w:r>
    </w:p>
    <w:p w14:paraId="60EC786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10.2 如标书制作工具中格式和内容与“江苏政府采购网”发布的招标文件不一致，请以“江苏政府采购网”发布的招标文件为准。</w:t>
      </w:r>
    </w:p>
    <w:p w14:paraId="0CAC870D">
      <w:pPr>
        <w:pStyle w:val="217"/>
        <w:spacing w:before="0" w:after="0" w:line="520" w:lineRule="exact"/>
        <w:ind w:firstLine="420"/>
        <w:rPr>
          <w:rFonts w:ascii="宋体" w:hAnsi="宋体" w:eastAsia="宋体" w:cs="宋体"/>
          <w:b w:val="0"/>
          <w:bCs w:val="0"/>
          <w:color w:val="auto"/>
          <w:highlight w:val="none"/>
        </w:rPr>
      </w:pPr>
      <w:bookmarkStart w:id="143" w:name="_Hlt26668975"/>
      <w:bookmarkEnd w:id="143"/>
      <w:bookmarkStart w:id="144" w:name="_Hlt26954838"/>
      <w:bookmarkEnd w:id="144"/>
      <w:bookmarkStart w:id="145" w:name="_Hlt26670360"/>
      <w:bookmarkEnd w:id="145"/>
      <w:bookmarkStart w:id="146" w:name="_Toc14577354"/>
      <w:bookmarkStart w:id="147" w:name="_Toc49090509"/>
      <w:bookmarkStart w:id="148" w:name="_Toc49090507"/>
      <w:bookmarkStart w:id="149" w:name="_Toc513029216"/>
      <w:bookmarkStart w:id="150" w:name="_Toc14577357"/>
      <w:bookmarkStart w:id="151" w:name="_Toc513029219"/>
      <w:r>
        <w:rPr>
          <w:rFonts w:hint="eastAsia" w:ascii="宋体" w:hAnsi="宋体" w:eastAsia="宋体" w:cs="宋体"/>
          <w:b w:val="0"/>
          <w:bCs w:val="0"/>
          <w:color w:val="auto"/>
          <w:highlight w:val="none"/>
        </w:rPr>
        <w:t>11.证明投标人及投标标的符合招标文件规定的文件</w:t>
      </w:r>
      <w:bookmarkEnd w:id="146"/>
      <w:bookmarkEnd w:id="147"/>
      <w:bookmarkEnd w:id="148"/>
      <w:bookmarkEnd w:id="149"/>
      <w:bookmarkEnd w:id="150"/>
      <w:bookmarkEnd w:id="151"/>
    </w:p>
    <w:p w14:paraId="25ED8C8F">
      <w:pPr>
        <w:spacing w:line="520" w:lineRule="exact"/>
        <w:ind w:firstLine="480"/>
        <w:rPr>
          <w:rFonts w:ascii="宋体" w:hAnsi="宋体" w:cs="宋体"/>
          <w:color w:val="auto"/>
          <w:sz w:val="24"/>
          <w:highlight w:val="none"/>
        </w:rPr>
      </w:pPr>
      <w:bookmarkStart w:id="152" w:name="_Toc14577355"/>
      <w:bookmarkStart w:id="153" w:name="_Toc49090508"/>
      <w:r>
        <w:rPr>
          <w:rFonts w:hint="eastAsia" w:ascii="宋体" w:hAnsi="宋体" w:cs="宋体"/>
          <w:color w:val="auto"/>
          <w:sz w:val="24"/>
          <w:highlight w:val="none"/>
        </w:rPr>
        <w:t>11.1 投标人应按照法律、法规、规章和规范性文件以及招标文件要求提交证明文件，证明其及投标标的符合招标文件规定。</w:t>
      </w:r>
    </w:p>
    <w:p w14:paraId="7313691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11.2招标文件对证明文件无明确形式要求的，证明文件可以以文字资料、图纸和数据等形式提交。</w:t>
      </w:r>
    </w:p>
    <w:p w14:paraId="25827CF6">
      <w:pPr>
        <w:pStyle w:val="217"/>
        <w:spacing w:before="0" w:after="0" w:line="520" w:lineRule="exact"/>
        <w:ind w:firstLine="420"/>
        <w:rPr>
          <w:rFonts w:ascii="宋体" w:hAnsi="宋体" w:eastAsia="宋体" w:cs="宋体"/>
          <w:b w:val="0"/>
          <w:bCs w:val="0"/>
          <w:color w:val="auto"/>
          <w:highlight w:val="none"/>
        </w:rPr>
      </w:pPr>
      <w:r>
        <w:rPr>
          <w:rFonts w:hint="eastAsia" w:ascii="宋体" w:hAnsi="宋体" w:eastAsia="宋体" w:cs="宋体"/>
          <w:b w:val="0"/>
          <w:bCs w:val="0"/>
          <w:color w:val="auto"/>
          <w:highlight w:val="none"/>
        </w:rPr>
        <w:t>12.投标分项报价</w:t>
      </w:r>
      <w:bookmarkEnd w:id="152"/>
      <w:bookmarkStart w:id="154" w:name="_Hlt26670373"/>
      <w:bookmarkEnd w:id="154"/>
      <w:r>
        <w:rPr>
          <w:rFonts w:hint="eastAsia" w:ascii="宋体" w:hAnsi="宋体" w:eastAsia="宋体" w:cs="宋体"/>
          <w:b w:val="0"/>
          <w:bCs w:val="0"/>
          <w:color w:val="auto"/>
          <w:highlight w:val="none"/>
        </w:rPr>
        <w:t>表</w:t>
      </w:r>
      <w:bookmarkEnd w:id="153"/>
    </w:p>
    <w:p w14:paraId="43B6A823">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12.1 投</w:t>
      </w:r>
      <w:bookmarkStart w:id="155" w:name="_Hlt26954840"/>
      <w:bookmarkEnd w:id="155"/>
      <w:r>
        <w:rPr>
          <w:rFonts w:hint="eastAsia" w:ascii="宋体" w:hAnsi="宋体" w:cs="宋体"/>
          <w:color w:val="auto"/>
          <w:sz w:val="24"/>
          <w:highlight w:val="none"/>
        </w:rPr>
        <w:t>标人应按照招标文件规定格式填报投标分项报价表</w:t>
      </w:r>
      <w:bookmarkStart w:id="156" w:name="_Hlt26670399"/>
      <w:bookmarkEnd w:id="156"/>
      <w:r>
        <w:rPr>
          <w:rFonts w:hint="eastAsia" w:ascii="宋体" w:hAnsi="宋体" w:cs="宋体"/>
          <w:color w:val="auto"/>
          <w:sz w:val="24"/>
          <w:highlight w:val="none"/>
        </w:rPr>
        <w:t>。</w:t>
      </w:r>
    </w:p>
    <w:p w14:paraId="48DCF31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12.2投标货币。投标文件中的单价和总价无特殊规定的采用人民币报价，以元为单位标注。招标文件中另有规定的按规定执行。</w:t>
      </w:r>
    </w:p>
    <w:p w14:paraId="25E386ED">
      <w:pPr>
        <w:pStyle w:val="217"/>
        <w:spacing w:before="0" w:after="0" w:line="520" w:lineRule="exact"/>
        <w:ind w:firstLine="420"/>
        <w:rPr>
          <w:rFonts w:ascii="宋体" w:hAnsi="宋体" w:eastAsia="宋体" w:cs="宋体"/>
          <w:b w:val="0"/>
          <w:bCs w:val="0"/>
          <w:color w:val="auto"/>
          <w:highlight w:val="none"/>
        </w:rPr>
      </w:pPr>
      <w:bookmarkStart w:id="157" w:name="_Hlt26670486"/>
      <w:bookmarkEnd w:id="157"/>
      <w:bookmarkStart w:id="158" w:name="_Hlt26670482"/>
      <w:bookmarkEnd w:id="158"/>
      <w:bookmarkStart w:id="159" w:name="_Hlt26954731"/>
      <w:bookmarkEnd w:id="159"/>
      <w:bookmarkStart w:id="160" w:name="_Hlt26954844"/>
      <w:bookmarkEnd w:id="160"/>
      <w:bookmarkStart w:id="161" w:name="_Hlt26954842"/>
      <w:bookmarkEnd w:id="161"/>
      <w:bookmarkStart w:id="162" w:name="_Hlt26954848"/>
      <w:bookmarkEnd w:id="162"/>
      <w:bookmarkStart w:id="163" w:name="_Hlt26670403"/>
      <w:bookmarkEnd w:id="163"/>
      <w:bookmarkStart w:id="164" w:name="_Hlt26954846"/>
      <w:bookmarkEnd w:id="164"/>
      <w:bookmarkStart w:id="165" w:name="_Hlt26668983"/>
      <w:bookmarkEnd w:id="165"/>
      <w:bookmarkStart w:id="166" w:name="_Hlt26670425"/>
      <w:bookmarkEnd w:id="166"/>
      <w:r>
        <w:rPr>
          <w:rFonts w:hint="eastAsia" w:ascii="宋体" w:hAnsi="宋体" w:eastAsia="宋体" w:cs="宋体"/>
          <w:b w:val="0"/>
          <w:bCs w:val="0"/>
          <w:color w:val="auto"/>
          <w:highlight w:val="none"/>
        </w:rPr>
        <w:t>13.技术要求响应及偏离表、商务要求响应及偏离表</w:t>
      </w:r>
    </w:p>
    <w:p w14:paraId="233A9F49">
      <w:pPr>
        <w:spacing w:line="52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13.1 投标人需对招标文件中的技术要求与商务要求逐项作出响应或偏离，并说明原因。</w:t>
      </w:r>
    </w:p>
    <w:p w14:paraId="4F078D85">
      <w:pPr>
        <w:spacing w:line="52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13.2 投标人可在投标文件中提供认为需要的其他技术文件或说明。</w:t>
      </w:r>
    </w:p>
    <w:p w14:paraId="087D3EF6">
      <w:pPr>
        <w:pStyle w:val="217"/>
        <w:spacing w:before="0" w:after="0" w:line="520" w:lineRule="exact"/>
        <w:ind w:firstLine="420"/>
        <w:rPr>
          <w:rFonts w:ascii="宋体" w:hAnsi="宋体" w:eastAsia="宋体" w:cs="宋体"/>
          <w:b w:val="0"/>
          <w:bCs w:val="0"/>
          <w:color w:val="auto"/>
          <w:highlight w:val="none"/>
        </w:rPr>
      </w:pPr>
      <w:bookmarkStart w:id="167" w:name="_Toc49090510"/>
      <w:bookmarkStart w:id="168" w:name="_Toc14577359"/>
      <w:r>
        <w:rPr>
          <w:rFonts w:hint="eastAsia" w:ascii="宋体" w:hAnsi="宋体" w:eastAsia="宋体" w:cs="宋体"/>
          <w:b w:val="0"/>
          <w:bCs w:val="0"/>
          <w:color w:val="auto"/>
          <w:highlight w:val="none"/>
        </w:rPr>
        <w:t>14.投标函和开标一览表</w:t>
      </w:r>
    </w:p>
    <w:p w14:paraId="769AD32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14.1 投标人应按照招标文件中提供的格式完整、正确填写投标函、开标一览表。</w:t>
      </w:r>
    </w:p>
    <w:p w14:paraId="1E05D8A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14.2 对于采用货币报价的项目，开标一览表中的投标总报价应与投标分项报价表中的投标总报价一致，如不一致，不作为无效投标处理，但评标时按开标一览表中价格为准。</w:t>
      </w:r>
      <w:bookmarkEnd w:id="167"/>
      <w:bookmarkEnd w:id="168"/>
    </w:p>
    <w:p w14:paraId="3E5EE93F">
      <w:pPr>
        <w:pStyle w:val="217"/>
        <w:spacing w:before="0" w:after="0" w:line="520" w:lineRule="exact"/>
        <w:ind w:firstLine="420"/>
        <w:rPr>
          <w:rFonts w:ascii="宋体" w:hAnsi="宋体" w:eastAsia="宋体" w:cs="宋体"/>
          <w:b w:val="0"/>
          <w:bCs w:val="0"/>
          <w:color w:val="auto"/>
          <w:highlight w:val="none"/>
        </w:rPr>
      </w:pPr>
      <w:bookmarkStart w:id="169" w:name="_Hlt26954850"/>
      <w:bookmarkEnd w:id="169"/>
      <w:bookmarkStart w:id="170" w:name="_Hlt26954734"/>
      <w:bookmarkEnd w:id="170"/>
      <w:bookmarkStart w:id="171" w:name="_Hlt26670489"/>
      <w:bookmarkEnd w:id="171"/>
      <w:bookmarkStart w:id="172" w:name="_Toc49090511"/>
      <w:bookmarkStart w:id="173" w:name="_Toc14577360"/>
      <w:r>
        <w:rPr>
          <w:rFonts w:hint="eastAsia" w:ascii="宋体" w:hAnsi="宋体" w:eastAsia="宋体" w:cs="宋体"/>
          <w:b w:val="0"/>
          <w:bCs w:val="0"/>
          <w:color w:val="auto"/>
          <w:highlight w:val="none"/>
        </w:rPr>
        <w:t>15.投标有效期</w:t>
      </w:r>
      <w:bookmarkEnd w:id="172"/>
      <w:bookmarkEnd w:id="173"/>
    </w:p>
    <w:p w14:paraId="443425A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15.1 投标有效期为采购人规定的开标之日后</w:t>
      </w:r>
      <w:r>
        <w:rPr>
          <w:rFonts w:hint="eastAsia" w:ascii="宋体" w:hAnsi="宋体" w:cs="宋体"/>
          <w:color w:val="auto"/>
          <w:sz w:val="24"/>
          <w:highlight w:val="none"/>
          <w:u w:val="single"/>
        </w:rPr>
        <w:t>六十（60）天</w:t>
      </w:r>
      <w:r>
        <w:rPr>
          <w:rFonts w:hint="eastAsia" w:ascii="宋体" w:hAnsi="宋体" w:cs="宋体"/>
          <w:color w:val="auto"/>
          <w:sz w:val="24"/>
          <w:highlight w:val="none"/>
        </w:rPr>
        <w:t>。投标有效期比规定短的将被视为未实质性响应招标文件而予以拒绝。</w:t>
      </w:r>
    </w:p>
    <w:p w14:paraId="5CFC99F0">
      <w:pPr>
        <w:pStyle w:val="217"/>
        <w:spacing w:before="0" w:after="0" w:line="520" w:lineRule="exact"/>
        <w:ind w:firstLine="420"/>
        <w:rPr>
          <w:rFonts w:ascii="宋体" w:hAnsi="宋体" w:eastAsia="宋体" w:cs="宋体"/>
          <w:b w:val="0"/>
          <w:bCs w:val="0"/>
          <w:color w:val="auto"/>
          <w:highlight w:val="none"/>
        </w:rPr>
      </w:pPr>
      <w:r>
        <w:rPr>
          <w:rFonts w:hint="eastAsia" w:ascii="宋体" w:hAnsi="宋体" w:eastAsia="宋体" w:cs="宋体"/>
          <w:b w:val="0"/>
          <w:bCs w:val="0"/>
          <w:color w:val="auto"/>
          <w:highlight w:val="none"/>
        </w:rPr>
        <w:t>16.投标有效期的延长</w:t>
      </w:r>
    </w:p>
    <w:p w14:paraId="1EAC3B2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61D57D35">
      <w:pPr>
        <w:pStyle w:val="215"/>
        <w:spacing w:before="145" w:after="145" w:line="520" w:lineRule="exact"/>
        <w:ind w:firstLine="482"/>
        <w:rPr>
          <w:rFonts w:ascii="宋体" w:hAnsi="宋体" w:cs="宋体"/>
          <w:b w:val="0"/>
          <w:bCs w:val="0"/>
          <w:color w:val="auto"/>
          <w:highlight w:val="none"/>
        </w:rPr>
      </w:pPr>
      <w:bookmarkStart w:id="174" w:name="_Hlt26954739"/>
      <w:bookmarkEnd w:id="174"/>
      <w:bookmarkStart w:id="175" w:name="_Hlt26954852"/>
      <w:bookmarkEnd w:id="175"/>
      <w:bookmarkStart w:id="176" w:name="_Toc513029224"/>
      <w:bookmarkStart w:id="177" w:name="_Toc16170"/>
      <w:bookmarkStart w:id="178" w:name="_Toc20823296"/>
      <w:bookmarkStart w:id="179" w:name="_Toc120614217"/>
      <w:bookmarkStart w:id="180" w:name="_Toc16938540"/>
      <w:bookmarkStart w:id="181" w:name="_Toc12408"/>
      <w:bookmarkStart w:id="182" w:name="_Toc22817"/>
      <w:r>
        <w:rPr>
          <w:rFonts w:hint="eastAsia" w:ascii="宋体" w:hAnsi="宋体" w:cs="宋体"/>
          <w:b w:val="0"/>
          <w:bCs w:val="0"/>
          <w:color w:val="auto"/>
          <w:highlight w:val="none"/>
        </w:rPr>
        <w:t>四、投标文件的递交</w:t>
      </w:r>
      <w:bookmarkEnd w:id="176"/>
      <w:bookmarkEnd w:id="177"/>
      <w:bookmarkEnd w:id="178"/>
      <w:bookmarkEnd w:id="179"/>
      <w:bookmarkEnd w:id="180"/>
      <w:bookmarkEnd w:id="181"/>
      <w:bookmarkEnd w:id="182"/>
    </w:p>
    <w:p w14:paraId="2BB2A748">
      <w:pPr>
        <w:pStyle w:val="217"/>
        <w:spacing w:before="0" w:after="0" w:line="520" w:lineRule="exact"/>
        <w:ind w:firstLine="560"/>
        <w:rPr>
          <w:rFonts w:ascii="宋体" w:hAnsi="宋体" w:eastAsia="宋体" w:cs="宋体"/>
          <w:b w:val="0"/>
          <w:bCs w:val="0"/>
          <w:color w:val="auto"/>
          <w:highlight w:val="none"/>
        </w:rPr>
      </w:pPr>
      <w:bookmarkStart w:id="183" w:name="_Toc462564084"/>
      <w:bookmarkStart w:id="184" w:name="_Toc513029225"/>
      <w:bookmarkStart w:id="185" w:name="_Toc16938541"/>
      <w:bookmarkStart w:id="186" w:name="_Toc20823297"/>
      <w:r>
        <w:rPr>
          <w:rFonts w:hint="eastAsia" w:ascii="宋体" w:hAnsi="宋体" w:eastAsia="宋体" w:cs="宋体"/>
          <w:b w:val="0"/>
          <w:bCs w:val="0"/>
          <w:color w:val="auto"/>
          <w:highlight w:val="none"/>
        </w:rPr>
        <w:t>17.投标文件</w:t>
      </w:r>
      <w:bookmarkEnd w:id="183"/>
      <w:bookmarkEnd w:id="184"/>
      <w:bookmarkEnd w:id="185"/>
      <w:bookmarkEnd w:id="186"/>
      <w:r>
        <w:rPr>
          <w:rFonts w:hint="eastAsia" w:ascii="宋体" w:hAnsi="宋体" w:eastAsia="宋体" w:cs="宋体"/>
          <w:b w:val="0"/>
          <w:bCs w:val="0"/>
          <w:color w:val="auto"/>
          <w:highlight w:val="none"/>
        </w:rPr>
        <w:t>的递交</w:t>
      </w:r>
    </w:p>
    <w:p w14:paraId="2ADAF01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17.1 电子投标文件的递交</w:t>
      </w:r>
    </w:p>
    <w:p w14:paraId="247CC793">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bookmarkStart w:id="187" w:name="_Toc513029226"/>
      <w:bookmarkStart w:id="188" w:name="_Toc20823298"/>
      <w:bookmarkStart w:id="189" w:name="_Toc16938542"/>
    </w:p>
    <w:p w14:paraId="09B8C66C">
      <w:pPr>
        <w:pStyle w:val="217"/>
        <w:spacing w:before="0" w:after="0" w:line="520" w:lineRule="exact"/>
        <w:ind w:firstLine="420"/>
        <w:rPr>
          <w:rFonts w:ascii="宋体" w:hAnsi="宋体" w:eastAsia="宋体" w:cs="宋体"/>
          <w:b w:val="0"/>
          <w:bCs w:val="0"/>
          <w:color w:val="auto"/>
          <w:highlight w:val="none"/>
        </w:rPr>
      </w:pPr>
      <w:r>
        <w:rPr>
          <w:rFonts w:hint="eastAsia" w:ascii="宋体" w:hAnsi="宋体" w:eastAsia="宋体" w:cs="宋体"/>
          <w:b w:val="0"/>
          <w:bCs w:val="0"/>
          <w:color w:val="auto"/>
          <w:highlight w:val="none"/>
        </w:rPr>
        <w:t>18.投标截止</w:t>
      </w:r>
      <w:bookmarkEnd w:id="187"/>
      <w:bookmarkEnd w:id="188"/>
      <w:bookmarkEnd w:id="189"/>
      <w:r>
        <w:rPr>
          <w:rFonts w:hint="eastAsia" w:ascii="宋体" w:hAnsi="宋体" w:eastAsia="宋体" w:cs="宋体"/>
          <w:b w:val="0"/>
          <w:bCs w:val="0"/>
          <w:color w:val="auto"/>
          <w:highlight w:val="none"/>
        </w:rPr>
        <w:t>时间</w:t>
      </w:r>
    </w:p>
    <w:p w14:paraId="533071D3">
      <w:pPr>
        <w:spacing w:line="520" w:lineRule="exact"/>
        <w:ind w:firstLine="482"/>
        <w:rPr>
          <w:rFonts w:ascii="宋体" w:hAnsi="宋体" w:cs="宋体"/>
          <w:color w:val="auto"/>
          <w:sz w:val="24"/>
          <w:highlight w:val="none"/>
        </w:rPr>
      </w:pPr>
      <w:r>
        <w:rPr>
          <w:rFonts w:hint="eastAsia" w:ascii="宋体" w:hAnsi="宋体" w:cs="宋体"/>
          <w:color w:val="auto"/>
          <w:sz w:val="24"/>
          <w:highlight w:val="none"/>
          <w:u w:val="single"/>
        </w:rPr>
        <w:t>18.1 投标人上传电子投标文件的时间不得迟于招标公告中规定的投标截止时间</w:t>
      </w:r>
      <w:r>
        <w:rPr>
          <w:rFonts w:hint="eastAsia" w:ascii="宋体" w:hAnsi="宋体" w:cs="宋体"/>
          <w:color w:val="auto"/>
          <w:sz w:val="24"/>
          <w:highlight w:val="none"/>
        </w:rPr>
        <w:t>。</w:t>
      </w:r>
    </w:p>
    <w:p w14:paraId="4BEB6EC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投标人应充分考虑网络环境、网络带宽等风险因素，如因投标人自身原因造成的电子投标文件上传不成功的按照本招标文件第二章第26.1.2条 规定做无效投标处理。</w:t>
      </w:r>
    </w:p>
    <w:p w14:paraId="27E3B3C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18.2 采购人可以按照规定，通过修改招标文件酌情延长投标截止时间，在此情况下，投标人的所有权利和义务以及投标人受制的截止时间均应以延长后新的截止时间为准。</w:t>
      </w:r>
    </w:p>
    <w:p w14:paraId="71B0275C">
      <w:pPr>
        <w:pStyle w:val="217"/>
        <w:spacing w:before="0" w:after="0" w:line="520" w:lineRule="exact"/>
        <w:ind w:firstLine="420"/>
        <w:rPr>
          <w:rFonts w:ascii="宋体" w:hAnsi="宋体" w:eastAsia="宋体" w:cs="宋体"/>
          <w:b w:val="0"/>
          <w:bCs w:val="0"/>
          <w:color w:val="auto"/>
          <w:highlight w:val="none"/>
        </w:rPr>
      </w:pPr>
      <w:bookmarkStart w:id="190" w:name="_Toc16938543"/>
      <w:bookmarkStart w:id="191" w:name="_Toc20823299"/>
      <w:bookmarkStart w:id="192" w:name="_Toc513029227"/>
      <w:r>
        <w:rPr>
          <w:rFonts w:hint="eastAsia" w:ascii="宋体" w:hAnsi="宋体" w:eastAsia="宋体" w:cs="宋体"/>
          <w:b w:val="0"/>
          <w:bCs w:val="0"/>
          <w:color w:val="auto"/>
          <w:highlight w:val="none"/>
        </w:rPr>
        <w:t>19.投标文件</w:t>
      </w:r>
      <w:bookmarkEnd w:id="190"/>
      <w:bookmarkEnd w:id="191"/>
      <w:bookmarkEnd w:id="192"/>
      <w:r>
        <w:rPr>
          <w:rFonts w:hint="eastAsia" w:ascii="宋体" w:hAnsi="宋体" w:eastAsia="宋体" w:cs="宋体"/>
          <w:b w:val="0"/>
          <w:bCs w:val="0"/>
          <w:color w:val="auto"/>
          <w:highlight w:val="none"/>
        </w:rPr>
        <w:t>的拒收</w:t>
      </w:r>
    </w:p>
    <w:p w14:paraId="0F44C2A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19.1采购人或采购代理机构拒绝接收在其规定的投标截止时间后上传的任何投标文件。</w:t>
      </w:r>
    </w:p>
    <w:p w14:paraId="4486A954">
      <w:pPr>
        <w:pStyle w:val="217"/>
        <w:spacing w:before="0" w:after="0" w:line="520" w:lineRule="exact"/>
        <w:ind w:firstLine="420"/>
        <w:rPr>
          <w:rFonts w:ascii="宋体" w:hAnsi="宋体" w:eastAsia="宋体" w:cs="宋体"/>
          <w:b w:val="0"/>
          <w:bCs w:val="0"/>
          <w:color w:val="auto"/>
          <w:highlight w:val="none"/>
        </w:rPr>
      </w:pPr>
      <w:bookmarkStart w:id="193" w:name="_Toc16938544"/>
      <w:bookmarkStart w:id="194" w:name="_Toc513029228"/>
      <w:bookmarkStart w:id="195" w:name="_Toc20823300"/>
      <w:r>
        <w:rPr>
          <w:rFonts w:hint="eastAsia" w:ascii="宋体" w:hAnsi="宋体" w:eastAsia="宋体" w:cs="宋体"/>
          <w:b w:val="0"/>
          <w:bCs w:val="0"/>
          <w:color w:val="auto"/>
          <w:highlight w:val="none"/>
        </w:rPr>
        <w:t>20、投标文件的撤回和修改</w:t>
      </w:r>
      <w:bookmarkEnd w:id="193"/>
      <w:bookmarkEnd w:id="194"/>
      <w:bookmarkEnd w:id="195"/>
    </w:p>
    <w:p w14:paraId="7714B95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20.1 投标文件的撤回</w:t>
      </w:r>
    </w:p>
    <w:p w14:paraId="79EDDD8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21.1.1 电子投标文件的撤回</w:t>
      </w:r>
    </w:p>
    <w:p w14:paraId="02CD7E3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D6BE17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21.1.2 投标人撤回电子投标文件，则认为其不再参与本项目投标活动。</w:t>
      </w:r>
    </w:p>
    <w:p w14:paraId="261E8E0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20.2 投标文件的修改</w:t>
      </w:r>
    </w:p>
    <w:p w14:paraId="46429EC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20.2.1投标人可在投标截止时间前，对其电子投标文件进行修改，具体操作方法见《操作手册》。</w:t>
      </w:r>
    </w:p>
    <w:p w14:paraId="33BC20F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20.2.2 在投标截止时间之后，投标人不得对其电子投标文件作任何修改。</w:t>
      </w:r>
    </w:p>
    <w:p w14:paraId="6F40D2F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20.3 在投标截止时间至招标文件中规定的投标有效期满之间的这段时间内，投标人不得撤回其投标。</w:t>
      </w:r>
    </w:p>
    <w:p w14:paraId="2E1053EF">
      <w:pPr>
        <w:pStyle w:val="215"/>
        <w:spacing w:before="145" w:after="145" w:line="520" w:lineRule="exact"/>
        <w:ind w:firstLine="482"/>
        <w:rPr>
          <w:rFonts w:ascii="宋体" w:hAnsi="宋体" w:cs="宋体"/>
          <w:b w:val="0"/>
          <w:bCs w:val="0"/>
          <w:color w:val="auto"/>
          <w:highlight w:val="none"/>
        </w:rPr>
      </w:pPr>
      <w:bookmarkStart w:id="196" w:name="_Toc8178"/>
      <w:bookmarkStart w:id="197" w:name="_Toc9761"/>
      <w:bookmarkStart w:id="198" w:name="_Toc20823301"/>
      <w:bookmarkStart w:id="199" w:name="_Toc109"/>
      <w:bookmarkStart w:id="200" w:name="_Toc16938545"/>
      <w:bookmarkStart w:id="201" w:name="_Toc513029229"/>
      <w:bookmarkStart w:id="202" w:name="_Toc120614218"/>
      <w:r>
        <w:rPr>
          <w:rFonts w:hint="eastAsia" w:ascii="宋体" w:hAnsi="宋体" w:cs="宋体"/>
          <w:b w:val="0"/>
          <w:bCs w:val="0"/>
          <w:color w:val="auto"/>
          <w:highlight w:val="none"/>
        </w:rPr>
        <w:t>五、开标与评标</w:t>
      </w:r>
      <w:bookmarkEnd w:id="196"/>
      <w:bookmarkEnd w:id="197"/>
      <w:bookmarkEnd w:id="198"/>
      <w:bookmarkEnd w:id="199"/>
      <w:bookmarkEnd w:id="200"/>
      <w:bookmarkEnd w:id="201"/>
      <w:bookmarkEnd w:id="202"/>
    </w:p>
    <w:p w14:paraId="56B1B01E">
      <w:pPr>
        <w:pStyle w:val="217"/>
        <w:spacing w:before="0" w:after="0" w:line="520" w:lineRule="exact"/>
        <w:ind w:firstLine="420"/>
        <w:rPr>
          <w:rFonts w:ascii="宋体" w:hAnsi="宋体" w:eastAsia="宋体" w:cs="宋体"/>
          <w:b w:val="0"/>
          <w:bCs w:val="0"/>
          <w:color w:val="auto"/>
          <w:highlight w:val="none"/>
        </w:rPr>
      </w:pPr>
      <w:bookmarkStart w:id="203" w:name="_Toc16938546"/>
      <w:bookmarkStart w:id="204" w:name="_Toc20823302"/>
      <w:bookmarkStart w:id="205" w:name="_Toc513029230"/>
      <w:r>
        <w:rPr>
          <w:rFonts w:hint="eastAsia" w:ascii="宋体" w:hAnsi="宋体" w:eastAsia="宋体" w:cs="宋体"/>
          <w:b w:val="0"/>
          <w:bCs w:val="0"/>
          <w:color w:val="auto"/>
          <w:highlight w:val="none"/>
        </w:rPr>
        <w:t>21.开标</w:t>
      </w:r>
      <w:bookmarkEnd w:id="203"/>
      <w:bookmarkEnd w:id="204"/>
      <w:bookmarkEnd w:id="205"/>
    </w:p>
    <w:p w14:paraId="0ECB689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21.1采购人将在招标公告中规定的时间和地点组织公开开标。投标人应当按照《操作手册》规定，参加开标活动和在苏采云系统规定的时间内对投标文件进行解密。</w:t>
      </w:r>
    </w:p>
    <w:p w14:paraId="1F23B60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21.2开标仪式由采购代理机构组织。苏采云系统将自动对项目进行开标，并宣布各投标人名称和投标价格。</w:t>
      </w:r>
    </w:p>
    <w:p w14:paraId="4F1F0D7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21.3投标人在开标过程中涉及的投标文件解密、开标结果确认等工作，应按照《操作手册》规定执行。</w:t>
      </w:r>
    </w:p>
    <w:p w14:paraId="4268E4D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21.4投标人如果对开标过程和开标记录有疑义，应当根据《操作手册》规定提出，如苏采云系统中《开标记录表》宣布后5分钟内未提出的，视同认可开标结果。</w:t>
      </w:r>
    </w:p>
    <w:p w14:paraId="3E384D81">
      <w:pPr>
        <w:pStyle w:val="217"/>
        <w:spacing w:before="0" w:after="0" w:line="520" w:lineRule="exact"/>
        <w:ind w:firstLine="420"/>
        <w:rPr>
          <w:rFonts w:ascii="宋体" w:hAnsi="宋体" w:eastAsia="宋体" w:cs="宋体"/>
          <w:b w:val="0"/>
          <w:bCs w:val="0"/>
          <w:color w:val="auto"/>
          <w:highlight w:val="none"/>
        </w:rPr>
      </w:pPr>
      <w:bookmarkStart w:id="206" w:name="_Toc513029231"/>
      <w:bookmarkStart w:id="207" w:name="_Toc20823303"/>
      <w:bookmarkStart w:id="208" w:name="_Toc16938547"/>
      <w:r>
        <w:rPr>
          <w:rFonts w:hint="eastAsia" w:ascii="宋体" w:hAnsi="宋体" w:eastAsia="宋体" w:cs="宋体"/>
          <w:b w:val="0"/>
          <w:bCs w:val="0"/>
          <w:color w:val="auto"/>
          <w:highlight w:val="none"/>
        </w:rPr>
        <w:t>22、评标委员会</w:t>
      </w:r>
    </w:p>
    <w:p w14:paraId="6DCED9B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22.1开标后，采购人将立即组织评标委员会（以下简称评委会）进行评标。</w:t>
      </w:r>
    </w:p>
    <w:p w14:paraId="169429F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22.2评委会由采购人代表和有关技术、经济等方面的专家组成，且人员构成符合政府采购有关规定。</w:t>
      </w:r>
    </w:p>
    <w:p w14:paraId="12D6B3C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22.3评委会独立工作，负责评审所有投标文件并确定中标候选人。</w:t>
      </w:r>
    </w:p>
    <w:p w14:paraId="2DA45BEF">
      <w:pPr>
        <w:pStyle w:val="217"/>
        <w:spacing w:before="0" w:after="0" w:line="520" w:lineRule="exact"/>
        <w:ind w:firstLine="420"/>
        <w:rPr>
          <w:rFonts w:ascii="宋体" w:hAnsi="宋体" w:eastAsia="宋体" w:cs="宋体"/>
          <w:b w:val="0"/>
          <w:bCs w:val="0"/>
          <w:color w:val="auto"/>
          <w:highlight w:val="none"/>
        </w:rPr>
      </w:pPr>
      <w:r>
        <w:rPr>
          <w:rFonts w:hint="eastAsia" w:ascii="宋体" w:hAnsi="宋体" w:eastAsia="宋体" w:cs="宋体"/>
          <w:b w:val="0"/>
          <w:bCs w:val="0"/>
          <w:color w:val="auto"/>
          <w:highlight w:val="none"/>
        </w:rPr>
        <w:t>23.评标过程的保密与公正</w:t>
      </w:r>
      <w:bookmarkEnd w:id="206"/>
      <w:bookmarkEnd w:id="207"/>
      <w:bookmarkEnd w:id="208"/>
    </w:p>
    <w:p w14:paraId="2AC3E63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23.1凡是与审查、澄清、评价和比较投标的有关资料以及投标建议等，采购人、评委、采购代理机构均不得向投标人或与评标无关的其他人员透露。</w:t>
      </w:r>
    </w:p>
    <w:p w14:paraId="695F770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23.2在评标过程中，投标人不得以任何行为影响评标过程，否则其投标文件将被作为无效投标文件。</w:t>
      </w:r>
    </w:p>
    <w:p w14:paraId="0CF54C5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23.3采购人、采购代理机构和评标委员会不向未中标的投标人解释未中标原因，也不公布评标过程中的相关细节。</w:t>
      </w:r>
    </w:p>
    <w:p w14:paraId="3C1C263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23.4采用综合评分法的项目，未中标的投标人可于中标结果公告期限届满之日起通过苏采云系统查看自己的评审得分及排序情况。</w:t>
      </w:r>
    </w:p>
    <w:p w14:paraId="6599389B">
      <w:pPr>
        <w:pStyle w:val="217"/>
        <w:spacing w:before="0" w:after="0" w:line="520" w:lineRule="exact"/>
        <w:ind w:firstLine="420"/>
        <w:rPr>
          <w:rFonts w:ascii="宋体" w:hAnsi="宋体" w:eastAsia="宋体" w:cs="宋体"/>
          <w:b w:val="0"/>
          <w:bCs w:val="0"/>
          <w:color w:val="auto"/>
          <w:highlight w:val="none"/>
        </w:rPr>
      </w:pPr>
      <w:bookmarkStart w:id="209" w:name="_Toc20823304"/>
      <w:bookmarkStart w:id="210" w:name="_Toc16938548"/>
      <w:bookmarkStart w:id="211" w:name="_Toc513029232"/>
      <w:r>
        <w:rPr>
          <w:rFonts w:hint="eastAsia" w:ascii="宋体" w:hAnsi="宋体" w:eastAsia="宋体" w:cs="宋体"/>
          <w:b w:val="0"/>
          <w:bCs w:val="0"/>
          <w:color w:val="auto"/>
          <w:highlight w:val="none"/>
        </w:rPr>
        <w:t>24.投标文件的澄清</w:t>
      </w:r>
      <w:bookmarkEnd w:id="209"/>
      <w:bookmarkEnd w:id="210"/>
      <w:bookmarkEnd w:id="211"/>
    </w:p>
    <w:p w14:paraId="183A429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24.1评标期间，评委会对投标文件中含义不明确、同类问题表述不一致或者有明显文字和计算错误的内容 ，有权要求投标人作出必要的澄清、说明或者补正。</w:t>
      </w:r>
    </w:p>
    <w:p w14:paraId="75EBA26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投标人的澄清、说明或者补正不得超出投标文件的范围或者改变投标文件的实质性内容。</w:t>
      </w:r>
    </w:p>
    <w:p w14:paraId="177BFBA3">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333A58E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65B732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24.3 接到评委会澄清、说明和补正要求的投标人如未按规定做出澄清、说明和补正，其风险由投标人自行承担。</w:t>
      </w:r>
    </w:p>
    <w:p w14:paraId="12036E42">
      <w:pPr>
        <w:pStyle w:val="217"/>
        <w:spacing w:before="0" w:after="0" w:line="520" w:lineRule="exact"/>
        <w:ind w:firstLine="420"/>
        <w:rPr>
          <w:rFonts w:ascii="宋体" w:hAnsi="宋体" w:eastAsia="宋体" w:cs="宋体"/>
          <w:b w:val="0"/>
          <w:bCs w:val="0"/>
          <w:color w:val="auto"/>
          <w:highlight w:val="none"/>
        </w:rPr>
      </w:pPr>
      <w:bookmarkStart w:id="212" w:name="_Toc16938549"/>
      <w:bookmarkStart w:id="213" w:name="_Toc513029233"/>
      <w:bookmarkStart w:id="214" w:name="_Toc20823305"/>
      <w:r>
        <w:rPr>
          <w:rFonts w:hint="eastAsia" w:ascii="宋体" w:hAnsi="宋体" w:eastAsia="宋体" w:cs="宋体"/>
          <w:b w:val="0"/>
          <w:bCs w:val="0"/>
          <w:color w:val="auto"/>
          <w:highlight w:val="none"/>
        </w:rPr>
        <w:t>25.对投标文件的初审</w:t>
      </w:r>
      <w:bookmarkEnd w:id="212"/>
      <w:bookmarkEnd w:id="213"/>
      <w:bookmarkEnd w:id="214"/>
    </w:p>
    <w:p w14:paraId="3C08D1A5">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25.1投标文件初审分为资格审查和符合性审查。</w:t>
      </w:r>
    </w:p>
    <w:p w14:paraId="1D34916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25.1.1资格审查：依据法律法规和招标文件的规定，由采购人对投标文件中的资格证明文件进行审查。资格审查的结论，采购人以书面形式向评委会进行反馈。</w:t>
      </w:r>
    </w:p>
    <w:p w14:paraId="01F6BA2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采购人在进行资格性审查的同时，将在“信用中国”网站（www.creditchina.gov.cn）查询投标人的信用记录，以确定投标人是否具备投标资格,查询结果留存并归档。</w:t>
      </w:r>
    </w:p>
    <w:p w14:paraId="4A87DAA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4BDA30A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25.1.2 符合性审查：依据招标文件的规定，由评委会从投标文件的有效性、完整性和对招标文件的响应程度进行审查，以确定是否对招标文件的实质性要求作出响应。</w:t>
      </w:r>
    </w:p>
    <w:p w14:paraId="0A447A5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25.1.3未通过资格审查或符合性审查的投标人，采购代理机构将在苏采云系统中告知未通过资格审查或符合性审查的原因，评标结束后，采购人或采购代理机构将不再告知未通过资格审查和符合性审查的原因。</w:t>
      </w:r>
    </w:p>
    <w:p w14:paraId="222E44B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76B9F2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rPr>
        <w:t>采购人</w:t>
      </w:r>
      <w:r>
        <w:rPr>
          <w:rFonts w:hint="eastAsia" w:ascii="宋体" w:hAnsi="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98E063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49C3AA3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25.4评委会将对确定为实质性响应的投标进行进一步审核，确定其是否有计算上或累加上的算术错误，修正错误的原则如下：</w:t>
      </w:r>
    </w:p>
    <w:p w14:paraId="4D21E6C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（1）投标文件中开标一览表内容与投标文件中相应内容不一致的，以开标一览表为准。</w:t>
      </w:r>
    </w:p>
    <w:p w14:paraId="31B78AB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（2）大写金额和小写金额不一致的，以大写金额为准。</w:t>
      </w:r>
    </w:p>
    <w:p w14:paraId="3661664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（3）单价金额小数点或者百分比有明显错位的，以开标一览表的总价为准，并修改单价。</w:t>
      </w:r>
    </w:p>
    <w:p w14:paraId="23C7A2F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（4）总价金额与按单价汇总金额不一致的，以单价金额计算结果为准。</w:t>
      </w:r>
    </w:p>
    <w:p w14:paraId="7491670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同时出现两种以上错误的，按照前款规定的顺序修正。</w:t>
      </w:r>
    </w:p>
    <w:p w14:paraId="49A1E2D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3FC6918B">
      <w:pPr>
        <w:spacing w:line="520" w:lineRule="exact"/>
        <w:ind w:firstLine="480"/>
        <w:rPr>
          <w:rFonts w:ascii="宋体" w:hAnsi="宋体" w:cs="宋体"/>
          <w:color w:val="auto"/>
          <w:sz w:val="24"/>
          <w:highlight w:val="none"/>
        </w:rPr>
      </w:pPr>
      <w:bookmarkStart w:id="215" w:name="_Toc20823306"/>
      <w:bookmarkStart w:id="216" w:name="_Toc16938550"/>
      <w:bookmarkStart w:id="217" w:name="_Toc513029234"/>
      <w:r>
        <w:rPr>
          <w:rFonts w:hint="eastAsia" w:ascii="宋体" w:hAnsi="宋体" w:cs="宋体"/>
          <w:color w:val="auto"/>
          <w:sz w:val="24"/>
          <w:highlight w:val="none"/>
        </w:rPr>
        <w:t>25.6投标人在开、评标全过程中应保持通讯畅通，及时登录苏采云系统查阅、答复相关信息，并安排专人与采购人、采购代理机构及评标委员会联系。</w:t>
      </w:r>
    </w:p>
    <w:p w14:paraId="5289C3C0">
      <w:pPr>
        <w:pStyle w:val="217"/>
        <w:spacing w:before="0" w:after="0" w:line="520" w:lineRule="exact"/>
        <w:ind w:firstLine="420"/>
        <w:rPr>
          <w:rFonts w:ascii="宋体" w:hAnsi="宋体" w:eastAsia="宋体" w:cs="宋体"/>
          <w:b w:val="0"/>
          <w:bCs w:val="0"/>
          <w:color w:val="auto"/>
          <w:highlight w:val="none"/>
        </w:rPr>
      </w:pPr>
      <w:r>
        <w:rPr>
          <w:rFonts w:hint="eastAsia" w:ascii="宋体" w:hAnsi="宋体" w:eastAsia="宋体" w:cs="宋体"/>
          <w:b w:val="0"/>
          <w:bCs w:val="0"/>
          <w:color w:val="auto"/>
          <w:highlight w:val="none"/>
        </w:rPr>
        <w:t>26</w:t>
      </w:r>
      <w:bookmarkEnd w:id="215"/>
      <w:bookmarkEnd w:id="216"/>
      <w:bookmarkEnd w:id="217"/>
      <w:r>
        <w:rPr>
          <w:rFonts w:hint="eastAsia" w:ascii="宋体" w:hAnsi="宋体" w:eastAsia="宋体" w:cs="宋体"/>
          <w:b w:val="0"/>
          <w:bCs w:val="0"/>
          <w:color w:val="auto"/>
          <w:highlight w:val="none"/>
        </w:rPr>
        <w:t>.无效投标条款和废标条款</w:t>
      </w:r>
    </w:p>
    <w:p w14:paraId="7597F810">
      <w:pPr>
        <w:spacing w:line="520" w:lineRule="exact"/>
        <w:ind w:firstLine="480"/>
        <w:rPr>
          <w:rFonts w:ascii="宋体" w:hAnsi="宋体" w:cs="宋体"/>
          <w:color w:val="auto"/>
          <w:sz w:val="24"/>
          <w:highlight w:val="none"/>
        </w:rPr>
      </w:pPr>
      <w:bookmarkStart w:id="218" w:name="_Toc20823307"/>
      <w:bookmarkStart w:id="219" w:name="_Toc513029235"/>
      <w:bookmarkStart w:id="220" w:name="_Toc16938551"/>
      <w:r>
        <w:rPr>
          <w:rFonts w:hint="eastAsia" w:ascii="宋体" w:hAnsi="宋体" w:cs="宋体"/>
          <w:color w:val="auto"/>
          <w:sz w:val="24"/>
          <w:highlight w:val="none"/>
        </w:rPr>
        <w:t>26.1无效投标条款</w:t>
      </w:r>
    </w:p>
    <w:p w14:paraId="241DC2B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26.1.1投标人在苏采云系统规定的时间内未成功解密电子投标文件的。</w:t>
      </w:r>
    </w:p>
    <w:p w14:paraId="15985E6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26.1.2投标人未按照招标文件要求上传电子投标文件的。</w:t>
      </w:r>
    </w:p>
    <w:p w14:paraId="423C39E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26.1.3同一投标人提交两个（含两个）以上不同的投标报价的。</w:t>
      </w:r>
    </w:p>
    <w:p w14:paraId="702986B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26.1.4投标人不具备招标文件中规定资格要求的。</w:t>
      </w:r>
    </w:p>
    <w:p w14:paraId="2EEA89B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26.1.5投标人的报价超过了采购预算或最高限价的。</w:t>
      </w:r>
    </w:p>
    <w:p w14:paraId="0C44948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26.1.6未通过符合性审查的。</w:t>
      </w:r>
    </w:p>
    <w:p w14:paraId="4C8F4F9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26.1.7不符合招标文件中规定的实质性要求和条件的。</w:t>
      </w:r>
    </w:p>
    <w:p w14:paraId="2F70FB5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F3191A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26.1.9投标文件含有采购人不能接受的附加条件的。</w:t>
      </w:r>
    </w:p>
    <w:p w14:paraId="09AC0CD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4DB193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26.1.11投标文件未按照招标文件要求加盖CA电子公章的。</w:t>
      </w:r>
    </w:p>
    <w:p w14:paraId="540AACC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26.1.12其他法律、法规及本招标文件规定的属无效投标的情形。</w:t>
      </w:r>
    </w:p>
    <w:p w14:paraId="007F93F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26.2废标条款</w:t>
      </w:r>
    </w:p>
    <w:p w14:paraId="11B0D47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26.2.1符合专业条件的供应商或者对招标文件作实质响应的供应商不足三家的。</w:t>
      </w:r>
    </w:p>
    <w:p w14:paraId="49984E4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26.2.2出现影响采购公正的违法、违规行为的。</w:t>
      </w:r>
    </w:p>
    <w:p w14:paraId="71FE680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26.2.3因重大变故，采购任务取消的。</w:t>
      </w:r>
    </w:p>
    <w:p w14:paraId="7762389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26.2.4评标委员会认定招标文件存在歧义、重大缺陷导致评审工作无法进行。</w:t>
      </w:r>
    </w:p>
    <w:p w14:paraId="055F81E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26.2.5 因苏采云系统故障原因造成开标不成功的。</w:t>
      </w:r>
    </w:p>
    <w:p w14:paraId="56492A3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color w:val="auto"/>
          <w:sz w:val="24"/>
          <w:highlight w:val="none"/>
        </w:rPr>
      </w:pPr>
      <w:r>
        <w:rPr>
          <w:rFonts w:hint="eastAsia" w:ascii="宋体" w:hAnsi="宋体" w:cs="宋体"/>
          <w:color w:val="auto"/>
          <w:sz w:val="24"/>
          <w:highlight w:val="none"/>
        </w:rPr>
        <w:t>26.3 投标截止时间结束后参加投标的供应商不足三家的处理：</w:t>
      </w:r>
    </w:p>
    <w:p w14:paraId="553D496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cs="宋体"/>
          <w:color w:val="auto"/>
          <w:sz w:val="24"/>
          <w:highlight w:val="none"/>
        </w:rPr>
      </w:pPr>
      <w:r>
        <w:rPr>
          <w:rFonts w:hint="eastAsia" w:ascii="宋体" w:hAnsi="宋体" w:cs="宋体"/>
          <w:color w:val="auto"/>
          <w:sz w:val="24"/>
          <w:highlight w:val="none"/>
        </w:rPr>
        <w:t>26.3.1如出现投标截止时间结束后参加投标的供应商或者在评标期间对招标文件做出实质响应的供应商不足三家情况，按政府采购相关规定执行。</w:t>
      </w:r>
    </w:p>
    <w:p w14:paraId="785658C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26.4</w:t>
      </w:r>
      <w:r>
        <w:rPr>
          <w:rFonts w:hint="eastAsia" w:ascii="宋体" w:hAnsi="宋体" w:eastAsia="宋体" w:cs="宋体"/>
          <w:b/>
          <w:bCs/>
          <w:color w:val="auto"/>
          <w:sz w:val="24"/>
          <w:highlight w:val="none"/>
          <w:lang w:eastAsia="en-US"/>
        </w:rPr>
        <w:t>本项目执行财库〔2026〕2号</w:t>
      </w:r>
      <w:r>
        <w:rPr>
          <w:rFonts w:hint="eastAsia" w:ascii="宋体" w:hAnsi="宋体" w:eastAsia="宋体" w:cs="宋体"/>
          <w:b/>
          <w:bCs/>
          <w:color w:val="auto"/>
          <w:sz w:val="24"/>
          <w:highlight w:val="none"/>
        </w:rPr>
        <w:t>《关于推动解决政府采购异常低价问题的通知》</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eastAsia="en-US"/>
        </w:rPr>
        <w:t>采购人应在采购文件中明确评审委员会启动异常低价投标</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响应</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eastAsia="en-US"/>
        </w:rPr>
        <w:t>审查的情形和具体要求，包括</w:t>
      </w:r>
      <w:r>
        <w:rPr>
          <w:rFonts w:hint="eastAsia" w:ascii="宋体" w:hAnsi="宋体" w:eastAsia="宋体" w:cs="宋体"/>
          <w:b/>
          <w:bCs/>
          <w:color w:val="auto"/>
          <w:sz w:val="24"/>
          <w:highlight w:val="none"/>
          <w:lang w:eastAsia="zh-CN"/>
        </w:rPr>
        <w:t>：</w:t>
      </w:r>
    </w:p>
    <w:p w14:paraId="323D3D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ascii="Calibri" w:hAnsi="Calibri" w:cs="Calibri"/>
          <w:b/>
          <w:bCs/>
          <w:i w:val="0"/>
          <w:iCs w:val="0"/>
          <w:caps w:val="0"/>
          <w:color w:val="000000" w:themeColor="text1"/>
          <w:spacing w:val="0"/>
          <w:sz w:val="21"/>
          <w:szCs w:val="21"/>
          <w:highlight w:val="none"/>
          <w14:textFill>
            <w14:solidFill>
              <w14:schemeClr w14:val="tx1"/>
            </w14:solidFill>
          </w14:textFill>
        </w:rPr>
      </w:pPr>
      <w:bookmarkStart w:id="221" w:name="_Toc19496"/>
      <w:bookmarkStart w:id="222" w:name="_Toc31095"/>
      <w:bookmarkStart w:id="223" w:name="_Toc3443"/>
      <w:bookmarkStart w:id="224" w:name="_Toc120614219"/>
      <w:r>
        <w:rPr>
          <w:rFonts w:hint="eastAsia" w:ascii="宋体" w:hAnsi="宋体" w:eastAsia="宋体" w:cs="宋体"/>
          <w:b/>
          <w:bCs/>
          <w:i w:val="0"/>
          <w:iCs w:val="0"/>
          <w:caps w:val="0"/>
          <w:color w:val="000000" w:themeColor="text1"/>
          <w:spacing w:val="0"/>
          <w:kern w:val="0"/>
          <w:sz w:val="24"/>
          <w:szCs w:val="24"/>
          <w:highlight w:val="none"/>
          <w:shd w:val="clear" w:fill="FFFFFF"/>
          <w:vertAlign w:val="baseline"/>
          <w:lang w:val="en-US" w:eastAsia="zh-CN" w:bidi="ar"/>
          <w14:textFill>
            <w14:solidFill>
              <w14:schemeClr w14:val="tx1"/>
            </w14:solidFill>
          </w14:textFill>
        </w:rPr>
        <w:t>（一）采购人应当在采购文件中明确，政府采购评审中出现下列情形之一的，评审委员会应当启动异常低价投标（响应）审查程序：</w:t>
      </w:r>
    </w:p>
    <w:p w14:paraId="73A87B4D">
      <w:pPr>
        <w:spacing w:line="520" w:lineRule="exact"/>
        <w:ind w:firstLine="480"/>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 xml:space="preserve">1.投标报价低于全部通过符合性审查供应商投标报价平均值65%的，即投标报价（全部通过符合性审查供应商投标报价平均值）×65%； </w:t>
      </w:r>
    </w:p>
    <w:p w14:paraId="5DE13F2E">
      <w:pPr>
        <w:spacing w:line="520" w:lineRule="exact"/>
        <w:ind w:firstLine="480"/>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 xml:space="preserve">2.投标报价低于通过符合性审查的次低报价供应商投标报价65%的，即投标报价&lt;通过符合性审查的次低报价供应商投标报价×65%； </w:t>
      </w:r>
    </w:p>
    <w:p w14:paraId="6FDCF004">
      <w:pPr>
        <w:spacing w:line="520" w:lineRule="exact"/>
        <w:ind w:firstLine="480"/>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 xml:space="preserve">3.投标报价低于采购项目最高限价65%的，即投标报价&lt;采购项目最高限价×65%； </w:t>
      </w:r>
    </w:p>
    <w:p w14:paraId="6B98D0B8">
      <w:pPr>
        <w:spacing w:line="520" w:lineRule="exact"/>
        <w:ind w:firstLine="480"/>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 xml:space="preserve">4.评审委员会基于专业判断，认为供应商报价过低，有可能影响产品质量或者不能诚信履约的其他情形。 </w:t>
      </w:r>
    </w:p>
    <w:p w14:paraId="5AC3FD20">
      <w:pPr>
        <w:spacing w:line="520" w:lineRule="exact"/>
        <w:ind w:firstLine="480"/>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w:t>
      </w:r>
    </w:p>
    <w:p w14:paraId="51219360">
      <w:pPr>
        <w:spacing w:line="520" w:lineRule="exact"/>
        <w:ind w:firstLine="480"/>
        <w:rPr>
          <w:rFonts w:hint="eastAsia" w:ascii="宋体" w:hAnsi="宋体" w:eastAsia="宋体" w:cs="宋体"/>
          <w:b/>
          <w:bCs/>
          <w:color w:val="auto"/>
          <w:kern w:val="0"/>
          <w:sz w:val="24"/>
          <w:szCs w:val="22"/>
          <w:highlight w:val="none"/>
          <w:lang w:val="en-US" w:eastAsia="en-US"/>
        </w:rPr>
      </w:pPr>
      <w:r>
        <w:rPr>
          <w:rFonts w:hint="eastAsia" w:ascii="宋体" w:hAnsi="宋体" w:eastAsia="宋体" w:cs="宋体"/>
          <w:b/>
          <w:bCs/>
          <w:color w:val="auto"/>
          <w:kern w:val="0"/>
          <w:sz w:val="24"/>
          <w:szCs w:val="22"/>
          <w:highlight w:val="none"/>
          <w:lang w:val="en-US" w:eastAsia="zh-CN"/>
        </w:rPr>
        <w:t>评委会将通过“苏采云”系统要求其在合理的时间内提供书面说明、证明材料。未通过资格审查或符合性审查的投标人，将通过“苏采云”系统中告知其未通过的原因，评审结束后，将不再告知。</w:t>
      </w:r>
    </w:p>
    <w:p w14:paraId="446F1A71">
      <w:pPr>
        <w:pStyle w:val="215"/>
        <w:spacing w:before="145" w:after="145" w:line="520" w:lineRule="exact"/>
        <w:ind w:firstLine="482"/>
        <w:rPr>
          <w:rFonts w:ascii="宋体" w:hAnsi="宋体" w:cs="宋体"/>
          <w:b w:val="0"/>
          <w:bCs w:val="0"/>
          <w:color w:val="auto"/>
          <w:highlight w:val="none"/>
        </w:rPr>
      </w:pPr>
      <w:r>
        <w:rPr>
          <w:rFonts w:hint="eastAsia" w:ascii="宋体" w:hAnsi="宋体" w:cs="宋体"/>
          <w:b w:val="0"/>
          <w:bCs w:val="0"/>
          <w:color w:val="auto"/>
          <w:highlight w:val="none"/>
        </w:rPr>
        <w:t>六、</w:t>
      </w:r>
      <w:bookmarkEnd w:id="218"/>
      <w:bookmarkEnd w:id="219"/>
      <w:bookmarkEnd w:id="220"/>
      <w:r>
        <w:rPr>
          <w:rFonts w:hint="eastAsia" w:ascii="宋体" w:hAnsi="宋体" w:cs="宋体"/>
          <w:b w:val="0"/>
          <w:bCs w:val="0"/>
          <w:color w:val="auto"/>
          <w:highlight w:val="none"/>
        </w:rPr>
        <w:t>定标</w:t>
      </w:r>
      <w:bookmarkEnd w:id="221"/>
      <w:bookmarkEnd w:id="222"/>
      <w:bookmarkEnd w:id="223"/>
      <w:bookmarkEnd w:id="224"/>
    </w:p>
    <w:p w14:paraId="34065E96">
      <w:pPr>
        <w:pStyle w:val="217"/>
        <w:spacing w:before="0" w:after="0" w:line="520" w:lineRule="exact"/>
        <w:ind w:firstLine="600"/>
        <w:rPr>
          <w:rFonts w:ascii="宋体" w:hAnsi="宋体" w:eastAsia="宋体" w:cs="宋体"/>
          <w:b w:val="0"/>
          <w:bCs w:val="0"/>
          <w:color w:val="auto"/>
          <w:sz w:val="30"/>
          <w:szCs w:val="30"/>
          <w:highlight w:val="none"/>
        </w:rPr>
      </w:pPr>
      <w:bookmarkStart w:id="225" w:name="_Toc513029238"/>
      <w:bookmarkStart w:id="226" w:name="_Toc16938554"/>
      <w:bookmarkStart w:id="227" w:name="_Toc20823310"/>
      <w:r>
        <w:rPr>
          <w:rFonts w:hint="eastAsia" w:ascii="宋体" w:hAnsi="宋体" w:eastAsia="宋体" w:cs="宋体"/>
          <w:b w:val="0"/>
          <w:bCs w:val="0"/>
          <w:color w:val="auto"/>
          <w:sz w:val="30"/>
          <w:szCs w:val="30"/>
          <w:highlight w:val="none"/>
        </w:rPr>
        <w:t>27</w:t>
      </w:r>
      <w:bookmarkEnd w:id="225"/>
      <w:r>
        <w:rPr>
          <w:rFonts w:hint="eastAsia" w:ascii="宋体" w:hAnsi="宋体" w:eastAsia="宋体" w:cs="宋体"/>
          <w:b w:val="0"/>
          <w:bCs w:val="0"/>
          <w:color w:val="auto"/>
          <w:sz w:val="30"/>
          <w:szCs w:val="30"/>
          <w:highlight w:val="none"/>
        </w:rPr>
        <w:t>.确定</w:t>
      </w:r>
      <w:bookmarkEnd w:id="226"/>
      <w:bookmarkEnd w:id="227"/>
      <w:r>
        <w:rPr>
          <w:rFonts w:hint="eastAsia" w:ascii="宋体" w:hAnsi="宋体" w:eastAsia="宋体" w:cs="宋体"/>
          <w:b w:val="0"/>
          <w:bCs w:val="0"/>
          <w:color w:val="auto"/>
          <w:sz w:val="30"/>
          <w:szCs w:val="30"/>
          <w:highlight w:val="none"/>
        </w:rPr>
        <w:t>中标单位</w:t>
      </w:r>
    </w:p>
    <w:p w14:paraId="4629F2A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 </w:t>
      </w:r>
    </w:p>
    <w:p w14:paraId="6633680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27.2 评标结果按评审后得分由高到低顺序排列。投标文件满足招标文件全部实质性要求，且按照评审因素的量化指标评审得分由高到低排名 1-3 的投标人为中标候选人，若得分相同，由采购人以现场抽签方式确定排序。</w:t>
      </w:r>
    </w:p>
    <w:p w14:paraId="48A9DD3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27.3 采购人或采购代理机构将在“</w:t>
      </w:r>
      <w:r>
        <w:rPr>
          <w:rFonts w:hint="eastAsia" w:ascii="宋体" w:hAnsi="宋体" w:cs="宋体"/>
          <w:b/>
          <w:bCs/>
          <w:color w:val="auto"/>
          <w:sz w:val="24"/>
          <w:highlight w:val="none"/>
        </w:rPr>
        <w:t>江苏政府采购网</w:t>
      </w:r>
      <w:r>
        <w:rPr>
          <w:rFonts w:hint="eastAsia" w:ascii="宋体" w:hAnsi="宋体" w:cs="宋体"/>
          <w:color w:val="auto"/>
          <w:sz w:val="24"/>
          <w:highlight w:val="none"/>
        </w:rPr>
        <w:t>”发布中标公告，公告期限为1个工作日。</w:t>
      </w:r>
    </w:p>
    <w:p w14:paraId="1072F40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27.4  若有充分证据证明，中标人出现下列情况之一的，一经查实，将被取消中标资格：</w:t>
      </w:r>
    </w:p>
    <w:p w14:paraId="180194D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27.4.1提供虚假材料谋取中标的。</w:t>
      </w:r>
    </w:p>
    <w:p w14:paraId="19457DB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27.4.2向采购人、采购代理机构行贿或者提供其他不正当利益的。</w:t>
      </w:r>
    </w:p>
    <w:p w14:paraId="2CFD3D4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27.4.3属于本文件规定的无效条件，但在评标过程中又未被评委会发现的。</w:t>
      </w:r>
    </w:p>
    <w:p w14:paraId="49E2DEF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27.4.4与采购人或者其他供应商恶意串通的。</w:t>
      </w:r>
    </w:p>
    <w:p w14:paraId="7EBA9E33">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27.4.5采取不正当手段诋毁、排挤其他供应商的。</w:t>
      </w:r>
    </w:p>
    <w:p w14:paraId="0D395655">
      <w:pPr>
        <w:spacing w:line="520" w:lineRule="exact"/>
        <w:ind w:firstLine="480"/>
        <w:rPr>
          <w:rFonts w:ascii="宋体" w:hAnsi="宋体" w:cs="宋体"/>
          <w:color w:val="auto"/>
          <w:sz w:val="24"/>
          <w:highlight w:val="none"/>
        </w:rPr>
      </w:pPr>
      <w:bookmarkStart w:id="228" w:name="_Toc200451960"/>
      <w:r>
        <w:rPr>
          <w:rFonts w:hint="eastAsia" w:ascii="宋体" w:hAnsi="宋体" w:cs="宋体"/>
          <w:color w:val="auto"/>
          <w:sz w:val="24"/>
          <w:highlight w:val="none"/>
        </w:rPr>
        <w:t>27.5 有下列情形之一的，视为投标人串通投标，投标无效：</w:t>
      </w:r>
    </w:p>
    <w:p w14:paraId="012B84DF">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27.5.1不同投标人的投标文件由同一单位或者个人编制。</w:t>
      </w:r>
    </w:p>
    <w:p w14:paraId="26268738">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27.5.2不同投标人委托同一单位或者个人办理投标事宜。</w:t>
      </w:r>
    </w:p>
    <w:p w14:paraId="5CB4635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27.5.3 不同投标人的投标文件载明的项目管理成员或者联系人员为同一人。</w:t>
      </w:r>
    </w:p>
    <w:p w14:paraId="5179AA5D">
      <w:pPr>
        <w:spacing w:line="520" w:lineRule="exact"/>
        <w:ind w:firstLine="480"/>
        <w:rPr>
          <w:rFonts w:ascii="宋体" w:hAnsi="宋体" w:cs="宋体"/>
          <w:color w:val="auto"/>
          <w:sz w:val="24"/>
          <w:szCs w:val="24"/>
          <w:highlight w:val="none"/>
        </w:rPr>
      </w:pPr>
      <w:r>
        <w:rPr>
          <w:rFonts w:hint="eastAsia" w:ascii="宋体" w:hAnsi="宋体" w:cs="宋体"/>
          <w:color w:val="auto"/>
          <w:sz w:val="24"/>
          <w:highlight w:val="none"/>
        </w:rPr>
        <w:t>27.5.4不同投标人的投标文件异常一致或者投标报价呈规律性差异。</w:t>
      </w:r>
    </w:p>
    <w:p w14:paraId="4293086B">
      <w:pPr>
        <w:pStyle w:val="217"/>
        <w:spacing w:before="0" w:after="0" w:line="520" w:lineRule="exact"/>
        <w:ind w:firstLine="600"/>
        <w:rPr>
          <w:rFonts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28.质疑处理</w:t>
      </w:r>
      <w:bookmarkEnd w:id="228"/>
    </w:p>
    <w:p w14:paraId="4E2F597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28.1 提出质疑的供应商应当是参与所质疑项目采购活动的供应商。潜在供应商依法获取其可质疑的采购文件的，可以对采购文件提出质疑。</w:t>
      </w:r>
    </w:p>
    <w:p w14:paraId="7C7EC22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ECE875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28.2.1对可以质疑的采购文件提出质疑的，为收到采购文件之日或者采购文件公告期限届满之日；</w:t>
      </w:r>
    </w:p>
    <w:p w14:paraId="7DBFE26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28.2.2对采购过程提出质疑的，为各采购程序环节结束之日；</w:t>
      </w:r>
    </w:p>
    <w:p w14:paraId="43D54F6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28.2.3对中标或者成交结果提出质疑的，为中标或者成交结果公告期限届满之日。</w:t>
      </w:r>
    </w:p>
    <w:p w14:paraId="305D0AE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025E3F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54CE3EA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p>
    <w:p w14:paraId="511224B5">
      <w:pPr>
        <w:spacing w:line="520" w:lineRule="exact"/>
        <w:ind w:firstLine="480"/>
        <w:rPr>
          <w:rFonts w:ascii="宋体" w:hAnsi="宋体" w:cs="宋体"/>
          <w:color w:val="auto"/>
          <w:sz w:val="24"/>
          <w:szCs w:val="24"/>
          <w:highlight w:val="none"/>
        </w:rPr>
      </w:pPr>
      <w:r>
        <w:rPr>
          <w:rFonts w:hint="eastAsia" w:ascii="宋体" w:hAnsi="宋体" w:cs="宋体"/>
          <w:color w:val="auto"/>
          <w:sz w:val="24"/>
          <w:highlight w:val="none"/>
        </w:rPr>
        <w:t>采购人及采购代理机构只接收以纸质原件形式送达的质疑，供应商可以通过现场递交或邮寄方式提交质疑。</w:t>
      </w:r>
    </w:p>
    <w:p w14:paraId="20A5A3E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采购代理机构质疑接收部门为</w:t>
      </w:r>
      <w:r>
        <w:rPr>
          <w:rFonts w:hint="eastAsia" w:ascii="宋体" w:hAnsi="宋体" w:cs="宋体"/>
          <w:b/>
          <w:bCs/>
          <w:color w:val="auto"/>
          <w:sz w:val="24"/>
          <w:highlight w:val="none"/>
          <w:lang w:eastAsia="zh-CN"/>
        </w:rPr>
        <w:t>江苏宝宏项目管理咨询有限公司</w:t>
      </w:r>
      <w:r>
        <w:rPr>
          <w:rFonts w:hint="eastAsia" w:ascii="宋体" w:hAnsi="宋体" w:cs="宋体"/>
          <w:b/>
          <w:bCs/>
          <w:color w:val="auto"/>
          <w:sz w:val="24"/>
          <w:highlight w:val="none"/>
        </w:rPr>
        <w:t>招标代理部，联系地址：连云港市海州经济开发区朐凤路116号，联系电话：</w:t>
      </w:r>
      <w:r>
        <w:rPr>
          <w:rFonts w:hint="eastAsia" w:ascii="宋体" w:hAnsi="宋体" w:cs="宋体"/>
          <w:b/>
          <w:bCs/>
          <w:color w:val="auto"/>
          <w:sz w:val="24"/>
          <w:highlight w:val="none"/>
          <w:lang w:val="en-US" w:eastAsia="zh-CN"/>
        </w:rPr>
        <w:t>18936672920</w:t>
      </w:r>
      <w:r>
        <w:rPr>
          <w:rFonts w:hint="eastAsia" w:ascii="宋体" w:hAnsi="宋体" w:cs="宋体"/>
          <w:color w:val="auto"/>
          <w:sz w:val="24"/>
          <w:highlight w:val="none"/>
        </w:rPr>
        <w:t>。</w:t>
      </w:r>
    </w:p>
    <w:p w14:paraId="03AB104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采购人质疑接收人及联系方式见招标文件第一章。</w:t>
      </w:r>
    </w:p>
    <w:p w14:paraId="231E2E4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28.5 以下情形的质疑不予受理</w:t>
      </w:r>
    </w:p>
    <w:p w14:paraId="20D954E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28.5.1 内容不符合《政府采购质疑和投诉办法》第十二条规定的质疑。</w:t>
      </w:r>
    </w:p>
    <w:p w14:paraId="0A6BB24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28.5.2 超出政府采购法定期限的质疑。</w:t>
      </w:r>
    </w:p>
    <w:p w14:paraId="722DE11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28.5.3 以传真、电子邮件等方式递交的非原件形式的质疑。</w:t>
      </w:r>
    </w:p>
    <w:p w14:paraId="396056E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28.5.4 未参加投标活动的供应商或在投标活动中自身权益未受到损害的供应商所提出的质疑。</w:t>
      </w:r>
    </w:p>
    <w:p w14:paraId="23E71C73">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28.5.5供应商组成联合体参加投标，联合体中任何一方或多方未按要求签字、盖章、加盖公章的质疑。</w:t>
      </w:r>
    </w:p>
    <w:p w14:paraId="4D66C198">
      <w:pPr>
        <w:spacing w:line="520" w:lineRule="exact"/>
        <w:ind w:firstLine="480"/>
        <w:rPr>
          <w:rFonts w:ascii="宋体" w:hAnsi="宋体" w:cs="宋体"/>
          <w:color w:val="auto"/>
          <w:sz w:val="24"/>
          <w:szCs w:val="24"/>
          <w:highlight w:val="none"/>
        </w:rPr>
      </w:pPr>
      <w:r>
        <w:rPr>
          <w:rFonts w:hint="eastAsia" w:ascii="宋体" w:hAnsi="宋体" w:cs="宋体"/>
          <w:color w:val="auto"/>
          <w:sz w:val="24"/>
          <w:highlight w:val="none"/>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28A6739">
      <w:pPr>
        <w:pStyle w:val="217"/>
        <w:spacing w:before="0" w:after="0" w:line="520" w:lineRule="exact"/>
        <w:ind w:firstLine="600"/>
        <w:rPr>
          <w:rFonts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29.中标通知书</w:t>
      </w:r>
    </w:p>
    <w:p w14:paraId="2A0875C1">
      <w:pPr>
        <w:spacing w:line="520" w:lineRule="exact"/>
        <w:ind w:firstLine="600"/>
        <w:rPr>
          <w:rFonts w:ascii="宋体" w:hAnsi="宋体" w:cs="宋体"/>
          <w:color w:val="auto"/>
          <w:sz w:val="24"/>
          <w:szCs w:val="24"/>
          <w:highlight w:val="none"/>
        </w:rPr>
      </w:pPr>
      <w:r>
        <w:rPr>
          <w:rFonts w:hint="eastAsia" w:ascii="宋体" w:hAnsi="宋体" w:cs="宋体"/>
          <w:color w:val="auto"/>
          <w:sz w:val="24"/>
          <w:szCs w:val="24"/>
          <w:highlight w:val="none"/>
        </w:rPr>
        <w:t>29.l 中标结果确定后，采购代理机构将向中标人发出中标通知书。中标供应商在领取中标通知书时，需提供五份（一份正本，四份副本）与电子投标文件一致的纸质打印投标文件，须封面、骑缝加盖公章。</w:t>
      </w:r>
    </w:p>
    <w:p w14:paraId="01787FC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29.2中标通知书将是合同的一个组成部分。对采购人和中标人均具有法律效力。中标通知书发出后，采购人改变中标结果的，或者中标人放弃中标项目的，应当依法承担法律责任。</w:t>
      </w:r>
    </w:p>
    <w:p w14:paraId="2E8B8D43">
      <w:pPr>
        <w:pStyle w:val="215"/>
        <w:spacing w:before="145" w:after="145" w:line="520" w:lineRule="exact"/>
        <w:rPr>
          <w:rFonts w:ascii="宋体" w:hAnsi="宋体" w:cs="宋体"/>
          <w:b w:val="0"/>
          <w:bCs w:val="0"/>
          <w:color w:val="auto"/>
          <w:highlight w:val="none"/>
        </w:rPr>
      </w:pPr>
      <w:bookmarkStart w:id="229" w:name="_Toc15818"/>
      <w:bookmarkStart w:id="230" w:name="_Toc513029236"/>
      <w:bookmarkStart w:id="231" w:name="_Toc12848"/>
      <w:bookmarkStart w:id="232" w:name="_Toc31566"/>
      <w:bookmarkStart w:id="233" w:name="_Toc16938552"/>
      <w:bookmarkStart w:id="234" w:name="_Toc20823308"/>
      <w:bookmarkStart w:id="235" w:name="_Toc120614220"/>
      <w:r>
        <w:rPr>
          <w:rFonts w:hint="eastAsia" w:ascii="宋体" w:hAnsi="宋体" w:cs="宋体"/>
          <w:b w:val="0"/>
          <w:bCs w:val="0"/>
          <w:color w:val="auto"/>
          <w:highlight w:val="none"/>
        </w:rPr>
        <w:t>七、授予合同</w:t>
      </w:r>
      <w:bookmarkEnd w:id="229"/>
      <w:bookmarkEnd w:id="230"/>
      <w:bookmarkEnd w:id="231"/>
      <w:bookmarkEnd w:id="232"/>
      <w:bookmarkEnd w:id="233"/>
      <w:bookmarkEnd w:id="234"/>
      <w:bookmarkEnd w:id="235"/>
    </w:p>
    <w:p w14:paraId="53591551">
      <w:pPr>
        <w:pStyle w:val="217"/>
        <w:spacing w:before="0" w:after="0" w:line="520" w:lineRule="exact"/>
        <w:ind w:firstLine="600"/>
        <w:rPr>
          <w:rFonts w:ascii="宋体" w:hAnsi="宋体" w:eastAsia="宋体" w:cs="宋体"/>
          <w:b w:val="0"/>
          <w:bCs w:val="0"/>
          <w:color w:val="auto"/>
          <w:sz w:val="30"/>
          <w:szCs w:val="30"/>
          <w:highlight w:val="none"/>
        </w:rPr>
      </w:pPr>
      <w:bookmarkStart w:id="236" w:name="_Toc16938553"/>
      <w:bookmarkStart w:id="237" w:name="_Toc513029237"/>
      <w:bookmarkStart w:id="238" w:name="_Toc20823309"/>
      <w:r>
        <w:rPr>
          <w:rFonts w:hint="eastAsia" w:ascii="宋体" w:hAnsi="宋体" w:eastAsia="宋体" w:cs="宋体"/>
          <w:b w:val="0"/>
          <w:bCs w:val="0"/>
          <w:color w:val="auto"/>
          <w:sz w:val="30"/>
          <w:szCs w:val="30"/>
          <w:highlight w:val="none"/>
        </w:rPr>
        <w:t>30. 签订合同</w:t>
      </w:r>
    </w:p>
    <w:p w14:paraId="7B1AC68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30.l中标人应当在中标通知书发出之日起三十日内，按照招标文件确定的事项与采购人签订政府采购合同。</w:t>
      </w:r>
    </w:p>
    <w:p w14:paraId="19E092ED">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30.2 招标文件、中标人的投标文件及招标过程中有关澄清、承诺文件均应作为合同附件。</w:t>
      </w:r>
    </w:p>
    <w:p w14:paraId="6E3AE735">
      <w:pPr>
        <w:spacing w:line="520" w:lineRule="exact"/>
        <w:ind w:firstLine="600"/>
        <w:rPr>
          <w:rFonts w:ascii="宋体" w:hAnsi="宋体" w:cs="宋体"/>
          <w:color w:val="auto"/>
          <w:sz w:val="24"/>
          <w:highlight w:val="none"/>
        </w:rPr>
      </w:pPr>
      <w:r>
        <w:rPr>
          <w:rFonts w:hint="eastAsia" w:ascii="宋体" w:hAnsi="宋体" w:cs="宋体"/>
          <w:color w:val="auto"/>
          <w:sz w:val="24"/>
          <w:szCs w:val="24"/>
          <w:highlight w:val="none"/>
        </w:rPr>
        <w:t>30.3 签订合同后，</w:t>
      </w:r>
      <w:r>
        <w:rPr>
          <w:rFonts w:hint="eastAsia" w:ascii="宋体" w:hAnsi="宋体" w:cs="宋体"/>
          <w:iCs/>
          <w:color w:val="auto"/>
          <w:sz w:val="24"/>
          <w:szCs w:val="24"/>
          <w:highlight w:val="none"/>
          <w:u w:val="single"/>
        </w:rPr>
        <w:t>中标人不得将合同标的进行转包</w:t>
      </w:r>
      <w:r>
        <w:rPr>
          <w:rFonts w:hint="eastAsia" w:ascii="宋体" w:hAnsi="宋体" w:cs="宋体"/>
          <w:color w:val="auto"/>
          <w:sz w:val="24"/>
          <w:szCs w:val="24"/>
          <w:highlight w:val="none"/>
        </w:rPr>
        <w:t>。未经采购人同意，中标人</w:t>
      </w:r>
      <w:r>
        <w:rPr>
          <w:rFonts w:hint="eastAsia" w:ascii="宋体" w:hAnsi="宋体" w:cs="宋体"/>
          <w:color w:val="auto"/>
          <w:sz w:val="24"/>
          <w:highlight w:val="none"/>
        </w:rPr>
        <w:t>也不得采用分包的形式履行合同，否则采购人有权终止合同。转包或分包造成采购人损失的，中标人应承担相应赔偿责任。</w:t>
      </w:r>
    </w:p>
    <w:p w14:paraId="0B97AA5E">
      <w:pPr>
        <w:pStyle w:val="217"/>
        <w:spacing w:before="0" w:after="0" w:line="520" w:lineRule="exact"/>
        <w:ind w:firstLine="600"/>
        <w:rPr>
          <w:rFonts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31.服务（包含与服务相关的货物）的追加</w:t>
      </w:r>
    </w:p>
    <w:p w14:paraId="7AE20329">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End w:id="236"/>
      <w:bookmarkEnd w:id="237"/>
      <w:bookmarkEnd w:id="238"/>
    </w:p>
    <w:p w14:paraId="259AB28F">
      <w:pPr>
        <w:pStyle w:val="217"/>
        <w:spacing w:before="0" w:after="0" w:line="520" w:lineRule="exact"/>
        <w:ind w:firstLine="600"/>
        <w:rPr>
          <w:rFonts w:ascii="宋体" w:hAnsi="宋体" w:eastAsia="宋体" w:cs="宋体"/>
          <w:b w:val="0"/>
          <w:bCs w:val="0"/>
          <w:color w:val="auto"/>
          <w:sz w:val="30"/>
          <w:szCs w:val="30"/>
          <w:highlight w:val="none"/>
        </w:rPr>
      </w:pPr>
      <w:bookmarkStart w:id="239" w:name="_Toc20823314"/>
      <w:bookmarkStart w:id="240" w:name="_Toc513029242"/>
      <w:bookmarkStart w:id="241" w:name="_Toc479757207"/>
      <w:bookmarkStart w:id="242" w:name="_Toc16938558"/>
      <w:bookmarkStart w:id="243" w:name="_Toc120614221"/>
      <w:r>
        <w:rPr>
          <w:rFonts w:hint="eastAsia" w:ascii="宋体" w:hAnsi="宋体" w:eastAsia="宋体" w:cs="宋体"/>
          <w:b w:val="0"/>
          <w:bCs w:val="0"/>
          <w:color w:val="auto"/>
          <w:sz w:val="30"/>
          <w:szCs w:val="30"/>
          <w:highlight w:val="none"/>
        </w:rPr>
        <w:t>32.政府采购履约资金扶持政策</w:t>
      </w:r>
    </w:p>
    <w:p w14:paraId="798F4E94">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中标人可凭政府采购合同办理融资贷款，详情请见江苏政府采购网“政采贷”专栏。</w:t>
      </w:r>
    </w:p>
    <w:p w14:paraId="1ECC7550">
      <w:pPr>
        <w:keepNext/>
        <w:keepLines/>
        <w:numPr>
          <w:ilvl w:val="0"/>
          <w:numId w:val="4"/>
        </w:numPr>
        <w:spacing w:line="480" w:lineRule="exact"/>
        <w:outlineLvl w:val="2"/>
        <w:rPr>
          <w:rFonts w:ascii="宋体" w:hAnsi="宋体" w:cs="宋体"/>
          <w:color w:val="auto"/>
          <w:sz w:val="32"/>
          <w:szCs w:val="32"/>
          <w:highlight w:val="none"/>
        </w:rPr>
      </w:pPr>
      <w:bookmarkStart w:id="244" w:name="_Toc23014"/>
      <w:bookmarkStart w:id="245" w:name="_Toc19843"/>
      <w:bookmarkStart w:id="246" w:name="_Toc27845"/>
      <w:bookmarkStart w:id="247" w:name="_Toc4998"/>
      <w:r>
        <w:rPr>
          <w:rFonts w:hint="eastAsia" w:ascii="宋体" w:hAnsi="宋体" w:cs="宋体"/>
          <w:b/>
          <w:bCs/>
          <w:color w:val="auto"/>
          <w:sz w:val="32"/>
          <w:szCs w:val="32"/>
          <w:highlight w:val="none"/>
        </w:rPr>
        <w:t>政策功能</w:t>
      </w:r>
      <w:bookmarkEnd w:id="244"/>
      <w:bookmarkEnd w:id="245"/>
      <w:bookmarkEnd w:id="246"/>
      <w:bookmarkEnd w:id="247"/>
    </w:p>
    <w:p w14:paraId="41159F4E">
      <w:pPr>
        <w:pageBreakBefore w:val="0"/>
        <w:widowControl/>
        <w:kinsoku/>
        <w:wordWrap/>
        <w:overflowPunct/>
        <w:topLinePunct w:val="0"/>
        <w:bidi w:val="0"/>
        <w:spacing w:line="480" w:lineRule="exact"/>
        <w:ind w:firstLine="600" w:firstLineChars="200"/>
        <w:jc w:val="left"/>
        <w:textAlignment w:val="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33. 政策功能</w:t>
      </w:r>
    </w:p>
    <w:p w14:paraId="27C810BE">
      <w:pPr>
        <w:pageBreakBefore w:val="0"/>
        <w:widowControl/>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33.1</w:t>
      </w:r>
      <w:r>
        <w:rPr>
          <w:rFonts w:hint="eastAsia" w:ascii="宋体" w:hAnsi="宋体" w:eastAsia="宋体" w:cs="宋体"/>
          <w:b/>
          <w:bCs/>
          <w:color w:val="auto"/>
          <w:sz w:val="24"/>
          <w:highlight w:val="none"/>
        </w:rPr>
        <w:t>本项目面向中小企业采购</w:t>
      </w:r>
      <w:r>
        <w:rPr>
          <w:rFonts w:hint="eastAsia" w:ascii="宋体" w:hAnsi="宋体" w:eastAsia="宋体" w:cs="宋体"/>
          <w:color w:val="auto"/>
          <w:sz w:val="24"/>
          <w:highlight w:val="none"/>
        </w:rPr>
        <w:t>：</w:t>
      </w:r>
    </w:p>
    <w:p w14:paraId="129FE445">
      <w:pPr>
        <w:pageBreakBefore w:val="0"/>
        <w:widowControl/>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p>
    <w:p w14:paraId="054CEAA4">
      <w:pPr>
        <w:pageBreakBefore w:val="0"/>
        <w:widowControl/>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4B29D8E">
      <w:pPr>
        <w:pageBreakBefore w:val="0"/>
        <w:widowControl/>
        <w:kinsoku/>
        <w:wordWrap/>
        <w:overflowPunct/>
        <w:topLinePunct w:val="0"/>
        <w:bidi w:val="0"/>
        <w:spacing w:line="480" w:lineRule="exact"/>
        <w:ind w:firstLine="482" w:firstLineChars="200"/>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中小企业参加政府采购活动，应当出具本办法规定的《中小企业声明函》，否则作无效标处理</w:t>
      </w:r>
      <w:r>
        <w:rPr>
          <w:rFonts w:hint="eastAsia" w:ascii="宋体" w:hAnsi="宋体" w:eastAsia="宋体" w:cs="宋体"/>
          <w:color w:val="auto"/>
          <w:sz w:val="24"/>
          <w:highlight w:val="none"/>
        </w:rPr>
        <w:t>。</w:t>
      </w:r>
    </w:p>
    <w:p w14:paraId="15499CFE">
      <w:pPr>
        <w:pageBreakBefore w:val="0"/>
        <w:widowControl/>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3.投标人为残疾人福利性单位且提供的货物全部由残疾人福利性单位制造的，符合财库〔2017〕141 号文件规定条件的残疾人福利性单位视同小型、微型企业，提供《残疾人福利性单位声明函》。</w:t>
      </w:r>
    </w:p>
    <w:p w14:paraId="666AC1DA">
      <w:pPr>
        <w:pageBreakBefore w:val="0"/>
        <w:widowControl/>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FCCCCB">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p>
    <w:p w14:paraId="6C63E5AA">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5.在政府采购活动中，投标人提供的货物、工程或者服务符合下列情形的，享受本办法规定的中小企业扶持政策：</w:t>
      </w:r>
    </w:p>
    <w:p w14:paraId="587ABB37">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（一）在货物采购项目中，货物由中小企业制造，即货物由中小企业生产且使用该中小企业商号或者注册商标；</w:t>
      </w:r>
    </w:p>
    <w:p w14:paraId="6AA13B11">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（二）在工程采购项目中，工程由中小企业承建，即工程施工单位为中小企业；</w:t>
      </w:r>
    </w:p>
    <w:p w14:paraId="7A6C7579">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15B4C42">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以上规定未尽事项，按《政府采购促进中小企业发展管理办法》等有关制度规定执行。</w:t>
      </w:r>
    </w:p>
    <w:p w14:paraId="3A51EE7D">
      <w:pPr>
        <w:pStyle w:val="339"/>
        <w:pageBreakBefore w:val="0"/>
        <w:kinsoku/>
        <w:wordWrap/>
        <w:overflowPunct/>
        <w:topLinePunct w:val="0"/>
        <w:bidi w:val="0"/>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b/>
          <w:bCs/>
          <w:color w:val="auto"/>
          <w:highlight w:val="none"/>
        </w:rPr>
        <w:t>《中小企业声明函》等相关资料应上传至电子投标文件中，否则不予认可</w:t>
      </w:r>
      <w:r>
        <w:rPr>
          <w:rFonts w:hint="eastAsia" w:ascii="宋体" w:hAnsi="宋体" w:eastAsia="宋体" w:cs="宋体"/>
          <w:color w:val="auto"/>
          <w:highlight w:val="none"/>
        </w:rPr>
        <w:t>。</w:t>
      </w:r>
    </w:p>
    <w:p w14:paraId="269A6031">
      <w:pPr>
        <w:pageBreakBefore w:val="0"/>
        <w:kinsoku/>
        <w:wordWrap/>
        <w:overflowPunct/>
        <w:topLinePunct w:val="0"/>
        <w:bidi w:val="0"/>
        <w:spacing w:line="480" w:lineRule="exact"/>
        <w:ind w:firstLine="482" w:firstLineChars="200"/>
        <w:jc w:val="both"/>
        <w:textAlignment w:val="auto"/>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33.2</w:t>
      </w:r>
      <w:r>
        <w:rPr>
          <w:rFonts w:hint="default" w:ascii="宋体" w:hAnsi="宋体" w:eastAsia="宋体" w:cs="宋体"/>
          <w:b/>
          <w:bCs/>
          <w:color w:val="auto"/>
          <w:sz w:val="24"/>
          <w:szCs w:val="22"/>
          <w:highlight w:val="none"/>
          <w:lang w:val="en-US" w:eastAsia="zh-CN" w:bidi="ar-SA"/>
        </w:rPr>
        <w:t>采购本国产品的支持政策</w:t>
      </w:r>
    </w:p>
    <w:p w14:paraId="0658ADAF">
      <w:pPr>
        <w:pageBreakBefore w:val="0"/>
        <w:kinsoku/>
        <w:wordWrap/>
        <w:overflowPunct/>
        <w:topLinePunct w:val="0"/>
        <w:bidi w:val="0"/>
        <w:spacing w:line="480" w:lineRule="exact"/>
        <w:ind w:firstLine="480" w:firstLineChars="200"/>
        <w:jc w:val="both"/>
        <w:textAlignment w:val="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w:t>
      </w:r>
      <w:r>
        <w:rPr>
          <w:rFonts w:hint="default" w:ascii="宋体" w:hAnsi="宋体" w:eastAsia="宋体" w:cs="宋体"/>
          <w:color w:val="auto"/>
          <w:sz w:val="24"/>
          <w:szCs w:val="22"/>
          <w:highlight w:val="none"/>
          <w:lang w:val="en-US" w:eastAsia="zh-CN" w:bidi="ar-SA"/>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60DA2D4B">
      <w:pPr>
        <w:pageBreakBefore w:val="0"/>
        <w:kinsoku/>
        <w:wordWrap/>
        <w:overflowPunct/>
        <w:topLinePunct w:val="0"/>
        <w:bidi w:val="0"/>
        <w:spacing w:line="480" w:lineRule="exact"/>
        <w:ind w:firstLine="480" w:firstLineChars="200"/>
        <w:jc w:val="both"/>
        <w:textAlignment w:val="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w:t>
      </w:r>
      <w:r>
        <w:rPr>
          <w:rFonts w:hint="default" w:ascii="宋体" w:hAnsi="宋体" w:eastAsia="宋体" w:cs="宋体"/>
          <w:color w:val="auto"/>
          <w:sz w:val="24"/>
          <w:szCs w:val="22"/>
          <w:highlight w:val="none"/>
          <w:lang w:val="en-US" w:eastAsia="zh-CN" w:bidi="ar-SA"/>
        </w:rPr>
        <w:t xml:space="preserve">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8020F57">
      <w:pPr>
        <w:pageBreakBefore w:val="0"/>
        <w:kinsoku/>
        <w:wordWrap/>
        <w:overflowPunct/>
        <w:topLinePunct w:val="0"/>
        <w:bidi w:val="0"/>
        <w:spacing w:line="480" w:lineRule="exact"/>
        <w:ind w:firstLine="480" w:firstLineChars="200"/>
        <w:jc w:val="both"/>
        <w:textAlignment w:val="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3.</w:t>
      </w:r>
      <w:r>
        <w:rPr>
          <w:rFonts w:hint="default" w:ascii="宋体" w:hAnsi="宋体" w:eastAsia="宋体" w:cs="宋体"/>
          <w:color w:val="auto"/>
          <w:sz w:val="24"/>
          <w:szCs w:val="22"/>
          <w:highlight w:val="none"/>
          <w:lang w:val="en-US" w:eastAsia="zh-CN" w:bidi="ar-SA"/>
        </w:rPr>
        <w:t xml:space="preserve"> 供应商需按照招标文件的要求提供《关于符合本国产品标准的声明函》（以下简称《声明函》），如不提供将不享受本国产品价格评审优惠。</w:t>
      </w:r>
    </w:p>
    <w:p w14:paraId="4C9C23DA">
      <w:pPr>
        <w:pageBreakBefore w:val="0"/>
        <w:kinsoku/>
        <w:wordWrap/>
        <w:overflowPunct/>
        <w:topLinePunct w:val="0"/>
        <w:bidi w:val="0"/>
        <w:spacing w:line="480" w:lineRule="exact"/>
        <w:ind w:firstLine="480" w:firstLineChars="200"/>
        <w:jc w:val="both"/>
        <w:textAlignment w:val="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4.</w:t>
      </w:r>
      <w:r>
        <w:rPr>
          <w:rFonts w:hint="default" w:ascii="宋体" w:hAnsi="宋体" w:eastAsia="宋体" w:cs="宋体"/>
          <w:color w:val="auto"/>
          <w:sz w:val="24"/>
          <w:szCs w:val="22"/>
          <w:highlight w:val="none"/>
          <w:lang w:val="en-US" w:eastAsia="zh-CN" w:bidi="ar-SA"/>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771BD42">
      <w:pPr>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5.</w:t>
      </w:r>
      <w:r>
        <w:rPr>
          <w:rFonts w:hint="default" w:ascii="宋体" w:hAnsi="宋体" w:eastAsia="宋体" w:cs="宋体"/>
          <w:color w:val="auto"/>
          <w:sz w:val="24"/>
          <w:szCs w:val="22"/>
          <w:highlight w:val="none"/>
          <w:lang w:val="en-US" w:eastAsia="zh-CN" w:bidi="ar-SA"/>
        </w:rPr>
        <w:t>政府采购中的本国产品标准及其他未尽事宜详见《国务院办公厅关于在政府采购中实施本国产品标准及相关政策的通知》（国办发〔2025〕34号）。</w:t>
      </w:r>
    </w:p>
    <w:p w14:paraId="27CCD367">
      <w:pPr>
        <w:pageBreakBefore w:val="0"/>
        <w:kinsoku/>
        <w:wordWrap/>
        <w:overflowPunct/>
        <w:topLinePunct w:val="0"/>
        <w:bidi w:val="0"/>
        <w:spacing w:line="480" w:lineRule="exact"/>
        <w:ind w:firstLine="482" w:firstLineChars="20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33.3支持绿色发展</w:t>
      </w:r>
    </w:p>
    <w:p w14:paraId="6D7F4563">
      <w:pPr>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52F7CA5B">
      <w:pPr>
        <w:pageBreakBefore w:val="0"/>
        <w:kinsoku/>
        <w:wordWrap/>
        <w:overflowPunct/>
        <w:topLinePunct w:val="0"/>
        <w:bidi w:val="0"/>
        <w:spacing w:line="480" w:lineRule="exact"/>
        <w:ind w:firstLine="480" w:firstLineChars="20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3ACC7DCA">
      <w:pPr>
        <w:pageBreakBefore w:val="0"/>
        <w:widowControl/>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55D8ACFA">
      <w:pPr>
        <w:spacing w:line="360" w:lineRule="auto"/>
        <w:jc w:val="center"/>
        <w:rPr>
          <w:rFonts w:ascii="宋体" w:hAnsi="宋体" w:cs="宋体"/>
          <w:color w:val="auto"/>
          <w:sz w:val="44"/>
          <w:szCs w:val="44"/>
          <w:highlight w:val="none"/>
        </w:rPr>
      </w:pPr>
      <w:r>
        <w:rPr>
          <w:rFonts w:hint="eastAsia" w:ascii="宋体" w:hAnsi="宋体" w:cs="宋体"/>
          <w:color w:val="auto"/>
          <w:sz w:val="44"/>
          <w:highlight w:val="none"/>
        </w:rPr>
        <w:br w:type="page" w:clear="all"/>
      </w:r>
      <w:bookmarkStart w:id="248" w:name="_Toc20997"/>
      <w:bookmarkStart w:id="249" w:name="_Toc10779"/>
      <w:r>
        <w:rPr>
          <w:rStyle w:val="65"/>
          <w:rFonts w:hint="eastAsia"/>
          <w:color w:val="auto"/>
          <w:highlight w:val="none"/>
        </w:rPr>
        <w:t xml:space="preserve">第三章  </w:t>
      </w:r>
      <w:bookmarkEnd w:id="239"/>
      <w:bookmarkEnd w:id="240"/>
      <w:bookmarkEnd w:id="241"/>
      <w:bookmarkEnd w:id="242"/>
      <w:bookmarkEnd w:id="243"/>
      <w:bookmarkEnd w:id="248"/>
      <w:bookmarkStart w:id="250" w:name="_Hlt16619350"/>
      <w:bookmarkStart w:id="251" w:name="_Toc16938590"/>
      <w:bookmarkStart w:id="252" w:name="_Toc120614244"/>
      <w:bookmarkStart w:id="253" w:name="_Toc20823346"/>
      <w:bookmarkStart w:id="254" w:name="_Toc462564139"/>
      <w:bookmarkStart w:id="255" w:name="_Toc479757211"/>
      <w:r>
        <w:rPr>
          <w:rStyle w:val="65"/>
          <w:rFonts w:hint="eastAsia"/>
          <w:color w:val="auto"/>
          <w:highlight w:val="none"/>
        </w:rPr>
        <w:t>合同文本</w:t>
      </w:r>
      <w:bookmarkEnd w:id="249"/>
    </w:p>
    <w:p w14:paraId="132E22DF">
      <w:pPr>
        <w:spacing w:line="360" w:lineRule="auto"/>
        <w:jc w:val="center"/>
        <w:rPr>
          <w:rFonts w:ascii="宋体" w:hAnsi="宋体" w:cs="宋体"/>
          <w:color w:val="auto"/>
          <w:sz w:val="52"/>
          <w:szCs w:val="24"/>
          <w:highlight w:val="none"/>
        </w:rPr>
      </w:pPr>
      <w:r>
        <w:rPr>
          <w:rFonts w:hint="eastAsia" w:ascii="宋体" w:hAnsi="宋体" w:cs="宋体"/>
          <w:color w:val="auto"/>
          <w:sz w:val="52"/>
          <w:szCs w:val="24"/>
          <w:highlight w:val="none"/>
        </w:rPr>
        <w:t>连 云 港 市 政 府 采 购</w:t>
      </w:r>
    </w:p>
    <w:p w14:paraId="6942A74A">
      <w:pPr>
        <w:spacing w:line="360" w:lineRule="auto"/>
        <w:ind w:firstLine="420"/>
        <w:rPr>
          <w:rFonts w:ascii="宋体" w:hAnsi="宋体" w:cs="宋体"/>
          <w:color w:val="auto"/>
          <w:szCs w:val="24"/>
          <w:highlight w:val="none"/>
        </w:rPr>
      </w:pPr>
    </w:p>
    <w:p w14:paraId="23259EB2">
      <w:pPr>
        <w:spacing w:line="360" w:lineRule="auto"/>
        <w:ind w:firstLine="420"/>
        <w:rPr>
          <w:rFonts w:ascii="宋体" w:hAnsi="宋体" w:cs="宋体"/>
          <w:color w:val="auto"/>
          <w:szCs w:val="24"/>
          <w:highlight w:val="none"/>
        </w:rPr>
      </w:pPr>
      <w:r>
        <w:rPr>
          <w:rFonts w:hint="eastAsia" w:ascii="宋体" w:hAnsi="宋体" w:cs="宋体"/>
          <w:color w:val="auto"/>
          <w:szCs w:val="24"/>
          <w:highlight w:val="none"/>
        </w:rPr>
        <w:t xml:space="preserve">                                                 </w:t>
      </w:r>
    </w:p>
    <w:p w14:paraId="63AE3BBC">
      <w:pPr>
        <w:spacing w:line="360" w:lineRule="auto"/>
        <w:jc w:val="center"/>
        <w:rPr>
          <w:rFonts w:ascii="宋体" w:hAnsi="宋体" w:cs="宋体"/>
          <w:color w:val="auto"/>
          <w:sz w:val="44"/>
          <w:szCs w:val="24"/>
          <w:highlight w:val="none"/>
        </w:rPr>
      </w:pPr>
      <w:r>
        <w:rPr>
          <w:rFonts w:hint="eastAsia" w:ascii="宋体" w:hAnsi="宋体" w:cs="宋体"/>
          <w:color w:val="auto"/>
          <w:sz w:val="44"/>
          <w:szCs w:val="24"/>
          <w:highlight w:val="none"/>
          <w:u w:val="single"/>
        </w:rPr>
        <w:t xml:space="preserve">                    </w:t>
      </w:r>
      <w:r>
        <w:rPr>
          <w:rFonts w:hint="eastAsia" w:ascii="宋体" w:hAnsi="宋体" w:cs="宋体"/>
          <w:color w:val="auto"/>
          <w:sz w:val="44"/>
          <w:szCs w:val="24"/>
          <w:highlight w:val="none"/>
        </w:rPr>
        <w:t>合同</w:t>
      </w:r>
    </w:p>
    <w:p w14:paraId="7942DEA9">
      <w:pPr>
        <w:spacing w:line="360" w:lineRule="auto"/>
        <w:ind w:firstLine="420"/>
        <w:rPr>
          <w:rFonts w:ascii="宋体" w:hAnsi="宋体" w:cs="宋体"/>
          <w:color w:val="auto"/>
          <w:szCs w:val="24"/>
          <w:highlight w:val="none"/>
        </w:rPr>
      </w:pPr>
    </w:p>
    <w:p w14:paraId="469EF1B0">
      <w:pPr>
        <w:spacing w:line="360" w:lineRule="auto"/>
        <w:ind w:firstLine="3058"/>
        <w:rPr>
          <w:rFonts w:ascii="宋体" w:hAnsi="宋体" w:cs="宋体"/>
          <w:color w:val="auto"/>
          <w:sz w:val="44"/>
          <w:szCs w:val="44"/>
          <w:highlight w:val="none"/>
        </w:rPr>
      </w:pPr>
    </w:p>
    <w:p w14:paraId="42B6AF3A">
      <w:pPr>
        <w:spacing w:line="360" w:lineRule="auto"/>
        <w:ind w:firstLine="880"/>
        <w:rPr>
          <w:rFonts w:ascii="宋体" w:hAnsi="宋体" w:cs="宋体"/>
          <w:color w:val="auto"/>
          <w:sz w:val="44"/>
          <w:szCs w:val="44"/>
          <w:highlight w:val="none"/>
        </w:rPr>
      </w:pPr>
    </w:p>
    <w:p w14:paraId="62AE7537">
      <w:pPr>
        <w:spacing w:line="360" w:lineRule="auto"/>
        <w:ind w:firstLine="1958"/>
        <w:rPr>
          <w:rFonts w:ascii="宋体" w:hAnsi="宋体" w:cs="宋体"/>
          <w:color w:val="auto"/>
          <w:sz w:val="44"/>
          <w:szCs w:val="44"/>
          <w:highlight w:val="none"/>
        </w:rPr>
      </w:pPr>
      <w:r>
        <w:rPr>
          <w:rFonts w:hint="eastAsia" w:ascii="宋体" w:hAnsi="宋体" w:cs="宋体"/>
          <w:color w:val="auto"/>
          <w:sz w:val="44"/>
          <w:szCs w:val="44"/>
          <w:highlight w:val="none"/>
        </w:rPr>
        <w:t>合同编号：</w:t>
      </w:r>
    </w:p>
    <w:p w14:paraId="25948305">
      <w:pPr>
        <w:spacing w:line="360" w:lineRule="auto"/>
        <w:ind w:firstLine="880"/>
        <w:rPr>
          <w:rFonts w:ascii="宋体" w:hAnsi="宋体" w:cs="宋体"/>
          <w:color w:val="auto"/>
          <w:sz w:val="44"/>
          <w:szCs w:val="24"/>
          <w:highlight w:val="none"/>
        </w:rPr>
      </w:pPr>
    </w:p>
    <w:p w14:paraId="2C20481B">
      <w:pPr>
        <w:spacing w:line="360" w:lineRule="auto"/>
        <w:ind w:firstLine="880"/>
        <w:rPr>
          <w:rFonts w:ascii="宋体" w:hAnsi="宋体" w:cs="宋体"/>
          <w:color w:val="auto"/>
          <w:sz w:val="44"/>
          <w:szCs w:val="24"/>
          <w:highlight w:val="none"/>
        </w:rPr>
      </w:pPr>
    </w:p>
    <w:p w14:paraId="60DB74D7">
      <w:pPr>
        <w:spacing w:line="360" w:lineRule="auto"/>
        <w:ind w:firstLine="880"/>
        <w:rPr>
          <w:rFonts w:ascii="宋体" w:hAnsi="宋体" w:cs="宋体"/>
          <w:color w:val="auto"/>
          <w:sz w:val="44"/>
          <w:szCs w:val="24"/>
          <w:highlight w:val="none"/>
        </w:rPr>
      </w:pPr>
    </w:p>
    <w:p w14:paraId="46F3A19C">
      <w:pPr>
        <w:spacing w:line="360" w:lineRule="auto"/>
        <w:ind w:firstLine="1751"/>
        <w:rPr>
          <w:rFonts w:ascii="宋体" w:hAnsi="宋体" w:cs="宋体"/>
          <w:color w:val="auto"/>
          <w:sz w:val="44"/>
          <w:szCs w:val="24"/>
          <w:highlight w:val="none"/>
        </w:rPr>
      </w:pPr>
      <w:r>
        <w:rPr>
          <w:rFonts w:hint="eastAsia" w:ascii="宋体" w:hAnsi="宋体" w:cs="宋体"/>
          <w:color w:val="auto"/>
          <w:sz w:val="44"/>
          <w:szCs w:val="24"/>
          <w:highlight w:val="none"/>
        </w:rPr>
        <w:t>采购人：</w:t>
      </w:r>
    </w:p>
    <w:p w14:paraId="53BB4843">
      <w:pPr>
        <w:spacing w:line="360" w:lineRule="auto"/>
        <w:ind w:firstLine="1751"/>
        <w:rPr>
          <w:rFonts w:ascii="宋体" w:hAnsi="宋体" w:cs="宋体"/>
          <w:color w:val="auto"/>
          <w:sz w:val="44"/>
          <w:szCs w:val="24"/>
          <w:highlight w:val="none"/>
        </w:rPr>
      </w:pPr>
      <w:r>
        <w:rPr>
          <w:rFonts w:hint="eastAsia" w:ascii="宋体" w:hAnsi="宋体" w:cs="宋体"/>
          <w:color w:val="auto"/>
          <w:sz w:val="44"/>
          <w:szCs w:val="24"/>
          <w:highlight w:val="none"/>
        </w:rPr>
        <w:t>中标人：</w:t>
      </w:r>
    </w:p>
    <w:p w14:paraId="631FDDAB">
      <w:pPr>
        <w:spacing w:line="360" w:lineRule="auto"/>
        <w:ind w:firstLine="420"/>
        <w:rPr>
          <w:rFonts w:ascii="宋体" w:hAnsi="宋体" w:cs="宋体"/>
          <w:color w:val="auto"/>
          <w:szCs w:val="24"/>
          <w:highlight w:val="none"/>
        </w:rPr>
      </w:pPr>
    </w:p>
    <w:p w14:paraId="08CE175F">
      <w:pPr>
        <w:spacing w:line="360" w:lineRule="auto"/>
        <w:ind w:firstLine="420"/>
        <w:rPr>
          <w:rFonts w:ascii="宋体" w:hAnsi="宋体" w:cs="宋体"/>
          <w:color w:val="auto"/>
          <w:sz w:val="28"/>
          <w:szCs w:val="24"/>
          <w:highlight w:val="none"/>
        </w:rPr>
      </w:pPr>
      <w:r>
        <w:rPr>
          <w:rFonts w:hint="eastAsia" w:ascii="宋体" w:hAnsi="宋体" w:cs="宋体"/>
          <w:color w:val="auto"/>
          <w:szCs w:val="24"/>
          <w:highlight w:val="none"/>
        </w:rPr>
        <w:br w:type="page" w:clear="all"/>
      </w:r>
    </w:p>
    <w:p w14:paraId="648D6560">
      <w:pPr>
        <w:ind w:left="359" w:firstLine="198"/>
        <w:jc w:val="center"/>
        <w:rPr>
          <w:rFonts w:ascii="宋体" w:hAnsi="宋体" w:cs="宋体"/>
          <w:color w:val="auto"/>
          <w:sz w:val="28"/>
          <w:szCs w:val="24"/>
          <w:highlight w:val="none"/>
        </w:rPr>
      </w:pPr>
      <w:r>
        <w:rPr>
          <w:rFonts w:hint="eastAsia" w:ascii="宋体" w:hAnsi="宋体" w:cs="宋体"/>
          <w:color w:val="auto"/>
          <w:sz w:val="28"/>
          <w:szCs w:val="24"/>
          <w:highlight w:val="none"/>
        </w:rPr>
        <w:t>目  录</w:t>
      </w:r>
    </w:p>
    <w:p w14:paraId="65097B94">
      <w:pPr>
        <w:tabs>
          <w:tab w:val="left" w:pos="1170"/>
        </w:tabs>
        <w:spacing w:line="360" w:lineRule="auto"/>
        <w:ind w:left="359" w:firstLine="198"/>
        <w:rPr>
          <w:rFonts w:ascii="宋体" w:hAnsi="宋体" w:cs="宋体"/>
          <w:color w:val="auto"/>
          <w:sz w:val="28"/>
          <w:szCs w:val="24"/>
          <w:highlight w:val="none"/>
        </w:rPr>
      </w:pPr>
      <w:r>
        <w:rPr>
          <w:rFonts w:hint="eastAsia" w:ascii="宋体" w:hAnsi="宋体" w:cs="宋体"/>
          <w:color w:val="auto"/>
          <w:sz w:val="28"/>
          <w:szCs w:val="24"/>
          <w:highlight w:val="none"/>
        </w:rPr>
        <w:tab/>
      </w:r>
    </w:p>
    <w:p w14:paraId="51386C21">
      <w:pPr>
        <w:numPr>
          <w:ilvl w:val="0"/>
          <w:numId w:val="5"/>
        </w:numPr>
        <w:spacing w:line="360" w:lineRule="auto"/>
        <w:ind w:left="357" w:firstLine="543"/>
        <w:rPr>
          <w:rFonts w:ascii="宋体" w:hAnsi="宋体" w:cs="宋体"/>
          <w:color w:val="auto"/>
          <w:sz w:val="28"/>
          <w:szCs w:val="24"/>
          <w:highlight w:val="none"/>
        </w:rPr>
      </w:pPr>
      <w:r>
        <w:rPr>
          <w:rFonts w:hint="eastAsia" w:ascii="宋体" w:hAnsi="宋体" w:cs="宋体"/>
          <w:color w:val="auto"/>
          <w:sz w:val="28"/>
          <w:szCs w:val="24"/>
          <w:highlight w:val="none"/>
        </w:rPr>
        <w:t>合同书</w:t>
      </w:r>
    </w:p>
    <w:p w14:paraId="4827F276">
      <w:pPr>
        <w:numPr>
          <w:ilvl w:val="0"/>
          <w:numId w:val="5"/>
        </w:numPr>
        <w:spacing w:line="360" w:lineRule="auto"/>
        <w:ind w:left="357" w:firstLine="543"/>
        <w:rPr>
          <w:rFonts w:ascii="宋体" w:hAnsi="宋体" w:cs="宋体"/>
          <w:color w:val="auto"/>
          <w:sz w:val="28"/>
          <w:szCs w:val="24"/>
          <w:highlight w:val="none"/>
        </w:rPr>
      </w:pPr>
      <w:r>
        <w:rPr>
          <w:rFonts w:hint="eastAsia" w:ascii="宋体" w:hAnsi="宋体" w:cs="宋体"/>
          <w:color w:val="auto"/>
          <w:sz w:val="28"/>
          <w:szCs w:val="24"/>
          <w:highlight w:val="none"/>
        </w:rPr>
        <w:t>中标通知书</w:t>
      </w:r>
    </w:p>
    <w:p w14:paraId="5986F044">
      <w:pPr>
        <w:numPr>
          <w:ilvl w:val="0"/>
          <w:numId w:val="5"/>
        </w:numPr>
        <w:spacing w:line="360" w:lineRule="auto"/>
        <w:ind w:left="357" w:firstLine="543"/>
        <w:rPr>
          <w:rFonts w:ascii="宋体" w:hAnsi="宋体" w:cs="宋体"/>
          <w:color w:val="auto"/>
          <w:sz w:val="28"/>
          <w:szCs w:val="24"/>
          <w:highlight w:val="none"/>
        </w:rPr>
      </w:pPr>
      <w:r>
        <w:rPr>
          <w:rFonts w:hint="eastAsia" w:ascii="宋体" w:hAnsi="宋体" w:cs="宋体"/>
          <w:color w:val="auto"/>
          <w:sz w:val="28"/>
          <w:szCs w:val="24"/>
          <w:highlight w:val="none"/>
        </w:rPr>
        <w:t>履约保证金缴纳证明</w:t>
      </w:r>
    </w:p>
    <w:p w14:paraId="30644D25">
      <w:pPr>
        <w:numPr>
          <w:ilvl w:val="0"/>
          <w:numId w:val="5"/>
        </w:numPr>
        <w:spacing w:line="360" w:lineRule="auto"/>
        <w:ind w:left="357" w:firstLine="543"/>
        <w:rPr>
          <w:rFonts w:ascii="宋体" w:hAnsi="宋体" w:cs="宋体"/>
          <w:color w:val="auto"/>
          <w:sz w:val="28"/>
          <w:szCs w:val="24"/>
          <w:highlight w:val="none"/>
        </w:rPr>
      </w:pPr>
      <w:r>
        <w:rPr>
          <w:rFonts w:hint="eastAsia" w:ascii="宋体" w:hAnsi="宋体" w:cs="宋体"/>
          <w:color w:val="auto"/>
          <w:sz w:val="28"/>
          <w:szCs w:val="24"/>
          <w:highlight w:val="none"/>
        </w:rPr>
        <w:t>项目更改及补充文件</w:t>
      </w:r>
    </w:p>
    <w:p w14:paraId="7532D294">
      <w:pPr>
        <w:numPr>
          <w:ilvl w:val="0"/>
          <w:numId w:val="5"/>
        </w:numPr>
        <w:spacing w:line="360" w:lineRule="auto"/>
        <w:ind w:firstLine="543"/>
        <w:rPr>
          <w:rFonts w:ascii="宋体" w:hAnsi="宋体" w:cs="宋体"/>
          <w:color w:val="auto"/>
          <w:sz w:val="28"/>
          <w:szCs w:val="24"/>
          <w:highlight w:val="none"/>
        </w:rPr>
      </w:pPr>
      <w:r>
        <w:rPr>
          <w:rFonts w:hint="eastAsia" w:ascii="宋体" w:hAnsi="宋体" w:cs="宋体"/>
          <w:color w:val="auto"/>
          <w:sz w:val="28"/>
          <w:szCs w:val="24"/>
          <w:highlight w:val="none"/>
        </w:rPr>
        <w:t>投标报价表</w:t>
      </w:r>
    </w:p>
    <w:p w14:paraId="7485C407">
      <w:pPr>
        <w:numPr>
          <w:ilvl w:val="0"/>
          <w:numId w:val="5"/>
        </w:numPr>
        <w:spacing w:line="360" w:lineRule="auto"/>
        <w:ind w:firstLine="543"/>
        <w:rPr>
          <w:rFonts w:ascii="宋体" w:hAnsi="宋体" w:cs="宋体"/>
          <w:color w:val="auto"/>
          <w:sz w:val="28"/>
          <w:szCs w:val="24"/>
          <w:highlight w:val="none"/>
        </w:rPr>
      </w:pPr>
      <w:r>
        <w:rPr>
          <w:rFonts w:hint="eastAsia" w:ascii="宋体" w:hAnsi="宋体" w:cs="宋体"/>
          <w:color w:val="auto"/>
          <w:sz w:val="28"/>
          <w:szCs w:val="24"/>
          <w:highlight w:val="none"/>
        </w:rPr>
        <w:t>中标单位澄清函</w:t>
      </w:r>
    </w:p>
    <w:p w14:paraId="27C63D7C">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b/>
          <w:color w:val="auto"/>
          <w:kern w:val="1"/>
          <w:sz w:val="32"/>
          <w:szCs w:val="32"/>
          <w:highlight w:val="none"/>
        </w:rPr>
      </w:pPr>
      <w:r>
        <w:rPr>
          <w:rFonts w:hint="eastAsia" w:ascii="宋体" w:hAnsi="宋体" w:cs="宋体"/>
          <w:color w:val="auto"/>
          <w:szCs w:val="24"/>
          <w:highlight w:val="none"/>
        </w:rPr>
        <w:br w:type="page" w:clear="all"/>
      </w:r>
      <w:r>
        <w:rPr>
          <w:rFonts w:ascii="宋体" w:hAnsi="宋体" w:cs="宋体"/>
          <w:color w:val="auto"/>
          <w:kern w:val="1"/>
          <w:sz w:val="24"/>
          <w:highlight w:val="none"/>
        </w:rPr>
        <w:t>以下为中标后签订本项目合同的通用条款，中标供应商不得提出实质性的修改，关于专用条款将由采购人与中标供应商结合本项目具体情况协商后签订。</w:t>
      </w:r>
    </w:p>
    <w:p w14:paraId="779BF6D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cs="宋体"/>
          <w:color w:val="auto"/>
          <w:kern w:val="1"/>
          <w:sz w:val="24"/>
          <w:highlight w:val="none"/>
        </w:rPr>
      </w:pPr>
      <w:r>
        <w:rPr>
          <w:rFonts w:hint="eastAsia"/>
          <w:b/>
          <w:color w:val="auto"/>
          <w:kern w:val="1"/>
          <w:sz w:val="32"/>
          <w:szCs w:val="32"/>
          <w:highlight w:val="none"/>
        </w:rPr>
        <w:t>政府采购合同</w:t>
      </w:r>
    </w:p>
    <w:p w14:paraId="412FE9C3">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甲方：</w:t>
      </w:r>
      <w:r>
        <w:rPr>
          <w:rFonts w:cs="宋体"/>
          <w:b/>
          <w:color w:val="auto"/>
          <w:sz w:val="24"/>
          <w:szCs w:val="24"/>
          <w:highlight w:val="none"/>
        </w:rPr>
        <w:t>【采购单位】</w:t>
      </w:r>
    </w:p>
    <w:p w14:paraId="5DF0BC5D">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乙方：（卖方）_________</w:t>
      </w:r>
    </w:p>
    <w:p w14:paraId="71478B7B">
      <w:pPr>
        <w:ind w:firstLine="480" w:firstLineChars="200"/>
        <w:rPr>
          <w:rFonts w:cs="宋体"/>
          <w:b/>
          <w:color w:val="auto"/>
          <w:sz w:val="24"/>
          <w:szCs w:val="24"/>
          <w:highlight w:val="none"/>
        </w:rPr>
      </w:pPr>
      <w:r>
        <w:rPr>
          <w:rFonts w:cs="宋体"/>
          <w:color w:val="auto"/>
          <w:sz w:val="24"/>
          <w:szCs w:val="24"/>
          <w:highlight w:val="none"/>
        </w:rPr>
        <w:t>甲、乙双方根据</w:t>
      </w:r>
      <w:r>
        <w:rPr>
          <w:rFonts w:ascii="宋体" w:hAnsi="Courier New" w:eastAsia="宋体" w:cs="宋体"/>
          <w:color w:val="auto"/>
          <w:sz w:val="24"/>
          <w:szCs w:val="24"/>
          <w:highlight w:val="none"/>
          <w:lang w:val="en-US" w:eastAsia="zh-CN" w:bidi="ar-SA"/>
        </w:rPr>
        <w:t>【</w:t>
      </w:r>
      <w:r>
        <w:rPr>
          <w:rFonts w:hint="eastAsia" w:ascii="宋体" w:hAnsi="Courier New" w:eastAsia="宋体" w:cs="宋体"/>
          <w:color w:val="auto"/>
          <w:sz w:val="24"/>
          <w:szCs w:val="24"/>
          <w:highlight w:val="none"/>
          <w:lang w:val="en-US" w:eastAsia="zh-CN" w:bidi="ar-SA"/>
        </w:rPr>
        <w:t>江苏省新海高级中学拔尖创新人才培养项目（专门面向中小企业）</w:t>
      </w:r>
      <w:r>
        <w:rPr>
          <w:rFonts w:cs="宋体"/>
          <w:b/>
          <w:color w:val="auto"/>
          <w:sz w:val="24"/>
          <w:szCs w:val="24"/>
          <w:highlight w:val="none"/>
        </w:rPr>
        <w:t>】</w:t>
      </w:r>
      <w:r>
        <w:rPr>
          <w:rFonts w:cs="宋体"/>
          <w:color w:val="auto"/>
          <w:sz w:val="24"/>
          <w:szCs w:val="24"/>
          <w:highlight w:val="none"/>
        </w:rPr>
        <w:t>（项目编号：【项目编号】）招标的结果，签订本合同。</w:t>
      </w:r>
    </w:p>
    <w:p w14:paraId="6240DE0E">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一、采购标的</w:t>
      </w:r>
    </w:p>
    <w:p w14:paraId="52C64D8C">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u w:val="single"/>
        </w:rPr>
      </w:pPr>
      <w:r>
        <w:rPr>
          <w:rFonts w:cs="宋体"/>
          <w:color w:val="auto"/>
          <w:sz w:val="24"/>
          <w:szCs w:val="24"/>
          <w:highlight w:val="none"/>
        </w:rPr>
        <w:t>1.1 产品/服务内容：</w:t>
      </w:r>
      <w:r>
        <w:rPr>
          <w:rFonts w:cs="宋体"/>
          <w:color w:val="auto"/>
          <w:sz w:val="24"/>
          <w:szCs w:val="24"/>
          <w:highlight w:val="none"/>
          <w:u w:val="single"/>
        </w:rPr>
        <w:t xml:space="preserve"> </w:t>
      </w:r>
      <w:r>
        <w:rPr>
          <w:rFonts w:ascii="宋体" w:hAnsi="宋体" w:eastAsia="宋体" w:cs="宋体"/>
          <w:color w:val="auto"/>
          <w:sz w:val="24"/>
          <w:highlight w:val="none"/>
          <w:u w:val="single"/>
        </w:rPr>
        <w:t>202</w:t>
      </w:r>
      <w:r>
        <w:rPr>
          <w:rFonts w:hint="eastAsia" w:hAnsi="宋体" w:cs="宋体"/>
          <w:color w:val="auto"/>
          <w:sz w:val="24"/>
          <w:highlight w:val="none"/>
          <w:u w:val="single"/>
          <w:lang w:val="en-US" w:eastAsia="zh-CN"/>
        </w:rPr>
        <w:t>7</w:t>
      </w:r>
      <w:r>
        <w:rPr>
          <w:rFonts w:ascii="宋体" w:hAnsi="宋体" w:eastAsia="宋体" w:cs="宋体"/>
          <w:color w:val="auto"/>
          <w:sz w:val="24"/>
          <w:highlight w:val="none"/>
          <w:u w:val="single"/>
        </w:rPr>
        <w:t>届高三拔尖创新人才培养引培课程</w:t>
      </w:r>
      <w:r>
        <w:rPr>
          <w:rFonts w:cs="宋体"/>
          <w:color w:val="auto"/>
          <w:sz w:val="24"/>
          <w:szCs w:val="24"/>
          <w:highlight w:val="none"/>
          <w:u w:val="single"/>
        </w:rPr>
        <w:t xml:space="preserve">    </w:t>
      </w:r>
      <w:r>
        <w:rPr>
          <w:rFonts w:cs="宋体"/>
          <w:color w:val="auto"/>
          <w:sz w:val="24"/>
          <w:szCs w:val="24"/>
          <w:highlight w:val="none"/>
        </w:rPr>
        <w:t>。</w:t>
      </w:r>
    </w:p>
    <w:p w14:paraId="1EAF19DE">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eastAsia="宋体" w:cs="宋体"/>
          <w:color w:val="auto"/>
          <w:sz w:val="24"/>
          <w:highlight w:val="none"/>
          <w:u w:val="single"/>
        </w:rPr>
      </w:pPr>
      <w:r>
        <w:rPr>
          <w:rFonts w:cs="宋体"/>
          <w:color w:val="auto"/>
          <w:sz w:val="24"/>
          <w:szCs w:val="24"/>
          <w:highlight w:val="none"/>
        </w:rPr>
        <w:t>1.2 服务期限：</w:t>
      </w:r>
      <w:r>
        <w:rPr>
          <w:rFonts w:ascii="宋体" w:hAnsi="宋体" w:eastAsia="宋体" w:cs="宋体"/>
          <w:color w:val="auto"/>
          <w:sz w:val="24"/>
          <w:highlight w:val="none"/>
          <w:u w:val="single"/>
        </w:rPr>
        <w:t xml:space="preserve"> 自合同签订生效之日起，至202</w:t>
      </w:r>
      <w:r>
        <w:rPr>
          <w:rFonts w:hint="eastAsia" w:hAnsi="宋体" w:cs="宋体"/>
          <w:color w:val="auto"/>
          <w:sz w:val="24"/>
          <w:highlight w:val="none"/>
          <w:u w:val="single"/>
          <w:lang w:val="en-US" w:eastAsia="zh-CN"/>
        </w:rPr>
        <w:t>7</w:t>
      </w:r>
      <w:r>
        <w:rPr>
          <w:rFonts w:ascii="宋体" w:hAnsi="宋体" w:eastAsia="宋体" w:cs="宋体"/>
          <w:color w:val="auto"/>
          <w:sz w:val="24"/>
          <w:highlight w:val="none"/>
          <w:u w:val="single"/>
        </w:rPr>
        <w:t>年7月底前完成所有服务内容。</w:t>
      </w:r>
    </w:p>
    <w:p w14:paraId="15CA91C0">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u w:val="single"/>
        </w:rPr>
      </w:pPr>
      <w:r>
        <w:rPr>
          <w:rFonts w:cs="宋体"/>
          <w:color w:val="auto"/>
          <w:sz w:val="24"/>
          <w:szCs w:val="24"/>
          <w:highlight w:val="none"/>
        </w:rPr>
        <w:t>1.3 补充条款：</w:t>
      </w:r>
      <w:r>
        <w:rPr>
          <w:rFonts w:cs="宋体"/>
          <w:color w:val="auto"/>
          <w:sz w:val="24"/>
          <w:szCs w:val="24"/>
          <w:highlight w:val="none"/>
          <w:u w:val="single"/>
        </w:rPr>
        <w:t xml:space="preserve"> </w:t>
      </w:r>
      <w:r>
        <w:rPr>
          <w:rFonts w:hint="eastAsia" w:cs="宋体"/>
          <w:color w:val="auto"/>
          <w:sz w:val="24"/>
          <w:szCs w:val="24"/>
          <w:highlight w:val="none"/>
          <w:u w:val="single"/>
          <w:lang w:eastAsia="zh-CN"/>
        </w:rPr>
        <w:t>参加培训人数由甲乙双方共同协商决定</w:t>
      </w:r>
      <w:r>
        <w:rPr>
          <w:rFonts w:cs="宋体"/>
          <w:color w:val="auto"/>
          <w:sz w:val="24"/>
          <w:szCs w:val="24"/>
          <w:highlight w:val="none"/>
          <w:u w:val="single"/>
        </w:rPr>
        <w:t xml:space="preserve">  </w:t>
      </w:r>
      <w:r>
        <w:rPr>
          <w:rFonts w:cs="宋体"/>
          <w:color w:val="auto"/>
          <w:sz w:val="24"/>
          <w:szCs w:val="24"/>
          <w:highlight w:val="none"/>
        </w:rPr>
        <w:t>。</w:t>
      </w:r>
    </w:p>
    <w:p w14:paraId="0AAE1EAF">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二、合同金额</w:t>
      </w:r>
    </w:p>
    <w:p w14:paraId="484BEEB8">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2.1 本合同金额为（大写）：_________________元整（</w:t>
      </w:r>
      <w:r>
        <w:rPr>
          <w:rFonts w:hint="eastAsia" w:cs="宋体"/>
          <w:color w:val="auto"/>
          <w:sz w:val="24"/>
          <w:szCs w:val="24"/>
          <w:highlight w:val="none"/>
        </w:rPr>
        <w:t>¥</w:t>
      </w:r>
      <w:r>
        <w:rPr>
          <w:rFonts w:cs="宋体"/>
          <w:color w:val="auto"/>
          <w:sz w:val="24"/>
          <w:szCs w:val="24"/>
          <w:highlight w:val="none"/>
        </w:rPr>
        <w:t>__________）人民币。</w:t>
      </w:r>
    </w:p>
    <w:p w14:paraId="46051280">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62C4913D">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highlight w:val="none"/>
          <w:lang w:eastAsia="zh-CN"/>
        </w:rPr>
      </w:pPr>
      <w:r>
        <w:rPr>
          <w:rFonts w:ascii="宋体" w:hAnsi="宋体" w:eastAsia="宋体" w:cs="宋体"/>
          <w:color w:val="auto"/>
          <w:sz w:val="24"/>
          <w:highlight w:val="none"/>
        </w:rPr>
        <w:t>本项目采用“全费用综合单价”报价，报价应包括招标文件所确定的招标范围相应服务的提供、人员（包括工资和补贴）、培训场所及设施、住宿费用、餐费、租车费、差旅费、保险、各种税费、利润、税金、政策性文件规定及合同包含的所有风险、责任等各项应有费用，以及为完成该项服务项目所涉及的一切相关费用，甲方不再支付其他任何费用</w:t>
      </w:r>
      <w:r>
        <w:rPr>
          <w:rFonts w:hint="eastAsia" w:ascii="宋体" w:hAnsi="宋体" w:eastAsia="宋体" w:cs="宋体"/>
          <w:color w:val="auto"/>
          <w:sz w:val="24"/>
          <w:highlight w:val="none"/>
          <w:lang w:eastAsia="zh-CN"/>
        </w:rPr>
        <w:t>。</w:t>
      </w:r>
    </w:p>
    <w:p w14:paraId="6F363FCB">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三、技术资料</w:t>
      </w:r>
    </w:p>
    <w:p w14:paraId="352E1C48">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3.1</w:t>
      </w:r>
      <w:r>
        <w:rPr>
          <w:rFonts w:hint="eastAsia" w:cs="宋体"/>
          <w:color w:val="auto"/>
          <w:sz w:val="24"/>
          <w:szCs w:val="24"/>
          <w:highlight w:val="none"/>
        </w:rPr>
        <w:t xml:space="preserve"> </w:t>
      </w:r>
      <w:r>
        <w:rPr>
          <w:rFonts w:cs="宋体"/>
          <w:color w:val="auto"/>
          <w:sz w:val="24"/>
          <w:szCs w:val="24"/>
          <w:highlight w:val="none"/>
        </w:rPr>
        <w:t>乙方应按招标文件规定的时间向甲方提供有关技术资料。</w:t>
      </w:r>
    </w:p>
    <w:p w14:paraId="115632DA">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3.2 没有甲方事先书面同意，乙方不得将由甲方提供的有关合同或任何合同条文、</w:t>
      </w:r>
      <w:r>
        <w:rPr>
          <w:rFonts w:hint="eastAsia" w:cs="宋体"/>
          <w:color w:val="auto"/>
          <w:sz w:val="24"/>
          <w:szCs w:val="24"/>
          <w:highlight w:val="none"/>
          <w:lang w:eastAsia="zh-CN"/>
        </w:rPr>
        <w:t>授课内容以及与本项目相关的一切</w:t>
      </w:r>
      <w:r>
        <w:rPr>
          <w:rFonts w:cs="宋体"/>
          <w:color w:val="auto"/>
          <w:sz w:val="24"/>
          <w:szCs w:val="24"/>
          <w:highlight w:val="none"/>
        </w:rPr>
        <w:t>资料提供给与履行本合同无关的任何其他人。即使向履行本合同有关的人员提供，也应注意保密并限于履行合同的必需范围。</w:t>
      </w:r>
    </w:p>
    <w:p w14:paraId="5DD28E28">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四、知识产权</w:t>
      </w:r>
    </w:p>
    <w:p w14:paraId="77F353DA">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cs="宋体"/>
          <w:color w:val="auto"/>
          <w:kern w:val="1"/>
          <w:sz w:val="24"/>
          <w:highlight w:val="none"/>
        </w:rPr>
      </w:pPr>
      <w:r>
        <w:rPr>
          <w:rFonts w:cs="宋体"/>
          <w:color w:val="auto"/>
          <w:kern w:val="1"/>
          <w:sz w:val="24"/>
          <w:highlight w:val="none"/>
        </w:rPr>
        <w:t>4.1 乙</w:t>
      </w:r>
      <w:r>
        <w:rPr>
          <w:rFonts w:ascii="宋体" w:hAnsi="宋体" w:cs="宋体"/>
          <w:color w:val="auto"/>
          <w:kern w:val="1"/>
          <w:sz w:val="24"/>
          <w:highlight w:val="none"/>
        </w:rPr>
        <w:t>方应保证甲方在使用、接受本合同</w:t>
      </w:r>
      <w:r>
        <w:rPr>
          <w:rFonts w:cs="宋体"/>
          <w:color w:val="auto"/>
          <w:kern w:val="1"/>
          <w:sz w:val="24"/>
          <w:highlight w:val="none"/>
        </w:rPr>
        <w:t>中产品和服务</w:t>
      </w:r>
      <w:r>
        <w:rPr>
          <w:rFonts w:ascii="宋体" w:hAnsi="宋体" w:cs="宋体"/>
          <w:color w:val="auto"/>
          <w:kern w:val="1"/>
          <w:sz w:val="24"/>
          <w:highlight w:val="none"/>
        </w:rPr>
        <w:t>或其任何一部分时不受第三方提出侵犯其专利权、版权、商标权和工业设计权等知识产权的起诉。一旦出现侵权，由乙方负全部责任。</w:t>
      </w:r>
    </w:p>
    <w:p w14:paraId="48C13739">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color w:val="auto"/>
          <w:sz w:val="24"/>
          <w:szCs w:val="24"/>
          <w:highlight w:val="none"/>
          <w:u w:val="single"/>
        </w:rPr>
      </w:pPr>
      <w:r>
        <w:rPr>
          <w:rFonts w:cs="宋体"/>
          <w:b/>
          <w:color w:val="auto"/>
          <w:sz w:val="24"/>
          <w:szCs w:val="24"/>
          <w:highlight w:val="none"/>
        </w:rPr>
        <w:t>五、产权担保</w:t>
      </w:r>
    </w:p>
    <w:p w14:paraId="5114C968">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u w:val="single"/>
        </w:rPr>
      </w:pPr>
      <w:r>
        <w:rPr>
          <w:rFonts w:hint="eastAsia" w:cs="宋体"/>
          <w:color w:val="auto"/>
          <w:sz w:val="24"/>
          <w:szCs w:val="24"/>
          <w:highlight w:val="none"/>
        </w:rPr>
        <w:t xml:space="preserve">5.1 </w:t>
      </w:r>
      <w:r>
        <w:rPr>
          <w:rFonts w:cs="宋体"/>
          <w:color w:val="auto"/>
          <w:sz w:val="24"/>
          <w:szCs w:val="24"/>
          <w:highlight w:val="none"/>
        </w:rPr>
        <w:t>乙方保证所交付标的的所有权完全属于乙方且无任何抵押、查封等产权瑕疵。</w:t>
      </w:r>
    </w:p>
    <w:p w14:paraId="6BCDFCB1">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六、履约保证金</w:t>
      </w:r>
      <w:r>
        <w:rPr>
          <w:rFonts w:hint="eastAsia" w:cs="宋体"/>
          <w:b/>
          <w:color w:val="auto"/>
          <w:sz w:val="24"/>
          <w:szCs w:val="24"/>
          <w:highlight w:val="none"/>
        </w:rPr>
        <w:t>：</w:t>
      </w:r>
      <w:r>
        <w:rPr>
          <w:rFonts w:hint="eastAsia" w:cs="宋体"/>
          <w:color w:val="auto"/>
          <w:sz w:val="24"/>
          <w:highlight w:val="none"/>
        </w:rPr>
        <w:t>本项目不收取履约保证金。</w:t>
      </w:r>
    </w:p>
    <w:p w14:paraId="0971FF2B">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七、转包或分包</w:t>
      </w:r>
    </w:p>
    <w:p w14:paraId="7B7433DE">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eastAsia="仿宋" w:cs="宋体"/>
          <w:color w:val="auto"/>
          <w:kern w:val="1"/>
          <w:sz w:val="24"/>
          <w:highlight w:val="none"/>
        </w:rPr>
      </w:pPr>
      <w:r>
        <w:rPr>
          <w:rFonts w:ascii="宋体" w:hAnsi="宋体" w:cs="宋体"/>
          <w:color w:val="auto"/>
          <w:kern w:val="1"/>
          <w:sz w:val="24"/>
          <w:highlight w:val="none"/>
        </w:rPr>
        <w:t>7.1</w:t>
      </w:r>
      <w:r>
        <w:rPr>
          <w:rFonts w:hint="eastAsia" w:ascii="宋体" w:hAnsi="宋体" w:cs="宋体"/>
          <w:color w:val="auto"/>
          <w:kern w:val="1"/>
          <w:sz w:val="24"/>
          <w:highlight w:val="none"/>
        </w:rPr>
        <w:t xml:space="preserve"> 本合同范围内产品或服务，应由乙方直接供应，不得转让他人供应；</w:t>
      </w:r>
    </w:p>
    <w:p w14:paraId="125EA6D0">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eastAsia="仿宋" w:cs="宋体"/>
          <w:color w:val="auto"/>
          <w:kern w:val="1"/>
          <w:sz w:val="24"/>
          <w:highlight w:val="none"/>
        </w:rPr>
      </w:pPr>
      <w:r>
        <w:rPr>
          <w:rFonts w:ascii="宋体" w:hAnsi="宋体" w:cs="宋体"/>
          <w:color w:val="auto"/>
          <w:kern w:val="1"/>
          <w:sz w:val="24"/>
          <w:highlight w:val="none"/>
        </w:rPr>
        <w:t xml:space="preserve">7.2 </w:t>
      </w:r>
      <w:r>
        <w:rPr>
          <w:rFonts w:hint="eastAsia" w:ascii="宋体" w:hAnsi="宋体" w:cs="宋体"/>
          <w:color w:val="auto"/>
          <w:kern w:val="1"/>
          <w:sz w:val="24"/>
          <w:highlight w:val="none"/>
        </w:rPr>
        <w:t>除非得到甲方的书面同意，乙方不得部分分包给他人供应。</w:t>
      </w:r>
    </w:p>
    <w:p w14:paraId="3AA6863B">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eastAsia="仿宋" w:cs="宋体"/>
          <w:color w:val="auto"/>
          <w:kern w:val="1"/>
          <w:sz w:val="24"/>
          <w:highlight w:val="none"/>
        </w:rPr>
      </w:pPr>
      <w:r>
        <w:rPr>
          <w:rFonts w:ascii="宋体" w:hAnsi="宋体" w:cs="宋体"/>
          <w:color w:val="auto"/>
          <w:kern w:val="1"/>
          <w:sz w:val="24"/>
          <w:highlight w:val="none"/>
        </w:rPr>
        <w:t>7.3</w:t>
      </w:r>
      <w:r>
        <w:rPr>
          <w:rFonts w:hint="eastAsia" w:ascii="宋体" w:hAnsi="宋体" w:cs="宋体"/>
          <w:color w:val="auto"/>
          <w:kern w:val="1"/>
          <w:sz w:val="24"/>
          <w:highlight w:val="none"/>
        </w:rPr>
        <w:t xml:space="preserve"> 如有转让和未经甲方同意的分包行为，甲方有权给予终止合同。 </w:t>
      </w:r>
    </w:p>
    <w:p w14:paraId="635302D7">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color w:val="auto"/>
          <w:sz w:val="24"/>
          <w:szCs w:val="24"/>
          <w:highlight w:val="none"/>
        </w:rPr>
      </w:pPr>
      <w:r>
        <w:rPr>
          <w:rFonts w:cs="宋体"/>
          <w:b/>
          <w:color w:val="auto"/>
          <w:sz w:val="24"/>
          <w:szCs w:val="24"/>
          <w:highlight w:val="none"/>
        </w:rPr>
        <w:t>八、质保期/服务期</w:t>
      </w:r>
    </w:p>
    <w:p w14:paraId="6009CE21">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hint="eastAsia" w:cs="宋体"/>
          <w:color w:val="auto"/>
          <w:sz w:val="24"/>
          <w:szCs w:val="24"/>
          <w:highlight w:val="none"/>
        </w:rPr>
        <w:t xml:space="preserve">8.1 </w:t>
      </w:r>
      <w:r>
        <w:rPr>
          <w:rFonts w:cs="宋体"/>
          <w:color w:val="auto"/>
          <w:sz w:val="24"/>
          <w:szCs w:val="24"/>
          <w:highlight w:val="none"/>
        </w:rPr>
        <w:t>质保期</w:t>
      </w:r>
      <w:r>
        <w:rPr>
          <w:rFonts w:hint="eastAsia" w:cs="宋体"/>
          <w:color w:val="auto"/>
          <w:sz w:val="24"/>
          <w:szCs w:val="24"/>
          <w:highlight w:val="none"/>
        </w:rPr>
        <w:t>/服务期</w:t>
      </w:r>
      <w:r>
        <w:rPr>
          <w:rFonts w:hint="eastAsia" w:cs="宋体"/>
          <w:color w:val="auto"/>
          <w:sz w:val="24"/>
          <w:szCs w:val="24"/>
          <w:highlight w:val="none"/>
          <w:u w:val="single"/>
          <w:lang w:val="en-US" w:eastAsia="zh-CN"/>
        </w:rPr>
        <w:t xml:space="preserve">       </w:t>
      </w:r>
      <w:r>
        <w:rPr>
          <w:rFonts w:cs="宋体"/>
          <w:color w:val="auto"/>
          <w:sz w:val="24"/>
          <w:szCs w:val="24"/>
          <w:highlight w:val="none"/>
        </w:rPr>
        <w:t>年。（自项目验收合格之日起计）</w:t>
      </w:r>
    </w:p>
    <w:p w14:paraId="1E87EDAD">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ascii="Times New Roman" w:hAnsi="Times New Roman"/>
          <w:b/>
          <w:color w:val="auto"/>
          <w:sz w:val="24"/>
          <w:szCs w:val="24"/>
          <w:highlight w:val="none"/>
        </w:rPr>
      </w:pPr>
      <w:r>
        <w:rPr>
          <w:rFonts w:ascii="Times New Roman" w:hAnsi="Times New Roman" w:cs="宋体"/>
          <w:b/>
          <w:color w:val="auto"/>
          <w:sz w:val="24"/>
          <w:szCs w:val="24"/>
          <w:highlight w:val="none"/>
        </w:rPr>
        <w:t>九、交付期、交付方式及交付地点</w:t>
      </w:r>
    </w:p>
    <w:p w14:paraId="639AC84A">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bCs/>
          <w:color w:val="auto"/>
          <w:sz w:val="24"/>
          <w:szCs w:val="24"/>
          <w:highlight w:val="none"/>
        </w:rPr>
        <w:t>9.1</w:t>
      </w:r>
      <w:r>
        <w:rPr>
          <w:rFonts w:hint="eastAsia" w:cs="宋体"/>
          <w:bCs/>
          <w:color w:val="auto"/>
          <w:sz w:val="24"/>
          <w:szCs w:val="24"/>
          <w:highlight w:val="none"/>
        </w:rPr>
        <w:t xml:space="preserve"> </w:t>
      </w:r>
      <w:r>
        <w:rPr>
          <w:rFonts w:cs="宋体"/>
          <w:bCs/>
          <w:color w:val="auto"/>
          <w:sz w:val="24"/>
          <w:szCs w:val="24"/>
          <w:highlight w:val="none"/>
        </w:rPr>
        <w:t>交 付 期：</w:t>
      </w:r>
      <w:r>
        <w:rPr>
          <w:rFonts w:cs="宋体"/>
          <w:color w:val="auto"/>
          <w:sz w:val="24"/>
          <w:szCs w:val="24"/>
          <w:highlight w:val="none"/>
        </w:rPr>
        <w:t xml:space="preserve">_________。   </w:t>
      </w:r>
    </w:p>
    <w:p w14:paraId="0C6AC43F">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9.2</w:t>
      </w:r>
      <w:r>
        <w:rPr>
          <w:rFonts w:hint="eastAsia" w:cs="宋体"/>
          <w:color w:val="auto"/>
          <w:sz w:val="24"/>
          <w:szCs w:val="24"/>
          <w:highlight w:val="none"/>
        </w:rPr>
        <w:t xml:space="preserve"> </w:t>
      </w:r>
      <w:r>
        <w:rPr>
          <w:rFonts w:cs="宋体"/>
          <w:color w:val="auto"/>
          <w:sz w:val="24"/>
          <w:szCs w:val="24"/>
          <w:highlight w:val="none"/>
        </w:rPr>
        <w:t>交付方式：_________。</w:t>
      </w:r>
    </w:p>
    <w:p w14:paraId="63A55BCA">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b/>
          <w:color w:val="auto"/>
          <w:sz w:val="24"/>
          <w:szCs w:val="24"/>
          <w:highlight w:val="none"/>
        </w:rPr>
      </w:pPr>
      <w:r>
        <w:rPr>
          <w:rFonts w:cs="宋体"/>
          <w:bCs/>
          <w:color w:val="auto"/>
          <w:sz w:val="24"/>
          <w:szCs w:val="24"/>
          <w:highlight w:val="none"/>
        </w:rPr>
        <w:t>9.3</w:t>
      </w:r>
      <w:r>
        <w:rPr>
          <w:rFonts w:hint="eastAsia" w:cs="宋体"/>
          <w:bCs/>
          <w:color w:val="auto"/>
          <w:sz w:val="24"/>
          <w:szCs w:val="24"/>
          <w:highlight w:val="none"/>
        </w:rPr>
        <w:t xml:space="preserve"> </w:t>
      </w:r>
      <w:r>
        <w:rPr>
          <w:rFonts w:cs="宋体"/>
          <w:bCs/>
          <w:color w:val="auto"/>
          <w:sz w:val="24"/>
          <w:szCs w:val="24"/>
          <w:highlight w:val="none"/>
        </w:rPr>
        <w:t>交付地点：</w:t>
      </w:r>
      <w:r>
        <w:rPr>
          <w:rFonts w:cs="宋体"/>
          <w:color w:val="auto"/>
          <w:sz w:val="24"/>
          <w:szCs w:val="24"/>
          <w:highlight w:val="none"/>
        </w:rPr>
        <w:t>_________。</w:t>
      </w:r>
    </w:p>
    <w:p w14:paraId="6F0225B6">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ascii="Times New Roman" w:hAnsi="Times New Roman"/>
          <w:b/>
          <w:color w:val="auto"/>
          <w:sz w:val="24"/>
          <w:szCs w:val="24"/>
          <w:highlight w:val="none"/>
        </w:rPr>
      </w:pPr>
      <w:r>
        <w:rPr>
          <w:rFonts w:ascii="Times New Roman" w:hAnsi="Times New Roman" w:cs="宋体"/>
          <w:b/>
          <w:color w:val="auto"/>
          <w:sz w:val="24"/>
          <w:szCs w:val="24"/>
          <w:highlight w:val="none"/>
        </w:rPr>
        <w:t>十、合同款支付</w:t>
      </w:r>
    </w:p>
    <w:p w14:paraId="69136CED">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cs="宋体"/>
          <w:color w:val="auto"/>
          <w:kern w:val="1"/>
          <w:sz w:val="24"/>
          <w:highlight w:val="none"/>
          <w:lang w:val="zh-CN" w:eastAsia="zh-CN"/>
        </w:rPr>
      </w:pPr>
      <w:r>
        <w:rPr>
          <w:rFonts w:hint="eastAsia" w:ascii="宋体" w:hAnsi="宋体" w:cs="宋体"/>
          <w:color w:val="auto"/>
          <w:kern w:val="1"/>
          <w:sz w:val="24"/>
          <w:highlight w:val="none"/>
        </w:rPr>
        <w:t>10.1 付款方式</w:t>
      </w:r>
      <w:r>
        <w:rPr>
          <w:rFonts w:hint="eastAsia" w:ascii="宋体" w:hAnsi="宋体" w:cs="宋体"/>
          <w:color w:val="auto"/>
          <w:kern w:val="1"/>
          <w:sz w:val="24"/>
          <w:highlight w:val="none"/>
          <w:lang w:eastAsia="zh-CN"/>
        </w:rPr>
        <w:t>及时间</w:t>
      </w:r>
      <w:r>
        <w:rPr>
          <w:rFonts w:hint="eastAsia" w:ascii="宋体" w:hAnsi="宋体" w:cs="宋体"/>
          <w:color w:val="auto"/>
          <w:kern w:val="1"/>
          <w:sz w:val="24"/>
          <w:highlight w:val="none"/>
          <w:lang w:val="zh-CN" w:eastAsia="zh-CN"/>
        </w:rPr>
        <w:t>：</w:t>
      </w:r>
    </w:p>
    <w:p w14:paraId="6B535285">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color w:val="auto"/>
          <w:kern w:val="1"/>
          <w:sz w:val="24"/>
          <w:highlight w:val="none"/>
          <w:lang w:eastAsia="zh-CN"/>
        </w:rPr>
      </w:pPr>
      <w:r>
        <w:rPr>
          <w:rFonts w:hint="eastAsia" w:ascii="宋体" w:hAnsi="宋体" w:cs="宋体"/>
          <w:color w:val="auto"/>
          <w:kern w:val="1"/>
          <w:sz w:val="24"/>
          <w:highlight w:val="none"/>
        </w:rPr>
        <w:t>费用划分为 2个阶段，分别进行支付</w:t>
      </w:r>
      <w:r>
        <w:rPr>
          <w:rFonts w:hint="eastAsia" w:ascii="宋体" w:hAnsi="宋体" w:cs="宋体"/>
          <w:color w:val="auto"/>
          <w:kern w:val="1"/>
          <w:sz w:val="24"/>
          <w:highlight w:val="none"/>
          <w:lang w:eastAsia="zh-CN"/>
        </w:rPr>
        <w:t>：</w:t>
      </w:r>
    </w:p>
    <w:p w14:paraId="2D03EFD2">
      <w:pPr>
        <w:keepNext w:val="0"/>
        <w:keepLines w:val="0"/>
        <w:pageBreakBefore w:val="0"/>
        <w:widowControl w:val="0"/>
        <w:numPr>
          <w:ilvl w:val="0"/>
          <w:numId w:val="6"/>
        </w:numPr>
        <w:kinsoku/>
        <w:wordWrap/>
        <w:overflowPunct/>
        <w:topLinePunct w:val="0"/>
        <w:autoSpaceDE/>
        <w:autoSpaceDN/>
        <w:bidi w:val="0"/>
        <w:adjustRightInd/>
        <w:snapToGrid/>
        <w:spacing w:line="440" w:lineRule="exact"/>
        <w:ind w:firstLine="482"/>
        <w:jc w:val="left"/>
        <w:textAlignment w:val="auto"/>
        <w:rPr>
          <w:rFonts w:hint="eastAsia" w:ascii="宋体" w:hAnsi="宋体" w:cs="宋体"/>
          <w:color w:val="auto"/>
          <w:kern w:val="1"/>
          <w:sz w:val="24"/>
          <w:highlight w:val="none"/>
          <w:lang w:val="en-US" w:eastAsia="zh-CN"/>
        </w:rPr>
      </w:pPr>
      <w:r>
        <w:rPr>
          <w:rFonts w:hint="eastAsia" w:ascii="宋体" w:hAnsi="宋体" w:cs="宋体"/>
          <w:color w:val="auto"/>
          <w:kern w:val="1"/>
          <w:sz w:val="24"/>
          <w:highlight w:val="none"/>
        </w:rPr>
        <w:t>第一阶段费用为</w:t>
      </w:r>
      <w:r>
        <w:rPr>
          <w:rFonts w:hint="eastAsia" w:ascii="宋体" w:hAnsi="宋体" w:cs="宋体"/>
          <w:b/>
          <w:bCs/>
          <w:color w:val="auto"/>
          <w:kern w:val="1"/>
          <w:sz w:val="24"/>
          <w:highlight w:val="none"/>
          <w:lang w:val="en-US" w:eastAsia="zh-CN"/>
        </w:rPr>
        <w:t>过程</w:t>
      </w:r>
      <w:r>
        <w:rPr>
          <w:rFonts w:hint="eastAsia" w:ascii="宋体" w:hAnsi="宋体" w:cs="宋体"/>
          <w:b/>
          <w:bCs/>
          <w:color w:val="auto"/>
          <w:kern w:val="1"/>
          <w:sz w:val="24"/>
          <w:highlight w:val="none"/>
        </w:rPr>
        <w:t>服务</w:t>
      </w:r>
      <w:r>
        <w:rPr>
          <w:rFonts w:hint="eastAsia" w:ascii="宋体" w:hAnsi="宋体" w:cs="宋体"/>
          <w:b/>
          <w:bCs/>
          <w:color w:val="auto"/>
          <w:kern w:val="1"/>
          <w:sz w:val="24"/>
          <w:highlight w:val="none"/>
          <w:lang w:eastAsia="zh-CN"/>
        </w:rPr>
        <w:t>费用</w:t>
      </w:r>
      <w:r>
        <w:rPr>
          <w:rFonts w:hint="eastAsia" w:ascii="宋体" w:hAnsi="宋体" w:cs="宋体"/>
          <w:color w:val="auto"/>
          <w:kern w:val="1"/>
          <w:sz w:val="24"/>
          <w:highlight w:val="none"/>
          <w:lang w:eastAsia="zh-CN"/>
        </w:rPr>
        <w:t>：</w:t>
      </w:r>
      <w:r>
        <w:rPr>
          <w:rFonts w:hint="eastAsia" w:ascii="宋体" w:hAnsi="宋体" w:cs="宋体"/>
          <w:color w:val="auto"/>
          <w:kern w:val="1"/>
          <w:sz w:val="24"/>
          <w:highlight w:val="none"/>
          <w:lang w:val="en-US" w:eastAsia="zh-CN"/>
        </w:rPr>
        <w:t>培训课时数511课时（授课完成后不足511课时，以实际授课课时数量结算，超过511课时，以511课时结算）*</w:t>
      </w:r>
      <w:r>
        <w:rPr>
          <w:rFonts w:hint="eastAsia" w:ascii="宋体" w:hAnsi="宋体" w:cs="宋体"/>
          <w:b/>
          <w:bCs/>
          <w:color w:val="auto"/>
          <w:kern w:val="1"/>
          <w:sz w:val="24"/>
          <w:highlight w:val="none"/>
          <w:lang w:val="en-US" w:eastAsia="zh-CN"/>
        </w:rPr>
        <w:t>3200</w:t>
      </w:r>
      <w:r>
        <w:rPr>
          <w:rFonts w:hint="eastAsia" w:ascii="宋体" w:hAnsi="宋体" w:cs="宋体"/>
          <w:color w:val="auto"/>
          <w:kern w:val="1"/>
          <w:sz w:val="24"/>
          <w:highlight w:val="none"/>
          <w:lang w:val="en-US" w:eastAsia="zh-CN"/>
        </w:rPr>
        <w:t>*（1-中标下浮率）=过程服务费；</w:t>
      </w:r>
    </w:p>
    <w:p w14:paraId="3278D533">
      <w:pPr>
        <w:keepNext w:val="0"/>
        <w:keepLines w:val="0"/>
        <w:pageBreakBefore w:val="0"/>
        <w:widowControl w:val="0"/>
        <w:numPr>
          <w:ilvl w:val="0"/>
          <w:numId w:val="7"/>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b w:val="0"/>
          <w:bCs/>
          <w:color w:val="auto"/>
          <w:sz w:val="24"/>
          <w:highlight w:val="none"/>
          <w:lang w:eastAsia="zh-CN"/>
        </w:rPr>
      </w:pPr>
      <w:r>
        <w:rPr>
          <w:rFonts w:ascii="宋体" w:hAnsi="宋体" w:eastAsia="宋体" w:cs="宋体"/>
          <w:b w:val="0"/>
          <w:bCs/>
          <w:color w:val="auto"/>
          <w:sz w:val="24"/>
          <w:highlight w:val="none"/>
        </w:rPr>
        <w:t>在合同签订后收到乙方发票十个工作日内</w:t>
      </w:r>
      <w:r>
        <w:rPr>
          <w:rFonts w:hint="eastAsia" w:ascii="宋体" w:hAnsi="宋体" w:cs="宋体"/>
          <w:b w:val="0"/>
          <w:bCs/>
          <w:color w:val="auto"/>
          <w:kern w:val="1"/>
          <w:sz w:val="24"/>
          <w:highlight w:val="none"/>
          <w:lang w:val="en-US" w:eastAsia="zh-CN"/>
        </w:rPr>
        <w:t>甲方需向乙方</w:t>
      </w:r>
      <w:r>
        <w:rPr>
          <w:rFonts w:ascii="宋体" w:hAnsi="宋体" w:eastAsia="宋体" w:cs="宋体"/>
          <w:b w:val="0"/>
          <w:bCs/>
          <w:color w:val="auto"/>
          <w:sz w:val="24"/>
          <w:highlight w:val="none"/>
        </w:rPr>
        <w:t>支付预付款（属于</w:t>
      </w:r>
      <w:r>
        <w:rPr>
          <w:rFonts w:hint="eastAsia" w:ascii="宋体" w:hAnsi="宋体" w:eastAsia="宋体" w:cs="宋体"/>
          <w:b w:val="0"/>
          <w:bCs/>
          <w:color w:val="auto"/>
          <w:sz w:val="24"/>
          <w:highlight w:val="none"/>
          <w:lang w:eastAsia="zh-CN"/>
        </w:rPr>
        <w:t>过程服务费</w:t>
      </w:r>
      <w:r>
        <w:rPr>
          <w:rFonts w:ascii="宋体" w:hAnsi="宋体" w:eastAsia="宋体" w:cs="宋体"/>
          <w:b w:val="0"/>
          <w:bCs/>
          <w:color w:val="auto"/>
          <w:sz w:val="24"/>
          <w:highlight w:val="none"/>
        </w:rPr>
        <w:t>预付部分），预付款支付比例为：</w:t>
      </w:r>
      <w:r>
        <w:rPr>
          <w:rFonts w:hint="eastAsia" w:ascii="宋体" w:hAnsi="宋体" w:cs="宋体"/>
          <w:b w:val="0"/>
          <w:bCs/>
          <w:color w:val="auto"/>
          <w:kern w:val="1"/>
          <w:sz w:val="24"/>
          <w:highlight w:val="none"/>
          <w:lang w:val="en-US" w:eastAsia="zh-CN"/>
        </w:rPr>
        <w:t>过程</w:t>
      </w:r>
      <w:r>
        <w:rPr>
          <w:rFonts w:hint="eastAsia" w:ascii="宋体" w:hAnsi="宋体" w:cs="宋体"/>
          <w:b w:val="0"/>
          <w:bCs/>
          <w:color w:val="auto"/>
          <w:kern w:val="1"/>
          <w:sz w:val="24"/>
          <w:highlight w:val="none"/>
        </w:rPr>
        <w:t>服务费</w:t>
      </w:r>
      <w:r>
        <w:rPr>
          <w:rFonts w:hint="eastAsia" w:ascii="宋体" w:hAnsi="宋体" w:cs="宋体"/>
          <w:b w:val="0"/>
          <w:bCs/>
          <w:color w:val="auto"/>
          <w:kern w:val="1"/>
          <w:sz w:val="24"/>
          <w:highlight w:val="none"/>
          <w:lang w:eastAsia="zh-CN"/>
        </w:rPr>
        <w:t>用</w:t>
      </w:r>
      <w:r>
        <w:rPr>
          <w:rFonts w:ascii="宋体" w:hAnsi="宋体" w:eastAsia="宋体" w:cs="宋体"/>
          <w:b w:val="0"/>
          <w:bCs/>
          <w:color w:val="auto"/>
          <w:sz w:val="24"/>
          <w:highlight w:val="none"/>
        </w:rPr>
        <w:t>的</w:t>
      </w:r>
      <w:r>
        <w:rPr>
          <w:rFonts w:hint="eastAsia" w:ascii="宋体" w:hAnsi="宋体" w:cs="宋体"/>
          <w:b w:val="0"/>
          <w:bCs/>
          <w:color w:val="auto"/>
          <w:sz w:val="24"/>
          <w:highlight w:val="none"/>
          <w:lang w:val="en-US" w:eastAsia="zh-CN"/>
        </w:rPr>
        <w:t>7</w:t>
      </w:r>
      <w:r>
        <w:rPr>
          <w:rFonts w:ascii="宋体" w:hAnsi="宋体" w:eastAsia="宋体" w:cs="宋体"/>
          <w:b w:val="0"/>
          <w:bCs/>
          <w:color w:val="auto"/>
          <w:sz w:val="24"/>
          <w:highlight w:val="none"/>
        </w:rPr>
        <w:t>0%（乙方需提供等额税票</w:t>
      </w:r>
      <w:r>
        <w:rPr>
          <w:rFonts w:hint="eastAsia" w:ascii="宋体" w:hAnsi="宋体" w:eastAsia="宋体" w:cs="宋体"/>
          <w:b w:val="0"/>
          <w:bCs/>
          <w:color w:val="auto"/>
          <w:sz w:val="24"/>
          <w:highlight w:val="none"/>
          <w:lang w:eastAsia="zh-CN"/>
        </w:rPr>
        <w:t>）</w:t>
      </w:r>
      <w:r>
        <w:rPr>
          <w:rFonts w:hint="eastAsia" w:ascii="宋体" w:hAnsi="宋体" w:cs="宋体"/>
          <w:b w:val="0"/>
          <w:bCs/>
          <w:color w:val="auto"/>
          <w:sz w:val="24"/>
          <w:highlight w:val="none"/>
          <w:lang w:eastAsia="zh-CN"/>
        </w:rPr>
        <w:t>。</w:t>
      </w:r>
    </w:p>
    <w:p w14:paraId="1525449F">
      <w:pPr>
        <w:keepNext w:val="0"/>
        <w:keepLines w:val="0"/>
        <w:pageBreakBefore w:val="0"/>
        <w:widowControl w:val="0"/>
        <w:numPr>
          <w:ilvl w:val="0"/>
          <w:numId w:val="7"/>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color w:val="auto"/>
          <w:kern w:val="1"/>
          <w:sz w:val="24"/>
          <w:highlight w:val="none"/>
          <w:lang w:eastAsia="zh-CN"/>
        </w:rPr>
      </w:pPr>
      <w:r>
        <w:rPr>
          <w:rFonts w:ascii="宋体" w:hAnsi="宋体" w:eastAsia="宋体" w:cs="宋体"/>
          <w:b w:val="0"/>
          <w:bCs/>
          <w:color w:val="auto"/>
          <w:sz w:val="24"/>
          <w:highlight w:val="none"/>
        </w:rPr>
        <w:t>202</w:t>
      </w:r>
      <w:r>
        <w:rPr>
          <w:rFonts w:hint="eastAsia" w:ascii="宋体" w:hAnsi="宋体" w:cs="宋体"/>
          <w:b w:val="0"/>
          <w:bCs/>
          <w:color w:val="auto"/>
          <w:sz w:val="24"/>
          <w:highlight w:val="none"/>
          <w:lang w:val="en-US" w:eastAsia="zh-CN"/>
        </w:rPr>
        <w:t>7年5月底，</w:t>
      </w:r>
      <w:r>
        <w:rPr>
          <w:rFonts w:hint="eastAsia" w:ascii="宋体" w:hAnsi="宋体" w:eastAsia="宋体" w:cs="宋体"/>
          <w:b w:val="0"/>
          <w:bCs/>
          <w:color w:val="auto"/>
          <w:sz w:val="24"/>
          <w:highlight w:val="none"/>
          <w:lang w:eastAsia="zh-CN"/>
        </w:rPr>
        <w:t>如师生课程评价满意度（全过程）达</w:t>
      </w:r>
      <w:r>
        <w:rPr>
          <w:rFonts w:hint="eastAsia" w:ascii="宋体" w:hAnsi="宋体" w:eastAsia="宋体" w:cs="宋体"/>
          <w:b w:val="0"/>
          <w:bCs/>
          <w:color w:val="auto"/>
          <w:sz w:val="24"/>
          <w:highlight w:val="none"/>
          <w:lang w:val="en-US" w:eastAsia="zh-CN"/>
        </w:rPr>
        <w:t>90%以上，</w:t>
      </w:r>
      <w:r>
        <w:rPr>
          <w:rFonts w:hint="eastAsia" w:ascii="宋体" w:hAnsi="宋体" w:cs="宋体"/>
          <w:b w:val="0"/>
          <w:bCs/>
          <w:color w:val="auto"/>
          <w:kern w:val="1"/>
          <w:sz w:val="24"/>
          <w:highlight w:val="none"/>
          <w:lang w:val="en-US" w:eastAsia="zh-CN"/>
        </w:rPr>
        <w:t>甲方向乙方</w:t>
      </w:r>
      <w:r>
        <w:rPr>
          <w:rFonts w:ascii="宋体" w:hAnsi="宋体" w:eastAsia="宋体" w:cs="宋体"/>
          <w:b w:val="0"/>
          <w:bCs/>
          <w:color w:val="auto"/>
          <w:sz w:val="24"/>
          <w:highlight w:val="none"/>
        </w:rPr>
        <w:t>支付</w:t>
      </w:r>
      <w:r>
        <w:rPr>
          <w:rFonts w:hint="eastAsia" w:ascii="宋体" w:hAnsi="宋体" w:eastAsia="宋体" w:cs="宋体"/>
          <w:b/>
          <w:bCs w:val="0"/>
          <w:color w:val="auto"/>
          <w:sz w:val="24"/>
          <w:highlight w:val="none"/>
          <w:lang w:eastAsia="zh-CN"/>
        </w:rPr>
        <w:t>过程服务费</w:t>
      </w:r>
      <w:r>
        <w:rPr>
          <w:rFonts w:hint="eastAsia" w:ascii="宋体" w:hAnsi="宋体" w:cs="宋体"/>
          <w:b/>
          <w:bCs w:val="0"/>
          <w:color w:val="auto"/>
          <w:sz w:val="24"/>
          <w:highlight w:val="none"/>
          <w:lang w:eastAsia="zh-CN"/>
        </w:rPr>
        <w:t>用</w:t>
      </w:r>
      <w:r>
        <w:rPr>
          <w:rFonts w:ascii="宋体" w:hAnsi="宋体" w:eastAsia="宋体" w:cs="宋体"/>
          <w:b w:val="0"/>
          <w:bCs/>
          <w:color w:val="auto"/>
          <w:sz w:val="24"/>
          <w:highlight w:val="none"/>
        </w:rPr>
        <w:t>的</w:t>
      </w:r>
      <w:r>
        <w:rPr>
          <w:rFonts w:hint="eastAsia" w:ascii="宋体" w:hAnsi="宋体" w:cs="宋体"/>
          <w:b w:val="0"/>
          <w:bCs/>
          <w:color w:val="auto"/>
          <w:sz w:val="24"/>
          <w:highlight w:val="none"/>
          <w:lang w:val="en-US" w:eastAsia="zh-CN"/>
        </w:rPr>
        <w:t>1</w:t>
      </w:r>
      <w:r>
        <w:rPr>
          <w:rFonts w:ascii="宋体" w:hAnsi="宋体" w:eastAsia="宋体" w:cs="宋体"/>
          <w:b w:val="0"/>
          <w:bCs/>
          <w:color w:val="auto"/>
          <w:sz w:val="24"/>
          <w:highlight w:val="none"/>
        </w:rPr>
        <w:t>0%（乙方需提供等额税票</w:t>
      </w:r>
      <w:r>
        <w:rPr>
          <w:rFonts w:hint="eastAsia" w:ascii="宋体" w:hAnsi="宋体" w:eastAsia="宋体" w:cs="宋体"/>
          <w:b w:val="0"/>
          <w:bCs/>
          <w:color w:val="auto"/>
          <w:sz w:val="24"/>
          <w:highlight w:val="none"/>
          <w:lang w:eastAsia="zh-CN"/>
        </w:rPr>
        <w:t>）</w:t>
      </w:r>
      <w:r>
        <w:rPr>
          <w:rFonts w:hint="eastAsia" w:ascii="宋体" w:hAnsi="宋体" w:cs="宋体"/>
          <w:b w:val="0"/>
          <w:bCs/>
          <w:color w:val="auto"/>
          <w:sz w:val="24"/>
          <w:highlight w:val="none"/>
          <w:lang w:eastAsia="zh-CN"/>
        </w:rPr>
        <w:t>；</w:t>
      </w:r>
    </w:p>
    <w:p w14:paraId="086DB51D">
      <w:pPr>
        <w:keepNext w:val="0"/>
        <w:keepLines w:val="0"/>
        <w:pageBreakBefore w:val="0"/>
        <w:widowControl w:val="0"/>
        <w:numPr>
          <w:ilvl w:val="0"/>
          <w:numId w:val="7"/>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color w:val="auto"/>
          <w:kern w:val="1"/>
          <w:sz w:val="24"/>
          <w:highlight w:val="none"/>
          <w:lang w:eastAsia="zh-CN"/>
        </w:rPr>
      </w:pPr>
      <w:r>
        <w:rPr>
          <w:rFonts w:hint="eastAsia" w:ascii="宋体" w:hAnsi="宋体" w:eastAsia="宋体" w:cs="宋体"/>
          <w:b w:val="0"/>
          <w:bCs/>
          <w:color w:val="auto"/>
          <w:kern w:val="1"/>
          <w:sz w:val="24"/>
          <w:szCs w:val="21"/>
          <w:highlight w:val="none"/>
        </w:rPr>
        <w:t>若</w:t>
      </w:r>
      <w:r>
        <w:rPr>
          <w:rFonts w:hint="eastAsia" w:ascii="宋体" w:hAnsi="宋体" w:cs="宋体"/>
          <w:b w:val="0"/>
          <w:bCs/>
          <w:color w:val="auto"/>
          <w:kern w:val="1"/>
          <w:sz w:val="24"/>
          <w:szCs w:val="21"/>
          <w:highlight w:val="none"/>
          <w:lang w:eastAsia="zh-CN"/>
        </w:rPr>
        <w:t>中标供应商完成</w:t>
      </w:r>
      <w:r>
        <w:rPr>
          <w:rFonts w:hint="eastAsia" w:ascii="宋体" w:hAnsi="宋体" w:cs="宋体"/>
          <w:b/>
          <w:bCs w:val="0"/>
          <w:color w:val="auto"/>
          <w:kern w:val="1"/>
          <w:sz w:val="24"/>
          <w:szCs w:val="21"/>
          <w:highlight w:val="none"/>
          <w:lang w:eastAsia="zh-CN"/>
        </w:rPr>
        <w:t>基本目标考核</w:t>
      </w:r>
      <w:r>
        <w:rPr>
          <w:rFonts w:hint="eastAsia" w:ascii="宋体" w:hAnsi="宋体" w:cs="宋体"/>
          <w:b w:val="0"/>
          <w:bCs/>
          <w:color w:val="auto"/>
          <w:kern w:val="1"/>
          <w:sz w:val="24"/>
          <w:szCs w:val="21"/>
          <w:highlight w:val="none"/>
          <w:lang w:eastAsia="zh-CN"/>
        </w:rPr>
        <w:t>（即</w:t>
      </w:r>
      <w:r>
        <w:rPr>
          <w:rFonts w:hint="eastAsia" w:ascii="宋体" w:hAnsi="宋体" w:eastAsia="宋体" w:cs="宋体"/>
          <w:b w:val="0"/>
          <w:bCs/>
          <w:color w:val="auto"/>
          <w:kern w:val="1"/>
          <w:sz w:val="24"/>
          <w:szCs w:val="21"/>
          <w:highlight w:val="none"/>
        </w:rPr>
        <w:t>参培学生在</w:t>
      </w:r>
      <w:r>
        <w:rPr>
          <w:rFonts w:hint="eastAsia" w:ascii="宋体" w:hAnsi="宋体" w:eastAsia="宋体" w:cs="宋体"/>
          <w:b w:val="0"/>
          <w:bCs/>
          <w:color w:val="auto"/>
          <w:kern w:val="1"/>
          <w:sz w:val="24"/>
          <w:szCs w:val="21"/>
          <w:highlight w:val="none"/>
          <w:lang w:val="en-US" w:eastAsia="zh-CN"/>
        </w:rPr>
        <w:t>202</w:t>
      </w:r>
      <w:r>
        <w:rPr>
          <w:rFonts w:hint="eastAsia" w:ascii="宋体" w:hAnsi="宋体" w:cs="宋体"/>
          <w:b w:val="0"/>
          <w:bCs/>
          <w:color w:val="auto"/>
          <w:kern w:val="1"/>
          <w:sz w:val="24"/>
          <w:szCs w:val="21"/>
          <w:highlight w:val="none"/>
          <w:lang w:val="en-US" w:eastAsia="zh-CN"/>
        </w:rPr>
        <w:t>7</w:t>
      </w:r>
      <w:r>
        <w:rPr>
          <w:rFonts w:hint="eastAsia" w:ascii="宋体" w:hAnsi="宋体" w:eastAsia="宋体" w:cs="宋体"/>
          <w:b w:val="0"/>
          <w:bCs/>
          <w:color w:val="auto"/>
          <w:kern w:val="1"/>
          <w:sz w:val="24"/>
          <w:szCs w:val="21"/>
          <w:highlight w:val="none"/>
        </w:rPr>
        <w:t>年高考中被</w:t>
      </w:r>
      <w:r>
        <w:rPr>
          <w:rFonts w:hint="eastAsia" w:ascii="宋体" w:hAnsi="宋体" w:eastAsia="宋体" w:cs="宋体"/>
          <w:b w:val="0"/>
          <w:bCs/>
          <w:color w:val="auto"/>
          <w:kern w:val="1"/>
          <w:sz w:val="24"/>
          <w:szCs w:val="21"/>
          <w:highlight w:val="none"/>
          <w:lang w:val="en-US" w:eastAsia="zh-CN"/>
        </w:rPr>
        <w:t>国内顶尖名校</w:t>
      </w:r>
      <w:r>
        <w:rPr>
          <w:rFonts w:hint="eastAsia" w:ascii="宋体" w:hAnsi="宋体" w:eastAsia="宋体" w:cs="宋体"/>
          <w:b w:val="0"/>
          <w:bCs/>
          <w:color w:val="auto"/>
          <w:kern w:val="1"/>
          <w:sz w:val="24"/>
          <w:szCs w:val="21"/>
          <w:highlight w:val="none"/>
        </w:rPr>
        <w:t>录取的总人数</w:t>
      </w:r>
      <w:r>
        <w:rPr>
          <w:rFonts w:hint="eastAsia" w:ascii="宋体" w:hAnsi="宋体" w:cs="宋体"/>
          <w:b w:val="0"/>
          <w:bCs/>
          <w:color w:val="auto"/>
          <w:kern w:val="1"/>
          <w:sz w:val="24"/>
          <w:szCs w:val="21"/>
          <w:highlight w:val="none"/>
          <w:lang w:eastAsia="zh-CN"/>
        </w:rPr>
        <w:t>等于</w:t>
      </w:r>
      <w:r>
        <w:rPr>
          <w:rFonts w:hint="eastAsia" w:ascii="宋体" w:hAnsi="宋体" w:cs="宋体"/>
          <w:b w:val="0"/>
          <w:bCs/>
          <w:color w:val="auto"/>
          <w:kern w:val="1"/>
          <w:sz w:val="24"/>
          <w:szCs w:val="21"/>
          <w:highlight w:val="none"/>
          <w:lang w:val="en-US" w:eastAsia="zh-CN"/>
        </w:rPr>
        <w:t>5人）</w:t>
      </w:r>
      <w:r>
        <w:rPr>
          <w:rFonts w:hint="eastAsia" w:ascii="宋体" w:hAnsi="宋体" w:eastAsia="宋体" w:cs="宋体"/>
          <w:b w:val="0"/>
          <w:bCs/>
          <w:color w:val="auto"/>
          <w:kern w:val="1"/>
          <w:sz w:val="24"/>
          <w:szCs w:val="21"/>
          <w:highlight w:val="none"/>
        </w:rPr>
        <w:t>，则</w:t>
      </w:r>
      <w:r>
        <w:rPr>
          <w:rFonts w:hint="eastAsia" w:ascii="宋体" w:hAnsi="宋体" w:eastAsia="宋体" w:cs="宋体"/>
          <w:b w:val="0"/>
          <w:bCs/>
          <w:color w:val="auto"/>
          <w:kern w:val="1"/>
          <w:sz w:val="24"/>
          <w:szCs w:val="21"/>
          <w:highlight w:val="none"/>
          <w:lang w:val="en-US" w:eastAsia="zh-CN"/>
        </w:rPr>
        <w:t>采购人向中标供应商支付</w:t>
      </w:r>
      <w:r>
        <w:rPr>
          <w:rFonts w:hint="eastAsia" w:ascii="宋体" w:hAnsi="宋体" w:eastAsia="宋体" w:cs="宋体"/>
          <w:b/>
          <w:bCs w:val="0"/>
          <w:color w:val="auto"/>
          <w:kern w:val="1"/>
          <w:sz w:val="24"/>
          <w:szCs w:val="21"/>
          <w:highlight w:val="none"/>
          <w:lang w:val="en-US" w:eastAsia="zh-CN"/>
        </w:rPr>
        <w:t>过程</w:t>
      </w:r>
      <w:r>
        <w:rPr>
          <w:rFonts w:hint="eastAsia" w:ascii="宋体" w:hAnsi="宋体" w:cs="宋体"/>
          <w:b/>
          <w:bCs w:val="0"/>
          <w:color w:val="auto"/>
          <w:kern w:val="1"/>
          <w:sz w:val="24"/>
          <w:szCs w:val="21"/>
          <w:highlight w:val="none"/>
          <w:lang w:val="en-US" w:eastAsia="zh-CN"/>
        </w:rPr>
        <w:t>服务</w:t>
      </w:r>
      <w:r>
        <w:rPr>
          <w:rFonts w:hint="eastAsia" w:ascii="宋体" w:hAnsi="宋体" w:eastAsia="宋体" w:cs="宋体"/>
          <w:b/>
          <w:bCs w:val="0"/>
          <w:color w:val="auto"/>
          <w:kern w:val="1"/>
          <w:sz w:val="24"/>
          <w:szCs w:val="21"/>
          <w:highlight w:val="none"/>
          <w:lang w:val="en-US" w:eastAsia="zh-CN"/>
        </w:rPr>
        <w:t>费用</w:t>
      </w:r>
      <w:r>
        <w:rPr>
          <w:rFonts w:hint="eastAsia" w:ascii="宋体" w:hAnsi="宋体" w:eastAsia="宋体" w:cs="宋体"/>
          <w:b w:val="0"/>
          <w:bCs/>
          <w:color w:val="auto"/>
          <w:kern w:val="1"/>
          <w:sz w:val="24"/>
          <w:szCs w:val="21"/>
          <w:highlight w:val="none"/>
          <w:lang w:val="en-US" w:eastAsia="zh-CN"/>
        </w:rPr>
        <w:t>的20%</w:t>
      </w:r>
      <w:r>
        <w:rPr>
          <w:rFonts w:hint="eastAsia" w:ascii="宋体" w:hAnsi="宋体" w:cs="宋体"/>
          <w:b w:val="0"/>
          <w:bCs/>
          <w:color w:val="auto"/>
          <w:kern w:val="1"/>
          <w:sz w:val="24"/>
          <w:szCs w:val="21"/>
          <w:highlight w:val="none"/>
          <w:lang w:val="en-US" w:eastAsia="zh-CN"/>
        </w:rPr>
        <w:t>；</w:t>
      </w:r>
    </w:p>
    <w:p w14:paraId="7C63E446">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cs="宋体"/>
          <w:color w:val="auto"/>
          <w:kern w:val="1"/>
          <w:sz w:val="24"/>
          <w:highlight w:val="none"/>
          <w:lang w:val="en-US" w:eastAsia="zh-CN"/>
        </w:rPr>
      </w:pPr>
      <w:r>
        <w:rPr>
          <w:rFonts w:hint="eastAsia" w:ascii="宋体" w:hAnsi="宋体" w:cs="宋体"/>
          <w:color w:val="auto"/>
          <w:kern w:val="1"/>
          <w:sz w:val="24"/>
          <w:highlight w:val="none"/>
        </w:rPr>
        <w:t>2.第二阶段费用</w:t>
      </w:r>
      <w:r>
        <w:rPr>
          <w:rFonts w:hint="eastAsia" w:ascii="宋体" w:hAnsi="宋体" w:cs="宋体"/>
          <w:color w:val="auto"/>
          <w:kern w:val="1"/>
          <w:sz w:val="24"/>
          <w:highlight w:val="none"/>
          <w:lang w:val="en-US" w:eastAsia="zh-CN"/>
        </w:rPr>
        <w:t>为</w:t>
      </w:r>
      <w:r>
        <w:rPr>
          <w:rFonts w:hint="eastAsia" w:ascii="宋体" w:hAnsi="宋体" w:cs="宋体"/>
          <w:b/>
          <w:bCs/>
          <w:color w:val="auto"/>
          <w:kern w:val="1"/>
          <w:sz w:val="24"/>
          <w:highlight w:val="none"/>
          <w:lang w:val="en-US" w:eastAsia="zh-CN"/>
        </w:rPr>
        <w:t>目标成果费用</w:t>
      </w:r>
      <w:r>
        <w:rPr>
          <w:rFonts w:hint="eastAsia" w:ascii="宋体" w:hAnsi="宋体" w:cs="宋体"/>
          <w:color w:val="auto"/>
          <w:kern w:val="1"/>
          <w:sz w:val="24"/>
          <w:highlight w:val="none"/>
          <w:lang w:val="en-US" w:eastAsia="zh-CN"/>
        </w:rPr>
        <w:t>：</w:t>
      </w:r>
    </w:p>
    <w:p w14:paraId="11FFF31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kern w:val="1"/>
          <w:sz w:val="24"/>
          <w:highlight w:val="none"/>
          <w:lang w:val="en-US" w:eastAsia="zh-CN"/>
        </w:rPr>
      </w:pPr>
      <w:r>
        <w:rPr>
          <w:rFonts w:hint="eastAsia" w:ascii="宋体" w:hAnsi="宋体" w:cs="宋体"/>
          <w:color w:val="auto"/>
          <w:kern w:val="1"/>
          <w:sz w:val="24"/>
          <w:highlight w:val="none"/>
          <w:lang w:val="en-US" w:eastAsia="zh-CN"/>
        </w:rPr>
        <w:t>参培学生2027年高考结束录取结果出来后（在完成国内顶尖名校录取人数</w:t>
      </w:r>
      <w:r>
        <w:rPr>
          <w:rFonts w:hint="eastAsia" w:ascii="宋体" w:hAnsi="宋体" w:cs="宋体"/>
          <w:b/>
          <w:bCs/>
          <w:color w:val="auto"/>
          <w:kern w:val="1"/>
          <w:sz w:val="24"/>
          <w:highlight w:val="none"/>
          <w:lang w:val="en-US" w:eastAsia="zh-CN"/>
        </w:rPr>
        <w:t>基本目标考核</w:t>
      </w:r>
      <w:r>
        <w:rPr>
          <w:rFonts w:hint="eastAsia" w:ascii="宋体" w:hAnsi="宋体" w:cs="宋体"/>
          <w:color w:val="auto"/>
          <w:kern w:val="1"/>
          <w:sz w:val="24"/>
          <w:highlight w:val="none"/>
          <w:lang w:val="en-US" w:eastAsia="zh-CN"/>
        </w:rPr>
        <w:t>基础上），完成国内顶尖名校录取6或7人，从第6个人算起，奖励20万元/人*（1一中标下浮率）；完成国内顶尖名校录取8人及以上，从第8个人算起（上不封顶），奖励30万元/人*（1一中标下浮率）），按照上述目标考核标准进行目标成果费用的支付。若市财政专项经费打入新海高级中学账户一周内，甲方按上述目标考核标准将目标成果费用支付给乙方</w:t>
      </w:r>
      <w:r>
        <w:rPr>
          <w:rFonts w:ascii="宋体" w:hAnsi="宋体" w:eastAsia="宋体" w:cs="宋体"/>
          <w:color w:val="auto"/>
          <w:sz w:val="24"/>
          <w:highlight w:val="none"/>
        </w:rPr>
        <w:t>（乙方需提供等额税票</w:t>
      </w:r>
      <w:r>
        <w:rPr>
          <w:rFonts w:hint="eastAsia" w:ascii="宋体" w:hAnsi="宋体" w:eastAsia="宋体" w:cs="宋体"/>
          <w:color w:val="auto"/>
          <w:sz w:val="24"/>
          <w:highlight w:val="none"/>
          <w:lang w:eastAsia="zh-CN"/>
        </w:rPr>
        <w:t>）</w:t>
      </w:r>
      <w:r>
        <w:rPr>
          <w:rFonts w:hint="eastAsia" w:ascii="宋体" w:hAnsi="宋体" w:cs="宋体"/>
          <w:color w:val="auto"/>
          <w:kern w:val="1"/>
          <w:sz w:val="24"/>
          <w:highlight w:val="none"/>
          <w:lang w:val="en-US" w:eastAsia="zh-CN"/>
        </w:rPr>
        <w:t>。</w:t>
      </w:r>
    </w:p>
    <w:p w14:paraId="56AAAE66">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b/>
          <w:color w:val="auto"/>
          <w:kern w:val="1"/>
          <w:sz w:val="24"/>
          <w:highlight w:val="none"/>
        </w:rPr>
      </w:pPr>
      <w:r>
        <w:rPr>
          <w:rFonts w:cs="宋体"/>
          <w:b/>
          <w:color w:val="auto"/>
          <w:kern w:val="1"/>
          <w:sz w:val="24"/>
          <w:highlight w:val="none"/>
        </w:rPr>
        <w:t>十一</w:t>
      </w:r>
      <w:r>
        <w:rPr>
          <w:rFonts w:hint="eastAsia"/>
          <w:b/>
          <w:color w:val="auto"/>
          <w:kern w:val="1"/>
          <w:sz w:val="24"/>
          <w:highlight w:val="none"/>
        </w:rPr>
        <w:t>、</w:t>
      </w:r>
      <w:r>
        <w:rPr>
          <w:rFonts w:cs="宋体"/>
          <w:b/>
          <w:color w:val="auto"/>
          <w:kern w:val="1"/>
          <w:sz w:val="24"/>
          <w:highlight w:val="none"/>
        </w:rPr>
        <w:t>税费</w:t>
      </w:r>
    </w:p>
    <w:p w14:paraId="5281EE77">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ascii="宋体" w:hAnsi="宋体" w:eastAsia="仿宋" w:cs="宋体"/>
          <w:color w:val="auto"/>
          <w:kern w:val="1"/>
          <w:sz w:val="24"/>
          <w:highlight w:val="none"/>
        </w:rPr>
      </w:pPr>
      <w:r>
        <w:rPr>
          <w:rFonts w:hint="eastAsia" w:ascii="宋体" w:hAnsi="宋体" w:cs="宋体"/>
          <w:color w:val="auto"/>
          <w:kern w:val="1"/>
          <w:sz w:val="24"/>
          <w:highlight w:val="none"/>
        </w:rPr>
        <w:t>11.1 本合同执行中相关的一切税费均由乙方负担。</w:t>
      </w:r>
    </w:p>
    <w:p w14:paraId="022033E9">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color w:val="auto"/>
          <w:sz w:val="24"/>
          <w:szCs w:val="24"/>
          <w:highlight w:val="none"/>
        </w:rPr>
      </w:pPr>
      <w:r>
        <w:rPr>
          <w:rFonts w:cs="宋体"/>
          <w:b/>
          <w:color w:val="auto"/>
          <w:sz w:val="24"/>
          <w:szCs w:val="24"/>
          <w:highlight w:val="none"/>
        </w:rPr>
        <w:t>十二、质量保证及售后服务</w:t>
      </w:r>
    </w:p>
    <w:p w14:paraId="473A5290">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eastAsia="宋体" w:cs="宋体"/>
          <w:color w:val="auto"/>
          <w:sz w:val="24"/>
          <w:szCs w:val="24"/>
          <w:highlight w:val="none"/>
          <w:lang w:eastAsia="zh-CN"/>
        </w:rPr>
      </w:pPr>
      <w:r>
        <w:rPr>
          <w:rFonts w:cs="宋体"/>
          <w:color w:val="auto"/>
          <w:sz w:val="24"/>
          <w:szCs w:val="24"/>
          <w:highlight w:val="none"/>
        </w:rPr>
        <w:t>12.1</w:t>
      </w:r>
      <w:r>
        <w:rPr>
          <w:rFonts w:hint="eastAsia" w:cs="宋体"/>
          <w:color w:val="auto"/>
          <w:sz w:val="24"/>
          <w:szCs w:val="24"/>
          <w:highlight w:val="none"/>
        </w:rPr>
        <w:t xml:space="preserve"> </w:t>
      </w:r>
      <w:r>
        <w:rPr>
          <w:rFonts w:hint="eastAsia" w:cs="宋体"/>
          <w:color w:val="auto"/>
          <w:sz w:val="24"/>
          <w:szCs w:val="24"/>
          <w:highlight w:val="none"/>
          <w:lang w:eastAsia="zh-CN"/>
        </w:rPr>
        <w:t>乙方应有激发、调动学校和本校教师积极主动性参与拔尖创人才培训的具体实施方案。</w:t>
      </w:r>
    </w:p>
    <w:p w14:paraId="6EF9F70C">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hint="eastAsia" w:cs="宋体"/>
          <w:color w:val="auto"/>
          <w:sz w:val="24"/>
          <w:szCs w:val="24"/>
          <w:highlight w:val="none"/>
          <w:lang w:val="en-US" w:eastAsia="zh-CN"/>
        </w:rPr>
        <w:t>12.2</w:t>
      </w:r>
      <w:r>
        <w:rPr>
          <w:rFonts w:cs="宋体"/>
          <w:color w:val="auto"/>
          <w:sz w:val="24"/>
          <w:szCs w:val="24"/>
          <w:highlight w:val="none"/>
        </w:rPr>
        <w:t>乙方应按招标文件规定和响应文件承诺的性能、技术要求、质量标准向甲方提供产品或服务。</w:t>
      </w:r>
    </w:p>
    <w:p w14:paraId="29809286">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12.</w:t>
      </w:r>
      <w:r>
        <w:rPr>
          <w:rFonts w:hint="eastAsia" w:cs="宋体"/>
          <w:color w:val="auto"/>
          <w:sz w:val="24"/>
          <w:szCs w:val="24"/>
          <w:highlight w:val="none"/>
          <w:lang w:val="en-US" w:eastAsia="zh-CN"/>
        </w:rPr>
        <w:t>3</w:t>
      </w:r>
      <w:r>
        <w:rPr>
          <w:rFonts w:hint="eastAsia" w:cs="宋体"/>
          <w:color w:val="auto"/>
          <w:sz w:val="24"/>
          <w:szCs w:val="24"/>
          <w:highlight w:val="none"/>
        </w:rPr>
        <w:t xml:space="preserve"> </w:t>
      </w:r>
      <w:r>
        <w:rPr>
          <w:rFonts w:cs="宋体"/>
          <w:color w:val="auto"/>
          <w:sz w:val="24"/>
          <w:szCs w:val="24"/>
          <w:highlight w:val="none"/>
        </w:rPr>
        <w:t>乙方提供的产品或服务在质保期内因其本身出现质量问题，根据实际情况，经双方协商，可按以下办法处理：</w:t>
      </w:r>
    </w:p>
    <w:p w14:paraId="7DCCAC99">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（1）更换：由乙方承担所发生的全部费用。</w:t>
      </w:r>
    </w:p>
    <w:p w14:paraId="22209219">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（2）合同终止处理：合同终止，并退还甲方支付的合同款，同时应承担由此产生的所有费用，甲方不承担发生任何费用。</w:t>
      </w:r>
    </w:p>
    <w:p w14:paraId="46B165A1">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（3）如果有特殊情况，另行规定，签附加合同</w:t>
      </w:r>
    </w:p>
    <w:p w14:paraId="09A9C347">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12.</w:t>
      </w:r>
      <w:r>
        <w:rPr>
          <w:rFonts w:hint="eastAsia" w:cs="宋体"/>
          <w:color w:val="auto"/>
          <w:sz w:val="24"/>
          <w:szCs w:val="24"/>
          <w:highlight w:val="none"/>
          <w:lang w:val="en-US" w:eastAsia="zh-CN"/>
        </w:rPr>
        <w:t>4</w:t>
      </w:r>
      <w:r>
        <w:rPr>
          <w:rFonts w:hint="eastAsia" w:cs="宋体"/>
          <w:color w:val="auto"/>
          <w:sz w:val="24"/>
          <w:szCs w:val="24"/>
          <w:highlight w:val="none"/>
        </w:rPr>
        <w:t xml:space="preserve"> </w:t>
      </w:r>
      <w:r>
        <w:rPr>
          <w:rFonts w:cs="宋体"/>
          <w:color w:val="auto"/>
          <w:sz w:val="24"/>
          <w:szCs w:val="24"/>
          <w:highlight w:val="none"/>
        </w:rPr>
        <w:t>如在使用过程中发生质量问题，乙方在接到甲方通知后在</w:t>
      </w:r>
      <w:r>
        <w:rPr>
          <w:rFonts w:cs="宋体"/>
          <w:color w:val="auto"/>
          <w:sz w:val="24"/>
          <w:szCs w:val="24"/>
          <w:highlight w:val="none"/>
          <w:u w:val="single"/>
        </w:rPr>
        <w:t xml:space="preserve">   </w:t>
      </w:r>
      <w:r>
        <w:rPr>
          <w:rFonts w:cs="宋体"/>
          <w:color w:val="auto"/>
          <w:sz w:val="24"/>
          <w:szCs w:val="24"/>
          <w:highlight w:val="none"/>
        </w:rPr>
        <w:t>小时内到达甲方现场。</w:t>
      </w:r>
    </w:p>
    <w:p w14:paraId="3AC707BD">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12.</w:t>
      </w:r>
      <w:r>
        <w:rPr>
          <w:rFonts w:hint="eastAsia" w:cs="宋体"/>
          <w:color w:val="auto"/>
          <w:sz w:val="24"/>
          <w:szCs w:val="24"/>
          <w:highlight w:val="none"/>
          <w:lang w:val="en-US" w:eastAsia="zh-CN"/>
        </w:rPr>
        <w:t>5</w:t>
      </w:r>
      <w:r>
        <w:rPr>
          <w:rFonts w:hint="eastAsia" w:cs="宋体"/>
          <w:color w:val="auto"/>
          <w:sz w:val="24"/>
          <w:szCs w:val="24"/>
          <w:highlight w:val="none"/>
        </w:rPr>
        <w:t xml:space="preserve"> </w:t>
      </w:r>
      <w:r>
        <w:rPr>
          <w:rFonts w:cs="宋体"/>
          <w:color w:val="auto"/>
          <w:sz w:val="24"/>
          <w:szCs w:val="24"/>
          <w:highlight w:val="none"/>
        </w:rPr>
        <w:t>在质保期内，乙方应对产品或服务出现的质量及安全问题负责处理解决并承担一切费用。</w:t>
      </w:r>
    </w:p>
    <w:p w14:paraId="6DD34075">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十三、验收</w:t>
      </w:r>
    </w:p>
    <w:p w14:paraId="0B2522C0">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color w:val="auto"/>
          <w:kern w:val="1"/>
          <w:sz w:val="24"/>
          <w:highlight w:val="none"/>
        </w:rPr>
      </w:pPr>
      <w:r>
        <w:rPr>
          <w:rFonts w:hint="eastAsia"/>
          <w:color w:val="auto"/>
          <w:kern w:val="1"/>
          <w:sz w:val="24"/>
          <w:highlight w:val="none"/>
          <w:lang w:val="en-US" w:eastAsia="zh-CN"/>
        </w:rPr>
        <w:t>13</w:t>
      </w:r>
      <w:r>
        <w:rPr>
          <w:rFonts w:hint="eastAsia"/>
          <w:color w:val="auto"/>
          <w:kern w:val="1"/>
          <w:sz w:val="24"/>
          <w:highlight w:val="none"/>
        </w:rPr>
        <w:t>.1甲方依法组织履约验收工作，具体验收方法由甲方研究制定。</w:t>
      </w:r>
    </w:p>
    <w:p w14:paraId="525BF50B">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color w:val="auto"/>
          <w:kern w:val="1"/>
          <w:sz w:val="24"/>
          <w:highlight w:val="none"/>
        </w:rPr>
      </w:pPr>
      <w:r>
        <w:rPr>
          <w:rFonts w:hint="eastAsia"/>
          <w:color w:val="auto"/>
          <w:kern w:val="1"/>
          <w:sz w:val="24"/>
          <w:highlight w:val="none"/>
          <w:lang w:val="en-US" w:eastAsia="zh-CN"/>
        </w:rPr>
        <w:t>13</w:t>
      </w:r>
      <w:r>
        <w:rPr>
          <w:rFonts w:hint="eastAsia"/>
          <w:color w:val="auto"/>
          <w:kern w:val="1"/>
          <w:sz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514F0F9">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color w:val="auto"/>
          <w:kern w:val="1"/>
          <w:sz w:val="24"/>
          <w:highlight w:val="none"/>
        </w:rPr>
      </w:pPr>
      <w:r>
        <w:rPr>
          <w:rFonts w:hint="eastAsia"/>
          <w:color w:val="auto"/>
          <w:kern w:val="1"/>
          <w:sz w:val="24"/>
          <w:highlight w:val="none"/>
          <w:lang w:val="en-US" w:eastAsia="zh-CN"/>
        </w:rPr>
        <w:t>13</w:t>
      </w:r>
      <w:r>
        <w:rPr>
          <w:rFonts w:hint="eastAsia"/>
          <w:color w:val="auto"/>
          <w:kern w:val="1"/>
          <w:sz w:val="24"/>
          <w:highlight w:val="none"/>
        </w:rPr>
        <w:t>.</w:t>
      </w:r>
      <w:r>
        <w:rPr>
          <w:rFonts w:hint="eastAsia"/>
          <w:color w:val="auto"/>
          <w:kern w:val="1"/>
          <w:sz w:val="24"/>
          <w:highlight w:val="none"/>
          <w:lang w:val="en-US" w:eastAsia="zh-CN"/>
        </w:rPr>
        <w:t>3</w:t>
      </w:r>
      <w:r>
        <w:rPr>
          <w:rFonts w:hint="eastAsia"/>
          <w:color w:val="auto"/>
          <w:kern w:val="1"/>
          <w:sz w:val="24"/>
          <w:highlight w:val="none"/>
        </w:rPr>
        <w:t>如有必要，甲方邀请参加本项目的其他供应商或第三方专业机构及专家参与验收，相关意见将作为验收书的参考资料。</w:t>
      </w:r>
    </w:p>
    <w:p w14:paraId="11AA56F3">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color w:val="auto"/>
          <w:kern w:val="1"/>
          <w:sz w:val="24"/>
          <w:highlight w:val="none"/>
        </w:rPr>
      </w:pPr>
      <w:r>
        <w:rPr>
          <w:rFonts w:hint="eastAsia"/>
          <w:color w:val="auto"/>
          <w:kern w:val="1"/>
          <w:sz w:val="24"/>
          <w:highlight w:val="none"/>
          <w:lang w:val="en-US" w:eastAsia="zh-CN"/>
        </w:rPr>
        <w:t>13</w:t>
      </w:r>
      <w:r>
        <w:rPr>
          <w:rFonts w:hint="eastAsia"/>
          <w:color w:val="auto"/>
          <w:kern w:val="1"/>
          <w:sz w:val="24"/>
          <w:highlight w:val="none"/>
        </w:rPr>
        <w:t>.</w:t>
      </w:r>
      <w:r>
        <w:rPr>
          <w:rFonts w:hint="eastAsia"/>
          <w:color w:val="auto"/>
          <w:kern w:val="1"/>
          <w:sz w:val="24"/>
          <w:highlight w:val="none"/>
          <w:lang w:val="en-US" w:eastAsia="zh-CN"/>
        </w:rPr>
        <w:t>4</w:t>
      </w:r>
      <w:r>
        <w:rPr>
          <w:rFonts w:hint="eastAsia"/>
          <w:color w:val="auto"/>
          <w:kern w:val="1"/>
          <w:sz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C9864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eastAsia="宋体"/>
          <w:color w:val="auto"/>
          <w:kern w:val="1"/>
          <w:sz w:val="24"/>
          <w:highlight w:val="none"/>
          <w:lang w:eastAsia="zh-CN"/>
        </w:rPr>
      </w:pPr>
      <w:r>
        <w:rPr>
          <w:rFonts w:hint="eastAsia"/>
          <w:color w:val="auto"/>
          <w:kern w:val="1"/>
          <w:sz w:val="24"/>
          <w:highlight w:val="none"/>
          <w:lang w:val="en-US" w:eastAsia="zh-CN"/>
        </w:rPr>
        <w:t>13</w:t>
      </w:r>
      <w:r>
        <w:rPr>
          <w:rFonts w:hint="eastAsia"/>
          <w:color w:val="auto"/>
          <w:kern w:val="1"/>
          <w:sz w:val="24"/>
          <w:highlight w:val="none"/>
        </w:rPr>
        <w:t>.</w:t>
      </w:r>
      <w:r>
        <w:rPr>
          <w:rFonts w:hint="eastAsia"/>
          <w:color w:val="auto"/>
          <w:kern w:val="1"/>
          <w:sz w:val="24"/>
          <w:highlight w:val="none"/>
          <w:lang w:val="en-US" w:eastAsia="zh-CN"/>
        </w:rPr>
        <w:t>5</w:t>
      </w:r>
      <w:r>
        <w:rPr>
          <w:rFonts w:hint="eastAsia"/>
          <w:color w:val="auto"/>
          <w:kern w:val="1"/>
          <w:sz w:val="24"/>
          <w:highlight w:val="none"/>
        </w:rPr>
        <w:t>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color w:val="auto"/>
          <w:kern w:val="1"/>
          <w:sz w:val="24"/>
          <w:highlight w:val="none"/>
          <w:lang w:eastAsia="zh-CN"/>
        </w:rPr>
        <w:t>。</w:t>
      </w:r>
    </w:p>
    <w:p w14:paraId="277ADA2B">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十四、合同内容的交付</w:t>
      </w:r>
    </w:p>
    <w:p w14:paraId="15B06981">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14.1</w:t>
      </w:r>
      <w:r>
        <w:rPr>
          <w:rFonts w:hint="eastAsia" w:cs="宋体"/>
          <w:color w:val="auto"/>
          <w:sz w:val="24"/>
          <w:szCs w:val="24"/>
          <w:highlight w:val="none"/>
        </w:rPr>
        <w:t xml:space="preserve"> </w:t>
      </w:r>
      <w:r>
        <w:rPr>
          <w:rFonts w:cs="宋体"/>
          <w:color w:val="auto"/>
          <w:sz w:val="24"/>
          <w:szCs w:val="24"/>
          <w:highlight w:val="none"/>
        </w:rPr>
        <w:t>乙方应保证合同标的安全运达甲方指定地点。</w:t>
      </w:r>
    </w:p>
    <w:p w14:paraId="3D4528DD">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 xml:space="preserve">14.2 </w:t>
      </w:r>
      <w:r>
        <w:rPr>
          <w:rFonts w:hint="eastAsia" w:cs="宋体"/>
          <w:color w:val="auto"/>
          <w:sz w:val="24"/>
          <w:szCs w:val="24"/>
          <w:highlight w:val="none"/>
          <w:lang w:eastAsia="zh-CN"/>
        </w:rPr>
        <w:t>每学科（</w:t>
      </w:r>
      <w:r>
        <w:rPr>
          <w:rFonts w:hint="eastAsia" w:cs="宋体"/>
          <w:bCs/>
          <w:color w:val="auto"/>
          <w:sz w:val="24"/>
          <w:szCs w:val="24"/>
          <w:highlight w:val="none"/>
          <w:lang w:val="en-US" w:eastAsia="zh-CN"/>
        </w:rPr>
        <w:t>语文、数学、英语、物理、化学</w:t>
      </w:r>
      <w:r>
        <w:rPr>
          <w:rFonts w:hint="eastAsia" w:cs="宋体"/>
          <w:color w:val="auto"/>
          <w:sz w:val="24"/>
          <w:szCs w:val="24"/>
          <w:highlight w:val="none"/>
          <w:lang w:eastAsia="zh-CN"/>
        </w:rPr>
        <w:t>）培训</w:t>
      </w:r>
      <w:r>
        <w:rPr>
          <w:rFonts w:hint="eastAsia" w:cs="宋体"/>
          <w:color w:val="auto"/>
          <w:sz w:val="24"/>
          <w:szCs w:val="24"/>
          <w:highlight w:val="none"/>
          <w:lang w:val="en-US" w:eastAsia="zh-CN"/>
        </w:rPr>
        <w:t>计划书</w:t>
      </w:r>
      <w:r>
        <w:rPr>
          <w:rFonts w:cs="宋体"/>
          <w:color w:val="auto"/>
          <w:sz w:val="24"/>
          <w:szCs w:val="24"/>
          <w:highlight w:val="none"/>
        </w:rPr>
        <w:t>、</w:t>
      </w:r>
      <w:r>
        <w:rPr>
          <w:rFonts w:hint="eastAsia" w:cs="宋体"/>
          <w:color w:val="auto"/>
          <w:sz w:val="24"/>
          <w:szCs w:val="24"/>
          <w:highlight w:val="none"/>
          <w:lang w:eastAsia="zh-CN"/>
        </w:rPr>
        <w:t>教学</w:t>
      </w:r>
      <w:r>
        <w:rPr>
          <w:rFonts w:cs="宋体"/>
          <w:color w:val="auto"/>
          <w:sz w:val="24"/>
          <w:szCs w:val="24"/>
          <w:highlight w:val="none"/>
        </w:rPr>
        <w:t>质量</w:t>
      </w:r>
      <w:r>
        <w:rPr>
          <w:rFonts w:hint="eastAsia" w:cs="宋体"/>
          <w:color w:val="auto"/>
          <w:sz w:val="24"/>
          <w:szCs w:val="24"/>
          <w:highlight w:val="none"/>
          <w:lang w:eastAsia="zh-CN"/>
        </w:rPr>
        <w:t>监控措施</w:t>
      </w:r>
      <w:r>
        <w:rPr>
          <w:rFonts w:cs="宋体"/>
          <w:color w:val="auto"/>
          <w:sz w:val="24"/>
          <w:szCs w:val="24"/>
          <w:highlight w:val="none"/>
        </w:rPr>
        <w:t>一并提交甲方。</w:t>
      </w:r>
    </w:p>
    <w:p w14:paraId="44E5C28E">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14.3 乙方在合同标的交付甲方48小时前通知甲方准备接收。</w:t>
      </w:r>
    </w:p>
    <w:p w14:paraId="2074A892">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14.4 合同标的在交付甲方前发生的风险均由乙方负责。</w:t>
      </w:r>
    </w:p>
    <w:p w14:paraId="360274D8">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14.5 合同标的在规定的交付期限内由乙方送达甲方指定的地点视为交付，乙方同时需通知甲方已送达。</w:t>
      </w:r>
    </w:p>
    <w:p w14:paraId="20EC32CA">
      <w:pPr>
        <w:pStyle w:val="19"/>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cs="宋体"/>
          <w:b/>
          <w:color w:val="auto"/>
          <w:sz w:val="24"/>
          <w:szCs w:val="24"/>
          <w:highlight w:val="none"/>
        </w:rPr>
      </w:pPr>
      <w:r>
        <w:rPr>
          <w:rFonts w:cs="宋体"/>
          <w:b/>
          <w:color w:val="auto"/>
          <w:sz w:val="24"/>
          <w:szCs w:val="24"/>
          <w:highlight w:val="none"/>
        </w:rPr>
        <w:t>十五、违约责任</w:t>
      </w:r>
    </w:p>
    <w:p w14:paraId="400D9642">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15.1</w:t>
      </w:r>
      <w:r>
        <w:rPr>
          <w:rFonts w:hint="eastAsia" w:cs="宋体"/>
          <w:color w:val="auto"/>
          <w:sz w:val="24"/>
          <w:szCs w:val="24"/>
          <w:highlight w:val="none"/>
        </w:rPr>
        <w:t xml:space="preserve"> </w:t>
      </w:r>
      <w:r>
        <w:rPr>
          <w:rFonts w:cs="宋体"/>
          <w:color w:val="auto"/>
          <w:sz w:val="24"/>
          <w:szCs w:val="24"/>
          <w:highlight w:val="none"/>
        </w:rPr>
        <w:t>甲方无正当理由拒收的，甲方向乙方偿付拒收货款总值的百分之五违约金。</w:t>
      </w:r>
    </w:p>
    <w:p w14:paraId="042C1FAD">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15.2 甲方无故逾期验收和办理合同款支付手续的,甲方应按逾期付款总额每日万分之五向乙方支付违约金。</w:t>
      </w:r>
    </w:p>
    <w:p w14:paraId="25044F5C">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cs="宋体"/>
          <w:color w:val="auto"/>
          <w:sz w:val="24"/>
          <w:szCs w:val="24"/>
          <w:highlight w:val="none"/>
        </w:rPr>
      </w:pPr>
      <w:r>
        <w:rPr>
          <w:rFonts w:cs="宋体"/>
          <w:color w:val="auto"/>
          <w:sz w:val="24"/>
          <w:szCs w:val="24"/>
          <w:highlight w:val="none"/>
        </w:rPr>
        <w:t>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cs="宋体"/>
          <w:color w:val="auto"/>
          <w:sz w:val="24"/>
          <w:szCs w:val="24"/>
          <w:highlight w:val="none"/>
          <w:lang w:val="en-US" w:eastAsia="zh-CN"/>
        </w:rPr>
        <w:t>20</w:t>
      </w:r>
      <w:r>
        <w:rPr>
          <w:rFonts w:cs="宋体"/>
          <w:color w:val="auto"/>
          <w:sz w:val="24"/>
          <w:szCs w:val="24"/>
          <w:highlight w:val="none"/>
        </w:rPr>
        <w:t>%的违约金，如造成甲方损失超过违约金的，超出部分由乙方继续承担赔偿责任。</w:t>
      </w:r>
    </w:p>
    <w:p w14:paraId="5EC204C0">
      <w:pPr>
        <w:pStyle w:val="19"/>
        <w:spacing w:line="480" w:lineRule="exact"/>
        <w:ind w:firstLine="480"/>
        <w:jc w:val="left"/>
        <w:rPr>
          <w:rFonts w:cs="宋体"/>
          <w:color w:val="auto"/>
          <w:sz w:val="24"/>
          <w:szCs w:val="24"/>
          <w:highlight w:val="none"/>
        </w:rPr>
      </w:pPr>
      <w:r>
        <w:rPr>
          <w:rFonts w:cs="宋体"/>
          <w:color w:val="auto"/>
          <w:sz w:val="24"/>
          <w:szCs w:val="24"/>
          <w:highlight w:val="none"/>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06C62C3F">
      <w:pPr>
        <w:pStyle w:val="19"/>
        <w:spacing w:line="480" w:lineRule="exact"/>
        <w:ind w:firstLine="482"/>
        <w:jc w:val="left"/>
        <w:rPr>
          <w:rFonts w:cs="宋体"/>
          <w:b/>
          <w:color w:val="auto"/>
          <w:sz w:val="24"/>
          <w:szCs w:val="24"/>
          <w:highlight w:val="none"/>
        </w:rPr>
      </w:pPr>
      <w:r>
        <w:rPr>
          <w:rFonts w:cs="宋体"/>
          <w:b/>
          <w:color w:val="auto"/>
          <w:sz w:val="24"/>
          <w:szCs w:val="24"/>
          <w:highlight w:val="none"/>
        </w:rPr>
        <w:t>十六、不可抗力事件处理</w:t>
      </w:r>
    </w:p>
    <w:p w14:paraId="0335800F">
      <w:pPr>
        <w:pStyle w:val="19"/>
        <w:spacing w:line="480" w:lineRule="exact"/>
        <w:ind w:firstLine="480"/>
        <w:jc w:val="left"/>
        <w:rPr>
          <w:rFonts w:cs="宋体"/>
          <w:color w:val="auto"/>
          <w:sz w:val="24"/>
          <w:szCs w:val="24"/>
          <w:highlight w:val="none"/>
        </w:rPr>
      </w:pPr>
      <w:r>
        <w:rPr>
          <w:rFonts w:cs="宋体"/>
          <w:color w:val="auto"/>
          <w:sz w:val="24"/>
          <w:szCs w:val="24"/>
          <w:highlight w:val="none"/>
        </w:rPr>
        <w:t>16.1 在合同有效期内，任何一方因不可抗力事件导致不能履行合同，则合同履行期延长，其延长期与不可抗力影响期相同。</w:t>
      </w:r>
    </w:p>
    <w:p w14:paraId="7F406A4E">
      <w:pPr>
        <w:pStyle w:val="19"/>
        <w:spacing w:line="480" w:lineRule="exact"/>
        <w:ind w:firstLine="480"/>
        <w:jc w:val="left"/>
        <w:rPr>
          <w:rFonts w:cs="宋体"/>
          <w:color w:val="auto"/>
          <w:sz w:val="24"/>
          <w:szCs w:val="24"/>
          <w:highlight w:val="none"/>
        </w:rPr>
      </w:pPr>
      <w:r>
        <w:rPr>
          <w:rFonts w:cs="宋体"/>
          <w:color w:val="auto"/>
          <w:sz w:val="24"/>
          <w:szCs w:val="24"/>
          <w:highlight w:val="none"/>
        </w:rPr>
        <w:t>16.2 不可抗力事件发生后，应立即通知对方，并寄送有关权威机构出具的证明。</w:t>
      </w:r>
    </w:p>
    <w:p w14:paraId="2892482C">
      <w:pPr>
        <w:pStyle w:val="19"/>
        <w:spacing w:line="480" w:lineRule="exact"/>
        <w:ind w:firstLine="480"/>
        <w:jc w:val="left"/>
        <w:rPr>
          <w:rFonts w:cs="宋体"/>
          <w:color w:val="auto"/>
          <w:sz w:val="24"/>
          <w:szCs w:val="24"/>
          <w:highlight w:val="none"/>
        </w:rPr>
      </w:pPr>
      <w:r>
        <w:rPr>
          <w:rFonts w:cs="宋体"/>
          <w:color w:val="auto"/>
          <w:sz w:val="24"/>
          <w:szCs w:val="24"/>
          <w:highlight w:val="none"/>
        </w:rPr>
        <w:t>16.3</w:t>
      </w:r>
      <w:r>
        <w:rPr>
          <w:rFonts w:hint="eastAsia" w:cs="宋体"/>
          <w:color w:val="auto"/>
          <w:sz w:val="24"/>
          <w:szCs w:val="24"/>
          <w:highlight w:val="none"/>
        </w:rPr>
        <w:t xml:space="preserve"> </w:t>
      </w:r>
      <w:r>
        <w:rPr>
          <w:rFonts w:cs="宋体"/>
          <w:color w:val="auto"/>
          <w:sz w:val="24"/>
          <w:szCs w:val="24"/>
          <w:highlight w:val="none"/>
        </w:rPr>
        <w:t>不可抗力事件延续120天以上，双方应通过友好协商，确定是否继续履行合同。</w:t>
      </w:r>
    </w:p>
    <w:p w14:paraId="779F2B86">
      <w:pPr>
        <w:pStyle w:val="19"/>
        <w:spacing w:line="480" w:lineRule="exact"/>
        <w:ind w:firstLine="482"/>
        <w:jc w:val="left"/>
        <w:rPr>
          <w:rFonts w:cs="宋体"/>
          <w:b/>
          <w:color w:val="auto"/>
          <w:sz w:val="24"/>
          <w:szCs w:val="24"/>
          <w:highlight w:val="none"/>
        </w:rPr>
      </w:pPr>
      <w:r>
        <w:rPr>
          <w:rFonts w:cs="宋体"/>
          <w:b/>
          <w:color w:val="auto"/>
          <w:sz w:val="24"/>
          <w:szCs w:val="24"/>
          <w:highlight w:val="none"/>
        </w:rPr>
        <w:t>十七、争议解决</w:t>
      </w:r>
    </w:p>
    <w:p w14:paraId="498C3F19">
      <w:pPr>
        <w:pStyle w:val="19"/>
        <w:spacing w:line="480" w:lineRule="exact"/>
        <w:ind w:firstLine="480"/>
        <w:jc w:val="left"/>
        <w:rPr>
          <w:rFonts w:cs="宋体"/>
          <w:color w:val="auto"/>
          <w:sz w:val="24"/>
          <w:szCs w:val="24"/>
          <w:highlight w:val="none"/>
        </w:rPr>
      </w:pPr>
      <w:r>
        <w:rPr>
          <w:rFonts w:cs="宋体"/>
          <w:color w:val="auto"/>
          <w:sz w:val="24"/>
          <w:szCs w:val="24"/>
          <w:highlight w:val="none"/>
        </w:rPr>
        <w:t>17.1</w:t>
      </w:r>
      <w:r>
        <w:rPr>
          <w:rFonts w:hint="eastAsia" w:cs="宋体"/>
          <w:color w:val="auto"/>
          <w:sz w:val="24"/>
          <w:szCs w:val="24"/>
          <w:highlight w:val="none"/>
        </w:rPr>
        <w:t xml:space="preserve"> </w:t>
      </w:r>
      <w:r>
        <w:rPr>
          <w:rFonts w:cs="宋体"/>
          <w:color w:val="auto"/>
          <w:sz w:val="24"/>
          <w:szCs w:val="24"/>
          <w:highlight w:val="none"/>
        </w:rPr>
        <w:t>双方在执行合同中所发生的一切争议，应通过协商解决。如协商不成，可向</w:t>
      </w:r>
      <w:r>
        <w:rPr>
          <w:rFonts w:hint="eastAsia" w:cs="宋体"/>
          <w:color w:val="auto"/>
          <w:sz w:val="24"/>
          <w:szCs w:val="24"/>
          <w:highlight w:val="none"/>
        </w:rPr>
        <w:t>连云港市海州区人民</w:t>
      </w:r>
      <w:r>
        <w:rPr>
          <w:rFonts w:cs="宋体"/>
          <w:color w:val="auto"/>
          <w:sz w:val="24"/>
          <w:szCs w:val="24"/>
          <w:highlight w:val="none"/>
        </w:rPr>
        <w:t>法院起诉。</w:t>
      </w:r>
    </w:p>
    <w:p w14:paraId="75FFFB4A">
      <w:pPr>
        <w:pStyle w:val="19"/>
        <w:spacing w:line="480" w:lineRule="exact"/>
        <w:ind w:firstLine="482"/>
        <w:jc w:val="left"/>
        <w:rPr>
          <w:rFonts w:cs="宋体"/>
          <w:b/>
          <w:color w:val="auto"/>
          <w:sz w:val="24"/>
          <w:szCs w:val="24"/>
          <w:highlight w:val="none"/>
        </w:rPr>
      </w:pPr>
      <w:r>
        <w:rPr>
          <w:rFonts w:cs="宋体"/>
          <w:b/>
          <w:color w:val="auto"/>
          <w:sz w:val="24"/>
          <w:szCs w:val="24"/>
          <w:highlight w:val="none"/>
        </w:rPr>
        <w:t>十八、合同生效及其它</w:t>
      </w:r>
    </w:p>
    <w:p w14:paraId="27E5E254">
      <w:pPr>
        <w:pStyle w:val="19"/>
        <w:spacing w:line="480" w:lineRule="exact"/>
        <w:ind w:firstLine="480"/>
        <w:jc w:val="left"/>
        <w:rPr>
          <w:rFonts w:cs="宋体"/>
          <w:color w:val="auto"/>
          <w:sz w:val="24"/>
          <w:szCs w:val="24"/>
          <w:highlight w:val="none"/>
        </w:rPr>
      </w:pPr>
      <w:r>
        <w:rPr>
          <w:rFonts w:cs="宋体"/>
          <w:color w:val="auto"/>
          <w:sz w:val="24"/>
          <w:szCs w:val="24"/>
          <w:highlight w:val="none"/>
        </w:rPr>
        <w:t>18.1</w:t>
      </w:r>
      <w:r>
        <w:rPr>
          <w:rFonts w:hint="eastAsia" w:cs="宋体"/>
          <w:color w:val="auto"/>
          <w:sz w:val="24"/>
          <w:szCs w:val="24"/>
          <w:highlight w:val="none"/>
        </w:rPr>
        <w:t xml:space="preserve"> </w:t>
      </w:r>
      <w:r>
        <w:rPr>
          <w:rFonts w:cs="宋体"/>
          <w:color w:val="auto"/>
          <w:sz w:val="24"/>
          <w:szCs w:val="24"/>
          <w:highlight w:val="none"/>
        </w:rPr>
        <w:t>合同经双方法定代表人或委托代理人签字并加盖单位公章后生效。</w:t>
      </w:r>
    </w:p>
    <w:p w14:paraId="7E880E7F">
      <w:pPr>
        <w:pStyle w:val="19"/>
        <w:spacing w:line="480" w:lineRule="exact"/>
        <w:ind w:firstLine="480"/>
        <w:jc w:val="left"/>
        <w:rPr>
          <w:rFonts w:cs="宋体"/>
          <w:color w:val="auto"/>
          <w:sz w:val="24"/>
          <w:szCs w:val="24"/>
          <w:highlight w:val="none"/>
        </w:rPr>
      </w:pPr>
      <w:r>
        <w:rPr>
          <w:rFonts w:cs="宋体"/>
          <w:color w:val="auto"/>
          <w:sz w:val="24"/>
          <w:szCs w:val="24"/>
          <w:highlight w:val="none"/>
        </w:rPr>
        <w:t>18.2</w:t>
      </w:r>
      <w:r>
        <w:rPr>
          <w:rFonts w:hint="eastAsia" w:cs="宋体"/>
          <w:color w:val="auto"/>
          <w:sz w:val="24"/>
          <w:szCs w:val="24"/>
          <w:highlight w:val="none"/>
        </w:rPr>
        <w:t xml:space="preserve"> </w:t>
      </w:r>
      <w:r>
        <w:rPr>
          <w:rFonts w:cs="宋体"/>
          <w:color w:val="auto"/>
          <w:sz w:val="24"/>
          <w:szCs w:val="24"/>
          <w:highlight w:val="none"/>
        </w:rPr>
        <w:t>本合同未尽事宜，遵照《</w:t>
      </w:r>
      <w:r>
        <w:rPr>
          <w:rFonts w:hint="eastAsia" w:cs="宋体"/>
          <w:color w:val="auto"/>
          <w:sz w:val="24"/>
          <w:szCs w:val="24"/>
          <w:highlight w:val="none"/>
        </w:rPr>
        <w:t>中华人民共和国民法典</w:t>
      </w:r>
      <w:r>
        <w:rPr>
          <w:rFonts w:cs="宋体"/>
          <w:color w:val="auto"/>
          <w:sz w:val="24"/>
          <w:szCs w:val="24"/>
          <w:highlight w:val="none"/>
        </w:rPr>
        <w:t>》有关条文执行。</w:t>
      </w:r>
    </w:p>
    <w:p w14:paraId="005589C4">
      <w:pPr>
        <w:pStyle w:val="19"/>
        <w:spacing w:line="480" w:lineRule="exact"/>
        <w:ind w:firstLine="480"/>
        <w:jc w:val="left"/>
        <w:rPr>
          <w:rFonts w:cs="宋体"/>
          <w:color w:val="auto"/>
          <w:sz w:val="24"/>
          <w:szCs w:val="24"/>
          <w:highlight w:val="none"/>
        </w:rPr>
      </w:pPr>
      <w:r>
        <w:rPr>
          <w:rFonts w:cs="宋体"/>
          <w:color w:val="auto"/>
          <w:sz w:val="24"/>
          <w:szCs w:val="24"/>
          <w:highlight w:val="none"/>
        </w:rPr>
        <w:t>18.3 本合同正本一式四份，具有同等法律效力，甲方、乙方、备案方及财政监管部门各执一份。</w:t>
      </w:r>
    </w:p>
    <w:p w14:paraId="3B278D00">
      <w:pPr>
        <w:pStyle w:val="19"/>
        <w:spacing w:line="480" w:lineRule="exact"/>
        <w:ind w:firstLine="480"/>
        <w:jc w:val="left"/>
        <w:rPr>
          <w:rFonts w:cs="宋体"/>
          <w:color w:val="auto"/>
          <w:sz w:val="24"/>
          <w:szCs w:val="24"/>
          <w:highlight w:val="none"/>
        </w:rPr>
      </w:pPr>
      <w:r>
        <w:rPr>
          <w:rFonts w:hint="eastAsia" w:cs="宋体"/>
          <w:color w:val="auto"/>
          <w:sz w:val="24"/>
          <w:szCs w:val="24"/>
          <w:highlight w:val="none"/>
        </w:rPr>
        <w:t xml:space="preserve">甲方：                                  乙方：                     </w:t>
      </w:r>
    </w:p>
    <w:p w14:paraId="34D0F3A7">
      <w:pPr>
        <w:pStyle w:val="19"/>
        <w:spacing w:line="480" w:lineRule="exact"/>
        <w:ind w:firstLine="480"/>
        <w:jc w:val="left"/>
        <w:rPr>
          <w:rFonts w:cs="宋体"/>
          <w:color w:val="auto"/>
          <w:sz w:val="24"/>
          <w:szCs w:val="24"/>
          <w:highlight w:val="none"/>
        </w:rPr>
      </w:pPr>
      <w:r>
        <w:rPr>
          <w:rFonts w:cs="宋体"/>
          <w:color w:val="auto"/>
          <w:sz w:val="24"/>
          <w:szCs w:val="24"/>
          <w:highlight w:val="none"/>
        </w:rPr>
        <w:t xml:space="preserve">地址：                                  地址：                     </w:t>
      </w:r>
    </w:p>
    <w:p w14:paraId="6B25AE0E">
      <w:pPr>
        <w:pStyle w:val="19"/>
        <w:spacing w:line="480" w:lineRule="exact"/>
        <w:ind w:firstLine="480"/>
        <w:jc w:val="left"/>
        <w:rPr>
          <w:rFonts w:cs="宋体"/>
          <w:color w:val="auto"/>
          <w:sz w:val="24"/>
          <w:szCs w:val="24"/>
          <w:highlight w:val="none"/>
        </w:rPr>
      </w:pPr>
      <w:r>
        <w:rPr>
          <w:rFonts w:hint="eastAsia" w:cs="宋体"/>
          <w:color w:val="auto"/>
          <w:sz w:val="24"/>
          <w:szCs w:val="24"/>
          <w:highlight w:val="none"/>
        </w:rPr>
        <w:t xml:space="preserve">法定代表人：                            法定代表人：               </w:t>
      </w:r>
    </w:p>
    <w:p w14:paraId="797A2CD2">
      <w:pPr>
        <w:pStyle w:val="19"/>
        <w:spacing w:line="480" w:lineRule="exact"/>
        <w:ind w:firstLine="480"/>
        <w:jc w:val="left"/>
        <w:rPr>
          <w:rFonts w:cs="宋体"/>
          <w:color w:val="auto"/>
          <w:sz w:val="24"/>
          <w:szCs w:val="24"/>
          <w:highlight w:val="none"/>
        </w:rPr>
      </w:pPr>
      <w:r>
        <w:rPr>
          <w:rFonts w:hint="eastAsia" w:cs="宋体"/>
          <w:color w:val="auto"/>
          <w:sz w:val="24"/>
          <w:szCs w:val="24"/>
          <w:highlight w:val="none"/>
        </w:rPr>
        <w:t xml:space="preserve">委托代理人：                            委托代理人：           </w:t>
      </w:r>
    </w:p>
    <w:p w14:paraId="085BD27A">
      <w:pPr>
        <w:pStyle w:val="19"/>
        <w:spacing w:line="480" w:lineRule="exact"/>
        <w:ind w:firstLine="480"/>
        <w:jc w:val="left"/>
        <w:rPr>
          <w:rFonts w:cs="宋体"/>
          <w:color w:val="auto"/>
          <w:sz w:val="24"/>
          <w:szCs w:val="24"/>
          <w:highlight w:val="none"/>
        </w:rPr>
      </w:pPr>
      <w:r>
        <w:rPr>
          <w:rFonts w:hint="eastAsia" w:cs="宋体"/>
          <w:color w:val="auto"/>
          <w:sz w:val="24"/>
          <w:szCs w:val="24"/>
          <w:highlight w:val="none"/>
        </w:rPr>
        <w:t xml:space="preserve">电话：                                  电话：                     </w:t>
      </w:r>
    </w:p>
    <w:p w14:paraId="095AA671">
      <w:pPr>
        <w:pStyle w:val="19"/>
        <w:spacing w:line="480" w:lineRule="exact"/>
        <w:ind w:firstLine="480"/>
        <w:jc w:val="left"/>
        <w:rPr>
          <w:rFonts w:hint="eastAsia" w:cs="宋体"/>
          <w:color w:val="auto"/>
          <w:sz w:val="24"/>
          <w:szCs w:val="24"/>
          <w:highlight w:val="none"/>
        </w:rPr>
      </w:pPr>
      <w:r>
        <w:rPr>
          <w:rFonts w:hint="eastAsia" w:cs="宋体"/>
          <w:color w:val="auto"/>
          <w:sz w:val="24"/>
          <w:szCs w:val="24"/>
          <w:highlight w:val="none"/>
        </w:rPr>
        <w:t>传真：                                  传真：</w:t>
      </w:r>
    </w:p>
    <w:p w14:paraId="575FE68E">
      <w:pPr>
        <w:pStyle w:val="19"/>
        <w:spacing w:line="480" w:lineRule="exact"/>
        <w:ind w:firstLine="480"/>
        <w:jc w:val="left"/>
        <w:rPr>
          <w:rFonts w:cs="宋体"/>
          <w:color w:val="auto"/>
          <w:sz w:val="24"/>
          <w:szCs w:val="24"/>
          <w:highlight w:val="none"/>
        </w:rPr>
      </w:pPr>
      <w:r>
        <w:rPr>
          <w:rFonts w:hint="eastAsia" w:cs="宋体"/>
          <w:color w:val="auto"/>
          <w:sz w:val="24"/>
          <w:szCs w:val="24"/>
          <w:highlight w:val="none"/>
        </w:rPr>
        <w:t xml:space="preserve">                     </w:t>
      </w:r>
    </w:p>
    <w:p w14:paraId="6685FB89">
      <w:pPr>
        <w:pStyle w:val="19"/>
        <w:spacing w:line="480" w:lineRule="exact"/>
        <w:ind w:firstLine="480"/>
        <w:jc w:val="center"/>
        <w:rPr>
          <w:rFonts w:cs="宋体"/>
          <w:color w:val="auto"/>
          <w:sz w:val="24"/>
          <w:szCs w:val="24"/>
          <w:highlight w:val="none"/>
        </w:rPr>
      </w:pPr>
      <w:r>
        <w:rPr>
          <w:rFonts w:cs="宋体"/>
          <w:color w:val="auto"/>
          <w:sz w:val="24"/>
          <w:szCs w:val="24"/>
          <w:highlight w:val="none"/>
        </w:rPr>
        <w:t>签订日期：      年  月  日</w:t>
      </w:r>
    </w:p>
    <w:p w14:paraId="3A4A0307">
      <w:pPr>
        <w:spacing w:line="560" w:lineRule="exact"/>
        <w:ind w:firstLine="480"/>
        <w:jc w:val="left"/>
        <w:rPr>
          <w:rFonts w:ascii="宋体" w:hAnsi="宋体" w:cs="宋体"/>
          <w:color w:val="auto"/>
          <w:sz w:val="24"/>
          <w:szCs w:val="24"/>
          <w:highlight w:val="none"/>
        </w:rPr>
      </w:pPr>
    </w:p>
    <w:p w14:paraId="6E8D8F80">
      <w:pPr>
        <w:pStyle w:val="19"/>
        <w:spacing w:line="560" w:lineRule="exact"/>
        <w:ind w:firstLine="480"/>
        <w:jc w:val="left"/>
        <w:rPr>
          <w:rFonts w:hAnsi="宋体" w:cs="宋体"/>
          <w:color w:val="auto"/>
          <w:sz w:val="24"/>
          <w:szCs w:val="24"/>
          <w:highlight w:val="none"/>
        </w:rPr>
      </w:pPr>
      <w:r>
        <w:rPr>
          <w:rFonts w:hint="eastAsia" w:hAnsi="宋体" w:cs="宋体"/>
          <w:color w:val="auto"/>
          <w:sz w:val="30"/>
          <w:szCs w:val="30"/>
          <w:highlight w:val="none"/>
        </w:rPr>
        <w:t>注：此合同格式仅供参考，具体以签订合同为准</w:t>
      </w:r>
      <w:r>
        <w:rPr>
          <w:rFonts w:hint="eastAsia" w:hAnsi="宋体" w:cs="宋体"/>
          <w:color w:val="auto"/>
          <w:sz w:val="24"/>
          <w:szCs w:val="24"/>
          <w:highlight w:val="none"/>
        </w:rPr>
        <w:t xml:space="preserve">   </w:t>
      </w:r>
    </w:p>
    <w:p w14:paraId="4FC62D80">
      <w:pPr>
        <w:pStyle w:val="250"/>
        <w:spacing w:before="120" w:after="120" w:line="0" w:lineRule="atLeast"/>
        <w:jc w:val="center"/>
        <w:outlineLvl w:val="0"/>
        <w:rPr>
          <w:rFonts w:hAnsi="宋体" w:cs="宋体"/>
          <w:color w:val="auto"/>
          <w:sz w:val="24"/>
          <w:szCs w:val="24"/>
          <w:highlight w:val="none"/>
        </w:rPr>
      </w:pPr>
      <w:r>
        <w:rPr>
          <w:rFonts w:hint="eastAsia" w:hAnsi="宋体" w:cs="宋体"/>
          <w:color w:val="auto"/>
          <w:sz w:val="44"/>
          <w:highlight w:val="none"/>
        </w:rPr>
        <w:br w:type="page" w:clear="all"/>
      </w:r>
      <w:bookmarkStart w:id="256" w:name="_Toc6127"/>
      <w:r>
        <w:rPr>
          <w:rFonts w:hint="eastAsia" w:hAnsi="宋体" w:cs="宋体"/>
          <w:color w:val="auto"/>
          <w:sz w:val="44"/>
          <w:szCs w:val="44"/>
          <w:highlight w:val="none"/>
        </w:rPr>
        <w:t>第</w:t>
      </w:r>
      <w:bookmarkEnd w:id="250"/>
      <w:r>
        <w:rPr>
          <w:rFonts w:hint="eastAsia" w:hAnsi="宋体" w:cs="宋体"/>
          <w:color w:val="auto"/>
          <w:sz w:val="44"/>
          <w:szCs w:val="44"/>
          <w:highlight w:val="none"/>
        </w:rPr>
        <w:t>四章  采购需求</w:t>
      </w:r>
      <w:bookmarkEnd w:id="251"/>
      <w:bookmarkEnd w:id="252"/>
      <w:bookmarkEnd w:id="253"/>
      <w:bookmarkEnd w:id="256"/>
    </w:p>
    <w:p w14:paraId="71E3B8C3">
      <w:pPr>
        <w:spacing w:line="480" w:lineRule="exact"/>
        <w:ind w:firstLine="560" w:firstLineChars="200"/>
        <w:jc w:val="left"/>
        <w:rPr>
          <w:rFonts w:hint="eastAsia" w:ascii="宋体" w:hAnsi="宋体" w:cs="宋体"/>
          <w:color w:val="auto"/>
          <w:sz w:val="24"/>
          <w:szCs w:val="24"/>
          <w:highlight w:val="none"/>
        </w:rPr>
      </w:pPr>
      <w:bookmarkStart w:id="257" w:name="_Toc3139"/>
      <w:bookmarkStart w:id="258" w:name="_Toc120614281"/>
      <w:bookmarkStart w:id="259" w:name="_Toc49090575"/>
      <w:bookmarkStart w:id="260" w:name="_Toc26554093"/>
      <w:r>
        <w:rPr>
          <w:rFonts w:hint="eastAsia" w:ascii="宋体" w:hAnsi="宋体" w:cs="宋体"/>
          <w:color w:val="auto"/>
          <w:sz w:val="28"/>
          <w:szCs w:val="24"/>
          <w:highlight w:val="none"/>
        </w:rPr>
        <w:t>说明：</w:t>
      </w:r>
      <w:r>
        <w:rPr>
          <w:rFonts w:hint="eastAsia" w:ascii="宋体" w:hAnsi="宋体" w:cs="宋体"/>
          <w:color w:val="auto"/>
          <w:sz w:val="24"/>
          <w:szCs w:val="24"/>
          <w:highlight w:val="none"/>
        </w:rPr>
        <w:t>本项目采购方式为公开招标，项目属性为服务，采购标的对应的中小企业划分标准所属行业为</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租赁和商务服务业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49B83639">
      <w:pPr>
        <w:spacing w:line="48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本章中标注★的款项为实质性要求和条件，投标人必须对实质性要求和条件逐条作出明确响应，否则按无效响应处理。</w:t>
      </w:r>
    </w:p>
    <w:p w14:paraId="79BA6091">
      <w:pPr>
        <w:spacing w:line="480" w:lineRule="exact"/>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w:t>
      </w:r>
      <w:r>
        <w:rPr>
          <w:rFonts w:hint="eastAsia" w:ascii="宋体" w:hAnsi="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en-US" w:eastAsia="zh-CN"/>
        </w:rPr>
        <w:t>项目概况</w:t>
      </w:r>
    </w:p>
    <w:p w14:paraId="36882FBB">
      <w:pPr>
        <w:pStyle w:val="347"/>
        <w:keepNext w:val="0"/>
        <w:keepLines w:val="0"/>
        <w:pageBreakBefore w:val="0"/>
        <w:widowControl/>
        <w:kinsoku/>
        <w:wordWrap/>
        <w:overflowPunct/>
        <w:topLinePunct w:val="0"/>
        <w:autoSpaceDE/>
        <w:autoSpaceDN/>
        <w:bidi w:val="0"/>
        <w:adjustRightInd/>
        <w:snapToGrid/>
        <w:spacing w:before="120" w:after="120" w:line="480" w:lineRule="exact"/>
        <w:ind w:firstLine="482"/>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在“新教材、新课程、新高考”背景下，为全面贯彻党的教育方针，提高学生的综合能力和核心素养，加快拔尖人才的培养，突出结果导向，旨在通过专家名师沉浸式培训和示范引领，以及对新海高级中学拔尖创新人才培养的全过程进行指导，帮助学校培养一批拔尖创新人才，具体包括为</w:t>
      </w:r>
      <w:r>
        <w:rPr>
          <w:rFonts w:hint="eastAsia" w:ascii="宋体" w:hAnsi="宋体" w:cs="宋体"/>
          <w:color w:val="auto"/>
          <w:sz w:val="24"/>
          <w:szCs w:val="24"/>
          <w:highlight w:val="none"/>
          <w:lang w:val="en-US" w:eastAsia="zh-CN"/>
        </w:rPr>
        <w:t>高二升高三学子</w:t>
      </w:r>
      <w:r>
        <w:rPr>
          <w:rFonts w:hint="eastAsia" w:ascii="宋体" w:hAnsi="宋体" w:eastAsia="宋体" w:cs="宋体"/>
          <w:color w:val="auto"/>
          <w:sz w:val="24"/>
          <w:szCs w:val="24"/>
          <w:highlight w:val="none"/>
          <w:lang w:val="en-US" w:eastAsia="zh-CN"/>
        </w:rPr>
        <w:t>学子展开四大板块内容服务，分别为学业质量提升、强基综评全流程服务、名校经验技巧交流分享与拔尖创新人才训练，大幅提升拔尖创新人才综合素养。</w:t>
      </w:r>
    </w:p>
    <w:p w14:paraId="0D91BF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供应商需接受采购人的要求，向采购人提供培训课程服务，与学校共同研究制定培训计划，派遣有教学经验的</w:t>
      </w:r>
      <w:r>
        <w:rPr>
          <w:rFonts w:hint="eastAsia" w:ascii="宋体" w:hAnsi="宋体" w:cs="宋体"/>
          <w:color w:val="auto"/>
          <w:sz w:val="24"/>
          <w:szCs w:val="24"/>
          <w:highlight w:val="none"/>
          <w:lang w:val="en-US" w:eastAsia="zh-CN"/>
        </w:rPr>
        <w:t>优秀教研</w:t>
      </w:r>
      <w:r>
        <w:rPr>
          <w:rFonts w:hint="eastAsia" w:ascii="宋体" w:hAnsi="宋体" w:eastAsia="宋体" w:cs="宋体"/>
          <w:color w:val="auto"/>
          <w:sz w:val="24"/>
          <w:szCs w:val="24"/>
          <w:highlight w:val="none"/>
          <w:lang w:val="en-US" w:eastAsia="zh-CN"/>
        </w:rPr>
        <w:t>人员配合学校进行线下课程培训。供应商须对所报内容全部响应。</w:t>
      </w:r>
    </w:p>
    <w:p w14:paraId="56BFF387">
      <w:pPr>
        <w:spacing w:line="480" w:lineRule="exact"/>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二、项目预期目标</w:t>
      </w:r>
    </w:p>
    <w:p w14:paraId="0998D0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为切实提高人才自主培养质量，着力造就拔尖创新人才，面向新海高级中学高</w:t>
      </w:r>
      <w:r>
        <w:rPr>
          <w:rFonts w:hint="eastAsia" w:ascii="宋体" w:hAnsi="宋体" w:cs="宋体"/>
          <w:color w:val="auto"/>
          <w:sz w:val="24"/>
          <w:szCs w:val="24"/>
          <w:highlight w:val="none"/>
          <w:lang w:val="en-US" w:eastAsia="zh-CN"/>
        </w:rPr>
        <w:t>二升高</w:t>
      </w:r>
      <w:r>
        <w:rPr>
          <w:rFonts w:hint="eastAsia" w:ascii="宋体" w:hAnsi="宋体" w:eastAsia="宋体" w:cs="宋体"/>
          <w:color w:val="auto"/>
          <w:sz w:val="24"/>
          <w:szCs w:val="24"/>
          <w:highlight w:val="none"/>
          <w:lang w:val="en-US" w:eastAsia="zh-CN"/>
        </w:rPr>
        <w:t>三优尖生，实施“高考冲刺+</w:t>
      </w:r>
      <w:r>
        <w:rPr>
          <w:rFonts w:hint="eastAsia" w:ascii="宋体" w:hAnsi="宋体" w:cs="宋体"/>
          <w:color w:val="auto"/>
          <w:sz w:val="24"/>
          <w:szCs w:val="24"/>
          <w:highlight w:val="none"/>
          <w:lang w:val="en-US" w:eastAsia="zh-CN"/>
        </w:rPr>
        <w:t>国内顶尖名校</w:t>
      </w:r>
      <w:r>
        <w:rPr>
          <w:rFonts w:hint="eastAsia" w:ascii="宋体" w:hAnsi="宋体" w:eastAsia="宋体" w:cs="宋体"/>
          <w:color w:val="auto"/>
          <w:sz w:val="24"/>
          <w:szCs w:val="24"/>
          <w:highlight w:val="none"/>
          <w:lang w:val="en-US" w:eastAsia="zh-CN"/>
        </w:rPr>
        <w:t>强基”一体化培优计划。课程紧扣新高考“考主干、考能力、考素养、重思维、重创新、重应用”的命题方向，聚焦各学科难点痛点，邀请命题高考专家、奥赛</w:t>
      </w:r>
      <w:r>
        <w:rPr>
          <w:rFonts w:hint="eastAsia" w:ascii="宋体" w:hAnsi="宋体" w:cs="宋体"/>
          <w:color w:val="auto"/>
          <w:sz w:val="24"/>
          <w:szCs w:val="24"/>
          <w:highlight w:val="none"/>
          <w:lang w:val="en-US" w:eastAsia="zh-CN"/>
        </w:rPr>
        <w:t>优秀</w:t>
      </w:r>
      <w:r>
        <w:rPr>
          <w:rFonts w:hint="eastAsia" w:ascii="宋体" w:hAnsi="宋体" w:eastAsia="宋体" w:cs="宋体"/>
          <w:color w:val="auto"/>
          <w:sz w:val="24"/>
          <w:szCs w:val="24"/>
          <w:highlight w:val="none"/>
          <w:lang w:val="en-US" w:eastAsia="zh-CN"/>
        </w:rPr>
        <w:t>教练及</w:t>
      </w:r>
      <w:r>
        <w:rPr>
          <w:rFonts w:hint="eastAsia" w:ascii="宋体" w:hAnsi="宋体" w:cs="宋体"/>
          <w:color w:val="auto"/>
          <w:sz w:val="24"/>
          <w:szCs w:val="24"/>
          <w:highlight w:val="none"/>
          <w:lang w:val="en-US" w:eastAsia="zh-CN"/>
        </w:rPr>
        <w:t>优秀高考教研人员</w:t>
      </w:r>
      <w:r>
        <w:rPr>
          <w:rFonts w:hint="eastAsia" w:ascii="宋体" w:hAnsi="宋体" w:eastAsia="宋体" w:cs="宋体"/>
          <w:color w:val="auto"/>
          <w:sz w:val="24"/>
          <w:szCs w:val="24"/>
          <w:highlight w:val="none"/>
          <w:lang w:val="en-US" w:eastAsia="zh-CN"/>
        </w:rPr>
        <w:t>开展模块化集训与答疑，帮助学生在夯实学科基础的同时提升思维品质、创新能力及综合素养，为国家选拔拔尖创新人才奠定坚实基础。</w:t>
      </w:r>
    </w:p>
    <w:p w14:paraId="4064C38D">
      <w:pPr>
        <w:spacing w:line="480" w:lineRule="exact"/>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三、项目要求</w:t>
      </w:r>
    </w:p>
    <w:p w14:paraId="0328DE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制定培训计划。供应商应根据采购人指定的学校下达的培训任务类别、专业和任务数量，精心编制培训计划，按计划实施，确保培训人数、培训时间、培训内容落到实处。针对不同特质学生，制定针对性强的培养计划。计划包括作业批改、个性化升学规划、专属答疑、高考及校考的考前辅导、阶段性成绩的分析及建议等，须为</w:t>
      </w:r>
      <w:r>
        <w:rPr>
          <w:rFonts w:hint="eastAsia" w:ascii="宋体" w:hAnsi="宋体" w:cs="宋体"/>
          <w:color w:val="auto"/>
          <w:sz w:val="24"/>
          <w:szCs w:val="24"/>
          <w:highlight w:val="none"/>
          <w:lang w:val="en-US" w:eastAsia="zh-CN"/>
        </w:rPr>
        <w:t>参加培训的每一位</w:t>
      </w:r>
      <w:r>
        <w:rPr>
          <w:rFonts w:hint="eastAsia" w:ascii="宋体" w:hAnsi="宋体" w:eastAsia="宋体" w:cs="宋体"/>
          <w:color w:val="auto"/>
          <w:sz w:val="24"/>
          <w:szCs w:val="24"/>
          <w:highlight w:val="none"/>
          <w:lang w:val="en-US" w:eastAsia="zh-CN"/>
        </w:rPr>
        <w:t>学员分别建档编排，以便对应实施培训计划，确保优质服务、优质教学。</w:t>
      </w:r>
    </w:p>
    <w:p w14:paraId="708BF4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.遴选培训师资。供应商应聘请相关方面的专业人员，具有丰富</w:t>
      </w:r>
      <w:r>
        <w:rPr>
          <w:rFonts w:hint="eastAsia" w:ascii="宋体" w:hAnsi="宋体" w:cs="宋体"/>
          <w:color w:val="auto"/>
          <w:sz w:val="24"/>
          <w:szCs w:val="24"/>
          <w:highlight w:val="none"/>
          <w:lang w:val="en-US" w:eastAsia="zh-CN"/>
        </w:rPr>
        <w:t>教学</w:t>
      </w:r>
      <w:r>
        <w:rPr>
          <w:rFonts w:hint="eastAsia" w:ascii="宋体" w:hAnsi="宋体" w:eastAsia="宋体" w:cs="宋体"/>
          <w:color w:val="auto"/>
          <w:sz w:val="24"/>
          <w:szCs w:val="24"/>
          <w:highlight w:val="none"/>
          <w:lang w:val="en-US" w:eastAsia="zh-CN"/>
        </w:rPr>
        <w:t>实践经验的培训教师，教学团队中至少有5人有全日制大学本科</w:t>
      </w:r>
      <w:r>
        <w:rPr>
          <w:rFonts w:hint="eastAsia" w:ascii="宋体" w:hAnsi="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en-US" w:eastAsia="zh-CN"/>
        </w:rPr>
        <w:t>学历，以提高派遣到学校实施课程服务教师的质量。</w:t>
      </w:r>
    </w:p>
    <w:p w14:paraId="70B292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.研发专属课程。供应商须研发设计专属于高三拔尖创新人才培养的课程。课程内容设计必须符合拔尖创新人才培养要求，契合普通高考</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顶尖名校校测要求</w:t>
      </w:r>
      <w:r>
        <w:rPr>
          <w:rFonts w:hint="eastAsia" w:ascii="宋体" w:hAnsi="宋体" w:cs="宋体"/>
          <w:color w:val="auto"/>
          <w:sz w:val="24"/>
          <w:szCs w:val="24"/>
          <w:highlight w:val="none"/>
          <w:lang w:val="en-US" w:eastAsia="zh-CN"/>
        </w:rPr>
        <w:t>和学科竞赛辅导等</w:t>
      </w:r>
      <w:r>
        <w:rPr>
          <w:rFonts w:hint="eastAsia" w:ascii="宋体" w:hAnsi="宋体" w:eastAsia="宋体" w:cs="宋体"/>
          <w:color w:val="auto"/>
          <w:sz w:val="24"/>
          <w:szCs w:val="24"/>
          <w:highlight w:val="none"/>
          <w:lang w:val="en-US" w:eastAsia="zh-CN"/>
        </w:rPr>
        <w:t>，包括国内顶尖名校强基校考笔试及面试科目、高考相关学科培优课程等。供应商要能提供完整的课程内容目录、课程讲义、配套的作业讲义以及作业答案等。</w:t>
      </w:r>
    </w:p>
    <w:p w14:paraId="3FE973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.精准实施教学。</w:t>
      </w:r>
    </w:p>
    <w:p w14:paraId="093ECA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（1）教学实施：供应商需接受学校委托，负责对所选拔出的尖优学生按计划组织实施培训，分类开展教学。在课程实施过程中，须利用</w:t>
      </w:r>
      <w:r>
        <w:rPr>
          <w:rFonts w:hint="eastAsia" w:ascii="宋体" w:hAnsi="宋体" w:cs="宋体"/>
          <w:color w:val="auto"/>
          <w:sz w:val="24"/>
          <w:szCs w:val="24"/>
          <w:highlight w:val="none"/>
          <w:lang w:val="en-US" w:eastAsia="zh-CN"/>
        </w:rPr>
        <w:t>现代化教学</w:t>
      </w:r>
      <w:r>
        <w:rPr>
          <w:rFonts w:hint="eastAsia" w:ascii="宋体" w:hAnsi="宋体" w:eastAsia="宋体" w:cs="宋体"/>
          <w:color w:val="auto"/>
          <w:sz w:val="24"/>
          <w:szCs w:val="24"/>
          <w:highlight w:val="none"/>
          <w:lang w:val="en-US" w:eastAsia="zh-CN"/>
        </w:rPr>
        <w:t>信息技术手段，提供可视化数据报告以及阶段性运营报告，保障项目落地过程适合高三尖优学生的需求和特点，做到精准教学，优质服务。</w:t>
      </w:r>
    </w:p>
    <w:p w14:paraId="399418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（2）教学方式：供应商应采用</w:t>
      </w:r>
      <w:r>
        <w:rPr>
          <w:rFonts w:hint="eastAsia" w:ascii="宋体" w:hAnsi="宋体" w:cs="宋体"/>
          <w:color w:val="auto"/>
          <w:sz w:val="24"/>
          <w:szCs w:val="24"/>
          <w:highlight w:val="none"/>
          <w:lang w:val="en-US" w:eastAsia="zh-CN"/>
        </w:rPr>
        <w:t>线下</w:t>
      </w:r>
      <w:r>
        <w:rPr>
          <w:rFonts w:hint="eastAsia" w:ascii="宋体" w:hAnsi="宋体" w:eastAsia="宋体" w:cs="宋体"/>
          <w:color w:val="auto"/>
          <w:sz w:val="24"/>
          <w:szCs w:val="24"/>
          <w:highlight w:val="none"/>
          <w:lang w:val="en-US" w:eastAsia="zh-CN"/>
        </w:rPr>
        <w:t>的授课方式</w:t>
      </w:r>
      <w:r>
        <w:rPr>
          <w:rFonts w:hint="eastAsia" w:ascii="宋体" w:hAnsi="宋体" w:cs="宋体"/>
          <w:color w:val="auto"/>
          <w:sz w:val="24"/>
          <w:szCs w:val="24"/>
          <w:highlight w:val="none"/>
          <w:lang w:val="en-US" w:eastAsia="zh-CN"/>
        </w:rPr>
        <w:t>（线下授课，可线上答疑）</w:t>
      </w:r>
      <w:r>
        <w:rPr>
          <w:rFonts w:hint="eastAsia" w:ascii="宋体" w:hAnsi="宋体" w:eastAsia="宋体" w:cs="宋体"/>
          <w:color w:val="auto"/>
          <w:sz w:val="24"/>
          <w:szCs w:val="24"/>
          <w:highlight w:val="none"/>
          <w:lang w:val="en-US" w:eastAsia="zh-CN"/>
        </w:rPr>
        <w:t>、集中授课与个性辅导相结合的方式进行教学。</w:t>
      </w:r>
    </w:p>
    <w:p w14:paraId="4F945C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（3）课时安排：培训总课时</w:t>
      </w:r>
      <w:r>
        <w:rPr>
          <w:rFonts w:hint="eastAsia" w:ascii="宋体" w:hAnsi="宋体" w:cs="宋体"/>
          <w:color w:val="auto"/>
          <w:sz w:val="24"/>
          <w:szCs w:val="24"/>
          <w:highlight w:val="none"/>
          <w:lang w:val="en-US" w:eastAsia="zh-CN"/>
        </w:rPr>
        <w:t>（含强基培训课时）</w:t>
      </w:r>
      <w:r>
        <w:rPr>
          <w:rFonts w:hint="eastAsia" w:ascii="宋体" w:hAnsi="宋体" w:eastAsia="宋体" w:cs="宋体"/>
          <w:color w:val="auto"/>
          <w:sz w:val="24"/>
          <w:szCs w:val="24"/>
          <w:highlight w:val="none"/>
          <w:lang w:val="en-US" w:eastAsia="zh-CN"/>
        </w:rPr>
        <w:t>不低于</w:t>
      </w:r>
      <w:r>
        <w:rPr>
          <w:rFonts w:hint="eastAsia" w:ascii="宋体" w:hAnsi="宋体" w:cs="宋体"/>
          <w:color w:val="auto"/>
          <w:sz w:val="24"/>
          <w:szCs w:val="24"/>
          <w:highlight w:val="none"/>
          <w:lang w:val="en-US" w:eastAsia="zh-CN"/>
        </w:rPr>
        <w:t>511课时</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每天7课时，每课时45分钟</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2027年</w:t>
      </w:r>
      <w:r>
        <w:rPr>
          <w:rFonts w:hint="eastAsia" w:ascii="宋体" w:hAnsi="宋体" w:eastAsia="宋体" w:cs="宋体"/>
          <w:strike w:val="0"/>
          <w:dstrike w:val="0"/>
          <w:color w:val="auto"/>
          <w:sz w:val="24"/>
          <w:szCs w:val="24"/>
          <w:highlight w:val="none"/>
          <w:lang w:val="en-US" w:eastAsia="zh-CN"/>
        </w:rPr>
        <w:t>高考</w:t>
      </w:r>
      <w:r>
        <w:rPr>
          <w:rFonts w:hint="eastAsia" w:ascii="宋体" w:hAnsi="宋体" w:cs="宋体"/>
          <w:strike w:val="0"/>
          <w:dstrike w:val="0"/>
          <w:color w:val="auto"/>
          <w:sz w:val="24"/>
          <w:szCs w:val="24"/>
          <w:highlight w:val="none"/>
          <w:lang w:val="en-US" w:eastAsia="zh-CN"/>
        </w:rPr>
        <w:t>结束后</w:t>
      </w:r>
      <w:r>
        <w:rPr>
          <w:rFonts w:hint="eastAsia" w:ascii="宋体" w:hAnsi="宋体" w:eastAsia="宋体" w:cs="宋体"/>
          <w:strike w:val="0"/>
          <w:dstrike w:val="0"/>
          <w:color w:val="auto"/>
          <w:sz w:val="24"/>
          <w:szCs w:val="24"/>
          <w:highlight w:val="none"/>
          <w:lang w:val="en-US" w:eastAsia="zh-CN"/>
        </w:rPr>
        <w:t>针对入围国内顶尖名校强基的参训学生（</w:t>
      </w:r>
      <w:r>
        <w:rPr>
          <w:rFonts w:hint="eastAsia" w:ascii="宋体" w:hAnsi="宋体" w:cs="宋体"/>
          <w:strike w:val="0"/>
          <w:dstrike w:val="0"/>
          <w:color w:val="auto"/>
          <w:sz w:val="24"/>
          <w:szCs w:val="24"/>
          <w:highlight w:val="none"/>
          <w:lang w:val="en-US" w:eastAsia="zh-CN"/>
        </w:rPr>
        <w:t>中标后双方协商决定具体参培人数</w:t>
      </w:r>
      <w:r>
        <w:rPr>
          <w:rFonts w:hint="eastAsia" w:ascii="宋体" w:hAnsi="宋体" w:eastAsia="宋体" w:cs="宋体"/>
          <w:strike w:val="0"/>
          <w:dstrike w:val="0"/>
          <w:color w:val="auto"/>
          <w:sz w:val="24"/>
          <w:szCs w:val="24"/>
          <w:highlight w:val="none"/>
          <w:lang w:val="en-US" w:eastAsia="zh-CN"/>
        </w:rPr>
        <w:t>），进行</w:t>
      </w:r>
      <w:r>
        <w:rPr>
          <w:rFonts w:hint="eastAsia" w:ascii="宋体" w:hAnsi="宋体" w:cs="宋体"/>
          <w:strike w:val="0"/>
          <w:dstrike w:val="0"/>
          <w:color w:val="auto"/>
          <w:sz w:val="24"/>
          <w:szCs w:val="24"/>
          <w:highlight w:val="none"/>
          <w:lang w:val="en-US" w:eastAsia="zh-CN"/>
        </w:rPr>
        <w:t>强基培训（培训课时数量在35-50课时之间）</w:t>
      </w:r>
      <w:r>
        <w:rPr>
          <w:rFonts w:hint="eastAsia" w:ascii="宋体" w:hAnsi="宋体" w:eastAsia="宋体" w:cs="宋体"/>
          <w:strike w:val="0"/>
          <w:color w:val="auto"/>
          <w:sz w:val="24"/>
          <w:szCs w:val="24"/>
          <w:highlight w:val="none"/>
          <w:lang w:val="en-US" w:eastAsia="zh-CN"/>
        </w:rPr>
        <w:t>。</w:t>
      </w:r>
    </w:p>
    <w:p w14:paraId="4E4BF593">
      <w:pPr>
        <w:pStyle w:val="19"/>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eastAsia="宋体" w:cs="宋体"/>
          <w:color w:val="auto"/>
          <w:sz w:val="24"/>
          <w:szCs w:val="24"/>
          <w:highlight w:val="none"/>
          <w:lang w:eastAsia="zh-CN"/>
        </w:rPr>
      </w:pPr>
      <w:r>
        <w:rPr>
          <w:rFonts w:hint="eastAsia" w:ascii="宋体" w:hAnsi="宋体" w:cs="宋体"/>
          <w:strike w:val="0"/>
          <w:color w:val="auto"/>
          <w:sz w:val="24"/>
          <w:szCs w:val="24"/>
          <w:highlight w:val="none"/>
          <w:lang w:val="en-US" w:eastAsia="zh-CN"/>
        </w:rPr>
        <w:t>（4）</w:t>
      </w:r>
      <w:r>
        <w:rPr>
          <w:rFonts w:hint="eastAsia" w:hAnsi="宋体" w:cs="宋体"/>
          <w:strike w:val="0"/>
          <w:color w:val="auto"/>
          <w:sz w:val="24"/>
          <w:szCs w:val="24"/>
          <w:highlight w:val="none"/>
          <w:lang w:val="en-US" w:eastAsia="zh-CN"/>
        </w:rPr>
        <w:t>校企联动、双向赋能：在具体实际教学中，供应商</w:t>
      </w:r>
      <w:r>
        <w:rPr>
          <w:rFonts w:hint="eastAsia" w:cs="宋体"/>
          <w:color w:val="auto"/>
          <w:sz w:val="24"/>
          <w:szCs w:val="24"/>
          <w:highlight w:val="none"/>
          <w:lang w:eastAsia="zh-CN"/>
        </w:rPr>
        <w:t>应有激发、调动学校和本校教师积极主动参与拔尖创新人才培训的具体实施方案。</w:t>
      </w:r>
    </w:p>
    <w:p w14:paraId="3EF249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.组建管理团队。供应商应组建至少</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人的项目管理团队，负责整体培训计划的实施，项目管理团队成员应具有本科及以上学历。供应商应在开始培训前完成调研，充分了解学情及学校、学生的个性化需求。通过选拔测试，供应商与采购人商定，确定参加</w:t>
      </w:r>
      <w:r>
        <w:rPr>
          <w:rFonts w:hint="eastAsia" w:ascii="宋体" w:hAnsi="宋体" w:cs="宋体"/>
          <w:color w:val="auto"/>
          <w:sz w:val="24"/>
          <w:szCs w:val="24"/>
          <w:highlight w:val="none"/>
          <w:lang w:val="en-US" w:eastAsia="zh-CN"/>
        </w:rPr>
        <w:t>高考培优及</w:t>
      </w:r>
      <w:r>
        <w:rPr>
          <w:rFonts w:hint="eastAsia" w:ascii="宋体" w:hAnsi="宋体" w:eastAsia="宋体" w:cs="宋体"/>
          <w:color w:val="auto"/>
          <w:sz w:val="24"/>
          <w:szCs w:val="24"/>
          <w:highlight w:val="none"/>
          <w:lang w:val="en-US" w:eastAsia="zh-CN"/>
        </w:rPr>
        <w:t>强基计划的学生范围及人数。</w:t>
      </w:r>
    </w:p>
    <w:p w14:paraId="0F9D36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.接受过程评估。培训过程中应定期组织</w:t>
      </w:r>
      <w:r>
        <w:rPr>
          <w:rFonts w:hint="eastAsia" w:ascii="微软雅黑" w:hAnsi="微软雅黑" w:eastAsia="微软雅黑" w:cs="微软雅黑"/>
          <w:color w:val="auto"/>
          <w:sz w:val="24"/>
          <w:szCs w:val="24"/>
          <w:highlight w:val="none"/>
          <w:lang w:val="en-US" w:eastAsia="zh-CN"/>
        </w:rPr>
        <w:t>月度</w:t>
      </w:r>
      <w:r>
        <w:rPr>
          <w:rFonts w:hint="eastAsia" w:ascii="宋体" w:hAnsi="宋体" w:eastAsia="宋体" w:cs="宋体"/>
          <w:color w:val="auto"/>
          <w:sz w:val="24"/>
          <w:szCs w:val="24"/>
          <w:highlight w:val="none"/>
          <w:lang w:val="en-US" w:eastAsia="zh-CN"/>
        </w:rPr>
        <w:t>阶段性测试，检验培训实施的效果。试卷由</w:t>
      </w:r>
      <w:r>
        <w:rPr>
          <w:rFonts w:hint="eastAsia" w:ascii="宋体" w:hAnsi="宋体" w:cs="宋体"/>
          <w:color w:val="auto"/>
          <w:sz w:val="24"/>
          <w:szCs w:val="24"/>
          <w:highlight w:val="none"/>
          <w:lang w:val="en-US" w:eastAsia="zh-CN"/>
        </w:rPr>
        <w:t>中标供应商</w:t>
      </w:r>
      <w:r>
        <w:rPr>
          <w:rFonts w:hint="eastAsia" w:ascii="宋体" w:hAnsi="宋体" w:eastAsia="宋体" w:cs="宋体"/>
          <w:color w:val="auto"/>
          <w:sz w:val="24"/>
          <w:szCs w:val="24"/>
          <w:highlight w:val="none"/>
          <w:lang w:val="en-US" w:eastAsia="zh-CN"/>
        </w:rPr>
        <w:t>设计，既能检验培训成效，又要方便学员作答。试卷须经采购人审核后实施测试。并要利用</w:t>
      </w:r>
      <w:r>
        <w:rPr>
          <w:rFonts w:hint="eastAsia" w:ascii="宋体" w:hAnsi="宋体" w:cs="宋体"/>
          <w:color w:val="auto"/>
          <w:sz w:val="24"/>
          <w:szCs w:val="24"/>
          <w:highlight w:val="none"/>
          <w:lang w:val="en-US" w:eastAsia="zh-CN"/>
        </w:rPr>
        <w:t>现代信息技术手段</w:t>
      </w:r>
      <w:r>
        <w:rPr>
          <w:rFonts w:hint="eastAsia" w:ascii="宋体" w:hAnsi="宋体" w:eastAsia="宋体" w:cs="宋体"/>
          <w:color w:val="auto"/>
          <w:sz w:val="24"/>
          <w:szCs w:val="24"/>
          <w:highlight w:val="none"/>
          <w:lang w:val="en-US" w:eastAsia="zh-CN"/>
        </w:rPr>
        <w:t>，出具每个学生测试结果的可视化分析报告。整个培训服务期间，供应商须接受采购人对本项目实施情况的</w:t>
      </w:r>
      <w:r>
        <w:rPr>
          <w:rFonts w:hint="eastAsia" w:ascii="微软雅黑" w:hAnsi="微软雅黑" w:eastAsia="微软雅黑" w:cs="微软雅黑"/>
          <w:color w:val="auto"/>
          <w:sz w:val="24"/>
          <w:szCs w:val="24"/>
          <w:highlight w:val="none"/>
          <w:lang w:val="en-US" w:eastAsia="zh-CN"/>
        </w:rPr>
        <w:t>季度</w:t>
      </w:r>
      <w:r>
        <w:rPr>
          <w:rFonts w:hint="eastAsia" w:ascii="宋体" w:hAnsi="宋体" w:eastAsia="宋体" w:cs="宋体"/>
          <w:color w:val="auto"/>
          <w:sz w:val="24"/>
          <w:szCs w:val="24"/>
          <w:highlight w:val="none"/>
          <w:lang w:val="en-US" w:eastAsia="zh-CN"/>
        </w:rPr>
        <w:t>调研跟踪与服务质量督查评估，如参培学生测评满意度2次低于80%，采购人可终止合同，仅支付合同终止前已实施的课时考勤费。</w:t>
      </w:r>
    </w:p>
    <w:p w14:paraId="5A3609DA">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left"/>
        <w:textAlignment w:val="auto"/>
        <w:rPr>
          <w:rFonts w:hint="eastAsia" w:ascii="宋体" w:hAnsi="宋体" w:eastAsia="宋体" w:cs="宋体"/>
          <w:b/>
          <w:bCs/>
          <w:color w:val="auto"/>
          <w:sz w:val="28"/>
          <w:szCs w:val="28"/>
          <w:highlight w:val="none"/>
          <w:lang w:val="en-US" w:eastAsia="zh-CN"/>
        </w:rPr>
      </w:pPr>
    </w:p>
    <w:p w14:paraId="2B084F28">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四、商务部分</w:t>
      </w:r>
    </w:p>
    <w:p w14:paraId="4EC609BB">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项目最高限价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263.52万元.</w:t>
      </w:r>
      <w:r>
        <w:rPr>
          <w:rFonts w:hint="eastAsia" w:ascii="宋体" w:hAnsi="宋体" w:cs="宋体"/>
          <w:b/>
          <w:bCs/>
          <w:color w:val="auto"/>
          <w:sz w:val="24"/>
          <w:szCs w:val="24"/>
          <w:highlight w:val="none"/>
        </w:rPr>
        <w:t>（其中第一阶段</w:t>
      </w:r>
      <w:r>
        <w:rPr>
          <w:rFonts w:hint="eastAsia" w:ascii="宋体" w:hAnsi="宋体" w:cs="宋体"/>
          <w:b/>
          <w:bCs/>
          <w:color w:val="auto"/>
          <w:sz w:val="24"/>
          <w:szCs w:val="24"/>
          <w:highlight w:val="none"/>
          <w:lang w:val="en-US" w:eastAsia="zh-CN"/>
        </w:rPr>
        <w:t>过程服务费用金额</w:t>
      </w:r>
      <w:r>
        <w:rPr>
          <w:rFonts w:hint="eastAsia" w:ascii="宋体" w:hAnsi="宋体" w:cs="宋体"/>
          <w:b/>
          <w:bCs/>
          <w:color w:val="auto"/>
          <w:sz w:val="24"/>
          <w:szCs w:val="24"/>
          <w:highlight w:val="none"/>
        </w:rPr>
        <w:t>为</w:t>
      </w:r>
      <w:r>
        <w:rPr>
          <w:rFonts w:hint="eastAsia" w:ascii="宋体" w:hAnsi="宋体" w:cs="宋体"/>
          <w:b/>
          <w:bCs/>
          <w:color w:val="auto"/>
          <w:sz w:val="24"/>
          <w:szCs w:val="24"/>
          <w:highlight w:val="none"/>
          <w:lang w:val="en-US" w:eastAsia="zh-CN"/>
        </w:rPr>
        <w:t>163.52万</w:t>
      </w:r>
      <w:r>
        <w:rPr>
          <w:rFonts w:hint="eastAsia" w:ascii="宋体" w:hAnsi="宋体" w:cs="宋体"/>
          <w:b/>
          <w:bCs/>
          <w:color w:val="auto"/>
          <w:sz w:val="24"/>
          <w:szCs w:val="24"/>
          <w:highlight w:val="none"/>
        </w:rPr>
        <w:t>元，</w:t>
      </w:r>
      <w:r>
        <w:rPr>
          <w:rFonts w:hint="eastAsia" w:ascii="宋体" w:hAnsi="宋体" w:cs="宋体"/>
          <w:b/>
          <w:bCs/>
          <w:color w:val="auto"/>
          <w:sz w:val="24"/>
          <w:szCs w:val="24"/>
          <w:highlight w:val="none"/>
          <w:lang w:val="en-US" w:eastAsia="zh-CN"/>
        </w:rPr>
        <w:t>第二阶段目标成果费用金额100万元（具体结算时按“第二阶段目标成果费用计算方法”执行）；</w:t>
      </w:r>
    </w:p>
    <w:p w14:paraId="5108D761">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firstLine="482"/>
        <w:jc w:val="left"/>
        <w:textAlignment w:val="auto"/>
        <w:rPr>
          <w:rFonts w:hint="eastAsia" w:ascii="宋体" w:hAnsi="宋体" w:cs="宋体"/>
          <w:color w:val="auto"/>
          <w:kern w:val="1"/>
          <w:sz w:val="24"/>
          <w:highlight w:val="none"/>
          <w:lang w:val="en-US" w:eastAsia="zh-CN"/>
        </w:rPr>
      </w:pPr>
      <w:r>
        <w:rPr>
          <w:rFonts w:hint="eastAsia" w:ascii="宋体" w:hAnsi="宋体" w:cs="宋体"/>
          <w:color w:val="auto"/>
          <w:kern w:val="1"/>
          <w:sz w:val="24"/>
          <w:highlight w:val="none"/>
        </w:rPr>
        <w:t>第一阶段费用为</w:t>
      </w:r>
      <w:r>
        <w:rPr>
          <w:rFonts w:hint="eastAsia" w:ascii="宋体" w:hAnsi="宋体" w:cs="宋体"/>
          <w:b/>
          <w:bCs/>
          <w:color w:val="auto"/>
          <w:kern w:val="1"/>
          <w:sz w:val="24"/>
          <w:highlight w:val="none"/>
          <w:lang w:val="en-US" w:eastAsia="zh-CN"/>
        </w:rPr>
        <w:t>过程</w:t>
      </w:r>
      <w:r>
        <w:rPr>
          <w:rFonts w:hint="eastAsia" w:ascii="宋体" w:hAnsi="宋体" w:cs="宋体"/>
          <w:b/>
          <w:bCs/>
          <w:color w:val="auto"/>
          <w:kern w:val="1"/>
          <w:sz w:val="24"/>
          <w:highlight w:val="none"/>
        </w:rPr>
        <w:t>服务费</w:t>
      </w:r>
      <w:r>
        <w:rPr>
          <w:rFonts w:hint="eastAsia" w:ascii="宋体" w:hAnsi="宋体" w:cs="宋体"/>
          <w:b/>
          <w:bCs/>
          <w:color w:val="auto"/>
          <w:kern w:val="1"/>
          <w:sz w:val="24"/>
          <w:highlight w:val="none"/>
          <w:lang w:eastAsia="zh-CN"/>
        </w:rPr>
        <w:t>用</w:t>
      </w:r>
      <w:r>
        <w:rPr>
          <w:rFonts w:hint="eastAsia" w:ascii="宋体" w:hAnsi="宋体" w:cs="宋体"/>
          <w:color w:val="auto"/>
          <w:kern w:val="1"/>
          <w:sz w:val="24"/>
          <w:highlight w:val="none"/>
          <w:lang w:eastAsia="zh-CN"/>
        </w:rPr>
        <w:t>：</w:t>
      </w:r>
      <w:r>
        <w:rPr>
          <w:rFonts w:hint="eastAsia" w:ascii="宋体" w:hAnsi="宋体" w:cs="宋体"/>
          <w:color w:val="auto"/>
          <w:kern w:val="1"/>
          <w:sz w:val="24"/>
          <w:highlight w:val="none"/>
          <w:lang w:val="en-US" w:eastAsia="zh-CN"/>
        </w:rPr>
        <w:t>培训课时数511课时（授课完成后不足511课时，以实际授课课时数量结算，超过511课时，以511课时结算）*3200*（1-中标下浮率）=过程服务费；</w:t>
      </w:r>
    </w:p>
    <w:p w14:paraId="1D4960B1">
      <w:pPr>
        <w:keepNext w:val="0"/>
        <w:keepLines w:val="0"/>
        <w:pageBreakBefore w:val="0"/>
        <w:widowControl w:val="0"/>
        <w:numPr>
          <w:ilvl w:val="0"/>
          <w:numId w:val="9"/>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b w:val="0"/>
          <w:bCs/>
          <w:color w:val="auto"/>
          <w:sz w:val="24"/>
          <w:highlight w:val="none"/>
          <w:lang w:eastAsia="zh-CN"/>
        </w:rPr>
      </w:pPr>
      <w:r>
        <w:rPr>
          <w:rFonts w:ascii="宋体" w:hAnsi="宋体" w:eastAsia="宋体" w:cs="宋体"/>
          <w:b w:val="0"/>
          <w:bCs/>
          <w:color w:val="auto"/>
          <w:sz w:val="24"/>
          <w:highlight w:val="none"/>
        </w:rPr>
        <w:t>在合同签订后收到乙方发票十个工作日内</w:t>
      </w:r>
      <w:r>
        <w:rPr>
          <w:rFonts w:hint="eastAsia" w:ascii="宋体" w:hAnsi="宋体" w:cs="宋体"/>
          <w:b w:val="0"/>
          <w:bCs/>
          <w:color w:val="auto"/>
          <w:kern w:val="1"/>
          <w:sz w:val="24"/>
          <w:highlight w:val="none"/>
          <w:lang w:val="en-US" w:eastAsia="zh-CN"/>
        </w:rPr>
        <w:t>甲方需向乙方</w:t>
      </w:r>
      <w:r>
        <w:rPr>
          <w:rFonts w:ascii="宋体" w:hAnsi="宋体" w:eastAsia="宋体" w:cs="宋体"/>
          <w:b w:val="0"/>
          <w:bCs/>
          <w:color w:val="auto"/>
          <w:sz w:val="24"/>
          <w:highlight w:val="none"/>
        </w:rPr>
        <w:t>支付预付款（属于</w:t>
      </w:r>
      <w:r>
        <w:rPr>
          <w:rFonts w:hint="eastAsia" w:ascii="宋体" w:hAnsi="宋体" w:eastAsia="宋体" w:cs="宋体"/>
          <w:b w:val="0"/>
          <w:bCs/>
          <w:color w:val="auto"/>
          <w:sz w:val="24"/>
          <w:highlight w:val="none"/>
          <w:lang w:eastAsia="zh-CN"/>
        </w:rPr>
        <w:t>过程服务费</w:t>
      </w:r>
      <w:r>
        <w:rPr>
          <w:rFonts w:ascii="宋体" w:hAnsi="宋体" w:eastAsia="宋体" w:cs="宋体"/>
          <w:b w:val="0"/>
          <w:bCs/>
          <w:color w:val="auto"/>
          <w:sz w:val="24"/>
          <w:highlight w:val="none"/>
        </w:rPr>
        <w:t>预付部分），预付款支付比例为：</w:t>
      </w:r>
      <w:r>
        <w:rPr>
          <w:rFonts w:hint="eastAsia" w:ascii="宋体" w:hAnsi="宋体" w:cs="宋体"/>
          <w:b w:val="0"/>
          <w:bCs/>
          <w:color w:val="auto"/>
          <w:kern w:val="1"/>
          <w:sz w:val="24"/>
          <w:highlight w:val="none"/>
          <w:lang w:val="en-US" w:eastAsia="zh-CN"/>
        </w:rPr>
        <w:t>过程</w:t>
      </w:r>
      <w:r>
        <w:rPr>
          <w:rFonts w:hint="eastAsia" w:ascii="宋体" w:hAnsi="宋体" w:cs="宋体"/>
          <w:b w:val="0"/>
          <w:bCs/>
          <w:color w:val="auto"/>
          <w:kern w:val="1"/>
          <w:sz w:val="24"/>
          <w:highlight w:val="none"/>
        </w:rPr>
        <w:t>服务费</w:t>
      </w:r>
      <w:r>
        <w:rPr>
          <w:rFonts w:hint="eastAsia" w:ascii="宋体" w:hAnsi="宋体" w:cs="宋体"/>
          <w:b w:val="0"/>
          <w:bCs/>
          <w:color w:val="auto"/>
          <w:kern w:val="1"/>
          <w:sz w:val="24"/>
          <w:highlight w:val="none"/>
          <w:lang w:eastAsia="zh-CN"/>
        </w:rPr>
        <w:t>用</w:t>
      </w:r>
      <w:r>
        <w:rPr>
          <w:rFonts w:ascii="宋体" w:hAnsi="宋体" w:eastAsia="宋体" w:cs="宋体"/>
          <w:b w:val="0"/>
          <w:bCs/>
          <w:color w:val="auto"/>
          <w:sz w:val="24"/>
          <w:highlight w:val="none"/>
        </w:rPr>
        <w:t>的</w:t>
      </w:r>
      <w:r>
        <w:rPr>
          <w:rFonts w:hint="eastAsia" w:ascii="宋体" w:hAnsi="宋体" w:cs="宋体"/>
          <w:b w:val="0"/>
          <w:bCs/>
          <w:color w:val="auto"/>
          <w:sz w:val="24"/>
          <w:highlight w:val="none"/>
          <w:lang w:val="en-US" w:eastAsia="zh-CN"/>
        </w:rPr>
        <w:t>7</w:t>
      </w:r>
      <w:r>
        <w:rPr>
          <w:rFonts w:ascii="宋体" w:hAnsi="宋体" w:eastAsia="宋体" w:cs="宋体"/>
          <w:b w:val="0"/>
          <w:bCs/>
          <w:color w:val="auto"/>
          <w:sz w:val="24"/>
          <w:highlight w:val="none"/>
        </w:rPr>
        <w:t>0%（乙方需提供等额税票</w:t>
      </w:r>
      <w:r>
        <w:rPr>
          <w:rFonts w:hint="eastAsia" w:ascii="宋体" w:hAnsi="宋体" w:eastAsia="宋体" w:cs="宋体"/>
          <w:b w:val="0"/>
          <w:bCs/>
          <w:color w:val="auto"/>
          <w:sz w:val="24"/>
          <w:highlight w:val="none"/>
          <w:lang w:eastAsia="zh-CN"/>
        </w:rPr>
        <w:t>）</w:t>
      </w:r>
      <w:r>
        <w:rPr>
          <w:rFonts w:hint="eastAsia" w:ascii="宋体" w:hAnsi="宋体" w:cs="宋体"/>
          <w:b w:val="0"/>
          <w:bCs/>
          <w:color w:val="auto"/>
          <w:sz w:val="24"/>
          <w:highlight w:val="none"/>
          <w:lang w:eastAsia="zh-CN"/>
        </w:rPr>
        <w:t>。</w:t>
      </w:r>
    </w:p>
    <w:p w14:paraId="694B1515">
      <w:pPr>
        <w:keepNext w:val="0"/>
        <w:keepLines w:val="0"/>
        <w:pageBreakBefore w:val="0"/>
        <w:widowControl w:val="0"/>
        <w:numPr>
          <w:ilvl w:val="0"/>
          <w:numId w:val="9"/>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color w:val="auto"/>
          <w:kern w:val="1"/>
          <w:sz w:val="24"/>
          <w:highlight w:val="none"/>
          <w:lang w:eastAsia="zh-CN"/>
        </w:rPr>
      </w:pPr>
      <w:r>
        <w:rPr>
          <w:rFonts w:ascii="宋体" w:hAnsi="宋体" w:eastAsia="宋体" w:cs="宋体"/>
          <w:b w:val="0"/>
          <w:bCs/>
          <w:color w:val="auto"/>
          <w:sz w:val="24"/>
          <w:highlight w:val="none"/>
        </w:rPr>
        <w:t>202</w:t>
      </w:r>
      <w:r>
        <w:rPr>
          <w:rFonts w:hint="eastAsia" w:ascii="宋体" w:hAnsi="宋体" w:cs="宋体"/>
          <w:b w:val="0"/>
          <w:bCs/>
          <w:color w:val="auto"/>
          <w:sz w:val="24"/>
          <w:highlight w:val="none"/>
          <w:lang w:val="en-US" w:eastAsia="zh-CN"/>
        </w:rPr>
        <w:t>7年5月底，</w:t>
      </w:r>
      <w:r>
        <w:rPr>
          <w:rFonts w:hint="eastAsia" w:ascii="宋体" w:hAnsi="宋体" w:eastAsia="宋体" w:cs="宋体"/>
          <w:b w:val="0"/>
          <w:bCs/>
          <w:color w:val="auto"/>
          <w:sz w:val="24"/>
          <w:highlight w:val="none"/>
          <w:lang w:eastAsia="zh-CN"/>
        </w:rPr>
        <w:t>如师生课程评价满意度（全过程）达</w:t>
      </w:r>
      <w:r>
        <w:rPr>
          <w:rFonts w:hint="eastAsia" w:ascii="宋体" w:hAnsi="宋体" w:eastAsia="宋体" w:cs="宋体"/>
          <w:b w:val="0"/>
          <w:bCs/>
          <w:color w:val="auto"/>
          <w:sz w:val="24"/>
          <w:highlight w:val="none"/>
          <w:lang w:val="en-US" w:eastAsia="zh-CN"/>
        </w:rPr>
        <w:t>90%以上，</w:t>
      </w:r>
      <w:r>
        <w:rPr>
          <w:rFonts w:hint="eastAsia" w:ascii="宋体" w:hAnsi="宋体" w:cs="宋体"/>
          <w:b w:val="0"/>
          <w:bCs/>
          <w:color w:val="auto"/>
          <w:kern w:val="1"/>
          <w:sz w:val="24"/>
          <w:highlight w:val="none"/>
          <w:lang w:val="en-US" w:eastAsia="zh-CN"/>
        </w:rPr>
        <w:t>甲方向乙方</w:t>
      </w:r>
      <w:r>
        <w:rPr>
          <w:rFonts w:ascii="宋体" w:hAnsi="宋体" w:eastAsia="宋体" w:cs="宋体"/>
          <w:b w:val="0"/>
          <w:bCs/>
          <w:color w:val="auto"/>
          <w:sz w:val="24"/>
          <w:highlight w:val="none"/>
        </w:rPr>
        <w:t>支付</w:t>
      </w:r>
      <w:r>
        <w:rPr>
          <w:rFonts w:hint="eastAsia" w:ascii="宋体" w:hAnsi="宋体" w:eastAsia="宋体" w:cs="宋体"/>
          <w:b w:val="0"/>
          <w:bCs/>
          <w:color w:val="auto"/>
          <w:sz w:val="24"/>
          <w:highlight w:val="none"/>
          <w:lang w:eastAsia="zh-CN"/>
        </w:rPr>
        <w:t>过程服务费</w:t>
      </w:r>
      <w:r>
        <w:rPr>
          <w:rFonts w:hint="eastAsia" w:ascii="宋体" w:hAnsi="宋体" w:cs="宋体"/>
          <w:b w:val="0"/>
          <w:bCs/>
          <w:color w:val="auto"/>
          <w:sz w:val="24"/>
          <w:highlight w:val="none"/>
          <w:lang w:eastAsia="zh-CN"/>
        </w:rPr>
        <w:t>用</w:t>
      </w:r>
      <w:r>
        <w:rPr>
          <w:rFonts w:ascii="宋体" w:hAnsi="宋体" w:eastAsia="宋体" w:cs="宋体"/>
          <w:b w:val="0"/>
          <w:bCs/>
          <w:color w:val="auto"/>
          <w:sz w:val="24"/>
          <w:highlight w:val="none"/>
        </w:rPr>
        <w:t>的</w:t>
      </w:r>
      <w:r>
        <w:rPr>
          <w:rFonts w:hint="eastAsia" w:ascii="宋体" w:hAnsi="宋体" w:cs="宋体"/>
          <w:b w:val="0"/>
          <w:bCs/>
          <w:color w:val="auto"/>
          <w:sz w:val="24"/>
          <w:highlight w:val="none"/>
          <w:lang w:val="en-US" w:eastAsia="zh-CN"/>
        </w:rPr>
        <w:t>1</w:t>
      </w:r>
      <w:r>
        <w:rPr>
          <w:rFonts w:ascii="宋体" w:hAnsi="宋体" w:eastAsia="宋体" w:cs="宋体"/>
          <w:b w:val="0"/>
          <w:bCs/>
          <w:color w:val="auto"/>
          <w:sz w:val="24"/>
          <w:highlight w:val="none"/>
        </w:rPr>
        <w:t>0%（乙方需提供等额税票</w:t>
      </w:r>
      <w:r>
        <w:rPr>
          <w:rFonts w:hint="eastAsia" w:ascii="宋体" w:hAnsi="宋体" w:eastAsia="宋体" w:cs="宋体"/>
          <w:b w:val="0"/>
          <w:bCs/>
          <w:color w:val="auto"/>
          <w:sz w:val="24"/>
          <w:highlight w:val="none"/>
          <w:lang w:eastAsia="zh-CN"/>
        </w:rPr>
        <w:t>）</w:t>
      </w:r>
      <w:r>
        <w:rPr>
          <w:rFonts w:hint="eastAsia" w:ascii="宋体" w:hAnsi="宋体" w:cs="宋体"/>
          <w:b w:val="0"/>
          <w:bCs/>
          <w:color w:val="auto"/>
          <w:sz w:val="24"/>
          <w:highlight w:val="none"/>
          <w:lang w:eastAsia="zh-CN"/>
        </w:rPr>
        <w:t>；</w:t>
      </w:r>
    </w:p>
    <w:p w14:paraId="36DC87AB">
      <w:pPr>
        <w:keepNext w:val="0"/>
        <w:keepLines w:val="0"/>
        <w:pageBreakBefore w:val="0"/>
        <w:widowControl w:val="0"/>
        <w:numPr>
          <w:ilvl w:val="0"/>
          <w:numId w:val="9"/>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b w:val="0"/>
          <w:bCs/>
          <w:color w:val="auto"/>
          <w:kern w:val="1"/>
          <w:sz w:val="24"/>
          <w:highlight w:val="none"/>
          <w:lang w:eastAsia="zh-CN"/>
        </w:rPr>
      </w:pPr>
      <w:r>
        <w:rPr>
          <w:rFonts w:hint="eastAsia" w:ascii="宋体" w:hAnsi="宋体" w:eastAsia="宋体" w:cs="宋体"/>
          <w:b w:val="0"/>
          <w:bCs/>
          <w:color w:val="auto"/>
          <w:kern w:val="1"/>
          <w:sz w:val="24"/>
          <w:szCs w:val="21"/>
          <w:highlight w:val="none"/>
        </w:rPr>
        <w:t>若</w:t>
      </w:r>
      <w:r>
        <w:rPr>
          <w:rFonts w:hint="eastAsia" w:ascii="宋体" w:hAnsi="宋体" w:cs="宋体"/>
          <w:b w:val="0"/>
          <w:bCs/>
          <w:color w:val="auto"/>
          <w:kern w:val="1"/>
          <w:sz w:val="24"/>
          <w:szCs w:val="21"/>
          <w:highlight w:val="none"/>
          <w:lang w:eastAsia="zh-CN"/>
        </w:rPr>
        <w:t>中标供应商完成</w:t>
      </w:r>
      <w:r>
        <w:rPr>
          <w:rFonts w:hint="eastAsia" w:ascii="宋体" w:hAnsi="宋体" w:cs="宋体"/>
          <w:b/>
          <w:bCs w:val="0"/>
          <w:color w:val="auto"/>
          <w:kern w:val="1"/>
          <w:sz w:val="24"/>
          <w:szCs w:val="21"/>
          <w:highlight w:val="none"/>
          <w:lang w:eastAsia="zh-CN"/>
        </w:rPr>
        <w:t>基本目标考核</w:t>
      </w:r>
      <w:r>
        <w:rPr>
          <w:rFonts w:hint="eastAsia" w:ascii="宋体" w:hAnsi="宋体" w:cs="宋体"/>
          <w:b w:val="0"/>
          <w:bCs/>
          <w:color w:val="auto"/>
          <w:kern w:val="1"/>
          <w:sz w:val="24"/>
          <w:szCs w:val="21"/>
          <w:highlight w:val="none"/>
          <w:lang w:eastAsia="zh-CN"/>
        </w:rPr>
        <w:t>（</w:t>
      </w:r>
      <w:r>
        <w:rPr>
          <w:rFonts w:hint="eastAsia" w:ascii="宋体" w:hAnsi="宋体" w:eastAsia="宋体" w:cs="宋体"/>
          <w:b w:val="0"/>
          <w:bCs/>
          <w:color w:val="auto"/>
          <w:kern w:val="1"/>
          <w:sz w:val="24"/>
          <w:szCs w:val="21"/>
          <w:highlight w:val="none"/>
        </w:rPr>
        <w:t>参培学生在</w:t>
      </w:r>
      <w:r>
        <w:rPr>
          <w:rFonts w:hint="eastAsia" w:ascii="宋体" w:hAnsi="宋体" w:eastAsia="宋体" w:cs="宋体"/>
          <w:b w:val="0"/>
          <w:bCs/>
          <w:color w:val="auto"/>
          <w:kern w:val="1"/>
          <w:sz w:val="24"/>
          <w:szCs w:val="21"/>
          <w:highlight w:val="none"/>
          <w:lang w:val="en-US" w:eastAsia="zh-CN"/>
        </w:rPr>
        <w:t>202</w:t>
      </w:r>
      <w:r>
        <w:rPr>
          <w:rFonts w:hint="eastAsia" w:ascii="宋体" w:hAnsi="宋体" w:cs="宋体"/>
          <w:b w:val="0"/>
          <w:bCs/>
          <w:color w:val="auto"/>
          <w:kern w:val="1"/>
          <w:sz w:val="24"/>
          <w:szCs w:val="21"/>
          <w:highlight w:val="none"/>
          <w:lang w:val="en-US" w:eastAsia="zh-CN"/>
        </w:rPr>
        <w:t>7</w:t>
      </w:r>
      <w:r>
        <w:rPr>
          <w:rFonts w:hint="eastAsia" w:ascii="宋体" w:hAnsi="宋体" w:eastAsia="宋体" w:cs="宋体"/>
          <w:b w:val="0"/>
          <w:bCs/>
          <w:color w:val="auto"/>
          <w:kern w:val="1"/>
          <w:sz w:val="24"/>
          <w:szCs w:val="21"/>
          <w:highlight w:val="none"/>
        </w:rPr>
        <w:t>年高考中被</w:t>
      </w:r>
      <w:r>
        <w:rPr>
          <w:rFonts w:hint="eastAsia" w:ascii="宋体" w:hAnsi="宋体" w:eastAsia="宋体" w:cs="宋体"/>
          <w:b w:val="0"/>
          <w:bCs/>
          <w:color w:val="auto"/>
          <w:kern w:val="1"/>
          <w:sz w:val="24"/>
          <w:szCs w:val="21"/>
          <w:highlight w:val="none"/>
          <w:lang w:val="en-US" w:eastAsia="zh-CN"/>
        </w:rPr>
        <w:t>国内顶尖名校</w:t>
      </w:r>
      <w:r>
        <w:rPr>
          <w:rFonts w:hint="eastAsia" w:ascii="宋体" w:hAnsi="宋体" w:eastAsia="宋体" w:cs="宋体"/>
          <w:b w:val="0"/>
          <w:bCs/>
          <w:color w:val="auto"/>
          <w:kern w:val="1"/>
          <w:sz w:val="24"/>
          <w:szCs w:val="21"/>
          <w:highlight w:val="none"/>
        </w:rPr>
        <w:t>录取的总人数</w:t>
      </w:r>
      <w:r>
        <w:rPr>
          <w:rFonts w:hint="eastAsia" w:ascii="宋体" w:hAnsi="宋体" w:cs="宋体"/>
          <w:b w:val="0"/>
          <w:bCs/>
          <w:color w:val="auto"/>
          <w:kern w:val="1"/>
          <w:sz w:val="24"/>
          <w:szCs w:val="21"/>
          <w:highlight w:val="none"/>
          <w:lang w:val="en-US" w:eastAsia="zh-CN"/>
        </w:rPr>
        <w:t>5人）</w:t>
      </w:r>
      <w:r>
        <w:rPr>
          <w:rFonts w:hint="eastAsia" w:ascii="宋体" w:hAnsi="宋体" w:eastAsia="宋体" w:cs="宋体"/>
          <w:b w:val="0"/>
          <w:bCs/>
          <w:color w:val="auto"/>
          <w:kern w:val="1"/>
          <w:sz w:val="24"/>
          <w:szCs w:val="21"/>
          <w:highlight w:val="none"/>
        </w:rPr>
        <w:t>，则</w:t>
      </w:r>
      <w:r>
        <w:rPr>
          <w:rFonts w:hint="eastAsia" w:ascii="宋体" w:hAnsi="宋体" w:eastAsia="宋体" w:cs="宋体"/>
          <w:b w:val="0"/>
          <w:bCs/>
          <w:color w:val="auto"/>
          <w:kern w:val="1"/>
          <w:sz w:val="24"/>
          <w:szCs w:val="21"/>
          <w:highlight w:val="none"/>
          <w:lang w:val="en-US" w:eastAsia="zh-CN"/>
        </w:rPr>
        <w:t>采购人向中标供应商支付过程</w:t>
      </w:r>
      <w:r>
        <w:rPr>
          <w:rFonts w:hint="eastAsia" w:ascii="宋体" w:hAnsi="宋体" w:cs="宋体"/>
          <w:b w:val="0"/>
          <w:bCs/>
          <w:color w:val="auto"/>
          <w:kern w:val="1"/>
          <w:sz w:val="24"/>
          <w:szCs w:val="21"/>
          <w:highlight w:val="none"/>
          <w:lang w:val="en-US" w:eastAsia="zh-CN"/>
        </w:rPr>
        <w:t>服务</w:t>
      </w:r>
      <w:r>
        <w:rPr>
          <w:rFonts w:hint="eastAsia" w:ascii="宋体" w:hAnsi="宋体" w:eastAsia="宋体" w:cs="宋体"/>
          <w:b w:val="0"/>
          <w:bCs/>
          <w:color w:val="auto"/>
          <w:kern w:val="1"/>
          <w:sz w:val="24"/>
          <w:szCs w:val="21"/>
          <w:highlight w:val="none"/>
          <w:lang w:val="en-US" w:eastAsia="zh-CN"/>
        </w:rPr>
        <w:t>费用的20%</w:t>
      </w:r>
      <w:r>
        <w:rPr>
          <w:rFonts w:hint="eastAsia" w:ascii="宋体" w:hAnsi="宋体" w:cs="宋体"/>
          <w:b w:val="0"/>
          <w:bCs/>
          <w:color w:val="auto"/>
          <w:kern w:val="1"/>
          <w:sz w:val="24"/>
          <w:szCs w:val="21"/>
          <w:highlight w:val="none"/>
          <w:lang w:val="en-US" w:eastAsia="zh-CN"/>
        </w:rPr>
        <w:t>；</w:t>
      </w:r>
    </w:p>
    <w:p w14:paraId="0FEBF9C2">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rFonts w:hint="eastAsia" w:ascii="宋体" w:hAnsi="宋体" w:cs="宋体"/>
          <w:color w:val="auto"/>
          <w:kern w:val="1"/>
          <w:sz w:val="24"/>
          <w:highlight w:val="none"/>
          <w:lang w:val="en-US" w:eastAsia="zh-CN"/>
        </w:rPr>
      </w:pPr>
      <w:r>
        <w:rPr>
          <w:rFonts w:hint="eastAsia" w:ascii="宋体" w:hAnsi="宋体" w:cs="宋体"/>
          <w:color w:val="auto"/>
          <w:kern w:val="1"/>
          <w:sz w:val="24"/>
          <w:highlight w:val="none"/>
        </w:rPr>
        <w:t>2.第二阶段费用</w:t>
      </w:r>
      <w:r>
        <w:rPr>
          <w:rFonts w:hint="eastAsia" w:ascii="宋体" w:hAnsi="宋体" w:cs="宋体"/>
          <w:color w:val="auto"/>
          <w:kern w:val="1"/>
          <w:sz w:val="24"/>
          <w:highlight w:val="none"/>
          <w:lang w:val="en-US" w:eastAsia="zh-CN"/>
        </w:rPr>
        <w:t>为</w:t>
      </w:r>
      <w:r>
        <w:rPr>
          <w:rFonts w:hint="eastAsia" w:ascii="宋体" w:hAnsi="宋体" w:cs="宋体"/>
          <w:b/>
          <w:bCs/>
          <w:color w:val="auto"/>
          <w:kern w:val="1"/>
          <w:sz w:val="24"/>
          <w:highlight w:val="none"/>
          <w:lang w:val="en-US" w:eastAsia="zh-CN"/>
        </w:rPr>
        <w:t>目标成果费用</w:t>
      </w:r>
      <w:r>
        <w:rPr>
          <w:rFonts w:hint="eastAsia" w:ascii="宋体" w:hAnsi="宋体" w:cs="宋体"/>
          <w:color w:val="auto"/>
          <w:kern w:val="1"/>
          <w:sz w:val="24"/>
          <w:highlight w:val="none"/>
          <w:lang w:val="en-US" w:eastAsia="zh-CN"/>
        </w:rPr>
        <w:t>：</w:t>
      </w:r>
    </w:p>
    <w:p w14:paraId="0734E2A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kern w:val="1"/>
          <w:sz w:val="24"/>
          <w:highlight w:val="none"/>
          <w:lang w:val="en-US" w:eastAsia="zh-CN"/>
        </w:rPr>
      </w:pPr>
      <w:r>
        <w:rPr>
          <w:rFonts w:hint="eastAsia" w:ascii="宋体" w:hAnsi="宋体" w:cs="宋体"/>
          <w:color w:val="auto"/>
          <w:kern w:val="1"/>
          <w:sz w:val="24"/>
          <w:highlight w:val="none"/>
          <w:lang w:val="en-US" w:eastAsia="zh-CN"/>
        </w:rPr>
        <w:t>参培学生2027年高考结束录取结果出来后（在完成国内顶尖名校录取人数</w:t>
      </w:r>
      <w:r>
        <w:rPr>
          <w:rFonts w:hint="eastAsia" w:ascii="宋体" w:hAnsi="宋体" w:cs="宋体"/>
          <w:b/>
          <w:bCs/>
          <w:color w:val="auto"/>
          <w:kern w:val="1"/>
          <w:sz w:val="24"/>
          <w:highlight w:val="none"/>
          <w:lang w:val="en-US" w:eastAsia="zh-CN"/>
        </w:rPr>
        <w:t>基本目标考核</w:t>
      </w:r>
      <w:r>
        <w:rPr>
          <w:rFonts w:hint="eastAsia" w:ascii="宋体" w:hAnsi="宋体" w:cs="宋体"/>
          <w:color w:val="auto"/>
          <w:kern w:val="1"/>
          <w:sz w:val="24"/>
          <w:highlight w:val="none"/>
          <w:lang w:val="en-US" w:eastAsia="zh-CN"/>
        </w:rPr>
        <w:t>基础上），完成国内顶尖名校录取6或7人，从第6个人算起，奖励20万元/人*（1一中标下浮率）；完成国内顶尖名校录取8人及以上，从第8个人算起（上不封顶），奖励30万元/人*（1一中标下浮率）），按照上述目标考核标准进行目标成果费用的支付。若市财政专项经费打入新海高级中学账户一周内，甲方按上述目标考核标准将目标成果费用支付给乙方</w:t>
      </w:r>
      <w:r>
        <w:rPr>
          <w:rFonts w:ascii="宋体" w:hAnsi="宋体" w:eastAsia="宋体" w:cs="宋体"/>
          <w:color w:val="auto"/>
          <w:sz w:val="24"/>
          <w:highlight w:val="none"/>
        </w:rPr>
        <w:t>（乙方需提供等额税票</w:t>
      </w:r>
      <w:r>
        <w:rPr>
          <w:rFonts w:hint="eastAsia" w:ascii="宋体" w:hAnsi="宋体" w:eastAsia="宋体" w:cs="宋体"/>
          <w:color w:val="auto"/>
          <w:sz w:val="24"/>
          <w:highlight w:val="none"/>
          <w:lang w:eastAsia="zh-CN"/>
        </w:rPr>
        <w:t>）</w:t>
      </w:r>
      <w:r>
        <w:rPr>
          <w:rFonts w:hint="eastAsia" w:ascii="宋体" w:hAnsi="宋体" w:cs="宋体"/>
          <w:color w:val="auto"/>
          <w:kern w:val="1"/>
          <w:sz w:val="24"/>
          <w:highlight w:val="none"/>
          <w:lang w:val="en-US" w:eastAsia="zh-CN"/>
        </w:rPr>
        <w:t>。</w:t>
      </w:r>
    </w:p>
    <w:p w14:paraId="5DF6A2B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2、★本项目报价方式为报价</w:t>
      </w:r>
      <w:r>
        <w:rPr>
          <w:rFonts w:hint="eastAsia" w:ascii="宋体" w:hAnsi="宋体" w:cs="Times New Roman"/>
          <w:b/>
          <w:bCs/>
          <w:color w:val="auto"/>
          <w:sz w:val="24"/>
          <w:szCs w:val="24"/>
          <w:highlight w:val="none"/>
          <w:lang w:val="en-US" w:eastAsia="zh-CN"/>
        </w:rPr>
        <w:t>下浮</w:t>
      </w:r>
      <w:r>
        <w:rPr>
          <w:rFonts w:hint="eastAsia" w:ascii="宋体" w:hAnsi="宋体" w:eastAsia="宋体" w:cs="Times New Roman"/>
          <w:b/>
          <w:bCs/>
          <w:color w:val="auto"/>
          <w:sz w:val="24"/>
          <w:szCs w:val="24"/>
          <w:highlight w:val="none"/>
          <w:lang w:val="en-US" w:eastAsia="zh-CN"/>
        </w:rPr>
        <w:t>率</w:t>
      </w:r>
      <w:r>
        <w:rPr>
          <w:rFonts w:hint="eastAsia" w:ascii="宋体" w:hAnsi="宋体" w:cs="Times New Roman"/>
          <w:b/>
          <w:bCs/>
          <w:color w:val="auto"/>
          <w:sz w:val="24"/>
          <w:szCs w:val="24"/>
          <w:highlight w:val="none"/>
          <w:lang w:val="en-US" w:eastAsia="zh-CN"/>
        </w:rPr>
        <w:t>，投标</w:t>
      </w:r>
      <w:r>
        <w:rPr>
          <w:rFonts w:hint="eastAsia" w:ascii="宋体" w:hAnsi="宋体" w:eastAsia="宋体" w:cs="Times New Roman"/>
          <w:b/>
          <w:bCs/>
          <w:color w:val="auto"/>
          <w:sz w:val="24"/>
          <w:szCs w:val="24"/>
          <w:highlight w:val="none"/>
          <w:lang w:val="en-US" w:eastAsia="zh-CN"/>
        </w:rPr>
        <w:t>报价采用下浮比例报价，0%≤下浮比例＜100%，超出该范围的响应无效</w:t>
      </w:r>
      <w:r>
        <w:rPr>
          <w:rFonts w:hint="eastAsia" w:ascii="宋体" w:hAnsi="宋体" w:cs="Times New Roman"/>
          <w:color w:val="auto"/>
          <w:sz w:val="24"/>
          <w:szCs w:val="24"/>
          <w:highlight w:val="none"/>
          <w:lang w:val="en-US" w:eastAsia="zh-CN"/>
        </w:rPr>
        <w:t>。</w:t>
      </w:r>
    </w:p>
    <w:p w14:paraId="7C61BB4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Times New Roman"/>
          <w:b/>
          <w:bCs/>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第一阶段过程费用的下浮率和</w:t>
      </w:r>
      <w:r>
        <w:rPr>
          <w:rFonts w:hint="eastAsia" w:ascii="宋体" w:hAnsi="宋体" w:cs="Times New Roman"/>
          <w:b/>
          <w:bCs/>
          <w:color w:val="auto"/>
          <w:sz w:val="24"/>
          <w:szCs w:val="24"/>
          <w:highlight w:val="none"/>
          <w:lang w:val="en-US" w:eastAsia="zh-CN"/>
        </w:rPr>
        <w:t>第二阶段</w:t>
      </w:r>
      <w:r>
        <w:rPr>
          <w:rFonts w:hint="eastAsia" w:ascii="宋体" w:hAnsi="宋体" w:eastAsia="宋体" w:cs="Times New Roman"/>
          <w:b/>
          <w:bCs/>
          <w:color w:val="auto"/>
          <w:sz w:val="24"/>
          <w:szCs w:val="24"/>
          <w:highlight w:val="none"/>
          <w:lang w:val="en-US" w:eastAsia="zh-CN"/>
        </w:rPr>
        <w:t>成果费用的下浮率</w:t>
      </w:r>
      <w:r>
        <w:rPr>
          <w:rFonts w:hint="eastAsia" w:ascii="宋体" w:hAnsi="宋体" w:cs="Times New Roman"/>
          <w:b/>
          <w:bCs/>
          <w:color w:val="auto"/>
          <w:sz w:val="24"/>
          <w:szCs w:val="24"/>
          <w:highlight w:val="none"/>
          <w:lang w:val="en-US" w:eastAsia="zh-CN"/>
        </w:rPr>
        <w:t>须</w:t>
      </w:r>
      <w:r>
        <w:rPr>
          <w:rFonts w:hint="eastAsia" w:ascii="宋体" w:hAnsi="宋体" w:eastAsia="宋体" w:cs="Times New Roman"/>
          <w:b/>
          <w:bCs/>
          <w:color w:val="auto"/>
          <w:sz w:val="24"/>
          <w:szCs w:val="24"/>
          <w:highlight w:val="none"/>
          <w:lang w:val="en-US" w:eastAsia="zh-CN"/>
        </w:rPr>
        <w:t>保持一致</w:t>
      </w:r>
      <w:r>
        <w:rPr>
          <w:rFonts w:hint="eastAsia" w:ascii="宋体" w:hAnsi="宋体" w:cs="Times New Roman"/>
          <w:b/>
          <w:bCs/>
          <w:color w:val="auto"/>
          <w:sz w:val="24"/>
          <w:szCs w:val="24"/>
          <w:highlight w:val="none"/>
          <w:lang w:val="en-US" w:eastAsia="zh-CN"/>
        </w:rPr>
        <w:t>；</w:t>
      </w:r>
    </w:p>
    <w:p w14:paraId="2D89011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cs="宋体"/>
          <w:color w:val="auto"/>
          <w:kern w:val="1"/>
          <w:sz w:val="24"/>
          <w:highlight w:val="none"/>
          <w:lang w:val="en-US" w:eastAsia="zh-CN"/>
        </w:rPr>
        <w:t xml:space="preserve">    </w:t>
      </w:r>
      <w:r>
        <w:rPr>
          <w:rFonts w:hint="eastAsia" w:ascii="宋体" w:hAnsi="宋体" w:eastAsia="宋体" w:cs="宋体"/>
          <w:b/>
          <w:bCs/>
          <w:color w:val="auto"/>
          <w:sz w:val="28"/>
          <w:szCs w:val="28"/>
          <w:highlight w:val="none"/>
          <w:lang w:val="en-US" w:eastAsia="zh-CN"/>
        </w:rPr>
        <w:t>五、基础课课程安排</w:t>
      </w:r>
    </w:p>
    <w:p w14:paraId="02CB64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1.课程说明</w:t>
      </w:r>
    </w:p>
    <w:p w14:paraId="21F866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主要采用</w:t>
      </w:r>
      <w:r>
        <w:rPr>
          <w:rFonts w:hint="eastAsia" w:ascii="宋体" w:hAnsi="宋体" w:eastAsia="宋体" w:cs="宋体"/>
          <w:color w:val="auto"/>
          <w:sz w:val="24"/>
          <w:szCs w:val="24"/>
          <w:highlight w:val="none"/>
          <w:lang w:val="en-US" w:eastAsia="zh-CN"/>
        </w:rPr>
        <w:t>线下</w:t>
      </w:r>
      <w:r>
        <w:rPr>
          <w:rFonts w:hint="eastAsia" w:ascii="宋体" w:hAnsi="宋体" w:cs="宋体"/>
          <w:color w:val="auto"/>
          <w:sz w:val="24"/>
          <w:szCs w:val="24"/>
          <w:highlight w:val="none"/>
          <w:lang w:val="en-US" w:eastAsia="zh-CN"/>
        </w:rPr>
        <w:t>授课方式</w:t>
      </w:r>
      <w:r>
        <w:rPr>
          <w:rFonts w:hint="eastAsia" w:ascii="宋体" w:hAnsi="宋体" w:eastAsia="宋体" w:cs="宋体"/>
          <w:color w:val="auto"/>
          <w:sz w:val="24"/>
          <w:szCs w:val="24"/>
          <w:highlight w:val="none"/>
          <w:lang w:val="en-US" w:eastAsia="zh-CN"/>
        </w:rPr>
        <w:t>：利用周末、节假日+寒假整块时间，弹性排课</w:t>
      </w:r>
      <w:r>
        <w:rPr>
          <w:rFonts w:hint="eastAsia" w:ascii="宋体" w:hAnsi="宋体" w:cs="宋体"/>
          <w:color w:val="auto"/>
          <w:sz w:val="24"/>
          <w:szCs w:val="24"/>
          <w:highlight w:val="none"/>
          <w:lang w:val="en-US" w:eastAsia="zh-CN"/>
        </w:rPr>
        <w:t>，每天6-8课时</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授课具体时间安排与进度，由中标方与采购方协商根据教学和学生掌握情况灵活决定。</w:t>
      </w:r>
    </w:p>
    <w:p w14:paraId="08E299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2.效果保障：</w:t>
      </w:r>
    </w:p>
    <w:p w14:paraId="7A7629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阶段测评：每结束一个模块做一次“小测+诊断”，生成个人雷达图，薄弱点3日内匹配 1对1 精补。考情联动：对接统考、期中/末等关键考试，考后48h内出具数据报告，据此在下一周期（≤1 周）微调教学进度与重难点。</w:t>
      </w:r>
    </w:p>
    <w:p w14:paraId="65D860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教师共建：邀校内青年骨干随堂听课，协助辅导并共建校本教材。</w:t>
      </w:r>
    </w:p>
    <w:p w14:paraId="2B0FA9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全程陪伴</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关注成绩、关注心情；不定期请清北学长分享备考经验。</w:t>
      </w:r>
    </w:p>
    <w:p w14:paraId="7EA53CF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jc w:val="left"/>
        <w:textAlignment w:val="auto"/>
        <w:rPr>
          <w:rFonts w:hint="default" w:ascii="宋体" w:hAnsi="宋体" w:eastAsia="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lang w:val="en-US" w:eastAsia="zh-CN"/>
        </w:rPr>
        <w:t>★投标人中标后签订合同前提供五门学科（语文、数学、英语、物理、化学）培训内容计划书和教学质量监控措施；</w:t>
      </w:r>
    </w:p>
    <w:p w14:paraId="320D52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142" w:right="-62" w:firstLine="567"/>
        <w:jc w:val="both"/>
        <w:textAlignment w:val="auto"/>
        <w:rPr>
          <w:rFonts w:hint="eastAsia" w:ascii="宋体" w:hAnsi="宋体" w:eastAsia="宋体" w:cs="宋体"/>
          <w:color w:val="auto"/>
          <w:sz w:val="24"/>
          <w:szCs w:val="24"/>
          <w:highlight w:val="none"/>
          <w:lang w:val="en-US" w:eastAsia="zh-CN"/>
        </w:rPr>
      </w:pPr>
    </w:p>
    <w:p w14:paraId="561FFBCF">
      <w:pPr>
        <w:rPr>
          <w:rFonts w:hint="eastAsia" w:ascii="宋体" w:hAnsi="宋体" w:eastAsia="宋体" w:cs="宋体"/>
          <w:color w:val="auto"/>
          <w:sz w:val="44"/>
          <w:szCs w:val="44"/>
          <w:highlight w:val="none"/>
        </w:rPr>
      </w:pPr>
      <w:bookmarkStart w:id="261" w:name="_Toc3818"/>
      <w:r>
        <w:rPr>
          <w:rFonts w:hint="eastAsia" w:ascii="宋体" w:hAnsi="宋体" w:eastAsia="宋体" w:cs="宋体"/>
          <w:color w:val="auto"/>
          <w:sz w:val="44"/>
          <w:szCs w:val="44"/>
          <w:highlight w:val="none"/>
        </w:rPr>
        <w:br w:type="page"/>
      </w:r>
    </w:p>
    <w:p w14:paraId="167DC944">
      <w:pPr>
        <w:pStyle w:val="213"/>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第五章  评标方法与评标标准</w:t>
      </w:r>
      <w:bookmarkEnd w:id="257"/>
      <w:bookmarkEnd w:id="261"/>
    </w:p>
    <w:p w14:paraId="2819E0A8">
      <w:pPr>
        <w:rPr>
          <w:rFonts w:ascii="宋体" w:hAnsi="宋体" w:cs="宋体"/>
          <w:color w:val="auto"/>
          <w:highlight w:val="none"/>
        </w:rPr>
      </w:pPr>
    </w:p>
    <w:p w14:paraId="01AD3B2A">
      <w:pPr>
        <w:widowControl/>
        <w:spacing w:line="360" w:lineRule="auto"/>
        <w:ind w:firstLine="482"/>
        <w:rPr>
          <w:rFonts w:ascii="宋体" w:hAnsi="宋体" w:cs="宋体"/>
          <w:color w:val="auto"/>
          <w:sz w:val="24"/>
          <w:highlight w:val="none"/>
        </w:rPr>
      </w:pPr>
      <w:r>
        <w:rPr>
          <w:rFonts w:hint="eastAsia" w:ascii="宋体" w:hAnsi="宋体" w:cs="宋体"/>
          <w:color w:val="auto"/>
          <w:sz w:val="24"/>
          <w:highlight w:val="none"/>
        </w:rPr>
        <w:t>一、评标方法：综合评分法</w:t>
      </w:r>
    </w:p>
    <w:p w14:paraId="45B0E3A2">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综合评分法，是指投标文件满足招标文件全部实质性要求，且按照评审因素的量化指标评审得分最高的投标人为中标候选人的评标办法。</w:t>
      </w:r>
    </w:p>
    <w:p w14:paraId="4EBAEDA0">
      <w:pPr>
        <w:widowControl/>
        <w:spacing w:line="360" w:lineRule="auto"/>
        <w:ind w:firstLine="482"/>
        <w:rPr>
          <w:rFonts w:ascii="宋体" w:hAnsi="宋体" w:cs="宋体"/>
          <w:color w:val="auto"/>
          <w:sz w:val="24"/>
          <w:highlight w:val="none"/>
        </w:rPr>
      </w:pPr>
      <w:r>
        <w:rPr>
          <w:rFonts w:hint="eastAsia" w:ascii="宋体" w:hAnsi="宋体" w:cs="宋体"/>
          <w:color w:val="auto"/>
          <w:sz w:val="24"/>
          <w:highlight w:val="none"/>
        </w:rPr>
        <w:t>二、评标原则：评标委员会必须公平、公正、客观，不带任何倾向性和启发性；不得向外界透露任何与评标有关的内容；任何单位和个人不得干扰、影响评标的正常进行；评标委员会及有关工作人员不得私下与供应商接触。</w:t>
      </w:r>
    </w:p>
    <w:p w14:paraId="66194A7F">
      <w:pPr>
        <w:widowControl/>
        <w:spacing w:line="360" w:lineRule="auto"/>
        <w:ind w:firstLine="482"/>
        <w:rPr>
          <w:rFonts w:ascii="宋体" w:hAnsi="宋体" w:cs="宋体"/>
          <w:color w:val="auto"/>
          <w:sz w:val="24"/>
          <w:highlight w:val="none"/>
        </w:rPr>
      </w:pPr>
      <w:r>
        <w:rPr>
          <w:rFonts w:hint="eastAsia" w:ascii="宋体" w:hAnsi="宋体" w:cs="宋体"/>
          <w:color w:val="auto"/>
          <w:sz w:val="24"/>
          <w:highlight w:val="none"/>
        </w:rPr>
        <w:t>三、评标标准：</w:t>
      </w:r>
    </w:p>
    <w:p w14:paraId="28250A06">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1.评标时，评标委员会以招标文件为评标依据，评标委员会各成员独立对每个投标人的投标文件进行评价，并汇总每个投标人的得分。</w:t>
      </w:r>
    </w:p>
    <w:p w14:paraId="6CCDF7A0">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2.本项目评分总分为100分，按四舍五入取至小数点后两位。</w:t>
      </w:r>
    </w:p>
    <w:p w14:paraId="0FF0C9E5">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3.总得分=价格分+商务技术分</w:t>
      </w:r>
    </w:p>
    <w:p w14:paraId="2FAA54C7">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前三名为中标候选人。</w:t>
      </w:r>
    </w:p>
    <w:p w14:paraId="42A0E83E">
      <w:pPr>
        <w:pStyle w:val="33"/>
        <w:tabs>
          <w:tab w:val="clear" w:pos="916"/>
        </w:tabs>
        <w:spacing w:line="360" w:lineRule="auto"/>
        <w:ind w:left="732" w:hanging="341"/>
        <w:jc w:val="center"/>
        <w:rPr>
          <w:color w:val="auto"/>
          <w:sz w:val="28"/>
          <w:szCs w:val="28"/>
          <w:highlight w:val="none"/>
        </w:rPr>
      </w:pPr>
      <w:r>
        <w:rPr>
          <w:rFonts w:hint="eastAsia"/>
          <w:color w:val="auto"/>
          <w:sz w:val="28"/>
          <w:szCs w:val="28"/>
          <w:highlight w:val="none"/>
        </w:rPr>
        <w:t>综合评分法</w:t>
      </w:r>
    </w:p>
    <w:p w14:paraId="3AF6D408">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1.价格分：</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p>
    <w:p w14:paraId="71E9A4F3">
      <w:pPr>
        <w:widowControl/>
        <w:spacing w:line="480" w:lineRule="exact"/>
        <w:ind w:firstLine="480"/>
        <w:rPr>
          <w:rFonts w:ascii="宋体" w:hAnsi="宋体" w:cs="宋体"/>
          <w:color w:val="auto"/>
          <w:sz w:val="24"/>
          <w:highlight w:val="none"/>
        </w:rPr>
      </w:pPr>
      <w:r>
        <w:rPr>
          <w:rFonts w:hint="eastAsia" w:ascii="宋体" w:hAnsi="宋体" w:cs="宋体"/>
          <w:color w:val="auto"/>
          <w:sz w:val="24"/>
          <w:highlight w:val="none"/>
        </w:rPr>
        <w:t>采用低价优先法计算，即满足招标文件要求且投标价格最低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以（1-下浮比例））</w:t>
      </w:r>
      <w:r>
        <w:rPr>
          <w:rFonts w:hint="eastAsia" w:ascii="宋体" w:hAnsi="宋体" w:cs="宋体"/>
          <w:color w:val="auto"/>
          <w:sz w:val="24"/>
          <w:highlight w:val="none"/>
        </w:rPr>
        <w:t>的投标报价为评标基准价，其价格分为满分。其他投标人的价格分统一按照下列公式计算：</w:t>
      </w:r>
    </w:p>
    <w:p w14:paraId="11464BCA">
      <w:pPr>
        <w:widowControl/>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投标报价得分=（评标基准价/投标报价）×</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r>
        <w:rPr>
          <w:rFonts w:hint="eastAsia" w:ascii="宋体" w:hAnsi="宋体" w:cs="宋体"/>
          <w:color w:val="auto"/>
          <w:sz w:val="24"/>
          <w:highlight w:val="none"/>
        </w:rPr>
        <w:t>小数点后保留两位。</w:t>
      </w:r>
    </w:p>
    <w:p w14:paraId="4DAB0831">
      <w:pPr>
        <w:widowControl/>
        <w:spacing w:line="480" w:lineRule="exact"/>
        <w:ind w:firstLine="480"/>
        <w:rPr>
          <w:rFonts w:ascii="宋体" w:hAnsi="宋体" w:cs="宋体"/>
          <w:color w:val="auto"/>
          <w:sz w:val="24"/>
          <w:highlight w:val="none"/>
        </w:rPr>
      </w:pPr>
      <w:r>
        <w:rPr>
          <w:rFonts w:ascii="宋体" w:hAnsi="宋体" w:eastAsia="宋体" w:cs="宋体"/>
          <w:color w:val="auto"/>
          <w:sz w:val="24"/>
          <w:szCs w:val="21"/>
          <w:highlight w:val="none"/>
          <w:lang w:val="en-US" w:eastAsia="zh-CN" w:bidi="ar-SA"/>
        </w:rPr>
        <w:t>2.</w:t>
      </w:r>
      <w:r>
        <w:rPr>
          <w:rFonts w:hint="eastAsia" w:ascii="宋体" w:hAnsi="宋体" w:cs="宋体"/>
          <w:color w:val="auto"/>
          <w:sz w:val="24"/>
          <w:highlight w:val="none"/>
        </w:rPr>
        <w:t>商务技术分：</w:t>
      </w:r>
      <w:r>
        <w:rPr>
          <w:rFonts w:hint="eastAsia" w:ascii="宋体" w:hAnsi="宋体" w:cs="宋体"/>
          <w:color w:val="auto"/>
          <w:sz w:val="24"/>
          <w:highlight w:val="none"/>
          <w:lang w:val="en-US" w:eastAsia="zh-CN"/>
        </w:rPr>
        <w:t>90</w:t>
      </w:r>
      <w:r>
        <w:rPr>
          <w:rFonts w:hint="eastAsia" w:ascii="宋体" w:hAnsi="宋体" w:cs="宋体"/>
          <w:color w:val="auto"/>
          <w:sz w:val="24"/>
          <w:highlight w:val="none"/>
        </w:rPr>
        <w:t>分</w:t>
      </w:r>
    </w:p>
    <w:tbl>
      <w:tblPr>
        <w:tblStyle w:val="36"/>
        <w:tblW w:w="9946" w:type="dxa"/>
        <w:tblInd w:w="-141" w:type="dxa"/>
        <w:tblLayout w:type="autofit"/>
        <w:tblCellMar>
          <w:top w:w="0" w:type="dxa"/>
          <w:left w:w="0" w:type="dxa"/>
          <w:bottom w:w="0" w:type="dxa"/>
          <w:right w:w="0" w:type="dxa"/>
        </w:tblCellMar>
      </w:tblPr>
      <w:tblGrid>
        <w:gridCol w:w="1089"/>
        <w:gridCol w:w="775"/>
        <w:gridCol w:w="8082"/>
      </w:tblGrid>
      <w:tr w14:paraId="29D6A021">
        <w:tblPrEx>
          <w:tblCellMar>
            <w:top w:w="0" w:type="dxa"/>
            <w:left w:w="0" w:type="dxa"/>
            <w:bottom w:w="0" w:type="dxa"/>
            <w:right w:w="0" w:type="dxa"/>
          </w:tblCellMar>
        </w:tblPrEx>
        <w:trPr>
          <w:trHeight w:val="627" w:hRule="atLeast"/>
        </w:trPr>
        <w:tc>
          <w:tcPr>
            <w:tcW w:w="1089" w:type="dxa"/>
            <w:tcBorders>
              <w:top w:val="single" w:color="000000" w:sz="4" w:space="0"/>
              <w:left w:val="single" w:color="000000" w:sz="4" w:space="0"/>
              <w:bottom w:val="single" w:color="000000" w:sz="4" w:space="0"/>
              <w:right w:val="single" w:color="000000" w:sz="4" w:space="0"/>
            </w:tcBorders>
            <w:vAlign w:val="center"/>
          </w:tcPr>
          <w:p w14:paraId="58390766">
            <w:pPr>
              <w:pStyle w:val="329"/>
              <w:jc w:val="center"/>
              <w:rPr>
                <w:b/>
                <w:color w:val="auto"/>
                <w:sz w:val="24"/>
                <w:highlight w:val="none"/>
              </w:rPr>
            </w:pPr>
            <w:r>
              <w:rPr>
                <w:b/>
                <w:color w:val="auto"/>
                <w:sz w:val="24"/>
                <w:highlight w:val="none"/>
              </w:rPr>
              <w:t>类别</w:t>
            </w:r>
          </w:p>
        </w:tc>
        <w:tc>
          <w:tcPr>
            <w:tcW w:w="775" w:type="dxa"/>
            <w:tcBorders>
              <w:top w:val="single" w:color="000000" w:sz="4" w:space="0"/>
              <w:left w:val="single" w:color="000000" w:sz="4" w:space="0"/>
              <w:bottom w:val="single" w:color="000000" w:sz="4" w:space="0"/>
              <w:right w:val="single" w:color="000000" w:sz="4" w:space="0"/>
            </w:tcBorders>
            <w:vAlign w:val="center"/>
          </w:tcPr>
          <w:p w14:paraId="5B495D76">
            <w:pPr>
              <w:pStyle w:val="329"/>
              <w:jc w:val="center"/>
              <w:rPr>
                <w:b/>
                <w:color w:val="auto"/>
                <w:sz w:val="24"/>
                <w:highlight w:val="none"/>
              </w:rPr>
            </w:pPr>
            <w:r>
              <w:rPr>
                <w:b/>
                <w:color w:val="auto"/>
                <w:sz w:val="24"/>
                <w:highlight w:val="none"/>
              </w:rPr>
              <w:t>评审因素</w:t>
            </w:r>
          </w:p>
        </w:tc>
        <w:tc>
          <w:tcPr>
            <w:tcW w:w="8082" w:type="dxa"/>
            <w:tcBorders>
              <w:top w:val="single" w:color="000000" w:sz="4" w:space="0"/>
              <w:left w:val="single" w:color="000000" w:sz="4" w:space="0"/>
              <w:bottom w:val="single" w:color="000000" w:sz="4" w:space="0"/>
              <w:right w:val="single" w:color="000000" w:sz="4" w:space="0"/>
            </w:tcBorders>
            <w:vAlign w:val="center"/>
          </w:tcPr>
          <w:p w14:paraId="4B64CA87">
            <w:pPr>
              <w:pStyle w:val="329"/>
              <w:jc w:val="center"/>
              <w:rPr>
                <w:b/>
                <w:color w:val="auto"/>
                <w:sz w:val="24"/>
                <w:highlight w:val="none"/>
              </w:rPr>
            </w:pPr>
            <w:r>
              <w:rPr>
                <w:b/>
                <w:color w:val="auto"/>
                <w:sz w:val="24"/>
                <w:highlight w:val="none"/>
              </w:rPr>
              <w:t>评审标准</w:t>
            </w:r>
          </w:p>
        </w:tc>
      </w:tr>
      <w:tr w14:paraId="7EC8822A">
        <w:tblPrEx>
          <w:tblCellMar>
            <w:top w:w="0" w:type="dxa"/>
            <w:left w:w="0" w:type="dxa"/>
            <w:bottom w:w="0" w:type="dxa"/>
            <w:right w:w="0" w:type="dxa"/>
          </w:tblCellMar>
        </w:tblPrEx>
        <w:trPr>
          <w:trHeight w:val="90" w:hRule="atLeast"/>
        </w:trPr>
        <w:tc>
          <w:tcPr>
            <w:tcW w:w="1089" w:type="dxa"/>
            <w:vMerge w:val="restart"/>
            <w:tcBorders>
              <w:top w:val="single" w:color="000000" w:sz="4" w:space="0"/>
              <w:left w:val="single" w:color="000000" w:sz="4" w:space="0"/>
              <w:right w:val="single" w:color="000000" w:sz="4" w:space="0"/>
            </w:tcBorders>
            <w:vAlign w:val="center"/>
          </w:tcPr>
          <w:p w14:paraId="0DBCEE4C">
            <w:pPr>
              <w:pStyle w:val="346"/>
              <w:spacing w:before="59" w:line="400" w:lineRule="exact"/>
              <w:rPr>
                <w:rFonts w:ascii="宋体" w:hAnsi="宋体" w:eastAsia="宋体"/>
                <w:bCs/>
                <w:color w:val="auto"/>
                <w:kern w:val="1"/>
                <w:szCs w:val="24"/>
                <w:highlight w:val="none"/>
              </w:rPr>
            </w:pPr>
            <w:r>
              <w:rPr>
                <w:rFonts w:hint="eastAsia" w:ascii="宋体" w:hAnsi="宋体" w:eastAsia="宋体"/>
                <w:bCs/>
                <w:color w:val="auto"/>
                <w:kern w:val="1"/>
                <w:szCs w:val="24"/>
                <w:highlight w:val="none"/>
              </w:rPr>
              <w:t>商务部分</w:t>
            </w:r>
          </w:p>
          <w:p w14:paraId="70FE3143">
            <w:pPr>
              <w:pStyle w:val="329"/>
              <w:spacing w:before="98" w:line="400" w:lineRule="exact"/>
              <w:ind w:left="180" w:right="174"/>
              <w:jc w:val="center"/>
              <w:rPr>
                <w:color w:val="auto"/>
                <w:sz w:val="24"/>
                <w:szCs w:val="24"/>
                <w:highlight w:val="none"/>
                <w:lang w:val="en-US" w:bidi="ar-SA"/>
              </w:rPr>
            </w:pPr>
            <w:r>
              <w:rPr>
                <w:rFonts w:hint="eastAsia"/>
                <w:bCs/>
                <w:color w:val="auto"/>
                <w:sz w:val="24"/>
                <w:szCs w:val="24"/>
                <w:highlight w:val="none"/>
                <w:lang w:val="en-US" w:eastAsia="zh-CN" w:bidi="ar-SA"/>
              </w:rPr>
              <w:t>48</w:t>
            </w:r>
            <w:r>
              <w:rPr>
                <w:rFonts w:hint="eastAsia"/>
                <w:bCs/>
                <w:color w:val="auto"/>
                <w:sz w:val="24"/>
                <w:szCs w:val="24"/>
                <w:highlight w:val="none"/>
                <w:lang w:val="en-US" w:bidi="ar-SA"/>
              </w:rPr>
              <w:t>分</w:t>
            </w:r>
          </w:p>
        </w:tc>
        <w:tc>
          <w:tcPr>
            <w:tcW w:w="775" w:type="dxa"/>
            <w:tcBorders>
              <w:top w:val="single" w:color="000000" w:sz="4" w:space="0"/>
              <w:left w:val="single" w:color="000000" w:sz="4" w:space="0"/>
              <w:bottom w:val="single" w:color="000000" w:sz="4" w:space="0"/>
              <w:right w:val="single" w:color="000000" w:sz="4" w:space="0"/>
            </w:tcBorders>
            <w:vAlign w:val="center"/>
          </w:tcPr>
          <w:p w14:paraId="6D7E31BE">
            <w:pPr>
              <w:pStyle w:val="329"/>
              <w:spacing w:line="400" w:lineRule="exact"/>
              <w:jc w:val="center"/>
              <w:rPr>
                <w:bCs/>
                <w:color w:val="auto"/>
                <w:sz w:val="24"/>
                <w:szCs w:val="24"/>
                <w:highlight w:val="none"/>
              </w:rPr>
            </w:pPr>
            <w:r>
              <w:rPr>
                <w:rFonts w:hint="eastAsia"/>
                <w:bCs/>
                <w:color w:val="auto"/>
                <w:sz w:val="24"/>
                <w:szCs w:val="24"/>
                <w:highlight w:val="none"/>
              </w:rPr>
              <w:t>业绩</w:t>
            </w:r>
          </w:p>
          <w:p w14:paraId="604090FB">
            <w:pPr>
              <w:pStyle w:val="329"/>
              <w:spacing w:line="400" w:lineRule="exact"/>
              <w:jc w:val="center"/>
              <w:rPr>
                <w:bCs/>
                <w:color w:val="auto"/>
                <w:sz w:val="24"/>
                <w:szCs w:val="24"/>
                <w:highlight w:val="none"/>
              </w:rPr>
            </w:pPr>
            <w:r>
              <w:rPr>
                <w:rFonts w:hint="eastAsia"/>
                <w:bCs/>
                <w:color w:val="auto"/>
                <w:sz w:val="24"/>
                <w:szCs w:val="24"/>
                <w:highlight w:val="none"/>
                <w:lang w:val="en-US" w:eastAsia="zh-CN"/>
              </w:rPr>
              <w:t>12</w:t>
            </w:r>
            <w:r>
              <w:rPr>
                <w:rFonts w:hint="eastAsia"/>
                <w:bCs/>
                <w:color w:val="auto"/>
                <w:sz w:val="24"/>
                <w:szCs w:val="24"/>
                <w:highlight w:val="none"/>
              </w:rPr>
              <w:t>分</w:t>
            </w:r>
          </w:p>
        </w:tc>
        <w:tc>
          <w:tcPr>
            <w:tcW w:w="8082" w:type="dxa"/>
            <w:tcBorders>
              <w:top w:val="single" w:color="000000" w:sz="4" w:space="0"/>
              <w:left w:val="single" w:color="000000" w:sz="4" w:space="0"/>
              <w:bottom w:val="single" w:color="000000" w:sz="4" w:space="0"/>
              <w:right w:val="single" w:color="000000" w:sz="4" w:space="0"/>
            </w:tcBorders>
          </w:tcPr>
          <w:p w14:paraId="5A8CF5AD">
            <w:pPr>
              <w:pStyle w:val="329"/>
              <w:keepNext w:val="0"/>
              <w:keepLines w:val="0"/>
              <w:pageBreakBefore w:val="0"/>
              <w:widowControl w:val="0"/>
              <w:kinsoku/>
              <w:wordWrap/>
              <w:overflowPunct/>
              <w:topLinePunct w:val="0"/>
              <w:autoSpaceDE/>
              <w:autoSpaceDN/>
              <w:bidi w:val="0"/>
              <w:adjustRightInd/>
              <w:snapToGrid/>
              <w:spacing w:line="480" w:lineRule="exact"/>
              <w:textAlignment w:val="auto"/>
              <w:rPr>
                <w:bCs/>
                <w:color w:val="auto"/>
                <w:sz w:val="24"/>
                <w:szCs w:val="24"/>
                <w:highlight w:val="none"/>
              </w:rPr>
            </w:pPr>
            <w:r>
              <w:rPr>
                <w:rFonts w:hint="eastAsia"/>
                <w:bCs/>
                <w:color w:val="auto"/>
                <w:sz w:val="24"/>
                <w:szCs w:val="24"/>
                <w:highlight w:val="none"/>
              </w:rPr>
              <w:t>投标人自20</w:t>
            </w:r>
            <w:r>
              <w:rPr>
                <w:rFonts w:hint="eastAsia"/>
                <w:bCs/>
                <w:color w:val="auto"/>
                <w:sz w:val="24"/>
                <w:szCs w:val="24"/>
                <w:highlight w:val="none"/>
                <w:lang w:val="en-US" w:eastAsia="zh-CN"/>
              </w:rPr>
              <w:t>19</w:t>
            </w:r>
            <w:r>
              <w:rPr>
                <w:rFonts w:hint="eastAsia"/>
                <w:bCs/>
                <w:color w:val="auto"/>
                <w:sz w:val="24"/>
                <w:szCs w:val="24"/>
                <w:highlight w:val="none"/>
              </w:rPr>
              <w:t>年1月1日</w:t>
            </w:r>
            <w:r>
              <w:rPr>
                <w:rFonts w:hint="eastAsia"/>
                <w:bCs/>
                <w:color w:val="auto"/>
                <w:sz w:val="24"/>
                <w:szCs w:val="24"/>
                <w:highlight w:val="none"/>
                <w:lang w:eastAsia="zh-CN"/>
              </w:rPr>
              <w:t>（</w:t>
            </w:r>
            <w:r>
              <w:rPr>
                <w:rFonts w:hint="eastAsia"/>
                <w:bCs/>
                <w:color w:val="auto"/>
                <w:sz w:val="24"/>
                <w:szCs w:val="24"/>
                <w:highlight w:val="none"/>
                <w:lang w:val="en-US" w:eastAsia="zh-CN"/>
              </w:rPr>
              <w:t>以</w:t>
            </w:r>
            <w:r>
              <w:rPr>
                <w:rFonts w:hint="eastAsia"/>
                <w:bCs/>
                <w:color w:val="auto"/>
                <w:sz w:val="24"/>
                <w:szCs w:val="24"/>
                <w:highlight w:val="none"/>
                <w:lang w:eastAsia="zh-CN"/>
              </w:rPr>
              <w:t>合同签订时间</w:t>
            </w:r>
            <w:r>
              <w:rPr>
                <w:rFonts w:hint="eastAsia"/>
                <w:bCs/>
                <w:color w:val="auto"/>
                <w:sz w:val="24"/>
                <w:szCs w:val="24"/>
                <w:highlight w:val="none"/>
                <w:lang w:val="en-US" w:eastAsia="zh-CN"/>
              </w:rPr>
              <w:t>为准</w:t>
            </w:r>
            <w:r>
              <w:rPr>
                <w:rFonts w:hint="eastAsia"/>
                <w:bCs/>
                <w:color w:val="auto"/>
                <w:sz w:val="24"/>
                <w:szCs w:val="24"/>
                <w:highlight w:val="none"/>
                <w:lang w:eastAsia="zh-CN"/>
              </w:rPr>
              <w:t>）</w:t>
            </w:r>
            <w:r>
              <w:rPr>
                <w:rFonts w:hint="eastAsia"/>
                <w:bCs/>
                <w:color w:val="auto"/>
                <w:sz w:val="24"/>
                <w:szCs w:val="24"/>
                <w:highlight w:val="none"/>
              </w:rPr>
              <w:t>至今承担</w:t>
            </w:r>
            <w:r>
              <w:rPr>
                <w:rFonts w:hint="eastAsia"/>
                <w:bCs/>
                <w:color w:val="auto"/>
                <w:sz w:val="24"/>
                <w:szCs w:val="24"/>
                <w:highlight w:val="none"/>
                <w:lang w:val="en-US" w:eastAsia="zh-CN"/>
              </w:rPr>
              <w:t>过中学拔尖创新人才培养（合同内容须体现“拔尖创新人才培养”或“高考强基”或“学科培优”等关键字眼）</w:t>
            </w:r>
            <w:r>
              <w:rPr>
                <w:rFonts w:hint="eastAsia"/>
                <w:bCs/>
                <w:color w:val="auto"/>
                <w:sz w:val="24"/>
                <w:szCs w:val="24"/>
                <w:highlight w:val="none"/>
              </w:rPr>
              <w:t>业绩</w:t>
            </w:r>
            <w:r>
              <w:rPr>
                <w:rFonts w:hint="eastAsia"/>
                <w:bCs/>
                <w:color w:val="auto"/>
                <w:sz w:val="24"/>
                <w:szCs w:val="24"/>
                <w:highlight w:val="none"/>
                <w:lang w:val="en-US" w:eastAsia="zh-CN"/>
              </w:rPr>
              <w:t>的</w:t>
            </w:r>
            <w:r>
              <w:rPr>
                <w:rFonts w:hint="eastAsia"/>
                <w:bCs/>
                <w:color w:val="auto"/>
                <w:sz w:val="24"/>
                <w:szCs w:val="24"/>
                <w:highlight w:val="none"/>
              </w:rPr>
              <w:t>有一个得</w:t>
            </w:r>
            <w:r>
              <w:rPr>
                <w:rFonts w:hint="eastAsia"/>
                <w:bCs/>
                <w:color w:val="auto"/>
                <w:sz w:val="24"/>
                <w:szCs w:val="24"/>
                <w:highlight w:val="none"/>
                <w:lang w:val="en-US" w:eastAsia="zh-CN"/>
              </w:rPr>
              <w:t>3</w:t>
            </w:r>
            <w:r>
              <w:rPr>
                <w:rFonts w:hint="eastAsia"/>
                <w:bCs/>
                <w:color w:val="auto"/>
                <w:sz w:val="24"/>
                <w:szCs w:val="24"/>
                <w:highlight w:val="none"/>
              </w:rPr>
              <w:t>分,本项最高得</w:t>
            </w:r>
            <w:r>
              <w:rPr>
                <w:rFonts w:hint="eastAsia"/>
                <w:bCs/>
                <w:color w:val="auto"/>
                <w:sz w:val="24"/>
                <w:szCs w:val="24"/>
                <w:highlight w:val="none"/>
                <w:lang w:val="en-US" w:eastAsia="zh-CN"/>
              </w:rPr>
              <w:t>12</w:t>
            </w:r>
            <w:r>
              <w:rPr>
                <w:rFonts w:hint="eastAsia"/>
                <w:bCs/>
                <w:color w:val="auto"/>
                <w:sz w:val="24"/>
                <w:szCs w:val="24"/>
                <w:highlight w:val="none"/>
              </w:rPr>
              <w:t>分。</w:t>
            </w:r>
          </w:p>
          <w:p w14:paraId="7548B81C">
            <w:pPr>
              <w:pStyle w:val="329"/>
              <w:keepNext w:val="0"/>
              <w:keepLines w:val="0"/>
              <w:pageBreakBefore w:val="0"/>
              <w:widowControl w:val="0"/>
              <w:numPr>
                <w:ilvl w:val="0"/>
                <w:numId w:val="10"/>
              </w:numPr>
              <w:kinsoku/>
              <w:wordWrap/>
              <w:overflowPunct/>
              <w:topLinePunct w:val="0"/>
              <w:autoSpaceDE/>
              <w:autoSpaceDN/>
              <w:bidi w:val="0"/>
              <w:adjustRightInd/>
              <w:snapToGrid/>
              <w:spacing w:line="480" w:lineRule="exact"/>
              <w:textAlignment w:val="auto"/>
              <w:rPr>
                <w:rFonts w:hint="eastAsia"/>
                <w:bCs/>
                <w:color w:val="auto"/>
                <w:sz w:val="24"/>
                <w:szCs w:val="24"/>
                <w:highlight w:val="none"/>
              </w:rPr>
            </w:pPr>
            <w:r>
              <w:rPr>
                <w:rFonts w:hint="eastAsia"/>
                <w:bCs/>
                <w:color w:val="auto"/>
                <w:sz w:val="24"/>
                <w:szCs w:val="24"/>
                <w:highlight w:val="none"/>
              </w:rPr>
              <w:t>业绩证明材料需</w:t>
            </w:r>
            <w:r>
              <w:rPr>
                <w:rFonts w:hint="eastAsia"/>
                <w:bCs/>
                <w:color w:val="auto"/>
                <w:sz w:val="24"/>
                <w:szCs w:val="24"/>
                <w:highlight w:val="none"/>
                <w:lang w:val="en-US" w:eastAsia="zh-CN"/>
              </w:rPr>
              <w:t>提供业绩</w:t>
            </w:r>
            <w:r>
              <w:rPr>
                <w:rFonts w:hint="eastAsia"/>
                <w:bCs/>
                <w:color w:val="auto"/>
                <w:sz w:val="24"/>
                <w:szCs w:val="24"/>
                <w:highlight w:val="none"/>
              </w:rPr>
              <w:t>合同原件扫描件</w:t>
            </w:r>
            <w:r>
              <w:rPr>
                <w:rFonts w:hint="eastAsia"/>
                <w:bCs/>
                <w:color w:val="auto"/>
                <w:sz w:val="24"/>
                <w:szCs w:val="24"/>
                <w:highlight w:val="none"/>
                <w:lang w:val="en-US" w:eastAsia="zh-CN"/>
              </w:rPr>
              <w:t>，</w:t>
            </w:r>
            <w:r>
              <w:rPr>
                <w:rFonts w:hint="eastAsia"/>
                <w:bCs/>
                <w:color w:val="auto"/>
                <w:sz w:val="24"/>
                <w:szCs w:val="24"/>
                <w:highlight w:val="none"/>
                <w:lang w:eastAsia="zh-CN"/>
              </w:rPr>
              <w:t>不提供证明材料或提供证明材料不全者都</w:t>
            </w:r>
            <w:r>
              <w:rPr>
                <w:rFonts w:hint="eastAsia"/>
                <w:bCs/>
                <w:color w:val="auto"/>
                <w:sz w:val="24"/>
                <w:szCs w:val="24"/>
                <w:highlight w:val="none"/>
              </w:rPr>
              <w:t>不得分；</w:t>
            </w:r>
          </w:p>
          <w:p w14:paraId="79093D64">
            <w:pPr>
              <w:pStyle w:val="329"/>
              <w:keepNext w:val="0"/>
              <w:keepLines w:val="0"/>
              <w:pageBreakBefore w:val="0"/>
              <w:widowControl w:val="0"/>
              <w:numPr>
                <w:ilvl w:val="0"/>
                <w:numId w:val="10"/>
              </w:numPr>
              <w:kinsoku/>
              <w:wordWrap/>
              <w:overflowPunct/>
              <w:topLinePunct w:val="0"/>
              <w:autoSpaceDE/>
              <w:autoSpaceDN/>
              <w:bidi w:val="0"/>
              <w:adjustRightInd/>
              <w:snapToGrid/>
              <w:spacing w:line="480" w:lineRule="exact"/>
              <w:ind w:left="0" w:leftChars="0" w:firstLine="0" w:firstLineChars="0"/>
              <w:textAlignment w:val="auto"/>
              <w:rPr>
                <w:rFonts w:hint="eastAsia"/>
                <w:bCs/>
                <w:color w:val="auto"/>
                <w:sz w:val="24"/>
                <w:szCs w:val="24"/>
                <w:highlight w:val="none"/>
              </w:rPr>
            </w:pPr>
            <w:r>
              <w:rPr>
                <w:rFonts w:hint="eastAsia"/>
                <w:bCs/>
                <w:color w:val="auto"/>
                <w:sz w:val="24"/>
                <w:szCs w:val="24"/>
                <w:highlight w:val="none"/>
                <w:lang w:val="en-US" w:eastAsia="zh-CN"/>
              </w:rPr>
              <w:t>合同内容中如有与“拔尖创新人才培养”或“高考强基”或“学科培优”等字眼不一致，但意思相近，由评审委员会现场酌情认定。</w:t>
            </w:r>
          </w:p>
        </w:tc>
      </w:tr>
      <w:tr w14:paraId="5F1574C0">
        <w:tblPrEx>
          <w:tblCellMar>
            <w:top w:w="0" w:type="dxa"/>
            <w:left w:w="0" w:type="dxa"/>
            <w:bottom w:w="0" w:type="dxa"/>
            <w:right w:w="0" w:type="dxa"/>
          </w:tblCellMar>
        </w:tblPrEx>
        <w:trPr>
          <w:trHeight w:val="3418" w:hRule="atLeast"/>
        </w:trPr>
        <w:tc>
          <w:tcPr>
            <w:tcW w:w="1089" w:type="dxa"/>
            <w:vMerge w:val="continue"/>
            <w:tcBorders>
              <w:left w:val="single" w:color="000000" w:sz="4" w:space="0"/>
              <w:right w:val="single" w:color="000000" w:sz="4" w:space="0"/>
            </w:tcBorders>
            <w:vAlign w:val="center"/>
          </w:tcPr>
          <w:p w14:paraId="0AE16720">
            <w:pPr>
              <w:pStyle w:val="329"/>
              <w:spacing w:before="98" w:line="400" w:lineRule="exact"/>
              <w:ind w:left="180" w:right="174"/>
              <w:jc w:val="center"/>
              <w:rPr>
                <w:color w:val="auto"/>
                <w:sz w:val="24"/>
                <w:szCs w:val="24"/>
                <w:highlight w:val="none"/>
                <w:lang w:val="en-US" w:bidi="ar-SA"/>
              </w:rPr>
            </w:pPr>
          </w:p>
        </w:tc>
        <w:tc>
          <w:tcPr>
            <w:tcW w:w="775" w:type="dxa"/>
            <w:tcBorders>
              <w:top w:val="single" w:color="000000" w:sz="4" w:space="0"/>
              <w:left w:val="single" w:color="000000" w:sz="4" w:space="0"/>
              <w:right w:val="single" w:color="000000" w:sz="4" w:space="0"/>
            </w:tcBorders>
            <w:vAlign w:val="center"/>
          </w:tcPr>
          <w:p w14:paraId="5F89B397">
            <w:pPr>
              <w:pStyle w:val="329"/>
              <w:keepNext w:val="0"/>
              <w:keepLines w:val="0"/>
              <w:pageBreakBefore w:val="0"/>
              <w:widowControl w:val="0"/>
              <w:kinsoku/>
              <w:wordWrap/>
              <w:overflowPunct/>
              <w:topLinePunct w:val="0"/>
              <w:autoSpaceDE/>
              <w:autoSpaceDN/>
              <w:bidi w:val="0"/>
              <w:adjustRightInd/>
              <w:snapToGrid/>
              <w:spacing w:line="480" w:lineRule="exact"/>
              <w:jc w:val="center"/>
              <w:textAlignment w:val="auto"/>
              <w:rPr>
                <w:bCs/>
                <w:color w:val="auto"/>
                <w:sz w:val="24"/>
                <w:szCs w:val="24"/>
                <w:highlight w:val="none"/>
              </w:rPr>
            </w:pPr>
            <w:r>
              <w:rPr>
                <w:bCs/>
                <w:color w:val="auto"/>
                <w:sz w:val="24"/>
                <w:szCs w:val="24"/>
                <w:highlight w:val="none"/>
              </w:rPr>
              <w:t>教学团队及人员结构</w:t>
            </w:r>
            <w:r>
              <w:rPr>
                <w:rFonts w:hint="eastAsia"/>
                <w:bCs/>
                <w:color w:val="auto"/>
                <w:sz w:val="24"/>
                <w:szCs w:val="24"/>
                <w:highlight w:val="none"/>
              </w:rPr>
              <w:t>3</w:t>
            </w:r>
            <w:r>
              <w:rPr>
                <w:bCs/>
                <w:color w:val="auto"/>
                <w:sz w:val="24"/>
                <w:szCs w:val="24"/>
                <w:highlight w:val="none"/>
              </w:rPr>
              <w:t>0</w:t>
            </w:r>
            <w:r>
              <w:rPr>
                <w:rFonts w:hint="eastAsia"/>
                <w:bCs/>
                <w:color w:val="auto"/>
                <w:sz w:val="24"/>
                <w:szCs w:val="24"/>
                <w:highlight w:val="none"/>
              </w:rPr>
              <w:t>分</w:t>
            </w:r>
          </w:p>
        </w:tc>
        <w:tc>
          <w:tcPr>
            <w:tcW w:w="8082" w:type="dxa"/>
            <w:tcBorders>
              <w:top w:val="single" w:color="000000" w:sz="4" w:space="0"/>
              <w:left w:val="single" w:color="000000" w:sz="4" w:space="0"/>
              <w:bottom w:val="single" w:color="auto" w:sz="4" w:space="0"/>
              <w:right w:val="single" w:color="000000" w:sz="4" w:space="0"/>
            </w:tcBorders>
          </w:tcPr>
          <w:p w14:paraId="6786523F">
            <w:pPr>
              <w:pStyle w:val="329"/>
              <w:keepNext w:val="0"/>
              <w:keepLines w:val="0"/>
              <w:pageBreakBefore w:val="0"/>
              <w:widowControl w:val="0"/>
              <w:numPr>
                <w:ilvl w:val="0"/>
                <w:numId w:val="11"/>
              </w:numPr>
              <w:kinsoku/>
              <w:wordWrap/>
              <w:overflowPunct/>
              <w:topLinePunct w:val="0"/>
              <w:autoSpaceDE/>
              <w:autoSpaceDN/>
              <w:bidi w:val="0"/>
              <w:adjustRightInd/>
              <w:snapToGrid/>
              <w:spacing w:line="480" w:lineRule="exact"/>
              <w:textAlignment w:val="auto"/>
              <w:rPr>
                <w:rFonts w:hint="default"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投标人</w:t>
            </w:r>
            <w:r>
              <w:rPr>
                <w:rFonts w:hint="eastAsia" w:ascii="宋体" w:hAnsi="宋体" w:eastAsia="宋体" w:cs="宋体"/>
                <w:bCs/>
                <w:color w:val="auto"/>
                <w:sz w:val="24"/>
                <w:szCs w:val="24"/>
                <w:highlight w:val="none"/>
                <w:lang w:val="en-US" w:eastAsia="zh-CN"/>
              </w:rPr>
              <w:t>拟派</w:t>
            </w:r>
            <w:r>
              <w:rPr>
                <w:rFonts w:hint="eastAsia" w:cs="宋体"/>
                <w:bCs/>
                <w:color w:val="auto"/>
                <w:sz w:val="24"/>
                <w:szCs w:val="24"/>
                <w:highlight w:val="none"/>
                <w:lang w:val="en-US" w:eastAsia="zh-CN"/>
              </w:rPr>
              <w:t>学科（语文、数学、英语、物理、化学）</w:t>
            </w:r>
            <w:r>
              <w:rPr>
                <w:rFonts w:hint="eastAsia" w:ascii="宋体" w:hAnsi="宋体" w:eastAsia="宋体" w:cs="宋体"/>
                <w:bCs/>
                <w:color w:val="auto"/>
                <w:sz w:val="24"/>
                <w:szCs w:val="24"/>
                <w:highlight w:val="none"/>
                <w:lang w:val="en-US" w:eastAsia="zh-CN"/>
              </w:rPr>
              <w:t>负责人具有教授</w:t>
            </w:r>
            <w:r>
              <w:rPr>
                <w:rFonts w:hint="eastAsia" w:cs="宋体"/>
                <w:bCs/>
                <w:color w:val="auto"/>
                <w:sz w:val="24"/>
                <w:szCs w:val="24"/>
                <w:highlight w:val="none"/>
                <w:lang w:val="en-US" w:eastAsia="zh-CN"/>
              </w:rPr>
              <w:t>或者正高级</w:t>
            </w:r>
            <w:r>
              <w:rPr>
                <w:rFonts w:hint="eastAsia" w:ascii="宋体" w:hAnsi="宋体" w:eastAsia="宋体" w:cs="宋体"/>
                <w:bCs/>
                <w:color w:val="auto"/>
                <w:sz w:val="24"/>
                <w:szCs w:val="24"/>
                <w:highlight w:val="none"/>
                <w:lang w:val="en-US" w:eastAsia="zh-CN"/>
              </w:rPr>
              <w:t>职称的，得</w:t>
            </w:r>
            <w:r>
              <w:rPr>
                <w:rFonts w:hint="eastAsia"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r>
              <w:rPr>
                <w:rFonts w:hint="eastAsia" w:cs="宋体"/>
                <w:bCs/>
                <w:color w:val="auto"/>
                <w:sz w:val="24"/>
                <w:szCs w:val="24"/>
                <w:highlight w:val="none"/>
                <w:lang w:val="en-US" w:eastAsia="zh-CN"/>
              </w:rPr>
              <w:t>；拟派学科负责人具有副教授或高级职称的，得2分；</w:t>
            </w:r>
            <w:r>
              <w:rPr>
                <w:rFonts w:hint="eastAsia" w:ascii="宋体" w:hAnsi="宋体" w:eastAsia="宋体" w:cs="宋体"/>
                <w:bCs/>
                <w:color w:val="auto"/>
                <w:sz w:val="24"/>
                <w:szCs w:val="24"/>
                <w:highlight w:val="none"/>
                <w:lang w:val="en-US" w:eastAsia="zh-CN"/>
              </w:rPr>
              <w:t>最高得</w:t>
            </w:r>
            <w:r>
              <w:rPr>
                <w:rFonts w:hint="eastAsia" w:cs="宋体"/>
                <w:bCs/>
                <w:color w:val="auto"/>
                <w:sz w:val="24"/>
                <w:szCs w:val="24"/>
                <w:highlight w:val="none"/>
                <w:lang w:val="en-US" w:eastAsia="zh-CN"/>
              </w:rPr>
              <w:t>15</w:t>
            </w:r>
            <w:r>
              <w:rPr>
                <w:rFonts w:hint="eastAsia" w:ascii="宋体" w:hAnsi="宋体" w:eastAsia="宋体" w:cs="宋体"/>
                <w:bCs/>
                <w:color w:val="auto"/>
                <w:sz w:val="24"/>
                <w:szCs w:val="24"/>
                <w:highlight w:val="none"/>
                <w:lang w:val="en-US" w:eastAsia="zh-CN"/>
              </w:rPr>
              <w:t>分</w:t>
            </w:r>
            <w:r>
              <w:rPr>
                <w:rFonts w:hint="eastAsia" w:cs="宋体"/>
                <w:bCs/>
                <w:color w:val="auto"/>
                <w:sz w:val="24"/>
                <w:szCs w:val="24"/>
                <w:highlight w:val="none"/>
                <w:lang w:val="en-US" w:eastAsia="zh-CN"/>
              </w:rPr>
              <w:t>。注：每一学科（语文、数学、英语、物理、化学）负责人安排一人专门负责，若同一学科安排多人或一人担任多个学科负责人，不累计得分，仅按照一人计取（取职称最高者）得分（投标人投标时须提供项目组人员配备表，注明每个学科负责人姓名、职称等）；</w:t>
            </w:r>
          </w:p>
          <w:p w14:paraId="2BC11F21">
            <w:pPr>
              <w:pStyle w:val="329"/>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cs="宋体"/>
                <w:bCs/>
                <w:color w:val="auto"/>
                <w:sz w:val="24"/>
                <w:szCs w:val="24"/>
                <w:highlight w:val="none"/>
                <w:lang w:val="en-US" w:eastAsia="zh-CN"/>
              </w:rPr>
              <w:t>投标人</w:t>
            </w:r>
            <w:r>
              <w:rPr>
                <w:rFonts w:hint="eastAsia" w:ascii="宋体" w:hAnsi="宋体" w:eastAsia="宋体" w:cs="宋体"/>
                <w:bCs/>
                <w:color w:val="auto"/>
                <w:sz w:val="24"/>
                <w:szCs w:val="24"/>
                <w:highlight w:val="none"/>
                <w:lang w:val="en-US" w:eastAsia="zh-CN"/>
              </w:rPr>
              <w:t>拟派教学团队人员（除学科负责人外）人员</w:t>
            </w:r>
            <w:r>
              <w:rPr>
                <w:rFonts w:hint="eastAsia" w:cs="宋体"/>
                <w:bCs/>
                <w:color w:val="auto"/>
                <w:sz w:val="24"/>
                <w:szCs w:val="24"/>
                <w:highlight w:val="none"/>
                <w:lang w:val="en-US" w:eastAsia="zh-CN"/>
              </w:rPr>
              <w:t>配备</w:t>
            </w:r>
            <w:r>
              <w:rPr>
                <w:rFonts w:hint="eastAsia" w:ascii="宋体" w:hAnsi="宋体" w:eastAsia="宋体" w:cs="宋体"/>
                <w:bCs/>
                <w:color w:val="auto"/>
                <w:sz w:val="24"/>
                <w:szCs w:val="24"/>
                <w:highlight w:val="none"/>
                <w:lang w:val="en-US" w:eastAsia="zh-CN"/>
              </w:rPr>
              <w:t>：</w:t>
            </w:r>
          </w:p>
          <w:p w14:paraId="3E0B1E5B">
            <w:pPr>
              <w:pStyle w:val="329"/>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w:t>
            </w:r>
            <w:r>
              <w:rPr>
                <w:rFonts w:hint="eastAsia" w:cs="宋体"/>
                <w:bCs/>
                <w:color w:val="auto"/>
                <w:sz w:val="24"/>
                <w:szCs w:val="24"/>
                <w:highlight w:val="none"/>
                <w:lang w:val="en-US" w:eastAsia="zh-CN"/>
              </w:rPr>
              <w:t>教学学科（语文、数学、英语、物理、化学）团队人员中</w:t>
            </w:r>
            <w:r>
              <w:rPr>
                <w:rFonts w:hint="eastAsia" w:ascii="宋体" w:hAnsi="宋体" w:eastAsia="宋体" w:cs="宋体"/>
                <w:bCs/>
                <w:color w:val="auto"/>
                <w:sz w:val="24"/>
                <w:szCs w:val="24"/>
                <w:highlight w:val="none"/>
                <w:lang w:val="en-US" w:eastAsia="zh-CN"/>
              </w:rPr>
              <w:t>具有正高级</w:t>
            </w:r>
            <w:r>
              <w:rPr>
                <w:rFonts w:hint="eastAsia" w:cs="宋体"/>
                <w:bCs/>
                <w:color w:val="auto"/>
                <w:sz w:val="24"/>
                <w:szCs w:val="24"/>
                <w:highlight w:val="none"/>
                <w:lang w:val="en-US" w:eastAsia="zh-CN"/>
              </w:rPr>
              <w:t>职称</w:t>
            </w:r>
            <w:r>
              <w:rPr>
                <w:rFonts w:hint="eastAsia" w:ascii="宋体" w:hAnsi="宋体" w:eastAsia="宋体" w:cs="宋体"/>
                <w:bCs/>
                <w:color w:val="auto"/>
                <w:sz w:val="24"/>
                <w:szCs w:val="24"/>
                <w:highlight w:val="none"/>
                <w:lang w:val="en-US" w:eastAsia="zh-CN"/>
              </w:rPr>
              <w:t>证书的，每个得</w:t>
            </w:r>
            <w:r>
              <w:rPr>
                <w:rFonts w:hint="eastAsia"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分</w:t>
            </w:r>
            <w:r>
              <w:rPr>
                <w:rFonts w:hint="eastAsia" w:cs="宋体"/>
                <w:bCs/>
                <w:color w:val="auto"/>
                <w:sz w:val="24"/>
                <w:szCs w:val="24"/>
                <w:highlight w:val="none"/>
                <w:lang w:val="en-US" w:eastAsia="zh-CN"/>
              </w:rPr>
              <w:t>；具有高级职称证书的，每个得1分；</w:t>
            </w:r>
            <w:r>
              <w:rPr>
                <w:rFonts w:hint="eastAsia" w:ascii="宋体" w:hAnsi="宋体" w:eastAsia="宋体" w:cs="宋体"/>
                <w:bCs/>
                <w:color w:val="auto"/>
                <w:sz w:val="24"/>
                <w:szCs w:val="24"/>
                <w:highlight w:val="none"/>
                <w:lang w:val="en-US" w:eastAsia="zh-CN"/>
              </w:rPr>
              <w:t>最高得</w:t>
            </w:r>
            <w:r>
              <w:rPr>
                <w:rFonts w:hint="eastAsia"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分</w:t>
            </w:r>
            <w:r>
              <w:rPr>
                <w:rFonts w:hint="eastAsia" w:cs="宋体"/>
                <w:bCs/>
                <w:color w:val="auto"/>
                <w:sz w:val="24"/>
                <w:szCs w:val="24"/>
                <w:highlight w:val="none"/>
                <w:lang w:val="en-US" w:eastAsia="zh-CN"/>
              </w:rPr>
              <w:t>。注：若教学团队人员中同一学科（语文、数学、英语、物理、化学）安排多人，每个学科团队人员最高得2分（投标人投标时须提供项目组人员配备表，注明每个学科团队成员的姓名、职称等）</w:t>
            </w:r>
            <w:r>
              <w:rPr>
                <w:rFonts w:hint="eastAsia" w:ascii="宋体" w:hAnsi="宋体" w:eastAsia="宋体" w:cs="宋体"/>
                <w:bCs/>
                <w:color w:val="auto"/>
                <w:sz w:val="24"/>
                <w:szCs w:val="24"/>
                <w:highlight w:val="none"/>
                <w:lang w:val="en-US" w:eastAsia="zh-CN"/>
              </w:rPr>
              <w:t>；</w:t>
            </w:r>
          </w:p>
          <w:p w14:paraId="11227988">
            <w:pPr>
              <w:pStyle w:val="329"/>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w:t>
            </w:r>
            <w:r>
              <w:rPr>
                <w:rFonts w:hint="eastAsia" w:cs="宋体"/>
                <w:bCs/>
                <w:color w:val="auto"/>
                <w:sz w:val="24"/>
                <w:szCs w:val="24"/>
                <w:highlight w:val="none"/>
                <w:lang w:val="en-US" w:eastAsia="zh-CN"/>
              </w:rPr>
              <w:t>教学团队人员中具有C9(北京大学、清华大学、哈尔滨工业大学、复旦大学、上海交通大学、南京大学、浙江大学、中国科学技术大学、西安交通大学)</w:t>
            </w:r>
            <w:r>
              <w:rPr>
                <w:rFonts w:hint="eastAsia" w:ascii="宋体" w:hAnsi="宋体" w:eastAsia="宋体" w:cs="宋体"/>
                <w:bCs/>
                <w:color w:val="auto"/>
                <w:sz w:val="24"/>
                <w:szCs w:val="24"/>
                <w:highlight w:val="none"/>
                <w:lang w:val="en-US" w:eastAsia="zh-CN"/>
              </w:rPr>
              <w:t>高校毕业证书的，每个得1分，最高</w:t>
            </w:r>
            <w:r>
              <w:rPr>
                <w:rFonts w:hint="eastAsia"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分。</w:t>
            </w:r>
          </w:p>
          <w:p w14:paraId="1411A6D9">
            <w:pPr>
              <w:pStyle w:val="329"/>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w:t>
            </w:r>
            <w:r>
              <w:rPr>
                <w:rFonts w:hint="eastAsia" w:cs="宋体"/>
                <w:bCs/>
                <w:color w:val="auto"/>
                <w:sz w:val="24"/>
                <w:szCs w:val="24"/>
                <w:highlight w:val="none"/>
                <w:lang w:val="en-US" w:eastAsia="zh-CN"/>
              </w:rPr>
              <w:t>拟派教学团队人员配备中</w:t>
            </w:r>
            <w:r>
              <w:rPr>
                <w:rFonts w:hint="eastAsia" w:ascii="宋体" w:hAnsi="宋体" w:eastAsia="宋体" w:cs="宋体"/>
                <w:bCs/>
                <w:color w:val="auto"/>
                <w:sz w:val="24"/>
                <w:szCs w:val="24"/>
                <w:highlight w:val="none"/>
                <w:lang w:val="en-US" w:eastAsia="zh-CN"/>
              </w:rPr>
              <w:t>①</w:t>
            </w:r>
            <w:r>
              <w:rPr>
                <w:rFonts w:hint="eastAsia" w:cs="宋体"/>
                <w:bCs/>
                <w:color w:val="auto"/>
                <w:sz w:val="24"/>
                <w:szCs w:val="24"/>
                <w:highlight w:val="none"/>
                <w:lang w:val="en-US" w:eastAsia="zh-CN"/>
              </w:rPr>
              <w:t>和</w:t>
            </w:r>
            <w:r>
              <w:rPr>
                <w:rFonts w:hint="eastAsia" w:ascii="宋体" w:hAnsi="宋体" w:eastAsia="宋体" w:cs="宋体"/>
                <w:bCs/>
                <w:color w:val="auto"/>
                <w:sz w:val="24"/>
                <w:szCs w:val="24"/>
                <w:highlight w:val="none"/>
                <w:lang w:val="en-US" w:eastAsia="zh-CN"/>
              </w:rPr>
              <w:t>②</w:t>
            </w:r>
            <w:r>
              <w:rPr>
                <w:rFonts w:hint="eastAsia" w:cs="宋体"/>
                <w:bCs/>
                <w:color w:val="auto"/>
                <w:sz w:val="24"/>
                <w:szCs w:val="24"/>
                <w:highlight w:val="none"/>
                <w:lang w:val="en-US" w:eastAsia="zh-CN"/>
              </w:rPr>
              <w:t>计分可以重复得分（即：</w:t>
            </w:r>
            <w:r>
              <w:rPr>
                <w:rFonts w:hint="eastAsia" w:ascii="宋体" w:hAnsi="宋体" w:eastAsia="宋体" w:cs="宋体"/>
                <w:bCs/>
                <w:color w:val="auto"/>
                <w:sz w:val="24"/>
                <w:szCs w:val="24"/>
                <w:highlight w:val="none"/>
                <w:lang w:val="en-US" w:eastAsia="zh-CN"/>
              </w:rPr>
              <w:t>①中职称老师同时又是C9毕业，可以兼得①②分</w:t>
            </w:r>
            <w:r>
              <w:rPr>
                <w:rFonts w:hint="eastAsia" w:cs="宋体"/>
                <w:bCs/>
                <w:color w:val="auto"/>
                <w:sz w:val="24"/>
                <w:szCs w:val="24"/>
                <w:highlight w:val="none"/>
                <w:lang w:val="en-US" w:eastAsia="zh-CN"/>
              </w:rPr>
              <w:t>）；</w:t>
            </w:r>
          </w:p>
          <w:p w14:paraId="67918F0C">
            <w:pPr>
              <w:pStyle w:val="329"/>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ascii="宋体" w:hAnsi="宋体" w:eastAsia="宋体" w:cs="宋体"/>
                <w:bCs/>
                <w:color w:val="auto"/>
                <w:kern w:val="0"/>
                <w:sz w:val="24"/>
                <w:szCs w:val="24"/>
                <w:highlight w:val="none"/>
                <w:lang w:val="zh-CN" w:bidi="zh-CN"/>
              </w:rPr>
            </w:pPr>
            <w:r>
              <w:rPr>
                <w:rFonts w:hint="eastAsia" w:cs="宋体"/>
                <w:bCs/>
                <w:color w:val="auto"/>
                <w:sz w:val="24"/>
                <w:szCs w:val="24"/>
                <w:highlight w:val="none"/>
                <w:lang w:val="en-US" w:eastAsia="zh-CN"/>
              </w:rPr>
              <w:t>以上1，2皆须</w:t>
            </w:r>
            <w:r>
              <w:rPr>
                <w:rFonts w:hint="eastAsia" w:ascii="宋体" w:hAnsi="宋体" w:eastAsia="宋体" w:cs="宋体"/>
                <w:bCs/>
                <w:color w:val="auto"/>
                <w:sz w:val="24"/>
                <w:szCs w:val="24"/>
                <w:highlight w:val="none"/>
                <w:lang w:val="en-US" w:eastAsia="zh-CN"/>
              </w:rPr>
              <w:t>提供相关证书的扫描件并加盖</w:t>
            </w:r>
            <w:r>
              <w:rPr>
                <w:rFonts w:hint="eastAsia" w:cs="宋体"/>
                <w:bCs/>
                <w:color w:val="auto"/>
                <w:sz w:val="24"/>
                <w:szCs w:val="24"/>
                <w:highlight w:val="none"/>
                <w:lang w:val="en-US" w:eastAsia="zh-CN"/>
              </w:rPr>
              <w:t>投标人</w:t>
            </w:r>
            <w:r>
              <w:rPr>
                <w:rFonts w:hint="eastAsia" w:ascii="宋体" w:hAnsi="宋体" w:eastAsia="宋体" w:cs="宋体"/>
                <w:bCs/>
                <w:color w:val="auto"/>
                <w:sz w:val="24"/>
                <w:szCs w:val="24"/>
                <w:highlight w:val="none"/>
                <w:lang w:val="en-US" w:eastAsia="zh-CN"/>
              </w:rPr>
              <w:t>公章，否则不得分。</w:t>
            </w:r>
          </w:p>
        </w:tc>
      </w:tr>
      <w:tr w14:paraId="58D5775D">
        <w:tblPrEx>
          <w:tblCellMar>
            <w:top w:w="0" w:type="dxa"/>
            <w:left w:w="0" w:type="dxa"/>
            <w:bottom w:w="0" w:type="dxa"/>
            <w:right w:w="0" w:type="dxa"/>
          </w:tblCellMar>
        </w:tblPrEx>
        <w:trPr>
          <w:trHeight w:val="1021" w:hRule="atLeast"/>
        </w:trPr>
        <w:tc>
          <w:tcPr>
            <w:tcW w:w="1089" w:type="dxa"/>
            <w:vMerge w:val="continue"/>
            <w:tcBorders>
              <w:left w:val="single" w:color="000000" w:sz="4" w:space="0"/>
              <w:right w:val="single" w:color="000000" w:sz="4" w:space="0"/>
            </w:tcBorders>
            <w:vAlign w:val="center"/>
          </w:tcPr>
          <w:p w14:paraId="25372752">
            <w:pPr>
              <w:pStyle w:val="329"/>
              <w:spacing w:before="98" w:line="400" w:lineRule="exact"/>
              <w:ind w:left="180" w:right="174"/>
              <w:jc w:val="center"/>
              <w:rPr>
                <w:color w:val="auto"/>
                <w:sz w:val="24"/>
                <w:szCs w:val="24"/>
                <w:highlight w:val="none"/>
                <w:lang w:val="en-US" w:bidi="ar-SA"/>
              </w:rPr>
            </w:pPr>
          </w:p>
        </w:tc>
        <w:tc>
          <w:tcPr>
            <w:tcW w:w="775" w:type="dxa"/>
            <w:tcBorders>
              <w:top w:val="single" w:color="000000" w:sz="4" w:space="0"/>
              <w:left w:val="single" w:color="000000" w:sz="4" w:space="0"/>
              <w:right w:val="single" w:color="000000" w:sz="4" w:space="0"/>
            </w:tcBorders>
            <w:shd w:val="clear" w:color="auto" w:fill="auto"/>
            <w:vAlign w:val="center"/>
          </w:tcPr>
          <w:p w14:paraId="6D6351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leftChars="0" w:right="0" w:rightChars="0" w:firstLine="0" w:firstLineChars="0"/>
              <w:jc w:val="left"/>
              <w:textAlignment w:val="auto"/>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管理团队</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6分</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8082" w:type="dxa"/>
            <w:tcBorders>
              <w:top w:val="single" w:color="000000" w:sz="4" w:space="0"/>
              <w:left w:val="single" w:color="000000" w:sz="4" w:space="0"/>
              <w:bottom w:val="single" w:color="auto" w:sz="4" w:space="0"/>
              <w:right w:val="single" w:color="000000" w:sz="4" w:space="0"/>
            </w:tcBorders>
            <w:shd w:val="clear" w:color="auto" w:fill="auto"/>
            <w:vAlign w:val="center"/>
          </w:tcPr>
          <w:p w14:paraId="0A7CA5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20"/>
              <w:jc w:val="both"/>
              <w:textAlignment w:val="auto"/>
              <w:rPr>
                <w:strike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投标人</w:t>
            </w:r>
            <w:r>
              <w:rPr>
                <w:rFonts w:hint="eastAsia" w:ascii="宋体" w:hAnsi="宋体" w:cs="宋体"/>
                <w:color w:val="000000" w:themeColor="text1"/>
                <w:sz w:val="24"/>
                <w:szCs w:val="24"/>
                <w:highlight w:val="none"/>
                <w:lang w:val="en-US" w:eastAsia="zh-CN"/>
                <w14:textFill>
                  <w14:solidFill>
                    <w14:schemeClr w14:val="tx1"/>
                  </w14:solidFill>
                </w14:textFill>
              </w:rPr>
              <w:t>在项目管理团队人员</w:t>
            </w:r>
            <w:r>
              <w:rPr>
                <w:rFonts w:ascii="宋体" w:hAnsi="宋体" w:eastAsia="宋体" w:cs="宋体"/>
                <w:color w:val="000000" w:themeColor="text1"/>
                <w:sz w:val="24"/>
                <w:szCs w:val="24"/>
                <w:highlight w:val="none"/>
                <w14:textFill>
                  <w14:solidFill>
                    <w14:schemeClr w14:val="tx1"/>
                  </w14:solidFill>
                </w14:textFill>
              </w:rPr>
              <w:t>数量</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ascii="宋体" w:hAnsi="宋体" w:eastAsia="宋体" w:cs="宋体"/>
                <w:color w:val="000000" w:themeColor="text1"/>
                <w:sz w:val="24"/>
                <w:szCs w:val="24"/>
                <w:highlight w:val="none"/>
                <w14:textFill>
                  <w14:solidFill>
                    <w14:schemeClr w14:val="tx1"/>
                  </w14:solidFill>
                </w14:textFill>
              </w:rPr>
              <w:t>人</w:t>
            </w:r>
            <w:r>
              <w:rPr>
                <w:rFonts w:hint="eastAsia" w:ascii="宋体" w:hAnsi="宋体" w:cs="宋体"/>
                <w:color w:val="000000" w:themeColor="text1"/>
                <w:sz w:val="24"/>
                <w:szCs w:val="24"/>
                <w:highlight w:val="none"/>
                <w:lang w:val="en-US" w:eastAsia="zh-CN"/>
                <w14:textFill>
                  <w14:solidFill>
                    <w14:schemeClr w14:val="tx1"/>
                  </w14:solidFill>
                </w14:textFill>
              </w:rPr>
              <w:t>基础上</w:t>
            </w:r>
            <w:r>
              <w:rPr>
                <w:rFonts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承诺</w:t>
            </w:r>
            <w:r>
              <w:rPr>
                <w:rFonts w:ascii="宋体" w:hAnsi="宋体" w:eastAsia="宋体" w:cs="宋体"/>
                <w:color w:val="000000" w:themeColor="text1"/>
                <w:sz w:val="24"/>
                <w:szCs w:val="24"/>
                <w:highlight w:val="none"/>
                <w14:textFill>
                  <w14:solidFill>
                    <w14:schemeClr w14:val="tx1"/>
                  </w14:solidFill>
                </w14:textFill>
              </w:rPr>
              <w:t>增加一名</w:t>
            </w:r>
            <w:r>
              <w:rPr>
                <w:rFonts w:hint="eastAsia" w:ascii="宋体" w:hAnsi="宋体" w:cs="宋体"/>
                <w:color w:val="000000" w:themeColor="text1"/>
                <w:sz w:val="24"/>
                <w:szCs w:val="24"/>
                <w:highlight w:val="none"/>
                <w:lang w:val="en-US" w:eastAsia="zh-CN"/>
                <w14:textFill>
                  <w14:solidFill>
                    <w14:schemeClr w14:val="tx1"/>
                  </w14:solidFill>
                </w14:textFill>
              </w:rPr>
              <w:t>人员</w:t>
            </w:r>
            <w:r>
              <w:rPr>
                <w:rFonts w:ascii="宋体" w:hAnsi="宋体" w:eastAsia="宋体" w:cs="宋体"/>
                <w:color w:val="000000" w:themeColor="text1"/>
                <w:sz w:val="24"/>
                <w:szCs w:val="24"/>
                <w:highlight w:val="none"/>
                <w14:textFill>
                  <w14:solidFill>
                    <w14:schemeClr w14:val="tx1"/>
                  </w14:solidFill>
                </w14:textFill>
              </w:rPr>
              <w:t>加</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ascii="宋体" w:hAnsi="宋体" w:eastAsia="宋体" w:cs="宋体"/>
                <w:color w:val="000000" w:themeColor="text1"/>
                <w:sz w:val="24"/>
                <w:szCs w:val="24"/>
                <w:highlight w:val="none"/>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承诺</w:t>
            </w:r>
            <w:r>
              <w:rPr>
                <w:rFonts w:ascii="宋体" w:hAnsi="宋体" w:eastAsia="宋体" w:cs="宋体"/>
                <w:color w:val="000000" w:themeColor="text1"/>
                <w:sz w:val="24"/>
                <w:szCs w:val="24"/>
                <w:highlight w:val="none"/>
                <w14:textFill>
                  <w14:solidFill>
                    <w14:schemeClr w14:val="tx1"/>
                  </w14:solidFill>
                </w14:textFill>
              </w:rPr>
              <w:t>增加</w:t>
            </w:r>
            <w:r>
              <w:rPr>
                <w:rFonts w:hint="eastAsia" w:ascii="宋体" w:hAnsi="宋体" w:eastAsia="宋体" w:cs="宋体"/>
                <w:color w:val="000000" w:themeColor="text1"/>
                <w:sz w:val="24"/>
                <w:szCs w:val="24"/>
                <w:highlight w:val="none"/>
                <w:lang w:val="en-US" w:eastAsia="zh-CN"/>
                <w14:textFill>
                  <w14:solidFill>
                    <w14:schemeClr w14:val="tx1"/>
                  </w14:solidFill>
                </w14:textFill>
              </w:rPr>
              <w:t>二</w:t>
            </w:r>
            <w:r>
              <w:rPr>
                <w:rFonts w:ascii="宋体" w:hAnsi="宋体" w:eastAsia="宋体" w:cs="宋体"/>
                <w:color w:val="000000" w:themeColor="text1"/>
                <w:sz w:val="24"/>
                <w:szCs w:val="24"/>
                <w:highlight w:val="none"/>
                <w14:textFill>
                  <w14:solidFill>
                    <w14:schemeClr w14:val="tx1"/>
                  </w14:solidFill>
                </w14:textFill>
              </w:rPr>
              <w:t>名</w:t>
            </w:r>
            <w:r>
              <w:rPr>
                <w:rFonts w:hint="eastAsia" w:ascii="宋体" w:hAnsi="宋体" w:cs="宋体"/>
                <w:color w:val="000000" w:themeColor="text1"/>
                <w:sz w:val="24"/>
                <w:szCs w:val="24"/>
                <w:highlight w:val="none"/>
                <w:lang w:val="en-US" w:eastAsia="zh-CN"/>
                <w14:textFill>
                  <w14:solidFill>
                    <w14:schemeClr w14:val="tx1"/>
                  </w14:solidFill>
                </w14:textFill>
              </w:rPr>
              <w:t>人员</w:t>
            </w:r>
            <w:r>
              <w:rPr>
                <w:rFonts w:ascii="宋体" w:hAnsi="宋体" w:eastAsia="宋体" w:cs="宋体"/>
                <w:color w:val="000000" w:themeColor="text1"/>
                <w:sz w:val="24"/>
                <w:szCs w:val="24"/>
                <w:highlight w:val="none"/>
                <w14:textFill>
                  <w14:solidFill>
                    <w14:schemeClr w14:val="tx1"/>
                  </w14:solidFill>
                </w14:textFill>
              </w:rPr>
              <w:t>加</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ascii="宋体" w:hAnsi="宋体" w:eastAsia="宋体" w:cs="宋体"/>
                <w:color w:val="000000" w:themeColor="text1"/>
                <w:sz w:val="24"/>
                <w:szCs w:val="24"/>
                <w:highlight w:val="none"/>
                <w14:textFill>
                  <w14:solidFill>
                    <w14:schemeClr w14:val="tx1"/>
                  </w14:solidFill>
                </w14:textFill>
              </w:rPr>
              <w:t>分，本项</w:t>
            </w:r>
            <w:r>
              <w:rPr>
                <w:rFonts w:hint="eastAsia" w:ascii="宋体" w:hAnsi="宋体" w:cs="宋体"/>
                <w:color w:val="000000" w:themeColor="text1"/>
                <w:sz w:val="24"/>
                <w:szCs w:val="24"/>
                <w:highlight w:val="none"/>
                <w:lang w:val="en-US" w:eastAsia="zh-CN"/>
                <w14:textFill>
                  <w14:solidFill>
                    <w14:schemeClr w14:val="tx1"/>
                  </w14:solidFill>
                </w14:textFill>
              </w:rPr>
              <w:t>最高得6</w:t>
            </w:r>
            <w:r>
              <w:rPr>
                <w:rFonts w:ascii="宋体" w:hAnsi="宋体" w:eastAsia="宋体" w:cs="宋体"/>
                <w:color w:val="000000" w:themeColor="text1"/>
                <w:sz w:val="24"/>
                <w:szCs w:val="24"/>
                <w:highlight w:val="none"/>
                <w14:textFill>
                  <w14:solidFill>
                    <w14:schemeClr w14:val="tx1"/>
                  </w14:solidFill>
                </w14:textFill>
              </w:rPr>
              <w:t>分</w:t>
            </w:r>
            <w:r>
              <w:rPr>
                <w:rFonts w:hint="eastAsia" w:ascii="宋体" w:hAnsi="宋体" w:cs="宋体"/>
                <w:strike w:val="0"/>
                <w:dstrike w:val="0"/>
                <w:color w:val="000000" w:themeColor="text1"/>
                <w:sz w:val="24"/>
                <w:szCs w:val="24"/>
                <w:highlight w:val="none"/>
                <w:lang w:eastAsia="zh-CN"/>
                <w14:textFill>
                  <w14:solidFill>
                    <w14:schemeClr w14:val="tx1"/>
                  </w14:solidFill>
                </w14:textFill>
              </w:rPr>
              <w:t>（</w:t>
            </w:r>
            <w:r>
              <w:rPr>
                <w:rFonts w:ascii="宋体" w:hAnsi="宋体" w:eastAsia="宋体" w:cs="宋体"/>
                <w:strike w:val="0"/>
                <w:dstrike w:val="0"/>
                <w:color w:val="000000" w:themeColor="text1"/>
                <w:sz w:val="24"/>
                <w:szCs w:val="24"/>
                <w:highlight w:val="none"/>
                <w14:textFill>
                  <w14:solidFill>
                    <w14:schemeClr w14:val="tx1"/>
                  </w14:solidFill>
                </w14:textFill>
              </w:rPr>
              <w:t>投标人提供</w:t>
            </w:r>
            <w:r>
              <w:rPr>
                <w:rFonts w:hint="eastAsia" w:ascii="宋体" w:hAnsi="宋体" w:cs="宋体"/>
                <w:strike w:val="0"/>
                <w:dstrike w:val="0"/>
                <w:color w:val="000000" w:themeColor="text1"/>
                <w:sz w:val="24"/>
                <w:szCs w:val="24"/>
                <w:highlight w:val="none"/>
                <w:lang w:val="en-US" w:eastAsia="zh-CN"/>
                <w14:textFill>
                  <w14:solidFill>
                    <w14:schemeClr w14:val="tx1"/>
                  </w14:solidFill>
                </w14:textFill>
              </w:rPr>
              <w:t>项目管理团队</w:t>
            </w:r>
            <w:r>
              <w:rPr>
                <w:rFonts w:ascii="宋体" w:hAnsi="宋体" w:eastAsia="宋体" w:cs="宋体"/>
                <w:strike w:val="0"/>
                <w:dstrike w:val="0"/>
                <w:color w:val="000000" w:themeColor="text1"/>
                <w:sz w:val="24"/>
                <w:szCs w:val="24"/>
                <w:highlight w:val="none"/>
                <w14:textFill>
                  <w14:solidFill>
                    <w14:schemeClr w14:val="tx1"/>
                  </w14:solidFill>
                </w14:textFill>
              </w:rPr>
              <w:t>数量</w:t>
            </w:r>
            <w:r>
              <w:rPr>
                <w:rFonts w:hint="eastAsia" w:ascii="宋体" w:hAnsi="宋体" w:cs="宋体"/>
                <w:strike w:val="0"/>
                <w:dstrike w:val="0"/>
                <w:color w:val="000000" w:themeColor="text1"/>
                <w:sz w:val="24"/>
                <w:szCs w:val="24"/>
                <w:highlight w:val="none"/>
                <w:lang w:val="en-US" w:eastAsia="zh-CN"/>
                <w14:textFill>
                  <w14:solidFill>
                    <w14:schemeClr w14:val="tx1"/>
                  </w14:solidFill>
                </w14:textFill>
              </w:rPr>
              <w:t>2</w:t>
            </w:r>
            <w:r>
              <w:rPr>
                <w:rFonts w:ascii="宋体" w:hAnsi="宋体" w:eastAsia="宋体" w:cs="宋体"/>
                <w:strike w:val="0"/>
                <w:dstrike w:val="0"/>
                <w:color w:val="000000" w:themeColor="text1"/>
                <w:sz w:val="24"/>
                <w:szCs w:val="24"/>
                <w:highlight w:val="none"/>
                <w14:textFill>
                  <w14:solidFill>
                    <w14:schemeClr w14:val="tx1"/>
                  </w14:solidFill>
                </w14:textFill>
              </w:rPr>
              <w:t>人</w:t>
            </w:r>
            <w:r>
              <w:rPr>
                <w:rFonts w:hint="eastAsia" w:ascii="宋体" w:hAnsi="宋体" w:cs="宋体"/>
                <w:strike w:val="0"/>
                <w:dstrike w:val="0"/>
                <w:color w:val="000000" w:themeColor="text1"/>
                <w:sz w:val="24"/>
                <w:szCs w:val="24"/>
                <w:highlight w:val="none"/>
                <w:lang w:eastAsia="zh-CN"/>
                <w14:textFill>
                  <w14:solidFill>
                    <w14:schemeClr w14:val="tx1"/>
                  </w14:solidFill>
                </w14:textFill>
              </w:rPr>
              <w:t>及</w:t>
            </w:r>
            <w:r>
              <w:rPr>
                <w:rFonts w:hint="eastAsia" w:ascii="宋体" w:hAnsi="宋体" w:cs="宋体"/>
                <w:strike w:val="0"/>
                <w:dstrike w:val="0"/>
                <w:color w:val="000000" w:themeColor="text1"/>
                <w:sz w:val="24"/>
                <w:szCs w:val="24"/>
                <w:highlight w:val="none"/>
                <w:lang w:val="en-US" w:eastAsia="zh-CN"/>
                <w14:textFill>
                  <w14:solidFill>
                    <w14:schemeClr w14:val="tx1"/>
                  </w14:solidFill>
                </w14:textFill>
              </w:rPr>
              <w:t>2人以下不得分</w:t>
            </w:r>
            <w:r>
              <w:rPr>
                <w:rFonts w:hint="eastAsia" w:ascii="宋体" w:hAnsi="宋体" w:cs="宋体"/>
                <w:strike w:val="0"/>
                <w:dstrike w:val="0"/>
                <w:color w:val="000000" w:themeColor="text1"/>
                <w:sz w:val="24"/>
                <w:szCs w:val="24"/>
                <w:highlight w:val="none"/>
                <w:lang w:eastAsia="zh-CN"/>
                <w14:textFill>
                  <w14:solidFill>
                    <w14:schemeClr w14:val="tx1"/>
                  </w14:solidFill>
                </w14:textFill>
              </w:rPr>
              <w:t>）</w:t>
            </w:r>
            <w:r>
              <w:rPr>
                <w:rFonts w:ascii="宋体" w:hAnsi="宋体" w:eastAsia="宋体" w:cs="宋体"/>
                <w:strike w:val="0"/>
                <w:color w:val="000000" w:themeColor="text1"/>
                <w:sz w:val="24"/>
                <w:szCs w:val="24"/>
                <w:highlight w:val="none"/>
                <w14:textFill>
                  <w14:solidFill>
                    <w14:schemeClr w14:val="tx1"/>
                  </w14:solidFill>
                </w14:textFill>
              </w:rPr>
              <w:t>。</w:t>
            </w:r>
          </w:p>
          <w:p w14:paraId="6CF0A4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leftChars="0" w:right="0" w:rightChars="0" w:firstLine="420" w:firstLineChars="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color w:val="000000" w:themeColor="text1"/>
                <w:sz w:val="24"/>
                <w:szCs w:val="24"/>
                <w:highlight w:val="none"/>
                <w14:textFill>
                  <w14:solidFill>
                    <w14:schemeClr w14:val="tx1"/>
                  </w14:solidFill>
                </w14:textFill>
              </w:rPr>
              <w:t>投标人提供承诺函(格式自拟)，不提供不得分。</w:t>
            </w:r>
          </w:p>
        </w:tc>
      </w:tr>
      <w:tr w14:paraId="0AAFDE71">
        <w:tblPrEx>
          <w:tblCellMar>
            <w:top w:w="0" w:type="dxa"/>
            <w:left w:w="0" w:type="dxa"/>
            <w:bottom w:w="0" w:type="dxa"/>
            <w:right w:w="0" w:type="dxa"/>
          </w:tblCellMar>
        </w:tblPrEx>
        <w:trPr>
          <w:trHeight w:val="1152" w:hRule="atLeast"/>
        </w:trPr>
        <w:tc>
          <w:tcPr>
            <w:tcW w:w="1089" w:type="dxa"/>
            <w:vMerge w:val="restart"/>
            <w:tcBorders>
              <w:top w:val="single" w:color="auto" w:sz="4" w:space="0"/>
              <w:left w:val="single" w:color="auto" w:sz="4" w:space="0"/>
              <w:right w:val="single" w:color="auto" w:sz="4" w:space="0"/>
            </w:tcBorders>
            <w:vAlign w:val="center"/>
          </w:tcPr>
          <w:p w14:paraId="4489D7EC">
            <w:pPr>
              <w:pStyle w:val="329"/>
              <w:spacing w:before="98" w:line="400" w:lineRule="exact"/>
              <w:ind w:left="180" w:right="174"/>
              <w:jc w:val="center"/>
              <w:rPr>
                <w:color w:val="auto"/>
                <w:sz w:val="24"/>
                <w:szCs w:val="24"/>
                <w:highlight w:val="none"/>
                <w:lang w:val="en-US"/>
              </w:rPr>
            </w:pPr>
            <w:r>
              <w:rPr>
                <w:rFonts w:hint="eastAsia"/>
                <w:color w:val="auto"/>
                <w:sz w:val="24"/>
                <w:szCs w:val="24"/>
                <w:highlight w:val="none"/>
                <w:lang w:val="en-US"/>
              </w:rPr>
              <w:t>技术部分</w:t>
            </w:r>
          </w:p>
          <w:p w14:paraId="2D53BD73">
            <w:pPr>
              <w:pStyle w:val="329"/>
              <w:spacing w:before="98" w:line="400" w:lineRule="exact"/>
              <w:ind w:left="180" w:right="174"/>
              <w:jc w:val="center"/>
              <w:rPr>
                <w:color w:val="auto"/>
                <w:sz w:val="24"/>
                <w:szCs w:val="24"/>
                <w:highlight w:val="none"/>
                <w:lang w:val="en-US"/>
              </w:rPr>
            </w:pPr>
            <w:r>
              <w:rPr>
                <w:rFonts w:hint="eastAsia"/>
                <w:color w:val="auto"/>
                <w:sz w:val="24"/>
                <w:szCs w:val="24"/>
                <w:highlight w:val="none"/>
                <w:lang w:val="en-US" w:eastAsia="zh-CN"/>
              </w:rPr>
              <w:t>42</w:t>
            </w:r>
            <w:r>
              <w:rPr>
                <w:rFonts w:hint="eastAsia"/>
                <w:color w:val="auto"/>
                <w:sz w:val="24"/>
                <w:szCs w:val="24"/>
                <w:highlight w:val="none"/>
                <w:lang w:val="en-US"/>
              </w:rPr>
              <w:t>分</w:t>
            </w:r>
          </w:p>
        </w:tc>
        <w:tc>
          <w:tcPr>
            <w:tcW w:w="775" w:type="dxa"/>
            <w:tcBorders>
              <w:top w:val="single" w:color="auto" w:sz="4" w:space="0"/>
              <w:left w:val="single" w:color="auto" w:sz="4" w:space="0"/>
              <w:bottom w:val="single" w:color="auto" w:sz="4" w:space="0"/>
              <w:right w:val="single" w:color="auto" w:sz="4" w:space="0"/>
            </w:tcBorders>
            <w:vAlign w:val="center"/>
          </w:tcPr>
          <w:p w14:paraId="7435B05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jc w:val="center"/>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bCs/>
                <w:color w:val="auto"/>
                <w:kern w:val="0"/>
                <w:sz w:val="24"/>
                <w:szCs w:val="24"/>
                <w:highlight w:val="none"/>
                <w:lang w:val="zh-CN" w:bidi="zh-CN"/>
              </w:rPr>
              <w:t>项目总体理解</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tc>
        <w:tc>
          <w:tcPr>
            <w:tcW w:w="8082" w:type="dxa"/>
            <w:tcBorders>
              <w:top w:val="single" w:color="auto" w:sz="4" w:space="0"/>
              <w:left w:val="single" w:color="auto" w:sz="4" w:space="0"/>
              <w:bottom w:val="single" w:color="auto" w:sz="4" w:space="0"/>
              <w:right w:val="single" w:color="auto" w:sz="4" w:space="0"/>
            </w:tcBorders>
            <w:vAlign w:val="center"/>
          </w:tcPr>
          <w:p w14:paraId="269A48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bCs/>
                <w:color w:val="auto"/>
                <w:kern w:val="0"/>
                <w:sz w:val="24"/>
                <w:szCs w:val="24"/>
                <w:highlight w:val="none"/>
                <w:lang w:val="zh-CN" w:bidi="zh-CN"/>
              </w:rPr>
              <w:t>投标人需提供针对本项目的项目总体理解。方案内容包括但不限于：项目总体理解从背景、目标、内容、预期成果等方面进行。</w:t>
            </w:r>
          </w:p>
          <w:p w14:paraId="39F462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方案方案</w:t>
            </w:r>
            <w:r>
              <w:rPr>
                <w:rFonts w:hint="eastAsia" w:ascii="宋体" w:hAnsi="宋体" w:eastAsia="宋体" w:cs="宋体"/>
                <w:bCs/>
                <w:color w:val="auto"/>
                <w:kern w:val="0"/>
                <w:sz w:val="24"/>
                <w:szCs w:val="24"/>
                <w:highlight w:val="none"/>
                <w:lang w:val="zh-CN" w:bidi="zh-CN"/>
              </w:rPr>
              <w:t>内容完整、详实、科学、合理，可操作性强且优于项目需求得</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p w14:paraId="17BC54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w:t>
            </w:r>
            <w:r>
              <w:rPr>
                <w:rFonts w:hint="eastAsia" w:ascii="宋体" w:hAnsi="宋体" w:cs="宋体"/>
                <w:bCs/>
                <w:color w:val="auto"/>
                <w:kern w:val="0"/>
                <w:sz w:val="24"/>
                <w:szCs w:val="24"/>
                <w:highlight w:val="none"/>
                <w:lang w:val="zh-CN" w:bidi="zh-CN"/>
              </w:rPr>
              <w:t>较为完整详实</w:t>
            </w:r>
            <w:r>
              <w:rPr>
                <w:rFonts w:hint="eastAsia" w:ascii="宋体" w:hAnsi="宋体" w:eastAsia="宋体" w:cs="宋体"/>
                <w:bCs/>
                <w:color w:val="auto"/>
                <w:kern w:val="0"/>
                <w:sz w:val="24"/>
                <w:szCs w:val="24"/>
                <w:highlight w:val="none"/>
                <w:lang w:val="zh-CN" w:bidi="zh-CN"/>
              </w:rPr>
              <w:t>，可操作性</w:t>
            </w:r>
            <w:r>
              <w:rPr>
                <w:rFonts w:hint="eastAsia" w:ascii="宋体" w:hAnsi="宋体" w:cs="宋体"/>
                <w:bCs/>
                <w:color w:val="auto"/>
                <w:kern w:val="0"/>
                <w:sz w:val="24"/>
                <w:szCs w:val="24"/>
                <w:highlight w:val="none"/>
                <w:lang w:val="zh-CN" w:bidi="zh-CN"/>
              </w:rPr>
              <w:t>一般</w:t>
            </w:r>
            <w:r>
              <w:rPr>
                <w:rFonts w:hint="eastAsia" w:ascii="宋体" w:hAnsi="宋体" w:eastAsia="宋体" w:cs="宋体"/>
                <w:bCs/>
                <w:color w:val="auto"/>
                <w:kern w:val="0"/>
                <w:sz w:val="24"/>
                <w:szCs w:val="24"/>
                <w:highlight w:val="none"/>
                <w:lang w:val="zh-CN" w:bidi="zh-CN"/>
              </w:rPr>
              <w:t>，</w:t>
            </w:r>
            <w:r>
              <w:rPr>
                <w:rFonts w:hint="eastAsia" w:ascii="宋体" w:hAnsi="宋体" w:cs="宋体"/>
                <w:bCs/>
                <w:color w:val="auto"/>
                <w:kern w:val="0"/>
                <w:sz w:val="24"/>
                <w:szCs w:val="24"/>
                <w:highlight w:val="none"/>
                <w:lang w:val="en-US" w:bidi="zh-CN"/>
              </w:rPr>
              <w:t>基本能</w:t>
            </w:r>
            <w:r>
              <w:rPr>
                <w:rFonts w:hint="eastAsia" w:ascii="宋体" w:hAnsi="宋体" w:eastAsia="宋体" w:cs="宋体"/>
                <w:bCs/>
                <w:color w:val="auto"/>
                <w:kern w:val="0"/>
                <w:sz w:val="24"/>
                <w:szCs w:val="24"/>
                <w:highlight w:val="none"/>
                <w:lang w:val="zh-CN" w:bidi="zh-CN"/>
              </w:rPr>
              <w:t>满足项目需求的得</w:t>
            </w:r>
            <w:r>
              <w:rPr>
                <w:rFonts w:hint="eastAsia" w:ascii="宋体" w:hAnsi="宋体" w:cs="宋体"/>
                <w:bCs/>
                <w:color w:val="auto"/>
                <w:kern w:val="0"/>
                <w:sz w:val="24"/>
                <w:szCs w:val="24"/>
                <w:highlight w:val="none"/>
                <w:lang w:val="en-US" w:bidi="zh-CN"/>
              </w:rPr>
              <w:t>4</w:t>
            </w:r>
            <w:r>
              <w:rPr>
                <w:rFonts w:hint="eastAsia" w:ascii="宋体" w:hAnsi="宋体" w:eastAsia="宋体" w:cs="宋体"/>
                <w:bCs/>
                <w:color w:val="auto"/>
                <w:kern w:val="0"/>
                <w:sz w:val="24"/>
                <w:szCs w:val="24"/>
                <w:highlight w:val="none"/>
                <w:lang w:val="zh-CN" w:bidi="zh-CN"/>
              </w:rPr>
              <w:t>分；</w:t>
            </w:r>
          </w:p>
          <w:p w14:paraId="3CCCF4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内容不完整，科学性、合理性、操作性不强，需求响应不全的得</w:t>
            </w:r>
            <w:r>
              <w:rPr>
                <w:rFonts w:hint="eastAsia" w:ascii="宋体" w:hAnsi="宋体" w:cs="宋体"/>
                <w:bCs/>
                <w:color w:val="auto"/>
                <w:kern w:val="0"/>
                <w:sz w:val="24"/>
                <w:szCs w:val="24"/>
                <w:highlight w:val="none"/>
                <w:lang w:val="en-US" w:bidi="zh-CN"/>
              </w:rPr>
              <w:t>2</w:t>
            </w:r>
            <w:r>
              <w:rPr>
                <w:rFonts w:hint="eastAsia" w:ascii="宋体" w:hAnsi="宋体" w:eastAsia="宋体" w:cs="宋体"/>
                <w:bCs/>
                <w:color w:val="auto"/>
                <w:kern w:val="0"/>
                <w:sz w:val="24"/>
                <w:szCs w:val="24"/>
                <w:highlight w:val="none"/>
                <w:lang w:val="zh-CN" w:bidi="zh-CN"/>
              </w:rPr>
              <w:t>分。</w:t>
            </w:r>
          </w:p>
          <w:p w14:paraId="6E1320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
                <w:bCs/>
                <w:color w:val="auto"/>
                <w:sz w:val="24"/>
                <w:highlight w:val="none"/>
              </w:rPr>
              <w:t>该项未见阐述不得分</w:t>
            </w:r>
          </w:p>
        </w:tc>
      </w:tr>
      <w:tr w14:paraId="13F2E935">
        <w:tblPrEx>
          <w:tblCellMar>
            <w:top w:w="0" w:type="dxa"/>
            <w:left w:w="0" w:type="dxa"/>
            <w:bottom w:w="0" w:type="dxa"/>
            <w:right w:w="0" w:type="dxa"/>
          </w:tblCellMar>
        </w:tblPrEx>
        <w:trPr>
          <w:trHeight w:val="663" w:hRule="atLeast"/>
        </w:trPr>
        <w:tc>
          <w:tcPr>
            <w:tcW w:w="1089" w:type="dxa"/>
            <w:vMerge w:val="continue"/>
            <w:tcBorders>
              <w:left w:val="single" w:color="auto" w:sz="4" w:space="0"/>
              <w:right w:val="single" w:color="auto" w:sz="4" w:space="0"/>
            </w:tcBorders>
            <w:vAlign w:val="center"/>
          </w:tcPr>
          <w:p w14:paraId="74FB362C">
            <w:pPr>
              <w:pStyle w:val="329"/>
              <w:spacing w:before="98" w:line="400" w:lineRule="exact"/>
              <w:ind w:left="180" w:right="174"/>
              <w:jc w:val="center"/>
              <w:rPr>
                <w:color w:val="auto"/>
                <w:sz w:val="24"/>
                <w:szCs w:val="24"/>
                <w:highlight w:val="none"/>
                <w:lang w:val="en-US"/>
              </w:rPr>
            </w:pPr>
          </w:p>
        </w:tc>
        <w:tc>
          <w:tcPr>
            <w:tcW w:w="775" w:type="dxa"/>
            <w:tcBorders>
              <w:top w:val="single" w:color="auto" w:sz="4" w:space="0"/>
              <w:left w:val="single" w:color="auto" w:sz="4" w:space="0"/>
              <w:bottom w:val="single" w:color="auto" w:sz="4" w:space="0"/>
              <w:right w:val="single" w:color="auto" w:sz="4" w:space="0"/>
            </w:tcBorders>
            <w:vAlign w:val="center"/>
          </w:tcPr>
          <w:p w14:paraId="5458D5C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jc w:val="center"/>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bCs/>
                <w:color w:val="auto"/>
                <w:kern w:val="0"/>
                <w:sz w:val="24"/>
                <w:szCs w:val="24"/>
                <w:highlight w:val="none"/>
                <w:lang w:val="zh-CN" w:bidi="zh-CN"/>
              </w:rPr>
              <w:t>培训计划方案</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tc>
        <w:tc>
          <w:tcPr>
            <w:tcW w:w="8082" w:type="dxa"/>
            <w:tcBorders>
              <w:top w:val="single" w:color="auto" w:sz="4" w:space="0"/>
              <w:left w:val="single" w:color="auto" w:sz="4" w:space="0"/>
              <w:bottom w:val="single" w:color="auto" w:sz="4" w:space="0"/>
              <w:right w:val="single" w:color="auto" w:sz="4" w:space="0"/>
            </w:tcBorders>
            <w:vAlign w:val="center"/>
          </w:tcPr>
          <w:p w14:paraId="30C416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bCs/>
                <w:color w:val="auto"/>
                <w:kern w:val="0"/>
                <w:sz w:val="24"/>
                <w:szCs w:val="24"/>
                <w:highlight w:val="none"/>
                <w:lang w:val="zh-CN" w:bidi="zh-CN"/>
              </w:rPr>
              <w:t>投标人需提供针对本项目配合学校实施的高考各学科培优</w:t>
            </w:r>
            <w:r>
              <w:rPr>
                <w:rFonts w:hint="eastAsia" w:ascii="宋体" w:hAnsi="宋体" w:cs="宋体"/>
                <w:bCs/>
                <w:color w:val="auto"/>
                <w:kern w:val="0"/>
                <w:sz w:val="24"/>
                <w:szCs w:val="24"/>
                <w:highlight w:val="none"/>
                <w:lang w:val="en-US" w:bidi="zh-CN"/>
              </w:rPr>
              <w:t>专属</w:t>
            </w:r>
            <w:r>
              <w:rPr>
                <w:rFonts w:hint="eastAsia" w:ascii="宋体" w:hAnsi="宋体" w:eastAsia="宋体" w:cs="宋体"/>
                <w:bCs/>
                <w:color w:val="auto"/>
                <w:kern w:val="0"/>
                <w:sz w:val="24"/>
                <w:szCs w:val="24"/>
                <w:highlight w:val="none"/>
                <w:lang w:val="zh-CN" w:bidi="zh-CN"/>
              </w:rPr>
              <w:t>培训计划方案。方案内容包括但不限于：服务方案、课程计划与内容、</w:t>
            </w:r>
            <w:r>
              <w:rPr>
                <w:rFonts w:hint="eastAsia" w:ascii="宋体" w:hAnsi="宋体" w:cs="宋体"/>
                <w:bCs/>
                <w:color w:val="auto"/>
                <w:kern w:val="0"/>
                <w:sz w:val="24"/>
                <w:szCs w:val="24"/>
                <w:highlight w:val="none"/>
                <w:lang w:val="zh-CN" w:bidi="zh-CN"/>
              </w:rPr>
              <w:t>培训</w:t>
            </w:r>
            <w:r>
              <w:rPr>
                <w:rFonts w:hint="eastAsia" w:ascii="宋体" w:hAnsi="宋体" w:eastAsia="宋体" w:cs="宋体"/>
                <w:bCs/>
                <w:color w:val="auto"/>
                <w:kern w:val="0"/>
                <w:sz w:val="24"/>
                <w:szCs w:val="24"/>
                <w:highlight w:val="none"/>
                <w:lang w:val="zh-CN" w:bidi="zh-CN"/>
              </w:rPr>
              <w:t>人员</w:t>
            </w:r>
            <w:r>
              <w:rPr>
                <w:rFonts w:hint="eastAsia" w:ascii="宋体" w:hAnsi="宋体" w:cs="宋体"/>
                <w:bCs/>
                <w:color w:val="auto"/>
                <w:kern w:val="0"/>
                <w:sz w:val="24"/>
                <w:szCs w:val="24"/>
                <w:highlight w:val="none"/>
                <w:lang w:val="zh-CN" w:bidi="zh-CN"/>
              </w:rPr>
              <w:t>构成</w:t>
            </w:r>
            <w:r>
              <w:rPr>
                <w:rFonts w:hint="eastAsia" w:ascii="宋体" w:hAnsi="宋体" w:eastAsia="宋体" w:cs="宋体"/>
                <w:bCs/>
                <w:color w:val="auto"/>
                <w:kern w:val="0"/>
                <w:sz w:val="24"/>
                <w:szCs w:val="24"/>
                <w:highlight w:val="none"/>
                <w:lang w:val="zh-CN" w:bidi="zh-CN"/>
              </w:rPr>
              <w:t>、课程讲义、课程配套作业及答案等。</w:t>
            </w:r>
          </w:p>
          <w:p w14:paraId="20CD80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内容完整、详实、科学、合理，可操作性强且优于项目需求的得</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p w14:paraId="2F0B2E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w:t>
            </w:r>
            <w:r>
              <w:rPr>
                <w:rFonts w:hint="eastAsia" w:ascii="宋体" w:hAnsi="宋体" w:cs="宋体"/>
                <w:bCs/>
                <w:color w:val="auto"/>
                <w:kern w:val="0"/>
                <w:sz w:val="24"/>
                <w:szCs w:val="24"/>
                <w:highlight w:val="none"/>
                <w:lang w:val="zh-CN" w:bidi="zh-CN"/>
              </w:rPr>
              <w:t>较为完整详实</w:t>
            </w:r>
            <w:r>
              <w:rPr>
                <w:rFonts w:hint="eastAsia" w:ascii="宋体" w:hAnsi="宋体" w:eastAsia="宋体" w:cs="宋体"/>
                <w:bCs/>
                <w:color w:val="auto"/>
                <w:kern w:val="0"/>
                <w:sz w:val="24"/>
                <w:szCs w:val="24"/>
                <w:highlight w:val="none"/>
                <w:lang w:val="zh-CN" w:bidi="zh-CN"/>
              </w:rPr>
              <w:t>，可操作性</w:t>
            </w:r>
            <w:r>
              <w:rPr>
                <w:rFonts w:hint="eastAsia" w:ascii="宋体" w:hAnsi="宋体" w:cs="宋体"/>
                <w:bCs/>
                <w:color w:val="auto"/>
                <w:kern w:val="0"/>
                <w:sz w:val="24"/>
                <w:szCs w:val="24"/>
                <w:highlight w:val="none"/>
                <w:lang w:val="zh-CN" w:bidi="zh-CN"/>
              </w:rPr>
              <w:t>一般</w:t>
            </w:r>
            <w:r>
              <w:rPr>
                <w:rFonts w:hint="eastAsia" w:ascii="宋体" w:hAnsi="宋体" w:eastAsia="宋体" w:cs="宋体"/>
                <w:bCs/>
                <w:color w:val="auto"/>
                <w:kern w:val="0"/>
                <w:sz w:val="24"/>
                <w:szCs w:val="24"/>
                <w:highlight w:val="none"/>
                <w:lang w:val="zh-CN" w:bidi="zh-CN"/>
              </w:rPr>
              <w:t>，</w:t>
            </w:r>
            <w:r>
              <w:rPr>
                <w:rFonts w:hint="eastAsia" w:ascii="宋体" w:hAnsi="宋体" w:cs="宋体"/>
                <w:bCs/>
                <w:color w:val="auto"/>
                <w:kern w:val="0"/>
                <w:sz w:val="24"/>
                <w:szCs w:val="24"/>
                <w:highlight w:val="none"/>
                <w:lang w:val="en-US" w:bidi="zh-CN"/>
              </w:rPr>
              <w:t>基本能</w:t>
            </w:r>
            <w:r>
              <w:rPr>
                <w:rFonts w:hint="eastAsia" w:ascii="宋体" w:hAnsi="宋体" w:eastAsia="宋体" w:cs="宋体"/>
                <w:bCs/>
                <w:color w:val="auto"/>
                <w:kern w:val="0"/>
                <w:sz w:val="24"/>
                <w:szCs w:val="24"/>
                <w:highlight w:val="none"/>
                <w:lang w:val="zh-CN" w:bidi="zh-CN"/>
              </w:rPr>
              <w:t>满足项目需求的得</w:t>
            </w:r>
            <w:r>
              <w:rPr>
                <w:rFonts w:hint="eastAsia" w:ascii="宋体" w:hAnsi="宋体" w:cs="宋体"/>
                <w:bCs/>
                <w:color w:val="auto"/>
                <w:kern w:val="0"/>
                <w:sz w:val="24"/>
                <w:szCs w:val="24"/>
                <w:highlight w:val="none"/>
                <w:lang w:val="en-US" w:bidi="zh-CN"/>
              </w:rPr>
              <w:t>4</w:t>
            </w:r>
            <w:r>
              <w:rPr>
                <w:rFonts w:hint="eastAsia" w:ascii="宋体" w:hAnsi="宋体" w:eastAsia="宋体" w:cs="宋体"/>
                <w:bCs/>
                <w:color w:val="auto"/>
                <w:kern w:val="0"/>
                <w:sz w:val="24"/>
                <w:szCs w:val="24"/>
                <w:highlight w:val="none"/>
                <w:lang w:val="zh-CN" w:bidi="zh-CN"/>
              </w:rPr>
              <w:t>分；</w:t>
            </w:r>
          </w:p>
          <w:p w14:paraId="603B6B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内容不完整，科学性、合理性、操作性不强，需求响应不全的得</w:t>
            </w:r>
            <w:r>
              <w:rPr>
                <w:rFonts w:hint="eastAsia" w:ascii="宋体" w:hAnsi="宋体" w:cs="宋体"/>
                <w:bCs/>
                <w:color w:val="auto"/>
                <w:kern w:val="0"/>
                <w:sz w:val="24"/>
                <w:szCs w:val="24"/>
                <w:highlight w:val="none"/>
                <w:lang w:val="en-US" w:bidi="zh-CN"/>
              </w:rPr>
              <w:t>2</w:t>
            </w:r>
            <w:r>
              <w:rPr>
                <w:rFonts w:hint="eastAsia" w:ascii="宋体" w:hAnsi="宋体" w:eastAsia="宋体" w:cs="宋体"/>
                <w:bCs/>
                <w:color w:val="auto"/>
                <w:kern w:val="0"/>
                <w:sz w:val="24"/>
                <w:szCs w:val="24"/>
                <w:highlight w:val="none"/>
                <w:lang w:val="zh-CN" w:bidi="zh-CN"/>
              </w:rPr>
              <w:t>分。</w:t>
            </w:r>
          </w:p>
          <w:p w14:paraId="3B2D35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
                <w:bCs/>
                <w:color w:val="auto"/>
                <w:sz w:val="24"/>
                <w:highlight w:val="none"/>
              </w:rPr>
              <w:t>该项未见阐述不得分</w:t>
            </w:r>
          </w:p>
        </w:tc>
      </w:tr>
      <w:tr w14:paraId="0BC93303">
        <w:tblPrEx>
          <w:tblCellMar>
            <w:top w:w="0" w:type="dxa"/>
            <w:left w:w="0" w:type="dxa"/>
            <w:bottom w:w="0" w:type="dxa"/>
            <w:right w:w="0" w:type="dxa"/>
          </w:tblCellMar>
        </w:tblPrEx>
        <w:trPr>
          <w:trHeight w:val="90" w:hRule="atLeast"/>
        </w:trPr>
        <w:tc>
          <w:tcPr>
            <w:tcW w:w="1089" w:type="dxa"/>
            <w:vMerge w:val="continue"/>
            <w:tcBorders>
              <w:left w:val="single" w:color="auto" w:sz="4" w:space="0"/>
              <w:bottom w:val="single" w:color="auto" w:sz="4" w:space="0"/>
              <w:right w:val="single" w:color="auto" w:sz="4" w:space="0"/>
            </w:tcBorders>
            <w:vAlign w:val="center"/>
          </w:tcPr>
          <w:p w14:paraId="56EA5B57">
            <w:pPr>
              <w:pStyle w:val="329"/>
              <w:spacing w:before="98" w:line="400" w:lineRule="exact"/>
              <w:ind w:left="180" w:right="174"/>
              <w:jc w:val="center"/>
              <w:rPr>
                <w:color w:val="auto"/>
                <w:sz w:val="24"/>
                <w:szCs w:val="24"/>
                <w:highlight w:val="none"/>
                <w:lang w:val="en-US"/>
              </w:rPr>
            </w:pPr>
          </w:p>
        </w:tc>
        <w:tc>
          <w:tcPr>
            <w:tcW w:w="775" w:type="dxa"/>
            <w:tcBorders>
              <w:top w:val="single" w:color="auto" w:sz="4" w:space="0"/>
              <w:left w:val="single" w:color="auto" w:sz="4" w:space="0"/>
              <w:bottom w:val="single" w:color="auto" w:sz="4" w:space="0"/>
              <w:right w:val="single" w:color="auto" w:sz="4" w:space="0"/>
            </w:tcBorders>
            <w:vAlign w:val="center"/>
          </w:tcPr>
          <w:p w14:paraId="3A191C7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center"/>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bCs/>
                <w:color w:val="auto"/>
                <w:kern w:val="0"/>
                <w:sz w:val="24"/>
                <w:szCs w:val="24"/>
                <w:highlight w:val="none"/>
                <w:lang w:val="zh-CN" w:bidi="zh-CN"/>
              </w:rPr>
              <w:t>强基专属课程方案</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tc>
        <w:tc>
          <w:tcPr>
            <w:tcW w:w="8082" w:type="dxa"/>
            <w:tcBorders>
              <w:top w:val="single" w:color="auto" w:sz="4" w:space="0"/>
              <w:left w:val="single" w:color="auto" w:sz="4" w:space="0"/>
              <w:bottom w:val="single" w:color="auto" w:sz="4" w:space="0"/>
              <w:right w:val="single" w:color="auto" w:sz="4" w:space="0"/>
            </w:tcBorders>
            <w:vAlign w:val="center"/>
          </w:tcPr>
          <w:p w14:paraId="349193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bCs/>
                <w:color w:val="auto"/>
                <w:kern w:val="0"/>
                <w:sz w:val="24"/>
                <w:szCs w:val="24"/>
                <w:highlight w:val="none"/>
                <w:lang w:val="zh-CN" w:bidi="zh-CN"/>
              </w:rPr>
              <w:t>投标人需提供覆盖国内顶尖名校强基校考笔试及面试科目并符合校考要求的专属课程方案。方案内容包括但不限于：日常培训和假期集中授课、课程设置、进度计划具有连续性、培训时间、线下授课、1对1个性指导课等方面进行评审。</w:t>
            </w:r>
          </w:p>
          <w:p w14:paraId="74DF64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内容完整、详实、科学、合理，可操作性强且优于项目需求的得</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p w14:paraId="590430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w:t>
            </w:r>
            <w:r>
              <w:rPr>
                <w:rFonts w:hint="eastAsia" w:ascii="宋体" w:hAnsi="宋体" w:cs="宋体"/>
                <w:bCs/>
                <w:color w:val="auto"/>
                <w:kern w:val="0"/>
                <w:sz w:val="24"/>
                <w:szCs w:val="24"/>
                <w:highlight w:val="none"/>
                <w:lang w:val="zh-CN" w:bidi="zh-CN"/>
              </w:rPr>
              <w:t>较为完整详实</w:t>
            </w:r>
            <w:r>
              <w:rPr>
                <w:rFonts w:hint="eastAsia" w:ascii="宋体" w:hAnsi="宋体" w:eastAsia="宋体" w:cs="宋体"/>
                <w:bCs/>
                <w:color w:val="auto"/>
                <w:kern w:val="0"/>
                <w:sz w:val="24"/>
                <w:szCs w:val="24"/>
                <w:highlight w:val="none"/>
                <w:lang w:val="zh-CN" w:bidi="zh-CN"/>
              </w:rPr>
              <w:t>，可操作性</w:t>
            </w:r>
            <w:r>
              <w:rPr>
                <w:rFonts w:hint="eastAsia" w:ascii="宋体" w:hAnsi="宋体" w:cs="宋体"/>
                <w:bCs/>
                <w:color w:val="auto"/>
                <w:kern w:val="0"/>
                <w:sz w:val="24"/>
                <w:szCs w:val="24"/>
                <w:highlight w:val="none"/>
                <w:lang w:val="zh-CN" w:bidi="zh-CN"/>
              </w:rPr>
              <w:t>一般</w:t>
            </w:r>
            <w:r>
              <w:rPr>
                <w:rFonts w:hint="eastAsia" w:ascii="宋体" w:hAnsi="宋体" w:eastAsia="宋体" w:cs="宋体"/>
                <w:bCs/>
                <w:color w:val="auto"/>
                <w:kern w:val="0"/>
                <w:sz w:val="24"/>
                <w:szCs w:val="24"/>
                <w:highlight w:val="none"/>
                <w:lang w:val="zh-CN" w:bidi="zh-CN"/>
              </w:rPr>
              <w:t>，</w:t>
            </w:r>
            <w:r>
              <w:rPr>
                <w:rFonts w:hint="eastAsia" w:ascii="宋体" w:hAnsi="宋体" w:cs="宋体"/>
                <w:bCs/>
                <w:color w:val="auto"/>
                <w:kern w:val="0"/>
                <w:sz w:val="24"/>
                <w:szCs w:val="24"/>
                <w:highlight w:val="none"/>
                <w:lang w:val="en-US" w:bidi="zh-CN"/>
              </w:rPr>
              <w:t>基本能</w:t>
            </w:r>
            <w:r>
              <w:rPr>
                <w:rFonts w:hint="eastAsia" w:ascii="宋体" w:hAnsi="宋体" w:eastAsia="宋体" w:cs="宋体"/>
                <w:bCs/>
                <w:color w:val="auto"/>
                <w:kern w:val="0"/>
                <w:sz w:val="24"/>
                <w:szCs w:val="24"/>
                <w:highlight w:val="none"/>
                <w:lang w:val="zh-CN" w:bidi="zh-CN"/>
              </w:rPr>
              <w:t>满足项目需求的得</w:t>
            </w:r>
            <w:r>
              <w:rPr>
                <w:rFonts w:hint="eastAsia" w:ascii="宋体" w:hAnsi="宋体" w:cs="宋体"/>
                <w:bCs/>
                <w:color w:val="auto"/>
                <w:kern w:val="0"/>
                <w:sz w:val="24"/>
                <w:szCs w:val="24"/>
                <w:highlight w:val="none"/>
                <w:lang w:val="en-US" w:bidi="zh-CN"/>
              </w:rPr>
              <w:t>4</w:t>
            </w:r>
            <w:r>
              <w:rPr>
                <w:rFonts w:hint="eastAsia" w:ascii="宋体" w:hAnsi="宋体" w:eastAsia="宋体" w:cs="宋体"/>
                <w:bCs/>
                <w:color w:val="auto"/>
                <w:kern w:val="0"/>
                <w:sz w:val="24"/>
                <w:szCs w:val="24"/>
                <w:highlight w:val="none"/>
                <w:lang w:val="zh-CN" w:bidi="zh-CN"/>
              </w:rPr>
              <w:t>分；</w:t>
            </w:r>
          </w:p>
          <w:p w14:paraId="4147E0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内容不完整，科学性、合理性、操作性不强，需求响应不全的得</w:t>
            </w:r>
            <w:r>
              <w:rPr>
                <w:rFonts w:hint="eastAsia" w:ascii="宋体" w:hAnsi="宋体" w:cs="宋体"/>
                <w:bCs/>
                <w:color w:val="auto"/>
                <w:kern w:val="0"/>
                <w:sz w:val="24"/>
                <w:szCs w:val="24"/>
                <w:highlight w:val="none"/>
                <w:lang w:val="en-US" w:bidi="zh-CN"/>
              </w:rPr>
              <w:t>2</w:t>
            </w:r>
            <w:r>
              <w:rPr>
                <w:rFonts w:hint="eastAsia" w:ascii="宋体" w:hAnsi="宋体" w:eastAsia="宋体" w:cs="宋体"/>
                <w:bCs/>
                <w:color w:val="auto"/>
                <w:kern w:val="0"/>
                <w:sz w:val="24"/>
                <w:szCs w:val="24"/>
                <w:highlight w:val="none"/>
                <w:lang w:val="zh-CN" w:bidi="zh-CN"/>
              </w:rPr>
              <w:t>分。</w:t>
            </w:r>
          </w:p>
          <w:p w14:paraId="796E39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
                <w:bCs/>
                <w:color w:val="auto"/>
                <w:sz w:val="24"/>
                <w:highlight w:val="none"/>
              </w:rPr>
              <w:t>该项未见阐述不得分</w:t>
            </w:r>
          </w:p>
        </w:tc>
      </w:tr>
      <w:tr w14:paraId="50E667D9">
        <w:tblPrEx>
          <w:tblCellMar>
            <w:top w:w="0" w:type="dxa"/>
            <w:left w:w="0" w:type="dxa"/>
            <w:bottom w:w="0" w:type="dxa"/>
            <w:right w:w="0" w:type="dxa"/>
          </w:tblCellMar>
        </w:tblPrEx>
        <w:trPr>
          <w:trHeight w:val="2084" w:hRule="atLeast"/>
        </w:trPr>
        <w:tc>
          <w:tcPr>
            <w:tcW w:w="1089" w:type="dxa"/>
            <w:vMerge w:val="continue"/>
            <w:tcBorders>
              <w:top w:val="single" w:color="auto" w:sz="4" w:space="0"/>
              <w:left w:val="single" w:color="auto" w:sz="4" w:space="0"/>
              <w:right w:val="single" w:color="auto" w:sz="4" w:space="0"/>
            </w:tcBorders>
            <w:vAlign w:val="center"/>
          </w:tcPr>
          <w:p w14:paraId="6F3797DC">
            <w:pPr>
              <w:pStyle w:val="329"/>
              <w:spacing w:before="98" w:line="400" w:lineRule="exact"/>
              <w:ind w:left="180" w:right="174"/>
              <w:jc w:val="center"/>
              <w:rPr>
                <w:color w:val="auto"/>
                <w:sz w:val="24"/>
                <w:szCs w:val="24"/>
                <w:highlight w:val="none"/>
                <w:lang w:val="en-US"/>
              </w:rPr>
            </w:pPr>
          </w:p>
        </w:tc>
        <w:tc>
          <w:tcPr>
            <w:tcW w:w="775" w:type="dxa"/>
            <w:tcBorders>
              <w:top w:val="single" w:color="auto" w:sz="4" w:space="0"/>
              <w:left w:val="single" w:color="auto" w:sz="4" w:space="0"/>
              <w:right w:val="single" w:color="auto" w:sz="4" w:space="0"/>
            </w:tcBorders>
            <w:vAlign w:val="center"/>
          </w:tcPr>
          <w:p w14:paraId="650F83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center"/>
              <w:textAlignment w:val="auto"/>
              <w:rPr>
                <w:rFonts w:hint="default" w:ascii="宋体" w:hAnsi="宋体" w:eastAsia="宋体" w:cs="宋体"/>
                <w:bCs/>
                <w:color w:val="auto"/>
                <w:kern w:val="0"/>
                <w:sz w:val="24"/>
                <w:szCs w:val="24"/>
                <w:highlight w:val="none"/>
                <w:lang w:val="en-US" w:bidi="zh-CN"/>
              </w:rPr>
            </w:pPr>
            <w:r>
              <w:rPr>
                <w:rFonts w:hint="eastAsia" w:ascii="宋体" w:hAnsi="宋体" w:cs="宋体"/>
                <w:bCs/>
                <w:color w:val="auto"/>
                <w:kern w:val="0"/>
                <w:sz w:val="24"/>
                <w:szCs w:val="24"/>
                <w:highlight w:val="none"/>
                <w:lang w:val="zh-CN" w:bidi="zh-CN"/>
              </w:rPr>
              <w:t>服务质量保障方案</w:t>
            </w:r>
            <w:r>
              <w:rPr>
                <w:rFonts w:hint="eastAsia" w:ascii="宋体" w:hAnsi="宋体" w:cs="宋体"/>
                <w:bCs/>
                <w:color w:val="auto"/>
                <w:kern w:val="0"/>
                <w:sz w:val="24"/>
                <w:szCs w:val="24"/>
                <w:highlight w:val="none"/>
                <w:lang w:val="en-US" w:bidi="zh-CN"/>
              </w:rPr>
              <w:t>6分</w:t>
            </w:r>
          </w:p>
        </w:tc>
        <w:tc>
          <w:tcPr>
            <w:tcW w:w="8082" w:type="dxa"/>
            <w:tcBorders>
              <w:top w:val="single" w:color="auto" w:sz="4" w:space="0"/>
              <w:left w:val="single" w:color="auto" w:sz="4" w:space="0"/>
              <w:right w:val="single" w:color="auto" w:sz="4" w:space="0"/>
            </w:tcBorders>
            <w:vAlign w:val="center"/>
          </w:tcPr>
          <w:p w14:paraId="13C739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i w:val="0"/>
                <w:iCs w:val="0"/>
                <w:color w:val="auto"/>
                <w:sz w:val="24"/>
                <w:szCs w:val="24"/>
                <w:highlight w:val="none"/>
                <w:u w:val="none"/>
                <w:lang w:val="en-US" w:eastAsia="zh-CN" w:bidi="ar"/>
              </w:rPr>
              <w:t>投标人提供的服务质量保障方案，方案包含但不限于服务质量保证措施、服务质量管理制度</w:t>
            </w:r>
            <w:r>
              <w:rPr>
                <w:rFonts w:hint="eastAsia" w:ascii="宋体" w:hAnsi="宋体" w:cs="宋体"/>
                <w:i w:val="0"/>
                <w:iCs w:val="0"/>
                <w:color w:val="auto"/>
                <w:sz w:val="24"/>
                <w:szCs w:val="24"/>
                <w:highlight w:val="none"/>
                <w:u w:val="none"/>
                <w:lang w:val="en-US" w:eastAsia="zh-CN" w:bidi="ar"/>
              </w:rPr>
              <w:t>、风险管控与</w:t>
            </w:r>
            <w:r>
              <w:rPr>
                <w:rFonts w:hint="eastAsia" w:ascii="宋体" w:hAnsi="宋体" w:cs="宋体"/>
                <w:color w:val="auto"/>
                <w:sz w:val="24"/>
                <w:highlight w:val="none"/>
                <w:lang w:eastAsia="zh-CN"/>
              </w:rPr>
              <w:t>应急服务保障</w:t>
            </w:r>
            <w:r>
              <w:rPr>
                <w:rFonts w:hint="eastAsia" w:ascii="宋体" w:hAnsi="宋体" w:eastAsia="宋体" w:cs="宋体"/>
                <w:i w:val="0"/>
                <w:iCs w:val="0"/>
                <w:color w:val="auto"/>
                <w:sz w:val="24"/>
                <w:szCs w:val="24"/>
                <w:highlight w:val="none"/>
                <w:u w:val="none"/>
                <w:lang w:val="en-US" w:eastAsia="zh-CN" w:bidi="ar"/>
              </w:rPr>
              <w:t>等内容：</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方</w:t>
            </w:r>
            <w:r>
              <w:rPr>
                <w:rFonts w:hint="eastAsia" w:ascii="宋体" w:hAnsi="宋体" w:cs="宋体"/>
                <w:bCs/>
                <w:color w:val="auto"/>
                <w:kern w:val="0"/>
                <w:sz w:val="24"/>
                <w:szCs w:val="24"/>
                <w:highlight w:val="none"/>
                <w:lang w:val="zh-CN" w:bidi="zh-CN"/>
              </w:rPr>
              <w:t>案</w:t>
            </w:r>
            <w:r>
              <w:rPr>
                <w:rFonts w:hint="eastAsia" w:ascii="宋体" w:hAnsi="宋体" w:eastAsia="宋体" w:cs="宋体"/>
                <w:bCs/>
                <w:color w:val="auto"/>
                <w:kern w:val="0"/>
                <w:sz w:val="24"/>
                <w:szCs w:val="24"/>
                <w:highlight w:val="none"/>
                <w:lang w:val="zh-CN" w:bidi="zh-CN"/>
              </w:rPr>
              <w:t>内容完整、详实、科学、合理，可操作性强且优于项目需求的得</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p w14:paraId="25EBF5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w:t>
            </w:r>
            <w:r>
              <w:rPr>
                <w:rFonts w:hint="eastAsia" w:ascii="宋体" w:hAnsi="宋体" w:cs="宋体"/>
                <w:bCs/>
                <w:color w:val="auto"/>
                <w:kern w:val="0"/>
                <w:sz w:val="24"/>
                <w:szCs w:val="24"/>
                <w:highlight w:val="none"/>
                <w:lang w:val="zh-CN" w:bidi="zh-CN"/>
              </w:rPr>
              <w:t>较为完整详实</w:t>
            </w:r>
            <w:r>
              <w:rPr>
                <w:rFonts w:hint="eastAsia" w:ascii="宋体" w:hAnsi="宋体" w:eastAsia="宋体" w:cs="宋体"/>
                <w:bCs/>
                <w:color w:val="auto"/>
                <w:kern w:val="0"/>
                <w:sz w:val="24"/>
                <w:szCs w:val="24"/>
                <w:highlight w:val="none"/>
                <w:lang w:val="zh-CN" w:bidi="zh-CN"/>
              </w:rPr>
              <w:t>，可操作性</w:t>
            </w:r>
            <w:r>
              <w:rPr>
                <w:rFonts w:hint="eastAsia" w:ascii="宋体" w:hAnsi="宋体" w:cs="宋体"/>
                <w:bCs/>
                <w:color w:val="auto"/>
                <w:kern w:val="0"/>
                <w:sz w:val="24"/>
                <w:szCs w:val="24"/>
                <w:highlight w:val="none"/>
                <w:lang w:val="zh-CN" w:bidi="zh-CN"/>
              </w:rPr>
              <w:t>一般</w:t>
            </w:r>
            <w:r>
              <w:rPr>
                <w:rFonts w:hint="eastAsia" w:ascii="宋体" w:hAnsi="宋体" w:eastAsia="宋体" w:cs="宋体"/>
                <w:bCs/>
                <w:color w:val="auto"/>
                <w:kern w:val="0"/>
                <w:sz w:val="24"/>
                <w:szCs w:val="24"/>
                <w:highlight w:val="none"/>
                <w:lang w:val="zh-CN" w:bidi="zh-CN"/>
              </w:rPr>
              <w:t>，</w:t>
            </w:r>
            <w:r>
              <w:rPr>
                <w:rFonts w:hint="eastAsia" w:ascii="宋体" w:hAnsi="宋体" w:cs="宋体"/>
                <w:bCs/>
                <w:color w:val="auto"/>
                <w:kern w:val="0"/>
                <w:sz w:val="24"/>
                <w:szCs w:val="24"/>
                <w:highlight w:val="none"/>
                <w:lang w:val="en-US" w:bidi="zh-CN"/>
              </w:rPr>
              <w:t>基本能</w:t>
            </w:r>
            <w:r>
              <w:rPr>
                <w:rFonts w:hint="eastAsia" w:ascii="宋体" w:hAnsi="宋体" w:eastAsia="宋体" w:cs="宋体"/>
                <w:bCs/>
                <w:color w:val="auto"/>
                <w:kern w:val="0"/>
                <w:sz w:val="24"/>
                <w:szCs w:val="24"/>
                <w:highlight w:val="none"/>
                <w:lang w:val="zh-CN" w:bidi="zh-CN"/>
              </w:rPr>
              <w:t>满足项目需求的得</w:t>
            </w:r>
            <w:r>
              <w:rPr>
                <w:rFonts w:hint="eastAsia" w:ascii="宋体" w:hAnsi="宋体" w:cs="宋体"/>
                <w:bCs/>
                <w:color w:val="auto"/>
                <w:kern w:val="0"/>
                <w:sz w:val="24"/>
                <w:szCs w:val="24"/>
                <w:highlight w:val="none"/>
                <w:lang w:val="en-US" w:bidi="zh-CN"/>
              </w:rPr>
              <w:t>4</w:t>
            </w:r>
            <w:r>
              <w:rPr>
                <w:rFonts w:hint="eastAsia" w:ascii="宋体" w:hAnsi="宋体" w:eastAsia="宋体" w:cs="宋体"/>
                <w:bCs/>
                <w:color w:val="auto"/>
                <w:kern w:val="0"/>
                <w:sz w:val="24"/>
                <w:szCs w:val="24"/>
                <w:highlight w:val="none"/>
                <w:lang w:val="zh-CN" w:bidi="zh-CN"/>
              </w:rPr>
              <w:t>分；</w:t>
            </w:r>
          </w:p>
          <w:p w14:paraId="56D319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内容不完整，科学性、合理性、操作性不强，需求响应不全的得</w:t>
            </w:r>
            <w:r>
              <w:rPr>
                <w:rFonts w:hint="eastAsia" w:ascii="宋体" w:hAnsi="宋体" w:cs="宋体"/>
                <w:bCs/>
                <w:color w:val="auto"/>
                <w:kern w:val="0"/>
                <w:sz w:val="24"/>
                <w:szCs w:val="24"/>
                <w:highlight w:val="none"/>
                <w:lang w:val="en-US" w:bidi="zh-CN"/>
              </w:rPr>
              <w:t>2</w:t>
            </w:r>
            <w:r>
              <w:rPr>
                <w:rFonts w:hint="eastAsia" w:ascii="宋体" w:hAnsi="宋体" w:eastAsia="宋体" w:cs="宋体"/>
                <w:bCs/>
                <w:color w:val="auto"/>
                <w:kern w:val="0"/>
                <w:sz w:val="24"/>
                <w:szCs w:val="24"/>
                <w:highlight w:val="none"/>
                <w:lang w:val="zh-CN" w:bidi="zh-CN"/>
              </w:rPr>
              <w:t>分</w:t>
            </w:r>
          </w:p>
          <w:p w14:paraId="7F4E97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bidi="zh-CN"/>
              </w:rPr>
            </w:pPr>
            <w:r>
              <w:rPr>
                <w:rFonts w:hint="eastAsia" w:ascii="宋体" w:hAnsi="宋体" w:cs="宋体"/>
                <w:b/>
                <w:bCs/>
                <w:color w:val="auto"/>
                <w:sz w:val="24"/>
                <w:highlight w:val="none"/>
              </w:rPr>
              <w:t>该项未见阐述不得分</w:t>
            </w:r>
          </w:p>
        </w:tc>
      </w:tr>
      <w:tr w14:paraId="162C67C3">
        <w:tblPrEx>
          <w:tblCellMar>
            <w:top w:w="0" w:type="dxa"/>
            <w:left w:w="0" w:type="dxa"/>
            <w:bottom w:w="0" w:type="dxa"/>
            <w:right w:w="0" w:type="dxa"/>
          </w:tblCellMar>
        </w:tblPrEx>
        <w:trPr>
          <w:trHeight w:val="2644" w:hRule="atLeast"/>
        </w:trPr>
        <w:tc>
          <w:tcPr>
            <w:tcW w:w="1089" w:type="dxa"/>
            <w:vMerge w:val="continue"/>
            <w:tcBorders>
              <w:left w:val="single" w:color="auto" w:sz="4" w:space="0"/>
              <w:right w:val="single" w:color="auto" w:sz="4" w:space="0"/>
            </w:tcBorders>
            <w:vAlign w:val="center"/>
          </w:tcPr>
          <w:p w14:paraId="01C5329B">
            <w:pPr>
              <w:pStyle w:val="329"/>
              <w:spacing w:before="98" w:line="400" w:lineRule="exact"/>
              <w:ind w:left="180" w:right="174"/>
              <w:jc w:val="center"/>
              <w:rPr>
                <w:color w:val="auto"/>
                <w:sz w:val="24"/>
                <w:szCs w:val="24"/>
                <w:highlight w:val="none"/>
                <w:lang w:val="en-US"/>
              </w:rPr>
            </w:pPr>
          </w:p>
        </w:tc>
        <w:tc>
          <w:tcPr>
            <w:tcW w:w="775" w:type="dxa"/>
            <w:tcBorders>
              <w:top w:val="single" w:color="auto" w:sz="4" w:space="0"/>
              <w:left w:val="single" w:color="auto" w:sz="4" w:space="0"/>
              <w:right w:val="single" w:color="auto" w:sz="4" w:space="0"/>
            </w:tcBorders>
            <w:vAlign w:val="center"/>
          </w:tcPr>
          <w:p w14:paraId="4AC91F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both"/>
              <w:textAlignment w:val="auto"/>
              <w:rPr>
                <w:rFonts w:hint="default" w:ascii="宋体" w:hAnsi="宋体" w:cs="宋体"/>
                <w:bCs/>
                <w:color w:val="auto"/>
                <w:kern w:val="0"/>
                <w:sz w:val="24"/>
                <w:szCs w:val="24"/>
                <w:highlight w:val="none"/>
                <w:lang w:val="en-US" w:bidi="zh-CN"/>
              </w:rPr>
            </w:pPr>
            <w:r>
              <w:rPr>
                <w:rFonts w:ascii="宋体" w:hAnsi="宋体" w:eastAsia="宋体" w:cs="宋体"/>
                <w:sz w:val="24"/>
                <w:szCs w:val="24"/>
                <w:highlight w:val="none"/>
              </w:rPr>
              <w:t>校社联动</w:t>
            </w:r>
            <w:r>
              <w:rPr>
                <w:rFonts w:hint="eastAsia" w:ascii="宋体" w:hAnsi="宋体" w:cs="宋体"/>
                <w:sz w:val="24"/>
                <w:szCs w:val="24"/>
                <w:highlight w:val="none"/>
                <w:lang w:eastAsia="zh-CN"/>
              </w:rPr>
              <w:t>、</w:t>
            </w:r>
            <w:r>
              <w:rPr>
                <w:rFonts w:ascii="宋体" w:hAnsi="宋体" w:eastAsia="宋体" w:cs="宋体"/>
                <w:sz w:val="24"/>
                <w:szCs w:val="24"/>
                <w:highlight w:val="none"/>
              </w:rPr>
              <w:t>双向赋能</w:t>
            </w:r>
            <w:r>
              <w:rPr>
                <w:rFonts w:hint="eastAsia" w:ascii="宋体" w:hAnsi="宋体" w:cs="宋体"/>
                <w:bCs/>
                <w:color w:val="auto"/>
                <w:kern w:val="0"/>
                <w:sz w:val="24"/>
                <w:szCs w:val="24"/>
                <w:highlight w:val="none"/>
                <w:lang w:val="en-US" w:bidi="zh-CN"/>
              </w:rPr>
              <w:t>实施方案6分</w:t>
            </w:r>
          </w:p>
        </w:tc>
        <w:tc>
          <w:tcPr>
            <w:tcW w:w="8082" w:type="dxa"/>
            <w:tcBorders>
              <w:top w:val="single" w:color="auto" w:sz="4" w:space="0"/>
              <w:left w:val="single" w:color="auto" w:sz="4" w:space="0"/>
              <w:right w:val="single" w:color="auto" w:sz="4" w:space="0"/>
            </w:tcBorders>
            <w:vAlign w:val="center"/>
          </w:tcPr>
          <w:p w14:paraId="34EEE401">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宋体" w:hAnsi="宋体" w:cs="宋体"/>
                <w:color w:val="auto"/>
                <w:sz w:val="24"/>
                <w:highlight w:val="none"/>
              </w:rPr>
            </w:pPr>
            <w:r>
              <w:rPr>
                <w:rFonts w:hint="eastAsia" w:hAnsi="宋体" w:cs="宋体"/>
                <w:strike w:val="0"/>
                <w:color w:val="auto"/>
                <w:sz w:val="24"/>
                <w:szCs w:val="24"/>
                <w:highlight w:val="none"/>
                <w:lang w:val="en-US" w:eastAsia="zh-CN"/>
              </w:rPr>
              <w:t>在具体实际教学中，供应商</w:t>
            </w:r>
            <w:r>
              <w:rPr>
                <w:rFonts w:hint="eastAsia" w:cs="宋体"/>
                <w:color w:val="auto"/>
                <w:sz w:val="24"/>
                <w:szCs w:val="24"/>
                <w:highlight w:val="none"/>
                <w:lang w:eastAsia="zh-CN"/>
              </w:rPr>
              <w:t>应有激发、调动学校和本校教师积极主动参与拔尖创新人才培训的具体实施方案</w:t>
            </w:r>
            <w:r>
              <w:rPr>
                <w:rFonts w:hint="eastAsia" w:cs="宋体"/>
                <w:color w:val="auto"/>
                <w:sz w:val="24"/>
                <w:szCs w:val="24"/>
                <w:highlight w:val="none"/>
                <w:lang w:val="en-US" w:eastAsia="zh-CN"/>
              </w:rPr>
              <w:t>,</w:t>
            </w:r>
            <w:r>
              <w:rPr>
                <w:rFonts w:hint="eastAsia" w:ascii="宋体" w:hAnsi="宋体" w:eastAsia="宋体" w:cs="宋体"/>
                <w:i w:val="0"/>
                <w:iCs w:val="0"/>
                <w:color w:val="auto"/>
                <w:sz w:val="24"/>
                <w:szCs w:val="24"/>
                <w:highlight w:val="none"/>
                <w:u w:val="none"/>
                <w:lang w:val="en-US" w:eastAsia="zh-CN" w:bidi="ar"/>
              </w:rPr>
              <w:t>，方案包含但不限于</w:t>
            </w:r>
            <w:r>
              <w:rPr>
                <w:rFonts w:ascii="宋体" w:hAnsi="宋体" w:eastAsia="宋体" w:cs="宋体"/>
                <w:kern w:val="0"/>
                <w:sz w:val="24"/>
                <w:szCs w:val="24"/>
                <w:highlight w:val="none"/>
                <w:lang w:val="en-US" w:eastAsia="zh-CN" w:bidi="ar"/>
              </w:rPr>
              <w:t>校</w:t>
            </w:r>
            <w:r>
              <w:rPr>
                <w:rFonts w:hint="eastAsia" w:ascii="宋体" w:hAnsi="宋体" w:cs="宋体"/>
                <w:kern w:val="0"/>
                <w:sz w:val="24"/>
                <w:szCs w:val="24"/>
                <w:highlight w:val="none"/>
                <w:lang w:val="en-US" w:eastAsia="zh-CN" w:bidi="ar"/>
              </w:rPr>
              <w:t>企共建拔尖</w:t>
            </w:r>
            <w:r>
              <w:rPr>
                <w:rFonts w:ascii="宋体" w:hAnsi="宋体" w:eastAsia="宋体" w:cs="宋体"/>
                <w:kern w:val="0"/>
                <w:sz w:val="24"/>
                <w:szCs w:val="24"/>
                <w:highlight w:val="none"/>
                <w:lang w:val="en-US" w:eastAsia="zh-CN" w:bidi="ar"/>
              </w:rPr>
              <w:t>人才培养方案</w:t>
            </w:r>
            <w:r>
              <w:rPr>
                <w:rFonts w:hint="eastAsia" w:ascii="宋体" w:hAnsi="宋体" w:cs="宋体"/>
                <w:kern w:val="0"/>
                <w:sz w:val="24"/>
                <w:szCs w:val="24"/>
                <w:highlight w:val="none"/>
                <w:lang w:val="en-US" w:eastAsia="zh-CN" w:bidi="ar"/>
              </w:rPr>
              <w:t>、</w:t>
            </w:r>
            <w:r>
              <w:rPr>
                <w:rFonts w:hint="eastAsia" w:ascii="宋体" w:hAnsi="宋体" w:cs="宋体"/>
                <w:color w:val="auto"/>
                <w:sz w:val="24"/>
                <w:highlight w:val="none"/>
                <w:lang w:eastAsia="zh-CN"/>
              </w:rPr>
              <w:t>校本培训课程共建、</w:t>
            </w:r>
            <w:r>
              <w:rPr>
                <w:rFonts w:hint="eastAsia" w:ascii="宋体" w:hAnsi="宋体" w:cs="宋体"/>
                <w:color w:val="auto"/>
                <w:sz w:val="24"/>
                <w:highlight w:val="none"/>
                <w:lang w:val="en-US" w:eastAsia="zh-CN"/>
              </w:rPr>
              <w:t>教师专项赋能培训、经费保障措施和</w:t>
            </w:r>
            <w:r>
              <w:rPr>
                <w:rFonts w:ascii="宋体" w:hAnsi="宋体" w:eastAsia="宋体" w:cs="宋体"/>
                <w:kern w:val="0"/>
                <w:sz w:val="24"/>
                <w:szCs w:val="24"/>
                <w:highlight w:val="none"/>
                <w:lang w:val="en-US" w:eastAsia="zh-CN" w:bidi="ar"/>
              </w:rPr>
              <w:t>成果沉淀与长效运维</w:t>
            </w:r>
            <w:r>
              <w:rPr>
                <w:rFonts w:hint="eastAsia" w:ascii="宋体" w:hAnsi="宋体" w:cs="宋体"/>
                <w:color w:val="auto"/>
                <w:sz w:val="24"/>
                <w:highlight w:val="none"/>
                <w:lang w:val="en-US" w:eastAsia="zh-CN"/>
              </w:rPr>
              <w:t>等具体</w:t>
            </w:r>
            <w:r>
              <w:rPr>
                <w:rFonts w:hint="eastAsia" w:ascii="宋体" w:hAnsi="宋体" w:cs="宋体"/>
                <w:bCs/>
                <w:color w:val="auto"/>
                <w:kern w:val="0"/>
                <w:sz w:val="24"/>
                <w:szCs w:val="24"/>
                <w:highlight w:val="none"/>
                <w:lang w:val="en-US" w:bidi="zh-CN"/>
              </w:rPr>
              <w:t>实施方案</w:t>
            </w:r>
            <w:r>
              <w:rPr>
                <w:rFonts w:hint="eastAsia" w:ascii="宋体" w:hAnsi="宋体" w:cs="宋体"/>
                <w:color w:val="auto"/>
                <w:sz w:val="24"/>
                <w:highlight w:val="none"/>
              </w:rPr>
              <w:t>：</w:t>
            </w:r>
          </w:p>
          <w:p w14:paraId="3FD1A0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eastAsia="宋体" w:cs="宋体"/>
                <w:i w:val="0"/>
                <w:iCs w:val="0"/>
                <w:color w:val="auto"/>
                <w:sz w:val="24"/>
                <w:szCs w:val="24"/>
                <w:highlight w:val="none"/>
                <w:u w:val="none"/>
                <w:lang w:val="en-US" w:eastAsia="zh-CN" w:bidi="ar"/>
              </w:rPr>
              <w:t>方</w:t>
            </w:r>
            <w:r>
              <w:rPr>
                <w:rFonts w:hint="eastAsia" w:ascii="宋体" w:hAnsi="宋体" w:cs="宋体"/>
                <w:bCs/>
                <w:color w:val="auto"/>
                <w:kern w:val="0"/>
                <w:sz w:val="24"/>
                <w:szCs w:val="24"/>
                <w:highlight w:val="none"/>
                <w:lang w:val="zh-CN" w:bidi="zh-CN"/>
              </w:rPr>
              <w:t>案</w:t>
            </w:r>
            <w:r>
              <w:rPr>
                <w:rFonts w:hint="eastAsia" w:ascii="宋体" w:hAnsi="宋体" w:eastAsia="宋体" w:cs="宋体"/>
                <w:bCs/>
                <w:color w:val="auto"/>
                <w:kern w:val="0"/>
                <w:sz w:val="24"/>
                <w:szCs w:val="24"/>
                <w:highlight w:val="none"/>
                <w:lang w:val="zh-CN" w:bidi="zh-CN"/>
              </w:rPr>
              <w:t>内容完整、详实、科学、合理，可操作性强且优于项目需求的得</w:t>
            </w:r>
            <w:r>
              <w:rPr>
                <w:rFonts w:hint="eastAsia" w:ascii="宋体" w:hAnsi="宋体" w:cs="宋体"/>
                <w:bCs/>
                <w:color w:val="auto"/>
                <w:kern w:val="0"/>
                <w:sz w:val="24"/>
                <w:szCs w:val="24"/>
                <w:highlight w:val="none"/>
                <w:lang w:val="en-US" w:bidi="zh-CN"/>
              </w:rPr>
              <w:t>6</w:t>
            </w:r>
            <w:r>
              <w:rPr>
                <w:rFonts w:hint="eastAsia" w:ascii="宋体" w:hAnsi="宋体" w:eastAsia="宋体" w:cs="宋体"/>
                <w:bCs/>
                <w:color w:val="auto"/>
                <w:kern w:val="0"/>
                <w:sz w:val="24"/>
                <w:szCs w:val="24"/>
                <w:highlight w:val="none"/>
                <w:lang w:val="zh-CN" w:bidi="zh-CN"/>
              </w:rPr>
              <w:t>分；</w:t>
            </w:r>
          </w:p>
          <w:p w14:paraId="1BFF325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w:t>
            </w:r>
            <w:r>
              <w:rPr>
                <w:rFonts w:hint="eastAsia" w:ascii="宋体" w:hAnsi="宋体" w:cs="宋体"/>
                <w:bCs/>
                <w:color w:val="auto"/>
                <w:kern w:val="0"/>
                <w:sz w:val="24"/>
                <w:szCs w:val="24"/>
                <w:highlight w:val="none"/>
                <w:lang w:val="zh-CN" w:bidi="zh-CN"/>
              </w:rPr>
              <w:t>较为完整详实</w:t>
            </w:r>
            <w:r>
              <w:rPr>
                <w:rFonts w:hint="eastAsia" w:ascii="宋体" w:hAnsi="宋体" w:eastAsia="宋体" w:cs="宋体"/>
                <w:bCs/>
                <w:color w:val="auto"/>
                <w:kern w:val="0"/>
                <w:sz w:val="24"/>
                <w:szCs w:val="24"/>
                <w:highlight w:val="none"/>
                <w:lang w:val="zh-CN" w:bidi="zh-CN"/>
              </w:rPr>
              <w:t>，可操作性</w:t>
            </w:r>
            <w:r>
              <w:rPr>
                <w:rFonts w:hint="eastAsia" w:ascii="宋体" w:hAnsi="宋体" w:cs="宋体"/>
                <w:bCs/>
                <w:color w:val="auto"/>
                <w:kern w:val="0"/>
                <w:sz w:val="24"/>
                <w:szCs w:val="24"/>
                <w:highlight w:val="none"/>
                <w:lang w:val="zh-CN" w:bidi="zh-CN"/>
              </w:rPr>
              <w:t>一般</w:t>
            </w:r>
            <w:r>
              <w:rPr>
                <w:rFonts w:hint="eastAsia" w:ascii="宋体" w:hAnsi="宋体" w:eastAsia="宋体" w:cs="宋体"/>
                <w:bCs/>
                <w:color w:val="auto"/>
                <w:kern w:val="0"/>
                <w:sz w:val="24"/>
                <w:szCs w:val="24"/>
                <w:highlight w:val="none"/>
                <w:lang w:val="zh-CN" w:bidi="zh-CN"/>
              </w:rPr>
              <w:t>，</w:t>
            </w:r>
            <w:r>
              <w:rPr>
                <w:rFonts w:hint="eastAsia" w:ascii="宋体" w:hAnsi="宋体" w:cs="宋体"/>
                <w:bCs/>
                <w:color w:val="auto"/>
                <w:kern w:val="0"/>
                <w:sz w:val="24"/>
                <w:szCs w:val="24"/>
                <w:highlight w:val="none"/>
                <w:lang w:val="en-US" w:bidi="zh-CN"/>
              </w:rPr>
              <w:t>基本能</w:t>
            </w:r>
            <w:r>
              <w:rPr>
                <w:rFonts w:hint="eastAsia" w:ascii="宋体" w:hAnsi="宋体" w:eastAsia="宋体" w:cs="宋体"/>
                <w:bCs/>
                <w:color w:val="auto"/>
                <w:kern w:val="0"/>
                <w:sz w:val="24"/>
                <w:szCs w:val="24"/>
                <w:highlight w:val="none"/>
                <w:lang w:val="zh-CN" w:bidi="zh-CN"/>
              </w:rPr>
              <w:t>满足项目需求的得</w:t>
            </w:r>
            <w:r>
              <w:rPr>
                <w:rFonts w:hint="eastAsia" w:ascii="宋体" w:hAnsi="宋体" w:cs="宋体"/>
                <w:bCs/>
                <w:color w:val="auto"/>
                <w:kern w:val="0"/>
                <w:sz w:val="24"/>
                <w:szCs w:val="24"/>
                <w:highlight w:val="none"/>
                <w:lang w:val="en-US" w:bidi="zh-CN"/>
              </w:rPr>
              <w:t>4</w:t>
            </w:r>
            <w:r>
              <w:rPr>
                <w:rFonts w:hint="eastAsia" w:ascii="宋体" w:hAnsi="宋体" w:eastAsia="宋体" w:cs="宋体"/>
                <w:bCs/>
                <w:color w:val="auto"/>
                <w:kern w:val="0"/>
                <w:sz w:val="24"/>
                <w:szCs w:val="24"/>
                <w:highlight w:val="none"/>
                <w:lang w:val="zh-CN" w:bidi="zh-CN"/>
              </w:rPr>
              <w:t>分；</w:t>
            </w:r>
          </w:p>
          <w:p w14:paraId="0BE382D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bidi="zh-CN"/>
              </w:rPr>
            </w:pPr>
            <w:r>
              <w:rPr>
                <w:rFonts w:hint="eastAsia" w:ascii="宋体" w:hAnsi="宋体" w:cs="宋体"/>
                <w:bCs/>
                <w:color w:val="auto"/>
                <w:kern w:val="0"/>
                <w:sz w:val="24"/>
                <w:szCs w:val="24"/>
                <w:highlight w:val="none"/>
                <w:lang w:val="zh-CN" w:bidi="zh-CN"/>
              </w:rPr>
              <w:t>方案</w:t>
            </w:r>
            <w:r>
              <w:rPr>
                <w:rFonts w:hint="eastAsia" w:ascii="宋体" w:hAnsi="宋体" w:eastAsia="宋体" w:cs="宋体"/>
                <w:bCs/>
                <w:color w:val="auto"/>
                <w:kern w:val="0"/>
                <w:sz w:val="24"/>
                <w:szCs w:val="24"/>
                <w:highlight w:val="none"/>
                <w:lang w:val="zh-CN" w:bidi="zh-CN"/>
              </w:rPr>
              <w:t>内容不完整，科学性、合理性、操作性不强，需求响应不全的得</w:t>
            </w:r>
            <w:r>
              <w:rPr>
                <w:rFonts w:hint="eastAsia" w:ascii="宋体" w:hAnsi="宋体" w:cs="宋体"/>
                <w:bCs/>
                <w:color w:val="auto"/>
                <w:kern w:val="0"/>
                <w:sz w:val="24"/>
                <w:szCs w:val="24"/>
                <w:highlight w:val="none"/>
                <w:lang w:val="en-US" w:bidi="zh-CN"/>
              </w:rPr>
              <w:t>2</w:t>
            </w:r>
            <w:r>
              <w:rPr>
                <w:rFonts w:hint="eastAsia" w:ascii="宋体" w:hAnsi="宋体" w:eastAsia="宋体" w:cs="宋体"/>
                <w:bCs/>
                <w:color w:val="auto"/>
                <w:kern w:val="0"/>
                <w:sz w:val="24"/>
                <w:szCs w:val="24"/>
                <w:highlight w:val="none"/>
                <w:lang w:val="zh-CN" w:bidi="zh-CN"/>
              </w:rPr>
              <w:t>分。</w:t>
            </w:r>
          </w:p>
          <w:p w14:paraId="607003F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textAlignment w:val="auto"/>
              <w:rPr>
                <w:rFonts w:hint="eastAsia" w:ascii="宋体" w:hAnsi="宋体" w:eastAsia="宋体" w:cs="宋体"/>
                <w:bCs/>
                <w:color w:val="auto"/>
                <w:kern w:val="0"/>
                <w:sz w:val="24"/>
                <w:szCs w:val="24"/>
                <w:highlight w:val="none"/>
                <w:lang w:val="zh-CN" w:eastAsia="zh-CN" w:bidi="zh-CN"/>
              </w:rPr>
            </w:pPr>
            <w:r>
              <w:rPr>
                <w:rFonts w:hint="eastAsia" w:ascii="宋体" w:hAnsi="宋体" w:cs="宋体"/>
                <w:b/>
                <w:bCs/>
                <w:color w:val="auto"/>
                <w:sz w:val="24"/>
                <w:highlight w:val="none"/>
              </w:rPr>
              <w:t>该项未见阐述不得分</w:t>
            </w:r>
          </w:p>
        </w:tc>
      </w:tr>
      <w:tr w14:paraId="65DDA536">
        <w:tblPrEx>
          <w:tblCellMar>
            <w:top w:w="0" w:type="dxa"/>
            <w:left w:w="0" w:type="dxa"/>
            <w:bottom w:w="0" w:type="dxa"/>
            <w:right w:w="0" w:type="dxa"/>
          </w:tblCellMar>
        </w:tblPrEx>
        <w:trPr>
          <w:trHeight w:val="1615" w:hRule="atLeast"/>
        </w:trPr>
        <w:tc>
          <w:tcPr>
            <w:tcW w:w="1089" w:type="dxa"/>
            <w:vMerge w:val="continue"/>
            <w:tcBorders>
              <w:left w:val="single" w:color="auto" w:sz="4" w:space="0"/>
              <w:right w:val="single" w:color="auto" w:sz="4" w:space="0"/>
            </w:tcBorders>
            <w:vAlign w:val="center"/>
          </w:tcPr>
          <w:p w14:paraId="13221E32">
            <w:pPr>
              <w:pStyle w:val="329"/>
              <w:spacing w:before="98" w:line="400" w:lineRule="exact"/>
              <w:ind w:left="180" w:right="174"/>
              <w:jc w:val="center"/>
              <w:rPr>
                <w:color w:val="auto"/>
                <w:sz w:val="24"/>
                <w:szCs w:val="24"/>
                <w:highlight w:val="none"/>
                <w:lang w:val="en-US"/>
              </w:rPr>
            </w:pPr>
          </w:p>
        </w:tc>
        <w:tc>
          <w:tcPr>
            <w:tcW w:w="775" w:type="dxa"/>
            <w:tcBorders>
              <w:top w:val="single" w:color="auto" w:sz="4" w:space="0"/>
              <w:left w:val="single" w:color="auto" w:sz="4" w:space="0"/>
              <w:right w:val="single" w:color="auto" w:sz="4" w:space="0"/>
            </w:tcBorders>
            <w:vAlign w:val="center"/>
          </w:tcPr>
          <w:p w14:paraId="3E85C80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center"/>
              <w:textAlignment w:val="auto"/>
              <w:rPr>
                <w:rFonts w:hint="default" w:ascii="宋体" w:hAnsi="宋体" w:cs="宋体"/>
                <w:bCs/>
                <w:color w:val="auto"/>
                <w:kern w:val="0"/>
                <w:sz w:val="24"/>
                <w:szCs w:val="24"/>
                <w:highlight w:val="none"/>
                <w:lang w:val="en-US" w:bidi="zh-CN"/>
              </w:rPr>
            </w:pPr>
            <w:r>
              <w:rPr>
                <w:rFonts w:hint="eastAsia" w:ascii="宋体" w:hAnsi="宋体" w:cs="宋体"/>
                <w:bCs/>
                <w:color w:val="auto"/>
                <w:kern w:val="0"/>
                <w:sz w:val="24"/>
                <w:szCs w:val="24"/>
                <w:highlight w:val="none"/>
                <w:lang w:val="zh-CN" w:bidi="zh-CN"/>
              </w:rPr>
              <w:t>服务响应时间承诺</w:t>
            </w:r>
            <w:r>
              <w:rPr>
                <w:rFonts w:hint="eastAsia" w:ascii="宋体" w:hAnsi="宋体" w:cs="宋体"/>
                <w:bCs/>
                <w:color w:val="auto"/>
                <w:kern w:val="0"/>
                <w:sz w:val="24"/>
                <w:szCs w:val="24"/>
                <w:highlight w:val="none"/>
                <w:lang w:val="en-US" w:bidi="zh-CN"/>
              </w:rPr>
              <w:t>6分</w:t>
            </w:r>
          </w:p>
        </w:tc>
        <w:tc>
          <w:tcPr>
            <w:tcW w:w="8082" w:type="dxa"/>
            <w:tcBorders>
              <w:top w:val="single" w:color="auto" w:sz="4" w:space="0"/>
              <w:left w:val="single" w:color="auto" w:sz="4" w:space="0"/>
              <w:right w:val="single" w:color="auto" w:sz="4" w:space="0"/>
            </w:tcBorders>
            <w:shd w:val="clear" w:color="auto" w:fill="auto"/>
            <w:vAlign w:val="top"/>
          </w:tcPr>
          <w:p w14:paraId="2A6D2888">
            <w:pPr>
              <w:pStyle w:val="349"/>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承诺</w:t>
            </w:r>
            <w:r>
              <w:rPr>
                <w:rFonts w:hint="eastAsia" w:ascii="宋体" w:hAnsi="宋体" w:eastAsia="宋体" w:cs="宋体"/>
                <w:color w:val="auto"/>
                <w:sz w:val="24"/>
                <w:szCs w:val="24"/>
                <w:highlight w:val="none"/>
                <w:lang w:eastAsia="zh-CN"/>
              </w:rPr>
              <w:t>项目实施过程中应</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需求</w:t>
            </w:r>
            <w:r>
              <w:rPr>
                <w:rFonts w:hint="eastAsia" w:ascii="宋体" w:hAnsi="宋体" w:eastAsia="宋体" w:cs="宋体"/>
                <w:color w:val="auto"/>
                <w:sz w:val="24"/>
                <w:szCs w:val="24"/>
                <w:highlight w:val="none"/>
              </w:rPr>
              <w:t>能在1小时内响应，并在响应后4小时内解决的得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243B249C">
            <w:pPr>
              <w:pStyle w:val="349"/>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承诺在2小时内响应，并在响应后</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小时内解决的得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15D36F50">
            <w:pPr>
              <w:pStyle w:val="349"/>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承诺在3小时内响应，并在响应后</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小时内解决的得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79215EE4">
            <w:pPr>
              <w:pStyle w:val="349"/>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需提供承诺函（格式自拟）</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lang w:val="en-US" w:eastAsia="zh-CN"/>
              </w:rPr>
              <w:t>加盖投标人公章</w:t>
            </w:r>
            <w:r>
              <w:rPr>
                <w:rFonts w:hint="eastAsia" w:ascii="宋体" w:hAnsi="宋体" w:eastAsia="宋体" w:cs="宋体"/>
                <w:color w:val="auto"/>
                <w:sz w:val="24"/>
                <w:szCs w:val="24"/>
                <w:highlight w:val="none"/>
              </w:rPr>
              <w:t>。</w:t>
            </w:r>
          </w:p>
          <w:p w14:paraId="2432FFCE">
            <w:pPr>
              <w:pStyle w:val="349"/>
              <w:keepNext w:val="0"/>
              <w:keepLines w:val="0"/>
              <w:pageBreakBefore w:val="0"/>
              <w:kinsoku/>
              <w:wordWrap/>
              <w:overflowPunct/>
              <w:topLinePunct w:val="0"/>
              <w:autoSpaceDE/>
              <w:autoSpaceDN/>
              <w:bidi w:val="0"/>
              <w:adjustRightInd/>
              <w:snapToGrid/>
              <w:spacing w:line="480" w:lineRule="exact"/>
              <w:jc w:val="both"/>
              <w:textAlignment w:val="auto"/>
              <w:rPr>
                <w:rFonts w:hint="eastAsia" w:asciiTheme="minorHAnsi" w:hAnsiTheme="minorHAnsi" w:eastAsiaTheme="minorEastAsia" w:cstheme="minorBidi"/>
                <w:color w:val="auto"/>
                <w:highlight w:val="none"/>
                <w:lang w:val="en-US" w:eastAsia="zh-Hans"/>
              </w:rPr>
            </w:pPr>
            <w:r>
              <w:rPr>
                <w:rFonts w:hint="eastAsia" w:ascii="宋体" w:hAnsi="宋体" w:cs="宋体"/>
                <w:b/>
                <w:bCs/>
                <w:color w:val="auto"/>
                <w:sz w:val="24"/>
                <w:highlight w:val="none"/>
              </w:rPr>
              <w:t>该项未见</w:t>
            </w:r>
            <w:r>
              <w:rPr>
                <w:rFonts w:hint="eastAsia" w:ascii="宋体" w:hAnsi="宋体" w:cs="宋体"/>
                <w:b/>
                <w:bCs/>
                <w:color w:val="auto"/>
                <w:sz w:val="24"/>
                <w:highlight w:val="none"/>
                <w:lang w:eastAsia="zh-CN"/>
              </w:rPr>
              <w:t>承诺</w:t>
            </w:r>
            <w:r>
              <w:rPr>
                <w:rFonts w:hint="eastAsia" w:ascii="宋体" w:hAnsi="宋体" w:cs="宋体"/>
                <w:b/>
                <w:bCs/>
                <w:color w:val="auto"/>
                <w:sz w:val="24"/>
                <w:highlight w:val="none"/>
              </w:rPr>
              <w:t>不得分</w:t>
            </w:r>
          </w:p>
        </w:tc>
      </w:tr>
      <w:tr w14:paraId="7D174CC8">
        <w:tblPrEx>
          <w:tblCellMar>
            <w:top w:w="0" w:type="dxa"/>
            <w:left w:w="0" w:type="dxa"/>
            <w:bottom w:w="0" w:type="dxa"/>
            <w:right w:w="0" w:type="dxa"/>
          </w:tblCellMar>
        </w:tblPrEx>
        <w:trPr>
          <w:trHeight w:val="1275" w:hRule="atLeast"/>
        </w:trPr>
        <w:tc>
          <w:tcPr>
            <w:tcW w:w="1089" w:type="dxa"/>
            <w:vMerge w:val="continue"/>
            <w:tcBorders>
              <w:left w:val="single" w:color="auto" w:sz="4" w:space="0"/>
              <w:bottom w:val="single" w:color="auto" w:sz="4" w:space="0"/>
              <w:right w:val="single" w:color="auto" w:sz="4" w:space="0"/>
            </w:tcBorders>
          </w:tcPr>
          <w:p w14:paraId="7FF67F0C">
            <w:pPr>
              <w:spacing w:line="400" w:lineRule="exact"/>
              <w:jc w:val="left"/>
              <w:rPr>
                <w:rFonts w:ascii="宋体" w:hAnsi="宋体" w:cs="宋体"/>
                <w:color w:val="auto"/>
                <w:spacing w:val="-10"/>
                <w:sz w:val="24"/>
                <w:szCs w:val="24"/>
                <w:highlight w:val="none"/>
              </w:rPr>
            </w:pPr>
          </w:p>
        </w:tc>
        <w:tc>
          <w:tcPr>
            <w:tcW w:w="775" w:type="dxa"/>
            <w:tcBorders>
              <w:top w:val="single" w:color="auto" w:sz="4" w:space="0"/>
              <w:left w:val="single" w:color="000000" w:sz="4" w:space="0"/>
              <w:bottom w:val="single" w:color="000000" w:sz="4" w:space="0"/>
              <w:right w:val="single" w:color="000000" w:sz="4" w:space="0"/>
            </w:tcBorders>
            <w:vAlign w:val="center"/>
          </w:tcPr>
          <w:p w14:paraId="016970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both"/>
              <w:textAlignment w:val="auto"/>
              <w:rPr>
                <w:rFonts w:hint="default" w:eastAsia="楷体_GB2312"/>
                <w:b w:val="0"/>
                <w:bCs/>
                <w:color w:val="auto"/>
                <w:highlight w:val="none"/>
                <w:lang w:val="en-US" w:eastAsia="zh-CN"/>
              </w:rPr>
            </w:pPr>
            <w:r>
              <w:rPr>
                <w:rFonts w:hint="eastAsia" w:ascii="宋体" w:hAnsi="宋体" w:eastAsia="宋体" w:cs="宋体"/>
                <w:b w:val="0"/>
                <w:bCs/>
                <w:color w:val="auto"/>
                <w:kern w:val="0"/>
                <w:sz w:val="24"/>
                <w:szCs w:val="24"/>
                <w:highlight w:val="none"/>
                <w:lang w:val="en-US" w:bidi="zh-CN"/>
              </w:rPr>
              <w:t>合理化建议方案</w:t>
            </w:r>
            <w:r>
              <w:rPr>
                <w:rFonts w:hint="eastAsia" w:ascii="宋体" w:hAnsi="宋体" w:eastAsia="宋体" w:cs="宋体"/>
                <w:b w:val="0"/>
                <w:bCs/>
                <w:color w:val="auto"/>
                <w:kern w:val="0"/>
                <w:sz w:val="24"/>
                <w:szCs w:val="24"/>
                <w:highlight w:val="none"/>
                <w:lang w:val="en-US" w:eastAsia="zh-CN" w:bidi="zh-CN"/>
              </w:rPr>
              <w:t>6分</w:t>
            </w:r>
          </w:p>
        </w:tc>
        <w:tc>
          <w:tcPr>
            <w:tcW w:w="8082" w:type="dxa"/>
            <w:tcBorders>
              <w:top w:val="single" w:color="auto" w:sz="4" w:space="0"/>
              <w:left w:val="single" w:color="000000" w:sz="4" w:space="0"/>
              <w:bottom w:val="single" w:color="000000" w:sz="4" w:space="0"/>
              <w:right w:val="single" w:color="000000" w:sz="4" w:space="0"/>
            </w:tcBorders>
            <w:vAlign w:val="center"/>
          </w:tcPr>
          <w:p w14:paraId="5BE464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both"/>
              <w:textAlignment w:val="auto"/>
              <w:rPr>
                <w:rFonts w:hint="eastAsia" w:ascii="宋体" w:hAnsi="宋体"/>
                <w:b w:val="0"/>
                <w:bCs/>
                <w:color w:val="auto"/>
                <w:sz w:val="24"/>
                <w:highlight w:val="none"/>
              </w:rPr>
            </w:pPr>
            <w:r>
              <w:rPr>
                <w:rFonts w:hint="eastAsia" w:ascii="宋体" w:hAnsi="宋体"/>
                <w:b w:val="0"/>
                <w:bCs/>
                <w:color w:val="auto"/>
                <w:sz w:val="24"/>
                <w:highlight w:val="none"/>
              </w:rPr>
              <w:t>投标人</w:t>
            </w:r>
            <w:r>
              <w:rPr>
                <w:rFonts w:hint="eastAsia" w:ascii="宋体" w:hAnsi="宋体"/>
                <w:b w:val="0"/>
                <w:bCs/>
                <w:color w:val="auto"/>
                <w:sz w:val="24"/>
                <w:highlight w:val="none"/>
                <w:lang w:eastAsia="zh-CN"/>
              </w:rPr>
              <w:t>针</w:t>
            </w:r>
            <w:r>
              <w:rPr>
                <w:rFonts w:hint="eastAsia" w:ascii="宋体" w:hAnsi="宋体"/>
                <w:b w:val="0"/>
                <w:bCs/>
                <w:color w:val="auto"/>
                <w:sz w:val="24"/>
                <w:highlight w:val="none"/>
              </w:rPr>
              <w:t>对本项目提出合理化建议</w:t>
            </w:r>
            <w:r>
              <w:rPr>
                <w:rFonts w:hint="eastAsia" w:ascii="宋体" w:hAnsi="宋体"/>
                <w:b w:val="0"/>
                <w:bCs/>
                <w:color w:val="auto"/>
                <w:sz w:val="24"/>
                <w:highlight w:val="none"/>
                <w:lang w:eastAsia="zh-CN"/>
              </w:rPr>
              <w:t>（格式自拟）</w:t>
            </w:r>
            <w:r>
              <w:rPr>
                <w:rFonts w:hint="eastAsia" w:ascii="宋体" w:hAnsi="宋体"/>
                <w:b w:val="0"/>
                <w:bCs/>
                <w:color w:val="auto"/>
                <w:sz w:val="24"/>
                <w:highlight w:val="none"/>
              </w:rPr>
              <w:t>且</w:t>
            </w:r>
            <w:r>
              <w:rPr>
                <w:rFonts w:hint="eastAsia" w:ascii="宋体" w:hAnsi="宋体"/>
                <w:b w:val="0"/>
                <w:bCs/>
                <w:color w:val="auto"/>
                <w:sz w:val="24"/>
                <w:highlight w:val="none"/>
                <w:lang w:eastAsia="zh-CN"/>
              </w:rPr>
              <w:t>具有可操作性</w:t>
            </w:r>
            <w:r>
              <w:rPr>
                <w:rFonts w:hint="eastAsia" w:ascii="宋体" w:hAnsi="宋体"/>
                <w:b w:val="0"/>
                <w:bCs/>
                <w:color w:val="auto"/>
                <w:sz w:val="24"/>
                <w:highlight w:val="none"/>
              </w:rPr>
              <w:t>的，经</w:t>
            </w:r>
            <w:r>
              <w:rPr>
                <w:rFonts w:hint="eastAsia" w:ascii="宋体" w:hAnsi="宋体"/>
                <w:b w:val="0"/>
                <w:bCs/>
                <w:color w:val="auto"/>
                <w:sz w:val="24"/>
                <w:highlight w:val="none"/>
                <w:lang w:val="en-US" w:eastAsia="zh-CN"/>
              </w:rPr>
              <w:t>评审委员会</w:t>
            </w:r>
            <w:r>
              <w:rPr>
                <w:rFonts w:hint="eastAsia" w:ascii="宋体" w:hAnsi="宋体"/>
                <w:b w:val="0"/>
                <w:bCs/>
                <w:color w:val="auto"/>
                <w:sz w:val="24"/>
                <w:highlight w:val="none"/>
              </w:rPr>
              <w:t>一致认可，每有1条得</w:t>
            </w: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分，最高得</w:t>
            </w:r>
            <w:r>
              <w:rPr>
                <w:rFonts w:hint="eastAsia" w:ascii="宋体" w:hAnsi="宋体"/>
                <w:b w:val="0"/>
                <w:bCs/>
                <w:color w:val="auto"/>
                <w:sz w:val="24"/>
                <w:highlight w:val="none"/>
                <w:lang w:val="en-US" w:eastAsia="zh-CN"/>
              </w:rPr>
              <w:t>6</w:t>
            </w:r>
            <w:r>
              <w:rPr>
                <w:rFonts w:hint="eastAsia" w:ascii="宋体" w:hAnsi="宋体"/>
                <w:b w:val="0"/>
                <w:bCs/>
                <w:color w:val="auto"/>
                <w:sz w:val="24"/>
                <w:highlight w:val="none"/>
              </w:rPr>
              <w:t>分。</w:t>
            </w:r>
          </w:p>
          <w:p w14:paraId="175FD3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both"/>
              <w:textAlignment w:val="auto"/>
              <w:rPr>
                <w:rFonts w:hint="default" w:ascii="宋体" w:hAnsi="宋体"/>
                <w:b w:val="0"/>
                <w:bCs/>
                <w:color w:val="auto"/>
                <w:sz w:val="24"/>
                <w:highlight w:val="none"/>
                <w:lang w:val="en-US"/>
              </w:rPr>
            </w:pPr>
            <w:r>
              <w:rPr>
                <w:rFonts w:hint="eastAsia" w:ascii="宋体" w:hAnsi="宋体" w:cs="宋体"/>
                <w:b/>
                <w:bCs/>
                <w:color w:val="auto"/>
                <w:sz w:val="24"/>
                <w:highlight w:val="none"/>
              </w:rPr>
              <w:t>该项未见阐述不得分</w:t>
            </w:r>
          </w:p>
        </w:tc>
      </w:tr>
    </w:tbl>
    <w:p w14:paraId="098A0B1D">
      <w:pPr>
        <w:pStyle w:val="213"/>
        <w:rPr>
          <w:rFonts w:ascii="宋体" w:hAnsi="宋体" w:eastAsia="宋体" w:cs="宋体"/>
          <w:color w:val="auto"/>
          <w:sz w:val="44"/>
          <w:highlight w:val="none"/>
        </w:rPr>
      </w:pPr>
      <w:r>
        <w:rPr>
          <w:rFonts w:hint="eastAsia" w:ascii="宋体" w:hAnsi="宋体" w:eastAsia="宋体" w:cs="宋体"/>
          <w:color w:val="auto"/>
          <w:highlight w:val="none"/>
        </w:rPr>
        <w:br w:type="page" w:clear="all"/>
      </w:r>
      <w:bookmarkStart w:id="262" w:name="_Toc10505"/>
      <w:bookmarkStart w:id="263" w:name="_Toc25769"/>
      <w:r>
        <w:rPr>
          <w:rFonts w:hint="eastAsia" w:ascii="宋体" w:hAnsi="宋体" w:eastAsia="宋体" w:cs="宋体"/>
          <w:color w:val="auto"/>
          <w:sz w:val="44"/>
          <w:szCs w:val="44"/>
          <w:highlight w:val="none"/>
        </w:rPr>
        <w:t>第六章  投标</w:t>
      </w:r>
      <w:bookmarkEnd w:id="258"/>
      <w:bookmarkEnd w:id="259"/>
      <w:bookmarkEnd w:id="260"/>
      <w:r>
        <w:rPr>
          <w:rFonts w:hint="eastAsia" w:ascii="宋体" w:hAnsi="宋体" w:eastAsia="宋体" w:cs="宋体"/>
          <w:color w:val="auto"/>
          <w:sz w:val="44"/>
          <w:szCs w:val="44"/>
          <w:highlight w:val="none"/>
        </w:rPr>
        <w:t>文件格式</w:t>
      </w:r>
      <w:bookmarkEnd w:id="262"/>
      <w:bookmarkEnd w:id="263"/>
    </w:p>
    <w:bookmarkEnd w:id="254"/>
    <w:bookmarkEnd w:id="255"/>
    <w:p w14:paraId="6F1A9D04">
      <w:pPr>
        <w:jc w:val="center"/>
        <w:rPr>
          <w:rFonts w:ascii="宋体" w:hAnsi="宋体" w:cs="宋体"/>
          <w:color w:val="auto"/>
          <w:sz w:val="72"/>
          <w:highlight w:val="none"/>
        </w:rPr>
      </w:pPr>
      <w:bookmarkStart w:id="264" w:name="_Toc26554094"/>
      <w:bookmarkEnd w:id="264"/>
      <w:bookmarkStart w:id="265" w:name="_Hlt26671244"/>
      <w:bookmarkEnd w:id="265"/>
      <w:bookmarkStart w:id="266" w:name="_Hlt26955039"/>
      <w:bookmarkEnd w:id="266"/>
      <w:bookmarkStart w:id="267" w:name="_Toc49090576"/>
      <w:bookmarkEnd w:id="267"/>
      <w:bookmarkStart w:id="268" w:name="_Toc120614282"/>
      <w:bookmarkEnd w:id="268"/>
    </w:p>
    <w:p w14:paraId="7EE499EF">
      <w:pPr>
        <w:jc w:val="center"/>
        <w:rPr>
          <w:rFonts w:ascii="宋体" w:hAnsi="宋体" w:cs="宋体"/>
          <w:color w:val="auto"/>
          <w:sz w:val="72"/>
          <w:szCs w:val="52"/>
          <w:highlight w:val="none"/>
        </w:rPr>
      </w:pPr>
      <w:r>
        <w:rPr>
          <w:rFonts w:hint="eastAsia" w:ascii="宋体" w:hAnsi="宋体" w:cs="宋体"/>
          <w:color w:val="auto"/>
          <w:sz w:val="72"/>
          <w:szCs w:val="52"/>
          <w:highlight w:val="none"/>
        </w:rPr>
        <w:t>连 云 港 市 政 府 采 购</w:t>
      </w:r>
    </w:p>
    <w:p w14:paraId="0205C640">
      <w:pPr>
        <w:jc w:val="center"/>
        <w:rPr>
          <w:rFonts w:ascii="宋体" w:hAnsi="宋体" w:cs="宋体"/>
          <w:color w:val="auto"/>
          <w:sz w:val="72"/>
          <w:szCs w:val="84"/>
          <w:highlight w:val="none"/>
        </w:rPr>
      </w:pPr>
    </w:p>
    <w:p w14:paraId="1D62922D">
      <w:pPr>
        <w:jc w:val="center"/>
        <w:rPr>
          <w:rFonts w:ascii="宋体" w:hAnsi="宋体" w:cs="宋体"/>
          <w:color w:val="auto"/>
          <w:sz w:val="72"/>
          <w:szCs w:val="84"/>
          <w:highlight w:val="none"/>
        </w:rPr>
      </w:pPr>
      <w:r>
        <w:rPr>
          <w:rFonts w:hint="eastAsia" w:ascii="宋体" w:hAnsi="宋体" w:cs="宋体"/>
          <w:color w:val="auto"/>
          <w:sz w:val="72"/>
          <w:szCs w:val="84"/>
          <w:highlight w:val="none"/>
        </w:rPr>
        <w:t>投标文件</w:t>
      </w:r>
    </w:p>
    <w:p w14:paraId="03A8E372">
      <w:pPr>
        <w:rPr>
          <w:rFonts w:ascii="宋体" w:hAnsi="宋体" w:cs="宋体"/>
          <w:color w:val="auto"/>
          <w:sz w:val="52"/>
          <w:szCs w:val="52"/>
          <w:highlight w:val="none"/>
        </w:rPr>
      </w:pPr>
    </w:p>
    <w:p w14:paraId="69F34ED9">
      <w:pPr>
        <w:rPr>
          <w:rFonts w:ascii="宋体" w:hAnsi="宋体" w:cs="宋体"/>
          <w:color w:val="auto"/>
          <w:sz w:val="52"/>
          <w:szCs w:val="52"/>
          <w:highlight w:val="none"/>
        </w:rPr>
      </w:pPr>
    </w:p>
    <w:p w14:paraId="0C4F5E3E">
      <w:pPr>
        <w:rPr>
          <w:rFonts w:ascii="宋体" w:hAnsi="宋体" w:cs="宋体"/>
          <w:color w:val="auto"/>
          <w:sz w:val="52"/>
          <w:szCs w:val="52"/>
          <w:highlight w:val="none"/>
        </w:rPr>
      </w:pPr>
    </w:p>
    <w:p w14:paraId="1D642ADE">
      <w:pPr>
        <w:rPr>
          <w:rFonts w:ascii="宋体" w:hAnsi="宋体" w:cs="宋体"/>
          <w:color w:val="auto"/>
          <w:sz w:val="52"/>
          <w:szCs w:val="52"/>
          <w:highlight w:val="none"/>
        </w:rPr>
      </w:pPr>
    </w:p>
    <w:p w14:paraId="5A21ECD0">
      <w:pPr>
        <w:rPr>
          <w:rFonts w:ascii="宋体" w:hAnsi="宋体" w:cs="宋体"/>
          <w:color w:val="auto"/>
          <w:sz w:val="36"/>
          <w:highlight w:val="none"/>
        </w:rPr>
      </w:pPr>
    </w:p>
    <w:p w14:paraId="600F19F5">
      <w:pPr>
        <w:ind w:firstLine="960"/>
        <w:rPr>
          <w:rFonts w:ascii="宋体" w:hAnsi="宋体" w:cs="宋体"/>
          <w:color w:val="auto"/>
          <w:sz w:val="32"/>
          <w:szCs w:val="32"/>
          <w:highlight w:val="none"/>
        </w:rPr>
      </w:pPr>
      <w:r>
        <w:rPr>
          <w:rFonts w:hint="eastAsia" w:ascii="宋体" w:hAnsi="宋体" w:cs="宋体"/>
          <w:color w:val="auto"/>
          <w:sz w:val="32"/>
          <w:szCs w:val="32"/>
          <w:highlight w:val="none"/>
        </w:rPr>
        <w:t>标 段 名 称：【标段名称】</w:t>
      </w:r>
    </w:p>
    <w:p w14:paraId="4D528032">
      <w:pPr>
        <w:ind w:firstLine="960"/>
        <w:rPr>
          <w:rFonts w:ascii="宋体" w:hAnsi="宋体" w:cs="宋体"/>
          <w:color w:val="auto"/>
          <w:sz w:val="32"/>
          <w:szCs w:val="32"/>
          <w:highlight w:val="none"/>
          <w:u w:val="single"/>
        </w:rPr>
      </w:pPr>
      <w:r>
        <w:rPr>
          <w:rFonts w:hint="eastAsia" w:ascii="宋体" w:hAnsi="宋体" w:cs="宋体"/>
          <w:color w:val="auto"/>
          <w:sz w:val="32"/>
          <w:szCs w:val="32"/>
          <w:highlight w:val="none"/>
        </w:rPr>
        <w:t>标 段 编 号：【标段编号】</w:t>
      </w:r>
    </w:p>
    <w:p w14:paraId="4ECF3723">
      <w:pPr>
        <w:ind w:firstLine="960"/>
        <w:rPr>
          <w:rFonts w:ascii="宋体" w:hAnsi="宋体" w:cs="宋体"/>
          <w:color w:val="auto"/>
          <w:sz w:val="32"/>
          <w:szCs w:val="32"/>
          <w:highlight w:val="none"/>
        </w:rPr>
      </w:pPr>
    </w:p>
    <w:p w14:paraId="7AE94257">
      <w:pPr>
        <w:ind w:firstLine="960"/>
        <w:rPr>
          <w:rFonts w:ascii="宋体" w:hAnsi="宋体" w:cs="宋体"/>
          <w:color w:val="auto"/>
          <w:sz w:val="32"/>
          <w:szCs w:val="32"/>
          <w:highlight w:val="none"/>
        </w:rPr>
      </w:pPr>
      <w:r>
        <w:rPr>
          <w:rFonts w:hint="eastAsia" w:ascii="宋体" w:hAnsi="宋体" w:cs="宋体"/>
          <w:color w:val="auto"/>
          <w:sz w:val="32"/>
          <w:szCs w:val="32"/>
          <w:highlight w:val="none"/>
        </w:rPr>
        <w:t>投标人名称：</w:t>
      </w:r>
    </w:p>
    <w:p w14:paraId="34F2F514">
      <w:pPr>
        <w:ind w:firstLine="960"/>
        <w:rPr>
          <w:rFonts w:ascii="宋体" w:hAnsi="宋体" w:cs="宋体"/>
          <w:color w:val="auto"/>
          <w:sz w:val="32"/>
          <w:szCs w:val="32"/>
          <w:highlight w:val="none"/>
        </w:rPr>
      </w:pPr>
      <w:r>
        <w:rPr>
          <w:rFonts w:hint="eastAsia" w:ascii="宋体" w:hAnsi="宋体" w:cs="宋体"/>
          <w:color w:val="auto"/>
          <w:sz w:val="32"/>
          <w:szCs w:val="32"/>
          <w:highlight w:val="none"/>
        </w:rPr>
        <w:t>投标人地址：</w:t>
      </w:r>
    </w:p>
    <w:p w14:paraId="3891D2B1">
      <w:pPr>
        <w:ind w:firstLine="960"/>
        <w:rPr>
          <w:rFonts w:ascii="宋体" w:hAnsi="宋体" w:cs="宋体"/>
          <w:color w:val="auto"/>
          <w:sz w:val="32"/>
          <w:szCs w:val="32"/>
          <w:highlight w:val="none"/>
        </w:rPr>
      </w:pPr>
      <w:r>
        <w:rPr>
          <w:rFonts w:hint="eastAsia" w:ascii="宋体" w:hAnsi="宋体" w:cs="宋体"/>
          <w:color w:val="auto"/>
          <w:sz w:val="32"/>
          <w:szCs w:val="32"/>
          <w:highlight w:val="none"/>
        </w:rPr>
        <w:t>法定代表人：</w:t>
      </w:r>
    </w:p>
    <w:p w14:paraId="2685A3BC">
      <w:pPr>
        <w:ind w:firstLine="960"/>
        <w:rPr>
          <w:rFonts w:hint="eastAsia" w:ascii="宋体" w:hAnsi="宋体" w:cs="宋体"/>
          <w:color w:val="auto"/>
          <w:sz w:val="32"/>
          <w:szCs w:val="32"/>
          <w:highlight w:val="none"/>
        </w:rPr>
      </w:pPr>
      <w:r>
        <w:rPr>
          <w:rFonts w:hint="eastAsia" w:ascii="宋体" w:hAnsi="宋体" w:cs="宋体"/>
          <w:color w:val="auto"/>
          <w:sz w:val="32"/>
          <w:szCs w:val="32"/>
          <w:highlight w:val="none"/>
        </w:rPr>
        <w:t>委托代理人：（委托代理时填写）</w:t>
      </w:r>
    </w:p>
    <w:p w14:paraId="51C53D7F">
      <w:pPr>
        <w:ind w:firstLine="960"/>
        <w:rPr>
          <w:rFonts w:ascii="宋体" w:hAnsi="宋体" w:cs="宋体"/>
          <w:color w:val="auto"/>
          <w:sz w:val="24"/>
          <w:highlight w:val="none"/>
        </w:rPr>
      </w:pPr>
      <w:r>
        <w:rPr>
          <w:rFonts w:hint="eastAsia" w:ascii="宋体" w:hAnsi="宋体" w:cs="宋体"/>
          <w:color w:val="auto"/>
          <w:sz w:val="32"/>
          <w:szCs w:val="32"/>
          <w:highlight w:val="none"/>
        </w:rPr>
        <w:t>日      期：</w:t>
      </w:r>
    </w:p>
    <w:p w14:paraId="5DE9238F">
      <w:pPr>
        <w:pStyle w:val="3"/>
        <w:spacing w:before="0" w:after="0"/>
        <w:rPr>
          <w:rFonts w:ascii="宋体" w:hAnsi="宋体" w:eastAsia="宋体" w:cs="宋体"/>
          <w:color w:val="auto"/>
          <w:sz w:val="24"/>
          <w:highlight w:val="none"/>
        </w:rPr>
      </w:pPr>
    </w:p>
    <w:p w14:paraId="63CBC710">
      <w:pPr>
        <w:rPr>
          <w:rFonts w:ascii="宋体" w:hAnsi="宋体" w:cs="宋体"/>
          <w:color w:val="auto"/>
          <w:sz w:val="24"/>
          <w:highlight w:val="none"/>
        </w:rPr>
      </w:pPr>
    </w:p>
    <w:p w14:paraId="50C67736">
      <w:pPr>
        <w:pStyle w:val="45"/>
        <w:rPr>
          <w:rFonts w:ascii="宋体" w:hAnsi="宋体" w:cs="宋体"/>
          <w:color w:val="auto"/>
          <w:sz w:val="24"/>
          <w:highlight w:val="none"/>
        </w:rPr>
      </w:pPr>
    </w:p>
    <w:p w14:paraId="33DD6415">
      <w:pPr>
        <w:pStyle w:val="45"/>
        <w:rPr>
          <w:rFonts w:ascii="宋体" w:hAnsi="宋体" w:cs="宋体"/>
          <w:color w:val="auto"/>
          <w:sz w:val="24"/>
          <w:highlight w:val="none"/>
        </w:rPr>
      </w:pPr>
    </w:p>
    <w:p w14:paraId="1C5C7CE6">
      <w:pPr>
        <w:pStyle w:val="45"/>
        <w:rPr>
          <w:rFonts w:ascii="宋体" w:hAnsi="宋体" w:cs="宋体"/>
          <w:color w:val="auto"/>
          <w:sz w:val="24"/>
          <w:highlight w:val="none"/>
        </w:rPr>
      </w:pPr>
    </w:p>
    <w:p w14:paraId="48EEE03E">
      <w:pPr>
        <w:pStyle w:val="45"/>
        <w:rPr>
          <w:rFonts w:ascii="宋体" w:hAnsi="宋体" w:cs="宋体"/>
          <w:color w:val="auto"/>
          <w:sz w:val="24"/>
          <w:highlight w:val="none"/>
        </w:rPr>
      </w:pPr>
    </w:p>
    <w:p w14:paraId="71BA3B14">
      <w:pPr>
        <w:pStyle w:val="45"/>
        <w:rPr>
          <w:rFonts w:ascii="宋体" w:hAnsi="宋体" w:cs="宋体"/>
          <w:color w:val="auto"/>
          <w:sz w:val="24"/>
          <w:highlight w:val="none"/>
        </w:rPr>
      </w:pPr>
    </w:p>
    <w:p w14:paraId="2CF4C2E0">
      <w:pPr>
        <w:pStyle w:val="45"/>
        <w:rPr>
          <w:rFonts w:ascii="宋体" w:hAnsi="宋体" w:cs="宋体"/>
          <w:color w:val="auto"/>
          <w:sz w:val="24"/>
          <w:highlight w:val="none"/>
        </w:rPr>
      </w:pPr>
    </w:p>
    <w:p w14:paraId="28C0DBA0">
      <w:pPr>
        <w:pStyle w:val="3"/>
        <w:spacing w:before="0" w:after="0"/>
        <w:rPr>
          <w:rFonts w:ascii="宋体" w:hAnsi="宋体" w:eastAsia="宋体" w:cs="宋体"/>
          <w:color w:val="auto"/>
          <w:sz w:val="24"/>
          <w:highlight w:val="none"/>
        </w:rPr>
      </w:pPr>
    </w:p>
    <w:p w14:paraId="0ACAB80F">
      <w:pPr>
        <w:pStyle w:val="216"/>
        <w:rPr>
          <w:rFonts w:ascii="宋体" w:hAnsi="宋体" w:cs="宋体"/>
          <w:color w:val="auto"/>
          <w:sz w:val="24"/>
          <w:szCs w:val="24"/>
          <w:highlight w:val="none"/>
        </w:rPr>
      </w:pPr>
    </w:p>
    <w:p w14:paraId="0D8307F8">
      <w:pPr>
        <w:pStyle w:val="3"/>
        <w:spacing w:before="0" w:after="0"/>
        <w:rPr>
          <w:rFonts w:ascii="宋体" w:hAnsi="宋体" w:eastAsia="宋体" w:cs="宋体"/>
          <w:color w:val="auto"/>
          <w:highlight w:val="none"/>
        </w:rPr>
      </w:pPr>
      <w:bookmarkStart w:id="269" w:name="_Toc23595"/>
      <w:r>
        <w:rPr>
          <w:rFonts w:hint="eastAsia" w:ascii="宋体" w:hAnsi="宋体" w:eastAsia="宋体" w:cs="宋体"/>
          <w:color w:val="auto"/>
          <w:sz w:val="24"/>
          <w:highlight w:val="none"/>
        </w:rPr>
        <w:t>格式1.响应函</w:t>
      </w:r>
      <w:bookmarkEnd w:id="269"/>
    </w:p>
    <w:p w14:paraId="0218F7E3">
      <w:pPr>
        <w:jc w:val="center"/>
        <w:rPr>
          <w:rFonts w:ascii="宋体" w:hAnsi="宋体" w:cs="宋体"/>
          <w:color w:val="auto"/>
          <w:sz w:val="36"/>
          <w:szCs w:val="28"/>
          <w:highlight w:val="none"/>
        </w:rPr>
      </w:pPr>
      <w:r>
        <w:rPr>
          <w:rFonts w:hint="eastAsia" w:ascii="宋体" w:hAnsi="宋体" w:cs="宋体"/>
          <w:color w:val="auto"/>
          <w:sz w:val="36"/>
          <w:szCs w:val="28"/>
          <w:highlight w:val="none"/>
        </w:rPr>
        <w:t>响 应 函</w:t>
      </w:r>
    </w:p>
    <w:p w14:paraId="63A9C55A">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致：【采购单位】</w:t>
      </w:r>
    </w:p>
    <w:p w14:paraId="7DC94D2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根据贵方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标段（标段编号：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）采购文件，正式授权下述签字人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全权代表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参加贵方组织的采购活动，按照采购文件要求提交响应文件。</w:t>
      </w:r>
    </w:p>
    <w:p w14:paraId="713936AE">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据此函，签字人兹宣布同意如下：</w:t>
      </w:r>
    </w:p>
    <w:p w14:paraId="254F50C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1.按采购文件项目需求提交响应报价，报价、交货期等详见开标一览表。</w:t>
      </w:r>
    </w:p>
    <w:p w14:paraId="576AEBC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2.我方同意在本标段采购文件中规定的响应文件递交截止之日起60天内遵守本响应文件中的承诺且在此期限期满之前均具有约束力。</w:t>
      </w:r>
    </w:p>
    <w:p w14:paraId="640D7ECD">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3.我方承诺已经具备《中华人民共和国政府采购法》中规定的参加政府采购活动的供应商应当具备的条件：</w:t>
      </w:r>
    </w:p>
    <w:p w14:paraId="0422A0B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0AB5E29D">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1201B2DE">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2D113C0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33E6D7D2">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(5)参加此项采购活动前三年内，在经营活动中没有重大违法记录。</w:t>
      </w:r>
    </w:p>
    <w:p w14:paraId="6895B71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4.我方根据采购文件的规定，承担完成合同的责任和义务。</w:t>
      </w:r>
    </w:p>
    <w:p w14:paraId="6C96FD98">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5.我方已详细审核采购文件，我方知道必须放弃提出含糊不清或误解问题的权利。</w:t>
      </w:r>
    </w:p>
    <w:p w14:paraId="0C13ECEB">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6.如果在响应文件有效期内撤回或者有其他违约行为，我方的保证金可被贵方全部或部分没收。</w:t>
      </w:r>
    </w:p>
    <w:p w14:paraId="707151E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7.同意应贵方要求提供与本次采购活动有关的任何数据或资料。</w:t>
      </w:r>
    </w:p>
    <w:p w14:paraId="14251C3A">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8.我方完全理解，最低报价不是中标（成交）的唯一条件。</w:t>
      </w:r>
    </w:p>
    <w:p w14:paraId="01434591">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9.若贵方需要，我方愿意提供我方作出的一切承诺的证明材料。</w:t>
      </w:r>
    </w:p>
    <w:p w14:paraId="2ED164F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89BC572">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(1)提供虚假材料谋取中标、成交的；</w:t>
      </w:r>
    </w:p>
    <w:p w14:paraId="324DFCC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(2)采取不正当手段诋毁、排挤其他供应商的；</w:t>
      </w:r>
    </w:p>
    <w:p w14:paraId="5D901C8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(3)与采购人、其他供应商或者采购代理机构恶意串通的；</w:t>
      </w:r>
    </w:p>
    <w:p w14:paraId="29860425">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(4)向采购人、采购代理机构行贿或者提供其他不正当利益的；</w:t>
      </w:r>
    </w:p>
    <w:p w14:paraId="54BF629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(5)在招标采购过程中与采购人进行协商谈判的；</w:t>
      </w:r>
    </w:p>
    <w:p w14:paraId="3422612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(6)拒绝有关部门监督检查或提供虚假情况的。</w:t>
      </w:r>
    </w:p>
    <w:p w14:paraId="070B6918">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 xml:space="preserve"> </w:t>
      </w:r>
    </w:p>
    <w:p w14:paraId="5241A9D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1184224C">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 xml:space="preserve">供应商公章： </w:t>
      </w:r>
    </w:p>
    <w:p w14:paraId="3A374A85">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 xml:space="preserve">日期： </w:t>
      </w:r>
    </w:p>
    <w:p w14:paraId="6AAAC004">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 xml:space="preserve"> </w:t>
      </w:r>
    </w:p>
    <w:p w14:paraId="2E3CA2D1">
      <w:pPr>
        <w:spacing w:line="360" w:lineRule="auto"/>
        <w:ind w:firstLine="480"/>
        <w:jc w:val="left"/>
        <w:rPr>
          <w:rFonts w:ascii="宋体" w:hAnsi="宋体" w:cs="宋体"/>
          <w:color w:val="auto"/>
          <w:sz w:val="24"/>
          <w:highlight w:val="none"/>
        </w:rPr>
      </w:pPr>
      <w:bookmarkStart w:id="270" w:name="_Toc91256336"/>
      <w:bookmarkStart w:id="271" w:name="_Toc91183848"/>
    </w:p>
    <w:p w14:paraId="56E09F3F">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72" w:name="_Toc565"/>
      <w:r>
        <w:rPr>
          <w:rFonts w:hint="eastAsia" w:ascii="宋体" w:hAnsi="宋体" w:eastAsia="宋体" w:cs="宋体"/>
          <w:color w:val="auto"/>
          <w:sz w:val="24"/>
          <w:highlight w:val="none"/>
        </w:rPr>
        <w:t>格式2. 开标一览表</w:t>
      </w:r>
      <w:bookmarkEnd w:id="272"/>
    </w:p>
    <w:p w14:paraId="4F943597">
      <w:pPr>
        <w:jc w:val="center"/>
        <w:rPr>
          <w:rFonts w:ascii="宋体" w:hAnsi="宋体" w:cs="宋体"/>
          <w:color w:val="auto"/>
          <w:sz w:val="24"/>
          <w:highlight w:val="none"/>
        </w:rPr>
      </w:pPr>
      <w:r>
        <w:rPr>
          <w:rFonts w:hint="eastAsia" w:ascii="宋体" w:hAnsi="宋体" w:cs="宋体"/>
          <w:color w:val="auto"/>
          <w:sz w:val="36"/>
          <w:szCs w:val="28"/>
          <w:highlight w:val="none"/>
        </w:rPr>
        <w:t>开标一览表</w:t>
      </w:r>
    </w:p>
    <w:p w14:paraId="212C986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标段编号：【标段编号】</w:t>
      </w:r>
    </w:p>
    <w:p w14:paraId="6955A419">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标段名称：【标段名称】</w:t>
      </w:r>
    </w:p>
    <w:p w14:paraId="635FB8D2">
      <w:pPr>
        <w:pStyle w:val="45"/>
        <w:rPr>
          <w:rFonts w:ascii="宋体" w:hAnsi="宋体" w:cs="宋体"/>
          <w:color w:val="auto"/>
          <w:sz w:val="24"/>
          <w:highlight w:val="non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5076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339FD51">
            <w:pPr>
              <w:jc w:val="center"/>
              <w:rPr>
                <w:rFonts w:ascii="宋体" w:hAnsi="宋体" w:cs="宋体"/>
                <w:color w:val="auto"/>
                <w:sz w:val="28"/>
                <w:szCs w:val="28"/>
                <w:highlight w:val="none"/>
              </w:rPr>
            </w:pPr>
            <w:r>
              <w:rPr>
                <w:rFonts w:hint="eastAsia" w:ascii="宋体" w:hAnsi="宋体" w:cs="宋体"/>
                <w:color w:val="auto"/>
                <w:sz w:val="28"/>
                <w:szCs w:val="28"/>
                <w:highlight w:val="none"/>
              </w:rPr>
              <w:t>标题</w:t>
            </w:r>
          </w:p>
        </w:tc>
        <w:tc>
          <w:tcPr>
            <w:tcW w:w="3651" w:type="dxa"/>
            <w:vAlign w:val="center"/>
          </w:tcPr>
          <w:p w14:paraId="563CD102">
            <w:pPr>
              <w:jc w:val="center"/>
              <w:rPr>
                <w:rFonts w:ascii="宋体" w:hAnsi="宋体" w:cs="宋体"/>
                <w:color w:val="auto"/>
                <w:sz w:val="28"/>
                <w:szCs w:val="28"/>
                <w:highlight w:val="none"/>
              </w:rPr>
            </w:pPr>
            <w:r>
              <w:rPr>
                <w:rFonts w:hint="eastAsia" w:ascii="宋体" w:hAnsi="宋体" w:cs="宋体"/>
                <w:color w:val="auto"/>
                <w:sz w:val="28"/>
                <w:szCs w:val="28"/>
                <w:highlight w:val="none"/>
              </w:rPr>
              <w:t>内容</w:t>
            </w:r>
          </w:p>
        </w:tc>
      </w:tr>
      <w:tr w14:paraId="7B2D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098A286">
            <w:pPr>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投标</w:t>
            </w:r>
            <w:r>
              <w:rPr>
                <w:rFonts w:hint="eastAsia" w:ascii="宋体" w:hAnsi="宋体" w:cs="宋体"/>
                <w:color w:val="auto"/>
                <w:sz w:val="28"/>
                <w:szCs w:val="28"/>
                <w:highlight w:val="none"/>
                <w:lang w:val="en-US" w:eastAsia="zh-CN"/>
              </w:rPr>
              <w:t>下浮率</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w:t>
            </w:r>
          </w:p>
        </w:tc>
        <w:tc>
          <w:tcPr>
            <w:tcW w:w="3651" w:type="dxa"/>
            <w:vAlign w:val="center"/>
          </w:tcPr>
          <w:p w14:paraId="35AE959C">
            <w:pPr>
              <w:jc w:val="center"/>
              <w:rPr>
                <w:rFonts w:hint="default" w:ascii="宋体" w:hAnsi="宋体" w:eastAsia="宋体" w:cs="宋体"/>
                <w:color w:val="auto"/>
                <w:sz w:val="28"/>
                <w:szCs w:val="28"/>
                <w:highlight w:val="none"/>
                <w:lang w:val="en-US" w:eastAsia="zh-CN"/>
              </w:rPr>
            </w:pPr>
          </w:p>
        </w:tc>
      </w:tr>
      <w:tr w14:paraId="3064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2D55466D">
            <w:pPr>
              <w:jc w:val="center"/>
              <w:rPr>
                <w:rFonts w:ascii="宋体" w:hAnsi="宋体" w:cs="宋体"/>
                <w:color w:val="auto"/>
                <w:sz w:val="28"/>
                <w:szCs w:val="28"/>
                <w:highlight w:val="none"/>
              </w:rPr>
            </w:pPr>
            <w:r>
              <w:rPr>
                <w:rFonts w:hint="eastAsia" w:ascii="宋体" w:hAnsi="宋体" w:cs="宋体"/>
                <w:color w:val="auto"/>
                <w:sz w:val="28"/>
                <w:szCs w:val="28"/>
                <w:highlight w:val="none"/>
              </w:rPr>
              <w:t>合同履行期限（服务时间）</w:t>
            </w:r>
          </w:p>
        </w:tc>
        <w:tc>
          <w:tcPr>
            <w:tcW w:w="3651" w:type="dxa"/>
            <w:vAlign w:val="center"/>
          </w:tcPr>
          <w:p w14:paraId="757ABCB5">
            <w:pPr>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eastAsia="zh-CN"/>
              </w:rPr>
              <w:t>合同签订之日起至</w:t>
            </w:r>
            <w:r>
              <w:rPr>
                <w:rFonts w:hint="eastAsia" w:ascii="宋体" w:hAnsi="宋体" w:cs="宋体"/>
                <w:color w:val="auto"/>
                <w:sz w:val="28"/>
                <w:szCs w:val="28"/>
                <w:highlight w:val="none"/>
                <w:lang w:val="en-US" w:eastAsia="zh-CN"/>
              </w:rPr>
              <w:t>2027年7月底</w:t>
            </w:r>
          </w:p>
        </w:tc>
      </w:tr>
    </w:tbl>
    <w:p w14:paraId="41C23757">
      <w:pPr>
        <w:spacing w:line="360" w:lineRule="auto"/>
        <w:ind w:firstLine="480"/>
        <w:jc w:val="left"/>
        <w:rPr>
          <w:rFonts w:ascii="宋体" w:hAnsi="宋体" w:cs="宋体"/>
          <w:color w:val="auto"/>
          <w:sz w:val="24"/>
          <w:highlight w:val="none"/>
        </w:rPr>
      </w:pPr>
    </w:p>
    <w:p w14:paraId="2ABC8EA8">
      <w:pPr>
        <w:spacing w:line="360" w:lineRule="auto"/>
        <w:ind w:firstLine="480"/>
        <w:jc w:val="left"/>
        <w:rPr>
          <w:rFonts w:ascii="宋体" w:hAnsi="宋体" w:cs="宋体"/>
          <w:color w:val="auto"/>
          <w:sz w:val="24"/>
          <w:highlight w:val="none"/>
        </w:rPr>
      </w:pPr>
    </w:p>
    <w:p w14:paraId="407D6FAD">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投标人（盖章）：</w:t>
      </w:r>
    </w:p>
    <w:p w14:paraId="0A4BE628">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7BE9A00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7BA224F4">
      <w:pPr>
        <w:spacing w:line="360" w:lineRule="auto"/>
        <w:ind w:firstLine="480"/>
        <w:rPr>
          <w:rFonts w:ascii="宋体" w:hAnsi="宋体" w:cs="宋体"/>
          <w:color w:val="auto"/>
          <w:sz w:val="24"/>
          <w:highlight w:val="none"/>
        </w:rPr>
      </w:pPr>
    </w:p>
    <w:p w14:paraId="363DED58">
      <w:pPr>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注：本项目响应报价采用下浮比例报价，0%≤下浮比例＜100%，超出该范围的响应无效</w:t>
      </w:r>
    </w:p>
    <w:p w14:paraId="1F78BAC1">
      <w:pPr>
        <w:rPr>
          <w:rFonts w:ascii="宋体" w:hAnsi="宋体" w:cs="宋体"/>
          <w:color w:val="auto"/>
          <w:highlight w:val="none"/>
        </w:rPr>
      </w:pPr>
    </w:p>
    <w:p w14:paraId="7BCC50DC">
      <w:pPr>
        <w:pStyle w:val="3"/>
        <w:spacing w:before="0" w:after="0"/>
        <w:rPr>
          <w:rFonts w:ascii="宋体" w:hAnsi="宋体" w:eastAsia="宋体" w:cs="宋体"/>
          <w:color w:val="auto"/>
          <w:highlight w:val="none"/>
        </w:rPr>
      </w:pPr>
      <w:r>
        <w:rPr>
          <w:rFonts w:hint="eastAsia" w:ascii="宋体" w:hAnsi="宋体" w:eastAsia="宋体" w:cs="宋体"/>
          <w:color w:val="auto"/>
          <w:sz w:val="24"/>
          <w:highlight w:val="none"/>
        </w:rPr>
        <w:br w:type="page" w:clear="all"/>
      </w:r>
      <w:bookmarkStart w:id="273" w:name="_Toc17912"/>
      <w:r>
        <w:rPr>
          <w:rFonts w:hint="eastAsia" w:ascii="宋体" w:hAnsi="宋体" w:eastAsia="宋体" w:cs="宋体"/>
          <w:color w:val="auto"/>
          <w:sz w:val="24"/>
          <w:highlight w:val="none"/>
        </w:rPr>
        <w:t>格式3. 详细报价书</w:t>
      </w:r>
      <w:bookmarkEnd w:id="273"/>
    </w:p>
    <w:p w14:paraId="35F8FDAA">
      <w:pPr>
        <w:jc w:val="center"/>
        <w:rPr>
          <w:rFonts w:ascii="宋体" w:hAnsi="宋体" w:cs="宋体"/>
          <w:color w:val="auto"/>
          <w:sz w:val="36"/>
          <w:szCs w:val="28"/>
          <w:highlight w:val="none"/>
        </w:rPr>
      </w:pPr>
      <w:r>
        <w:rPr>
          <w:rFonts w:hint="eastAsia" w:ascii="宋体" w:hAnsi="宋体" w:cs="宋体"/>
          <w:color w:val="auto"/>
          <w:sz w:val="36"/>
          <w:szCs w:val="28"/>
          <w:highlight w:val="none"/>
        </w:rPr>
        <w:t>详细报价书</w:t>
      </w:r>
    </w:p>
    <w:p w14:paraId="31FE76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color w:val="auto"/>
          <w:sz w:val="24"/>
          <w:highlight w:val="none"/>
        </w:rPr>
      </w:pPr>
      <w:r>
        <w:rPr>
          <w:rFonts w:hint="eastAsia" w:ascii="宋体" w:hAnsi="宋体" w:cs="宋体"/>
          <w:color w:val="auto"/>
          <w:sz w:val="24"/>
          <w:highlight w:val="none"/>
        </w:rPr>
        <w:t>标段编号：【标段编号】</w:t>
      </w:r>
    </w:p>
    <w:p w14:paraId="3856B7F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color w:val="auto"/>
          <w:sz w:val="24"/>
          <w:highlight w:val="none"/>
        </w:rPr>
      </w:pPr>
      <w:r>
        <w:rPr>
          <w:rFonts w:hint="eastAsia" w:ascii="宋体" w:hAnsi="宋体" w:cs="宋体"/>
          <w:color w:val="auto"/>
          <w:sz w:val="24"/>
          <w:highlight w:val="none"/>
        </w:rPr>
        <w:t>标段名称：【标段名称】</w:t>
      </w:r>
    </w:p>
    <w:tbl>
      <w:tblPr>
        <w:tblStyle w:val="37"/>
        <w:tblW w:w="929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509"/>
        <w:gridCol w:w="683"/>
        <w:gridCol w:w="759"/>
        <w:gridCol w:w="4153"/>
        <w:gridCol w:w="1378"/>
        <w:gridCol w:w="1811"/>
      </w:tblGrid>
      <w:tr w14:paraId="057DF0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0" w:hRule="atLeast"/>
        </w:trPr>
        <w:tc>
          <w:tcPr>
            <w:tcW w:w="509" w:type="dxa"/>
            <w:tcBorders>
              <w:top w:val="single" w:color="000000" w:sz="8" w:space="0"/>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3E37B46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序号</w:t>
            </w:r>
          </w:p>
        </w:tc>
        <w:tc>
          <w:tcPr>
            <w:tcW w:w="683"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07E1A27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费用名称</w:t>
            </w:r>
          </w:p>
        </w:tc>
        <w:tc>
          <w:tcPr>
            <w:tcW w:w="759"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28925BF4">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default" w:eastAsia="宋体"/>
                <w:color w:val="auto"/>
                <w:highlight w:val="none"/>
                <w:lang w:val="en-US" w:eastAsia="zh-CN"/>
              </w:rPr>
            </w:pPr>
            <w:r>
              <w:rPr>
                <w:rFonts w:hint="eastAsia" w:ascii="宋体" w:hAnsi="宋体" w:cs="宋体"/>
                <w:b/>
                <w:color w:val="auto"/>
                <w:sz w:val="24"/>
                <w:highlight w:val="none"/>
                <w:lang w:val="en-US" w:eastAsia="zh-CN"/>
              </w:rPr>
              <w:t>课时</w:t>
            </w:r>
            <w:r>
              <w:rPr>
                <w:rFonts w:ascii="宋体" w:hAnsi="宋体" w:eastAsia="宋体" w:cs="宋体"/>
                <w:b/>
                <w:color w:val="auto"/>
                <w:sz w:val="24"/>
                <w:highlight w:val="none"/>
              </w:rPr>
              <w:t>数量</w:t>
            </w:r>
            <w:r>
              <w:rPr>
                <w:rFonts w:hint="default" w:ascii="Calibri" w:hAnsi="Calibri" w:eastAsia="宋体" w:cs="Calibri"/>
                <w:b/>
                <w:color w:val="auto"/>
                <w:sz w:val="24"/>
                <w:highlight w:val="none"/>
              </w:rPr>
              <w:t>①</w:t>
            </w:r>
          </w:p>
        </w:tc>
        <w:tc>
          <w:tcPr>
            <w:tcW w:w="4153"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29B3CE28">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课时单价</w:t>
            </w:r>
            <w:r>
              <w:rPr>
                <w:rFonts w:hint="default" w:ascii="Calibri" w:hAnsi="Calibri" w:cs="Calibri"/>
                <w:b/>
                <w:color w:val="auto"/>
                <w:sz w:val="24"/>
                <w:highlight w:val="none"/>
                <w:lang w:val="en-US" w:eastAsia="zh-CN"/>
              </w:rPr>
              <w:t>②</w:t>
            </w:r>
          </w:p>
        </w:tc>
        <w:tc>
          <w:tcPr>
            <w:tcW w:w="1378"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48DFF964">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合 价</w:t>
            </w:r>
          </w:p>
          <w:p w14:paraId="26920C76">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w:t>
            </w:r>
            <w:r>
              <w:rPr>
                <w:rFonts w:hint="eastAsia" w:ascii="微软雅黑" w:hAnsi="微软雅黑" w:eastAsia="微软雅黑" w:cs="微软雅黑"/>
                <w:b/>
                <w:color w:val="auto"/>
                <w:sz w:val="24"/>
                <w:highlight w:val="none"/>
                <w:lang w:val="en-US" w:eastAsia="zh-CN"/>
              </w:rPr>
              <w:t>万元</w:t>
            </w:r>
            <w:r>
              <w:rPr>
                <w:rFonts w:hint="eastAsia" w:ascii="宋体" w:hAnsi="宋体" w:cs="宋体"/>
                <w:b/>
                <w:color w:val="auto"/>
                <w:sz w:val="24"/>
                <w:highlight w:val="none"/>
                <w:lang w:val="en-US" w:eastAsia="zh-CN"/>
              </w:rPr>
              <w:t>）</w:t>
            </w:r>
          </w:p>
        </w:tc>
        <w:tc>
          <w:tcPr>
            <w:tcW w:w="1811"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5A1C84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备 注</w:t>
            </w:r>
          </w:p>
        </w:tc>
      </w:tr>
      <w:tr w14:paraId="28DACD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trPr>
        <w:tc>
          <w:tcPr>
            <w:tcW w:w="50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857125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1</w:t>
            </w:r>
          </w:p>
        </w:tc>
        <w:tc>
          <w:tcPr>
            <w:tcW w:w="683"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93E5DD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default"/>
                <w:color w:val="auto"/>
                <w:highlight w:val="none"/>
                <w:lang w:val="en-US"/>
              </w:rPr>
            </w:pPr>
            <w:r>
              <w:rPr>
                <w:rFonts w:hint="eastAsia" w:ascii="宋体" w:hAnsi="宋体" w:cs="宋体"/>
                <w:b/>
                <w:bCs/>
                <w:color w:val="auto"/>
                <w:sz w:val="24"/>
                <w:szCs w:val="24"/>
                <w:highlight w:val="none"/>
                <w:lang w:val="en-US" w:eastAsia="zh-CN"/>
              </w:rPr>
              <w:t>第一阶段过程服务费用</w:t>
            </w:r>
          </w:p>
        </w:tc>
        <w:tc>
          <w:tcPr>
            <w:tcW w:w="75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092D63B">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511课时</w:t>
            </w:r>
          </w:p>
        </w:tc>
        <w:tc>
          <w:tcPr>
            <w:tcW w:w="4153" w:type="dxa"/>
            <w:tcBorders>
              <w:top w:val="nil"/>
              <w:left w:val="nil"/>
              <w:bottom w:val="single" w:color="000000" w:sz="8" w:space="0"/>
              <w:right w:val="single" w:color="auto" w:sz="4" w:space="0"/>
            </w:tcBorders>
            <w:noWrap w:val="0"/>
            <w:tcMar>
              <w:top w:w="80" w:type="dxa"/>
              <w:left w:w="80" w:type="dxa"/>
              <w:bottom w:w="80" w:type="dxa"/>
              <w:right w:w="80" w:type="dxa"/>
            </w:tcMar>
            <w:vAlign w:val="center"/>
          </w:tcPr>
          <w:p w14:paraId="07E646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leftChars="0" w:right="0" w:rightChars="0" w:firstLine="0" w:firstLineChars="0"/>
              <w:jc w:val="left"/>
              <w:textAlignment w:val="auto"/>
              <w:rPr>
                <w:rFonts w:hint="default" w:ascii="宋体" w:hAnsi="宋体" w:cs="宋体"/>
                <w:b/>
                <w:color w:val="auto"/>
                <w:sz w:val="24"/>
                <w:highlight w:val="none"/>
                <w:u w:val="single"/>
                <w:lang w:val="en-US" w:eastAsia="zh-CN"/>
              </w:rPr>
            </w:pPr>
            <w:r>
              <w:rPr>
                <w:rFonts w:hint="eastAsia" w:ascii="宋体" w:hAnsi="宋体" w:cs="宋体"/>
                <w:b/>
                <w:color w:val="auto"/>
                <w:sz w:val="24"/>
                <w:highlight w:val="none"/>
                <w:lang w:val="en-US" w:eastAsia="zh-CN"/>
              </w:rPr>
              <w:t>0.32万元</w:t>
            </w:r>
            <w:r>
              <w:rPr>
                <w:rFonts w:hint="eastAsia" w:ascii="宋体" w:hAnsi="宋体" w:cs="宋体"/>
                <w:b/>
                <w:color w:val="auto"/>
                <w:sz w:val="24"/>
                <w:highlight w:val="none"/>
                <w:u w:val="none"/>
                <w:lang w:val="en-US" w:eastAsia="zh-CN"/>
              </w:rPr>
              <w:t>/课时</w:t>
            </w:r>
            <w:r>
              <w:rPr>
                <w:rFonts w:hint="eastAsia" w:ascii="宋体" w:hAnsi="宋体" w:cs="宋体"/>
                <w:b/>
                <w:color w:val="auto"/>
                <w:sz w:val="24"/>
                <w:highlight w:val="none"/>
                <w:lang w:val="en-US" w:eastAsia="zh-CN"/>
              </w:rPr>
              <w:t xml:space="preserve">*（1-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none"/>
                <w:lang w:val="en-US" w:eastAsia="zh-CN"/>
              </w:rPr>
              <w:t>下浮率%）=</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none"/>
                <w:lang w:val="en-US" w:eastAsia="zh-CN"/>
              </w:rPr>
              <w:t>元/课时</w:t>
            </w:r>
          </w:p>
        </w:tc>
        <w:tc>
          <w:tcPr>
            <w:tcW w:w="1378" w:type="dxa"/>
            <w:tcBorders>
              <w:top w:val="nil"/>
              <w:left w:val="single" w:color="auto" w:sz="4" w:space="0"/>
              <w:bottom w:val="single" w:color="000000" w:sz="8" w:space="0"/>
              <w:right w:val="single" w:color="000000" w:sz="8" w:space="0"/>
            </w:tcBorders>
            <w:noWrap w:val="0"/>
            <w:tcMar>
              <w:top w:w="80" w:type="dxa"/>
              <w:left w:w="80" w:type="dxa"/>
              <w:bottom w:w="80" w:type="dxa"/>
              <w:right w:w="80" w:type="dxa"/>
            </w:tcMar>
            <w:vAlign w:val="center"/>
          </w:tcPr>
          <w:p w14:paraId="3CB6E0FB">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default" w:ascii="宋体" w:hAnsi="宋体" w:cs="宋体"/>
                <w:b/>
                <w:color w:val="auto"/>
                <w:sz w:val="24"/>
                <w:highlight w:val="none"/>
                <w:lang w:val="en-US" w:eastAsia="zh-CN"/>
              </w:rPr>
            </w:pPr>
          </w:p>
        </w:tc>
        <w:tc>
          <w:tcPr>
            <w:tcW w:w="1811"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D778F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exact"/>
              <w:ind w:right="0"/>
              <w:jc w:val="left"/>
              <w:textAlignment w:val="auto"/>
              <w:rPr>
                <w:rFonts w:hint="default"/>
                <w:color w:val="auto"/>
                <w:highlight w:val="none"/>
                <w:lang w:val="en-US"/>
              </w:rPr>
            </w:pPr>
            <w:r>
              <w:rPr>
                <w:rFonts w:hint="eastAsia" w:ascii="宋体" w:hAnsi="宋体" w:cs="宋体"/>
                <w:color w:val="auto"/>
                <w:sz w:val="24"/>
                <w:highlight w:val="none"/>
                <w:lang w:val="en-US" w:eastAsia="zh-CN"/>
              </w:rPr>
              <w:t>具体实施中实际授课课时数不足511课时，按实际授课课时数结算，超过511课时，按511课时进行结算,第一阶段过程费用合价=</w:t>
            </w:r>
            <w:r>
              <w:rPr>
                <w:rFonts w:hint="default" w:ascii="Calibri" w:hAnsi="Calibri" w:cs="Calibri"/>
                <w:color w:val="auto"/>
                <w:sz w:val="24"/>
                <w:highlight w:val="none"/>
                <w:lang w:val="en-US" w:eastAsia="zh-CN"/>
              </w:rPr>
              <w:t>①</w:t>
            </w:r>
            <w:r>
              <w:rPr>
                <w:rFonts w:hint="eastAsia" w:ascii="宋体" w:hAnsi="宋体" w:cs="宋体"/>
                <w:color w:val="auto"/>
                <w:sz w:val="24"/>
                <w:highlight w:val="none"/>
                <w:lang w:val="en-US" w:eastAsia="zh-CN"/>
              </w:rPr>
              <w:t>*</w:t>
            </w:r>
            <w:r>
              <w:rPr>
                <w:rFonts w:hint="default" w:ascii="Calibri" w:hAnsi="Calibri" w:cs="Calibri"/>
                <w:color w:val="auto"/>
                <w:sz w:val="24"/>
                <w:highlight w:val="none"/>
                <w:lang w:val="en-US" w:eastAsia="zh-CN"/>
              </w:rPr>
              <w:t>②</w:t>
            </w:r>
          </w:p>
        </w:tc>
      </w:tr>
      <w:tr w14:paraId="43C50F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8" w:hRule="atLeast"/>
        </w:trPr>
        <w:tc>
          <w:tcPr>
            <w:tcW w:w="50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3E5116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eastAsia="宋体"/>
                <w:color w:val="auto"/>
                <w:highlight w:val="none"/>
                <w:lang w:val="en-US" w:eastAsia="zh-CN"/>
              </w:rPr>
            </w:pPr>
            <w:r>
              <w:rPr>
                <w:rFonts w:ascii="宋体" w:hAnsi="宋体" w:eastAsia="宋体" w:cs="宋体"/>
                <w:color w:val="auto"/>
                <w:sz w:val="24"/>
                <w:highlight w:val="none"/>
              </w:rPr>
              <w:t> </w:t>
            </w:r>
            <w:r>
              <w:rPr>
                <w:rFonts w:hint="eastAsia" w:ascii="宋体" w:hAnsi="宋体" w:eastAsia="宋体" w:cs="宋体"/>
                <w:color w:val="auto"/>
                <w:sz w:val="24"/>
                <w:highlight w:val="none"/>
                <w:lang w:val="en-US" w:eastAsia="zh-CN"/>
              </w:rPr>
              <w:t>2</w:t>
            </w:r>
          </w:p>
        </w:tc>
        <w:tc>
          <w:tcPr>
            <w:tcW w:w="683"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7DD2ED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hint="eastAsia" w:ascii="宋体" w:hAnsi="宋体" w:cs="宋体"/>
                <w:b/>
                <w:bCs/>
                <w:color w:val="auto"/>
                <w:sz w:val="24"/>
                <w:szCs w:val="24"/>
                <w:highlight w:val="none"/>
                <w:lang w:val="en-US" w:eastAsia="zh-CN"/>
              </w:rPr>
              <w:t>第二阶段目标成果费用</w:t>
            </w:r>
          </w:p>
        </w:tc>
        <w:tc>
          <w:tcPr>
            <w:tcW w:w="4912" w:type="dxa"/>
            <w:gridSpan w:val="2"/>
            <w:tcBorders>
              <w:top w:val="nil"/>
              <w:left w:val="nil"/>
              <w:bottom w:val="single" w:color="000000" w:sz="8" w:space="0"/>
              <w:right w:val="single" w:color="auto" w:sz="4" w:space="0"/>
            </w:tcBorders>
            <w:noWrap w:val="0"/>
            <w:tcMar>
              <w:top w:w="80" w:type="dxa"/>
              <w:left w:w="80" w:type="dxa"/>
              <w:bottom w:w="80" w:type="dxa"/>
              <w:right w:w="80" w:type="dxa"/>
            </w:tcMar>
            <w:vAlign w:val="center"/>
          </w:tcPr>
          <w:p w14:paraId="166098FE">
            <w:pPr>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default" w:eastAsia="宋体"/>
                <w:color w:val="auto"/>
                <w:highlight w:val="none"/>
                <w:lang w:val="en-US" w:eastAsia="zh-CN"/>
              </w:rPr>
            </w:pPr>
            <w:r>
              <w:rPr>
                <w:rFonts w:hint="eastAsia" w:ascii="宋体" w:hAnsi="宋体" w:cs="宋体"/>
                <w:b/>
                <w:color w:val="auto"/>
                <w:sz w:val="24"/>
                <w:highlight w:val="none"/>
                <w:lang w:val="en-US" w:eastAsia="zh-CN"/>
              </w:rPr>
              <w:t xml:space="preserve">100万元*(1-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none"/>
                <w:lang w:val="en-US" w:eastAsia="zh-CN"/>
              </w:rPr>
              <w:t>下浮率%</w:t>
            </w:r>
            <w:r>
              <w:rPr>
                <w:rFonts w:hint="eastAsia" w:ascii="宋体" w:hAnsi="宋体" w:cs="宋体"/>
                <w:b/>
                <w:color w:val="auto"/>
                <w:sz w:val="24"/>
                <w:highlight w:val="none"/>
                <w:lang w:val="en-US" w:eastAsia="zh-CN"/>
              </w:rPr>
              <w:t xml:space="preserve"> )</w:t>
            </w:r>
            <w:r>
              <w:rPr>
                <w:rFonts w:hint="eastAsia" w:ascii="宋体" w:hAnsi="宋体" w:eastAsia="宋体" w:cs="宋体"/>
                <w:color w:val="auto"/>
                <w:sz w:val="22"/>
                <w:highlight w:val="none"/>
                <w:lang w:val="en-US" w:eastAsia="zh-CN"/>
              </w:rPr>
              <w:t xml:space="preserve"> </w:t>
            </w:r>
          </w:p>
        </w:tc>
        <w:tc>
          <w:tcPr>
            <w:tcW w:w="1378" w:type="dxa"/>
            <w:tcBorders>
              <w:top w:val="nil"/>
              <w:left w:val="single" w:color="auto" w:sz="4" w:space="0"/>
              <w:bottom w:val="single" w:color="000000" w:sz="8" w:space="0"/>
              <w:right w:val="single" w:color="000000" w:sz="8" w:space="0"/>
            </w:tcBorders>
            <w:noWrap w:val="0"/>
            <w:tcMar>
              <w:top w:w="80" w:type="dxa"/>
              <w:left w:w="80" w:type="dxa"/>
              <w:bottom w:w="80" w:type="dxa"/>
              <w:right w:w="80" w:type="dxa"/>
            </w:tcMar>
            <w:vAlign w:val="center"/>
          </w:tcPr>
          <w:p w14:paraId="1DCE1AC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cs="宋体"/>
                <w:b/>
                <w:color w:val="auto"/>
                <w:sz w:val="24"/>
                <w:highlight w:val="none"/>
                <w:u w:val="none"/>
                <w:lang w:val="en-US" w:eastAsia="zh-CN"/>
              </w:rPr>
            </w:pPr>
          </w:p>
        </w:tc>
        <w:tc>
          <w:tcPr>
            <w:tcW w:w="1811"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F66F0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eastAsia="宋体"/>
                <w:color w:val="auto"/>
                <w:highlight w:val="none"/>
                <w:lang w:val="en-US" w:eastAsia="zh-CN"/>
              </w:rPr>
            </w:pPr>
          </w:p>
        </w:tc>
      </w:tr>
      <w:tr w14:paraId="24D439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33" w:hRule="atLeast"/>
        </w:trPr>
        <w:tc>
          <w:tcPr>
            <w:tcW w:w="1192" w:type="dxa"/>
            <w:gridSpan w:val="2"/>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44C72E7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eastAsia="宋体"/>
                <w:color w:val="auto"/>
                <w:highlight w:val="none"/>
                <w:lang w:val="en-US" w:eastAsia="zh-CN"/>
              </w:rPr>
            </w:pPr>
            <w:r>
              <w:rPr>
                <w:rFonts w:ascii="宋体" w:hAnsi="宋体" w:eastAsia="宋体" w:cs="宋体"/>
                <w:b/>
                <w:color w:val="auto"/>
                <w:sz w:val="24"/>
                <w:highlight w:val="none"/>
              </w:rPr>
              <w:t>投标报价总计</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1+2）</w:t>
            </w:r>
          </w:p>
        </w:tc>
        <w:tc>
          <w:tcPr>
            <w:tcW w:w="8101" w:type="dxa"/>
            <w:gridSpan w:val="4"/>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20A5F0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b/>
                <w:color w:val="auto"/>
                <w:sz w:val="24"/>
                <w:highlight w:val="none"/>
              </w:rPr>
            </w:pPr>
            <w:r>
              <w:rPr>
                <w:rFonts w:ascii="宋体" w:hAnsi="宋体" w:eastAsia="宋体" w:cs="宋体"/>
                <w:b/>
                <w:color w:val="auto"/>
                <w:sz w:val="24"/>
                <w:highlight w:val="none"/>
              </w:rPr>
              <w:t>￥：</w:t>
            </w:r>
            <w:r>
              <w:rPr>
                <w:rFonts w:ascii="宋体" w:hAnsi="宋体" w:eastAsia="宋体" w:cs="宋体"/>
                <w:b/>
                <w:color w:val="auto"/>
                <w:sz w:val="24"/>
                <w:highlight w:val="none"/>
                <w:u w:val="single"/>
              </w:rPr>
              <w:t>           </w:t>
            </w:r>
            <w:r>
              <w:rPr>
                <w:rFonts w:hint="eastAsia" w:ascii="微软雅黑" w:hAnsi="微软雅黑" w:eastAsia="微软雅黑" w:cs="微软雅黑"/>
                <w:b/>
                <w:bCs w:val="0"/>
                <w:color w:val="auto"/>
                <w:sz w:val="24"/>
                <w:highlight w:val="none"/>
                <w:u w:val="none"/>
                <w:lang w:eastAsia="zh-CN"/>
              </w:rPr>
              <w:t>万</w:t>
            </w:r>
            <w:r>
              <w:rPr>
                <w:rFonts w:hint="eastAsia" w:ascii="微软雅黑" w:hAnsi="微软雅黑" w:eastAsia="微软雅黑" w:cs="微软雅黑"/>
                <w:b/>
                <w:bCs w:val="0"/>
                <w:color w:val="auto"/>
                <w:sz w:val="24"/>
                <w:highlight w:val="none"/>
                <w:u w:val="none"/>
              </w:rPr>
              <w:t>元</w:t>
            </w:r>
          </w:p>
          <w:p w14:paraId="22303EF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b/>
                <w:color w:val="auto"/>
                <w:sz w:val="24"/>
                <w:highlight w:val="none"/>
              </w:rPr>
            </w:pPr>
          </w:p>
          <w:p w14:paraId="42DF4E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b/>
                <w:color w:val="auto"/>
                <w:sz w:val="24"/>
                <w:highlight w:val="none"/>
              </w:rPr>
              <w:t>（人民币</w:t>
            </w:r>
            <w:r>
              <w:rPr>
                <w:rFonts w:hint="eastAsia" w:ascii="宋体" w:hAnsi="宋体" w:cs="宋体"/>
                <w:b/>
                <w:color w:val="auto"/>
                <w:sz w:val="24"/>
                <w:highlight w:val="none"/>
                <w:lang w:eastAsia="zh-CN"/>
              </w:rPr>
              <w:t>大写</w:t>
            </w:r>
            <w:r>
              <w:rPr>
                <w:rFonts w:ascii="宋体" w:hAnsi="宋体" w:eastAsia="宋体" w:cs="宋体"/>
                <w:b/>
                <w:color w:val="auto"/>
                <w:sz w:val="24"/>
                <w:highlight w:val="none"/>
              </w:rPr>
              <w:t>）：</w:t>
            </w:r>
            <w:r>
              <w:rPr>
                <w:rFonts w:ascii="宋体" w:hAnsi="宋体" w:eastAsia="宋体" w:cs="宋体"/>
                <w:b/>
                <w:color w:val="auto"/>
                <w:sz w:val="24"/>
                <w:highlight w:val="none"/>
                <w:u w:val="single"/>
              </w:rPr>
              <w:t>                  </w:t>
            </w:r>
            <w:r>
              <w:rPr>
                <w:rFonts w:hint="eastAsia" w:ascii="宋体" w:hAnsi="宋体" w:cs="宋体"/>
                <w:b/>
                <w:color w:val="auto"/>
                <w:sz w:val="24"/>
                <w:highlight w:val="none"/>
                <w:u w:val="single"/>
                <w:lang w:val="en-US" w:eastAsia="zh-CN"/>
              </w:rPr>
              <w:t xml:space="preserve">     </w:t>
            </w:r>
            <w:r>
              <w:rPr>
                <w:rFonts w:hint="eastAsia" w:ascii="宋体" w:hAnsi="宋体" w:cs="宋体"/>
                <w:b/>
                <w:color w:val="auto"/>
                <w:sz w:val="24"/>
                <w:highlight w:val="none"/>
                <w:u w:val="none"/>
                <w:lang w:val="en-US" w:eastAsia="zh-CN"/>
              </w:rPr>
              <w:t xml:space="preserve"> </w:t>
            </w:r>
            <w:r>
              <w:rPr>
                <w:rFonts w:hint="eastAsia" w:ascii="微软雅黑" w:hAnsi="微软雅黑" w:eastAsia="微软雅黑" w:cs="微软雅黑"/>
                <w:b/>
                <w:color w:val="auto"/>
                <w:sz w:val="24"/>
                <w:highlight w:val="none"/>
                <w:u w:val="none"/>
                <w:lang w:val="en-US" w:eastAsia="zh-CN"/>
              </w:rPr>
              <w:t>万元</w:t>
            </w:r>
            <w:r>
              <w:rPr>
                <w:rFonts w:ascii="宋体" w:hAnsi="宋体" w:eastAsia="宋体" w:cs="宋体"/>
                <w:b/>
                <w:color w:val="auto"/>
                <w:sz w:val="24"/>
                <w:highlight w:val="none"/>
              </w:rPr>
              <w:t> </w:t>
            </w:r>
          </w:p>
        </w:tc>
      </w:tr>
      <w:bookmarkEnd w:id="270"/>
      <w:bookmarkEnd w:id="271"/>
    </w:tbl>
    <w:p w14:paraId="5441CFEF">
      <w:pPr>
        <w:spacing w:line="360" w:lineRule="auto"/>
        <w:ind w:firstLine="480"/>
        <w:jc w:val="left"/>
        <w:rPr>
          <w:rFonts w:hint="eastAsia" w:ascii="宋体" w:hAnsi="宋体" w:cs="宋体"/>
          <w:color w:val="auto"/>
          <w:sz w:val="24"/>
          <w:highlight w:val="none"/>
        </w:rPr>
      </w:pPr>
    </w:p>
    <w:p w14:paraId="2045BEF0">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投标人（盖章）：</w:t>
      </w:r>
    </w:p>
    <w:p w14:paraId="7C1E1DBC">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7907695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日期：    年     月     日</w:t>
      </w:r>
      <w:bookmarkStart w:id="274" w:name="_Toc15481"/>
    </w:p>
    <w:p w14:paraId="49A3761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备注：</w:t>
      </w:r>
    </w:p>
    <w:bookmarkEnd w:id="274"/>
    <w:p w14:paraId="529F1AC6">
      <w:pPr>
        <w:pStyle w:val="3"/>
        <w:keepNext/>
        <w:keepLines/>
        <w:pageBreakBefore w:val="0"/>
        <w:widowControl w:val="0"/>
        <w:kinsoku/>
        <w:wordWrap/>
        <w:overflowPunct/>
        <w:topLinePunct w:val="0"/>
        <w:autoSpaceDE/>
        <w:autoSpaceDN/>
        <w:bidi w:val="0"/>
        <w:adjustRightInd/>
        <w:snapToGrid/>
        <w:spacing w:before="0" w:after="0" w:line="380" w:lineRule="exact"/>
        <w:ind w:firstLine="422" w:firstLineChars="200"/>
        <w:textAlignment w:val="auto"/>
        <w:rPr>
          <w:rFonts w:hint="eastAsia" w:ascii="宋体" w:hAnsi="宋体" w:eastAsia="宋体" w:cs="宋体"/>
          <w:b/>
          <w:bCs/>
          <w:color w:val="auto"/>
          <w:sz w:val="21"/>
          <w:szCs w:val="21"/>
          <w:highlight w:val="none"/>
        </w:rPr>
      </w:pPr>
      <w:bookmarkStart w:id="275" w:name="_Toc10568"/>
      <w:r>
        <w:rPr>
          <w:rFonts w:hint="eastAsia" w:ascii="Times New Roman" w:hAnsi="Times New Roman" w:eastAsia="宋体" w:cs="Times New Roman"/>
          <w:b/>
          <w:bCs/>
          <w:color w:val="auto"/>
          <w:sz w:val="21"/>
          <w:szCs w:val="21"/>
          <w:highlight w:val="none"/>
          <w:lang w:val="en-US" w:eastAsia="zh-CN"/>
        </w:rPr>
        <w:t>1、</w:t>
      </w:r>
      <w:r>
        <w:rPr>
          <w:rFonts w:hint="eastAsia" w:ascii="宋体" w:hAnsi="宋体" w:eastAsia="宋体" w:cs="宋体"/>
          <w:b/>
          <w:bCs/>
          <w:color w:val="auto"/>
          <w:sz w:val="21"/>
          <w:szCs w:val="21"/>
          <w:highlight w:val="none"/>
        </w:rPr>
        <w:t>“全费用综合单价”报价，报价应包括招标文件所确定的招标范围相应服务的提供、人员（包括工资和补贴）、培训场所及设施、住宿费用、餐费、租车费、差旅费、保险、各种税费、利润、税金、政策性文件规定及合同包含的所有风险、责任等各项应有费用，以及为完成该项服务项目所涉及的一切相关费用，甲方不再支付其他任何费用。</w:t>
      </w:r>
    </w:p>
    <w:p w14:paraId="0397D9D0">
      <w:pPr>
        <w:keepNext w:val="0"/>
        <w:keepLines w:val="0"/>
        <w:pageBreakBefore w:val="0"/>
        <w:widowControl w:val="0"/>
        <w:kinsoku/>
        <w:wordWrap/>
        <w:overflowPunct/>
        <w:topLinePunct w:val="0"/>
        <w:autoSpaceDE/>
        <w:autoSpaceDN/>
        <w:bidi w:val="0"/>
        <w:adjustRightInd/>
        <w:snapToGrid/>
        <w:spacing w:line="380" w:lineRule="exact"/>
        <w:ind w:firstLine="482"/>
        <w:jc w:val="left"/>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lang w:val="en-US" w:eastAsia="zh-CN"/>
        </w:rPr>
        <w:t>最高限价</w:t>
      </w:r>
      <w:r>
        <w:rPr>
          <w:rFonts w:hint="eastAsia" w:ascii="宋体" w:hAnsi="宋体" w:eastAsia="宋体" w:cs="宋体"/>
          <w:b/>
          <w:bCs/>
          <w:color w:val="auto"/>
          <w:sz w:val="21"/>
          <w:szCs w:val="21"/>
          <w:highlight w:val="none"/>
          <w:lang w:val="en-US" w:eastAsia="zh-CN"/>
        </w:rPr>
        <w:t>金额：2</w:t>
      </w:r>
      <w:r>
        <w:rPr>
          <w:rFonts w:hint="eastAsia" w:ascii="宋体" w:hAnsi="宋体" w:cs="宋体"/>
          <w:b/>
          <w:bCs/>
          <w:color w:val="auto"/>
          <w:sz w:val="21"/>
          <w:szCs w:val="21"/>
          <w:highlight w:val="none"/>
          <w:lang w:val="en-US" w:eastAsia="zh-CN"/>
        </w:rPr>
        <w:t>63.52</w:t>
      </w:r>
      <w:r>
        <w:rPr>
          <w:rFonts w:hint="eastAsia" w:ascii="宋体" w:hAnsi="宋体" w:eastAsia="宋体" w:cs="宋体"/>
          <w:b/>
          <w:bCs/>
          <w:color w:val="auto"/>
          <w:sz w:val="21"/>
          <w:szCs w:val="21"/>
          <w:highlight w:val="none"/>
          <w:lang w:val="en-US" w:eastAsia="zh-CN"/>
        </w:rPr>
        <w:t>万元（其中第一阶段过程</w:t>
      </w:r>
      <w:r>
        <w:rPr>
          <w:rFonts w:hint="eastAsia" w:ascii="宋体" w:hAnsi="宋体" w:cs="宋体"/>
          <w:b/>
          <w:bCs/>
          <w:color w:val="auto"/>
          <w:sz w:val="21"/>
          <w:szCs w:val="21"/>
          <w:highlight w:val="none"/>
          <w:lang w:val="en-US" w:eastAsia="zh-CN"/>
        </w:rPr>
        <w:t>服务</w:t>
      </w:r>
      <w:r>
        <w:rPr>
          <w:rFonts w:hint="eastAsia" w:ascii="宋体" w:hAnsi="宋体" w:eastAsia="宋体" w:cs="宋体"/>
          <w:b/>
          <w:bCs/>
          <w:color w:val="auto"/>
          <w:sz w:val="21"/>
          <w:szCs w:val="21"/>
          <w:highlight w:val="none"/>
          <w:lang w:val="en-US" w:eastAsia="zh-CN"/>
        </w:rPr>
        <w:t>费用</w:t>
      </w:r>
      <w:r>
        <w:rPr>
          <w:rFonts w:hint="eastAsia" w:ascii="宋体" w:hAnsi="宋体" w:cs="宋体"/>
          <w:b/>
          <w:bCs/>
          <w:color w:val="auto"/>
          <w:sz w:val="21"/>
          <w:szCs w:val="21"/>
          <w:highlight w:val="none"/>
          <w:lang w:val="en-US" w:eastAsia="zh-CN"/>
        </w:rPr>
        <w:t>限价</w:t>
      </w:r>
      <w:r>
        <w:rPr>
          <w:rFonts w:hint="eastAsia" w:ascii="宋体" w:hAnsi="宋体" w:eastAsia="宋体" w:cs="宋体"/>
          <w:b/>
          <w:bCs/>
          <w:color w:val="auto"/>
          <w:sz w:val="21"/>
          <w:szCs w:val="21"/>
          <w:highlight w:val="none"/>
          <w:lang w:val="en-US" w:eastAsia="zh-CN"/>
        </w:rPr>
        <w:t>金额为</w:t>
      </w:r>
      <w:r>
        <w:rPr>
          <w:rFonts w:hint="eastAsia" w:ascii="宋体" w:hAnsi="宋体" w:cs="宋体"/>
          <w:b/>
          <w:bCs/>
          <w:color w:val="auto"/>
          <w:sz w:val="21"/>
          <w:szCs w:val="21"/>
          <w:highlight w:val="none"/>
          <w:lang w:val="en-US" w:eastAsia="zh-CN"/>
        </w:rPr>
        <w:t>163.52</w:t>
      </w:r>
      <w:r>
        <w:rPr>
          <w:rFonts w:hint="eastAsia" w:ascii="宋体" w:hAnsi="宋体" w:eastAsia="宋体" w:cs="宋体"/>
          <w:b/>
          <w:bCs/>
          <w:color w:val="auto"/>
          <w:sz w:val="21"/>
          <w:szCs w:val="21"/>
          <w:highlight w:val="none"/>
          <w:lang w:val="en-US" w:eastAsia="zh-CN"/>
        </w:rPr>
        <w:t>万元，第二阶段</w:t>
      </w:r>
      <w:r>
        <w:rPr>
          <w:rFonts w:hint="eastAsia" w:ascii="宋体" w:hAnsi="宋体" w:cs="宋体"/>
          <w:b/>
          <w:bCs/>
          <w:color w:val="auto"/>
          <w:sz w:val="21"/>
          <w:szCs w:val="21"/>
          <w:highlight w:val="none"/>
          <w:lang w:val="en-US" w:eastAsia="zh-CN"/>
        </w:rPr>
        <w:t>目标</w:t>
      </w:r>
      <w:r>
        <w:rPr>
          <w:rFonts w:hint="eastAsia" w:ascii="宋体" w:hAnsi="宋体" w:eastAsia="宋体" w:cs="宋体"/>
          <w:b/>
          <w:bCs/>
          <w:color w:val="auto"/>
          <w:sz w:val="21"/>
          <w:szCs w:val="21"/>
          <w:highlight w:val="none"/>
          <w:lang w:val="en-US" w:eastAsia="zh-CN"/>
        </w:rPr>
        <w:t>成果费用</w:t>
      </w:r>
      <w:r>
        <w:rPr>
          <w:rFonts w:hint="eastAsia" w:ascii="宋体" w:hAnsi="宋体" w:cs="宋体"/>
          <w:b/>
          <w:bCs/>
          <w:color w:val="auto"/>
          <w:sz w:val="21"/>
          <w:szCs w:val="21"/>
          <w:highlight w:val="none"/>
          <w:lang w:val="en-US" w:eastAsia="zh-CN"/>
        </w:rPr>
        <w:t>限价</w:t>
      </w:r>
      <w:r>
        <w:rPr>
          <w:rFonts w:hint="eastAsia" w:ascii="宋体" w:hAnsi="宋体" w:eastAsia="宋体" w:cs="宋体"/>
          <w:b/>
          <w:bCs/>
          <w:color w:val="auto"/>
          <w:sz w:val="21"/>
          <w:szCs w:val="21"/>
          <w:highlight w:val="none"/>
          <w:lang w:val="en-US" w:eastAsia="zh-CN"/>
        </w:rPr>
        <w:t>金额1</w:t>
      </w:r>
      <w:r>
        <w:rPr>
          <w:rFonts w:hint="eastAsia" w:ascii="宋体" w:hAnsi="宋体" w:cs="宋体"/>
          <w:b/>
          <w:bCs/>
          <w:color w:val="auto"/>
          <w:sz w:val="21"/>
          <w:szCs w:val="21"/>
          <w:highlight w:val="none"/>
          <w:lang w:val="en-US" w:eastAsia="zh-CN"/>
        </w:rPr>
        <w:t>0</w:t>
      </w:r>
      <w:r>
        <w:rPr>
          <w:rFonts w:hint="eastAsia" w:ascii="宋体" w:hAnsi="宋体" w:eastAsia="宋体" w:cs="宋体"/>
          <w:b/>
          <w:bCs/>
          <w:color w:val="auto"/>
          <w:sz w:val="21"/>
          <w:szCs w:val="21"/>
          <w:highlight w:val="none"/>
          <w:lang w:val="en-US" w:eastAsia="zh-CN"/>
        </w:rPr>
        <w:t>0万元</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bidi="ar-SA"/>
        </w:rPr>
        <w:t>；</w:t>
      </w:r>
    </w:p>
    <w:p w14:paraId="12C530FC">
      <w:pPr>
        <w:pStyle w:val="16"/>
        <w:pageBreakBefore w:val="0"/>
        <w:widowControl w:val="0"/>
        <w:kinsoku/>
        <w:wordWrap/>
        <w:overflowPunct/>
        <w:topLinePunct w:val="0"/>
        <w:autoSpaceDE/>
        <w:autoSpaceDN/>
        <w:bidi w:val="0"/>
        <w:adjustRightInd/>
        <w:snapToGrid/>
        <w:spacing w:line="380" w:lineRule="exact"/>
        <w:ind w:left="0" w:leftChars="0" w:firstLine="421" w:firstLineChars="0"/>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3、第一阶段过程服务费用和第二阶段目标成果费用的下浮率须保持一致。</w:t>
      </w:r>
    </w:p>
    <w:p w14:paraId="5B81E80F">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8E5488E">
      <w:pPr>
        <w:pStyle w:val="3"/>
        <w:pageBreakBefore w:val="0"/>
        <w:widowControl w:val="0"/>
        <w:numPr>
          <w:ilvl w:val="0"/>
          <w:numId w:val="0"/>
        </w:numPr>
        <w:kinsoku/>
        <w:wordWrap/>
        <w:overflowPunct/>
        <w:topLinePunct w:val="0"/>
        <w:autoSpaceDE/>
        <w:autoSpaceDN/>
        <w:bidi w:val="0"/>
        <w:adjustRightInd/>
        <w:snapToGrid/>
        <w:spacing w:before="0" w:after="0" w:line="480" w:lineRule="exact"/>
        <w:ind w:firstLine="480" w:firstLineChars="200"/>
        <w:textAlignment w:val="auto"/>
        <w:rPr>
          <w:rFonts w:ascii="宋体" w:hAnsi="宋体" w:eastAsia="宋体" w:cs="宋体"/>
          <w:color w:val="auto"/>
          <w:sz w:val="28"/>
          <w:szCs w:val="20"/>
          <w:highlight w:val="none"/>
        </w:rPr>
      </w:pPr>
      <w:r>
        <w:rPr>
          <w:rFonts w:hint="eastAsia" w:ascii="宋体" w:hAnsi="宋体" w:eastAsia="宋体" w:cs="宋体"/>
          <w:color w:val="auto"/>
          <w:sz w:val="24"/>
          <w:highlight w:val="none"/>
        </w:rPr>
        <w:t>格式4. 财务状况报告及税收、社会保障资金缴纳情况承诺函</w:t>
      </w:r>
      <w:bookmarkEnd w:id="275"/>
    </w:p>
    <w:p w14:paraId="6EF5413F">
      <w:pPr>
        <w:rPr>
          <w:rFonts w:ascii="宋体" w:hAnsi="宋体" w:cs="宋体"/>
          <w:color w:val="auto"/>
          <w:highlight w:val="none"/>
        </w:rPr>
      </w:pPr>
    </w:p>
    <w:p w14:paraId="2C3CB616">
      <w:pPr>
        <w:spacing w:line="360" w:lineRule="auto"/>
        <w:jc w:val="center"/>
        <w:rPr>
          <w:rFonts w:ascii="宋体" w:hAnsi="宋体" w:cs="宋体"/>
          <w:color w:val="auto"/>
          <w:sz w:val="36"/>
          <w:szCs w:val="28"/>
          <w:highlight w:val="none"/>
        </w:rPr>
      </w:pPr>
      <w:r>
        <w:rPr>
          <w:rFonts w:hint="eastAsia" w:ascii="宋体" w:hAnsi="宋体" w:cs="宋体"/>
          <w:color w:val="auto"/>
          <w:sz w:val="36"/>
          <w:szCs w:val="28"/>
          <w:highlight w:val="none"/>
        </w:rPr>
        <w:t>财务状况报告及税收、社会保障资金缴纳情况承诺函</w:t>
      </w:r>
    </w:p>
    <w:p w14:paraId="78658CCE">
      <w:pPr>
        <w:jc w:val="left"/>
        <w:rPr>
          <w:rFonts w:ascii="宋体" w:hAnsi="宋体" w:cs="宋体"/>
          <w:color w:val="auto"/>
          <w:highlight w:val="none"/>
        </w:rPr>
      </w:pPr>
    </w:p>
    <w:p w14:paraId="5CDE069A">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【采购单位】</w:t>
      </w:r>
    </w:p>
    <w:p w14:paraId="073D0FD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投标人</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参加</w:t>
      </w:r>
      <w:r>
        <w:rPr>
          <w:rFonts w:hint="eastAsia" w:ascii="宋体" w:hAnsi="宋体" w:cs="宋体"/>
          <w:color w:val="auto"/>
          <w:sz w:val="24"/>
          <w:highlight w:val="none"/>
          <w:u w:val="single"/>
        </w:rPr>
        <w:t>【标段名称】</w:t>
      </w:r>
      <w:r>
        <w:rPr>
          <w:rFonts w:hint="eastAsia" w:ascii="宋体" w:hAnsi="宋体" w:cs="宋体"/>
          <w:color w:val="auto"/>
          <w:sz w:val="24"/>
          <w:highlight w:val="none"/>
        </w:rPr>
        <w:t>（项目编号：</w:t>
      </w:r>
      <w:r>
        <w:rPr>
          <w:rFonts w:hint="eastAsia" w:ascii="宋体" w:hAnsi="宋体" w:cs="宋体"/>
          <w:color w:val="auto"/>
          <w:sz w:val="24"/>
          <w:highlight w:val="none"/>
          <w:u w:val="single"/>
        </w:rPr>
        <w:t>【标段编号】</w:t>
      </w:r>
      <w:r>
        <w:rPr>
          <w:rFonts w:hint="eastAsia" w:ascii="宋体" w:hAnsi="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A7F997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（1）具有良好的商业信誉和健全的财务会计制度（财务状况报告）；</w:t>
      </w:r>
    </w:p>
    <w:p w14:paraId="41709A4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（2）有依法缴纳税收和社会保障资金的良好记录。</w:t>
      </w:r>
    </w:p>
    <w:p w14:paraId="105DCF5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7AA774A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特此承诺</w:t>
      </w:r>
    </w:p>
    <w:p w14:paraId="235F3810">
      <w:pPr>
        <w:spacing w:line="360" w:lineRule="auto"/>
        <w:ind w:firstLine="480"/>
        <w:rPr>
          <w:rFonts w:ascii="宋体" w:hAnsi="宋体" w:cs="宋体"/>
          <w:color w:val="auto"/>
          <w:sz w:val="24"/>
          <w:highlight w:val="none"/>
        </w:rPr>
      </w:pPr>
    </w:p>
    <w:p w14:paraId="079A5B2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00D7D83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21C2B47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3B5C9330">
      <w:pPr>
        <w:pStyle w:val="3"/>
        <w:spacing w:before="0" w:after="0"/>
        <w:rPr>
          <w:rFonts w:ascii="宋体" w:hAnsi="宋体" w:eastAsia="宋体" w:cs="宋体"/>
          <w:color w:val="auto"/>
          <w:highlight w:val="none"/>
        </w:rPr>
      </w:pPr>
      <w:r>
        <w:rPr>
          <w:rFonts w:hint="eastAsia" w:ascii="宋体" w:hAnsi="宋体" w:eastAsia="宋体" w:cs="宋体"/>
          <w:color w:val="auto"/>
          <w:sz w:val="24"/>
          <w:highlight w:val="none"/>
        </w:rPr>
        <w:br w:type="page" w:clear="all"/>
      </w:r>
      <w:bookmarkStart w:id="276" w:name="_Toc28884"/>
      <w:r>
        <w:rPr>
          <w:rFonts w:hint="eastAsia" w:ascii="宋体" w:hAnsi="宋体" w:eastAsia="宋体" w:cs="宋体"/>
          <w:color w:val="auto"/>
          <w:sz w:val="24"/>
          <w:highlight w:val="none"/>
        </w:rPr>
        <w:t>格式5. 中小企业声明函</w:t>
      </w:r>
      <w:bookmarkEnd w:id="276"/>
    </w:p>
    <w:p w14:paraId="083CB3C1">
      <w:pPr>
        <w:spacing w:line="360" w:lineRule="auto"/>
        <w:jc w:val="center"/>
        <w:rPr>
          <w:rFonts w:ascii="宋体" w:hAnsi="宋体" w:cs="宋体"/>
          <w:color w:val="auto"/>
          <w:sz w:val="36"/>
          <w:szCs w:val="28"/>
          <w:highlight w:val="none"/>
        </w:rPr>
      </w:pPr>
      <w:r>
        <w:rPr>
          <w:rFonts w:hint="eastAsia" w:ascii="宋体" w:hAnsi="宋体" w:cs="宋体"/>
          <w:color w:val="auto"/>
          <w:sz w:val="36"/>
          <w:szCs w:val="28"/>
          <w:highlight w:val="none"/>
        </w:rPr>
        <w:t>中小企业声明函</w:t>
      </w:r>
    </w:p>
    <w:p w14:paraId="5DE6520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本公司郑重声明，根据《政府采购促进中小企业发展管理办法》（财库﹝2020﹞46号）的规定，本公司参加</w:t>
      </w:r>
      <w:r>
        <w:rPr>
          <w:rFonts w:hint="eastAsia" w:ascii="宋体" w:hAnsi="宋体" w:cs="宋体"/>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采购活动，服务全部由符合政策要求的中小企业承接。</w:t>
      </w:r>
    </w:p>
    <w:p w14:paraId="4F15EF67">
      <w:pPr>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行业；承接企业为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（中型企业、小型企业、微型企业）</w:t>
      </w:r>
      <w:r>
        <w:rPr>
          <w:rFonts w:hint="eastAsia" w:ascii="宋体" w:hAnsi="宋体" w:cs="宋体"/>
          <w:color w:val="auto"/>
          <w:sz w:val="24"/>
          <w:highlight w:val="none"/>
        </w:rPr>
        <w:t xml:space="preserve">； </w:t>
      </w:r>
    </w:p>
    <w:p w14:paraId="264F569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2A0CF25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p>
    <w:p w14:paraId="574E495D">
      <w:pPr>
        <w:spacing w:line="360" w:lineRule="auto"/>
        <w:ind w:firstLine="480"/>
        <w:rPr>
          <w:rFonts w:ascii="宋体" w:hAnsi="宋体" w:cs="宋体"/>
          <w:color w:val="auto"/>
          <w:sz w:val="24"/>
          <w:highlight w:val="none"/>
        </w:rPr>
      </w:pPr>
    </w:p>
    <w:p w14:paraId="319F497E">
      <w:pPr>
        <w:spacing w:line="360" w:lineRule="auto"/>
        <w:ind w:right="480" w:firstLine="4920"/>
        <w:rPr>
          <w:rFonts w:ascii="宋体" w:hAnsi="宋体" w:cs="宋体"/>
          <w:color w:val="auto"/>
          <w:sz w:val="24"/>
          <w:highlight w:val="none"/>
        </w:rPr>
      </w:pPr>
    </w:p>
    <w:p w14:paraId="26E5D3E6">
      <w:pPr>
        <w:spacing w:line="360" w:lineRule="auto"/>
        <w:ind w:right="480" w:firstLine="4920"/>
        <w:rPr>
          <w:rFonts w:ascii="宋体" w:hAnsi="宋体" w:cs="宋体"/>
          <w:color w:val="auto"/>
          <w:sz w:val="24"/>
          <w:highlight w:val="none"/>
        </w:rPr>
      </w:pPr>
      <w:r>
        <w:rPr>
          <w:rFonts w:hint="eastAsia" w:ascii="宋体" w:hAnsi="宋体" w:cs="宋体"/>
          <w:color w:val="auto"/>
          <w:sz w:val="24"/>
          <w:highlight w:val="none"/>
        </w:rPr>
        <w:t xml:space="preserve">企业名称（盖章）： </w:t>
      </w:r>
    </w:p>
    <w:p w14:paraId="444F1FF1">
      <w:pPr>
        <w:spacing w:line="360" w:lineRule="auto"/>
        <w:ind w:right="480" w:firstLine="4920"/>
        <w:rPr>
          <w:rFonts w:ascii="宋体" w:hAnsi="宋体" w:cs="宋体"/>
          <w:color w:val="auto"/>
          <w:sz w:val="24"/>
          <w:highlight w:val="none"/>
        </w:rPr>
      </w:pPr>
      <w:r>
        <w:rPr>
          <w:rFonts w:hint="eastAsia" w:ascii="宋体" w:hAnsi="宋体" w:cs="宋体"/>
          <w:color w:val="auto"/>
          <w:sz w:val="24"/>
          <w:highlight w:val="none"/>
        </w:rPr>
        <w:t>日 期：</w:t>
      </w:r>
    </w:p>
    <w:p w14:paraId="7FC04A66">
      <w:pPr>
        <w:spacing w:line="360" w:lineRule="auto"/>
        <w:ind w:right="480" w:firstLine="4920"/>
        <w:rPr>
          <w:rFonts w:ascii="宋体" w:hAnsi="宋体" w:cs="宋体"/>
          <w:color w:val="auto"/>
          <w:sz w:val="24"/>
          <w:highlight w:val="none"/>
        </w:rPr>
      </w:pPr>
    </w:p>
    <w:p w14:paraId="6624E76C">
      <w:pPr>
        <w:spacing w:line="360" w:lineRule="auto"/>
        <w:ind w:right="480"/>
        <w:rPr>
          <w:rFonts w:ascii="宋体" w:hAnsi="宋体" w:cs="宋体"/>
          <w:color w:val="auto"/>
          <w:sz w:val="24"/>
          <w:highlight w:val="none"/>
        </w:rPr>
      </w:pPr>
    </w:p>
    <w:p w14:paraId="2843A75C">
      <w:pPr>
        <w:spacing w:line="360" w:lineRule="auto"/>
        <w:ind w:right="480"/>
        <w:rPr>
          <w:rFonts w:ascii="宋体" w:hAnsi="宋体" w:cs="宋体"/>
          <w:color w:val="auto"/>
          <w:sz w:val="24"/>
          <w:highlight w:val="none"/>
        </w:rPr>
      </w:pPr>
    </w:p>
    <w:p w14:paraId="14937F3E">
      <w:pPr>
        <w:spacing w:line="360" w:lineRule="auto"/>
        <w:ind w:right="480"/>
        <w:rPr>
          <w:rFonts w:ascii="宋体" w:hAnsi="宋体" w:cs="宋体"/>
          <w:color w:val="auto"/>
          <w:sz w:val="24"/>
          <w:highlight w:val="none"/>
        </w:rPr>
      </w:pPr>
    </w:p>
    <w:p w14:paraId="692DEE41">
      <w:pPr>
        <w:spacing w:line="360" w:lineRule="auto"/>
        <w:ind w:right="480" w:firstLine="480"/>
        <w:rPr>
          <w:rFonts w:ascii="宋体" w:hAnsi="宋体" w:cs="宋体"/>
          <w:color w:val="auto"/>
          <w:sz w:val="24"/>
          <w:highlight w:val="none"/>
        </w:rPr>
      </w:pPr>
      <w:r>
        <w:rPr>
          <w:rFonts w:hint="eastAsia" w:ascii="宋体" w:hAnsi="宋体" w:cs="宋体"/>
          <w:color w:val="auto"/>
          <w:sz w:val="24"/>
          <w:highlight w:val="none"/>
        </w:rPr>
        <w:t>填报说明：</w:t>
      </w:r>
    </w:p>
    <w:p w14:paraId="52972186">
      <w:pPr>
        <w:spacing w:line="360" w:lineRule="auto"/>
        <w:ind w:right="480" w:firstLine="480"/>
        <w:rPr>
          <w:rFonts w:ascii="宋体" w:hAnsi="宋体" w:cs="宋体"/>
          <w:color w:val="auto"/>
          <w:sz w:val="24"/>
          <w:highlight w:val="none"/>
        </w:rPr>
      </w:pPr>
      <w:r>
        <w:rPr>
          <w:rFonts w:hint="eastAsia" w:ascii="宋体" w:hAnsi="宋体" w:cs="宋体"/>
          <w:color w:val="auto"/>
          <w:sz w:val="24"/>
          <w:highlight w:val="none"/>
        </w:rPr>
        <w:t>1、从业人员、营业收入、资产总额填报上一年度数据，无上一年度数据的新成立企业可不填报。</w:t>
      </w:r>
    </w:p>
    <w:p w14:paraId="359283C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2、请供应商如实填写，所填内容将作为评审的依据。如填写不完整或填写有误，将不享受扶持政策。</w:t>
      </w:r>
    </w:p>
    <w:p w14:paraId="4426CC1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3、中标供应商的《中小企业声明函》随中标结果公开。</w:t>
      </w:r>
    </w:p>
    <w:p w14:paraId="2EBAFE1B">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77" w:name="_Toc13177"/>
      <w:r>
        <w:rPr>
          <w:rFonts w:hint="eastAsia" w:ascii="宋体" w:hAnsi="宋体" w:eastAsia="宋体" w:cs="宋体"/>
          <w:color w:val="auto"/>
          <w:sz w:val="24"/>
          <w:highlight w:val="none"/>
        </w:rPr>
        <w:t>格式6. 残疾人福利性单位声明函</w:t>
      </w:r>
      <w:bookmarkEnd w:id="277"/>
    </w:p>
    <w:p w14:paraId="39DC42CC">
      <w:pPr>
        <w:spacing w:line="360" w:lineRule="auto"/>
        <w:jc w:val="center"/>
        <w:rPr>
          <w:rFonts w:ascii="宋体" w:hAnsi="宋体" w:cs="宋体"/>
          <w:color w:val="auto"/>
          <w:sz w:val="36"/>
          <w:szCs w:val="28"/>
          <w:highlight w:val="none"/>
        </w:rPr>
      </w:pPr>
      <w:r>
        <w:rPr>
          <w:rFonts w:hint="eastAsia" w:ascii="宋体" w:hAnsi="宋体" w:cs="宋体"/>
          <w:color w:val="auto"/>
          <w:sz w:val="36"/>
          <w:szCs w:val="28"/>
          <w:highlight w:val="none"/>
        </w:rPr>
        <w:t>残疾人福利性单位声明函</w:t>
      </w:r>
    </w:p>
    <w:p w14:paraId="3C6AE58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479A278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310AA795">
      <w:pPr>
        <w:spacing w:line="360" w:lineRule="auto"/>
        <w:ind w:firstLine="480"/>
        <w:rPr>
          <w:rFonts w:ascii="宋体" w:hAnsi="宋体" w:cs="宋体"/>
          <w:color w:val="auto"/>
          <w:sz w:val="24"/>
          <w:highlight w:val="none"/>
        </w:rPr>
      </w:pPr>
    </w:p>
    <w:p w14:paraId="303B7BCD">
      <w:pPr>
        <w:spacing w:line="360" w:lineRule="auto"/>
        <w:ind w:firstLine="480"/>
        <w:rPr>
          <w:rFonts w:ascii="宋体" w:hAnsi="宋体" w:cs="宋体"/>
          <w:color w:val="auto"/>
          <w:sz w:val="24"/>
          <w:highlight w:val="none"/>
        </w:rPr>
      </w:pPr>
    </w:p>
    <w:p w14:paraId="31EDA132">
      <w:pPr>
        <w:spacing w:line="360" w:lineRule="auto"/>
        <w:ind w:right="480" w:firstLine="4560"/>
        <w:rPr>
          <w:rFonts w:ascii="宋体" w:hAnsi="宋体" w:cs="宋体"/>
          <w:color w:val="auto"/>
          <w:sz w:val="24"/>
          <w:highlight w:val="none"/>
        </w:rPr>
      </w:pPr>
      <w:r>
        <w:rPr>
          <w:rFonts w:hint="eastAsia" w:ascii="宋体" w:hAnsi="宋体" w:cs="宋体"/>
          <w:color w:val="auto"/>
          <w:sz w:val="24"/>
          <w:highlight w:val="none"/>
        </w:rPr>
        <w:t xml:space="preserve">企业名称（盖章）： </w:t>
      </w:r>
    </w:p>
    <w:p w14:paraId="07BB2C2B">
      <w:pPr>
        <w:spacing w:line="360" w:lineRule="auto"/>
        <w:ind w:firstLine="4560"/>
        <w:jc w:val="left"/>
        <w:rPr>
          <w:rFonts w:ascii="宋体" w:hAnsi="宋体" w:cs="宋体"/>
          <w:color w:val="auto"/>
          <w:sz w:val="24"/>
          <w:highlight w:val="none"/>
        </w:rPr>
      </w:pPr>
      <w:r>
        <w:rPr>
          <w:rFonts w:hint="eastAsia" w:ascii="宋体" w:hAnsi="宋体" w:cs="宋体"/>
          <w:color w:val="auto"/>
          <w:sz w:val="24"/>
          <w:highlight w:val="none"/>
        </w:rPr>
        <w:t>日 期：</w:t>
      </w:r>
    </w:p>
    <w:p w14:paraId="52DD0A2D">
      <w:pPr>
        <w:spacing w:line="360" w:lineRule="auto"/>
        <w:ind w:firstLine="480"/>
        <w:jc w:val="left"/>
        <w:rPr>
          <w:rFonts w:ascii="宋体" w:hAnsi="宋体" w:cs="宋体"/>
          <w:color w:val="auto"/>
          <w:sz w:val="24"/>
          <w:highlight w:val="none"/>
        </w:rPr>
      </w:pPr>
    </w:p>
    <w:p w14:paraId="6F757848">
      <w:pPr>
        <w:spacing w:line="360" w:lineRule="auto"/>
        <w:ind w:firstLine="480"/>
        <w:jc w:val="left"/>
        <w:rPr>
          <w:rFonts w:ascii="宋体" w:hAnsi="宋体" w:cs="宋体"/>
          <w:color w:val="auto"/>
          <w:sz w:val="24"/>
          <w:highlight w:val="none"/>
        </w:rPr>
      </w:pPr>
    </w:p>
    <w:p w14:paraId="6FD00DB1">
      <w:pPr>
        <w:spacing w:line="360" w:lineRule="auto"/>
        <w:ind w:firstLine="480"/>
        <w:jc w:val="left"/>
        <w:rPr>
          <w:rFonts w:ascii="宋体" w:hAnsi="宋体" w:cs="宋体"/>
          <w:color w:val="auto"/>
          <w:sz w:val="24"/>
          <w:highlight w:val="none"/>
        </w:rPr>
      </w:pPr>
    </w:p>
    <w:p w14:paraId="363AD21F">
      <w:pPr>
        <w:spacing w:line="360" w:lineRule="auto"/>
        <w:ind w:firstLine="480"/>
        <w:jc w:val="left"/>
        <w:rPr>
          <w:rFonts w:ascii="宋体" w:hAnsi="宋体" w:cs="宋体"/>
          <w:color w:val="auto"/>
          <w:sz w:val="24"/>
          <w:highlight w:val="none"/>
        </w:rPr>
      </w:pPr>
    </w:p>
    <w:p w14:paraId="3F42A71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填报说明：</w:t>
      </w:r>
    </w:p>
    <w:p w14:paraId="22B65AC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1、请供应商如实填写，所填内容将作为评审的依据。如填写不完整，将不享受扶持政策。</w:t>
      </w:r>
    </w:p>
    <w:p w14:paraId="7A2ADF61">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2、中标供应商的《残疾人福利性单位声明函》随中标结果公开。</w:t>
      </w:r>
    </w:p>
    <w:p w14:paraId="396186B8">
      <w:pPr>
        <w:rPr>
          <w:rFonts w:hint="eastAsia" w:ascii="宋体" w:hAnsi="宋体" w:cs="宋体"/>
          <w:color w:val="auto"/>
          <w:sz w:val="24"/>
          <w:highlight w:val="none"/>
        </w:rPr>
      </w:pPr>
      <w:r>
        <w:rPr>
          <w:rFonts w:hint="eastAsia" w:ascii="宋体" w:hAnsi="宋体" w:cs="宋体"/>
          <w:color w:val="auto"/>
          <w:sz w:val="24"/>
          <w:highlight w:val="none"/>
        </w:rPr>
        <w:br w:type="page"/>
      </w:r>
    </w:p>
    <w:p w14:paraId="3DE34F60">
      <w:pPr>
        <w:pBdr>
          <w:top w:val="none" w:color="000000" w:sz="0" w:space="0"/>
          <w:left w:val="none" w:color="000000" w:sz="0" w:space="0"/>
          <w:bottom w:val="none" w:color="000000" w:sz="0" w:space="0"/>
          <w:right w:val="none" w:color="000000" w:sz="0" w:space="0"/>
        </w:pBdr>
        <w:spacing w:before="360" w:after="200" w:line="85" w:lineRule="atLeast"/>
        <w:ind w:left="0" w:right="0" w:firstLine="0"/>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格式7.关于符合本国产品标准的声明函</w:t>
      </w:r>
    </w:p>
    <w:p w14:paraId="5B250A09">
      <w:pPr>
        <w:spacing w:line="360" w:lineRule="auto"/>
        <w:jc w:val="center"/>
        <w:rPr>
          <w:rFonts w:hint="default" w:ascii="宋体" w:hAnsi="宋体" w:eastAsia="宋体" w:cs="宋体"/>
          <w:color w:val="auto"/>
          <w:sz w:val="36"/>
          <w:szCs w:val="28"/>
          <w:highlight w:val="none"/>
        </w:rPr>
      </w:pPr>
      <w:r>
        <w:rPr>
          <w:rFonts w:hint="default" w:ascii="宋体" w:hAnsi="宋体" w:eastAsia="宋体" w:cs="宋体"/>
          <w:color w:val="auto"/>
          <w:sz w:val="36"/>
          <w:szCs w:val="28"/>
          <w:highlight w:val="none"/>
        </w:rPr>
        <w:t>关于符合本国产品标准的声明函</w:t>
      </w:r>
    </w:p>
    <w:p w14:paraId="4354D241">
      <w:pPr>
        <w:pBdr>
          <w:top w:val="none" w:color="000000" w:sz="0" w:space="0"/>
          <w:left w:val="none" w:color="000000" w:sz="0" w:space="0"/>
          <w:bottom w:val="none" w:color="000000" w:sz="0" w:space="0"/>
          <w:right w:val="none" w:color="000000" w:sz="0" w:space="0"/>
        </w:pBdr>
        <w:spacing w:before="0" w:after="0"/>
        <w:ind w:left="0" w:right="0" w:firstLine="420"/>
        <w:rPr>
          <w:rFonts w:hint="default" w:ascii="Calibri" w:hAnsi="Calibri" w:eastAsia="宋体" w:cs="Times New Roman"/>
          <w:szCs w:val="22"/>
        </w:rPr>
      </w:pPr>
      <w:r>
        <w:rPr>
          <w:rFonts w:hint="default" w:ascii="Arial" w:hAnsi="Arial" w:eastAsia="Arial" w:cs="Arial"/>
          <w:color w:val="FF0000"/>
          <w:sz w:val="24"/>
          <w:szCs w:val="22"/>
        </w:rPr>
        <w:t> </w:t>
      </w:r>
      <w:bookmarkStart w:id="287" w:name="_GoBack"/>
      <w:bookmarkEnd w:id="287"/>
    </w:p>
    <w:p w14:paraId="602D45C7">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hint="default" w:ascii="Calibri" w:hAnsi="Calibri" w:eastAsia="宋体" w:cs="Times New Roman"/>
          <w:sz w:val="24"/>
          <w:szCs w:val="24"/>
        </w:rPr>
      </w:pPr>
      <w:r>
        <w:rPr>
          <w:rFonts w:hint="default"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C4D531A">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42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1.</w:t>
      </w:r>
      <w:r>
        <w:rPr>
          <w:rFonts w:hint="default" w:ascii="宋体" w:hAnsi="宋体" w:eastAsia="宋体" w:cs="宋体"/>
          <w:color w:val="000000"/>
          <w:sz w:val="24"/>
          <w:szCs w:val="24"/>
          <w:highlight w:val="none"/>
          <w:u w:val="single"/>
        </w:rPr>
        <w:t>（产品名称1）</w:t>
      </w:r>
      <w:r>
        <w:rPr>
          <w:rFonts w:hint="default" w:ascii="宋体" w:hAnsi="宋体" w:eastAsia="宋体" w:cs="宋体"/>
          <w:color w:val="000000"/>
          <w:sz w:val="24"/>
          <w:szCs w:val="24"/>
          <w:highlight w:val="none"/>
          <w:vertAlign w:val="superscript"/>
        </w:rPr>
        <w:t>1</w:t>
      </w:r>
      <w:r>
        <w:rPr>
          <w:rFonts w:hint="default" w:ascii="宋体" w:hAnsi="宋体" w:eastAsia="宋体" w:cs="宋体"/>
          <w:color w:val="000000"/>
          <w:sz w:val="24"/>
          <w:szCs w:val="24"/>
          <w:highlight w:val="none"/>
        </w:rPr>
        <w:t>，生产厂为</w:t>
      </w:r>
      <w:r>
        <w:rPr>
          <w:rFonts w:hint="default" w:ascii="宋体" w:hAnsi="宋体" w:eastAsia="宋体" w:cs="宋体"/>
          <w:color w:val="000000"/>
          <w:sz w:val="24"/>
          <w:szCs w:val="24"/>
          <w:highlight w:val="none"/>
          <w:u w:val="single"/>
        </w:rPr>
        <w:t>（厂名）</w:t>
      </w:r>
      <w:r>
        <w:rPr>
          <w:rFonts w:hint="default" w:ascii="宋体" w:hAnsi="宋体" w:eastAsia="宋体" w:cs="宋体"/>
          <w:color w:val="000000"/>
          <w:sz w:val="24"/>
          <w:szCs w:val="24"/>
          <w:highlight w:val="none"/>
          <w:vertAlign w:val="superscript"/>
        </w:rPr>
        <w:t>2</w:t>
      </w:r>
      <w:r>
        <w:rPr>
          <w:rFonts w:hint="default" w:ascii="宋体" w:hAnsi="宋体" w:eastAsia="宋体" w:cs="宋体"/>
          <w:color w:val="000000"/>
          <w:sz w:val="24"/>
          <w:szCs w:val="24"/>
          <w:highlight w:val="none"/>
        </w:rPr>
        <w:t>，厂址为</w:t>
      </w:r>
      <w:r>
        <w:rPr>
          <w:rFonts w:hint="default" w:ascii="宋体" w:hAnsi="宋体" w:eastAsia="宋体" w:cs="宋体"/>
          <w:color w:val="000000"/>
          <w:sz w:val="24"/>
          <w:szCs w:val="24"/>
          <w:highlight w:val="none"/>
          <w:u w:val="single"/>
        </w:rPr>
        <w:t>（生产厂址）</w:t>
      </w:r>
      <w:r>
        <w:rPr>
          <w:rFonts w:hint="default" w:ascii="宋体" w:hAnsi="宋体" w:eastAsia="宋体" w:cs="宋体"/>
          <w:color w:val="000000"/>
          <w:sz w:val="24"/>
          <w:szCs w:val="24"/>
          <w:highlight w:val="none"/>
        </w:rPr>
        <w:t>。</w:t>
      </w:r>
      <w:r>
        <w:rPr>
          <w:rFonts w:hint="default" w:ascii="宋体" w:hAnsi="宋体" w:eastAsia="宋体" w:cs="宋体"/>
          <w:color w:val="000000"/>
          <w:sz w:val="24"/>
          <w:szCs w:val="24"/>
          <w:highlight w:val="none"/>
          <w:u w:val="single"/>
        </w:rPr>
        <w:t xml:space="preserve"> （产品名称1） </w:t>
      </w:r>
      <w:r>
        <w:rPr>
          <w:rFonts w:hint="default" w:ascii="宋体" w:hAnsi="宋体" w:eastAsia="宋体" w:cs="宋体"/>
          <w:color w:val="000000"/>
          <w:sz w:val="24"/>
          <w:szCs w:val="24"/>
          <w:highlight w:val="none"/>
        </w:rPr>
        <w:t>的中国境内生产的组件成本占比≥</w:t>
      </w:r>
      <w:r>
        <w:rPr>
          <w:rFonts w:hint="default" w:ascii="宋体" w:hAnsi="宋体" w:eastAsia="宋体" w:cs="宋体"/>
          <w:color w:val="000000"/>
          <w:sz w:val="24"/>
          <w:szCs w:val="24"/>
          <w:highlight w:val="none"/>
          <w:u w:val="single"/>
        </w:rPr>
        <w:t>（规定比例）</w:t>
      </w:r>
      <w:r>
        <w:rPr>
          <w:rFonts w:hint="default" w:ascii="宋体" w:hAnsi="宋体" w:eastAsia="宋体" w:cs="宋体"/>
          <w:color w:val="000000"/>
          <w:sz w:val="24"/>
          <w:szCs w:val="24"/>
          <w:highlight w:val="none"/>
          <w:vertAlign w:val="superscript"/>
        </w:rPr>
        <w:t>3</w:t>
      </w:r>
      <w:r>
        <w:rPr>
          <w:rFonts w:hint="default" w:ascii="宋体" w:hAnsi="宋体" w:eastAsia="宋体" w:cs="宋体"/>
          <w:color w:val="000000"/>
          <w:sz w:val="24"/>
          <w:szCs w:val="24"/>
          <w:highlight w:val="none"/>
        </w:rPr>
        <w:t>。</w:t>
      </w:r>
      <w:r>
        <w:rPr>
          <w:rFonts w:hint="default" w:ascii="宋体" w:hAnsi="宋体" w:eastAsia="宋体" w:cs="宋体"/>
          <w:color w:val="000000"/>
          <w:sz w:val="24"/>
          <w:szCs w:val="24"/>
          <w:highlight w:val="none"/>
          <w:u w:val="single"/>
        </w:rPr>
        <w:t>（产品名称1）</w:t>
      </w:r>
      <w:r>
        <w:rPr>
          <w:rFonts w:hint="default" w:ascii="宋体" w:hAnsi="宋体" w:eastAsia="宋体" w:cs="宋体"/>
          <w:color w:val="000000"/>
          <w:sz w:val="24"/>
          <w:szCs w:val="24"/>
          <w:highlight w:val="none"/>
        </w:rPr>
        <w:t>的</w:t>
      </w:r>
      <w:r>
        <w:rPr>
          <w:rFonts w:hint="default" w:ascii="宋体" w:hAnsi="宋体" w:eastAsia="宋体" w:cs="宋体"/>
          <w:color w:val="000000"/>
          <w:sz w:val="24"/>
          <w:szCs w:val="24"/>
          <w:highlight w:val="none"/>
          <w:u w:val="single"/>
        </w:rPr>
        <w:t>（关键组件）</w:t>
      </w:r>
      <w:r>
        <w:rPr>
          <w:rFonts w:hint="default" w:ascii="宋体" w:hAnsi="宋体" w:eastAsia="宋体" w:cs="宋体"/>
          <w:color w:val="000000"/>
          <w:sz w:val="24"/>
          <w:szCs w:val="24"/>
          <w:highlight w:val="none"/>
          <w:vertAlign w:val="superscript"/>
        </w:rPr>
        <w:t>4</w:t>
      </w:r>
      <w:r>
        <w:rPr>
          <w:rFonts w:hint="default" w:ascii="宋体" w:hAnsi="宋体" w:eastAsia="宋体" w:cs="宋体"/>
          <w:color w:val="000000"/>
          <w:sz w:val="24"/>
          <w:szCs w:val="24"/>
          <w:highlight w:val="none"/>
        </w:rPr>
        <w:t>在中国境内生产。</w:t>
      </w:r>
      <w:r>
        <w:rPr>
          <w:rFonts w:hint="default" w:ascii="宋体" w:hAnsi="宋体" w:eastAsia="宋体" w:cs="宋体"/>
          <w:color w:val="000000"/>
          <w:sz w:val="24"/>
          <w:szCs w:val="24"/>
          <w:highlight w:val="none"/>
          <w:u w:val="single"/>
        </w:rPr>
        <w:t>（产品名称1）</w:t>
      </w:r>
      <w:r>
        <w:rPr>
          <w:rFonts w:hint="default" w:ascii="宋体" w:hAnsi="宋体" w:eastAsia="宋体" w:cs="宋体"/>
          <w:color w:val="000000"/>
          <w:sz w:val="24"/>
          <w:szCs w:val="24"/>
          <w:highlight w:val="none"/>
        </w:rPr>
        <w:t>的</w:t>
      </w:r>
      <w:r>
        <w:rPr>
          <w:rFonts w:hint="default" w:ascii="宋体" w:hAnsi="宋体" w:eastAsia="宋体" w:cs="宋体"/>
          <w:color w:val="000000"/>
          <w:sz w:val="24"/>
          <w:szCs w:val="24"/>
          <w:highlight w:val="none"/>
          <w:u w:val="single"/>
        </w:rPr>
        <w:t>（关键工序）</w:t>
      </w:r>
      <w:r>
        <w:rPr>
          <w:rFonts w:hint="default" w:ascii="宋体" w:hAnsi="宋体" w:eastAsia="宋体" w:cs="宋体"/>
          <w:color w:val="000000"/>
          <w:sz w:val="24"/>
          <w:szCs w:val="24"/>
          <w:highlight w:val="none"/>
          <w:vertAlign w:val="superscript"/>
        </w:rPr>
        <w:t>5</w:t>
      </w:r>
      <w:r>
        <w:rPr>
          <w:rFonts w:hint="default" w:ascii="宋体" w:hAnsi="宋体" w:eastAsia="宋体" w:cs="宋体"/>
          <w:color w:val="000000"/>
          <w:sz w:val="24"/>
          <w:szCs w:val="24"/>
          <w:highlight w:val="none"/>
        </w:rPr>
        <w:t>在中国境内完成。</w:t>
      </w:r>
    </w:p>
    <w:p w14:paraId="695282F8">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42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2.</w:t>
      </w:r>
      <w:r>
        <w:rPr>
          <w:rFonts w:hint="default" w:ascii="宋体" w:hAnsi="宋体" w:eastAsia="宋体" w:cs="宋体"/>
          <w:color w:val="000000"/>
          <w:sz w:val="24"/>
          <w:szCs w:val="24"/>
          <w:highlight w:val="none"/>
          <w:u w:val="single"/>
        </w:rPr>
        <w:t>（产品名称2）</w:t>
      </w:r>
      <w:r>
        <w:rPr>
          <w:rFonts w:hint="default" w:ascii="宋体" w:hAnsi="宋体" w:eastAsia="宋体" w:cs="宋体"/>
          <w:color w:val="000000"/>
          <w:sz w:val="24"/>
          <w:szCs w:val="24"/>
          <w:highlight w:val="none"/>
        </w:rPr>
        <w:t>，生产厂为</w:t>
      </w:r>
      <w:r>
        <w:rPr>
          <w:rFonts w:hint="default" w:ascii="宋体" w:hAnsi="宋体" w:eastAsia="宋体" w:cs="宋体"/>
          <w:color w:val="000000"/>
          <w:sz w:val="24"/>
          <w:szCs w:val="24"/>
          <w:highlight w:val="none"/>
          <w:u w:val="single"/>
        </w:rPr>
        <w:t>（厂名）</w:t>
      </w:r>
      <w:r>
        <w:rPr>
          <w:rFonts w:hint="default" w:ascii="宋体" w:hAnsi="宋体" w:eastAsia="宋体" w:cs="宋体"/>
          <w:color w:val="000000"/>
          <w:sz w:val="24"/>
          <w:szCs w:val="24"/>
          <w:highlight w:val="none"/>
        </w:rPr>
        <w:t>，厂址为</w:t>
      </w:r>
      <w:r>
        <w:rPr>
          <w:rFonts w:hint="default" w:ascii="宋体" w:hAnsi="宋体" w:eastAsia="宋体" w:cs="宋体"/>
          <w:color w:val="000000"/>
          <w:sz w:val="24"/>
          <w:szCs w:val="24"/>
          <w:highlight w:val="none"/>
          <w:u w:val="single"/>
        </w:rPr>
        <w:t>（生产厂址）</w:t>
      </w:r>
      <w:r>
        <w:rPr>
          <w:rFonts w:hint="default" w:ascii="宋体" w:hAnsi="宋体" w:eastAsia="宋体" w:cs="宋体"/>
          <w:color w:val="000000"/>
          <w:sz w:val="24"/>
          <w:szCs w:val="24"/>
          <w:highlight w:val="none"/>
        </w:rPr>
        <w:t>。</w:t>
      </w:r>
      <w:r>
        <w:rPr>
          <w:rFonts w:hint="default" w:ascii="宋体" w:hAnsi="宋体" w:eastAsia="宋体" w:cs="宋体"/>
          <w:color w:val="000000"/>
          <w:sz w:val="24"/>
          <w:szCs w:val="24"/>
          <w:highlight w:val="none"/>
          <w:u w:val="single"/>
        </w:rPr>
        <w:t>（产品名称2）</w:t>
      </w:r>
      <w:r>
        <w:rPr>
          <w:rFonts w:hint="default" w:ascii="宋体" w:hAnsi="宋体" w:eastAsia="宋体" w:cs="宋体"/>
          <w:color w:val="000000"/>
          <w:sz w:val="24"/>
          <w:szCs w:val="24"/>
          <w:highlight w:val="none"/>
        </w:rPr>
        <w:t>的中国境内生产的组件成本占比≥</w:t>
      </w:r>
      <w:r>
        <w:rPr>
          <w:rFonts w:hint="default" w:ascii="宋体" w:hAnsi="宋体" w:eastAsia="宋体" w:cs="宋体"/>
          <w:color w:val="000000"/>
          <w:sz w:val="24"/>
          <w:szCs w:val="24"/>
          <w:highlight w:val="none"/>
          <w:u w:val="single"/>
        </w:rPr>
        <w:t>（规定比例）</w:t>
      </w:r>
      <w:r>
        <w:rPr>
          <w:rFonts w:hint="default" w:ascii="宋体" w:hAnsi="宋体" w:eastAsia="宋体" w:cs="宋体"/>
          <w:color w:val="000000"/>
          <w:sz w:val="24"/>
          <w:szCs w:val="24"/>
          <w:highlight w:val="none"/>
        </w:rPr>
        <w:t>。</w:t>
      </w:r>
      <w:r>
        <w:rPr>
          <w:rFonts w:hint="default" w:ascii="宋体" w:hAnsi="宋体" w:eastAsia="宋体" w:cs="宋体"/>
          <w:color w:val="000000"/>
          <w:sz w:val="24"/>
          <w:szCs w:val="24"/>
          <w:highlight w:val="none"/>
          <w:u w:val="single"/>
        </w:rPr>
        <w:t>（产品名称2）</w:t>
      </w:r>
      <w:r>
        <w:rPr>
          <w:rFonts w:hint="default" w:ascii="宋体" w:hAnsi="宋体" w:eastAsia="宋体" w:cs="宋体"/>
          <w:color w:val="000000"/>
          <w:sz w:val="24"/>
          <w:szCs w:val="24"/>
          <w:highlight w:val="none"/>
        </w:rPr>
        <w:t>的</w:t>
      </w:r>
      <w:r>
        <w:rPr>
          <w:rFonts w:hint="default" w:ascii="宋体" w:hAnsi="宋体" w:eastAsia="宋体" w:cs="宋体"/>
          <w:color w:val="000000"/>
          <w:sz w:val="24"/>
          <w:szCs w:val="24"/>
          <w:highlight w:val="none"/>
          <w:u w:val="single"/>
        </w:rPr>
        <w:t>（关键组件）</w:t>
      </w:r>
      <w:r>
        <w:rPr>
          <w:rFonts w:hint="default" w:ascii="宋体" w:hAnsi="宋体" w:eastAsia="宋体" w:cs="宋体"/>
          <w:color w:val="000000"/>
          <w:sz w:val="24"/>
          <w:szCs w:val="24"/>
          <w:highlight w:val="none"/>
        </w:rPr>
        <w:t>在中国境内生产。</w:t>
      </w:r>
      <w:r>
        <w:rPr>
          <w:rFonts w:hint="default" w:ascii="宋体" w:hAnsi="宋体" w:eastAsia="宋体" w:cs="宋体"/>
          <w:color w:val="000000"/>
          <w:sz w:val="24"/>
          <w:szCs w:val="24"/>
          <w:highlight w:val="none"/>
          <w:u w:val="single"/>
        </w:rPr>
        <w:t>（产品名称2）</w:t>
      </w:r>
      <w:r>
        <w:rPr>
          <w:rFonts w:hint="default" w:ascii="宋体" w:hAnsi="宋体" w:eastAsia="宋体" w:cs="宋体"/>
          <w:color w:val="000000"/>
          <w:sz w:val="24"/>
          <w:szCs w:val="24"/>
          <w:highlight w:val="none"/>
        </w:rPr>
        <w:t>的</w:t>
      </w:r>
      <w:r>
        <w:rPr>
          <w:rFonts w:hint="default" w:ascii="宋体" w:hAnsi="宋体" w:eastAsia="宋体" w:cs="宋体"/>
          <w:color w:val="000000"/>
          <w:sz w:val="24"/>
          <w:szCs w:val="24"/>
          <w:highlight w:val="none"/>
          <w:u w:val="single"/>
        </w:rPr>
        <w:t>（关键工序）</w:t>
      </w:r>
      <w:r>
        <w:rPr>
          <w:rFonts w:hint="default" w:ascii="宋体" w:hAnsi="宋体" w:eastAsia="宋体" w:cs="宋体"/>
          <w:color w:val="000000"/>
          <w:sz w:val="24"/>
          <w:szCs w:val="24"/>
          <w:highlight w:val="none"/>
        </w:rPr>
        <w:t>在中国境内完成。</w:t>
      </w:r>
    </w:p>
    <w:p w14:paraId="3037AAD3">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42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w:t>
      </w:r>
    </w:p>
    <w:p w14:paraId="74695F36">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42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本公司（单位）对上述声明内容的真实性负责。如有虚假，愿承担相应法律责任。</w:t>
      </w:r>
    </w:p>
    <w:p w14:paraId="1D1ADDC5">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 </w:t>
      </w:r>
    </w:p>
    <w:p w14:paraId="5D2F6D3D">
      <w:pPr>
        <w:pBdr>
          <w:top w:val="none" w:color="000000" w:sz="0" w:space="0"/>
          <w:left w:val="none" w:color="000000" w:sz="0" w:space="0"/>
          <w:bottom w:val="none" w:color="000000" w:sz="0" w:space="0"/>
          <w:right w:val="none" w:color="000000" w:sz="0" w:space="0"/>
        </w:pBdr>
        <w:shd w:val="clear"/>
        <w:spacing w:before="30" w:after="30" w:line="85" w:lineRule="atLeast"/>
        <w:ind w:left="0" w:right="480" w:firstLine="372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公司（单位）名称（盖章）：　</w:t>
      </w:r>
    </w:p>
    <w:p w14:paraId="6D5E3F83">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jc w:val="center"/>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                                日期：　   年　  月　  日         </w:t>
      </w:r>
    </w:p>
    <w:p w14:paraId="3D125509">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1.产品如有型号，请在“产品名称”栏一并填写。</w:t>
      </w:r>
    </w:p>
    <w:p w14:paraId="70393B8C">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2.生产厂名与厂址应与生产厂营业执照载明的相关信息保持一致。</w:t>
      </w:r>
    </w:p>
    <w:p w14:paraId="0E7A5234">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3.该产品的中国境内生产的组件成本占比相关要求实施前，“规定比例”栏可不填，下同。</w:t>
      </w:r>
    </w:p>
    <w:p w14:paraId="1B0C9772">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4.该产品的关键组件要求实施前，“关键组件”栏可不填，下同。</w:t>
      </w:r>
    </w:p>
    <w:p w14:paraId="5671924A">
      <w:pPr>
        <w:pBdr>
          <w:top w:val="none" w:color="000000" w:sz="0" w:space="0"/>
          <w:left w:val="none" w:color="000000" w:sz="0" w:space="0"/>
          <w:bottom w:val="none" w:color="000000" w:sz="0" w:space="0"/>
          <w:right w:val="none" w:color="000000" w:sz="0" w:space="0"/>
        </w:pBdr>
        <w:shd w:val="clear"/>
        <w:spacing w:before="30" w:after="3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5.该产品的关键工序要求实施前，“关键工序”栏可不填，下同。</w:t>
      </w:r>
    </w:p>
    <w:p w14:paraId="3798AA69">
      <w:pPr>
        <w:pBdr>
          <w:top w:val="none" w:color="000000" w:sz="0" w:space="0"/>
          <w:left w:val="none" w:color="000000" w:sz="0" w:space="0"/>
          <w:bottom w:val="none" w:color="000000" w:sz="0" w:space="0"/>
          <w:right w:val="none" w:color="000000" w:sz="0" w:space="0"/>
        </w:pBdr>
        <w:shd w:val="clear"/>
        <w:spacing w:before="0" w:after="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6.用斜线划除的地方无需填写。</w:t>
      </w:r>
    </w:p>
    <w:p w14:paraId="2C19C39C">
      <w:pPr>
        <w:pBdr>
          <w:top w:val="none" w:color="000000" w:sz="0" w:space="0"/>
          <w:left w:val="none" w:color="000000" w:sz="0" w:space="0"/>
          <w:bottom w:val="none" w:color="000000" w:sz="0" w:space="0"/>
          <w:right w:val="none" w:color="000000" w:sz="0" w:space="0"/>
        </w:pBdr>
        <w:shd w:val="clear"/>
        <w:spacing w:before="0" w:after="0" w:line="85" w:lineRule="atLeast"/>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7.请供应商如实填写，如填写有误，将承担一切不利后果。</w:t>
      </w:r>
    </w:p>
    <w:p w14:paraId="6BC0ACF7">
      <w:pPr>
        <w:pBdr>
          <w:top w:val="none" w:color="000000" w:sz="0" w:space="0"/>
          <w:left w:val="none" w:color="000000" w:sz="0" w:space="0"/>
          <w:bottom w:val="none" w:color="000000" w:sz="0" w:space="0"/>
          <w:right w:val="none" w:color="000000" w:sz="0" w:space="0"/>
        </w:pBdr>
        <w:shd w:val="clear" w:color="FFFFFF"/>
        <w:spacing w:before="0" w:after="150"/>
        <w:ind w:left="0" w:right="0" w:firstLine="0"/>
        <w:rPr>
          <w:rFonts w:hint="default" w:ascii="Calibri" w:hAnsi="Calibri" w:eastAsia="宋体" w:cs="Times New Roman"/>
          <w:sz w:val="24"/>
          <w:szCs w:val="24"/>
          <w:highlight w:val="none"/>
        </w:rPr>
      </w:pPr>
      <w:r>
        <w:rPr>
          <w:rFonts w:hint="default" w:ascii="宋体" w:hAnsi="宋体" w:eastAsia="宋体" w:cs="宋体"/>
          <w:color w:val="000000"/>
          <w:sz w:val="24"/>
          <w:szCs w:val="24"/>
          <w:highlight w:val="none"/>
        </w:rPr>
        <w:t>8.供应商提供虚假《声明函》、虚假证明文件谋取中标的，依照《中华人民共和国政府采购法》等法律法规规定追究相应责任。</w:t>
      </w:r>
    </w:p>
    <w:p w14:paraId="4E5BDF6A">
      <w:pPr>
        <w:shd w:val="clear"/>
        <w:spacing w:line="360" w:lineRule="auto"/>
        <w:ind w:firstLine="480"/>
        <w:jc w:val="left"/>
        <w:rPr>
          <w:rFonts w:hint="eastAsia" w:ascii="宋体" w:hAnsi="宋体" w:cs="宋体"/>
          <w:color w:val="auto"/>
          <w:sz w:val="24"/>
          <w:highlight w:val="none"/>
        </w:rPr>
      </w:pPr>
      <w:r>
        <w:rPr>
          <w:rFonts w:hint="default" w:ascii="宋体" w:hAnsi="宋体" w:eastAsia="宋体" w:cs="宋体"/>
          <w:color w:val="000000"/>
          <w:sz w:val="24"/>
          <w:szCs w:val="24"/>
          <w:highlight w:val="none"/>
        </w:rPr>
        <w:t>9.中标人的《声明函》或有关证明文件随中标结果公开</w:t>
      </w:r>
      <w:r>
        <w:rPr>
          <w:rFonts w:hint="default" w:ascii="宋体" w:hAnsi="宋体" w:eastAsia="宋体" w:cs="宋体"/>
          <w:color w:val="000000"/>
          <w:sz w:val="24"/>
          <w:szCs w:val="24"/>
        </w:rPr>
        <w:t>，接受社会监督</w:t>
      </w:r>
      <w:r>
        <w:rPr>
          <w:rFonts w:hint="default" w:ascii="宋体" w:hAnsi="宋体" w:eastAsia="宋体" w:cs="宋体"/>
          <w:color w:val="000000"/>
          <w:sz w:val="24"/>
          <w:szCs w:val="22"/>
        </w:rPr>
        <w:t>。</w:t>
      </w:r>
    </w:p>
    <w:p w14:paraId="7B42E3F7">
      <w:pPr>
        <w:pStyle w:val="3"/>
        <w:spacing w:before="0" w:after="0"/>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Start w:id="278" w:name="_Toc5658"/>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 具备履行合同所必需的设备和专业技术能力的声明及证明材料</w:t>
      </w:r>
      <w:bookmarkEnd w:id="278"/>
    </w:p>
    <w:p w14:paraId="58EE36B5">
      <w:pPr>
        <w:rPr>
          <w:rFonts w:ascii="宋体" w:hAnsi="宋体" w:cs="宋体"/>
          <w:color w:val="auto"/>
          <w:highlight w:val="none"/>
        </w:rPr>
      </w:pPr>
    </w:p>
    <w:p w14:paraId="28BD93C1">
      <w:pPr>
        <w:jc w:val="center"/>
        <w:rPr>
          <w:rFonts w:ascii="宋体" w:hAnsi="宋体" w:cs="宋体"/>
          <w:color w:val="auto"/>
          <w:highlight w:val="none"/>
        </w:rPr>
      </w:pPr>
      <w:r>
        <w:rPr>
          <w:rFonts w:hint="eastAsia" w:ascii="宋体" w:hAnsi="宋体" w:cs="宋体"/>
          <w:color w:val="auto"/>
          <w:sz w:val="36"/>
          <w:szCs w:val="28"/>
          <w:highlight w:val="none"/>
        </w:rPr>
        <w:t>具备履行合同所必需的设备和专业技术能力的声明</w:t>
      </w:r>
    </w:p>
    <w:p w14:paraId="7F555D41">
      <w:pPr>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rPr>
        <w:t>（供应商名称）</w:t>
      </w:r>
      <w:r>
        <w:rPr>
          <w:rFonts w:hint="eastAsia" w:ascii="宋体" w:hAnsi="宋体" w:cs="宋体"/>
          <w:color w:val="auto"/>
          <w:sz w:val="24"/>
          <w:highlight w:val="none"/>
        </w:rPr>
        <w:t>郑重声明：我单位具备履行本项采购合同所必需的设备和专业技术能力，为履行本项采购合同我单位具备如下主要设备和主要专业技术能力：</w:t>
      </w:r>
    </w:p>
    <w:p w14:paraId="2CE07ED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。（须附证明材料）</w:t>
      </w:r>
    </w:p>
    <w:p w14:paraId="0B1E9433">
      <w:pPr>
        <w:pStyle w:val="45"/>
        <w:rPr>
          <w:rFonts w:ascii="宋体" w:hAnsi="宋体" w:cs="宋体"/>
          <w:color w:val="auto"/>
          <w:highlight w:val="none"/>
        </w:rPr>
      </w:pPr>
    </w:p>
    <w:p w14:paraId="74BD48C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。（须附证明材料）</w:t>
      </w:r>
    </w:p>
    <w:p w14:paraId="39428199">
      <w:pPr>
        <w:pStyle w:val="45"/>
        <w:rPr>
          <w:rFonts w:ascii="宋体" w:hAnsi="宋体" w:cs="宋体"/>
          <w:color w:val="auto"/>
          <w:highlight w:val="none"/>
        </w:rPr>
      </w:pPr>
    </w:p>
    <w:p w14:paraId="345F2F54">
      <w:pPr>
        <w:spacing w:line="360" w:lineRule="auto"/>
        <w:ind w:firstLine="480"/>
        <w:rPr>
          <w:rFonts w:ascii="宋体" w:hAnsi="宋体" w:cs="宋体"/>
          <w:color w:val="auto"/>
          <w:sz w:val="24"/>
          <w:highlight w:val="none"/>
        </w:rPr>
      </w:pPr>
    </w:p>
    <w:p w14:paraId="79A201D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声明人（盖章）：</w:t>
      </w:r>
    </w:p>
    <w:p w14:paraId="2A1D3866">
      <w:pPr>
        <w:ind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0D1A50FE">
      <w:pPr>
        <w:ind w:firstLine="480"/>
        <w:rPr>
          <w:rFonts w:ascii="宋体" w:hAnsi="宋体" w:cs="宋体"/>
          <w:color w:val="auto"/>
          <w:sz w:val="24"/>
          <w:highlight w:val="none"/>
        </w:rPr>
      </w:pPr>
    </w:p>
    <w:p w14:paraId="5A97C051">
      <w:pPr>
        <w:ind w:firstLine="480"/>
        <w:rPr>
          <w:rFonts w:ascii="宋体" w:hAnsi="宋体" w:cs="宋体"/>
          <w:color w:val="auto"/>
          <w:sz w:val="24"/>
          <w:highlight w:val="none"/>
        </w:rPr>
      </w:pPr>
    </w:p>
    <w:p w14:paraId="581F2D86">
      <w:pPr>
        <w:ind w:firstLine="480"/>
        <w:rPr>
          <w:rFonts w:ascii="宋体" w:hAnsi="宋体" w:cs="宋体"/>
          <w:color w:val="auto"/>
          <w:sz w:val="24"/>
          <w:highlight w:val="none"/>
        </w:rPr>
      </w:pPr>
      <w:r>
        <w:rPr>
          <w:rFonts w:hint="eastAsia" w:ascii="宋体" w:hAnsi="宋体" w:cs="宋体"/>
          <w:color w:val="auto"/>
          <w:sz w:val="24"/>
          <w:highlight w:val="none"/>
        </w:rPr>
        <w:t>附主要设备和主要专业技术能力的证明材料如下：</w:t>
      </w:r>
    </w:p>
    <w:p w14:paraId="6E44395E">
      <w:pPr>
        <w:spacing w:line="360" w:lineRule="auto"/>
        <w:ind w:firstLine="480"/>
        <w:rPr>
          <w:rFonts w:ascii="宋体" w:hAnsi="宋体" w:cs="宋体"/>
          <w:color w:val="auto"/>
          <w:sz w:val="24"/>
          <w:highlight w:val="none"/>
        </w:rPr>
      </w:pPr>
    </w:p>
    <w:p w14:paraId="0398731F">
      <w:pPr>
        <w:spacing w:line="460" w:lineRule="exact"/>
        <w:ind w:firstLine="422"/>
        <w:rPr>
          <w:rFonts w:ascii="宋体" w:hAnsi="宋体" w:cs="宋体"/>
          <w:color w:val="auto"/>
          <w:highlight w:val="none"/>
        </w:rPr>
      </w:pPr>
    </w:p>
    <w:p w14:paraId="2693285B">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79" w:name="_Toc19256"/>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 参加政府采购活动前3年内在经营活动中没有重大违法记录的书面声明</w:t>
      </w:r>
      <w:bookmarkEnd w:id="279"/>
    </w:p>
    <w:p w14:paraId="31ED5A75">
      <w:pPr>
        <w:spacing w:line="460" w:lineRule="exact"/>
        <w:ind w:firstLine="422"/>
        <w:rPr>
          <w:rFonts w:ascii="宋体" w:hAnsi="宋体" w:cs="宋体"/>
          <w:color w:val="auto"/>
          <w:highlight w:val="none"/>
        </w:rPr>
      </w:pPr>
    </w:p>
    <w:p w14:paraId="4FA82FD2">
      <w:pPr>
        <w:jc w:val="center"/>
        <w:rPr>
          <w:rFonts w:ascii="宋体" w:hAnsi="宋体" w:cs="宋体"/>
          <w:color w:val="auto"/>
          <w:sz w:val="36"/>
          <w:szCs w:val="28"/>
          <w:highlight w:val="none"/>
        </w:rPr>
      </w:pPr>
      <w:r>
        <w:rPr>
          <w:rFonts w:hint="eastAsia" w:ascii="宋体" w:hAnsi="宋体" w:cs="宋体"/>
          <w:color w:val="auto"/>
          <w:sz w:val="36"/>
          <w:szCs w:val="28"/>
          <w:highlight w:val="none"/>
        </w:rPr>
        <w:t>声  明</w:t>
      </w:r>
    </w:p>
    <w:p w14:paraId="06C5259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150EE0DF">
      <w:pPr>
        <w:spacing w:line="360" w:lineRule="auto"/>
        <w:ind w:firstLine="480"/>
        <w:rPr>
          <w:rFonts w:ascii="宋体" w:hAnsi="宋体" w:cs="宋体"/>
          <w:color w:val="auto"/>
          <w:sz w:val="24"/>
          <w:highlight w:val="none"/>
        </w:rPr>
      </w:pPr>
    </w:p>
    <w:p w14:paraId="6EC5589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18588F3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79CD9EC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4D3BF561">
      <w:pPr>
        <w:pStyle w:val="3"/>
        <w:spacing w:before="0" w:after="0"/>
        <w:rPr>
          <w:rFonts w:ascii="宋体" w:hAnsi="宋体" w:eastAsia="宋体" w:cs="宋体"/>
          <w:color w:val="auto"/>
          <w:highlight w:val="none"/>
        </w:rPr>
      </w:pPr>
      <w:r>
        <w:rPr>
          <w:rFonts w:hint="eastAsia" w:ascii="宋体" w:hAnsi="宋体" w:eastAsia="宋体" w:cs="宋体"/>
          <w:color w:val="auto"/>
          <w:sz w:val="24"/>
          <w:highlight w:val="none"/>
        </w:rPr>
        <w:br w:type="page" w:clear="all"/>
      </w:r>
      <w:bookmarkStart w:id="280" w:name="_Toc16075"/>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 授权委托书与法定代表人（单位负责人）身份证明</w:t>
      </w:r>
      <w:bookmarkEnd w:id="280"/>
    </w:p>
    <w:p w14:paraId="4C6C87FA">
      <w:pPr>
        <w:spacing w:line="360" w:lineRule="exact"/>
        <w:jc w:val="center"/>
        <w:rPr>
          <w:rFonts w:ascii="宋体" w:hAnsi="宋体" w:cs="宋体"/>
          <w:color w:val="auto"/>
          <w:sz w:val="36"/>
          <w:szCs w:val="36"/>
          <w:highlight w:val="none"/>
        </w:rPr>
      </w:pPr>
    </w:p>
    <w:p w14:paraId="26A8D668">
      <w:pPr>
        <w:spacing w:line="360" w:lineRule="exact"/>
        <w:jc w:val="center"/>
        <w:rPr>
          <w:rFonts w:ascii="宋体" w:hAnsi="宋体" w:cs="宋体"/>
          <w:color w:val="auto"/>
          <w:sz w:val="36"/>
          <w:szCs w:val="36"/>
          <w:highlight w:val="none"/>
        </w:rPr>
      </w:pPr>
      <w:r>
        <w:rPr>
          <w:rFonts w:hint="eastAsia" w:ascii="宋体" w:hAnsi="宋体" w:cs="宋体"/>
          <w:color w:val="auto"/>
          <w:sz w:val="36"/>
          <w:szCs w:val="36"/>
          <w:highlight w:val="none"/>
        </w:rPr>
        <w:t>授权委托书</w:t>
      </w:r>
    </w:p>
    <w:p w14:paraId="389F4B44">
      <w:pPr>
        <w:spacing w:line="360" w:lineRule="auto"/>
        <w:rPr>
          <w:rFonts w:ascii="宋体" w:hAnsi="宋体" w:cs="宋体"/>
          <w:color w:val="auto"/>
          <w:sz w:val="24"/>
          <w:szCs w:val="20"/>
          <w:highlight w:val="none"/>
        </w:rPr>
      </w:pPr>
      <w:r>
        <w:rPr>
          <w:rFonts w:hint="eastAsia" w:ascii="宋体" w:hAnsi="宋体" w:cs="宋体"/>
          <w:color w:val="auto"/>
          <w:sz w:val="24"/>
          <w:highlight w:val="none"/>
        </w:rPr>
        <w:t>致：【采购单位】</w:t>
      </w:r>
    </w:p>
    <w:p w14:paraId="7F7E2A49">
      <w:pPr>
        <w:spacing w:line="360" w:lineRule="auto"/>
        <w:ind w:firstLine="420"/>
        <w:rPr>
          <w:rFonts w:ascii="宋体" w:hAnsi="宋体" w:cs="宋体"/>
          <w:color w:val="auto"/>
          <w:sz w:val="24"/>
          <w:szCs w:val="20"/>
          <w:highlight w:val="none"/>
        </w:rPr>
      </w:pPr>
      <w:r>
        <w:rPr>
          <w:rFonts w:hint="eastAsia" w:ascii="宋体" w:hAnsi="宋体" w:cs="宋体"/>
          <w:color w:val="auto"/>
          <w:sz w:val="24"/>
          <w:szCs w:val="20"/>
          <w:highlight w:val="none"/>
        </w:rPr>
        <w:t>本人</w:t>
      </w:r>
      <w:r>
        <w:rPr>
          <w:rFonts w:hint="eastAsia" w:ascii="宋体" w:hAnsi="宋体" w:cs="宋体"/>
          <w:color w:val="auto"/>
          <w:sz w:val="24"/>
          <w:highlight w:val="none"/>
          <w:lang w:val="zh-CN"/>
        </w:rPr>
        <w:t>_______</w:t>
      </w:r>
      <w:r>
        <w:rPr>
          <w:rFonts w:hint="eastAsia" w:ascii="宋体" w:hAnsi="宋体" w:cs="宋体"/>
          <w:color w:val="auto"/>
          <w:sz w:val="24"/>
          <w:szCs w:val="20"/>
          <w:highlight w:val="none"/>
        </w:rPr>
        <w:t>（姓名）系</w:t>
      </w:r>
      <w:r>
        <w:rPr>
          <w:rFonts w:hint="eastAsia" w:ascii="宋体" w:hAnsi="宋体" w:cs="宋体"/>
          <w:color w:val="auto"/>
          <w:sz w:val="24"/>
          <w:highlight w:val="none"/>
          <w:lang w:val="zh-CN"/>
        </w:rPr>
        <w:t>________________</w:t>
      </w:r>
      <w:r>
        <w:rPr>
          <w:rFonts w:hint="eastAsia" w:ascii="宋体" w:hAnsi="宋体" w:cs="宋体"/>
          <w:color w:val="auto"/>
          <w:sz w:val="24"/>
          <w:szCs w:val="20"/>
          <w:highlight w:val="none"/>
        </w:rPr>
        <w:t>（投标人名称）的法定代表人（单位负责人），现委托</w:t>
      </w:r>
      <w:r>
        <w:rPr>
          <w:rFonts w:hint="eastAsia" w:ascii="宋体" w:hAnsi="宋体" w:cs="宋体"/>
          <w:color w:val="auto"/>
          <w:sz w:val="24"/>
          <w:highlight w:val="none"/>
          <w:lang w:val="zh-CN"/>
        </w:rPr>
        <w:t>_______</w:t>
      </w:r>
      <w:r>
        <w:rPr>
          <w:rFonts w:hint="eastAsia" w:ascii="宋体" w:hAnsi="宋体" w:cs="宋体"/>
          <w:color w:val="auto"/>
          <w:sz w:val="24"/>
          <w:szCs w:val="20"/>
          <w:highlight w:val="none"/>
        </w:rPr>
        <w:t>（姓名）为我方代理人。代理人根据授权，以我方名义签署、澄清确认、递交、撤回、修改</w:t>
      </w:r>
      <w:r>
        <w:rPr>
          <w:rFonts w:hint="eastAsia" w:ascii="宋体" w:hAnsi="宋体" w:cs="宋体"/>
          <w:color w:val="auto"/>
          <w:sz w:val="24"/>
          <w:highlight w:val="none"/>
          <w:u w:val="single"/>
        </w:rPr>
        <w:t>【标段名称】</w:t>
      </w:r>
      <w:r>
        <w:rPr>
          <w:rFonts w:hint="eastAsia" w:ascii="宋体" w:hAnsi="宋体" w:cs="宋体"/>
          <w:color w:val="auto"/>
          <w:sz w:val="24"/>
          <w:highlight w:val="none"/>
        </w:rPr>
        <w:t>项目（标段编号：</w:t>
      </w:r>
      <w:r>
        <w:rPr>
          <w:rFonts w:hint="eastAsia" w:ascii="宋体" w:hAnsi="宋体" w:cs="宋体"/>
          <w:color w:val="auto"/>
          <w:sz w:val="24"/>
          <w:highlight w:val="none"/>
          <w:u w:val="single"/>
        </w:rPr>
        <w:t>【标段编号】</w:t>
      </w:r>
      <w:r>
        <w:rPr>
          <w:rFonts w:hint="eastAsia" w:ascii="宋体" w:hAnsi="宋体" w:cs="宋体"/>
          <w:color w:val="auto"/>
          <w:sz w:val="24"/>
          <w:highlight w:val="none"/>
        </w:rPr>
        <w:t>）</w:t>
      </w:r>
      <w:r>
        <w:rPr>
          <w:rFonts w:hint="eastAsia" w:ascii="宋体" w:hAnsi="宋体" w:cs="宋体"/>
          <w:color w:val="auto"/>
          <w:sz w:val="24"/>
          <w:szCs w:val="20"/>
          <w:highlight w:val="none"/>
        </w:rPr>
        <w:t>投标文件和处理有关事宜，其法律后果由我方承担。</w:t>
      </w:r>
    </w:p>
    <w:p w14:paraId="3E65F64F">
      <w:pPr>
        <w:spacing w:line="360" w:lineRule="auto"/>
        <w:ind w:firstLine="420"/>
        <w:rPr>
          <w:rFonts w:ascii="宋体" w:hAnsi="宋体" w:cs="宋体"/>
          <w:color w:val="auto"/>
          <w:sz w:val="24"/>
          <w:szCs w:val="20"/>
          <w:highlight w:val="none"/>
        </w:rPr>
      </w:pPr>
      <w:r>
        <w:rPr>
          <w:rFonts w:hint="eastAsia" w:ascii="宋体" w:hAnsi="宋体" w:cs="宋体"/>
          <w:color w:val="auto"/>
          <w:sz w:val="24"/>
          <w:szCs w:val="20"/>
          <w:highlight w:val="none"/>
        </w:rPr>
        <w:t>委托期限：自本授权委托书签署之日起至响应有效期届满之日止。</w:t>
      </w:r>
    </w:p>
    <w:p w14:paraId="2A6154B1">
      <w:pPr>
        <w:spacing w:line="360" w:lineRule="auto"/>
        <w:ind w:firstLine="420"/>
        <w:rPr>
          <w:rFonts w:ascii="宋体" w:hAnsi="宋体" w:cs="宋体"/>
          <w:color w:val="auto"/>
          <w:sz w:val="24"/>
          <w:szCs w:val="20"/>
          <w:highlight w:val="none"/>
        </w:rPr>
      </w:pPr>
      <w:r>
        <w:rPr>
          <w:rFonts w:hint="eastAsia" w:ascii="宋体" w:hAnsi="宋体" w:cs="宋体"/>
          <w:color w:val="auto"/>
          <w:sz w:val="24"/>
          <w:szCs w:val="20"/>
          <w:highlight w:val="none"/>
        </w:rPr>
        <w:t>代理人无转委托权。</w:t>
      </w:r>
      <w:r>
        <w:rPr>
          <w:rFonts w:hint="eastAsia" w:ascii="宋体" w:hAnsi="宋体" w:cs="宋体"/>
          <w:color w:val="auto"/>
          <w:sz w:val="24"/>
          <w:szCs w:val="20"/>
          <w:highlight w:val="none"/>
        </w:rPr>
        <w:br w:type="textWrapping"/>
      </w:r>
    </w:p>
    <w:p w14:paraId="2606DE92">
      <w:pPr>
        <w:spacing w:line="360" w:lineRule="auto"/>
        <w:rPr>
          <w:rFonts w:ascii="宋体" w:hAnsi="宋体" w:cs="宋体"/>
          <w:color w:val="auto"/>
          <w:sz w:val="24"/>
          <w:highlight w:val="none"/>
          <w:lang w:val="zh-CN"/>
        </w:rPr>
      </w:pPr>
      <w:r>
        <w:rPr>
          <w:rFonts w:hint="eastAsia" w:ascii="宋体" w:hAnsi="宋体" w:cs="宋体"/>
          <w:color w:val="auto"/>
          <w:sz w:val="24"/>
          <w:highlight w:val="none"/>
        </w:rPr>
        <w:t>投标人名称（加盖公章）</w:t>
      </w:r>
      <w:r>
        <w:rPr>
          <w:rFonts w:hint="eastAsia" w:ascii="宋体" w:hAnsi="宋体" w:cs="宋体"/>
          <w:color w:val="auto"/>
          <w:sz w:val="24"/>
          <w:highlight w:val="none"/>
          <w:lang w:val="zh-CN"/>
        </w:rPr>
        <w:t>：________________</w:t>
      </w:r>
    </w:p>
    <w:p w14:paraId="7DF44BE4">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法定代表人（单位负责人）（签字、签章或印鉴）：</w:t>
      </w:r>
      <w:r>
        <w:rPr>
          <w:rFonts w:hint="eastAsia" w:ascii="宋体" w:hAnsi="宋体" w:cs="宋体"/>
          <w:color w:val="auto"/>
          <w:sz w:val="24"/>
          <w:highlight w:val="none"/>
          <w:lang w:val="zh-CN"/>
        </w:rPr>
        <w:t>________________</w:t>
      </w:r>
    </w:p>
    <w:p w14:paraId="05520C41">
      <w:pPr>
        <w:spacing w:line="360" w:lineRule="auto"/>
        <w:rPr>
          <w:rFonts w:ascii="宋体" w:hAnsi="宋体" w:cs="宋体"/>
          <w:color w:val="auto"/>
          <w:sz w:val="24"/>
          <w:highlight w:val="none"/>
          <w:lang w:val="zh-CN"/>
        </w:rPr>
      </w:pPr>
      <w:r>
        <w:rPr>
          <w:rFonts w:hint="eastAsia" w:ascii="宋体" w:hAnsi="宋体" w:cs="宋体"/>
          <w:color w:val="auto"/>
          <w:sz w:val="24"/>
          <w:highlight w:val="none"/>
        </w:rPr>
        <w:t>委托代理人（签字/签章）：</w:t>
      </w:r>
      <w:r>
        <w:rPr>
          <w:rFonts w:hint="eastAsia" w:ascii="宋体" w:hAnsi="宋体" w:cs="宋体"/>
          <w:color w:val="auto"/>
          <w:sz w:val="24"/>
          <w:highlight w:val="none"/>
          <w:lang w:val="zh-CN"/>
        </w:rPr>
        <w:t>________________</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p>
    <w:p w14:paraId="3467E81A">
      <w:pPr>
        <w:spacing w:line="360" w:lineRule="auto"/>
        <w:rPr>
          <w:rFonts w:ascii="宋体" w:hAnsi="宋体" w:cs="宋体"/>
          <w:color w:val="auto"/>
          <w:sz w:val="24"/>
          <w:highlight w:val="none"/>
          <w:lang w:val="zh-CN"/>
        </w:rPr>
      </w:pPr>
      <w:r>
        <w:rPr>
          <w:rFonts w:hint="eastAsia" w:ascii="宋体" w:hAnsi="宋体" w:cs="宋体"/>
          <w:color w:val="auto"/>
          <w:sz w:val="24"/>
          <w:highlight w:val="none"/>
        </w:rPr>
        <w:t>日期：_____年______月______日</w:t>
      </w:r>
    </w:p>
    <w:p w14:paraId="3D2654C1">
      <w:pPr>
        <w:tabs>
          <w:tab w:val="left" w:pos="5580"/>
        </w:tabs>
        <w:spacing w:line="360" w:lineRule="auto"/>
        <w:ind w:firstLine="480"/>
        <w:rPr>
          <w:rFonts w:ascii="宋体" w:hAnsi="宋体" w:cs="宋体"/>
          <w:color w:val="auto"/>
          <w:sz w:val="24"/>
          <w:szCs w:val="20"/>
          <w:highlight w:val="none"/>
        </w:rPr>
      </w:pPr>
    </w:p>
    <w:p w14:paraId="79B525B8">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法定代表人（单位负责人）有效期内的身份证正反面电子件：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1343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62E30C9">
            <w:pPr>
              <w:tabs>
                <w:tab w:val="left" w:pos="5580"/>
              </w:tabs>
              <w:spacing w:line="360" w:lineRule="auto"/>
              <w:jc w:val="left"/>
              <w:rPr>
                <w:rFonts w:ascii="宋体" w:hAnsi="宋体" w:cs="宋体"/>
                <w:color w:val="auto"/>
                <w:sz w:val="24"/>
                <w:szCs w:val="20"/>
                <w:highlight w:val="none"/>
              </w:rPr>
            </w:pPr>
          </w:p>
          <w:p w14:paraId="2EC58F5C">
            <w:pPr>
              <w:tabs>
                <w:tab w:val="left" w:pos="5580"/>
              </w:tabs>
              <w:spacing w:line="360" w:lineRule="auto"/>
              <w:jc w:val="left"/>
              <w:rPr>
                <w:rFonts w:ascii="宋体" w:hAnsi="宋体" w:cs="宋体"/>
                <w:color w:val="auto"/>
                <w:sz w:val="24"/>
                <w:szCs w:val="20"/>
                <w:highlight w:val="none"/>
              </w:rPr>
            </w:pPr>
          </w:p>
          <w:p w14:paraId="096EF5C8">
            <w:pPr>
              <w:tabs>
                <w:tab w:val="left" w:pos="5580"/>
              </w:tabs>
              <w:spacing w:line="360" w:lineRule="auto"/>
              <w:jc w:val="left"/>
              <w:rPr>
                <w:rFonts w:ascii="宋体" w:hAnsi="宋体" w:cs="宋体"/>
                <w:color w:val="auto"/>
                <w:sz w:val="24"/>
                <w:szCs w:val="20"/>
                <w:highlight w:val="none"/>
              </w:rPr>
            </w:pPr>
          </w:p>
        </w:tc>
        <w:tc>
          <w:tcPr>
            <w:tcW w:w="4536" w:type="dxa"/>
          </w:tcPr>
          <w:p w14:paraId="4D210371">
            <w:pPr>
              <w:tabs>
                <w:tab w:val="left" w:pos="5580"/>
              </w:tabs>
              <w:spacing w:line="360" w:lineRule="auto"/>
              <w:jc w:val="left"/>
              <w:rPr>
                <w:rFonts w:ascii="宋体" w:hAnsi="宋体" w:cs="宋体"/>
                <w:color w:val="auto"/>
                <w:sz w:val="24"/>
                <w:szCs w:val="20"/>
                <w:highlight w:val="none"/>
              </w:rPr>
            </w:pPr>
          </w:p>
          <w:p w14:paraId="7DF03637">
            <w:pPr>
              <w:tabs>
                <w:tab w:val="left" w:pos="5580"/>
              </w:tabs>
              <w:spacing w:line="360" w:lineRule="auto"/>
              <w:jc w:val="left"/>
              <w:rPr>
                <w:rFonts w:ascii="宋体" w:hAnsi="宋体" w:cs="宋体"/>
                <w:color w:val="auto"/>
                <w:sz w:val="24"/>
                <w:szCs w:val="20"/>
                <w:highlight w:val="none"/>
              </w:rPr>
            </w:pPr>
          </w:p>
          <w:p w14:paraId="6BCF6E18">
            <w:pPr>
              <w:tabs>
                <w:tab w:val="left" w:pos="5580"/>
              </w:tabs>
              <w:spacing w:line="360" w:lineRule="auto"/>
              <w:jc w:val="left"/>
              <w:rPr>
                <w:rFonts w:ascii="宋体" w:hAnsi="宋体" w:cs="宋体"/>
                <w:color w:val="auto"/>
                <w:sz w:val="24"/>
                <w:szCs w:val="20"/>
                <w:highlight w:val="none"/>
              </w:rPr>
            </w:pPr>
          </w:p>
        </w:tc>
      </w:tr>
    </w:tbl>
    <w:p w14:paraId="653BAD2B">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委托代理人有效期内的身份证正反面电子件：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4068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170EB11">
            <w:pPr>
              <w:tabs>
                <w:tab w:val="left" w:pos="5580"/>
              </w:tabs>
              <w:spacing w:line="360" w:lineRule="auto"/>
              <w:jc w:val="left"/>
              <w:rPr>
                <w:rFonts w:ascii="宋体" w:hAnsi="宋体" w:cs="宋体"/>
                <w:color w:val="auto"/>
                <w:sz w:val="24"/>
                <w:szCs w:val="20"/>
                <w:highlight w:val="none"/>
              </w:rPr>
            </w:pPr>
          </w:p>
          <w:p w14:paraId="1EFF67F3">
            <w:pPr>
              <w:tabs>
                <w:tab w:val="left" w:pos="5580"/>
              </w:tabs>
              <w:spacing w:line="360" w:lineRule="auto"/>
              <w:jc w:val="left"/>
              <w:rPr>
                <w:rFonts w:ascii="宋体" w:hAnsi="宋体" w:cs="宋体"/>
                <w:color w:val="auto"/>
                <w:sz w:val="24"/>
                <w:szCs w:val="20"/>
                <w:highlight w:val="none"/>
              </w:rPr>
            </w:pPr>
          </w:p>
          <w:p w14:paraId="65368BEC">
            <w:pPr>
              <w:tabs>
                <w:tab w:val="left" w:pos="5580"/>
              </w:tabs>
              <w:spacing w:line="360" w:lineRule="auto"/>
              <w:jc w:val="left"/>
              <w:rPr>
                <w:rFonts w:ascii="宋体" w:hAnsi="宋体" w:cs="宋体"/>
                <w:color w:val="auto"/>
                <w:sz w:val="24"/>
                <w:szCs w:val="20"/>
                <w:highlight w:val="none"/>
              </w:rPr>
            </w:pPr>
          </w:p>
        </w:tc>
        <w:tc>
          <w:tcPr>
            <w:tcW w:w="4536" w:type="dxa"/>
          </w:tcPr>
          <w:p w14:paraId="52079F97">
            <w:pPr>
              <w:tabs>
                <w:tab w:val="left" w:pos="5580"/>
              </w:tabs>
              <w:spacing w:line="360" w:lineRule="auto"/>
              <w:jc w:val="left"/>
              <w:rPr>
                <w:rFonts w:ascii="宋体" w:hAnsi="宋体" w:cs="宋体"/>
                <w:color w:val="auto"/>
                <w:sz w:val="24"/>
                <w:szCs w:val="20"/>
                <w:highlight w:val="none"/>
              </w:rPr>
            </w:pPr>
          </w:p>
          <w:p w14:paraId="6C981A0C">
            <w:pPr>
              <w:tabs>
                <w:tab w:val="left" w:pos="5580"/>
              </w:tabs>
              <w:spacing w:line="360" w:lineRule="auto"/>
              <w:jc w:val="left"/>
              <w:rPr>
                <w:rFonts w:ascii="宋体" w:hAnsi="宋体" w:cs="宋体"/>
                <w:color w:val="auto"/>
                <w:sz w:val="24"/>
                <w:szCs w:val="20"/>
                <w:highlight w:val="none"/>
              </w:rPr>
            </w:pPr>
          </w:p>
          <w:p w14:paraId="0DF05F0C">
            <w:pPr>
              <w:tabs>
                <w:tab w:val="left" w:pos="5580"/>
              </w:tabs>
              <w:spacing w:line="360" w:lineRule="auto"/>
              <w:jc w:val="left"/>
              <w:rPr>
                <w:rFonts w:ascii="宋体" w:hAnsi="宋体" w:cs="宋体"/>
                <w:color w:val="auto"/>
                <w:sz w:val="24"/>
                <w:szCs w:val="20"/>
                <w:highlight w:val="none"/>
              </w:rPr>
            </w:pPr>
          </w:p>
        </w:tc>
      </w:tr>
    </w:tbl>
    <w:p w14:paraId="33D8B7AB">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说明：</w:t>
      </w:r>
    </w:p>
    <w:p w14:paraId="560A59F1">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1.若供应商为事业单位或其他组织或分支机构（仅当招标文件注明允许分支机构投标的），则法定代表人（单位负责人）处的签署人可为单位负责人。</w:t>
      </w:r>
    </w:p>
    <w:p w14:paraId="14765345">
      <w:pPr>
        <w:tabs>
          <w:tab w:val="left" w:pos="5580"/>
        </w:tabs>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2.若投标文件中签字之处均为法定代表人（单位负责人）本人签署，则可不提供本《授权委托书》，但须提供《法定代表人（单位负责人）身份证明》。</w:t>
      </w:r>
    </w:p>
    <w:p w14:paraId="7E5B9860">
      <w:pPr>
        <w:tabs>
          <w:tab w:val="left" w:pos="5580"/>
        </w:tabs>
        <w:spacing w:line="360" w:lineRule="auto"/>
        <w:jc w:val="left"/>
        <w:rPr>
          <w:rFonts w:ascii="宋体" w:hAnsi="宋体" w:cs="宋体"/>
          <w:color w:val="auto"/>
          <w:sz w:val="30"/>
          <w:szCs w:val="30"/>
          <w:highlight w:val="none"/>
        </w:rPr>
      </w:pPr>
      <w:r>
        <w:rPr>
          <w:rFonts w:hint="eastAsia" w:ascii="宋体" w:hAnsi="宋体" w:cs="宋体"/>
          <w:color w:val="auto"/>
          <w:sz w:val="24"/>
          <w:szCs w:val="20"/>
          <w:highlight w:val="none"/>
        </w:rPr>
        <w:t>3.供应商为自然人的情形，可不提供本《授权委托书》。</w:t>
      </w:r>
      <w:r>
        <w:rPr>
          <w:rFonts w:hint="eastAsia" w:ascii="宋体" w:hAnsi="宋体" w:cs="宋体"/>
          <w:color w:val="auto"/>
          <w:sz w:val="30"/>
          <w:szCs w:val="30"/>
          <w:highlight w:val="none"/>
        </w:rPr>
        <w:br w:type="page" w:clear="all"/>
      </w:r>
    </w:p>
    <w:p w14:paraId="64F1AE19">
      <w:pPr>
        <w:spacing w:line="360" w:lineRule="exact"/>
        <w:jc w:val="center"/>
        <w:rPr>
          <w:rFonts w:ascii="宋体" w:hAnsi="宋体" w:cs="宋体"/>
          <w:color w:val="auto"/>
          <w:sz w:val="36"/>
          <w:szCs w:val="36"/>
          <w:highlight w:val="none"/>
        </w:rPr>
      </w:pPr>
      <w:r>
        <w:rPr>
          <w:rFonts w:hint="eastAsia" w:ascii="宋体" w:hAnsi="宋体" w:cs="宋体"/>
          <w:color w:val="auto"/>
          <w:sz w:val="36"/>
          <w:szCs w:val="36"/>
          <w:highlight w:val="none"/>
        </w:rPr>
        <w:t>法定代表人（单位负责人）身份证明</w:t>
      </w:r>
    </w:p>
    <w:p w14:paraId="0E8842C2">
      <w:pPr>
        <w:spacing w:line="200" w:lineRule="exact"/>
        <w:rPr>
          <w:rFonts w:ascii="宋体" w:hAnsi="宋体" w:cs="宋体"/>
          <w:color w:val="auto"/>
          <w:sz w:val="20"/>
          <w:szCs w:val="20"/>
          <w:highlight w:val="none"/>
        </w:rPr>
      </w:pPr>
    </w:p>
    <w:p w14:paraId="6A8DD4D3">
      <w:pPr>
        <w:tabs>
          <w:tab w:val="left" w:pos="5580"/>
        </w:tabs>
        <w:spacing w:line="360" w:lineRule="auto"/>
        <w:rPr>
          <w:rFonts w:ascii="宋体" w:hAnsi="宋体" w:cs="宋体"/>
          <w:color w:val="auto"/>
          <w:sz w:val="24"/>
          <w:highlight w:val="none"/>
        </w:rPr>
      </w:pPr>
      <w:r>
        <w:rPr>
          <w:rFonts w:hint="eastAsia" w:ascii="宋体" w:hAnsi="宋体" w:cs="宋体"/>
          <w:color w:val="auto"/>
          <w:sz w:val="24"/>
          <w:highlight w:val="none"/>
        </w:rPr>
        <w:t>致：【采购单位】</w:t>
      </w:r>
    </w:p>
    <w:p w14:paraId="71EA62EA">
      <w:pPr>
        <w:tabs>
          <w:tab w:val="left" w:pos="567"/>
          <w:tab w:val="left" w:pos="2412"/>
          <w:tab w:val="left" w:pos="3883"/>
          <w:tab w:val="left" w:pos="5352"/>
          <w:tab w:val="left" w:pos="6821"/>
        </w:tabs>
        <w:spacing w:before="120" w:line="335" w:lineRule="exact"/>
        <w:ind w:firstLine="480"/>
        <w:rPr>
          <w:rFonts w:ascii="宋体" w:hAnsi="宋体" w:cs="宋体"/>
          <w:color w:val="auto"/>
          <w:sz w:val="24"/>
          <w:highlight w:val="none"/>
        </w:rPr>
      </w:pPr>
      <w:r>
        <w:rPr>
          <w:rFonts w:hint="eastAsia" w:ascii="宋体" w:hAnsi="宋体" w:cs="宋体"/>
          <w:color w:val="auto"/>
          <w:sz w:val="24"/>
          <w:highlight w:val="none"/>
        </w:rPr>
        <w:t>兹证明，</w:t>
      </w:r>
    </w:p>
    <w:p w14:paraId="2B36BECF">
      <w:pPr>
        <w:tabs>
          <w:tab w:val="left" w:pos="567"/>
          <w:tab w:val="left" w:pos="1690"/>
          <w:tab w:val="left" w:pos="3400"/>
          <w:tab w:val="left" w:pos="5110"/>
          <w:tab w:val="left" w:pos="6821"/>
        </w:tabs>
        <w:spacing w:before="120" w:line="335" w:lineRule="exact"/>
        <w:rPr>
          <w:rFonts w:ascii="宋体" w:hAnsi="宋体" w:cs="宋体"/>
          <w:color w:val="auto"/>
          <w:sz w:val="24"/>
          <w:highlight w:val="none"/>
        </w:rPr>
      </w:pPr>
      <w:r>
        <w:rPr>
          <w:rFonts w:hint="eastAsia" w:ascii="宋体" w:hAnsi="宋体" w:cs="宋体"/>
          <w:color w:val="auto"/>
          <w:sz w:val="24"/>
          <w:highlight w:val="none"/>
        </w:rPr>
        <w:t>姓名：____性别：____年龄：____职务：____</w:t>
      </w:r>
    </w:p>
    <w:p w14:paraId="79E53E27">
      <w:pPr>
        <w:tabs>
          <w:tab w:val="left" w:pos="567"/>
          <w:tab w:val="left" w:pos="2412"/>
          <w:tab w:val="left" w:pos="3883"/>
          <w:tab w:val="left" w:pos="5352"/>
          <w:tab w:val="left" w:pos="6821"/>
        </w:tabs>
        <w:spacing w:before="120" w:line="335" w:lineRule="exact"/>
        <w:rPr>
          <w:rFonts w:ascii="宋体" w:hAnsi="宋体" w:cs="宋体"/>
          <w:color w:val="auto"/>
          <w:sz w:val="24"/>
          <w:highlight w:val="none"/>
        </w:rPr>
      </w:pPr>
    </w:p>
    <w:p w14:paraId="2DFF5681">
      <w:pPr>
        <w:tabs>
          <w:tab w:val="left" w:pos="2250"/>
          <w:tab w:val="left" w:pos="2412"/>
          <w:tab w:val="left" w:pos="3883"/>
          <w:tab w:val="left" w:pos="5352"/>
          <w:tab w:val="left" w:pos="6821"/>
        </w:tabs>
        <w:spacing w:before="120" w:line="335" w:lineRule="exact"/>
        <w:rPr>
          <w:rFonts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ab/>
      </w:r>
      <w:r>
        <w:rPr>
          <w:rFonts w:hint="eastAsia" w:ascii="宋体" w:hAnsi="宋体" w:cs="宋体"/>
          <w:color w:val="auto"/>
          <w:sz w:val="24"/>
          <w:highlight w:val="none"/>
        </w:rPr>
        <w:t>（投标人名称）的法定代表人（单位负责人）。</w:t>
      </w:r>
    </w:p>
    <w:p w14:paraId="76326FE6">
      <w:pPr>
        <w:tabs>
          <w:tab w:val="left" w:pos="567"/>
          <w:tab w:val="left" w:pos="2412"/>
          <w:tab w:val="left" w:pos="3883"/>
          <w:tab w:val="left" w:pos="5352"/>
          <w:tab w:val="left" w:pos="6821"/>
        </w:tabs>
        <w:spacing w:before="120" w:line="335" w:lineRule="exact"/>
        <w:rPr>
          <w:rFonts w:ascii="宋体" w:hAnsi="宋体" w:cs="宋体"/>
          <w:color w:val="auto"/>
          <w:sz w:val="24"/>
          <w:highlight w:val="none"/>
        </w:rPr>
      </w:pPr>
    </w:p>
    <w:p w14:paraId="1F907040">
      <w:pPr>
        <w:tabs>
          <w:tab w:val="left" w:pos="567"/>
          <w:tab w:val="left" w:pos="2412"/>
          <w:tab w:val="left" w:pos="3883"/>
          <w:tab w:val="left" w:pos="5352"/>
          <w:tab w:val="left" w:pos="6821"/>
        </w:tabs>
        <w:spacing w:before="120" w:line="335" w:lineRule="exact"/>
        <w:rPr>
          <w:rFonts w:ascii="宋体" w:hAnsi="宋体" w:cs="宋体"/>
          <w:color w:val="auto"/>
          <w:sz w:val="24"/>
          <w:highlight w:val="none"/>
        </w:rPr>
      </w:pPr>
    </w:p>
    <w:p w14:paraId="571884EF">
      <w:pPr>
        <w:tabs>
          <w:tab w:val="left" w:pos="567"/>
          <w:tab w:val="left" w:pos="2412"/>
          <w:tab w:val="left" w:pos="3883"/>
          <w:tab w:val="left" w:pos="5352"/>
          <w:tab w:val="left" w:pos="6821"/>
        </w:tabs>
        <w:spacing w:before="120" w:line="335" w:lineRule="exact"/>
        <w:rPr>
          <w:rFonts w:ascii="宋体" w:hAnsi="宋体" w:cs="宋体"/>
          <w:color w:val="auto"/>
          <w:sz w:val="24"/>
          <w:highlight w:val="none"/>
        </w:rPr>
      </w:pPr>
    </w:p>
    <w:p w14:paraId="368B615C">
      <w:pPr>
        <w:tabs>
          <w:tab w:val="left" w:pos="567"/>
        </w:tabs>
        <w:spacing w:before="120" w:line="583" w:lineRule="auto"/>
        <w:ind w:right="-46"/>
        <w:rPr>
          <w:rFonts w:ascii="宋体" w:hAnsi="宋体" w:cs="宋体"/>
          <w:color w:val="auto"/>
          <w:spacing w:val="-3"/>
          <w:sz w:val="24"/>
          <w:highlight w:val="none"/>
        </w:rPr>
      </w:pPr>
      <w:r>
        <w:rPr>
          <w:rFonts w:hint="eastAsia" w:ascii="宋体" w:hAnsi="宋体" w:cs="宋体"/>
          <w:color w:val="auto"/>
          <w:sz w:val="24"/>
          <w:highlight w:val="none"/>
        </w:rPr>
        <w:t>附：</w:t>
      </w:r>
      <w:r>
        <w:rPr>
          <w:rFonts w:hint="eastAsia" w:ascii="宋体" w:hAnsi="宋体" w:cs="宋体"/>
          <w:color w:val="auto"/>
          <w:spacing w:val="-3"/>
          <w:sz w:val="24"/>
          <w:highlight w:val="none"/>
        </w:rPr>
        <w:t>法</w:t>
      </w:r>
      <w:r>
        <w:rPr>
          <w:rFonts w:hint="eastAsia" w:ascii="宋体" w:hAnsi="宋体" w:cs="宋体"/>
          <w:color w:val="auto"/>
          <w:sz w:val="24"/>
          <w:highlight w:val="none"/>
        </w:rPr>
        <w:t>定</w:t>
      </w:r>
      <w:r>
        <w:rPr>
          <w:rFonts w:hint="eastAsia" w:ascii="宋体" w:hAnsi="宋体" w:cs="宋体"/>
          <w:color w:val="auto"/>
          <w:spacing w:val="-3"/>
          <w:sz w:val="24"/>
          <w:highlight w:val="none"/>
        </w:rPr>
        <w:t>代</w:t>
      </w:r>
      <w:r>
        <w:rPr>
          <w:rFonts w:hint="eastAsia" w:ascii="宋体" w:hAnsi="宋体" w:cs="宋体"/>
          <w:color w:val="auto"/>
          <w:sz w:val="24"/>
          <w:highlight w:val="none"/>
        </w:rPr>
        <w:t>表</w:t>
      </w:r>
      <w:r>
        <w:rPr>
          <w:rFonts w:hint="eastAsia" w:ascii="宋体" w:hAnsi="宋体" w:cs="宋体"/>
          <w:color w:val="auto"/>
          <w:spacing w:val="-3"/>
          <w:sz w:val="24"/>
          <w:highlight w:val="none"/>
        </w:rPr>
        <w:t>人</w:t>
      </w:r>
      <w:r>
        <w:rPr>
          <w:rFonts w:hint="eastAsia" w:ascii="宋体" w:hAnsi="宋体" w:cs="宋体"/>
          <w:color w:val="auto"/>
          <w:sz w:val="24"/>
          <w:highlight w:val="none"/>
        </w:rPr>
        <w:t>（</w:t>
      </w:r>
      <w:r>
        <w:rPr>
          <w:rFonts w:hint="eastAsia" w:ascii="宋体" w:hAnsi="宋体" w:cs="宋体"/>
          <w:color w:val="auto"/>
          <w:spacing w:val="-3"/>
          <w:sz w:val="24"/>
          <w:highlight w:val="none"/>
        </w:rPr>
        <w:t>单</w:t>
      </w:r>
      <w:r>
        <w:rPr>
          <w:rFonts w:hint="eastAsia" w:ascii="宋体" w:hAnsi="宋体" w:cs="宋体"/>
          <w:color w:val="auto"/>
          <w:sz w:val="24"/>
          <w:highlight w:val="none"/>
        </w:rPr>
        <w:t>位</w:t>
      </w:r>
      <w:r>
        <w:rPr>
          <w:rFonts w:hint="eastAsia" w:ascii="宋体" w:hAnsi="宋体" w:cs="宋体"/>
          <w:color w:val="auto"/>
          <w:spacing w:val="-3"/>
          <w:sz w:val="24"/>
          <w:highlight w:val="none"/>
        </w:rPr>
        <w:t>负</w:t>
      </w:r>
      <w:r>
        <w:rPr>
          <w:rFonts w:hint="eastAsia" w:ascii="宋体" w:hAnsi="宋体" w:cs="宋体"/>
          <w:color w:val="auto"/>
          <w:sz w:val="24"/>
          <w:highlight w:val="none"/>
        </w:rPr>
        <w:t>责人</w:t>
      </w:r>
      <w:r>
        <w:rPr>
          <w:rFonts w:hint="eastAsia" w:ascii="宋体" w:hAnsi="宋体" w:cs="宋体"/>
          <w:color w:val="auto"/>
          <w:spacing w:val="-3"/>
          <w:sz w:val="24"/>
          <w:highlight w:val="none"/>
        </w:rPr>
        <w:t>）有效期内的身份证正反面电子件。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9587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5C09A04F">
            <w:pPr>
              <w:tabs>
                <w:tab w:val="left" w:pos="5580"/>
              </w:tabs>
              <w:spacing w:line="360" w:lineRule="auto"/>
              <w:jc w:val="left"/>
              <w:rPr>
                <w:rFonts w:ascii="宋体" w:hAnsi="宋体" w:cs="宋体"/>
                <w:color w:val="auto"/>
                <w:sz w:val="24"/>
                <w:szCs w:val="20"/>
                <w:highlight w:val="none"/>
              </w:rPr>
            </w:pPr>
          </w:p>
          <w:p w14:paraId="2F2B122C">
            <w:pPr>
              <w:tabs>
                <w:tab w:val="left" w:pos="5580"/>
              </w:tabs>
              <w:spacing w:line="360" w:lineRule="auto"/>
              <w:jc w:val="left"/>
              <w:rPr>
                <w:rFonts w:ascii="宋体" w:hAnsi="宋体" w:cs="宋体"/>
                <w:color w:val="auto"/>
                <w:sz w:val="24"/>
                <w:szCs w:val="20"/>
                <w:highlight w:val="none"/>
              </w:rPr>
            </w:pPr>
          </w:p>
          <w:p w14:paraId="3844E4BB">
            <w:pPr>
              <w:tabs>
                <w:tab w:val="left" w:pos="5580"/>
              </w:tabs>
              <w:spacing w:line="360" w:lineRule="auto"/>
              <w:jc w:val="left"/>
              <w:rPr>
                <w:rFonts w:ascii="宋体" w:hAnsi="宋体" w:cs="宋体"/>
                <w:color w:val="auto"/>
                <w:sz w:val="24"/>
                <w:szCs w:val="20"/>
                <w:highlight w:val="none"/>
              </w:rPr>
            </w:pPr>
          </w:p>
        </w:tc>
        <w:tc>
          <w:tcPr>
            <w:tcW w:w="4536" w:type="dxa"/>
          </w:tcPr>
          <w:p w14:paraId="56D319BC">
            <w:pPr>
              <w:tabs>
                <w:tab w:val="left" w:pos="5580"/>
              </w:tabs>
              <w:spacing w:line="360" w:lineRule="auto"/>
              <w:jc w:val="left"/>
              <w:rPr>
                <w:rFonts w:ascii="宋体" w:hAnsi="宋体" w:cs="宋体"/>
                <w:color w:val="auto"/>
                <w:sz w:val="24"/>
                <w:szCs w:val="20"/>
                <w:highlight w:val="none"/>
              </w:rPr>
            </w:pPr>
          </w:p>
          <w:p w14:paraId="4260415A">
            <w:pPr>
              <w:tabs>
                <w:tab w:val="left" w:pos="5580"/>
              </w:tabs>
              <w:spacing w:line="360" w:lineRule="auto"/>
              <w:jc w:val="left"/>
              <w:rPr>
                <w:rFonts w:ascii="宋体" w:hAnsi="宋体" w:cs="宋体"/>
                <w:color w:val="auto"/>
                <w:sz w:val="24"/>
                <w:szCs w:val="20"/>
                <w:highlight w:val="none"/>
              </w:rPr>
            </w:pPr>
          </w:p>
          <w:p w14:paraId="31BB795A">
            <w:pPr>
              <w:tabs>
                <w:tab w:val="left" w:pos="5580"/>
              </w:tabs>
              <w:spacing w:line="360" w:lineRule="auto"/>
              <w:jc w:val="left"/>
              <w:rPr>
                <w:rFonts w:ascii="宋体" w:hAnsi="宋体" w:cs="宋体"/>
                <w:color w:val="auto"/>
                <w:sz w:val="24"/>
                <w:szCs w:val="20"/>
                <w:highlight w:val="none"/>
              </w:rPr>
            </w:pPr>
          </w:p>
        </w:tc>
      </w:tr>
    </w:tbl>
    <w:p w14:paraId="20FEFEF5">
      <w:pPr>
        <w:tabs>
          <w:tab w:val="left" w:pos="567"/>
        </w:tabs>
        <w:spacing w:before="120" w:line="583" w:lineRule="auto"/>
        <w:ind w:right="4305"/>
        <w:rPr>
          <w:rFonts w:ascii="宋体" w:hAnsi="宋体" w:cs="宋体"/>
          <w:color w:val="auto"/>
          <w:spacing w:val="-3"/>
          <w:sz w:val="24"/>
          <w:highlight w:val="none"/>
        </w:rPr>
      </w:pPr>
    </w:p>
    <w:p w14:paraId="78F8A83A">
      <w:pPr>
        <w:tabs>
          <w:tab w:val="left" w:pos="567"/>
        </w:tabs>
        <w:spacing w:before="120" w:line="583" w:lineRule="auto"/>
        <w:ind w:right="4305"/>
        <w:rPr>
          <w:rFonts w:ascii="宋体" w:hAnsi="宋体" w:cs="宋体"/>
          <w:color w:val="auto"/>
          <w:spacing w:val="-3"/>
          <w:sz w:val="24"/>
          <w:highlight w:val="none"/>
        </w:rPr>
      </w:pPr>
    </w:p>
    <w:p w14:paraId="1615DBEC">
      <w:pPr>
        <w:spacing w:line="360" w:lineRule="auto"/>
        <w:rPr>
          <w:rFonts w:ascii="宋体" w:hAnsi="宋体" w:cs="宋体"/>
          <w:color w:val="auto"/>
          <w:sz w:val="24"/>
          <w:highlight w:val="none"/>
          <w:lang w:val="zh-CN"/>
        </w:rPr>
      </w:pPr>
      <w:r>
        <w:rPr>
          <w:rFonts w:hint="eastAsia" w:ascii="宋体" w:hAnsi="宋体" w:cs="宋体"/>
          <w:color w:val="auto"/>
          <w:sz w:val="24"/>
          <w:highlight w:val="none"/>
        </w:rPr>
        <w:t>投标人名称（加盖公章）</w:t>
      </w:r>
      <w:r>
        <w:rPr>
          <w:rFonts w:hint="eastAsia" w:ascii="宋体" w:hAnsi="宋体" w:cs="宋体"/>
          <w:color w:val="auto"/>
          <w:sz w:val="24"/>
          <w:highlight w:val="none"/>
          <w:lang w:val="zh-CN"/>
        </w:rPr>
        <w:t>：________________</w:t>
      </w:r>
    </w:p>
    <w:p w14:paraId="2ECAD3FA">
      <w:pPr>
        <w:tabs>
          <w:tab w:val="left" w:pos="567"/>
        </w:tabs>
        <w:spacing w:before="120" w:line="583" w:lineRule="auto"/>
        <w:ind w:right="95"/>
        <w:rPr>
          <w:rFonts w:ascii="宋体" w:hAnsi="宋体" w:cs="宋体"/>
          <w:color w:val="auto"/>
          <w:spacing w:val="-3"/>
          <w:sz w:val="24"/>
          <w:highlight w:val="none"/>
        </w:rPr>
      </w:pPr>
      <w:r>
        <w:rPr>
          <w:rFonts w:hint="eastAsia" w:ascii="宋体" w:hAnsi="宋体" w:cs="宋体"/>
          <w:color w:val="auto"/>
          <w:spacing w:val="-3"/>
          <w:sz w:val="24"/>
          <w:highlight w:val="none"/>
        </w:rPr>
        <w:t>法定代表人（</w:t>
      </w:r>
      <w:r>
        <w:rPr>
          <w:rFonts w:hint="eastAsia" w:ascii="宋体" w:hAnsi="宋体" w:cs="宋体"/>
          <w:color w:val="auto"/>
          <w:sz w:val="24"/>
          <w:highlight w:val="none"/>
        </w:rPr>
        <w:t>单位负责人</w:t>
      </w:r>
      <w:r>
        <w:rPr>
          <w:rFonts w:hint="eastAsia" w:ascii="宋体" w:hAnsi="宋体" w:cs="宋体"/>
          <w:color w:val="auto"/>
          <w:spacing w:val="-3"/>
          <w:sz w:val="24"/>
          <w:highlight w:val="none"/>
        </w:rPr>
        <w:t>）（签字、签章或印鉴）：_______</w:t>
      </w:r>
    </w:p>
    <w:p w14:paraId="10F3BEDE">
      <w:pPr>
        <w:spacing w:line="360" w:lineRule="auto"/>
        <w:rPr>
          <w:rFonts w:ascii="宋体" w:hAnsi="宋体" w:cs="宋体"/>
          <w:color w:val="auto"/>
          <w:sz w:val="24"/>
          <w:highlight w:val="none"/>
        </w:rPr>
      </w:pPr>
    </w:p>
    <w:p w14:paraId="350C853F">
      <w:pPr>
        <w:spacing w:line="360" w:lineRule="auto"/>
        <w:rPr>
          <w:rFonts w:ascii="宋体" w:hAnsi="宋体" w:cs="宋体"/>
          <w:color w:val="auto"/>
          <w:sz w:val="24"/>
          <w:highlight w:val="none"/>
          <w:lang w:val="zh-CN"/>
        </w:rPr>
      </w:pPr>
      <w:r>
        <w:rPr>
          <w:rFonts w:hint="eastAsia" w:ascii="宋体" w:hAnsi="宋体" w:cs="宋体"/>
          <w:color w:val="auto"/>
          <w:sz w:val="24"/>
          <w:highlight w:val="none"/>
        </w:rPr>
        <w:t>日期：_____年______月______日</w:t>
      </w:r>
    </w:p>
    <w:p w14:paraId="45C2D863">
      <w:pPr>
        <w:pStyle w:val="3"/>
        <w:spacing w:before="0" w:after="0"/>
        <w:rPr>
          <w:rFonts w:ascii="宋体" w:hAnsi="宋体" w:eastAsia="宋体" w:cs="宋体"/>
          <w:color w:val="auto"/>
          <w:highlight w:val="none"/>
        </w:rPr>
      </w:pPr>
      <w:r>
        <w:rPr>
          <w:rFonts w:hint="eastAsia" w:ascii="宋体" w:hAnsi="宋体" w:eastAsia="宋体" w:cs="宋体"/>
          <w:color w:val="auto"/>
          <w:sz w:val="24"/>
          <w:highlight w:val="none"/>
        </w:rPr>
        <w:br w:type="page" w:clear="all"/>
      </w:r>
      <w:bookmarkStart w:id="281" w:name="_Toc28033"/>
      <w:r>
        <w:rPr>
          <w:rFonts w:hint="eastAsia" w:ascii="宋体" w:hAnsi="宋体" w:eastAsia="宋体" w:cs="宋体"/>
          <w:color w:val="auto"/>
          <w:sz w:val="24"/>
          <w:highlight w:val="none"/>
        </w:rPr>
        <w:t>格式1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商务条款偏离表</w:t>
      </w:r>
      <w:bookmarkEnd w:id="281"/>
    </w:p>
    <w:p w14:paraId="79180A9F">
      <w:pPr>
        <w:jc w:val="center"/>
        <w:rPr>
          <w:rFonts w:ascii="宋体" w:hAnsi="宋体" w:cs="宋体"/>
          <w:color w:val="auto"/>
          <w:sz w:val="36"/>
          <w:szCs w:val="28"/>
          <w:highlight w:val="none"/>
        </w:rPr>
      </w:pPr>
      <w:r>
        <w:rPr>
          <w:rFonts w:hint="eastAsia" w:ascii="宋体" w:hAnsi="宋体" w:cs="宋体"/>
          <w:color w:val="auto"/>
          <w:sz w:val="36"/>
          <w:szCs w:val="28"/>
          <w:highlight w:val="none"/>
        </w:rPr>
        <w:t>商务条款偏离表</w:t>
      </w:r>
    </w:p>
    <w:p w14:paraId="3AF1151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请逐条对应采购文件“项目需求”等内容要求的商务条件，填写该表。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602"/>
        <w:gridCol w:w="2746"/>
        <w:gridCol w:w="2293"/>
      </w:tblGrid>
      <w:tr w14:paraId="73FA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vAlign w:val="center"/>
          </w:tcPr>
          <w:p w14:paraId="25EAB86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项号</w:t>
            </w:r>
          </w:p>
        </w:tc>
        <w:tc>
          <w:tcPr>
            <w:tcW w:w="2602" w:type="dxa"/>
            <w:vAlign w:val="center"/>
          </w:tcPr>
          <w:p w14:paraId="51D5E38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采购文件的商务条款</w:t>
            </w:r>
          </w:p>
        </w:tc>
        <w:tc>
          <w:tcPr>
            <w:tcW w:w="2746" w:type="dxa"/>
            <w:vAlign w:val="center"/>
          </w:tcPr>
          <w:p w14:paraId="4BFCC2A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响应文件的商务条款</w:t>
            </w:r>
          </w:p>
        </w:tc>
        <w:tc>
          <w:tcPr>
            <w:tcW w:w="2293" w:type="dxa"/>
            <w:vAlign w:val="center"/>
          </w:tcPr>
          <w:p w14:paraId="500E5D35">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478B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4D49EF78">
            <w:pPr>
              <w:spacing w:line="360" w:lineRule="auto"/>
              <w:ind w:firstLine="480"/>
              <w:jc w:val="center"/>
              <w:rPr>
                <w:rFonts w:ascii="宋体" w:hAnsi="宋体" w:cs="宋体"/>
                <w:color w:val="auto"/>
                <w:sz w:val="24"/>
                <w:highlight w:val="none"/>
              </w:rPr>
            </w:pPr>
          </w:p>
        </w:tc>
        <w:tc>
          <w:tcPr>
            <w:tcW w:w="2602" w:type="dxa"/>
          </w:tcPr>
          <w:p w14:paraId="0CFF24C4">
            <w:pPr>
              <w:spacing w:line="360" w:lineRule="auto"/>
              <w:ind w:firstLine="480"/>
              <w:jc w:val="center"/>
              <w:rPr>
                <w:rFonts w:ascii="宋体" w:hAnsi="宋体" w:cs="宋体"/>
                <w:color w:val="auto"/>
                <w:sz w:val="24"/>
                <w:highlight w:val="none"/>
              </w:rPr>
            </w:pPr>
          </w:p>
        </w:tc>
        <w:tc>
          <w:tcPr>
            <w:tcW w:w="2746" w:type="dxa"/>
          </w:tcPr>
          <w:p w14:paraId="47D20AA6">
            <w:pPr>
              <w:spacing w:line="360" w:lineRule="auto"/>
              <w:ind w:firstLine="480"/>
              <w:jc w:val="center"/>
              <w:rPr>
                <w:rFonts w:ascii="宋体" w:hAnsi="宋体" w:cs="宋体"/>
                <w:color w:val="auto"/>
                <w:sz w:val="24"/>
                <w:highlight w:val="none"/>
              </w:rPr>
            </w:pPr>
          </w:p>
        </w:tc>
        <w:tc>
          <w:tcPr>
            <w:tcW w:w="2293" w:type="dxa"/>
          </w:tcPr>
          <w:p w14:paraId="2B36C08C">
            <w:pPr>
              <w:spacing w:line="360" w:lineRule="auto"/>
              <w:ind w:firstLine="480"/>
              <w:jc w:val="center"/>
              <w:rPr>
                <w:rFonts w:ascii="宋体" w:hAnsi="宋体" w:cs="宋体"/>
                <w:color w:val="auto"/>
                <w:sz w:val="24"/>
                <w:highlight w:val="none"/>
              </w:rPr>
            </w:pPr>
          </w:p>
        </w:tc>
      </w:tr>
      <w:tr w14:paraId="4A076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2CA2FF21">
            <w:pPr>
              <w:spacing w:line="360" w:lineRule="auto"/>
              <w:ind w:firstLine="480"/>
              <w:jc w:val="center"/>
              <w:rPr>
                <w:rFonts w:ascii="宋体" w:hAnsi="宋体" w:cs="宋体"/>
                <w:color w:val="auto"/>
                <w:sz w:val="24"/>
                <w:highlight w:val="none"/>
              </w:rPr>
            </w:pPr>
          </w:p>
        </w:tc>
        <w:tc>
          <w:tcPr>
            <w:tcW w:w="2602" w:type="dxa"/>
          </w:tcPr>
          <w:p w14:paraId="2F6E00B6">
            <w:pPr>
              <w:spacing w:line="360" w:lineRule="auto"/>
              <w:ind w:firstLine="480"/>
              <w:jc w:val="center"/>
              <w:rPr>
                <w:rFonts w:ascii="宋体" w:hAnsi="宋体" w:cs="宋体"/>
                <w:color w:val="auto"/>
                <w:sz w:val="24"/>
                <w:highlight w:val="none"/>
              </w:rPr>
            </w:pPr>
          </w:p>
        </w:tc>
        <w:tc>
          <w:tcPr>
            <w:tcW w:w="2746" w:type="dxa"/>
          </w:tcPr>
          <w:p w14:paraId="6844C6F7">
            <w:pPr>
              <w:spacing w:line="360" w:lineRule="auto"/>
              <w:ind w:firstLine="480"/>
              <w:jc w:val="center"/>
              <w:rPr>
                <w:rFonts w:ascii="宋体" w:hAnsi="宋体" w:cs="宋体"/>
                <w:color w:val="auto"/>
                <w:sz w:val="24"/>
                <w:highlight w:val="none"/>
              </w:rPr>
            </w:pPr>
          </w:p>
        </w:tc>
        <w:tc>
          <w:tcPr>
            <w:tcW w:w="2293" w:type="dxa"/>
          </w:tcPr>
          <w:p w14:paraId="1DEA7538">
            <w:pPr>
              <w:spacing w:line="360" w:lineRule="auto"/>
              <w:ind w:firstLine="480"/>
              <w:jc w:val="center"/>
              <w:rPr>
                <w:rFonts w:ascii="宋体" w:hAnsi="宋体" w:cs="宋体"/>
                <w:color w:val="auto"/>
                <w:sz w:val="24"/>
                <w:highlight w:val="none"/>
              </w:rPr>
            </w:pPr>
          </w:p>
        </w:tc>
      </w:tr>
      <w:tr w14:paraId="3236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5D3EED7D">
            <w:pPr>
              <w:spacing w:line="360" w:lineRule="auto"/>
              <w:ind w:firstLine="480"/>
              <w:jc w:val="center"/>
              <w:rPr>
                <w:rFonts w:ascii="宋体" w:hAnsi="宋体" w:cs="宋体"/>
                <w:color w:val="auto"/>
                <w:sz w:val="24"/>
                <w:highlight w:val="none"/>
              </w:rPr>
            </w:pPr>
          </w:p>
        </w:tc>
        <w:tc>
          <w:tcPr>
            <w:tcW w:w="2602" w:type="dxa"/>
          </w:tcPr>
          <w:p w14:paraId="0BDCE6A7">
            <w:pPr>
              <w:spacing w:line="360" w:lineRule="auto"/>
              <w:ind w:firstLine="480"/>
              <w:jc w:val="center"/>
              <w:rPr>
                <w:rFonts w:ascii="宋体" w:hAnsi="宋体" w:cs="宋体"/>
                <w:color w:val="auto"/>
                <w:sz w:val="24"/>
                <w:highlight w:val="none"/>
              </w:rPr>
            </w:pPr>
          </w:p>
        </w:tc>
        <w:tc>
          <w:tcPr>
            <w:tcW w:w="2746" w:type="dxa"/>
          </w:tcPr>
          <w:p w14:paraId="0F9DB672">
            <w:pPr>
              <w:spacing w:line="360" w:lineRule="auto"/>
              <w:ind w:firstLine="480"/>
              <w:jc w:val="center"/>
              <w:rPr>
                <w:rFonts w:ascii="宋体" w:hAnsi="宋体" w:cs="宋体"/>
                <w:color w:val="auto"/>
                <w:sz w:val="24"/>
                <w:highlight w:val="none"/>
              </w:rPr>
            </w:pPr>
          </w:p>
        </w:tc>
        <w:tc>
          <w:tcPr>
            <w:tcW w:w="2293" w:type="dxa"/>
          </w:tcPr>
          <w:p w14:paraId="454ECD2B">
            <w:pPr>
              <w:spacing w:line="360" w:lineRule="auto"/>
              <w:ind w:firstLine="480"/>
              <w:jc w:val="center"/>
              <w:rPr>
                <w:rFonts w:ascii="宋体" w:hAnsi="宋体" w:cs="宋体"/>
                <w:color w:val="auto"/>
                <w:sz w:val="24"/>
                <w:highlight w:val="none"/>
              </w:rPr>
            </w:pPr>
          </w:p>
        </w:tc>
      </w:tr>
      <w:tr w14:paraId="1BEDB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5176FC56">
            <w:pPr>
              <w:spacing w:line="360" w:lineRule="auto"/>
              <w:ind w:firstLine="480"/>
              <w:jc w:val="center"/>
              <w:rPr>
                <w:rFonts w:ascii="宋体" w:hAnsi="宋体" w:cs="宋体"/>
                <w:color w:val="auto"/>
                <w:sz w:val="24"/>
                <w:highlight w:val="none"/>
              </w:rPr>
            </w:pPr>
          </w:p>
        </w:tc>
        <w:tc>
          <w:tcPr>
            <w:tcW w:w="2602" w:type="dxa"/>
          </w:tcPr>
          <w:p w14:paraId="66AB6F6D">
            <w:pPr>
              <w:spacing w:line="360" w:lineRule="auto"/>
              <w:ind w:firstLine="480"/>
              <w:jc w:val="center"/>
              <w:rPr>
                <w:rFonts w:ascii="宋体" w:hAnsi="宋体" w:cs="宋体"/>
                <w:color w:val="auto"/>
                <w:sz w:val="24"/>
                <w:highlight w:val="none"/>
              </w:rPr>
            </w:pPr>
          </w:p>
        </w:tc>
        <w:tc>
          <w:tcPr>
            <w:tcW w:w="2746" w:type="dxa"/>
          </w:tcPr>
          <w:p w14:paraId="761F0B76">
            <w:pPr>
              <w:spacing w:line="360" w:lineRule="auto"/>
              <w:ind w:firstLine="480"/>
              <w:jc w:val="center"/>
              <w:rPr>
                <w:rFonts w:ascii="宋体" w:hAnsi="宋体" w:cs="宋体"/>
                <w:color w:val="auto"/>
                <w:sz w:val="24"/>
                <w:highlight w:val="none"/>
              </w:rPr>
            </w:pPr>
          </w:p>
        </w:tc>
        <w:tc>
          <w:tcPr>
            <w:tcW w:w="2293" w:type="dxa"/>
          </w:tcPr>
          <w:p w14:paraId="55E0B02A">
            <w:pPr>
              <w:spacing w:line="360" w:lineRule="auto"/>
              <w:ind w:firstLine="480"/>
              <w:jc w:val="center"/>
              <w:rPr>
                <w:rFonts w:ascii="宋体" w:hAnsi="宋体" w:cs="宋体"/>
                <w:color w:val="auto"/>
                <w:sz w:val="24"/>
                <w:highlight w:val="none"/>
              </w:rPr>
            </w:pPr>
          </w:p>
        </w:tc>
      </w:tr>
      <w:tr w14:paraId="69B06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0BD29B86">
            <w:pPr>
              <w:spacing w:line="360" w:lineRule="auto"/>
              <w:ind w:firstLine="480"/>
              <w:jc w:val="center"/>
              <w:rPr>
                <w:rFonts w:ascii="宋体" w:hAnsi="宋体" w:cs="宋体"/>
                <w:color w:val="auto"/>
                <w:sz w:val="24"/>
                <w:highlight w:val="none"/>
              </w:rPr>
            </w:pPr>
          </w:p>
        </w:tc>
        <w:tc>
          <w:tcPr>
            <w:tcW w:w="2602" w:type="dxa"/>
          </w:tcPr>
          <w:p w14:paraId="3857DF6F">
            <w:pPr>
              <w:spacing w:line="360" w:lineRule="auto"/>
              <w:ind w:firstLine="480"/>
              <w:jc w:val="center"/>
              <w:rPr>
                <w:rFonts w:ascii="宋体" w:hAnsi="宋体" w:cs="宋体"/>
                <w:color w:val="auto"/>
                <w:sz w:val="24"/>
                <w:highlight w:val="none"/>
              </w:rPr>
            </w:pPr>
          </w:p>
        </w:tc>
        <w:tc>
          <w:tcPr>
            <w:tcW w:w="2746" w:type="dxa"/>
          </w:tcPr>
          <w:p w14:paraId="739E4A3D">
            <w:pPr>
              <w:spacing w:line="360" w:lineRule="auto"/>
              <w:ind w:firstLine="480"/>
              <w:jc w:val="center"/>
              <w:rPr>
                <w:rFonts w:ascii="宋体" w:hAnsi="宋体" w:cs="宋体"/>
                <w:color w:val="auto"/>
                <w:sz w:val="24"/>
                <w:highlight w:val="none"/>
              </w:rPr>
            </w:pPr>
          </w:p>
        </w:tc>
        <w:tc>
          <w:tcPr>
            <w:tcW w:w="2293" w:type="dxa"/>
          </w:tcPr>
          <w:p w14:paraId="79996529">
            <w:pPr>
              <w:spacing w:line="360" w:lineRule="auto"/>
              <w:ind w:firstLine="480"/>
              <w:jc w:val="center"/>
              <w:rPr>
                <w:rFonts w:ascii="宋体" w:hAnsi="宋体" w:cs="宋体"/>
                <w:color w:val="auto"/>
                <w:sz w:val="24"/>
                <w:highlight w:val="none"/>
              </w:rPr>
            </w:pPr>
          </w:p>
        </w:tc>
      </w:tr>
      <w:tr w14:paraId="0B22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5F3942DA">
            <w:pPr>
              <w:spacing w:line="360" w:lineRule="auto"/>
              <w:ind w:firstLine="480"/>
              <w:jc w:val="center"/>
              <w:rPr>
                <w:rFonts w:ascii="宋体" w:hAnsi="宋体" w:cs="宋体"/>
                <w:color w:val="auto"/>
                <w:sz w:val="24"/>
                <w:highlight w:val="none"/>
              </w:rPr>
            </w:pPr>
          </w:p>
        </w:tc>
        <w:tc>
          <w:tcPr>
            <w:tcW w:w="2602" w:type="dxa"/>
          </w:tcPr>
          <w:p w14:paraId="593C0058">
            <w:pPr>
              <w:spacing w:line="360" w:lineRule="auto"/>
              <w:ind w:firstLine="480"/>
              <w:jc w:val="center"/>
              <w:rPr>
                <w:rFonts w:ascii="宋体" w:hAnsi="宋体" w:cs="宋体"/>
                <w:color w:val="auto"/>
                <w:sz w:val="24"/>
                <w:highlight w:val="none"/>
              </w:rPr>
            </w:pPr>
          </w:p>
        </w:tc>
        <w:tc>
          <w:tcPr>
            <w:tcW w:w="2746" w:type="dxa"/>
          </w:tcPr>
          <w:p w14:paraId="10F6919A">
            <w:pPr>
              <w:spacing w:line="360" w:lineRule="auto"/>
              <w:ind w:firstLine="480"/>
              <w:jc w:val="center"/>
              <w:rPr>
                <w:rFonts w:ascii="宋体" w:hAnsi="宋体" w:cs="宋体"/>
                <w:color w:val="auto"/>
                <w:sz w:val="24"/>
                <w:highlight w:val="none"/>
              </w:rPr>
            </w:pPr>
          </w:p>
        </w:tc>
        <w:tc>
          <w:tcPr>
            <w:tcW w:w="2293" w:type="dxa"/>
          </w:tcPr>
          <w:p w14:paraId="6673B310">
            <w:pPr>
              <w:spacing w:line="360" w:lineRule="auto"/>
              <w:ind w:firstLine="480"/>
              <w:jc w:val="center"/>
              <w:rPr>
                <w:rFonts w:ascii="宋体" w:hAnsi="宋体" w:cs="宋体"/>
                <w:color w:val="auto"/>
                <w:sz w:val="24"/>
                <w:highlight w:val="none"/>
              </w:rPr>
            </w:pPr>
          </w:p>
        </w:tc>
      </w:tr>
      <w:tr w14:paraId="748A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5EA8FE33">
            <w:pPr>
              <w:spacing w:line="360" w:lineRule="auto"/>
              <w:ind w:firstLine="480"/>
              <w:jc w:val="center"/>
              <w:rPr>
                <w:rFonts w:ascii="宋体" w:hAnsi="宋体" w:cs="宋体"/>
                <w:color w:val="auto"/>
                <w:sz w:val="24"/>
                <w:highlight w:val="none"/>
              </w:rPr>
            </w:pPr>
          </w:p>
        </w:tc>
        <w:tc>
          <w:tcPr>
            <w:tcW w:w="2602" w:type="dxa"/>
          </w:tcPr>
          <w:p w14:paraId="7FBE90C8">
            <w:pPr>
              <w:spacing w:line="360" w:lineRule="auto"/>
              <w:ind w:firstLine="480"/>
              <w:jc w:val="center"/>
              <w:rPr>
                <w:rFonts w:ascii="宋体" w:hAnsi="宋体" w:cs="宋体"/>
                <w:color w:val="auto"/>
                <w:sz w:val="24"/>
                <w:highlight w:val="none"/>
              </w:rPr>
            </w:pPr>
          </w:p>
        </w:tc>
        <w:tc>
          <w:tcPr>
            <w:tcW w:w="2746" w:type="dxa"/>
          </w:tcPr>
          <w:p w14:paraId="3D7C493D">
            <w:pPr>
              <w:spacing w:line="360" w:lineRule="auto"/>
              <w:ind w:firstLine="480"/>
              <w:jc w:val="center"/>
              <w:rPr>
                <w:rFonts w:ascii="宋体" w:hAnsi="宋体" w:cs="宋体"/>
                <w:color w:val="auto"/>
                <w:sz w:val="24"/>
                <w:highlight w:val="none"/>
              </w:rPr>
            </w:pPr>
          </w:p>
        </w:tc>
        <w:tc>
          <w:tcPr>
            <w:tcW w:w="2293" w:type="dxa"/>
          </w:tcPr>
          <w:p w14:paraId="14F1B087">
            <w:pPr>
              <w:spacing w:line="360" w:lineRule="auto"/>
              <w:ind w:firstLine="480"/>
              <w:jc w:val="center"/>
              <w:rPr>
                <w:rFonts w:ascii="宋体" w:hAnsi="宋体" w:cs="宋体"/>
                <w:color w:val="auto"/>
                <w:sz w:val="24"/>
                <w:highlight w:val="none"/>
              </w:rPr>
            </w:pPr>
          </w:p>
        </w:tc>
      </w:tr>
      <w:tr w14:paraId="67D6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70EE2A6C">
            <w:pPr>
              <w:spacing w:line="360" w:lineRule="auto"/>
              <w:ind w:firstLine="480"/>
              <w:jc w:val="center"/>
              <w:rPr>
                <w:rFonts w:ascii="宋体" w:hAnsi="宋体" w:cs="宋体"/>
                <w:color w:val="auto"/>
                <w:sz w:val="24"/>
                <w:highlight w:val="none"/>
              </w:rPr>
            </w:pPr>
          </w:p>
        </w:tc>
        <w:tc>
          <w:tcPr>
            <w:tcW w:w="2602" w:type="dxa"/>
          </w:tcPr>
          <w:p w14:paraId="56C1650E">
            <w:pPr>
              <w:spacing w:line="360" w:lineRule="auto"/>
              <w:ind w:firstLine="480"/>
              <w:jc w:val="center"/>
              <w:rPr>
                <w:rFonts w:ascii="宋体" w:hAnsi="宋体" w:cs="宋体"/>
                <w:color w:val="auto"/>
                <w:sz w:val="24"/>
                <w:highlight w:val="none"/>
              </w:rPr>
            </w:pPr>
          </w:p>
        </w:tc>
        <w:tc>
          <w:tcPr>
            <w:tcW w:w="2746" w:type="dxa"/>
          </w:tcPr>
          <w:p w14:paraId="3AE2C459">
            <w:pPr>
              <w:spacing w:line="360" w:lineRule="auto"/>
              <w:ind w:firstLine="480"/>
              <w:jc w:val="center"/>
              <w:rPr>
                <w:rFonts w:ascii="宋体" w:hAnsi="宋体" w:cs="宋体"/>
                <w:color w:val="auto"/>
                <w:sz w:val="24"/>
                <w:highlight w:val="none"/>
              </w:rPr>
            </w:pPr>
          </w:p>
        </w:tc>
        <w:tc>
          <w:tcPr>
            <w:tcW w:w="2293" w:type="dxa"/>
          </w:tcPr>
          <w:p w14:paraId="76DD7796">
            <w:pPr>
              <w:spacing w:line="360" w:lineRule="auto"/>
              <w:ind w:firstLine="480"/>
              <w:jc w:val="center"/>
              <w:rPr>
                <w:rFonts w:ascii="宋体" w:hAnsi="宋体" w:cs="宋体"/>
                <w:color w:val="auto"/>
                <w:sz w:val="24"/>
                <w:highlight w:val="none"/>
              </w:rPr>
            </w:pPr>
          </w:p>
        </w:tc>
      </w:tr>
      <w:tr w14:paraId="4720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66BC4E7E">
            <w:pPr>
              <w:spacing w:line="360" w:lineRule="auto"/>
              <w:ind w:firstLine="480"/>
              <w:jc w:val="center"/>
              <w:rPr>
                <w:rFonts w:ascii="宋体" w:hAnsi="宋体" w:cs="宋体"/>
                <w:color w:val="auto"/>
                <w:sz w:val="24"/>
                <w:highlight w:val="none"/>
              </w:rPr>
            </w:pPr>
          </w:p>
        </w:tc>
        <w:tc>
          <w:tcPr>
            <w:tcW w:w="2602" w:type="dxa"/>
          </w:tcPr>
          <w:p w14:paraId="2A51F6C6">
            <w:pPr>
              <w:spacing w:line="360" w:lineRule="auto"/>
              <w:ind w:firstLine="480"/>
              <w:jc w:val="center"/>
              <w:rPr>
                <w:rFonts w:ascii="宋体" w:hAnsi="宋体" w:cs="宋体"/>
                <w:color w:val="auto"/>
                <w:sz w:val="24"/>
                <w:highlight w:val="none"/>
              </w:rPr>
            </w:pPr>
          </w:p>
        </w:tc>
        <w:tc>
          <w:tcPr>
            <w:tcW w:w="2746" w:type="dxa"/>
          </w:tcPr>
          <w:p w14:paraId="757C7357">
            <w:pPr>
              <w:spacing w:line="360" w:lineRule="auto"/>
              <w:ind w:firstLine="480"/>
              <w:jc w:val="center"/>
              <w:rPr>
                <w:rFonts w:ascii="宋体" w:hAnsi="宋体" w:cs="宋体"/>
                <w:color w:val="auto"/>
                <w:sz w:val="24"/>
                <w:highlight w:val="none"/>
              </w:rPr>
            </w:pPr>
          </w:p>
        </w:tc>
        <w:tc>
          <w:tcPr>
            <w:tcW w:w="2293" w:type="dxa"/>
          </w:tcPr>
          <w:p w14:paraId="73D08C3D">
            <w:pPr>
              <w:spacing w:line="360" w:lineRule="auto"/>
              <w:ind w:firstLine="480"/>
              <w:jc w:val="center"/>
              <w:rPr>
                <w:rFonts w:ascii="宋体" w:hAnsi="宋体" w:cs="宋体"/>
                <w:color w:val="auto"/>
                <w:sz w:val="24"/>
                <w:highlight w:val="none"/>
              </w:rPr>
            </w:pPr>
          </w:p>
        </w:tc>
      </w:tr>
      <w:tr w14:paraId="0CCC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14:paraId="242FA494">
            <w:pPr>
              <w:spacing w:line="360" w:lineRule="auto"/>
              <w:ind w:firstLine="480"/>
              <w:jc w:val="center"/>
              <w:rPr>
                <w:rFonts w:ascii="宋体" w:hAnsi="宋体" w:cs="宋体"/>
                <w:color w:val="auto"/>
                <w:sz w:val="24"/>
                <w:highlight w:val="none"/>
              </w:rPr>
            </w:pPr>
          </w:p>
        </w:tc>
        <w:tc>
          <w:tcPr>
            <w:tcW w:w="2602" w:type="dxa"/>
          </w:tcPr>
          <w:p w14:paraId="361FFF96">
            <w:pPr>
              <w:spacing w:line="360" w:lineRule="auto"/>
              <w:ind w:firstLine="480"/>
              <w:jc w:val="center"/>
              <w:rPr>
                <w:rFonts w:ascii="宋体" w:hAnsi="宋体" w:cs="宋体"/>
                <w:color w:val="auto"/>
                <w:sz w:val="24"/>
                <w:highlight w:val="none"/>
              </w:rPr>
            </w:pPr>
          </w:p>
        </w:tc>
        <w:tc>
          <w:tcPr>
            <w:tcW w:w="2746" w:type="dxa"/>
          </w:tcPr>
          <w:p w14:paraId="30CE5B88">
            <w:pPr>
              <w:spacing w:line="360" w:lineRule="auto"/>
              <w:ind w:firstLine="480"/>
              <w:jc w:val="center"/>
              <w:rPr>
                <w:rFonts w:ascii="宋体" w:hAnsi="宋体" w:cs="宋体"/>
                <w:color w:val="auto"/>
                <w:sz w:val="24"/>
                <w:highlight w:val="none"/>
              </w:rPr>
            </w:pPr>
          </w:p>
        </w:tc>
        <w:tc>
          <w:tcPr>
            <w:tcW w:w="2293" w:type="dxa"/>
          </w:tcPr>
          <w:p w14:paraId="64676E56">
            <w:pPr>
              <w:spacing w:line="360" w:lineRule="auto"/>
              <w:ind w:firstLine="480"/>
              <w:jc w:val="center"/>
              <w:rPr>
                <w:rFonts w:ascii="宋体" w:hAnsi="宋体" w:cs="宋体"/>
                <w:color w:val="auto"/>
                <w:sz w:val="24"/>
                <w:highlight w:val="none"/>
              </w:rPr>
            </w:pPr>
          </w:p>
        </w:tc>
      </w:tr>
    </w:tbl>
    <w:p w14:paraId="11570B18">
      <w:pPr>
        <w:pStyle w:val="19"/>
        <w:spacing w:line="400" w:lineRule="exact"/>
        <w:rPr>
          <w:rFonts w:hAnsi="宋体" w:cs="宋体"/>
          <w:color w:val="auto"/>
          <w:highlight w:val="none"/>
        </w:rPr>
      </w:pPr>
      <w:r>
        <w:rPr>
          <w:rFonts w:hint="eastAsia" w:hAnsi="宋体" w:cs="宋体"/>
          <w:color w:val="auto"/>
          <w:sz w:val="24"/>
          <w:szCs w:val="24"/>
          <w:highlight w:val="none"/>
        </w:rPr>
        <w:t>注：“偏离说明”填写“正偏离”“负偏离”或“无偏离”。</w:t>
      </w:r>
    </w:p>
    <w:p w14:paraId="6F0B84C3">
      <w:pPr>
        <w:spacing w:line="360" w:lineRule="auto"/>
        <w:ind w:firstLine="480"/>
        <w:jc w:val="left"/>
        <w:rPr>
          <w:rFonts w:ascii="宋体" w:hAnsi="宋体" w:cs="宋体"/>
          <w:color w:val="auto"/>
          <w:sz w:val="24"/>
          <w:highlight w:val="none"/>
        </w:rPr>
      </w:pPr>
    </w:p>
    <w:p w14:paraId="5787824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1DE1972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3508CC05">
      <w:pPr>
        <w:pStyle w:val="19"/>
        <w:spacing w:line="360" w:lineRule="auto"/>
        <w:ind w:firstLine="480"/>
        <w:rPr>
          <w:rFonts w:hAnsi="宋体" w:cs="宋体"/>
          <w:color w:val="auto"/>
          <w:sz w:val="24"/>
          <w:szCs w:val="24"/>
          <w:highlight w:val="none"/>
        </w:rPr>
      </w:pPr>
      <w:r>
        <w:rPr>
          <w:rFonts w:hint="eastAsia" w:hAnsi="宋体" w:cs="宋体"/>
          <w:color w:val="auto"/>
          <w:sz w:val="24"/>
          <w:szCs w:val="24"/>
          <w:highlight w:val="none"/>
        </w:rPr>
        <w:t>日期：    年     月     日</w:t>
      </w:r>
    </w:p>
    <w:p w14:paraId="17C26D1D">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82" w:name="_Toc15999"/>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 售后服务承诺书</w:t>
      </w:r>
      <w:bookmarkEnd w:id="282"/>
    </w:p>
    <w:p w14:paraId="2B9F2B4A">
      <w:pPr>
        <w:jc w:val="center"/>
        <w:rPr>
          <w:rFonts w:ascii="宋体" w:hAnsi="宋体" w:cs="宋体"/>
          <w:color w:val="auto"/>
          <w:sz w:val="36"/>
          <w:szCs w:val="28"/>
          <w:highlight w:val="none"/>
        </w:rPr>
      </w:pPr>
      <w:r>
        <w:rPr>
          <w:rFonts w:hint="eastAsia" w:ascii="宋体" w:hAnsi="宋体" w:cs="宋体"/>
          <w:color w:val="auto"/>
          <w:sz w:val="36"/>
          <w:szCs w:val="28"/>
          <w:highlight w:val="none"/>
        </w:rPr>
        <w:t>售后服务承诺书</w:t>
      </w:r>
    </w:p>
    <w:p w14:paraId="784CCAEB">
      <w:pPr>
        <w:pStyle w:val="19"/>
        <w:spacing w:line="360" w:lineRule="auto"/>
        <w:ind w:firstLine="480"/>
        <w:jc w:val="center"/>
        <w:rPr>
          <w:rFonts w:hAnsi="宋体" w:cs="宋体"/>
          <w:color w:val="auto"/>
          <w:sz w:val="24"/>
          <w:szCs w:val="24"/>
          <w:highlight w:val="none"/>
        </w:rPr>
      </w:pPr>
      <w:r>
        <w:rPr>
          <w:rFonts w:hint="eastAsia" w:hAnsi="宋体" w:cs="宋体"/>
          <w:color w:val="auto"/>
          <w:sz w:val="24"/>
          <w:highlight w:val="none"/>
        </w:rPr>
        <w:t>（请按“项目需求”等内容要求自行填写，格式自定)</w:t>
      </w:r>
    </w:p>
    <w:p w14:paraId="6E730FD4">
      <w:pPr>
        <w:spacing w:line="360" w:lineRule="auto"/>
        <w:ind w:firstLine="480"/>
        <w:rPr>
          <w:rFonts w:ascii="宋体" w:hAnsi="宋体" w:cs="宋体"/>
          <w:color w:val="auto"/>
          <w:sz w:val="24"/>
          <w:highlight w:val="none"/>
        </w:rPr>
      </w:pPr>
    </w:p>
    <w:p w14:paraId="30C2FF18">
      <w:pPr>
        <w:spacing w:line="360" w:lineRule="auto"/>
        <w:ind w:firstLine="480"/>
        <w:rPr>
          <w:rFonts w:ascii="宋体" w:hAnsi="宋体" w:cs="宋体"/>
          <w:color w:val="auto"/>
          <w:sz w:val="24"/>
          <w:highlight w:val="none"/>
        </w:rPr>
      </w:pPr>
    </w:p>
    <w:p w14:paraId="0F897BDA">
      <w:pPr>
        <w:spacing w:line="360" w:lineRule="auto"/>
        <w:ind w:firstLine="480"/>
        <w:rPr>
          <w:rFonts w:ascii="宋体" w:hAnsi="宋体" w:cs="宋体"/>
          <w:color w:val="auto"/>
          <w:sz w:val="24"/>
          <w:highlight w:val="none"/>
        </w:rPr>
      </w:pPr>
    </w:p>
    <w:p w14:paraId="1293C5BC">
      <w:pPr>
        <w:spacing w:line="360" w:lineRule="auto"/>
        <w:ind w:firstLine="480"/>
        <w:rPr>
          <w:rFonts w:ascii="宋体" w:hAnsi="宋体" w:cs="宋体"/>
          <w:color w:val="auto"/>
          <w:sz w:val="24"/>
          <w:highlight w:val="none"/>
        </w:rPr>
      </w:pPr>
    </w:p>
    <w:p w14:paraId="0980CB58">
      <w:pPr>
        <w:spacing w:line="360" w:lineRule="auto"/>
        <w:ind w:firstLine="480"/>
        <w:rPr>
          <w:rFonts w:ascii="宋体" w:hAnsi="宋体" w:cs="宋体"/>
          <w:color w:val="auto"/>
          <w:sz w:val="24"/>
          <w:highlight w:val="none"/>
        </w:rPr>
      </w:pPr>
    </w:p>
    <w:p w14:paraId="494B5401">
      <w:pPr>
        <w:spacing w:line="360" w:lineRule="auto"/>
        <w:ind w:firstLine="480"/>
        <w:rPr>
          <w:rFonts w:ascii="宋体" w:hAnsi="宋体" w:cs="宋体"/>
          <w:color w:val="auto"/>
          <w:sz w:val="24"/>
          <w:highlight w:val="none"/>
        </w:rPr>
      </w:pPr>
    </w:p>
    <w:p w14:paraId="3A919A36">
      <w:pPr>
        <w:spacing w:line="360" w:lineRule="auto"/>
        <w:ind w:firstLine="480"/>
        <w:rPr>
          <w:rFonts w:ascii="宋体" w:hAnsi="宋体" w:cs="宋体"/>
          <w:color w:val="auto"/>
          <w:sz w:val="24"/>
          <w:highlight w:val="none"/>
        </w:rPr>
      </w:pPr>
    </w:p>
    <w:p w14:paraId="1BA25ED5">
      <w:pPr>
        <w:spacing w:line="360" w:lineRule="auto"/>
        <w:ind w:firstLine="480"/>
        <w:rPr>
          <w:rFonts w:ascii="宋体" w:hAnsi="宋体" w:cs="宋体"/>
          <w:color w:val="auto"/>
          <w:sz w:val="24"/>
          <w:highlight w:val="none"/>
        </w:rPr>
      </w:pPr>
    </w:p>
    <w:p w14:paraId="5A1C52F1">
      <w:pPr>
        <w:spacing w:line="360" w:lineRule="auto"/>
        <w:ind w:firstLine="480"/>
        <w:rPr>
          <w:rFonts w:ascii="宋体" w:hAnsi="宋体" w:cs="宋体"/>
          <w:color w:val="auto"/>
          <w:sz w:val="24"/>
          <w:highlight w:val="none"/>
        </w:rPr>
      </w:pPr>
    </w:p>
    <w:p w14:paraId="240AE1D8">
      <w:pPr>
        <w:spacing w:line="360" w:lineRule="auto"/>
        <w:ind w:firstLine="480"/>
        <w:rPr>
          <w:rFonts w:ascii="宋体" w:hAnsi="宋体" w:cs="宋体"/>
          <w:color w:val="auto"/>
          <w:sz w:val="24"/>
          <w:highlight w:val="none"/>
        </w:rPr>
      </w:pPr>
    </w:p>
    <w:p w14:paraId="75D25CEB">
      <w:pPr>
        <w:spacing w:line="360" w:lineRule="auto"/>
        <w:ind w:firstLine="480"/>
        <w:rPr>
          <w:rFonts w:ascii="宋体" w:hAnsi="宋体" w:cs="宋体"/>
          <w:color w:val="auto"/>
          <w:sz w:val="24"/>
          <w:highlight w:val="none"/>
        </w:rPr>
      </w:pPr>
    </w:p>
    <w:p w14:paraId="5497AA75">
      <w:pPr>
        <w:spacing w:line="360" w:lineRule="auto"/>
        <w:ind w:firstLine="480"/>
        <w:rPr>
          <w:rFonts w:ascii="宋体" w:hAnsi="宋体" w:cs="宋体"/>
          <w:color w:val="auto"/>
          <w:sz w:val="24"/>
          <w:highlight w:val="none"/>
        </w:rPr>
      </w:pPr>
    </w:p>
    <w:p w14:paraId="0277FE81">
      <w:pPr>
        <w:spacing w:line="360" w:lineRule="auto"/>
        <w:ind w:firstLine="480"/>
        <w:rPr>
          <w:rFonts w:ascii="宋体" w:hAnsi="宋体" w:cs="宋体"/>
          <w:color w:val="auto"/>
          <w:sz w:val="24"/>
          <w:highlight w:val="none"/>
        </w:rPr>
      </w:pPr>
    </w:p>
    <w:p w14:paraId="67B10338">
      <w:pPr>
        <w:spacing w:line="360" w:lineRule="auto"/>
        <w:ind w:firstLine="480"/>
        <w:rPr>
          <w:rFonts w:ascii="宋体" w:hAnsi="宋体" w:cs="宋体"/>
          <w:color w:val="auto"/>
          <w:sz w:val="24"/>
          <w:highlight w:val="none"/>
        </w:rPr>
      </w:pPr>
    </w:p>
    <w:p w14:paraId="4CB01957">
      <w:pPr>
        <w:spacing w:line="360" w:lineRule="auto"/>
        <w:ind w:firstLine="480"/>
        <w:rPr>
          <w:rFonts w:ascii="宋体" w:hAnsi="宋体" w:cs="宋体"/>
          <w:color w:val="auto"/>
          <w:sz w:val="24"/>
          <w:highlight w:val="none"/>
        </w:rPr>
      </w:pPr>
    </w:p>
    <w:p w14:paraId="547930EC">
      <w:pPr>
        <w:spacing w:line="360" w:lineRule="auto"/>
        <w:ind w:firstLine="480"/>
        <w:rPr>
          <w:rFonts w:ascii="宋体" w:hAnsi="宋体" w:cs="宋体"/>
          <w:color w:val="auto"/>
          <w:sz w:val="24"/>
          <w:highlight w:val="none"/>
        </w:rPr>
      </w:pPr>
    </w:p>
    <w:p w14:paraId="571014C7">
      <w:pPr>
        <w:spacing w:line="360" w:lineRule="auto"/>
        <w:ind w:firstLine="480"/>
        <w:rPr>
          <w:rFonts w:ascii="宋体" w:hAnsi="宋体" w:cs="宋体"/>
          <w:color w:val="auto"/>
          <w:sz w:val="24"/>
          <w:highlight w:val="none"/>
        </w:rPr>
      </w:pPr>
    </w:p>
    <w:p w14:paraId="539A3AEF">
      <w:pPr>
        <w:spacing w:line="360" w:lineRule="auto"/>
        <w:ind w:firstLine="480"/>
        <w:rPr>
          <w:rFonts w:ascii="宋体" w:hAnsi="宋体" w:cs="宋体"/>
          <w:color w:val="auto"/>
          <w:sz w:val="24"/>
          <w:highlight w:val="none"/>
        </w:rPr>
      </w:pPr>
    </w:p>
    <w:p w14:paraId="412776BC">
      <w:pPr>
        <w:spacing w:line="360" w:lineRule="auto"/>
        <w:ind w:firstLine="480"/>
        <w:rPr>
          <w:rFonts w:ascii="宋体" w:hAnsi="宋体" w:cs="宋体"/>
          <w:color w:val="auto"/>
          <w:sz w:val="24"/>
          <w:highlight w:val="none"/>
        </w:rPr>
      </w:pPr>
    </w:p>
    <w:p w14:paraId="202D6D9B">
      <w:pPr>
        <w:spacing w:line="360" w:lineRule="auto"/>
        <w:ind w:firstLine="480"/>
        <w:rPr>
          <w:rFonts w:ascii="宋体" w:hAnsi="宋体" w:cs="宋体"/>
          <w:color w:val="auto"/>
          <w:sz w:val="24"/>
          <w:highlight w:val="none"/>
        </w:rPr>
      </w:pPr>
    </w:p>
    <w:p w14:paraId="6550F1E3">
      <w:pPr>
        <w:spacing w:line="360" w:lineRule="auto"/>
        <w:ind w:firstLine="480"/>
        <w:rPr>
          <w:rFonts w:ascii="宋体" w:hAnsi="宋体" w:cs="宋体"/>
          <w:color w:val="auto"/>
          <w:sz w:val="24"/>
          <w:highlight w:val="none"/>
        </w:rPr>
      </w:pPr>
    </w:p>
    <w:p w14:paraId="35CBCAE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2669164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3B082A1F">
      <w:pPr>
        <w:pStyle w:val="19"/>
        <w:spacing w:line="360" w:lineRule="auto"/>
        <w:ind w:firstLine="480"/>
        <w:rPr>
          <w:rFonts w:hAnsi="宋体" w:cs="宋体"/>
          <w:color w:val="auto"/>
          <w:sz w:val="24"/>
          <w:szCs w:val="24"/>
          <w:highlight w:val="none"/>
        </w:rPr>
      </w:pPr>
      <w:r>
        <w:rPr>
          <w:rFonts w:hint="eastAsia" w:hAnsi="宋体" w:cs="宋体"/>
          <w:color w:val="auto"/>
          <w:sz w:val="24"/>
          <w:szCs w:val="24"/>
          <w:highlight w:val="none"/>
        </w:rPr>
        <w:t>日期：    年     月     日</w:t>
      </w:r>
    </w:p>
    <w:p w14:paraId="0B6B6600">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83" w:name="_Toc2003"/>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 项目团队人员一览表</w:t>
      </w:r>
      <w:bookmarkEnd w:id="283"/>
    </w:p>
    <w:p w14:paraId="7281FF7F">
      <w:pPr>
        <w:spacing w:line="520" w:lineRule="exact"/>
        <w:ind w:firstLine="3220"/>
        <w:rPr>
          <w:rFonts w:ascii="宋体" w:hAnsi="宋体" w:cs="宋体"/>
          <w:color w:val="auto"/>
          <w:sz w:val="28"/>
          <w:highlight w:val="none"/>
        </w:rPr>
      </w:pPr>
    </w:p>
    <w:p w14:paraId="532AF353">
      <w:pPr>
        <w:jc w:val="center"/>
        <w:rPr>
          <w:rFonts w:ascii="宋体" w:hAnsi="宋体" w:cs="宋体"/>
          <w:color w:val="auto"/>
          <w:sz w:val="36"/>
          <w:szCs w:val="28"/>
          <w:highlight w:val="none"/>
        </w:rPr>
      </w:pPr>
      <w:r>
        <w:rPr>
          <w:rFonts w:hint="eastAsia" w:ascii="宋体" w:hAnsi="宋体" w:cs="宋体"/>
          <w:color w:val="auto"/>
          <w:sz w:val="36"/>
          <w:szCs w:val="28"/>
          <w:highlight w:val="none"/>
        </w:rPr>
        <w:t>项目团队人员一览表</w:t>
      </w:r>
    </w:p>
    <w:tbl>
      <w:tblPr>
        <w:tblStyle w:val="36"/>
        <w:tblpPr w:leftFromText="180" w:rightFromText="180" w:vertAnchor="text" w:horzAnchor="margin"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62CB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vAlign w:val="center"/>
          </w:tcPr>
          <w:p w14:paraId="0616A184">
            <w:pPr>
              <w:spacing w:line="520" w:lineRule="exact"/>
              <w:jc w:val="center"/>
              <w:rPr>
                <w:rFonts w:ascii="宋体" w:hAnsi="宋体" w:cs="宋体"/>
                <w:color w:val="auto"/>
                <w:highlight w:val="none"/>
              </w:rPr>
            </w:pPr>
            <w:r>
              <w:rPr>
                <w:rFonts w:hint="eastAsia" w:ascii="宋体" w:hAnsi="宋体" w:cs="宋体"/>
                <w:color w:val="auto"/>
                <w:highlight w:val="none"/>
              </w:rPr>
              <w:t>姓  名</w:t>
            </w:r>
          </w:p>
        </w:tc>
        <w:tc>
          <w:tcPr>
            <w:tcW w:w="1905" w:type="dxa"/>
            <w:vAlign w:val="center"/>
          </w:tcPr>
          <w:p w14:paraId="26A23A88">
            <w:pPr>
              <w:spacing w:line="520" w:lineRule="exact"/>
              <w:jc w:val="center"/>
              <w:rPr>
                <w:rFonts w:ascii="宋体" w:hAnsi="宋体" w:cs="宋体"/>
                <w:color w:val="auto"/>
                <w:highlight w:val="none"/>
              </w:rPr>
            </w:pPr>
            <w:r>
              <w:rPr>
                <w:rFonts w:hint="eastAsia" w:ascii="宋体" w:hAnsi="宋体" w:cs="宋体"/>
                <w:color w:val="auto"/>
                <w:highlight w:val="none"/>
              </w:rPr>
              <w:t>本项目拟任</w:t>
            </w:r>
          </w:p>
          <w:p w14:paraId="4BBC4DC9">
            <w:pPr>
              <w:spacing w:line="520" w:lineRule="exact"/>
              <w:jc w:val="center"/>
              <w:rPr>
                <w:rFonts w:ascii="宋体" w:hAnsi="宋体" w:cs="宋体"/>
                <w:color w:val="auto"/>
                <w:highlight w:val="none"/>
              </w:rPr>
            </w:pPr>
            <w:r>
              <w:rPr>
                <w:rFonts w:hint="eastAsia" w:ascii="宋体" w:hAnsi="宋体" w:cs="宋体"/>
                <w:color w:val="auto"/>
                <w:highlight w:val="none"/>
              </w:rPr>
              <w:t>职  务</w:t>
            </w:r>
          </w:p>
        </w:tc>
        <w:tc>
          <w:tcPr>
            <w:tcW w:w="1127" w:type="dxa"/>
            <w:vAlign w:val="center"/>
          </w:tcPr>
          <w:p w14:paraId="5E4837D8">
            <w:pPr>
              <w:spacing w:line="520" w:lineRule="exact"/>
              <w:jc w:val="center"/>
              <w:rPr>
                <w:rFonts w:ascii="宋体" w:hAnsi="宋体" w:cs="宋体"/>
                <w:color w:val="auto"/>
                <w:highlight w:val="none"/>
              </w:rPr>
            </w:pPr>
            <w:r>
              <w:rPr>
                <w:rFonts w:hint="eastAsia" w:ascii="宋体" w:hAnsi="宋体" w:cs="宋体"/>
                <w:color w:val="auto"/>
                <w:highlight w:val="none"/>
              </w:rPr>
              <w:t>技术</w:t>
            </w:r>
          </w:p>
          <w:p w14:paraId="2D43670E">
            <w:pPr>
              <w:spacing w:line="520" w:lineRule="exact"/>
              <w:jc w:val="center"/>
              <w:rPr>
                <w:rFonts w:ascii="宋体" w:hAnsi="宋体" w:cs="宋体"/>
                <w:color w:val="auto"/>
                <w:highlight w:val="none"/>
              </w:rPr>
            </w:pPr>
            <w:r>
              <w:rPr>
                <w:rFonts w:hint="eastAsia" w:ascii="宋体" w:hAnsi="宋体" w:cs="宋体"/>
                <w:color w:val="auto"/>
                <w:highlight w:val="none"/>
              </w:rPr>
              <w:t>职称</w:t>
            </w:r>
          </w:p>
        </w:tc>
        <w:tc>
          <w:tcPr>
            <w:tcW w:w="896" w:type="dxa"/>
            <w:vAlign w:val="center"/>
          </w:tcPr>
          <w:p w14:paraId="5B0FAD32">
            <w:pPr>
              <w:spacing w:line="520" w:lineRule="exact"/>
              <w:jc w:val="center"/>
              <w:rPr>
                <w:rFonts w:ascii="宋体" w:hAnsi="宋体" w:cs="宋体"/>
                <w:color w:val="auto"/>
                <w:highlight w:val="none"/>
              </w:rPr>
            </w:pPr>
            <w:r>
              <w:rPr>
                <w:rFonts w:hint="eastAsia" w:ascii="宋体" w:hAnsi="宋体" w:cs="宋体"/>
                <w:color w:val="auto"/>
                <w:highlight w:val="none"/>
              </w:rPr>
              <w:t>年龄</w:t>
            </w:r>
          </w:p>
        </w:tc>
        <w:tc>
          <w:tcPr>
            <w:tcW w:w="896" w:type="dxa"/>
            <w:vAlign w:val="center"/>
          </w:tcPr>
          <w:p w14:paraId="7B90323B">
            <w:pPr>
              <w:spacing w:line="520" w:lineRule="exact"/>
              <w:jc w:val="center"/>
              <w:rPr>
                <w:rFonts w:ascii="宋体" w:hAnsi="宋体" w:cs="宋体"/>
                <w:color w:val="auto"/>
                <w:highlight w:val="none"/>
              </w:rPr>
            </w:pPr>
            <w:r>
              <w:rPr>
                <w:rFonts w:hint="eastAsia" w:ascii="宋体" w:hAnsi="宋体" w:cs="宋体"/>
                <w:color w:val="auto"/>
                <w:highlight w:val="none"/>
              </w:rPr>
              <w:t>学历</w:t>
            </w:r>
          </w:p>
        </w:tc>
        <w:tc>
          <w:tcPr>
            <w:tcW w:w="2814" w:type="dxa"/>
            <w:vAlign w:val="center"/>
          </w:tcPr>
          <w:p w14:paraId="2BBD3017">
            <w:pPr>
              <w:spacing w:line="520" w:lineRule="exact"/>
              <w:jc w:val="center"/>
              <w:rPr>
                <w:rFonts w:ascii="宋体" w:hAnsi="宋体" w:cs="宋体"/>
                <w:color w:val="auto"/>
                <w:highlight w:val="none"/>
              </w:rPr>
            </w:pPr>
            <w:r>
              <w:rPr>
                <w:rFonts w:hint="eastAsia" w:ascii="宋体" w:hAnsi="宋体" w:cs="宋体"/>
                <w:color w:val="auto"/>
                <w:highlight w:val="none"/>
              </w:rPr>
              <w:t>主要资历及担任过的职务</w:t>
            </w:r>
          </w:p>
        </w:tc>
      </w:tr>
      <w:tr w14:paraId="7E7C8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3AEBF531">
            <w:pPr>
              <w:spacing w:line="520" w:lineRule="exact"/>
              <w:jc w:val="center"/>
              <w:rPr>
                <w:rFonts w:ascii="宋体" w:hAnsi="宋体" w:cs="宋体"/>
                <w:color w:val="auto"/>
                <w:sz w:val="28"/>
                <w:highlight w:val="none"/>
              </w:rPr>
            </w:pPr>
          </w:p>
        </w:tc>
        <w:tc>
          <w:tcPr>
            <w:tcW w:w="1905" w:type="dxa"/>
            <w:vAlign w:val="center"/>
          </w:tcPr>
          <w:p w14:paraId="2853EF4F">
            <w:pPr>
              <w:spacing w:line="520" w:lineRule="exact"/>
              <w:jc w:val="center"/>
              <w:rPr>
                <w:rFonts w:ascii="宋体" w:hAnsi="宋体" w:cs="宋体"/>
                <w:color w:val="auto"/>
                <w:sz w:val="28"/>
                <w:highlight w:val="none"/>
              </w:rPr>
            </w:pPr>
          </w:p>
        </w:tc>
        <w:tc>
          <w:tcPr>
            <w:tcW w:w="1127" w:type="dxa"/>
            <w:vAlign w:val="center"/>
          </w:tcPr>
          <w:p w14:paraId="6068B1AB">
            <w:pPr>
              <w:spacing w:line="520" w:lineRule="exact"/>
              <w:jc w:val="center"/>
              <w:rPr>
                <w:rFonts w:ascii="宋体" w:hAnsi="宋体" w:cs="宋体"/>
                <w:color w:val="auto"/>
                <w:sz w:val="28"/>
                <w:highlight w:val="none"/>
              </w:rPr>
            </w:pPr>
          </w:p>
        </w:tc>
        <w:tc>
          <w:tcPr>
            <w:tcW w:w="896" w:type="dxa"/>
            <w:vAlign w:val="center"/>
          </w:tcPr>
          <w:p w14:paraId="3782A502">
            <w:pPr>
              <w:spacing w:line="520" w:lineRule="exact"/>
              <w:jc w:val="center"/>
              <w:rPr>
                <w:rFonts w:ascii="宋体" w:hAnsi="宋体" w:cs="宋体"/>
                <w:color w:val="auto"/>
                <w:sz w:val="28"/>
                <w:highlight w:val="none"/>
              </w:rPr>
            </w:pPr>
          </w:p>
        </w:tc>
        <w:tc>
          <w:tcPr>
            <w:tcW w:w="896" w:type="dxa"/>
            <w:vAlign w:val="center"/>
          </w:tcPr>
          <w:p w14:paraId="2CB912BE">
            <w:pPr>
              <w:spacing w:line="520" w:lineRule="exact"/>
              <w:jc w:val="center"/>
              <w:rPr>
                <w:rFonts w:ascii="宋体" w:hAnsi="宋体" w:cs="宋体"/>
                <w:color w:val="auto"/>
                <w:sz w:val="28"/>
                <w:highlight w:val="none"/>
              </w:rPr>
            </w:pPr>
          </w:p>
        </w:tc>
        <w:tc>
          <w:tcPr>
            <w:tcW w:w="2814" w:type="dxa"/>
            <w:vAlign w:val="center"/>
          </w:tcPr>
          <w:p w14:paraId="14E0F912">
            <w:pPr>
              <w:spacing w:line="520" w:lineRule="exact"/>
              <w:jc w:val="center"/>
              <w:rPr>
                <w:rFonts w:ascii="宋体" w:hAnsi="宋体" w:cs="宋体"/>
                <w:color w:val="auto"/>
                <w:sz w:val="28"/>
                <w:highlight w:val="none"/>
              </w:rPr>
            </w:pPr>
          </w:p>
        </w:tc>
      </w:tr>
      <w:tr w14:paraId="7BC1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5BD718D9">
            <w:pPr>
              <w:spacing w:line="520" w:lineRule="exact"/>
              <w:jc w:val="center"/>
              <w:rPr>
                <w:rFonts w:ascii="宋体" w:hAnsi="宋体" w:cs="宋体"/>
                <w:color w:val="auto"/>
                <w:sz w:val="28"/>
                <w:highlight w:val="none"/>
              </w:rPr>
            </w:pPr>
          </w:p>
        </w:tc>
        <w:tc>
          <w:tcPr>
            <w:tcW w:w="1905" w:type="dxa"/>
            <w:vAlign w:val="center"/>
          </w:tcPr>
          <w:p w14:paraId="4AB61319">
            <w:pPr>
              <w:spacing w:line="520" w:lineRule="exact"/>
              <w:jc w:val="center"/>
              <w:rPr>
                <w:rFonts w:ascii="宋体" w:hAnsi="宋体" w:cs="宋体"/>
                <w:color w:val="auto"/>
                <w:sz w:val="28"/>
                <w:highlight w:val="none"/>
              </w:rPr>
            </w:pPr>
          </w:p>
        </w:tc>
        <w:tc>
          <w:tcPr>
            <w:tcW w:w="1127" w:type="dxa"/>
            <w:vAlign w:val="center"/>
          </w:tcPr>
          <w:p w14:paraId="1EBD6E84">
            <w:pPr>
              <w:spacing w:line="520" w:lineRule="exact"/>
              <w:jc w:val="center"/>
              <w:rPr>
                <w:rFonts w:ascii="宋体" w:hAnsi="宋体" w:cs="宋体"/>
                <w:color w:val="auto"/>
                <w:sz w:val="28"/>
                <w:highlight w:val="none"/>
              </w:rPr>
            </w:pPr>
          </w:p>
        </w:tc>
        <w:tc>
          <w:tcPr>
            <w:tcW w:w="896" w:type="dxa"/>
            <w:vAlign w:val="center"/>
          </w:tcPr>
          <w:p w14:paraId="10A8603B">
            <w:pPr>
              <w:spacing w:line="520" w:lineRule="exact"/>
              <w:jc w:val="center"/>
              <w:rPr>
                <w:rFonts w:ascii="宋体" w:hAnsi="宋体" w:cs="宋体"/>
                <w:color w:val="auto"/>
                <w:sz w:val="28"/>
                <w:highlight w:val="none"/>
              </w:rPr>
            </w:pPr>
          </w:p>
        </w:tc>
        <w:tc>
          <w:tcPr>
            <w:tcW w:w="896" w:type="dxa"/>
            <w:vAlign w:val="center"/>
          </w:tcPr>
          <w:p w14:paraId="77805E9E">
            <w:pPr>
              <w:spacing w:line="520" w:lineRule="exact"/>
              <w:jc w:val="center"/>
              <w:rPr>
                <w:rFonts w:ascii="宋体" w:hAnsi="宋体" w:cs="宋体"/>
                <w:color w:val="auto"/>
                <w:sz w:val="28"/>
                <w:highlight w:val="none"/>
              </w:rPr>
            </w:pPr>
          </w:p>
        </w:tc>
        <w:tc>
          <w:tcPr>
            <w:tcW w:w="2814" w:type="dxa"/>
            <w:vAlign w:val="center"/>
          </w:tcPr>
          <w:p w14:paraId="60361182">
            <w:pPr>
              <w:spacing w:line="520" w:lineRule="exact"/>
              <w:jc w:val="center"/>
              <w:rPr>
                <w:rFonts w:ascii="宋体" w:hAnsi="宋体" w:cs="宋体"/>
                <w:color w:val="auto"/>
                <w:sz w:val="28"/>
                <w:highlight w:val="none"/>
              </w:rPr>
            </w:pPr>
          </w:p>
        </w:tc>
      </w:tr>
      <w:tr w14:paraId="5AFED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10ECD0DF">
            <w:pPr>
              <w:spacing w:line="520" w:lineRule="exact"/>
              <w:jc w:val="center"/>
              <w:rPr>
                <w:rFonts w:ascii="宋体" w:hAnsi="宋体" w:cs="宋体"/>
                <w:color w:val="auto"/>
                <w:sz w:val="28"/>
                <w:highlight w:val="none"/>
              </w:rPr>
            </w:pPr>
          </w:p>
        </w:tc>
        <w:tc>
          <w:tcPr>
            <w:tcW w:w="1905" w:type="dxa"/>
            <w:vAlign w:val="center"/>
          </w:tcPr>
          <w:p w14:paraId="141368DA">
            <w:pPr>
              <w:spacing w:line="520" w:lineRule="exact"/>
              <w:jc w:val="center"/>
              <w:rPr>
                <w:rFonts w:ascii="宋体" w:hAnsi="宋体" w:cs="宋体"/>
                <w:color w:val="auto"/>
                <w:sz w:val="28"/>
                <w:highlight w:val="none"/>
              </w:rPr>
            </w:pPr>
          </w:p>
        </w:tc>
        <w:tc>
          <w:tcPr>
            <w:tcW w:w="1127" w:type="dxa"/>
            <w:vAlign w:val="center"/>
          </w:tcPr>
          <w:p w14:paraId="5704F416">
            <w:pPr>
              <w:spacing w:line="520" w:lineRule="exact"/>
              <w:jc w:val="center"/>
              <w:rPr>
                <w:rFonts w:ascii="宋体" w:hAnsi="宋体" w:cs="宋体"/>
                <w:color w:val="auto"/>
                <w:sz w:val="28"/>
                <w:highlight w:val="none"/>
              </w:rPr>
            </w:pPr>
          </w:p>
        </w:tc>
        <w:tc>
          <w:tcPr>
            <w:tcW w:w="896" w:type="dxa"/>
            <w:vAlign w:val="center"/>
          </w:tcPr>
          <w:p w14:paraId="284B27F8">
            <w:pPr>
              <w:spacing w:line="520" w:lineRule="exact"/>
              <w:jc w:val="center"/>
              <w:rPr>
                <w:rFonts w:ascii="宋体" w:hAnsi="宋体" w:cs="宋体"/>
                <w:color w:val="auto"/>
                <w:sz w:val="28"/>
                <w:highlight w:val="none"/>
              </w:rPr>
            </w:pPr>
          </w:p>
        </w:tc>
        <w:tc>
          <w:tcPr>
            <w:tcW w:w="896" w:type="dxa"/>
            <w:vAlign w:val="center"/>
          </w:tcPr>
          <w:p w14:paraId="07451823">
            <w:pPr>
              <w:spacing w:line="520" w:lineRule="exact"/>
              <w:jc w:val="center"/>
              <w:rPr>
                <w:rFonts w:ascii="宋体" w:hAnsi="宋体" w:cs="宋体"/>
                <w:color w:val="auto"/>
                <w:sz w:val="28"/>
                <w:highlight w:val="none"/>
              </w:rPr>
            </w:pPr>
          </w:p>
        </w:tc>
        <w:tc>
          <w:tcPr>
            <w:tcW w:w="2814" w:type="dxa"/>
            <w:vAlign w:val="center"/>
          </w:tcPr>
          <w:p w14:paraId="3537C1E9">
            <w:pPr>
              <w:spacing w:line="520" w:lineRule="exact"/>
              <w:jc w:val="center"/>
              <w:rPr>
                <w:rFonts w:ascii="宋体" w:hAnsi="宋体" w:cs="宋体"/>
                <w:color w:val="auto"/>
                <w:sz w:val="28"/>
                <w:highlight w:val="none"/>
              </w:rPr>
            </w:pPr>
          </w:p>
        </w:tc>
      </w:tr>
      <w:tr w14:paraId="4237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7F6B5A99">
            <w:pPr>
              <w:spacing w:line="520" w:lineRule="exact"/>
              <w:jc w:val="center"/>
              <w:rPr>
                <w:rFonts w:ascii="宋体" w:hAnsi="宋体" w:cs="宋体"/>
                <w:color w:val="auto"/>
                <w:sz w:val="28"/>
                <w:highlight w:val="none"/>
              </w:rPr>
            </w:pPr>
          </w:p>
        </w:tc>
        <w:tc>
          <w:tcPr>
            <w:tcW w:w="1905" w:type="dxa"/>
            <w:vAlign w:val="center"/>
          </w:tcPr>
          <w:p w14:paraId="4729A902">
            <w:pPr>
              <w:spacing w:line="520" w:lineRule="exact"/>
              <w:jc w:val="center"/>
              <w:rPr>
                <w:rFonts w:ascii="宋体" w:hAnsi="宋体" w:cs="宋体"/>
                <w:color w:val="auto"/>
                <w:sz w:val="28"/>
                <w:highlight w:val="none"/>
              </w:rPr>
            </w:pPr>
          </w:p>
        </w:tc>
        <w:tc>
          <w:tcPr>
            <w:tcW w:w="1127" w:type="dxa"/>
            <w:vAlign w:val="center"/>
          </w:tcPr>
          <w:p w14:paraId="0A7E380B">
            <w:pPr>
              <w:spacing w:line="520" w:lineRule="exact"/>
              <w:jc w:val="center"/>
              <w:rPr>
                <w:rFonts w:ascii="宋体" w:hAnsi="宋体" w:cs="宋体"/>
                <w:color w:val="auto"/>
                <w:sz w:val="28"/>
                <w:highlight w:val="none"/>
              </w:rPr>
            </w:pPr>
          </w:p>
        </w:tc>
        <w:tc>
          <w:tcPr>
            <w:tcW w:w="896" w:type="dxa"/>
            <w:vAlign w:val="center"/>
          </w:tcPr>
          <w:p w14:paraId="1C1C8E6E">
            <w:pPr>
              <w:spacing w:line="520" w:lineRule="exact"/>
              <w:jc w:val="center"/>
              <w:rPr>
                <w:rFonts w:ascii="宋体" w:hAnsi="宋体" w:cs="宋体"/>
                <w:color w:val="auto"/>
                <w:sz w:val="28"/>
                <w:highlight w:val="none"/>
              </w:rPr>
            </w:pPr>
          </w:p>
        </w:tc>
        <w:tc>
          <w:tcPr>
            <w:tcW w:w="896" w:type="dxa"/>
            <w:vAlign w:val="center"/>
          </w:tcPr>
          <w:p w14:paraId="351F8400">
            <w:pPr>
              <w:spacing w:line="520" w:lineRule="exact"/>
              <w:jc w:val="center"/>
              <w:rPr>
                <w:rFonts w:ascii="宋体" w:hAnsi="宋体" w:cs="宋体"/>
                <w:color w:val="auto"/>
                <w:sz w:val="28"/>
                <w:highlight w:val="none"/>
              </w:rPr>
            </w:pPr>
          </w:p>
        </w:tc>
        <w:tc>
          <w:tcPr>
            <w:tcW w:w="2814" w:type="dxa"/>
            <w:vAlign w:val="center"/>
          </w:tcPr>
          <w:p w14:paraId="2C98F182">
            <w:pPr>
              <w:spacing w:line="520" w:lineRule="exact"/>
              <w:jc w:val="center"/>
              <w:rPr>
                <w:rFonts w:ascii="宋体" w:hAnsi="宋体" w:cs="宋体"/>
                <w:color w:val="auto"/>
                <w:sz w:val="28"/>
                <w:highlight w:val="none"/>
              </w:rPr>
            </w:pPr>
          </w:p>
        </w:tc>
      </w:tr>
      <w:tr w14:paraId="61100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506719BC">
            <w:pPr>
              <w:spacing w:line="520" w:lineRule="exact"/>
              <w:jc w:val="center"/>
              <w:rPr>
                <w:rFonts w:ascii="宋体" w:hAnsi="宋体" w:cs="宋体"/>
                <w:color w:val="auto"/>
                <w:sz w:val="28"/>
                <w:highlight w:val="none"/>
              </w:rPr>
            </w:pPr>
          </w:p>
        </w:tc>
        <w:tc>
          <w:tcPr>
            <w:tcW w:w="1905" w:type="dxa"/>
            <w:vAlign w:val="center"/>
          </w:tcPr>
          <w:p w14:paraId="3F23EC1F">
            <w:pPr>
              <w:spacing w:line="520" w:lineRule="exact"/>
              <w:jc w:val="center"/>
              <w:rPr>
                <w:rFonts w:ascii="宋体" w:hAnsi="宋体" w:cs="宋体"/>
                <w:color w:val="auto"/>
                <w:sz w:val="28"/>
                <w:highlight w:val="none"/>
              </w:rPr>
            </w:pPr>
          </w:p>
        </w:tc>
        <w:tc>
          <w:tcPr>
            <w:tcW w:w="1127" w:type="dxa"/>
            <w:vAlign w:val="center"/>
          </w:tcPr>
          <w:p w14:paraId="3C6C099D">
            <w:pPr>
              <w:spacing w:line="520" w:lineRule="exact"/>
              <w:jc w:val="center"/>
              <w:rPr>
                <w:rFonts w:ascii="宋体" w:hAnsi="宋体" w:cs="宋体"/>
                <w:color w:val="auto"/>
                <w:sz w:val="28"/>
                <w:highlight w:val="none"/>
              </w:rPr>
            </w:pPr>
          </w:p>
        </w:tc>
        <w:tc>
          <w:tcPr>
            <w:tcW w:w="896" w:type="dxa"/>
            <w:vAlign w:val="center"/>
          </w:tcPr>
          <w:p w14:paraId="0BBE0D3A">
            <w:pPr>
              <w:spacing w:line="520" w:lineRule="exact"/>
              <w:jc w:val="center"/>
              <w:rPr>
                <w:rFonts w:ascii="宋体" w:hAnsi="宋体" w:cs="宋体"/>
                <w:color w:val="auto"/>
                <w:sz w:val="28"/>
                <w:highlight w:val="none"/>
              </w:rPr>
            </w:pPr>
          </w:p>
        </w:tc>
        <w:tc>
          <w:tcPr>
            <w:tcW w:w="896" w:type="dxa"/>
            <w:vAlign w:val="center"/>
          </w:tcPr>
          <w:p w14:paraId="0DBF6836">
            <w:pPr>
              <w:spacing w:line="520" w:lineRule="exact"/>
              <w:jc w:val="center"/>
              <w:rPr>
                <w:rFonts w:ascii="宋体" w:hAnsi="宋体" w:cs="宋体"/>
                <w:color w:val="auto"/>
                <w:sz w:val="28"/>
                <w:highlight w:val="none"/>
              </w:rPr>
            </w:pPr>
          </w:p>
        </w:tc>
        <w:tc>
          <w:tcPr>
            <w:tcW w:w="2814" w:type="dxa"/>
            <w:vAlign w:val="center"/>
          </w:tcPr>
          <w:p w14:paraId="6865C7DF">
            <w:pPr>
              <w:spacing w:line="520" w:lineRule="exact"/>
              <w:jc w:val="center"/>
              <w:rPr>
                <w:rFonts w:ascii="宋体" w:hAnsi="宋体" w:cs="宋体"/>
                <w:color w:val="auto"/>
                <w:sz w:val="28"/>
                <w:highlight w:val="none"/>
              </w:rPr>
            </w:pPr>
          </w:p>
        </w:tc>
      </w:tr>
      <w:tr w14:paraId="17E0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4C2B4CAB">
            <w:pPr>
              <w:spacing w:line="520" w:lineRule="exact"/>
              <w:jc w:val="center"/>
              <w:rPr>
                <w:rFonts w:ascii="宋体" w:hAnsi="宋体" w:cs="宋体"/>
                <w:color w:val="auto"/>
                <w:sz w:val="28"/>
                <w:highlight w:val="none"/>
              </w:rPr>
            </w:pPr>
          </w:p>
        </w:tc>
        <w:tc>
          <w:tcPr>
            <w:tcW w:w="1905" w:type="dxa"/>
            <w:vAlign w:val="center"/>
          </w:tcPr>
          <w:p w14:paraId="6C776555">
            <w:pPr>
              <w:spacing w:line="520" w:lineRule="exact"/>
              <w:jc w:val="center"/>
              <w:rPr>
                <w:rFonts w:ascii="宋体" w:hAnsi="宋体" w:cs="宋体"/>
                <w:color w:val="auto"/>
                <w:sz w:val="28"/>
                <w:highlight w:val="none"/>
              </w:rPr>
            </w:pPr>
          </w:p>
        </w:tc>
        <w:tc>
          <w:tcPr>
            <w:tcW w:w="1127" w:type="dxa"/>
            <w:vAlign w:val="center"/>
          </w:tcPr>
          <w:p w14:paraId="29A1EFE9">
            <w:pPr>
              <w:spacing w:line="520" w:lineRule="exact"/>
              <w:jc w:val="center"/>
              <w:rPr>
                <w:rFonts w:ascii="宋体" w:hAnsi="宋体" w:cs="宋体"/>
                <w:color w:val="auto"/>
                <w:sz w:val="28"/>
                <w:highlight w:val="none"/>
              </w:rPr>
            </w:pPr>
          </w:p>
        </w:tc>
        <w:tc>
          <w:tcPr>
            <w:tcW w:w="896" w:type="dxa"/>
            <w:vAlign w:val="center"/>
          </w:tcPr>
          <w:p w14:paraId="3087297B">
            <w:pPr>
              <w:spacing w:line="520" w:lineRule="exact"/>
              <w:jc w:val="center"/>
              <w:rPr>
                <w:rFonts w:ascii="宋体" w:hAnsi="宋体" w:cs="宋体"/>
                <w:color w:val="auto"/>
                <w:sz w:val="28"/>
                <w:highlight w:val="none"/>
              </w:rPr>
            </w:pPr>
          </w:p>
        </w:tc>
        <w:tc>
          <w:tcPr>
            <w:tcW w:w="896" w:type="dxa"/>
            <w:vAlign w:val="center"/>
          </w:tcPr>
          <w:p w14:paraId="426D46DA">
            <w:pPr>
              <w:spacing w:line="520" w:lineRule="exact"/>
              <w:jc w:val="center"/>
              <w:rPr>
                <w:rFonts w:ascii="宋体" w:hAnsi="宋体" w:cs="宋体"/>
                <w:color w:val="auto"/>
                <w:sz w:val="28"/>
                <w:highlight w:val="none"/>
              </w:rPr>
            </w:pPr>
          </w:p>
        </w:tc>
        <w:tc>
          <w:tcPr>
            <w:tcW w:w="2814" w:type="dxa"/>
            <w:vAlign w:val="center"/>
          </w:tcPr>
          <w:p w14:paraId="46A705F1">
            <w:pPr>
              <w:spacing w:line="520" w:lineRule="exact"/>
              <w:jc w:val="center"/>
              <w:rPr>
                <w:rFonts w:ascii="宋体" w:hAnsi="宋体" w:cs="宋体"/>
                <w:color w:val="auto"/>
                <w:sz w:val="28"/>
                <w:highlight w:val="none"/>
              </w:rPr>
            </w:pPr>
          </w:p>
        </w:tc>
      </w:tr>
      <w:tr w14:paraId="519E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6BD38404">
            <w:pPr>
              <w:spacing w:line="520" w:lineRule="exact"/>
              <w:jc w:val="center"/>
              <w:rPr>
                <w:rFonts w:ascii="宋体" w:hAnsi="宋体" w:cs="宋体"/>
                <w:color w:val="auto"/>
                <w:sz w:val="28"/>
                <w:highlight w:val="none"/>
              </w:rPr>
            </w:pPr>
          </w:p>
        </w:tc>
        <w:tc>
          <w:tcPr>
            <w:tcW w:w="1905" w:type="dxa"/>
            <w:vAlign w:val="center"/>
          </w:tcPr>
          <w:p w14:paraId="3CAE94FD">
            <w:pPr>
              <w:spacing w:line="520" w:lineRule="exact"/>
              <w:jc w:val="center"/>
              <w:rPr>
                <w:rFonts w:ascii="宋体" w:hAnsi="宋体" w:cs="宋体"/>
                <w:color w:val="auto"/>
                <w:sz w:val="28"/>
                <w:highlight w:val="none"/>
              </w:rPr>
            </w:pPr>
          </w:p>
        </w:tc>
        <w:tc>
          <w:tcPr>
            <w:tcW w:w="1127" w:type="dxa"/>
            <w:vAlign w:val="center"/>
          </w:tcPr>
          <w:p w14:paraId="1BBE68BB">
            <w:pPr>
              <w:spacing w:line="520" w:lineRule="exact"/>
              <w:jc w:val="center"/>
              <w:rPr>
                <w:rFonts w:ascii="宋体" w:hAnsi="宋体" w:cs="宋体"/>
                <w:color w:val="auto"/>
                <w:sz w:val="28"/>
                <w:highlight w:val="none"/>
              </w:rPr>
            </w:pPr>
          </w:p>
        </w:tc>
        <w:tc>
          <w:tcPr>
            <w:tcW w:w="896" w:type="dxa"/>
            <w:vAlign w:val="center"/>
          </w:tcPr>
          <w:p w14:paraId="5AD99A12">
            <w:pPr>
              <w:spacing w:line="520" w:lineRule="exact"/>
              <w:jc w:val="center"/>
              <w:rPr>
                <w:rFonts w:ascii="宋体" w:hAnsi="宋体" w:cs="宋体"/>
                <w:color w:val="auto"/>
                <w:sz w:val="28"/>
                <w:highlight w:val="none"/>
              </w:rPr>
            </w:pPr>
          </w:p>
        </w:tc>
        <w:tc>
          <w:tcPr>
            <w:tcW w:w="896" w:type="dxa"/>
            <w:vAlign w:val="center"/>
          </w:tcPr>
          <w:p w14:paraId="3CC74036">
            <w:pPr>
              <w:spacing w:line="520" w:lineRule="exact"/>
              <w:jc w:val="center"/>
              <w:rPr>
                <w:rFonts w:ascii="宋体" w:hAnsi="宋体" w:cs="宋体"/>
                <w:color w:val="auto"/>
                <w:sz w:val="28"/>
                <w:highlight w:val="none"/>
              </w:rPr>
            </w:pPr>
          </w:p>
        </w:tc>
        <w:tc>
          <w:tcPr>
            <w:tcW w:w="2814" w:type="dxa"/>
            <w:vAlign w:val="center"/>
          </w:tcPr>
          <w:p w14:paraId="047EA923">
            <w:pPr>
              <w:spacing w:line="520" w:lineRule="exact"/>
              <w:jc w:val="center"/>
              <w:rPr>
                <w:rFonts w:ascii="宋体" w:hAnsi="宋体" w:cs="宋体"/>
                <w:color w:val="auto"/>
                <w:sz w:val="28"/>
                <w:highlight w:val="none"/>
              </w:rPr>
            </w:pPr>
          </w:p>
        </w:tc>
      </w:tr>
      <w:tr w14:paraId="2FA1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2D64A5CE">
            <w:pPr>
              <w:spacing w:line="520" w:lineRule="exact"/>
              <w:jc w:val="center"/>
              <w:rPr>
                <w:rFonts w:ascii="宋体" w:hAnsi="宋体" w:cs="宋体"/>
                <w:color w:val="auto"/>
                <w:sz w:val="28"/>
                <w:highlight w:val="none"/>
              </w:rPr>
            </w:pPr>
          </w:p>
        </w:tc>
        <w:tc>
          <w:tcPr>
            <w:tcW w:w="1905" w:type="dxa"/>
            <w:vAlign w:val="center"/>
          </w:tcPr>
          <w:p w14:paraId="3395EC9B">
            <w:pPr>
              <w:spacing w:line="520" w:lineRule="exact"/>
              <w:jc w:val="center"/>
              <w:rPr>
                <w:rFonts w:ascii="宋体" w:hAnsi="宋体" w:cs="宋体"/>
                <w:color w:val="auto"/>
                <w:sz w:val="28"/>
                <w:highlight w:val="none"/>
              </w:rPr>
            </w:pPr>
          </w:p>
        </w:tc>
        <w:tc>
          <w:tcPr>
            <w:tcW w:w="1127" w:type="dxa"/>
            <w:vAlign w:val="center"/>
          </w:tcPr>
          <w:p w14:paraId="5EB19D4F">
            <w:pPr>
              <w:spacing w:line="520" w:lineRule="exact"/>
              <w:jc w:val="center"/>
              <w:rPr>
                <w:rFonts w:ascii="宋体" w:hAnsi="宋体" w:cs="宋体"/>
                <w:color w:val="auto"/>
                <w:sz w:val="28"/>
                <w:highlight w:val="none"/>
              </w:rPr>
            </w:pPr>
          </w:p>
        </w:tc>
        <w:tc>
          <w:tcPr>
            <w:tcW w:w="896" w:type="dxa"/>
            <w:vAlign w:val="center"/>
          </w:tcPr>
          <w:p w14:paraId="1054D1FE">
            <w:pPr>
              <w:spacing w:line="520" w:lineRule="exact"/>
              <w:jc w:val="center"/>
              <w:rPr>
                <w:rFonts w:ascii="宋体" w:hAnsi="宋体" w:cs="宋体"/>
                <w:color w:val="auto"/>
                <w:sz w:val="28"/>
                <w:highlight w:val="none"/>
              </w:rPr>
            </w:pPr>
          </w:p>
        </w:tc>
        <w:tc>
          <w:tcPr>
            <w:tcW w:w="896" w:type="dxa"/>
            <w:vAlign w:val="center"/>
          </w:tcPr>
          <w:p w14:paraId="44F921B3">
            <w:pPr>
              <w:spacing w:line="520" w:lineRule="exact"/>
              <w:jc w:val="center"/>
              <w:rPr>
                <w:rFonts w:ascii="宋体" w:hAnsi="宋体" w:cs="宋体"/>
                <w:color w:val="auto"/>
                <w:sz w:val="28"/>
                <w:highlight w:val="none"/>
              </w:rPr>
            </w:pPr>
          </w:p>
        </w:tc>
        <w:tc>
          <w:tcPr>
            <w:tcW w:w="2814" w:type="dxa"/>
            <w:vAlign w:val="center"/>
          </w:tcPr>
          <w:p w14:paraId="220E0E7D">
            <w:pPr>
              <w:spacing w:line="520" w:lineRule="exact"/>
              <w:jc w:val="center"/>
              <w:rPr>
                <w:rFonts w:ascii="宋体" w:hAnsi="宋体" w:cs="宋体"/>
                <w:color w:val="auto"/>
                <w:sz w:val="28"/>
                <w:highlight w:val="none"/>
              </w:rPr>
            </w:pPr>
          </w:p>
        </w:tc>
      </w:tr>
      <w:tr w14:paraId="435B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2F0AE31B">
            <w:pPr>
              <w:spacing w:line="520" w:lineRule="exact"/>
              <w:jc w:val="center"/>
              <w:rPr>
                <w:rFonts w:ascii="宋体" w:hAnsi="宋体" w:cs="宋体"/>
                <w:color w:val="auto"/>
                <w:sz w:val="28"/>
                <w:highlight w:val="none"/>
              </w:rPr>
            </w:pPr>
          </w:p>
        </w:tc>
        <w:tc>
          <w:tcPr>
            <w:tcW w:w="1905" w:type="dxa"/>
            <w:vAlign w:val="center"/>
          </w:tcPr>
          <w:p w14:paraId="34D66FEF">
            <w:pPr>
              <w:spacing w:line="520" w:lineRule="exact"/>
              <w:jc w:val="center"/>
              <w:rPr>
                <w:rFonts w:ascii="宋体" w:hAnsi="宋体" w:cs="宋体"/>
                <w:color w:val="auto"/>
                <w:sz w:val="28"/>
                <w:highlight w:val="none"/>
              </w:rPr>
            </w:pPr>
          </w:p>
        </w:tc>
        <w:tc>
          <w:tcPr>
            <w:tcW w:w="1127" w:type="dxa"/>
            <w:vAlign w:val="center"/>
          </w:tcPr>
          <w:p w14:paraId="4F6B26B0">
            <w:pPr>
              <w:spacing w:line="520" w:lineRule="exact"/>
              <w:jc w:val="center"/>
              <w:rPr>
                <w:rFonts w:ascii="宋体" w:hAnsi="宋体" w:cs="宋体"/>
                <w:color w:val="auto"/>
                <w:sz w:val="28"/>
                <w:highlight w:val="none"/>
              </w:rPr>
            </w:pPr>
          </w:p>
        </w:tc>
        <w:tc>
          <w:tcPr>
            <w:tcW w:w="896" w:type="dxa"/>
            <w:vAlign w:val="center"/>
          </w:tcPr>
          <w:p w14:paraId="0DE91358">
            <w:pPr>
              <w:spacing w:line="520" w:lineRule="exact"/>
              <w:jc w:val="center"/>
              <w:rPr>
                <w:rFonts w:ascii="宋体" w:hAnsi="宋体" w:cs="宋体"/>
                <w:color w:val="auto"/>
                <w:sz w:val="28"/>
                <w:highlight w:val="none"/>
              </w:rPr>
            </w:pPr>
          </w:p>
        </w:tc>
        <w:tc>
          <w:tcPr>
            <w:tcW w:w="896" w:type="dxa"/>
            <w:vAlign w:val="center"/>
          </w:tcPr>
          <w:p w14:paraId="46576C79">
            <w:pPr>
              <w:spacing w:line="520" w:lineRule="exact"/>
              <w:jc w:val="center"/>
              <w:rPr>
                <w:rFonts w:ascii="宋体" w:hAnsi="宋体" w:cs="宋体"/>
                <w:color w:val="auto"/>
                <w:sz w:val="28"/>
                <w:highlight w:val="none"/>
              </w:rPr>
            </w:pPr>
          </w:p>
        </w:tc>
        <w:tc>
          <w:tcPr>
            <w:tcW w:w="2814" w:type="dxa"/>
            <w:vAlign w:val="center"/>
          </w:tcPr>
          <w:p w14:paraId="0006170B">
            <w:pPr>
              <w:spacing w:line="520" w:lineRule="exact"/>
              <w:jc w:val="center"/>
              <w:rPr>
                <w:rFonts w:ascii="宋体" w:hAnsi="宋体" w:cs="宋体"/>
                <w:color w:val="auto"/>
                <w:sz w:val="28"/>
                <w:highlight w:val="none"/>
              </w:rPr>
            </w:pPr>
          </w:p>
        </w:tc>
      </w:tr>
    </w:tbl>
    <w:p w14:paraId="0C0C9DE3">
      <w:pPr>
        <w:spacing w:line="400" w:lineRule="exact"/>
        <w:rPr>
          <w:rFonts w:ascii="宋体" w:hAnsi="宋体" w:cs="宋体"/>
          <w:color w:val="auto"/>
          <w:sz w:val="28"/>
          <w:szCs w:val="30"/>
          <w:highlight w:val="none"/>
        </w:rPr>
      </w:pPr>
    </w:p>
    <w:p w14:paraId="737CA949">
      <w:pPr>
        <w:spacing w:line="400" w:lineRule="exact"/>
        <w:jc w:val="center"/>
        <w:rPr>
          <w:rFonts w:ascii="宋体" w:hAnsi="宋体" w:cs="宋体"/>
          <w:color w:val="auto"/>
          <w:sz w:val="28"/>
          <w:szCs w:val="30"/>
          <w:highlight w:val="none"/>
        </w:rPr>
      </w:pPr>
    </w:p>
    <w:p w14:paraId="3838667B">
      <w:pPr>
        <w:spacing w:line="400" w:lineRule="exact"/>
        <w:jc w:val="center"/>
        <w:rPr>
          <w:rFonts w:ascii="宋体" w:hAnsi="宋体" w:cs="宋体"/>
          <w:color w:val="auto"/>
          <w:sz w:val="28"/>
          <w:szCs w:val="30"/>
          <w:highlight w:val="none"/>
        </w:rPr>
      </w:pPr>
    </w:p>
    <w:p w14:paraId="0FEBDD9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65CD835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30D10B3E">
      <w:pPr>
        <w:pStyle w:val="19"/>
        <w:spacing w:line="360" w:lineRule="auto"/>
        <w:ind w:firstLine="480"/>
        <w:rPr>
          <w:rFonts w:hAnsi="宋体" w:cs="宋体"/>
          <w:color w:val="auto"/>
          <w:sz w:val="24"/>
          <w:szCs w:val="24"/>
          <w:highlight w:val="none"/>
        </w:rPr>
      </w:pPr>
      <w:r>
        <w:rPr>
          <w:rFonts w:hint="eastAsia" w:hAnsi="宋体" w:cs="宋体"/>
          <w:color w:val="auto"/>
          <w:sz w:val="24"/>
          <w:szCs w:val="24"/>
          <w:highlight w:val="none"/>
        </w:rPr>
        <w:t>日期：    年     月     日</w:t>
      </w:r>
    </w:p>
    <w:p w14:paraId="7D82D733">
      <w:pPr>
        <w:pStyle w:val="19"/>
        <w:spacing w:line="360" w:lineRule="auto"/>
        <w:ind w:firstLine="480"/>
        <w:rPr>
          <w:rFonts w:hAnsi="宋体" w:cs="宋体"/>
          <w:color w:val="auto"/>
          <w:sz w:val="24"/>
          <w:szCs w:val="24"/>
          <w:highlight w:val="none"/>
        </w:rPr>
      </w:pPr>
    </w:p>
    <w:p w14:paraId="202B8E05">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84" w:name="_Toc15328"/>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 类似项目业绩一览表</w:t>
      </w:r>
      <w:bookmarkEnd w:id="284"/>
    </w:p>
    <w:p w14:paraId="053BA1E0">
      <w:pPr>
        <w:spacing w:line="520" w:lineRule="exact"/>
        <w:jc w:val="center"/>
        <w:rPr>
          <w:rFonts w:ascii="宋体" w:hAnsi="宋体" w:cs="宋体"/>
          <w:color w:val="auto"/>
          <w:sz w:val="28"/>
          <w:highlight w:val="none"/>
        </w:rPr>
      </w:pPr>
    </w:p>
    <w:p w14:paraId="2465184A">
      <w:pPr>
        <w:jc w:val="center"/>
        <w:rPr>
          <w:rFonts w:ascii="宋体" w:hAnsi="宋体" w:cs="宋体"/>
          <w:color w:val="auto"/>
          <w:sz w:val="36"/>
          <w:szCs w:val="28"/>
          <w:highlight w:val="none"/>
        </w:rPr>
      </w:pPr>
      <w:r>
        <w:rPr>
          <w:rFonts w:hint="eastAsia" w:ascii="宋体" w:hAnsi="宋体" w:cs="宋体"/>
          <w:color w:val="auto"/>
          <w:sz w:val="36"/>
          <w:szCs w:val="28"/>
          <w:highlight w:val="none"/>
        </w:rPr>
        <w:t>类似项目业绩一览表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482A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6A9215EB">
            <w:pPr>
              <w:spacing w:line="520" w:lineRule="exact"/>
              <w:jc w:val="center"/>
              <w:rPr>
                <w:rFonts w:ascii="宋体" w:hAnsi="宋体" w:cs="宋体"/>
                <w:color w:val="auto"/>
                <w:sz w:val="28"/>
                <w:highlight w:val="none"/>
              </w:rPr>
            </w:pPr>
            <w:r>
              <w:rPr>
                <w:rFonts w:hint="eastAsia" w:ascii="宋体" w:hAnsi="宋体" w:cs="宋体"/>
                <w:color w:val="auto"/>
                <w:sz w:val="28"/>
                <w:highlight w:val="none"/>
              </w:rPr>
              <w:t>序号</w:t>
            </w:r>
          </w:p>
        </w:tc>
        <w:tc>
          <w:tcPr>
            <w:tcW w:w="2439" w:type="dxa"/>
            <w:vAlign w:val="center"/>
          </w:tcPr>
          <w:p w14:paraId="58BF6B82">
            <w:pPr>
              <w:spacing w:line="520" w:lineRule="exact"/>
              <w:jc w:val="center"/>
              <w:rPr>
                <w:rFonts w:ascii="宋体" w:hAnsi="宋体" w:cs="宋体"/>
                <w:color w:val="auto"/>
                <w:sz w:val="28"/>
                <w:highlight w:val="none"/>
              </w:rPr>
            </w:pPr>
            <w:r>
              <w:rPr>
                <w:rFonts w:hint="eastAsia" w:ascii="宋体" w:hAnsi="宋体" w:cs="宋体"/>
                <w:color w:val="auto"/>
                <w:sz w:val="28"/>
                <w:highlight w:val="none"/>
              </w:rPr>
              <w:t>项目名称</w:t>
            </w:r>
          </w:p>
        </w:tc>
        <w:tc>
          <w:tcPr>
            <w:tcW w:w="2135" w:type="dxa"/>
            <w:vAlign w:val="center"/>
          </w:tcPr>
          <w:p w14:paraId="498B35AE">
            <w:pPr>
              <w:spacing w:line="520" w:lineRule="exact"/>
              <w:jc w:val="center"/>
              <w:rPr>
                <w:rFonts w:ascii="宋体" w:hAnsi="宋体" w:cs="宋体"/>
                <w:color w:val="auto"/>
                <w:sz w:val="28"/>
                <w:highlight w:val="none"/>
              </w:rPr>
            </w:pPr>
            <w:r>
              <w:rPr>
                <w:rFonts w:hint="eastAsia" w:ascii="宋体" w:hAnsi="宋体" w:cs="宋体"/>
                <w:color w:val="auto"/>
                <w:sz w:val="28"/>
                <w:highlight w:val="none"/>
              </w:rPr>
              <w:t>签订时间</w:t>
            </w:r>
          </w:p>
        </w:tc>
        <w:tc>
          <w:tcPr>
            <w:tcW w:w="1358" w:type="dxa"/>
            <w:vAlign w:val="center"/>
          </w:tcPr>
          <w:p w14:paraId="19D90442">
            <w:pPr>
              <w:spacing w:line="520" w:lineRule="exact"/>
              <w:jc w:val="center"/>
              <w:rPr>
                <w:rFonts w:ascii="宋体" w:hAnsi="宋体" w:cs="宋体"/>
                <w:color w:val="auto"/>
                <w:sz w:val="28"/>
                <w:highlight w:val="none"/>
              </w:rPr>
            </w:pPr>
            <w:r>
              <w:rPr>
                <w:rFonts w:hint="eastAsia" w:ascii="宋体" w:hAnsi="宋体" w:cs="宋体"/>
                <w:color w:val="auto"/>
                <w:sz w:val="28"/>
                <w:highlight w:val="none"/>
              </w:rPr>
              <w:t>采购单位</w:t>
            </w:r>
          </w:p>
        </w:tc>
        <w:tc>
          <w:tcPr>
            <w:tcW w:w="2418" w:type="dxa"/>
            <w:vAlign w:val="center"/>
          </w:tcPr>
          <w:p w14:paraId="578EDBD0">
            <w:pPr>
              <w:spacing w:line="520" w:lineRule="exact"/>
              <w:jc w:val="center"/>
              <w:rPr>
                <w:rFonts w:ascii="宋体" w:hAnsi="宋体" w:cs="宋体"/>
                <w:color w:val="auto"/>
                <w:sz w:val="28"/>
                <w:highlight w:val="none"/>
              </w:rPr>
            </w:pPr>
            <w:r>
              <w:rPr>
                <w:rFonts w:hint="eastAsia" w:ascii="宋体" w:hAnsi="宋体" w:cs="宋体"/>
                <w:color w:val="auto"/>
                <w:sz w:val="28"/>
                <w:highlight w:val="none"/>
              </w:rPr>
              <w:t>主要标的</w:t>
            </w:r>
          </w:p>
        </w:tc>
      </w:tr>
      <w:tr w14:paraId="6842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614645A">
            <w:pPr>
              <w:spacing w:line="520" w:lineRule="exact"/>
              <w:jc w:val="center"/>
              <w:rPr>
                <w:rFonts w:ascii="宋体" w:hAnsi="宋体" w:cs="宋体"/>
                <w:color w:val="auto"/>
                <w:sz w:val="28"/>
                <w:highlight w:val="none"/>
              </w:rPr>
            </w:pPr>
          </w:p>
        </w:tc>
        <w:tc>
          <w:tcPr>
            <w:tcW w:w="2439" w:type="dxa"/>
            <w:vAlign w:val="center"/>
          </w:tcPr>
          <w:p w14:paraId="17002964">
            <w:pPr>
              <w:spacing w:line="520" w:lineRule="exact"/>
              <w:jc w:val="center"/>
              <w:rPr>
                <w:rFonts w:ascii="宋体" w:hAnsi="宋体" w:cs="宋体"/>
                <w:color w:val="auto"/>
                <w:sz w:val="28"/>
                <w:highlight w:val="none"/>
              </w:rPr>
            </w:pPr>
          </w:p>
        </w:tc>
        <w:tc>
          <w:tcPr>
            <w:tcW w:w="2135" w:type="dxa"/>
            <w:vAlign w:val="center"/>
          </w:tcPr>
          <w:p w14:paraId="2E27AD6E">
            <w:pPr>
              <w:spacing w:line="520" w:lineRule="exact"/>
              <w:jc w:val="center"/>
              <w:rPr>
                <w:rFonts w:ascii="宋体" w:hAnsi="宋体" w:cs="宋体"/>
                <w:color w:val="auto"/>
                <w:sz w:val="28"/>
                <w:highlight w:val="none"/>
              </w:rPr>
            </w:pPr>
          </w:p>
        </w:tc>
        <w:tc>
          <w:tcPr>
            <w:tcW w:w="1358" w:type="dxa"/>
            <w:vAlign w:val="center"/>
          </w:tcPr>
          <w:p w14:paraId="53283313">
            <w:pPr>
              <w:spacing w:line="520" w:lineRule="exact"/>
              <w:jc w:val="center"/>
              <w:rPr>
                <w:rFonts w:ascii="宋体" w:hAnsi="宋体" w:cs="宋体"/>
                <w:color w:val="auto"/>
                <w:sz w:val="28"/>
                <w:highlight w:val="none"/>
              </w:rPr>
            </w:pPr>
          </w:p>
        </w:tc>
        <w:tc>
          <w:tcPr>
            <w:tcW w:w="2418" w:type="dxa"/>
            <w:vAlign w:val="center"/>
          </w:tcPr>
          <w:p w14:paraId="0F24C801">
            <w:pPr>
              <w:spacing w:line="520" w:lineRule="exact"/>
              <w:jc w:val="center"/>
              <w:rPr>
                <w:rFonts w:ascii="宋体" w:hAnsi="宋体" w:cs="宋体"/>
                <w:color w:val="auto"/>
                <w:sz w:val="28"/>
                <w:highlight w:val="none"/>
              </w:rPr>
            </w:pPr>
          </w:p>
        </w:tc>
      </w:tr>
      <w:tr w14:paraId="35B9A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263016BE">
            <w:pPr>
              <w:spacing w:line="520" w:lineRule="exact"/>
              <w:jc w:val="center"/>
              <w:rPr>
                <w:rFonts w:ascii="宋体" w:hAnsi="宋体" w:cs="宋体"/>
                <w:color w:val="auto"/>
                <w:sz w:val="28"/>
                <w:highlight w:val="none"/>
              </w:rPr>
            </w:pPr>
          </w:p>
        </w:tc>
        <w:tc>
          <w:tcPr>
            <w:tcW w:w="2439" w:type="dxa"/>
            <w:vAlign w:val="center"/>
          </w:tcPr>
          <w:p w14:paraId="00595FE0">
            <w:pPr>
              <w:spacing w:line="520" w:lineRule="exact"/>
              <w:jc w:val="center"/>
              <w:rPr>
                <w:rFonts w:ascii="宋体" w:hAnsi="宋体" w:cs="宋体"/>
                <w:color w:val="auto"/>
                <w:sz w:val="28"/>
                <w:highlight w:val="none"/>
              </w:rPr>
            </w:pPr>
          </w:p>
        </w:tc>
        <w:tc>
          <w:tcPr>
            <w:tcW w:w="2135" w:type="dxa"/>
            <w:vAlign w:val="center"/>
          </w:tcPr>
          <w:p w14:paraId="6CA79E20">
            <w:pPr>
              <w:spacing w:line="520" w:lineRule="exact"/>
              <w:jc w:val="center"/>
              <w:rPr>
                <w:rFonts w:ascii="宋体" w:hAnsi="宋体" w:cs="宋体"/>
                <w:color w:val="auto"/>
                <w:sz w:val="28"/>
                <w:highlight w:val="none"/>
              </w:rPr>
            </w:pPr>
          </w:p>
        </w:tc>
        <w:tc>
          <w:tcPr>
            <w:tcW w:w="1358" w:type="dxa"/>
            <w:vAlign w:val="center"/>
          </w:tcPr>
          <w:p w14:paraId="1090934D">
            <w:pPr>
              <w:spacing w:line="520" w:lineRule="exact"/>
              <w:jc w:val="center"/>
              <w:rPr>
                <w:rFonts w:ascii="宋体" w:hAnsi="宋体" w:cs="宋体"/>
                <w:color w:val="auto"/>
                <w:sz w:val="28"/>
                <w:highlight w:val="none"/>
              </w:rPr>
            </w:pPr>
          </w:p>
        </w:tc>
        <w:tc>
          <w:tcPr>
            <w:tcW w:w="2418" w:type="dxa"/>
            <w:vAlign w:val="center"/>
          </w:tcPr>
          <w:p w14:paraId="620CDB78">
            <w:pPr>
              <w:spacing w:line="520" w:lineRule="exact"/>
              <w:jc w:val="center"/>
              <w:rPr>
                <w:rFonts w:ascii="宋体" w:hAnsi="宋体" w:cs="宋体"/>
                <w:color w:val="auto"/>
                <w:sz w:val="28"/>
                <w:highlight w:val="none"/>
              </w:rPr>
            </w:pPr>
          </w:p>
        </w:tc>
      </w:tr>
      <w:tr w14:paraId="4F9F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EFEB8E2">
            <w:pPr>
              <w:spacing w:line="520" w:lineRule="exact"/>
              <w:jc w:val="center"/>
              <w:rPr>
                <w:rFonts w:ascii="宋体" w:hAnsi="宋体" w:cs="宋体"/>
                <w:color w:val="auto"/>
                <w:sz w:val="28"/>
                <w:highlight w:val="none"/>
              </w:rPr>
            </w:pPr>
          </w:p>
        </w:tc>
        <w:tc>
          <w:tcPr>
            <w:tcW w:w="2439" w:type="dxa"/>
            <w:vAlign w:val="center"/>
          </w:tcPr>
          <w:p w14:paraId="7A9BFE8A">
            <w:pPr>
              <w:spacing w:line="520" w:lineRule="exact"/>
              <w:jc w:val="center"/>
              <w:rPr>
                <w:rFonts w:ascii="宋体" w:hAnsi="宋体" w:cs="宋体"/>
                <w:color w:val="auto"/>
                <w:sz w:val="28"/>
                <w:highlight w:val="none"/>
              </w:rPr>
            </w:pPr>
          </w:p>
        </w:tc>
        <w:tc>
          <w:tcPr>
            <w:tcW w:w="2135" w:type="dxa"/>
            <w:vAlign w:val="center"/>
          </w:tcPr>
          <w:p w14:paraId="749E7F69">
            <w:pPr>
              <w:spacing w:line="520" w:lineRule="exact"/>
              <w:jc w:val="center"/>
              <w:rPr>
                <w:rFonts w:ascii="宋体" w:hAnsi="宋体" w:cs="宋体"/>
                <w:color w:val="auto"/>
                <w:sz w:val="28"/>
                <w:highlight w:val="none"/>
              </w:rPr>
            </w:pPr>
          </w:p>
        </w:tc>
        <w:tc>
          <w:tcPr>
            <w:tcW w:w="1358" w:type="dxa"/>
            <w:vAlign w:val="center"/>
          </w:tcPr>
          <w:p w14:paraId="201A4121">
            <w:pPr>
              <w:spacing w:line="520" w:lineRule="exact"/>
              <w:jc w:val="center"/>
              <w:rPr>
                <w:rFonts w:ascii="宋体" w:hAnsi="宋体" w:cs="宋体"/>
                <w:color w:val="auto"/>
                <w:sz w:val="28"/>
                <w:highlight w:val="none"/>
              </w:rPr>
            </w:pPr>
          </w:p>
        </w:tc>
        <w:tc>
          <w:tcPr>
            <w:tcW w:w="2418" w:type="dxa"/>
            <w:vAlign w:val="center"/>
          </w:tcPr>
          <w:p w14:paraId="7552C93E">
            <w:pPr>
              <w:spacing w:line="520" w:lineRule="exact"/>
              <w:jc w:val="center"/>
              <w:rPr>
                <w:rFonts w:ascii="宋体" w:hAnsi="宋体" w:cs="宋体"/>
                <w:color w:val="auto"/>
                <w:sz w:val="28"/>
                <w:highlight w:val="none"/>
              </w:rPr>
            </w:pPr>
          </w:p>
        </w:tc>
      </w:tr>
      <w:tr w14:paraId="6270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04033C9">
            <w:pPr>
              <w:spacing w:line="520" w:lineRule="exact"/>
              <w:jc w:val="center"/>
              <w:rPr>
                <w:rFonts w:ascii="宋体" w:hAnsi="宋体" w:cs="宋体"/>
                <w:color w:val="auto"/>
                <w:sz w:val="28"/>
                <w:highlight w:val="none"/>
              </w:rPr>
            </w:pPr>
          </w:p>
        </w:tc>
        <w:tc>
          <w:tcPr>
            <w:tcW w:w="2439" w:type="dxa"/>
            <w:vAlign w:val="center"/>
          </w:tcPr>
          <w:p w14:paraId="331CDAB0">
            <w:pPr>
              <w:spacing w:line="520" w:lineRule="exact"/>
              <w:jc w:val="center"/>
              <w:rPr>
                <w:rFonts w:ascii="宋体" w:hAnsi="宋体" w:cs="宋体"/>
                <w:color w:val="auto"/>
                <w:sz w:val="28"/>
                <w:highlight w:val="none"/>
              </w:rPr>
            </w:pPr>
          </w:p>
        </w:tc>
        <w:tc>
          <w:tcPr>
            <w:tcW w:w="2135" w:type="dxa"/>
            <w:vAlign w:val="center"/>
          </w:tcPr>
          <w:p w14:paraId="60BA2ACF">
            <w:pPr>
              <w:spacing w:line="520" w:lineRule="exact"/>
              <w:jc w:val="center"/>
              <w:rPr>
                <w:rFonts w:ascii="宋体" w:hAnsi="宋体" w:cs="宋体"/>
                <w:color w:val="auto"/>
                <w:sz w:val="28"/>
                <w:highlight w:val="none"/>
              </w:rPr>
            </w:pPr>
          </w:p>
        </w:tc>
        <w:tc>
          <w:tcPr>
            <w:tcW w:w="1358" w:type="dxa"/>
            <w:vAlign w:val="center"/>
          </w:tcPr>
          <w:p w14:paraId="489386BA">
            <w:pPr>
              <w:spacing w:line="520" w:lineRule="exact"/>
              <w:jc w:val="center"/>
              <w:rPr>
                <w:rFonts w:ascii="宋体" w:hAnsi="宋体" w:cs="宋体"/>
                <w:color w:val="auto"/>
                <w:sz w:val="28"/>
                <w:highlight w:val="none"/>
              </w:rPr>
            </w:pPr>
          </w:p>
        </w:tc>
        <w:tc>
          <w:tcPr>
            <w:tcW w:w="2418" w:type="dxa"/>
            <w:vAlign w:val="center"/>
          </w:tcPr>
          <w:p w14:paraId="1BAC5C53">
            <w:pPr>
              <w:spacing w:line="520" w:lineRule="exact"/>
              <w:jc w:val="center"/>
              <w:rPr>
                <w:rFonts w:ascii="宋体" w:hAnsi="宋体" w:cs="宋体"/>
                <w:color w:val="auto"/>
                <w:sz w:val="28"/>
                <w:highlight w:val="none"/>
              </w:rPr>
            </w:pPr>
          </w:p>
        </w:tc>
      </w:tr>
      <w:tr w14:paraId="3298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22F0FB13">
            <w:pPr>
              <w:spacing w:line="520" w:lineRule="exact"/>
              <w:jc w:val="center"/>
              <w:rPr>
                <w:rFonts w:ascii="宋体" w:hAnsi="宋体" w:cs="宋体"/>
                <w:color w:val="auto"/>
                <w:sz w:val="28"/>
                <w:highlight w:val="none"/>
              </w:rPr>
            </w:pPr>
          </w:p>
        </w:tc>
        <w:tc>
          <w:tcPr>
            <w:tcW w:w="2439" w:type="dxa"/>
            <w:vAlign w:val="center"/>
          </w:tcPr>
          <w:p w14:paraId="5182B64D">
            <w:pPr>
              <w:spacing w:line="520" w:lineRule="exact"/>
              <w:jc w:val="center"/>
              <w:rPr>
                <w:rFonts w:ascii="宋体" w:hAnsi="宋体" w:cs="宋体"/>
                <w:color w:val="auto"/>
                <w:sz w:val="28"/>
                <w:highlight w:val="none"/>
              </w:rPr>
            </w:pPr>
          </w:p>
        </w:tc>
        <w:tc>
          <w:tcPr>
            <w:tcW w:w="2135" w:type="dxa"/>
            <w:vAlign w:val="center"/>
          </w:tcPr>
          <w:p w14:paraId="1DDCC89F">
            <w:pPr>
              <w:spacing w:line="520" w:lineRule="exact"/>
              <w:jc w:val="center"/>
              <w:rPr>
                <w:rFonts w:ascii="宋体" w:hAnsi="宋体" w:cs="宋体"/>
                <w:color w:val="auto"/>
                <w:sz w:val="28"/>
                <w:highlight w:val="none"/>
              </w:rPr>
            </w:pPr>
          </w:p>
        </w:tc>
        <w:tc>
          <w:tcPr>
            <w:tcW w:w="1358" w:type="dxa"/>
            <w:vAlign w:val="center"/>
          </w:tcPr>
          <w:p w14:paraId="62768F10">
            <w:pPr>
              <w:spacing w:line="520" w:lineRule="exact"/>
              <w:jc w:val="center"/>
              <w:rPr>
                <w:rFonts w:ascii="宋体" w:hAnsi="宋体" w:cs="宋体"/>
                <w:color w:val="auto"/>
                <w:sz w:val="28"/>
                <w:highlight w:val="none"/>
              </w:rPr>
            </w:pPr>
          </w:p>
        </w:tc>
        <w:tc>
          <w:tcPr>
            <w:tcW w:w="2418" w:type="dxa"/>
            <w:vAlign w:val="center"/>
          </w:tcPr>
          <w:p w14:paraId="03B3698D">
            <w:pPr>
              <w:spacing w:line="520" w:lineRule="exact"/>
              <w:jc w:val="center"/>
              <w:rPr>
                <w:rFonts w:ascii="宋体" w:hAnsi="宋体" w:cs="宋体"/>
                <w:color w:val="auto"/>
                <w:sz w:val="28"/>
                <w:highlight w:val="none"/>
              </w:rPr>
            </w:pPr>
          </w:p>
        </w:tc>
      </w:tr>
      <w:tr w14:paraId="25AF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3E4186B6">
            <w:pPr>
              <w:spacing w:line="520" w:lineRule="exact"/>
              <w:jc w:val="center"/>
              <w:rPr>
                <w:rFonts w:ascii="宋体" w:hAnsi="宋体" w:cs="宋体"/>
                <w:color w:val="auto"/>
                <w:sz w:val="28"/>
                <w:highlight w:val="none"/>
              </w:rPr>
            </w:pPr>
          </w:p>
        </w:tc>
        <w:tc>
          <w:tcPr>
            <w:tcW w:w="2439" w:type="dxa"/>
            <w:vAlign w:val="center"/>
          </w:tcPr>
          <w:p w14:paraId="5C7B073F">
            <w:pPr>
              <w:spacing w:line="520" w:lineRule="exact"/>
              <w:jc w:val="center"/>
              <w:rPr>
                <w:rFonts w:ascii="宋体" w:hAnsi="宋体" w:cs="宋体"/>
                <w:color w:val="auto"/>
                <w:sz w:val="28"/>
                <w:highlight w:val="none"/>
              </w:rPr>
            </w:pPr>
          </w:p>
        </w:tc>
        <w:tc>
          <w:tcPr>
            <w:tcW w:w="2135" w:type="dxa"/>
            <w:vAlign w:val="center"/>
          </w:tcPr>
          <w:p w14:paraId="099E7834">
            <w:pPr>
              <w:spacing w:line="520" w:lineRule="exact"/>
              <w:jc w:val="center"/>
              <w:rPr>
                <w:rFonts w:ascii="宋体" w:hAnsi="宋体" w:cs="宋体"/>
                <w:color w:val="auto"/>
                <w:sz w:val="28"/>
                <w:highlight w:val="none"/>
              </w:rPr>
            </w:pPr>
          </w:p>
        </w:tc>
        <w:tc>
          <w:tcPr>
            <w:tcW w:w="1358" w:type="dxa"/>
            <w:vAlign w:val="center"/>
          </w:tcPr>
          <w:p w14:paraId="450B32E2">
            <w:pPr>
              <w:spacing w:line="520" w:lineRule="exact"/>
              <w:jc w:val="center"/>
              <w:rPr>
                <w:rFonts w:ascii="宋体" w:hAnsi="宋体" w:cs="宋体"/>
                <w:color w:val="auto"/>
                <w:sz w:val="28"/>
                <w:highlight w:val="none"/>
              </w:rPr>
            </w:pPr>
          </w:p>
        </w:tc>
        <w:tc>
          <w:tcPr>
            <w:tcW w:w="2418" w:type="dxa"/>
            <w:vAlign w:val="center"/>
          </w:tcPr>
          <w:p w14:paraId="7BFBB08E">
            <w:pPr>
              <w:spacing w:line="520" w:lineRule="exact"/>
              <w:jc w:val="center"/>
              <w:rPr>
                <w:rFonts w:ascii="宋体" w:hAnsi="宋体" w:cs="宋体"/>
                <w:color w:val="auto"/>
                <w:sz w:val="28"/>
                <w:highlight w:val="none"/>
              </w:rPr>
            </w:pPr>
          </w:p>
        </w:tc>
      </w:tr>
      <w:tr w14:paraId="623E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381FF809">
            <w:pPr>
              <w:spacing w:line="520" w:lineRule="exact"/>
              <w:jc w:val="center"/>
              <w:rPr>
                <w:rFonts w:ascii="宋体" w:hAnsi="宋体" w:cs="宋体"/>
                <w:color w:val="auto"/>
                <w:sz w:val="28"/>
                <w:highlight w:val="none"/>
              </w:rPr>
            </w:pPr>
          </w:p>
        </w:tc>
        <w:tc>
          <w:tcPr>
            <w:tcW w:w="2439" w:type="dxa"/>
            <w:vAlign w:val="center"/>
          </w:tcPr>
          <w:p w14:paraId="3ECD89FD">
            <w:pPr>
              <w:spacing w:line="520" w:lineRule="exact"/>
              <w:jc w:val="center"/>
              <w:rPr>
                <w:rFonts w:ascii="宋体" w:hAnsi="宋体" w:cs="宋体"/>
                <w:color w:val="auto"/>
                <w:sz w:val="28"/>
                <w:highlight w:val="none"/>
              </w:rPr>
            </w:pPr>
          </w:p>
        </w:tc>
        <w:tc>
          <w:tcPr>
            <w:tcW w:w="2135" w:type="dxa"/>
            <w:vAlign w:val="center"/>
          </w:tcPr>
          <w:p w14:paraId="1436593D">
            <w:pPr>
              <w:spacing w:line="520" w:lineRule="exact"/>
              <w:jc w:val="center"/>
              <w:rPr>
                <w:rFonts w:ascii="宋体" w:hAnsi="宋体" w:cs="宋体"/>
                <w:color w:val="auto"/>
                <w:sz w:val="28"/>
                <w:highlight w:val="none"/>
              </w:rPr>
            </w:pPr>
          </w:p>
        </w:tc>
        <w:tc>
          <w:tcPr>
            <w:tcW w:w="1358" w:type="dxa"/>
            <w:vAlign w:val="center"/>
          </w:tcPr>
          <w:p w14:paraId="79487E14">
            <w:pPr>
              <w:spacing w:line="520" w:lineRule="exact"/>
              <w:jc w:val="center"/>
              <w:rPr>
                <w:rFonts w:ascii="宋体" w:hAnsi="宋体" w:cs="宋体"/>
                <w:color w:val="auto"/>
                <w:sz w:val="28"/>
                <w:highlight w:val="none"/>
              </w:rPr>
            </w:pPr>
          </w:p>
        </w:tc>
        <w:tc>
          <w:tcPr>
            <w:tcW w:w="2418" w:type="dxa"/>
            <w:vAlign w:val="center"/>
          </w:tcPr>
          <w:p w14:paraId="5FC1D10E">
            <w:pPr>
              <w:spacing w:line="520" w:lineRule="exact"/>
              <w:jc w:val="center"/>
              <w:rPr>
                <w:rFonts w:ascii="宋体" w:hAnsi="宋体" w:cs="宋体"/>
                <w:color w:val="auto"/>
                <w:sz w:val="28"/>
                <w:highlight w:val="none"/>
              </w:rPr>
            </w:pPr>
          </w:p>
        </w:tc>
      </w:tr>
      <w:tr w14:paraId="56BE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631DA1AD">
            <w:pPr>
              <w:spacing w:line="520" w:lineRule="exact"/>
              <w:jc w:val="center"/>
              <w:rPr>
                <w:rFonts w:ascii="宋体" w:hAnsi="宋体" w:cs="宋体"/>
                <w:color w:val="auto"/>
                <w:sz w:val="28"/>
                <w:highlight w:val="none"/>
              </w:rPr>
            </w:pPr>
          </w:p>
        </w:tc>
        <w:tc>
          <w:tcPr>
            <w:tcW w:w="2439" w:type="dxa"/>
            <w:vAlign w:val="center"/>
          </w:tcPr>
          <w:p w14:paraId="08B65808">
            <w:pPr>
              <w:spacing w:line="520" w:lineRule="exact"/>
              <w:jc w:val="center"/>
              <w:rPr>
                <w:rFonts w:ascii="宋体" w:hAnsi="宋体" w:cs="宋体"/>
                <w:color w:val="auto"/>
                <w:sz w:val="28"/>
                <w:highlight w:val="none"/>
              </w:rPr>
            </w:pPr>
          </w:p>
        </w:tc>
        <w:tc>
          <w:tcPr>
            <w:tcW w:w="2135" w:type="dxa"/>
            <w:vAlign w:val="center"/>
          </w:tcPr>
          <w:p w14:paraId="3CE362C1">
            <w:pPr>
              <w:spacing w:line="520" w:lineRule="exact"/>
              <w:jc w:val="center"/>
              <w:rPr>
                <w:rFonts w:ascii="宋体" w:hAnsi="宋体" w:cs="宋体"/>
                <w:color w:val="auto"/>
                <w:sz w:val="28"/>
                <w:highlight w:val="none"/>
              </w:rPr>
            </w:pPr>
          </w:p>
        </w:tc>
        <w:tc>
          <w:tcPr>
            <w:tcW w:w="1358" w:type="dxa"/>
            <w:vAlign w:val="center"/>
          </w:tcPr>
          <w:p w14:paraId="5C8CDF38">
            <w:pPr>
              <w:spacing w:line="520" w:lineRule="exact"/>
              <w:jc w:val="center"/>
              <w:rPr>
                <w:rFonts w:ascii="宋体" w:hAnsi="宋体" w:cs="宋体"/>
                <w:color w:val="auto"/>
                <w:sz w:val="28"/>
                <w:highlight w:val="none"/>
              </w:rPr>
            </w:pPr>
          </w:p>
        </w:tc>
        <w:tc>
          <w:tcPr>
            <w:tcW w:w="2418" w:type="dxa"/>
            <w:vAlign w:val="center"/>
          </w:tcPr>
          <w:p w14:paraId="094E8DC7">
            <w:pPr>
              <w:spacing w:line="520" w:lineRule="exact"/>
              <w:jc w:val="center"/>
              <w:rPr>
                <w:rFonts w:ascii="宋体" w:hAnsi="宋体" w:cs="宋体"/>
                <w:color w:val="auto"/>
                <w:sz w:val="28"/>
                <w:highlight w:val="none"/>
              </w:rPr>
            </w:pPr>
          </w:p>
        </w:tc>
      </w:tr>
      <w:tr w14:paraId="5E0D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4C464D15">
            <w:pPr>
              <w:spacing w:line="520" w:lineRule="exact"/>
              <w:jc w:val="center"/>
              <w:rPr>
                <w:rFonts w:ascii="宋体" w:hAnsi="宋体" w:cs="宋体"/>
                <w:color w:val="auto"/>
                <w:sz w:val="28"/>
                <w:highlight w:val="none"/>
              </w:rPr>
            </w:pPr>
          </w:p>
        </w:tc>
        <w:tc>
          <w:tcPr>
            <w:tcW w:w="2439" w:type="dxa"/>
            <w:vAlign w:val="center"/>
          </w:tcPr>
          <w:p w14:paraId="48E06ED8">
            <w:pPr>
              <w:spacing w:line="520" w:lineRule="exact"/>
              <w:jc w:val="center"/>
              <w:rPr>
                <w:rFonts w:ascii="宋体" w:hAnsi="宋体" w:cs="宋体"/>
                <w:color w:val="auto"/>
                <w:sz w:val="28"/>
                <w:highlight w:val="none"/>
              </w:rPr>
            </w:pPr>
          </w:p>
        </w:tc>
        <w:tc>
          <w:tcPr>
            <w:tcW w:w="2135" w:type="dxa"/>
            <w:vAlign w:val="center"/>
          </w:tcPr>
          <w:p w14:paraId="622C8C16">
            <w:pPr>
              <w:spacing w:line="520" w:lineRule="exact"/>
              <w:jc w:val="center"/>
              <w:rPr>
                <w:rFonts w:ascii="宋体" w:hAnsi="宋体" w:cs="宋体"/>
                <w:color w:val="auto"/>
                <w:sz w:val="28"/>
                <w:highlight w:val="none"/>
              </w:rPr>
            </w:pPr>
          </w:p>
        </w:tc>
        <w:tc>
          <w:tcPr>
            <w:tcW w:w="1358" w:type="dxa"/>
            <w:vAlign w:val="center"/>
          </w:tcPr>
          <w:p w14:paraId="5C22B0CB">
            <w:pPr>
              <w:spacing w:line="520" w:lineRule="exact"/>
              <w:jc w:val="center"/>
              <w:rPr>
                <w:rFonts w:ascii="宋体" w:hAnsi="宋体" w:cs="宋体"/>
                <w:color w:val="auto"/>
                <w:sz w:val="28"/>
                <w:highlight w:val="none"/>
              </w:rPr>
            </w:pPr>
          </w:p>
        </w:tc>
        <w:tc>
          <w:tcPr>
            <w:tcW w:w="2418" w:type="dxa"/>
            <w:vAlign w:val="center"/>
          </w:tcPr>
          <w:p w14:paraId="7B29916F">
            <w:pPr>
              <w:spacing w:line="520" w:lineRule="exact"/>
              <w:jc w:val="center"/>
              <w:rPr>
                <w:rFonts w:ascii="宋体" w:hAnsi="宋体" w:cs="宋体"/>
                <w:color w:val="auto"/>
                <w:sz w:val="28"/>
                <w:highlight w:val="none"/>
              </w:rPr>
            </w:pPr>
          </w:p>
        </w:tc>
      </w:tr>
      <w:tr w14:paraId="5673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vAlign w:val="center"/>
          </w:tcPr>
          <w:p w14:paraId="433889AE">
            <w:pPr>
              <w:spacing w:line="520" w:lineRule="exact"/>
              <w:jc w:val="center"/>
              <w:rPr>
                <w:rFonts w:ascii="宋体" w:hAnsi="宋体" w:cs="宋体"/>
                <w:color w:val="auto"/>
                <w:sz w:val="28"/>
                <w:highlight w:val="none"/>
              </w:rPr>
            </w:pPr>
          </w:p>
        </w:tc>
        <w:tc>
          <w:tcPr>
            <w:tcW w:w="2439" w:type="dxa"/>
            <w:vAlign w:val="center"/>
          </w:tcPr>
          <w:p w14:paraId="21A09A05">
            <w:pPr>
              <w:spacing w:line="520" w:lineRule="exact"/>
              <w:jc w:val="center"/>
              <w:rPr>
                <w:rFonts w:ascii="宋体" w:hAnsi="宋体" w:cs="宋体"/>
                <w:color w:val="auto"/>
                <w:sz w:val="28"/>
                <w:highlight w:val="none"/>
              </w:rPr>
            </w:pPr>
          </w:p>
        </w:tc>
        <w:tc>
          <w:tcPr>
            <w:tcW w:w="2135" w:type="dxa"/>
            <w:vAlign w:val="center"/>
          </w:tcPr>
          <w:p w14:paraId="70B0DC06">
            <w:pPr>
              <w:spacing w:line="520" w:lineRule="exact"/>
              <w:jc w:val="center"/>
              <w:rPr>
                <w:rFonts w:ascii="宋体" w:hAnsi="宋体" w:cs="宋体"/>
                <w:color w:val="auto"/>
                <w:sz w:val="28"/>
                <w:highlight w:val="none"/>
              </w:rPr>
            </w:pPr>
          </w:p>
        </w:tc>
        <w:tc>
          <w:tcPr>
            <w:tcW w:w="1358" w:type="dxa"/>
            <w:vAlign w:val="center"/>
          </w:tcPr>
          <w:p w14:paraId="1423241A">
            <w:pPr>
              <w:spacing w:line="520" w:lineRule="exact"/>
              <w:jc w:val="center"/>
              <w:rPr>
                <w:rFonts w:ascii="宋体" w:hAnsi="宋体" w:cs="宋体"/>
                <w:color w:val="auto"/>
                <w:sz w:val="28"/>
                <w:highlight w:val="none"/>
              </w:rPr>
            </w:pPr>
          </w:p>
        </w:tc>
        <w:tc>
          <w:tcPr>
            <w:tcW w:w="2418" w:type="dxa"/>
            <w:vAlign w:val="center"/>
          </w:tcPr>
          <w:p w14:paraId="1CC93C75">
            <w:pPr>
              <w:spacing w:line="520" w:lineRule="exact"/>
              <w:jc w:val="center"/>
              <w:rPr>
                <w:rFonts w:ascii="宋体" w:hAnsi="宋体" w:cs="宋体"/>
                <w:color w:val="auto"/>
                <w:sz w:val="28"/>
                <w:highlight w:val="none"/>
              </w:rPr>
            </w:pPr>
          </w:p>
        </w:tc>
      </w:tr>
    </w:tbl>
    <w:p w14:paraId="08DD8DC5">
      <w:pPr>
        <w:spacing w:line="400" w:lineRule="exact"/>
        <w:jc w:val="center"/>
        <w:rPr>
          <w:rFonts w:ascii="宋体" w:hAnsi="宋体" w:cs="宋体"/>
          <w:color w:val="auto"/>
          <w:sz w:val="28"/>
          <w:szCs w:val="30"/>
          <w:highlight w:val="none"/>
        </w:rPr>
      </w:pPr>
    </w:p>
    <w:p w14:paraId="3DEB46A8">
      <w:pPr>
        <w:spacing w:line="400" w:lineRule="exact"/>
        <w:rPr>
          <w:rFonts w:ascii="宋体" w:hAnsi="宋体" w:cs="宋体"/>
          <w:color w:val="auto"/>
          <w:sz w:val="28"/>
          <w:szCs w:val="30"/>
          <w:highlight w:val="none"/>
        </w:rPr>
      </w:pPr>
    </w:p>
    <w:p w14:paraId="3BC6242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6F38401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55D4A4FC">
      <w:pPr>
        <w:pStyle w:val="19"/>
        <w:spacing w:line="360" w:lineRule="auto"/>
        <w:ind w:firstLine="480"/>
        <w:rPr>
          <w:rFonts w:hAnsi="宋体" w:cs="宋体"/>
          <w:color w:val="auto"/>
          <w:sz w:val="24"/>
          <w:szCs w:val="24"/>
          <w:highlight w:val="none"/>
        </w:rPr>
      </w:pPr>
      <w:r>
        <w:rPr>
          <w:rFonts w:hint="eastAsia" w:hAnsi="宋体" w:cs="宋体"/>
          <w:color w:val="auto"/>
          <w:sz w:val="24"/>
          <w:szCs w:val="24"/>
          <w:highlight w:val="none"/>
        </w:rPr>
        <w:t>日期：    年     月     日</w:t>
      </w:r>
    </w:p>
    <w:p w14:paraId="3DBD5009">
      <w:pPr>
        <w:pStyle w:val="19"/>
        <w:spacing w:line="360" w:lineRule="auto"/>
        <w:ind w:firstLine="480"/>
        <w:rPr>
          <w:rFonts w:hAnsi="宋体" w:cs="宋体"/>
          <w:color w:val="auto"/>
          <w:sz w:val="24"/>
          <w:szCs w:val="24"/>
          <w:highlight w:val="none"/>
        </w:rPr>
      </w:pPr>
    </w:p>
    <w:p w14:paraId="68261445">
      <w:pPr>
        <w:pStyle w:val="3"/>
        <w:spacing w:before="0" w:after="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285" w:name="_Toc24778"/>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 xml:space="preserve"> 项目需求响应</w:t>
      </w:r>
      <w:bookmarkEnd w:id="285"/>
    </w:p>
    <w:p w14:paraId="38F5AECD">
      <w:pPr>
        <w:jc w:val="center"/>
        <w:rPr>
          <w:rFonts w:ascii="宋体" w:hAnsi="宋体" w:cs="宋体"/>
          <w:color w:val="auto"/>
          <w:sz w:val="36"/>
          <w:szCs w:val="28"/>
          <w:highlight w:val="none"/>
        </w:rPr>
      </w:pPr>
      <w:r>
        <w:rPr>
          <w:rFonts w:hint="eastAsia" w:ascii="宋体" w:hAnsi="宋体" w:cs="宋体"/>
          <w:color w:val="auto"/>
          <w:sz w:val="36"/>
          <w:szCs w:val="28"/>
          <w:highlight w:val="none"/>
        </w:rPr>
        <w:t>项目需求响应</w:t>
      </w:r>
    </w:p>
    <w:p w14:paraId="783D9A56">
      <w:pPr>
        <w:pStyle w:val="19"/>
        <w:spacing w:line="360" w:lineRule="auto"/>
        <w:ind w:firstLine="480"/>
        <w:jc w:val="center"/>
        <w:rPr>
          <w:rFonts w:hAnsi="宋体" w:cs="宋体"/>
          <w:color w:val="auto"/>
          <w:sz w:val="24"/>
          <w:highlight w:val="none"/>
        </w:rPr>
      </w:pPr>
      <w:r>
        <w:rPr>
          <w:rFonts w:hint="eastAsia" w:hAnsi="宋体" w:cs="宋体"/>
          <w:color w:val="auto"/>
          <w:sz w:val="24"/>
          <w:highlight w:val="none"/>
        </w:rPr>
        <w:t>（请按“项目需求”等内容要求自行填写，格式自定）</w:t>
      </w:r>
    </w:p>
    <w:p w14:paraId="3CCEA2A8">
      <w:pPr>
        <w:spacing w:line="520" w:lineRule="exact"/>
        <w:rPr>
          <w:rFonts w:ascii="宋体" w:hAnsi="宋体" w:cs="宋体"/>
          <w:color w:val="auto"/>
          <w:sz w:val="24"/>
          <w:highlight w:val="none"/>
        </w:rPr>
      </w:pPr>
    </w:p>
    <w:p w14:paraId="12853DB4">
      <w:pPr>
        <w:spacing w:line="520" w:lineRule="exact"/>
        <w:rPr>
          <w:rFonts w:ascii="宋体" w:hAnsi="宋体" w:cs="宋体"/>
          <w:color w:val="auto"/>
          <w:sz w:val="24"/>
          <w:highlight w:val="none"/>
        </w:rPr>
      </w:pPr>
    </w:p>
    <w:p w14:paraId="22986CF3">
      <w:pPr>
        <w:spacing w:line="520" w:lineRule="exact"/>
        <w:rPr>
          <w:rFonts w:ascii="宋体" w:hAnsi="宋体" w:cs="宋体"/>
          <w:color w:val="auto"/>
          <w:sz w:val="24"/>
          <w:highlight w:val="none"/>
        </w:rPr>
      </w:pPr>
    </w:p>
    <w:p w14:paraId="3440C1D1">
      <w:pPr>
        <w:spacing w:line="520" w:lineRule="exact"/>
        <w:rPr>
          <w:rFonts w:ascii="宋体" w:hAnsi="宋体" w:cs="宋体"/>
          <w:color w:val="auto"/>
          <w:sz w:val="24"/>
          <w:highlight w:val="none"/>
        </w:rPr>
      </w:pPr>
    </w:p>
    <w:p w14:paraId="685727AD">
      <w:pPr>
        <w:spacing w:line="520" w:lineRule="exact"/>
        <w:rPr>
          <w:rFonts w:ascii="宋体" w:hAnsi="宋体" w:cs="宋体"/>
          <w:color w:val="auto"/>
          <w:sz w:val="24"/>
          <w:highlight w:val="none"/>
        </w:rPr>
      </w:pPr>
    </w:p>
    <w:p w14:paraId="2C492C60">
      <w:pPr>
        <w:spacing w:line="520" w:lineRule="exact"/>
        <w:rPr>
          <w:rFonts w:ascii="宋体" w:hAnsi="宋体" w:cs="宋体"/>
          <w:color w:val="auto"/>
          <w:sz w:val="24"/>
          <w:highlight w:val="none"/>
        </w:rPr>
      </w:pPr>
    </w:p>
    <w:p w14:paraId="1D1ADBF2">
      <w:pPr>
        <w:spacing w:line="520" w:lineRule="exact"/>
        <w:rPr>
          <w:rFonts w:ascii="宋体" w:hAnsi="宋体" w:cs="宋体"/>
          <w:color w:val="auto"/>
          <w:sz w:val="24"/>
          <w:highlight w:val="none"/>
        </w:rPr>
      </w:pPr>
    </w:p>
    <w:p w14:paraId="2AF0D845">
      <w:pPr>
        <w:spacing w:line="520" w:lineRule="exact"/>
        <w:rPr>
          <w:rFonts w:ascii="宋体" w:hAnsi="宋体" w:cs="宋体"/>
          <w:color w:val="auto"/>
          <w:sz w:val="24"/>
          <w:highlight w:val="none"/>
        </w:rPr>
      </w:pPr>
    </w:p>
    <w:p w14:paraId="158C2D62">
      <w:pPr>
        <w:spacing w:line="520" w:lineRule="exact"/>
        <w:rPr>
          <w:rFonts w:ascii="宋体" w:hAnsi="宋体" w:cs="宋体"/>
          <w:color w:val="auto"/>
          <w:sz w:val="24"/>
          <w:highlight w:val="none"/>
        </w:rPr>
      </w:pPr>
    </w:p>
    <w:p w14:paraId="2E26DDDE">
      <w:pPr>
        <w:spacing w:line="520" w:lineRule="exact"/>
        <w:rPr>
          <w:rFonts w:ascii="宋体" w:hAnsi="宋体" w:cs="宋体"/>
          <w:color w:val="auto"/>
          <w:sz w:val="24"/>
          <w:highlight w:val="none"/>
        </w:rPr>
      </w:pPr>
    </w:p>
    <w:p w14:paraId="2F68A719">
      <w:pPr>
        <w:spacing w:line="520" w:lineRule="exact"/>
        <w:rPr>
          <w:rFonts w:ascii="宋体" w:hAnsi="宋体" w:cs="宋体"/>
          <w:color w:val="auto"/>
          <w:sz w:val="24"/>
          <w:highlight w:val="none"/>
        </w:rPr>
      </w:pPr>
    </w:p>
    <w:p w14:paraId="687F14AD">
      <w:pPr>
        <w:spacing w:line="520" w:lineRule="exact"/>
        <w:rPr>
          <w:rFonts w:ascii="宋体" w:hAnsi="宋体" w:cs="宋体"/>
          <w:color w:val="auto"/>
          <w:sz w:val="24"/>
          <w:highlight w:val="none"/>
        </w:rPr>
      </w:pPr>
    </w:p>
    <w:p w14:paraId="0D380881">
      <w:pPr>
        <w:spacing w:line="520" w:lineRule="exact"/>
        <w:rPr>
          <w:rFonts w:ascii="宋体" w:hAnsi="宋体" w:cs="宋体"/>
          <w:color w:val="auto"/>
          <w:sz w:val="24"/>
          <w:highlight w:val="none"/>
        </w:rPr>
      </w:pPr>
    </w:p>
    <w:p w14:paraId="41831129">
      <w:pPr>
        <w:spacing w:line="520" w:lineRule="exact"/>
        <w:rPr>
          <w:rFonts w:ascii="宋体" w:hAnsi="宋体" w:cs="宋体"/>
          <w:color w:val="auto"/>
          <w:sz w:val="24"/>
          <w:highlight w:val="none"/>
        </w:rPr>
      </w:pPr>
    </w:p>
    <w:p w14:paraId="5DE67709">
      <w:pPr>
        <w:spacing w:line="520" w:lineRule="exact"/>
        <w:rPr>
          <w:rFonts w:ascii="宋体" w:hAnsi="宋体" w:cs="宋体"/>
          <w:color w:val="auto"/>
          <w:sz w:val="24"/>
          <w:highlight w:val="none"/>
        </w:rPr>
      </w:pPr>
    </w:p>
    <w:p w14:paraId="1F256C58">
      <w:pPr>
        <w:spacing w:line="520" w:lineRule="exact"/>
        <w:rPr>
          <w:rFonts w:ascii="宋体" w:hAnsi="宋体" w:cs="宋体"/>
          <w:color w:val="auto"/>
          <w:sz w:val="24"/>
          <w:highlight w:val="none"/>
        </w:rPr>
      </w:pPr>
    </w:p>
    <w:p w14:paraId="764D7C08">
      <w:pPr>
        <w:spacing w:line="520" w:lineRule="exact"/>
        <w:rPr>
          <w:rFonts w:ascii="宋体" w:hAnsi="宋体" w:cs="宋体"/>
          <w:color w:val="auto"/>
          <w:sz w:val="24"/>
          <w:highlight w:val="none"/>
        </w:rPr>
      </w:pPr>
    </w:p>
    <w:p w14:paraId="72EB9002">
      <w:pPr>
        <w:spacing w:line="520" w:lineRule="exact"/>
        <w:rPr>
          <w:rFonts w:ascii="宋体" w:hAnsi="宋体" w:cs="宋体"/>
          <w:color w:val="auto"/>
          <w:sz w:val="24"/>
          <w:highlight w:val="none"/>
        </w:rPr>
      </w:pPr>
    </w:p>
    <w:p w14:paraId="77FCE8C6">
      <w:pPr>
        <w:spacing w:line="400" w:lineRule="exact"/>
        <w:rPr>
          <w:rFonts w:ascii="宋体" w:hAnsi="宋体" w:cs="宋体"/>
          <w:color w:val="auto"/>
          <w:sz w:val="28"/>
          <w:szCs w:val="30"/>
          <w:highlight w:val="none"/>
        </w:rPr>
      </w:pPr>
    </w:p>
    <w:p w14:paraId="00688ED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投标人（盖章）：</w:t>
      </w:r>
    </w:p>
    <w:p w14:paraId="07FE052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5876480E">
      <w:pPr>
        <w:pStyle w:val="19"/>
        <w:spacing w:line="360" w:lineRule="auto"/>
        <w:ind w:firstLine="480"/>
        <w:rPr>
          <w:rFonts w:hAnsi="宋体" w:cs="宋体"/>
          <w:color w:val="auto"/>
          <w:sz w:val="24"/>
          <w:szCs w:val="24"/>
          <w:highlight w:val="none"/>
        </w:rPr>
      </w:pPr>
      <w:r>
        <w:rPr>
          <w:rFonts w:hint="eastAsia" w:hAnsi="宋体" w:cs="宋体"/>
          <w:color w:val="auto"/>
          <w:sz w:val="24"/>
          <w:szCs w:val="24"/>
          <w:highlight w:val="none"/>
        </w:rPr>
        <w:t>日期：    年     月     日</w:t>
      </w:r>
    </w:p>
    <w:p w14:paraId="3CBC8ACE">
      <w:pPr>
        <w:pStyle w:val="19"/>
        <w:spacing w:line="360" w:lineRule="auto"/>
        <w:ind w:firstLine="480"/>
        <w:rPr>
          <w:rFonts w:hAnsi="宋体" w:cs="宋体"/>
          <w:color w:val="auto"/>
          <w:sz w:val="24"/>
          <w:szCs w:val="24"/>
          <w:highlight w:val="none"/>
        </w:rPr>
      </w:pPr>
    </w:p>
    <w:p w14:paraId="4EF04C98">
      <w:pPr>
        <w:rPr>
          <w:rFonts w:hint="eastAsia" w:ascii="宋体" w:hAnsi="宋体" w:cs="宋体"/>
          <w:color w:val="auto"/>
          <w:sz w:val="24"/>
          <w:highlight w:val="none"/>
        </w:rPr>
      </w:pPr>
      <w:bookmarkStart w:id="286" w:name="_Toc6988"/>
      <w:r>
        <w:rPr>
          <w:rFonts w:hint="eastAsia" w:ascii="宋体" w:hAnsi="宋体" w:cs="宋体"/>
          <w:color w:val="auto"/>
          <w:sz w:val="24"/>
          <w:highlight w:val="none"/>
        </w:rPr>
        <w:br w:type="page"/>
      </w:r>
    </w:p>
    <w:p w14:paraId="72655DB6">
      <w:pPr>
        <w:keepNext/>
        <w:keepLines/>
        <w:spacing w:before="120" w:after="120" w:line="560" w:lineRule="exact"/>
        <w:jc w:val="left"/>
        <w:outlineLvl w:val="1"/>
        <w:rPr>
          <w:rFonts w:hint="eastAsia" w:ascii="宋体" w:hAnsi="宋体" w:cs="宋体"/>
          <w:color w:val="auto"/>
          <w:sz w:val="24"/>
          <w:highlight w:val="none"/>
        </w:rPr>
      </w:pPr>
      <w:r>
        <w:rPr>
          <w:rFonts w:hint="eastAsia" w:ascii="宋体" w:hAnsi="宋体" w:cs="宋体"/>
          <w:color w:val="auto"/>
          <w:sz w:val="24"/>
          <w:highlight w:val="none"/>
        </w:rPr>
        <w:t>格式</w:t>
      </w:r>
      <w:r>
        <w:rPr>
          <w:rFonts w:hint="eastAsia" w:ascii="宋体" w:hAnsi="宋体" w:cs="宋体"/>
          <w:color w:val="auto"/>
          <w:sz w:val="24"/>
          <w:highlight w:val="none"/>
          <w:lang w:val="en-US" w:eastAsia="zh-CN"/>
        </w:rPr>
        <w:t>16</w:t>
      </w:r>
      <w:r>
        <w:rPr>
          <w:rFonts w:hint="eastAsia" w:ascii="宋体" w:hAnsi="宋体" w:cs="宋体"/>
          <w:color w:val="auto"/>
          <w:sz w:val="24"/>
          <w:highlight w:val="none"/>
        </w:rPr>
        <w:t>. 其它证明材料</w:t>
      </w:r>
      <w:bookmarkEnd w:id="286"/>
    </w:p>
    <w:p w14:paraId="4214B6C2">
      <w:pPr>
        <w:rPr>
          <w:rFonts w:hint="eastAsia" w:ascii="宋体" w:hAnsi="宋体" w:cs="宋体"/>
          <w:color w:val="auto"/>
          <w:sz w:val="24"/>
          <w:highlight w:val="none"/>
        </w:rPr>
      </w:pPr>
      <w:r>
        <w:rPr>
          <w:rFonts w:hint="eastAsia" w:ascii="宋体" w:hAnsi="宋体" w:cs="宋体"/>
          <w:color w:val="auto"/>
          <w:sz w:val="24"/>
          <w:highlight w:val="none"/>
        </w:rPr>
        <w:br w:type="page"/>
      </w:r>
    </w:p>
    <w:p w14:paraId="3B9EE4B4">
      <w:pPr>
        <w:jc w:val="center"/>
        <w:rPr>
          <w:rFonts w:hint="eastAsia" w:ascii="宋体" w:hAnsi="宋体" w:eastAsia="宋体" w:cs="宋体"/>
          <w:b/>
          <w:bCs/>
          <w:color w:val="auto"/>
          <w:kern w:val="2"/>
          <w:sz w:val="32"/>
          <w:szCs w:val="32"/>
          <w:highlight w:val="none"/>
        </w:rPr>
      </w:pPr>
      <w:r>
        <w:rPr>
          <w:rFonts w:hint="eastAsia" w:ascii="宋体" w:hAnsi="宋体" w:eastAsia="宋体" w:cs="宋体"/>
          <w:b/>
          <w:bCs/>
          <w:color w:val="auto"/>
          <w:kern w:val="2"/>
          <w:sz w:val="28"/>
          <w:szCs w:val="28"/>
          <w:highlight w:val="none"/>
        </w:rPr>
        <w:t>质疑函范本</w:t>
      </w:r>
    </w:p>
    <w:p w14:paraId="125BDD8A">
      <w:pPr>
        <w:spacing w:line="360" w:lineRule="auto"/>
        <w:rPr>
          <w:rFonts w:hint="eastAsia" w:ascii="宋体" w:hAnsi="宋体" w:eastAsia="宋体" w:cs="宋体"/>
          <w:bCs/>
          <w:color w:val="auto"/>
          <w:kern w:val="2"/>
          <w:szCs w:val="21"/>
          <w:highlight w:val="none"/>
        </w:rPr>
      </w:pPr>
      <w:r>
        <w:rPr>
          <w:rFonts w:hint="eastAsia" w:ascii="宋体" w:hAnsi="宋体" w:eastAsia="宋体" w:cs="宋体"/>
          <w:bCs/>
          <w:color w:val="auto"/>
          <w:kern w:val="2"/>
          <w:szCs w:val="21"/>
          <w:highlight w:val="none"/>
        </w:rPr>
        <w:t>一、质疑供应商基本信息</w:t>
      </w:r>
    </w:p>
    <w:p w14:paraId="7FF70985">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质疑供应商：</w:t>
      </w:r>
      <w:r>
        <w:rPr>
          <w:rFonts w:hint="eastAsia" w:ascii="宋体" w:hAnsi="宋体" w:eastAsia="宋体" w:cs="宋体"/>
          <w:color w:val="auto"/>
          <w:kern w:val="2"/>
          <w:szCs w:val="21"/>
          <w:highlight w:val="none"/>
          <w:u w:val="single"/>
        </w:rPr>
        <w:t xml:space="preserve">                                                              </w:t>
      </w:r>
    </w:p>
    <w:p w14:paraId="31AC1DBA">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地址：</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邮编：</w:t>
      </w:r>
      <w:r>
        <w:rPr>
          <w:rFonts w:hint="eastAsia" w:ascii="宋体" w:hAnsi="宋体" w:eastAsia="宋体" w:cs="宋体"/>
          <w:color w:val="auto"/>
          <w:kern w:val="2"/>
          <w:szCs w:val="21"/>
          <w:highlight w:val="none"/>
          <w:u w:val="single"/>
        </w:rPr>
        <w:t xml:space="preserve">                                    </w:t>
      </w:r>
    </w:p>
    <w:p w14:paraId="02BC4F95">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联系人：</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联系电话：</w:t>
      </w:r>
      <w:r>
        <w:rPr>
          <w:rFonts w:hint="eastAsia" w:ascii="宋体" w:hAnsi="宋体" w:eastAsia="宋体" w:cs="宋体"/>
          <w:color w:val="auto"/>
          <w:kern w:val="2"/>
          <w:szCs w:val="21"/>
          <w:highlight w:val="none"/>
          <w:u w:val="single"/>
        </w:rPr>
        <w:t xml:space="preserve">                                       </w:t>
      </w:r>
    </w:p>
    <w:p w14:paraId="4DE5C435">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授权代表：</w:t>
      </w:r>
      <w:r>
        <w:rPr>
          <w:rFonts w:hint="eastAsia" w:ascii="宋体" w:hAnsi="宋体" w:eastAsia="宋体" w:cs="宋体"/>
          <w:color w:val="auto"/>
          <w:kern w:val="2"/>
          <w:szCs w:val="21"/>
          <w:highlight w:val="none"/>
          <w:u w:val="single"/>
        </w:rPr>
        <w:t xml:space="preserve">                                                                 </w:t>
      </w:r>
    </w:p>
    <w:p w14:paraId="5F4DFB6C">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联系电话：</w:t>
      </w:r>
      <w:r>
        <w:rPr>
          <w:rFonts w:hint="eastAsia" w:ascii="宋体" w:hAnsi="宋体" w:eastAsia="宋体" w:cs="宋体"/>
          <w:color w:val="auto"/>
          <w:kern w:val="2"/>
          <w:szCs w:val="21"/>
          <w:highlight w:val="none"/>
          <w:u w:val="single"/>
        </w:rPr>
        <w:t xml:space="preserve">                                                                </w:t>
      </w:r>
    </w:p>
    <w:p w14:paraId="3834F16C">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地址： </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邮编：</w:t>
      </w:r>
      <w:r>
        <w:rPr>
          <w:rFonts w:hint="eastAsia" w:ascii="宋体" w:hAnsi="宋体" w:eastAsia="宋体" w:cs="宋体"/>
          <w:color w:val="auto"/>
          <w:kern w:val="2"/>
          <w:szCs w:val="21"/>
          <w:highlight w:val="none"/>
          <w:u w:val="single"/>
        </w:rPr>
        <w:t xml:space="preserve">                                     </w:t>
      </w:r>
    </w:p>
    <w:p w14:paraId="1928D850">
      <w:pPr>
        <w:spacing w:line="360" w:lineRule="auto"/>
        <w:rPr>
          <w:rFonts w:hint="eastAsia" w:ascii="宋体" w:hAnsi="宋体" w:eastAsia="宋体" w:cs="宋体"/>
          <w:bCs/>
          <w:color w:val="auto"/>
          <w:kern w:val="2"/>
          <w:szCs w:val="21"/>
          <w:highlight w:val="none"/>
        </w:rPr>
      </w:pPr>
      <w:r>
        <w:rPr>
          <w:rFonts w:hint="eastAsia" w:ascii="宋体" w:hAnsi="宋体" w:eastAsia="宋体" w:cs="宋体"/>
          <w:bCs/>
          <w:color w:val="auto"/>
          <w:kern w:val="2"/>
          <w:szCs w:val="21"/>
          <w:highlight w:val="none"/>
        </w:rPr>
        <w:t>二、质疑项目基本情况</w:t>
      </w:r>
    </w:p>
    <w:p w14:paraId="03B15875">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质疑项目的名称：</w:t>
      </w:r>
      <w:r>
        <w:rPr>
          <w:rFonts w:hint="eastAsia" w:ascii="宋体" w:hAnsi="宋体" w:eastAsia="宋体" w:cs="宋体"/>
          <w:color w:val="auto"/>
          <w:kern w:val="2"/>
          <w:szCs w:val="21"/>
          <w:highlight w:val="none"/>
          <w:u w:val="single"/>
        </w:rPr>
        <w:t xml:space="preserve">                                                          </w:t>
      </w:r>
    </w:p>
    <w:p w14:paraId="5DCDDE63">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质疑项目的编号：</w:t>
      </w:r>
      <w:r>
        <w:rPr>
          <w:rFonts w:hint="eastAsia" w:ascii="宋体" w:hAnsi="宋体" w:eastAsia="宋体" w:cs="宋体"/>
          <w:color w:val="auto"/>
          <w:kern w:val="2"/>
          <w:szCs w:val="21"/>
          <w:highlight w:val="none"/>
          <w:u w:val="single"/>
        </w:rPr>
        <w:t xml:space="preserve">                         </w:t>
      </w:r>
      <w:r>
        <w:rPr>
          <w:rFonts w:hint="eastAsia" w:ascii="宋体" w:hAnsi="宋体" w:eastAsia="宋体" w:cs="宋体"/>
          <w:color w:val="auto"/>
          <w:kern w:val="2"/>
          <w:szCs w:val="21"/>
          <w:highlight w:val="none"/>
        </w:rPr>
        <w:t>包号：</w:t>
      </w:r>
      <w:r>
        <w:rPr>
          <w:rFonts w:hint="eastAsia" w:ascii="宋体" w:hAnsi="宋体" w:eastAsia="宋体" w:cs="宋体"/>
          <w:color w:val="auto"/>
          <w:kern w:val="2"/>
          <w:szCs w:val="21"/>
          <w:highlight w:val="none"/>
          <w:u w:val="single"/>
        </w:rPr>
        <w:t xml:space="preserve">                           </w:t>
      </w:r>
    </w:p>
    <w:p w14:paraId="3500381F">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采购人名称：</w:t>
      </w:r>
      <w:r>
        <w:rPr>
          <w:rFonts w:hint="eastAsia" w:ascii="宋体" w:hAnsi="宋体" w:eastAsia="宋体" w:cs="宋体"/>
          <w:color w:val="auto"/>
          <w:kern w:val="2"/>
          <w:szCs w:val="21"/>
          <w:highlight w:val="none"/>
          <w:u w:val="single"/>
        </w:rPr>
        <w:t xml:space="preserve">                                                              </w:t>
      </w:r>
    </w:p>
    <w:p w14:paraId="431002BF">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采购文件获取日期：</w:t>
      </w:r>
      <w:r>
        <w:rPr>
          <w:rFonts w:hint="eastAsia" w:ascii="宋体" w:hAnsi="宋体" w:eastAsia="宋体" w:cs="宋体"/>
          <w:color w:val="auto"/>
          <w:kern w:val="2"/>
          <w:szCs w:val="21"/>
          <w:highlight w:val="none"/>
          <w:u w:val="single"/>
        </w:rPr>
        <w:t xml:space="preserve">                                                        </w:t>
      </w:r>
    </w:p>
    <w:p w14:paraId="68D01722">
      <w:pPr>
        <w:spacing w:line="360" w:lineRule="auto"/>
        <w:rPr>
          <w:rFonts w:hint="eastAsia" w:ascii="宋体" w:hAnsi="宋体" w:eastAsia="宋体" w:cs="宋体"/>
          <w:bCs/>
          <w:color w:val="auto"/>
          <w:kern w:val="2"/>
          <w:szCs w:val="21"/>
          <w:highlight w:val="none"/>
        </w:rPr>
      </w:pPr>
      <w:r>
        <w:rPr>
          <w:rFonts w:hint="eastAsia" w:ascii="宋体" w:hAnsi="宋体" w:eastAsia="宋体" w:cs="宋体"/>
          <w:bCs/>
          <w:color w:val="auto"/>
          <w:kern w:val="2"/>
          <w:szCs w:val="21"/>
          <w:highlight w:val="none"/>
        </w:rPr>
        <w:t>三、质疑事项具体内容</w:t>
      </w:r>
    </w:p>
    <w:p w14:paraId="74D3CF03">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质疑事项1：</w:t>
      </w:r>
      <w:r>
        <w:rPr>
          <w:rFonts w:hint="eastAsia" w:ascii="宋体" w:hAnsi="宋体" w:eastAsia="宋体" w:cs="宋体"/>
          <w:color w:val="auto"/>
          <w:kern w:val="2"/>
          <w:szCs w:val="21"/>
          <w:highlight w:val="none"/>
          <w:u w:val="single"/>
        </w:rPr>
        <w:t xml:space="preserve">                                                              </w:t>
      </w:r>
    </w:p>
    <w:p w14:paraId="3C1FFCA5">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事实依据：</w:t>
      </w:r>
      <w:r>
        <w:rPr>
          <w:rFonts w:hint="eastAsia" w:ascii="宋体" w:hAnsi="宋体" w:eastAsia="宋体" w:cs="宋体"/>
          <w:color w:val="auto"/>
          <w:kern w:val="2"/>
          <w:szCs w:val="21"/>
          <w:highlight w:val="none"/>
          <w:u w:val="single"/>
        </w:rPr>
        <w:t xml:space="preserve">                                                                </w:t>
      </w:r>
    </w:p>
    <w:p w14:paraId="57A87245">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u w:val="single"/>
        </w:rPr>
        <w:t xml:space="preserve">                                                                           </w:t>
      </w:r>
    </w:p>
    <w:p w14:paraId="30D3D97F">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法律依据：</w:t>
      </w:r>
      <w:r>
        <w:rPr>
          <w:rFonts w:hint="eastAsia" w:ascii="宋体" w:hAnsi="宋体" w:eastAsia="宋体" w:cs="宋体"/>
          <w:color w:val="auto"/>
          <w:kern w:val="2"/>
          <w:szCs w:val="21"/>
          <w:highlight w:val="none"/>
          <w:u w:val="single"/>
        </w:rPr>
        <w:t xml:space="preserve">                                                                 </w:t>
      </w:r>
    </w:p>
    <w:p w14:paraId="0499C852">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u w:val="single"/>
        </w:rPr>
        <w:t xml:space="preserve">                                                                           </w:t>
      </w:r>
    </w:p>
    <w:p w14:paraId="4C6E06D9">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质疑事项2</w:t>
      </w:r>
    </w:p>
    <w:p w14:paraId="5EF55A45">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p>
    <w:p w14:paraId="16427CFD">
      <w:pPr>
        <w:spacing w:line="360" w:lineRule="auto"/>
        <w:rPr>
          <w:rFonts w:hint="eastAsia" w:ascii="宋体" w:hAnsi="宋体" w:eastAsia="宋体" w:cs="宋体"/>
          <w:bCs/>
          <w:color w:val="auto"/>
          <w:kern w:val="2"/>
          <w:szCs w:val="21"/>
          <w:highlight w:val="none"/>
        </w:rPr>
      </w:pPr>
      <w:r>
        <w:rPr>
          <w:rFonts w:hint="eastAsia" w:ascii="宋体" w:hAnsi="宋体" w:eastAsia="宋体" w:cs="宋体"/>
          <w:bCs/>
          <w:color w:val="auto"/>
          <w:kern w:val="2"/>
          <w:szCs w:val="21"/>
          <w:highlight w:val="none"/>
        </w:rPr>
        <w:t>四、与质疑事项相关的质疑请求</w:t>
      </w:r>
    </w:p>
    <w:p w14:paraId="78626224">
      <w:pPr>
        <w:spacing w:line="360" w:lineRule="auto"/>
        <w:rPr>
          <w:rFonts w:hint="eastAsia" w:ascii="宋体" w:hAnsi="宋体" w:eastAsia="宋体" w:cs="宋体"/>
          <w:color w:val="auto"/>
          <w:kern w:val="2"/>
          <w:szCs w:val="21"/>
          <w:highlight w:val="none"/>
          <w:u w:val="single"/>
        </w:rPr>
      </w:pPr>
      <w:r>
        <w:rPr>
          <w:rFonts w:hint="eastAsia" w:ascii="宋体" w:hAnsi="宋体" w:eastAsia="宋体" w:cs="宋体"/>
          <w:color w:val="auto"/>
          <w:kern w:val="2"/>
          <w:szCs w:val="21"/>
          <w:highlight w:val="none"/>
        </w:rPr>
        <w:t>请求：</w:t>
      </w:r>
      <w:r>
        <w:rPr>
          <w:rFonts w:hint="eastAsia" w:ascii="宋体" w:hAnsi="宋体" w:eastAsia="宋体" w:cs="宋体"/>
          <w:color w:val="auto"/>
          <w:kern w:val="2"/>
          <w:szCs w:val="21"/>
          <w:highlight w:val="none"/>
          <w:u w:val="single"/>
        </w:rPr>
        <w:t xml:space="preserve">                                                                     </w:t>
      </w:r>
    </w:p>
    <w:p w14:paraId="70791BDF">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签字(签章)：                   公章：                      </w:t>
      </w:r>
    </w:p>
    <w:p w14:paraId="465E3BAD">
      <w:pPr>
        <w:spacing w:line="360" w:lineRule="auto"/>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日期：    </w:t>
      </w:r>
    </w:p>
    <w:p w14:paraId="35AB6143">
      <w:pPr>
        <w:spacing w:line="360" w:lineRule="auto"/>
        <w:rPr>
          <w:rFonts w:hint="eastAsia" w:ascii="宋体" w:hAnsi="宋体" w:eastAsia="宋体" w:cs="宋体"/>
          <w:b/>
          <w:color w:val="auto"/>
          <w:kern w:val="2"/>
          <w:szCs w:val="21"/>
          <w:highlight w:val="none"/>
        </w:rPr>
      </w:pPr>
      <w:r>
        <w:rPr>
          <w:rFonts w:hint="eastAsia" w:ascii="宋体" w:hAnsi="宋体" w:eastAsia="宋体" w:cs="宋体"/>
          <w:b/>
          <w:color w:val="auto"/>
          <w:kern w:val="2"/>
          <w:szCs w:val="21"/>
          <w:highlight w:val="none"/>
        </w:rPr>
        <w:t>质疑函制作说明：</w:t>
      </w:r>
    </w:p>
    <w:p w14:paraId="45C5E704">
      <w:pPr>
        <w:widowControl/>
        <w:spacing w:line="360" w:lineRule="auto"/>
        <w:ind w:firstLine="42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1.供应商提出质疑时，应提交质疑函和必要的证明材料。</w:t>
      </w:r>
    </w:p>
    <w:p w14:paraId="113724C3">
      <w:pPr>
        <w:widowControl/>
        <w:spacing w:line="360" w:lineRule="auto"/>
        <w:ind w:firstLine="42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8F06E5">
      <w:pPr>
        <w:widowControl/>
        <w:spacing w:line="360" w:lineRule="auto"/>
        <w:ind w:firstLine="42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3.质疑供应商若对项目的某一分包进行质疑，质疑函中应列明具体分包号。</w:t>
      </w:r>
    </w:p>
    <w:p w14:paraId="06E6EAA7">
      <w:pPr>
        <w:widowControl/>
        <w:spacing w:line="360" w:lineRule="auto"/>
        <w:ind w:firstLine="42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4.质疑函的质疑事项应具体、明确，并有必要的事实依据和法律依据。</w:t>
      </w:r>
    </w:p>
    <w:p w14:paraId="1AD6C5DF">
      <w:pPr>
        <w:widowControl/>
        <w:spacing w:line="360" w:lineRule="auto"/>
        <w:ind w:firstLine="42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5.质疑函的质疑请求应与质疑事项相关。</w:t>
      </w:r>
    </w:p>
    <w:p w14:paraId="4BE3D46F">
      <w:pPr>
        <w:keepNext/>
        <w:keepLines/>
        <w:spacing w:before="120" w:after="120" w:line="560" w:lineRule="exact"/>
        <w:jc w:val="left"/>
        <w:outlineLvl w:val="1"/>
        <w:rPr>
          <w:rFonts w:hint="eastAsia" w:ascii="宋体" w:hAnsi="宋体" w:cs="宋体"/>
          <w:color w:val="auto"/>
          <w:sz w:val="24"/>
          <w:highlight w:val="none"/>
        </w:rPr>
      </w:pPr>
      <w:r>
        <w:rPr>
          <w:rFonts w:hint="eastAsia" w:ascii="宋体" w:hAnsi="宋体" w:eastAsia="宋体" w:cs="宋体"/>
          <w:color w:val="auto"/>
          <w:kern w:val="2"/>
          <w:szCs w:val="21"/>
          <w:highlight w:val="none"/>
        </w:rPr>
        <w:t>6.质疑供应商为自然人的，质疑函应由本人签字；质疑供应商为法人或者其他组织的，质疑函应由法定代表人、主要负责人，或者其授权代表签字或者盖章，并加盖公章。</w:t>
      </w:r>
    </w:p>
    <w:p w14:paraId="7E182AC7">
      <w:pPr>
        <w:pStyle w:val="216"/>
        <w:rPr>
          <w:rFonts w:ascii="宋体" w:hAnsi="宋体" w:cs="宋体"/>
          <w:color w:val="auto"/>
          <w:sz w:val="24"/>
          <w:szCs w:val="24"/>
          <w:highlight w:val="none"/>
        </w:rPr>
      </w:pPr>
    </w:p>
    <w:sectPr>
      <w:footerReference r:id="rId5" w:type="default"/>
      <w:pgSz w:w="11906" w:h="16838"/>
      <w:pgMar w:top="1418" w:right="1588" w:bottom="1418" w:left="1365" w:header="851"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S Mincho">
    <w:panose1 w:val="02020609040205080304"/>
    <w:charset w:val="80"/>
    <w:family w:val="roman"/>
    <w:pitch w:val="default"/>
    <w:sig w:usb0="A00002BF" w:usb1="68C7FCFB" w:usb2="00000010" w:usb3="00000000" w:csb0="4002009F" w:csb1="DFD70000"/>
  </w:font>
  <w:font w:name="幼圆">
    <w:panose1 w:val="02010509060101010101"/>
    <w:charset w:val="86"/>
    <w:family w:val="modern"/>
    <w:pitch w:val="default"/>
    <w:sig w:usb0="00000001" w:usb1="080E0000" w:usb2="0000000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_GBK">
    <w:altName w:val="Arial Unicode MS"/>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092A3">
    <w:pPr>
      <w:pStyle w:val="259"/>
      <w:jc w:val="center"/>
      <w:rPr>
        <w:b/>
        <w:i/>
      </w:rPr>
    </w:pPr>
    <w:r>
      <w:rPr>
        <w:b/>
        <w:i/>
        <w:sz w:val="20"/>
      </w:rPr>
      <w:t xml:space="preserve"> </w:t>
    </w:r>
    <w:r>
      <w:rPr>
        <w:rFonts w:hint="eastAsia"/>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9FB25">
    <w:pPr>
      <w:pStyle w:val="259"/>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AF88F0">
                          <w:pPr>
                            <w:pStyle w:val="2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DKzo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kDKzotAgAAVwQAAA4AAAAAAAAAAQAgAAAAHwEAAGRycy9lMm9Eb2MueG1sUEsFBgAAAAAG&#10;AAYAWQEAAL4FAAAAAA==&#10;">
              <v:fill on="f" focussize="0,0"/>
              <v:stroke on="f" weight="0.5pt"/>
              <v:imagedata o:title=""/>
              <o:lock v:ext="edit" aspectratio="f"/>
              <v:textbox inset="0mm,0mm,0mm,0mm" style="mso-fit-shape-to-text:t;">
                <w:txbxContent>
                  <w:p w14:paraId="73AF88F0">
                    <w:pPr>
                      <w:pStyle w:val="2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4A630">
    <w:pPr>
      <w:pStyle w:val="26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94E2"/>
    <w:multiLevelType w:val="singleLevel"/>
    <w:tmpl w:val="979E94E2"/>
    <w:lvl w:ilvl="0" w:tentative="0">
      <w:start w:val="1"/>
      <w:numFmt w:val="decimal"/>
      <w:suff w:val="nothing"/>
      <w:lvlText w:val="%1、"/>
      <w:lvlJc w:val="left"/>
    </w:lvl>
  </w:abstractNum>
  <w:abstractNum w:abstractNumId="1">
    <w:nsid w:val="B5E306ED"/>
    <w:multiLevelType w:val="multilevel"/>
    <w:tmpl w:val="B5E306ED"/>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A2524F"/>
    <w:multiLevelType w:val="singleLevel"/>
    <w:tmpl w:val="BFA2524F"/>
    <w:lvl w:ilvl="0" w:tentative="0">
      <w:start w:val="1"/>
      <w:numFmt w:val="decimal"/>
      <w:suff w:val="nothing"/>
      <w:lvlText w:val="（%1）"/>
      <w:lvlJc w:val="left"/>
    </w:lvl>
  </w:abstractNum>
  <w:abstractNum w:abstractNumId="3">
    <w:nsid w:val="CF092B84"/>
    <w:multiLevelType w:val="multilevel"/>
    <w:tmpl w:val="CF092B84"/>
    <w:lvl w:ilvl="0" w:tentative="0">
      <w:start w:val="1"/>
      <w:numFmt w:val="upperLetter"/>
      <w:pStyle w:val="30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74E4670"/>
    <w:multiLevelType w:val="singleLevel"/>
    <w:tmpl w:val="D74E4670"/>
    <w:lvl w:ilvl="0" w:tentative="0">
      <w:start w:val="1"/>
      <w:numFmt w:val="decimal"/>
      <w:suff w:val="nothing"/>
      <w:lvlText w:val="（%1）"/>
      <w:lvlJc w:val="left"/>
    </w:lvl>
  </w:abstractNum>
  <w:abstractNum w:abstractNumId="5">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19"/>
      <w:suff w:val="nothing"/>
      <w:lvlText w:val=""/>
      <w:lvlJc w:val="left"/>
      <w:pPr>
        <w:ind w:left="0" w:firstLine="0"/>
      </w:pPr>
      <w:rPr>
        <w:rFonts w:hint="eastAsia"/>
      </w:rPr>
    </w:lvl>
    <w:lvl w:ilvl="6" w:tentative="0">
      <w:start w:val="1"/>
      <w:numFmt w:val="decimal"/>
      <w:pStyle w:val="220"/>
      <w:suff w:val="nothing"/>
      <w:lvlText w:val=""/>
      <w:lvlJc w:val="left"/>
      <w:pPr>
        <w:ind w:left="0" w:firstLine="0"/>
      </w:pPr>
      <w:rPr>
        <w:rFonts w:hint="eastAsia"/>
      </w:rPr>
    </w:lvl>
    <w:lvl w:ilvl="7" w:tentative="0">
      <w:start w:val="1"/>
      <w:numFmt w:val="decimal"/>
      <w:pStyle w:val="221"/>
      <w:suff w:val="nothing"/>
      <w:lvlText w:val=""/>
      <w:lvlJc w:val="left"/>
      <w:pPr>
        <w:ind w:left="0" w:firstLine="0"/>
      </w:pPr>
      <w:rPr>
        <w:rFonts w:hint="eastAsia"/>
      </w:rPr>
    </w:lvl>
    <w:lvl w:ilvl="8" w:tentative="0">
      <w:start w:val="1"/>
      <w:numFmt w:val="decimal"/>
      <w:pStyle w:val="222"/>
      <w:suff w:val="nothing"/>
      <w:lvlText w:val=""/>
      <w:lvlJc w:val="left"/>
      <w:pPr>
        <w:ind w:left="0" w:firstLine="0"/>
      </w:pPr>
      <w:rPr>
        <w:rFonts w:hint="eastAsia"/>
      </w:rPr>
    </w:lvl>
  </w:abstractNum>
  <w:abstractNum w:abstractNumId="6">
    <w:nsid w:val="01D14DA5"/>
    <w:multiLevelType w:val="singleLevel"/>
    <w:tmpl w:val="01D14DA5"/>
    <w:lvl w:ilvl="0" w:tentative="0">
      <w:start w:val="1"/>
      <w:numFmt w:val="decimal"/>
      <w:suff w:val="nothing"/>
      <w:lvlText w:val="%1、"/>
      <w:lvlJc w:val="left"/>
    </w:lvl>
  </w:abstractNum>
  <w:abstractNum w:abstractNumId="7">
    <w:nsid w:val="03D62ECE"/>
    <w:multiLevelType w:val="multilevel"/>
    <w:tmpl w:val="03D62ECE"/>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E0D7D64"/>
    <w:multiLevelType w:val="singleLevel"/>
    <w:tmpl w:val="4E0D7D64"/>
    <w:lvl w:ilvl="0" w:tentative="0">
      <w:start w:val="1"/>
      <w:numFmt w:val="decimal"/>
      <w:lvlText w:val="%1."/>
      <w:lvlJc w:val="left"/>
      <w:pPr>
        <w:tabs>
          <w:tab w:val="left" w:pos="312"/>
        </w:tabs>
      </w:pPr>
    </w:lvl>
  </w:abstractNum>
  <w:abstractNum w:abstractNumId="9">
    <w:nsid w:val="59ADCABA"/>
    <w:multiLevelType w:val="multilevel"/>
    <w:tmpl w:val="59ADCABA"/>
    <w:lvl w:ilvl="0" w:tentative="0">
      <w:start w:val="1"/>
      <w:numFmt w:val="decimal"/>
      <w:pStyle w:val="31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631144CD"/>
    <w:multiLevelType w:val="singleLevel"/>
    <w:tmpl w:val="631144CD"/>
    <w:lvl w:ilvl="0" w:tentative="0">
      <w:start w:val="1"/>
      <w:numFmt w:val="decimal"/>
      <w:lvlText w:val="%1."/>
      <w:lvlJc w:val="left"/>
      <w:pPr>
        <w:tabs>
          <w:tab w:val="left" w:pos="312"/>
        </w:tabs>
      </w:pPr>
    </w:lvl>
  </w:abstractNum>
  <w:num w:numId="1">
    <w:abstractNumId w:val="5"/>
  </w:num>
  <w:num w:numId="2">
    <w:abstractNumId w:val="3"/>
  </w:num>
  <w:num w:numId="3">
    <w:abstractNumId w:val="9"/>
  </w:num>
  <w:num w:numId="4">
    <w:abstractNumId w:val="1"/>
  </w:num>
  <w:num w:numId="5">
    <w:abstractNumId w:val="7"/>
  </w:num>
  <w:num w:numId="6">
    <w:abstractNumId w:val="8"/>
  </w:num>
  <w:num w:numId="7">
    <w:abstractNumId w:val="4"/>
  </w:num>
  <w:num w:numId="8">
    <w:abstractNumId w:val="10"/>
  </w:num>
  <w:num w:numId="9">
    <w:abstractNumId w:val="2"/>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971"/>
    <w:rsid w:val="0013301C"/>
    <w:rsid w:val="00214971"/>
    <w:rsid w:val="00263DBB"/>
    <w:rsid w:val="003009A2"/>
    <w:rsid w:val="003475A0"/>
    <w:rsid w:val="00386422"/>
    <w:rsid w:val="00444343"/>
    <w:rsid w:val="00497DD0"/>
    <w:rsid w:val="00617833"/>
    <w:rsid w:val="006546CB"/>
    <w:rsid w:val="00720441"/>
    <w:rsid w:val="0073650D"/>
    <w:rsid w:val="007556F4"/>
    <w:rsid w:val="007826E6"/>
    <w:rsid w:val="007E2BB3"/>
    <w:rsid w:val="008C1F80"/>
    <w:rsid w:val="00977F89"/>
    <w:rsid w:val="009E0C94"/>
    <w:rsid w:val="00A02FF4"/>
    <w:rsid w:val="00AE15A4"/>
    <w:rsid w:val="00AE6991"/>
    <w:rsid w:val="00B30B13"/>
    <w:rsid w:val="00BB6B8D"/>
    <w:rsid w:val="00C34464"/>
    <w:rsid w:val="00C61DD3"/>
    <w:rsid w:val="00C82C35"/>
    <w:rsid w:val="00C86E67"/>
    <w:rsid w:val="00CC451E"/>
    <w:rsid w:val="00DC5428"/>
    <w:rsid w:val="00DC69D8"/>
    <w:rsid w:val="00E60492"/>
    <w:rsid w:val="00F32CF0"/>
    <w:rsid w:val="00F60C24"/>
    <w:rsid w:val="00F848C5"/>
    <w:rsid w:val="01057174"/>
    <w:rsid w:val="010925FB"/>
    <w:rsid w:val="01101706"/>
    <w:rsid w:val="01604662"/>
    <w:rsid w:val="01AD5116"/>
    <w:rsid w:val="025263E9"/>
    <w:rsid w:val="026305F6"/>
    <w:rsid w:val="02FA25DD"/>
    <w:rsid w:val="031A67DB"/>
    <w:rsid w:val="03404493"/>
    <w:rsid w:val="03F90AE6"/>
    <w:rsid w:val="043D6D46"/>
    <w:rsid w:val="045E1EA1"/>
    <w:rsid w:val="046E6DDE"/>
    <w:rsid w:val="047F1C7D"/>
    <w:rsid w:val="048670A4"/>
    <w:rsid w:val="04AA709E"/>
    <w:rsid w:val="04E37EC6"/>
    <w:rsid w:val="05AC799B"/>
    <w:rsid w:val="05B642B5"/>
    <w:rsid w:val="0644429B"/>
    <w:rsid w:val="069C1ED5"/>
    <w:rsid w:val="06D27AF8"/>
    <w:rsid w:val="07100621"/>
    <w:rsid w:val="072C6234"/>
    <w:rsid w:val="074010FF"/>
    <w:rsid w:val="074D53D1"/>
    <w:rsid w:val="077D3CBD"/>
    <w:rsid w:val="080D5E13"/>
    <w:rsid w:val="084F5801"/>
    <w:rsid w:val="08611507"/>
    <w:rsid w:val="087C3485"/>
    <w:rsid w:val="09214CA2"/>
    <w:rsid w:val="09FB1114"/>
    <w:rsid w:val="0A5B1BB3"/>
    <w:rsid w:val="0A9235DA"/>
    <w:rsid w:val="0AA01A4D"/>
    <w:rsid w:val="0AEC3153"/>
    <w:rsid w:val="0BBF43C3"/>
    <w:rsid w:val="0BCB2D68"/>
    <w:rsid w:val="0C364685"/>
    <w:rsid w:val="0C782EF0"/>
    <w:rsid w:val="0D3B5CCB"/>
    <w:rsid w:val="0E6F0323"/>
    <w:rsid w:val="0EFE32F6"/>
    <w:rsid w:val="0F534D2D"/>
    <w:rsid w:val="0FA16CA8"/>
    <w:rsid w:val="0FCB1589"/>
    <w:rsid w:val="1077526D"/>
    <w:rsid w:val="10B4201D"/>
    <w:rsid w:val="10C009C2"/>
    <w:rsid w:val="10CA4892"/>
    <w:rsid w:val="10DB57FB"/>
    <w:rsid w:val="10FD39C4"/>
    <w:rsid w:val="112F29F1"/>
    <w:rsid w:val="11390774"/>
    <w:rsid w:val="11F0700F"/>
    <w:rsid w:val="123F3696"/>
    <w:rsid w:val="13037EDE"/>
    <w:rsid w:val="13182D37"/>
    <w:rsid w:val="13224BB5"/>
    <w:rsid w:val="13903C32"/>
    <w:rsid w:val="13A61DA9"/>
    <w:rsid w:val="13BA3DEE"/>
    <w:rsid w:val="141259D8"/>
    <w:rsid w:val="141D5AD9"/>
    <w:rsid w:val="14952165"/>
    <w:rsid w:val="14CA14DD"/>
    <w:rsid w:val="14EA1CE0"/>
    <w:rsid w:val="1528122B"/>
    <w:rsid w:val="15442BDB"/>
    <w:rsid w:val="157B135B"/>
    <w:rsid w:val="15897F1C"/>
    <w:rsid w:val="15F624C5"/>
    <w:rsid w:val="16791A26"/>
    <w:rsid w:val="167F30CD"/>
    <w:rsid w:val="16DA5FC7"/>
    <w:rsid w:val="16E81446"/>
    <w:rsid w:val="16FA2753"/>
    <w:rsid w:val="171E395F"/>
    <w:rsid w:val="17287F12"/>
    <w:rsid w:val="17D11706"/>
    <w:rsid w:val="17EC4792"/>
    <w:rsid w:val="1821268E"/>
    <w:rsid w:val="18441ED8"/>
    <w:rsid w:val="186B56B7"/>
    <w:rsid w:val="18D25736"/>
    <w:rsid w:val="19464B08"/>
    <w:rsid w:val="198A3A60"/>
    <w:rsid w:val="198B1D6F"/>
    <w:rsid w:val="19B81012"/>
    <w:rsid w:val="1A0C2EC9"/>
    <w:rsid w:val="1A734CF7"/>
    <w:rsid w:val="1AE00F59"/>
    <w:rsid w:val="1AF04599"/>
    <w:rsid w:val="1B026B5F"/>
    <w:rsid w:val="1B1069E9"/>
    <w:rsid w:val="1B4D5548"/>
    <w:rsid w:val="1BC56235"/>
    <w:rsid w:val="1BDD2D6F"/>
    <w:rsid w:val="1C146065"/>
    <w:rsid w:val="1C27223D"/>
    <w:rsid w:val="1CC01D49"/>
    <w:rsid w:val="1D1C1676"/>
    <w:rsid w:val="1D5A219E"/>
    <w:rsid w:val="1E0565AE"/>
    <w:rsid w:val="1E3F4E76"/>
    <w:rsid w:val="1EBA7398"/>
    <w:rsid w:val="1FCB7383"/>
    <w:rsid w:val="20592BE1"/>
    <w:rsid w:val="2083687A"/>
    <w:rsid w:val="20967991"/>
    <w:rsid w:val="20A83220"/>
    <w:rsid w:val="20BD6CCC"/>
    <w:rsid w:val="20E639D1"/>
    <w:rsid w:val="20E809C3"/>
    <w:rsid w:val="2149055F"/>
    <w:rsid w:val="21611D4D"/>
    <w:rsid w:val="22472E77"/>
    <w:rsid w:val="22A04AF7"/>
    <w:rsid w:val="22DD3655"/>
    <w:rsid w:val="237243F8"/>
    <w:rsid w:val="237442B0"/>
    <w:rsid w:val="23FE1AD5"/>
    <w:rsid w:val="24651B54"/>
    <w:rsid w:val="24A3442A"/>
    <w:rsid w:val="25B06DFF"/>
    <w:rsid w:val="25B508B9"/>
    <w:rsid w:val="25CE197B"/>
    <w:rsid w:val="262A71DE"/>
    <w:rsid w:val="26330B5A"/>
    <w:rsid w:val="26AA2B4A"/>
    <w:rsid w:val="26AA3193"/>
    <w:rsid w:val="272D289C"/>
    <w:rsid w:val="27750300"/>
    <w:rsid w:val="27A24E6D"/>
    <w:rsid w:val="27DB5685"/>
    <w:rsid w:val="27FE1675"/>
    <w:rsid w:val="28242C00"/>
    <w:rsid w:val="285734FD"/>
    <w:rsid w:val="28C80903"/>
    <w:rsid w:val="291C47AB"/>
    <w:rsid w:val="29A053DC"/>
    <w:rsid w:val="29C56F87"/>
    <w:rsid w:val="29CE2EFB"/>
    <w:rsid w:val="29D57CA9"/>
    <w:rsid w:val="2A83464C"/>
    <w:rsid w:val="2B1A4D1A"/>
    <w:rsid w:val="2B560448"/>
    <w:rsid w:val="2B801021"/>
    <w:rsid w:val="2B9B22FF"/>
    <w:rsid w:val="2C5E46DE"/>
    <w:rsid w:val="2D124007"/>
    <w:rsid w:val="2D9F0092"/>
    <w:rsid w:val="2DD2043B"/>
    <w:rsid w:val="2DD87550"/>
    <w:rsid w:val="2E201AFD"/>
    <w:rsid w:val="2E340617"/>
    <w:rsid w:val="2F517415"/>
    <w:rsid w:val="2F990904"/>
    <w:rsid w:val="30075215"/>
    <w:rsid w:val="30356247"/>
    <w:rsid w:val="31204A22"/>
    <w:rsid w:val="31A87524"/>
    <w:rsid w:val="31F664E1"/>
    <w:rsid w:val="32406BC0"/>
    <w:rsid w:val="32562ADC"/>
    <w:rsid w:val="32650DE0"/>
    <w:rsid w:val="32906BC1"/>
    <w:rsid w:val="32E0684A"/>
    <w:rsid w:val="33064502"/>
    <w:rsid w:val="330F3490"/>
    <w:rsid w:val="33423999"/>
    <w:rsid w:val="334D0EF5"/>
    <w:rsid w:val="340B78F6"/>
    <w:rsid w:val="340F5F9D"/>
    <w:rsid w:val="34573FD7"/>
    <w:rsid w:val="347E631A"/>
    <w:rsid w:val="34C77CC1"/>
    <w:rsid w:val="34D84320"/>
    <w:rsid w:val="34DF500B"/>
    <w:rsid w:val="358326C9"/>
    <w:rsid w:val="35AB2A5A"/>
    <w:rsid w:val="35FC7272"/>
    <w:rsid w:val="36013312"/>
    <w:rsid w:val="36034D29"/>
    <w:rsid w:val="36045B33"/>
    <w:rsid w:val="360571F6"/>
    <w:rsid w:val="361705FC"/>
    <w:rsid w:val="36BD137C"/>
    <w:rsid w:val="38393FB2"/>
    <w:rsid w:val="383D6E6A"/>
    <w:rsid w:val="38877A14"/>
    <w:rsid w:val="388F6D48"/>
    <w:rsid w:val="39114A5E"/>
    <w:rsid w:val="3918005F"/>
    <w:rsid w:val="39495149"/>
    <w:rsid w:val="396B3311"/>
    <w:rsid w:val="3A371445"/>
    <w:rsid w:val="3A63048C"/>
    <w:rsid w:val="3A797CAF"/>
    <w:rsid w:val="3ADB2718"/>
    <w:rsid w:val="3B084B8F"/>
    <w:rsid w:val="3B6E0E96"/>
    <w:rsid w:val="3B714E2B"/>
    <w:rsid w:val="3B733902"/>
    <w:rsid w:val="3BC92571"/>
    <w:rsid w:val="3C6449A1"/>
    <w:rsid w:val="3C82547E"/>
    <w:rsid w:val="3CA1704A"/>
    <w:rsid w:val="3D033860"/>
    <w:rsid w:val="3D8B21D4"/>
    <w:rsid w:val="3E75078E"/>
    <w:rsid w:val="3EED6EAF"/>
    <w:rsid w:val="3F052E82"/>
    <w:rsid w:val="3F3A1160"/>
    <w:rsid w:val="3F6031EC"/>
    <w:rsid w:val="3F617FF1"/>
    <w:rsid w:val="3FE200A5"/>
    <w:rsid w:val="40204729"/>
    <w:rsid w:val="404F4538"/>
    <w:rsid w:val="405C7E57"/>
    <w:rsid w:val="40A31410"/>
    <w:rsid w:val="40FD0A7B"/>
    <w:rsid w:val="41BE244C"/>
    <w:rsid w:val="41FB71FC"/>
    <w:rsid w:val="42114C71"/>
    <w:rsid w:val="4235270E"/>
    <w:rsid w:val="426B4382"/>
    <w:rsid w:val="42B51AA1"/>
    <w:rsid w:val="42D9753D"/>
    <w:rsid w:val="432715B6"/>
    <w:rsid w:val="432D5ADB"/>
    <w:rsid w:val="4352109E"/>
    <w:rsid w:val="43BF2BD7"/>
    <w:rsid w:val="43C7383A"/>
    <w:rsid w:val="43DF27DB"/>
    <w:rsid w:val="44054362"/>
    <w:rsid w:val="444C7C23"/>
    <w:rsid w:val="44DF2E05"/>
    <w:rsid w:val="44E64193"/>
    <w:rsid w:val="456A6B72"/>
    <w:rsid w:val="45FE72BB"/>
    <w:rsid w:val="467632F5"/>
    <w:rsid w:val="47134FE8"/>
    <w:rsid w:val="4813461D"/>
    <w:rsid w:val="48237C80"/>
    <w:rsid w:val="4A392FB7"/>
    <w:rsid w:val="4A4C6847"/>
    <w:rsid w:val="4A5114D3"/>
    <w:rsid w:val="4A565917"/>
    <w:rsid w:val="4A8F2BD7"/>
    <w:rsid w:val="4A9608AA"/>
    <w:rsid w:val="4A993CE6"/>
    <w:rsid w:val="4AAA7A11"/>
    <w:rsid w:val="4AAF5028"/>
    <w:rsid w:val="4AB60164"/>
    <w:rsid w:val="4AD24DA8"/>
    <w:rsid w:val="4B215F25"/>
    <w:rsid w:val="4B62209A"/>
    <w:rsid w:val="4BAD77B9"/>
    <w:rsid w:val="4C382C27"/>
    <w:rsid w:val="4C7E1155"/>
    <w:rsid w:val="4CA24E44"/>
    <w:rsid w:val="4CD34FFD"/>
    <w:rsid w:val="4D043409"/>
    <w:rsid w:val="4D450050"/>
    <w:rsid w:val="4D491763"/>
    <w:rsid w:val="4D4E2340"/>
    <w:rsid w:val="4DB7491F"/>
    <w:rsid w:val="4DBA440F"/>
    <w:rsid w:val="4DFE42FC"/>
    <w:rsid w:val="4E121B55"/>
    <w:rsid w:val="4E41068C"/>
    <w:rsid w:val="4F19281C"/>
    <w:rsid w:val="4F702FD7"/>
    <w:rsid w:val="4FE6773D"/>
    <w:rsid w:val="500B2D00"/>
    <w:rsid w:val="50137E07"/>
    <w:rsid w:val="50597F0F"/>
    <w:rsid w:val="508F3931"/>
    <w:rsid w:val="50B86E8A"/>
    <w:rsid w:val="50FE4613"/>
    <w:rsid w:val="51596C16"/>
    <w:rsid w:val="518E133C"/>
    <w:rsid w:val="51A56401"/>
    <w:rsid w:val="51FE0D6E"/>
    <w:rsid w:val="529D7D47"/>
    <w:rsid w:val="52FD75EE"/>
    <w:rsid w:val="53370692"/>
    <w:rsid w:val="536E7365"/>
    <w:rsid w:val="53863C13"/>
    <w:rsid w:val="53980256"/>
    <w:rsid w:val="53DD49B3"/>
    <w:rsid w:val="548B2661"/>
    <w:rsid w:val="55083CB2"/>
    <w:rsid w:val="55637E01"/>
    <w:rsid w:val="557E14D4"/>
    <w:rsid w:val="55DB4F23"/>
    <w:rsid w:val="55E9055F"/>
    <w:rsid w:val="55FF3307"/>
    <w:rsid w:val="561D117F"/>
    <w:rsid w:val="56452962"/>
    <w:rsid w:val="56496330"/>
    <w:rsid w:val="565C2507"/>
    <w:rsid w:val="56831515"/>
    <w:rsid w:val="571921A6"/>
    <w:rsid w:val="58205AA5"/>
    <w:rsid w:val="582244C8"/>
    <w:rsid w:val="58254B7B"/>
    <w:rsid w:val="584119B5"/>
    <w:rsid w:val="584F3F7F"/>
    <w:rsid w:val="588D4BFA"/>
    <w:rsid w:val="58A23BD7"/>
    <w:rsid w:val="58A51FB1"/>
    <w:rsid w:val="58A56E38"/>
    <w:rsid w:val="58BF208C"/>
    <w:rsid w:val="58D760FB"/>
    <w:rsid w:val="592875B7"/>
    <w:rsid w:val="592B69FB"/>
    <w:rsid w:val="592F48D4"/>
    <w:rsid w:val="59385FD8"/>
    <w:rsid w:val="594E53E5"/>
    <w:rsid w:val="595E6596"/>
    <w:rsid w:val="597F517B"/>
    <w:rsid w:val="59A2131E"/>
    <w:rsid w:val="59AC10B0"/>
    <w:rsid w:val="59B92910"/>
    <w:rsid w:val="5A5115E7"/>
    <w:rsid w:val="5A690D4F"/>
    <w:rsid w:val="5ADE4766"/>
    <w:rsid w:val="5B9C0BC5"/>
    <w:rsid w:val="5BB66216"/>
    <w:rsid w:val="5C2608F6"/>
    <w:rsid w:val="5C4F3C4A"/>
    <w:rsid w:val="5CA40764"/>
    <w:rsid w:val="5CB52971"/>
    <w:rsid w:val="5CDD4A8B"/>
    <w:rsid w:val="5D154A7F"/>
    <w:rsid w:val="5D4C3BB5"/>
    <w:rsid w:val="5DD61DF2"/>
    <w:rsid w:val="5DEF2A1C"/>
    <w:rsid w:val="5E7E688E"/>
    <w:rsid w:val="5E9D190F"/>
    <w:rsid w:val="5ECA3D86"/>
    <w:rsid w:val="5EE70DDC"/>
    <w:rsid w:val="5F2E6A0B"/>
    <w:rsid w:val="5F661D01"/>
    <w:rsid w:val="5FD50D27"/>
    <w:rsid w:val="5FEF7F48"/>
    <w:rsid w:val="60074057"/>
    <w:rsid w:val="600D0CC7"/>
    <w:rsid w:val="602A7436"/>
    <w:rsid w:val="602C2F4B"/>
    <w:rsid w:val="608A2368"/>
    <w:rsid w:val="60FF1F91"/>
    <w:rsid w:val="612B69A4"/>
    <w:rsid w:val="6142054C"/>
    <w:rsid w:val="616E7593"/>
    <w:rsid w:val="61D4389A"/>
    <w:rsid w:val="61E13465"/>
    <w:rsid w:val="61EB2991"/>
    <w:rsid w:val="622F287E"/>
    <w:rsid w:val="62CA25A7"/>
    <w:rsid w:val="63081B96"/>
    <w:rsid w:val="636C365E"/>
    <w:rsid w:val="638168AD"/>
    <w:rsid w:val="64206BBA"/>
    <w:rsid w:val="642D54E3"/>
    <w:rsid w:val="646802C9"/>
    <w:rsid w:val="65864EAB"/>
    <w:rsid w:val="65BD4645"/>
    <w:rsid w:val="65DC0F6F"/>
    <w:rsid w:val="66B06576"/>
    <w:rsid w:val="67087B42"/>
    <w:rsid w:val="674566A0"/>
    <w:rsid w:val="674C5C80"/>
    <w:rsid w:val="675A7FB9"/>
    <w:rsid w:val="67E265E5"/>
    <w:rsid w:val="68045CFC"/>
    <w:rsid w:val="68065F23"/>
    <w:rsid w:val="68551D43"/>
    <w:rsid w:val="689E075E"/>
    <w:rsid w:val="68D413F0"/>
    <w:rsid w:val="691C55E1"/>
    <w:rsid w:val="69E623BC"/>
    <w:rsid w:val="69EB79D2"/>
    <w:rsid w:val="6A1B1429"/>
    <w:rsid w:val="6A835E5D"/>
    <w:rsid w:val="6ABB0030"/>
    <w:rsid w:val="6B1B42E7"/>
    <w:rsid w:val="6B4B3E35"/>
    <w:rsid w:val="6B777044"/>
    <w:rsid w:val="6BB43DF4"/>
    <w:rsid w:val="6C895A6C"/>
    <w:rsid w:val="6C951E77"/>
    <w:rsid w:val="6CA34594"/>
    <w:rsid w:val="6CA4411F"/>
    <w:rsid w:val="6D311CF4"/>
    <w:rsid w:val="6D350F65"/>
    <w:rsid w:val="6D940381"/>
    <w:rsid w:val="6DCF13B9"/>
    <w:rsid w:val="6E4E0530"/>
    <w:rsid w:val="6E733541"/>
    <w:rsid w:val="6E8D3612"/>
    <w:rsid w:val="6E9817AB"/>
    <w:rsid w:val="6EDC6281"/>
    <w:rsid w:val="6F2A4AF9"/>
    <w:rsid w:val="6F7F623D"/>
    <w:rsid w:val="6FAF3250"/>
    <w:rsid w:val="6FC26234"/>
    <w:rsid w:val="710E3FA6"/>
    <w:rsid w:val="71A05546"/>
    <w:rsid w:val="71AD7C63"/>
    <w:rsid w:val="71B966A9"/>
    <w:rsid w:val="71ED251E"/>
    <w:rsid w:val="71EF5B86"/>
    <w:rsid w:val="724F4877"/>
    <w:rsid w:val="72534367"/>
    <w:rsid w:val="72610000"/>
    <w:rsid w:val="728A0A8A"/>
    <w:rsid w:val="72D03C09"/>
    <w:rsid w:val="72E70F53"/>
    <w:rsid w:val="72FA7AEB"/>
    <w:rsid w:val="7301759C"/>
    <w:rsid w:val="735036A5"/>
    <w:rsid w:val="7357307A"/>
    <w:rsid w:val="73715DD6"/>
    <w:rsid w:val="74033B6B"/>
    <w:rsid w:val="740718AD"/>
    <w:rsid w:val="746A3BEA"/>
    <w:rsid w:val="74C4154C"/>
    <w:rsid w:val="74C50E20"/>
    <w:rsid w:val="75263FB5"/>
    <w:rsid w:val="75275D67"/>
    <w:rsid w:val="75395CA3"/>
    <w:rsid w:val="75662603"/>
    <w:rsid w:val="759F0162"/>
    <w:rsid w:val="75AA2DD0"/>
    <w:rsid w:val="75CD61DE"/>
    <w:rsid w:val="75EE0814"/>
    <w:rsid w:val="76470634"/>
    <w:rsid w:val="767174B1"/>
    <w:rsid w:val="777234E1"/>
    <w:rsid w:val="77C61D92"/>
    <w:rsid w:val="77CC6A37"/>
    <w:rsid w:val="78306EF8"/>
    <w:rsid w:val="78801C2E"/>
    <w:rsid w:val="7908032D"/>
    <w:rsid w:val="790939D1"/>
    <w:rsid w:val="793D18CD"/>
    <w:rsid w:val="7AAC0AB8"/>
    <w:rsid w:val="7ADA24A9"/>
    <w:rsid w:val="7B0A3A31"/>
    <w:rsid w:val="7B3867F0"/>
    <w:rsid w:val="7B4231CA"/>
    <w:rsid w:val="7BB120FE"/>
    <w:rsid w:val="7BC40083"/>
    <w:rsid w:val="7C0D253B"/>
    <w:rsid w:val="7C691566"/>
    <w:rsid w:val="7C7A350F"/>
    <w:rsid w:val="7C7E2DBE"/>
    <w:rsid w:val="7CA0706A"/>
    <w:rsid w:val="7CB73744"/>
    <w:rsid w:val="7CE81B50"/>
    <w:rsid w:val="7D114B18"/>
    <w:rsid w:val="7D6438CC"/>
    <w:rsid w:val="7D796C4C"/>
    <w:rsid w:val="7DAA32A9"/>
    <w:rsid w:val="7E2F6A52"/>
    <w:rsid w:val="7F28639A"/>
    <w:rsid w:val="7F376DBE"/>
    <w:rsid w:val="7F7818B1"/>
    <w:rsid w:val="7F8D69DE"/>
    <w:rsid w:val="AAD76004"/>
    <w:rsid w:val="FCDD77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8"/>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65"/>
    <w:qFormat/>
    <w:uiPriority w:val="9"/>
    <w:pPr>
      <w:keepNext/>
      <w:keepLines/>
      <w:outlineLvl w:val="0"/>
    </w:pPr>
    <w:rPr>
      <w:rFonts w:ascii="Arial" w:hAnsi="Arial" w:cs="Arial"/>
      <w:sz w:val="44"/>
      <w:szCs w:val="40"/>
    </w:rPr>
  </w:style>
  <w:style w:type="paragraph" w:styleId="3">
    <w:name w:val="heading 2"/>
    <w:basedOn w:val="1"/>
    <w:next w:val="1"/>
    <w:link w:val="66"/>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7"/>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8"/>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9"/>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0"/>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1"/>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2"/>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3"/>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table of authorities"/>
    <w:basedOn w:val="1"/>
    <w:next w:val="1"/>
    <w:qFormat/>
    <w:uiPriority w:val="0"/>
    <w:pPr>
      <w:ind w:left="420"/>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qFormat/>
    <w:uiPriority w:val="0"/>
    <w:rPr>
      <w:rFonts w:eastAsia="楷体_GB2312"/>
      <w:b/>
      <w:bCs/>
      <w:color w:val="FF0000"/>
      <w:sz w:val="32"/>
      <w:szCs w:val="32"/>
      <w:lang w:val="zh-CN"/>
    </w:rPr>
  </w:style>
  <w:style w:type="paragraph" w:styleId="16">
    <w:name w:val="Body Text Indent"/>
    <w:basedOn w:val="1"/>
    <w:qFormat/>
    <w:uiPriority w:val="0"/>
    <w:pPr>
      <w:spacing w:line="500" w:lineRule="exact"/>
      <w:ind w:left="1050"/>
    </w:pPr>
    <w:rPr>
      <w:rFonts w:ascii="仿宋_GB2312" w:eastAsia="仿宋_GB2312"/>
      <w:sz w:val="28"/>
    </w:rPr>
  </w:style>
  <w:style w:type="paragraph" w:styleId="17">
    <w:name w:val="toc 5"/>
    <w:basedOn w:val="1"/>
    <w:next w:val="1"/>
    <w:qFormat/>
    <w:uiPriority w:val="39"/>
    <w:pPr>
      <w:spacing w:after="57"/>
      <w:ind w:left="1134"/>
    </w:pPr>
  </w:style>
  <w:style w:type="paragraph" w:styleId="18">
    <w:name w:val="toc 3"/>
    <w:basedOn w:val="1"/>
    <w:next w:val="1"/>
    <w:qFormat/>
    <w:uiPriority w:val="39"/>
    <w:pPr>
      <w:spacing w:after="57"/>
      <w:ind w:left="567"/>
    </w:pPr>
  </w:style>
  <w:style w:type="paragraph" w:styleId="19">
    <w:name w:val="Plain Text"/>
    <w:basedOn w:val="1"/>
    <w:qFormat/>
    <w:uiPriority w:val="0"/>
    <w:rPr>
      <w:rFonts w:ascii="宋体" w:hAnsi="Courier New"/>
      <w:szCs w:val="20"/>
    </w:rPr>
  </w:style>
  <w:style w:type="paragraph" w:styleId="20">
    <w:name w:val="toc 8"/>
    <w:basedOn w:val="1"/>
    <w:next w:val="1"/>
    <w:qFormat/>
    <w:uiPriority w:val="39"/>
    <w:pPr>
      <w:spacing w:after="57"/>
      <w:ind w:left="1984"/>
    </w:pPr>
  </w:style>
  <w:style w:type="paragraph" w:styleId="21">
    <w:name w:val="endnote text"/>
    <w:basedOn w:val="1"/>
    <w:link w:val="211"/>
    <w:qFormat/>
    <w:uiPriority w:val="99"/>
    <w:rPr>
      <w:sz w:val="20"/>
    </w:rPr>
  </w:style>
  <w:style w:type="paragraph" w:styleId="22">
    <w:name w:val="footer"/>
    <w:basedOn w:val="1"/>
    <w:link w:val="84"/>
    <w:qFormat/>
    <w:uiPriority w:val="99"/>
    <w:pPr>
      <w:tabs>
        <w:tab w:val="center" w:pos="7143"/>
        <w:tab w:val="right" w:pos="14287"/>
      </w:tabs>
    </w:pPr>
  </w:style>
  <w:style w:type="paragraph" w:styleId="23">
    <w:name w:val="header"/>
    <w:basedOn w:val="1"/>
    <w:link w:val="82"/>
    <w:qFormat/>
    <w:uiPriority w:val="99"/>
    <w:pPr>
      <w:tabs>
        <w:tab w:val="center" w:pos="7143"/>
        <w:tab w:val="right" w:pos="14287"/>
      </w:tabs>
    </w:pPr>
  </w:style>
  <w:style w:type="paragraph" w:styleId="24">
    <w:name w:val="toc 1"/>
    <w:basedOn w:val="1"/>
    <w:next w:val="1"/>
    <w:qFormat/>
    <w:uiPriority w:val="39"/>
    <w:pPr>
      <w:spacing w:after="57"/>
    </w:pPr>
  </w:style>
  <w:style w:type="paragraph" w:styleId="25">
    <w:name w:val="toc 4"/>
    <w:basedOn w:val="1"/>
    <w:next w:val="1"/>
    <w:qFormat/>
    <w:uiPriority w:val="39"/>
    <w:pPr>
      <w:spacing w:after="57"/>
      <w:ind w:left="850"/>
    </w:pPr>
  </w:style>
  <w:style w:type="paragraph" w:styleId="26">
    <w:name w:val="Subtitle"/>
    <w:basedOn w:val="1"/>
    <w:next w:val="1"/>
    <w:link w:val="77"/>
    <w:qFormat/>
    <w:uiPriority w:val="11"/>
    <w:pPr>
      <w:spacing w:before="200" w:after="200"/>
    </w:pPr>
    <w:rPr>
      <w:sz w:val="24"/>
      <w:szCs w:val="24"/>
    </w:rPr>
  </w:style>
  <w:style w:type="paragraph" w:styleId="27">
    <w:name w:val="footnote text"/>
    <w:basedOn w:val="1"/>
    <w:link w:val="210"/>
    <w:qFormat/>
    <w:uiPriority w:val="99"/>
    <w:pPr>
      <w:spacing w:after="40"/>
    </w:pPr>
    <w:rPr>
      <w:sz w:val="18"/>
    </w:rPr>
  </w:style>
  <w:style w:type="paragraph" w:styleId="28">
    <w:name w:val="toc 6"/>
    <w:basedOn w:val="1"/>
    <w:next w:val="1"/>
    <w:qFormat/>
    <w:uiPriority w:val="39"/>
    <w:pPr>
      <w:spacing w:after="57"/>
      <w:ind w:left="1417"/>
    </w:pPr>
  </w:style>
  <w:style w:type="paragraph" w:styleId="29">
    <w:name w:val="table of figures"/>
    <w:basedOn w:val="1"/>
    <w:next w:val="1"/>
    <w:qFormat/>
    <w:uiPriority w:val="99"/>
  </w:style>
  <w:style w:type="paragraph" w:styleId="30">
    <w:name w:val="toc 2"/>
    <w:basedOn w:val="1"/>
    <w:next w:val="1"/>
    <w:qFormat/>
    <w:uiPriority w:val="39"/>
    <w:pPr>
      <w:spacing w:after="57"/>
      <w:ind w:left="283"/>
    </w:pPr>
  </w:style>
  <w:style w:type="paragraph" w:styleId="31">
    <w:name w:val="toc 9"/>
    <w:basedOn w:val="1"/>
    <w:next w:val="1"/>
    <w:qFormat/>
    <w:uiPriority w:val="39"/>
    <w:pPr>
      <w:spacing w:after="57"/>
      <w:ind w:left="2268"/>
    </w:pPr>
  </w:style>
  <w:style w:type="paragraph" w:styleId="32">
    <w:name w:val="Body Text 2"/>
    <w:basedOn w:val="1"/>
    <w:next w:val="15"/>
    <w:qFormat/>
    <w:uiPriority w:val="0"/>
    <w:pPr>
      <w:spacing w:line="560" w:lineRule="exact"/>
    </w:pPr>
    <w:rPr>
      <w:rFonts w:ascii="仿宋_GB2312" w:eastAsia="仿宋_GB2312"/>
      <w:sz w:val="28"/>
      <w:szCs w:val="30"/>
    </w:r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34">
    <w:name w:val="Title"/>
    <w:basedOn w:val="1"/>
    <w:next w:val="1"/>
    <w:link w:val="76"/>
    <w:qFormat/>
    <w:uiPriority w:val="10"/>
    <w:pPr>
      <w:spacing w:before="300" w:after="200"/>
      <w:contextualSpacing/>
    </w:pPr>
    <w:rPr>
      <w:sz w:val="48"/>
      <w:szCs w:val="48"/>
    </w:rPr>
  </w:style>
  <w:style w:type="paragraph" w:styleId="35">
    <w:name w:val="Body Text First Indent"/>
    <w:basedOn w:val="15"/>
    <w:qFormat/>
    <w:uiPriority w:val="0"/>
    <w:pPr>
      <w:ind w:firstLine="420"/>
    </w:pPr>
    <w:rPr>
      <w:sz w:val="24"/>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22"/>
    <w:rPr>
      <w:b/>
      <w:bCs/>
    </w:rPr>
  </w:style>
  <w:style w:type="character" w:styleId="40">
    <w:name w:val="endnote reference"/>
    <w:qFormat/>
    <w:uiPriority w:val="99"/>
    <w:rPr>
      <w:vertAlign w:val="superscript"/>
    </w:rPr>
  </w:style>
  <w:style w:type="character" w:styleId="41">
    <w:name w:val="page number"/>
    <w:qFormat/>
    <w:uiPriority w:val="0"/>
  </w:style>
  <w:style w:type="character" w:styleId="42">
    <w:name w:val="Hyperlink"/>
    <w:qFormat/>
    <w:uiPriority w:val="99"/>
    <w:rPr>
      <w:color w:val="0000FF"/>
      <w:u w:val="single"/>
    </w:rPr>
  </w:style>
  <w:style w:type="character" w:styleId="43">
    <w:name w:val="annotation reference"/>
    <w:qFormat/>
    <w:uiPriority w:val="0"/>
    <w:rPr>
      <w:sz w:val="21"/>
      <w:szCs w:val="21"/>
    </w:rPr>
  </w:style>
  <w:style w:type="character" w:styleId="44">
    <w:name w:val="footnote reference"/>
    <w:qFormat/>
    <w:uiPriority w:val="99"/>
    <w:rPr>
      <w:vertAlign w:val="superscript"/>
    </w:rPr>
  </w:style>
  <w:style w:type="paragraph" w:customStyle="1" w:styleId="45">
    <w:name w:val="Default"/>
    <w:qFormat/>
    <w:uiPriority w:val="0"/>
    <w:pPr>
      <w:widowControl w:val="0"/>
    </w:pPr>
    <w:rPr>
      <w:rFonts w:ascii="MS Mincho" w:hAnsi="Calibri" w:eastAsia="宋体" w:cs="Times New Roman"/>
      <w:color w:val="000000"/>
      <w:sz w:val="21"/>
      <w:szCs w:val="24"/>
      <w:lang w:val="en-US" w:eastAsia="zh-CN" w:bidi="ar-SA"/>
    </w:rPr>
  </w:style>
  <w:style w:type="character" w:customStyle="1" w:styleId="46">
    <w:name w:val="Heading 1 Char"/>
    <w:basedOn w:val="38"/>
    <w:qFormat/>
    <w:uiPriority w:val="9"/>
    <w:rPr>
      <w:rFonts w:ascii="Arial" w:hAnsi="Arial" w:eastAsia="Arial" w:cs="Arial"/>
      <w:sz w:val="40"/>
      <w:szCs w:val="40"/>
    </w:rPr>
  </w:style>
  <w:style w:type="character" w:customStyle="1" w:styleId="47">
    <w:name w:val="Heading 2 Char"/>
    <w:basedOn w:val="38"/>
    <w:qFormat/>
    <w:uiPriority w:val="9"/>
    <w:rPr>
      <w:rFonts w:ascii="Arial" w:hAnsi="Arial" w:eastAsia="Arial" w:cs="Arial"/>
      <w:sz w:val="34"/>
    </w:rPr>
  </w:style>
  <w:style w:type="character" w:customStyle="1" w:styleId="48">
    <w:name w:val="Heading 3 Char"/>
    <w:basedOn w:val="38"/>
    <w:qFormat/>
    <w:uiPriority w:val="9"/>
    <w:rPr>
      <w:rFonts w:ascii="Arial" w:hAnsi="Arial" w:eastAsia="Arial" w:cs="Arial"/>
      <w:sz w:val="30"/>
      <w:szCs w:val="30"/>
    </w:rPr>
  </w:style>
  <w:style w:type="character" w:customStyle="1" w:styleId="49">
    <w:name w:val="Heading 4 Char"/>
    <w:basedOn w:val="38"/>
    <w:qFormat/>
    <w:uiPriority w:val="9"/>
    <w:rPr>
      <w:rFonts w:ascii="Arial" w:hAnsi="Arial" w:eastAsia="Arial" w:cs="Arial"/>
      <w:b/>
      <w:bCs/>
      <w:sz w:val="26"/>
      <w:szCs w:val="26"/>
    </w:rPr>
  </w:style>
  <w:style w:type="character" w:customStyle="1" w:styleId="50">
    <w:name w:val="Heading 5 Char"/>
    <w:basedOn w:val="38"/>
    <w:qFormat/>
    <w:uiPriority w:val="9"/>
    <w:rPr>
      <w:rFonts w:ascii="Arial" w:hAnsi="Arial" w:eastAsia="Arial" w:cs="Arial"/>
      <w:b/>
      <w:bCs/>
      <w:sz w:val="24"/>
      <w:szCs w:val="24"/>
    </w:rPr>
  </w:style>
  <w:style w:type="character" w:customStyle="1" w:styleId="51">
    <w:name w:val="Heading 6 Char"/>
    <w:basedOn w:val="38"/>
    <w:qFormat/>
    <w:uiPriority w:val="9"/>
    <w:rPr>
      <w:rFonts w:ascii="Arial" w:hAnsi="Arial" w:eastAsia="Arial" w:cs="Arial"/>
      <w:b/>
      <w:bCs/>
      <w:sz w:val="22"/>
      <w:szCs w:val="22"/>
    </w:rPr>
  </w:style>
  <w:style w:type="character" w:customStyle="1" w:styleId="52">
    <w:name w:val="Heading 7 Char"/>
    <w:basedOn w:val="38"/>
    <w:qFormat/>
    <w:uiPriority w:val="9"/>
    <w:rPr>
      <w:rFonts w:ascii="Arial" w:hAnsi="Arial" w:eastAsia="Arial" w:cs="Arial"/>
      <w:b/>
      <w:bCs/>
      <w:i/>
      <w:iCs/>
      <w:sz w:val="22"/>
      <w:szCs w:val="22"/>
    </w:rPr>
  </w:style>
  <w:style w:type="character" w:customStyle="1" w:styleId="53">
    <w:name w:val="Heading 8 Char"/>
    <w:basedOn w:val="38"/>
    <w:qFormat/>
    <w:uiPriority w:val="9"/>
    <w:rPr>
      <w:rFonts w:ascii="Arial" w:hAnsi="Arial" w:eastAsia="Arial" w:cs="Arial"/>
      <w:i/>
      <w:iCs/>
      <w:sz w:val="22"/>
      <w:szCs w:val="22"/>
    </w:rPr>
  </w:style>
  <w:style w:type="character" w:customStyle="1" w:styleId="54">
    <w:name w:val="Heading 9 Char"/>
    <w:basedOn w:val="38"/>
    <w:qFormat/>
    <w:uiPriority w:val="9"/>
    <w:rPr>
      <w:rFonts w:ascii="Arial" w:hAnsi="Arial" w:eastAsia="Arial" w:cs="Arial"/>
      <w:i/>
      <w:iCs/>
      <w:sz w:val="21"/>
      <w:szCs w:val="21"/>
    </w:rPr>
  </w:style>
  <w:style w:type="character" w:customStyle="1" w:styleId="55">
    <w:name w:val="Title Char"/>
    <w:basedOn w:val="38"/>
    <w:qFormat/>
    <w:uiPriority w:val="10"/>
    <w:rPr>
      <w:sz w:val="48"/>
      <w:szCs w:val="48"/>
    </w:rPr>
  </w:style>
  <w:style w:type="character" w:customStyle="1" w:styleId="56">
    <w:name w:val="Subtitle Char"/>
    <w:basedOn w:val="38"/>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38"/>
    <w:qFormat/>
    <w:uiPriority w:val="99"/>
  </w:style>
  <w:style w:type="character" w:customStyle="1" w:styleId="60">
    <w:name w:val="Footer Char"/>
    <w:basedOn w:val="38"/>
    <w:qFormat/>
    <w:uiPriority w:val="99"/>
  </w:style>
  <w:style w:type="character" w:customStyle="1" w:styleId="61">
    <w:name w:val="Caption Char"/>
    <w:qFormat/>
    <w:uiPriority w:val="99"/>
  </w:style>
  <w:style w:type="character" w:customStyle="1" w:styleId="62">
    <w:name w:val="Footnote Text Char"/>
    <w:qFormat/>
    <w:uiPriority w:val="99"/>
    <w:rPr>
      <w:sz w:val="18"/>
    </w:rPr>
  </w:style>
  <w:style w:type="character" w:customStyle="1" w:styleId="63">
    <w:name w:val="Endnote Text Char"/>
    <w:qFormat/>
    <w:uiPriority w:val="99"/>
    <w:rPr>
      <w:sz w:val="20"/>
    </w:rPr>
  </w:style>
  <w:style w:type="paragraph" w:customStyle="1" w:styleId="64">
    <w:name w:val="TOC 标题1"/>
    <w:unhideWhenUsed/>
    <w:qFormat/>
    <w:uiPriority w:val="39"/>
    <w:rPr>
      <w:rFonts w:ascii="Times New Roman" w:hAnsi="Times New Roman" w:eastAsia="宋体" w:cs="Times New Roman"/>
      <w:lang w:val="en-US" w:eastAsia="zh-CN" w:bidi="ar-SA"/>
    </w:rPr>
  </w:style>
  <w:style w:type="character" w:customStyle="1" w:styleId="65">
    <w:name w:val="标题 1 Char1"/>
    <w:link w:val="2"/>
    <w:qFormat/>
    <w:uiPriority w:val="9"/>
    <w:rPr>
      <w:rFonts w:ascii="Arial" w:hAnsi="Arial" w:eastAsia="宋体" w:cs="Arial"/>
      <w:sz w:val="44"/>
      <w:szCs w:val="40"/>
    </w:rPr>
  </w:style>
  <w:style w:type="character" w:customStyle="1" w:styleId="66">
    <w:name w:val="标题 2 Char1"/>
    <w:link w:val="3"/>
    <w:qFormat/>
    <w:uiPriority w:val="9"/>
    <w:rPr>
      <w:rFonts w:ascii="Arial" w:hAnsi="Arial" w:eastAsia="Arial" w:cs="Arial"/>
      <w:sz w:val="34"/>
    </w:rPr>
  </w:style>
  <w:style w:type="character" w:customStyle="1" w:styleId="67">
    <w:name w:val="标题 3 Char1"/>
    <w:link w:val="4"/>
    <w:qFormat/>
    <w:uiPriority w:val="9"/>
    <w:rPr>
      <w:rFonts w:ascii="Arial" w:hAnsi="Arial" w:eastAsia="Arial" w:cs="Arial"/>
      <w:sz w:val="30"/>
      <w:szCs w:val="30"/>
    </w:rPr>
  </w:style>
  <w:style w:type="character" w:customStyle="1" w:styleId="68">
    <w:name w:val="标题 4 Char1"/>
    <w:link w:val="5"/>
    <w:qFormat/>
    <w:uiPriority w:val="9"/>
    <w:rPr>
      <w:rFonts w:ascii="Arial" w:hAnsi="Arial" w:eastAsia="Arial" w:cs="Arial"/>
      <w:b/>
      <w:bCs/>
      <w:sz w:val="26"/>
      <w:szCs w:val="26"/>
    </w:rPr>
  </w:style>
  <w:style w:type="character" w:customStyle="1" w:styleId="69">
    <w:name w:val="标题 5 Char1"/>
    <w:link w:val="6"/>
    <w:qFormat/>
    <w:uiPriority w:val="9"/>
    <w:rPr>
      <w:rFonts w:ascii="Arial" w:hAnsi="Arial" w:eastAsia="Arial" w:cs="Arial"/>
      <w:b/>
      <w:bCs/>
      <w:sz w:val="24"/>
      <w:szCs w:val="24"/>
    </w:rPr>
  </w:style>
  <w:style w:type="character" w:customStyle="1" w:styleId="70">
    <w:name w:val="标题 6 Char1"/>
    <w:link w:val="7"/>
    <w:qFormat/>
    <w:uiPriority w:val="9"/>
    <w:rPr>
      <w:rFonts w:ascii="Arial" w:hAnsi="Arial" w:eastAsia="Arial" w:cs="Arial"/>
      <w:b/>
      <w:bCs/>
      <w:sz w:val="22"/>
      <w:szCs w:val="22"/>
    </w:rPr>
  </w:style>
  <w:style w:type="character" w:customStyle="1" w:styleId="71">
    <w:name w:val="标题 7 Char1"/>
    <w:link w:val="8"/>
    <w:qFormat/>
    <w:uiPriority w:val="9"/>
    <w:rPr>
      <w:rFonts w:ascii="Arial" w:hAnsi="Arial" w:eastAsia="Arial" w:cs="Arial"/>
      <w:b/>
      <w:bCs/>
      <w:i/>
      <w:iCs/>
      <w:sz w:val="22"/>
      <w:szCs w:val="22"/>
    </w:rPr>
  </w:style>
  <w:style w:type="character" w:customStyle="1" w:styleId="72">
    <w:name w:val="标题 8 Char1"/>
    <w:link w:val="9"/>
    <w:qFormat/>
    <w:uiPriority w:val="9"/>
    <w:rPr>
      <w:rFonts w:ascii="Arial" w:hAnsi="Arial" w:eastAsia="Arial" w:cs="Arial"/>
      <w:i/>
      <w:iCs/>
      <w:sz w:val="22"/>
      <w:szCs w:val="22"/>
    </w:rPr>
  </w:style>
  <w:style w:type="character" w:customStyle="1" w:styleId="73">
    <w:name w:val="标题 9 Char1"/>
    <w:link w:val="10"/>
    <w:qFormat/>
    <w:uiPriority w:val="9"/>
    <w:rPr>
      <w:rFonts w:ascii="Arial" w:hAnsi="Arial" w:eastAsia="Arial" w:cs="Arial"/>
      <w:i/>
      <w:iCs/>
      <w:sz w:val="21"/>
      <w:szCs w:val="21"/>
    </w:rPr>
  </w:style>
  <w:style w:type="paragraph" w:styleId="74">
    <w:name w:val="List Paragraph"/>
    <w:basedOn w:val="1"/>
    <w:qFormat/>
    <w:uiPriority w:val="34"/>
    <w:pPr>
      <w:ind w:left="720"/>
      <w:contextualSpacing/>
    </w:pPr>
  </w:style>
  <w:style w:type="paragraph" w:styleId="75">
    <w:name w:val="No Spacing"/>
    <w:qFormat/>
    <w:uiPriority w:val="1"/>
    <w:rPr>
      <w:rFonts w:ascii="Times New Roman" w:hAnsi="Times New Roman" w:eastAsia="宋体" w:cs="Times New Roman"/>
      <w:lang w:val="en-US" w:eastAsia="zh-CN" w:bidi="ar-SA"/>
    </w:rPr>
  </w:style>
  <w:style w:type="character" w:customStyle="1" w:styleId="76">
    <w:name w:val="标题 Char"/>
    <w:link w:val="34"/>
    <w:qFormat/>
    <w:uiPriority w:val="10"/>
    <w:rPr>
      <w:sz w:val="48"/>
      <w:szCs w:val="48"/>
    </w:rPr>
  </w:style>
  <w:style w:type="character" w:customStyle="1" w:styleId="77">
    <w:name w:val="副标题 Char"/>
    <w:link w:val="26"/>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引用 Char"/>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明显引用 Char"/>
    <w:link w:val="80"/>
    <w:qFormat/>
    <w:uiPriority w:val="30"/>
    <w:rPr>
      <w:i/>
    </w:rPr>
  </w:style>
  <w:style w:type="character" w:customStyle="1" w:styleId="82">
    <w:name w:val="页眉 Char1"/>
    <w:link w:val="23"/>
    <w:qFormat/>
    <w:uiPriority w:val="99"/>
  </w:style>
  <w:style w:type="character" w:customStyle="1" w:styleId="83">
    <w:name w:val="Footer Char_6ff121b4-430d-4c09-8a61-c2a1f81529fc"/>
    <w:qFormat/>
    <w:uiPriority w:val="99"/>
  </w:style>
  <w:style w:type="character" w:customStyle="1" w:styleId="84">
    <w:name w:val="页脚 Char1"/>
    <w:link w:val="22"/>
    <w:qFormat/>
    <w:uiPriority w:val="99"/>
  </w:style>
  <w:style w:type="table" w:customStyle="1" w:styleId="85">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86">
    <w:name w:val="Plain Table 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7">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8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9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91">
    <w:name w:val="Grid Table 1 Light"/>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92">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93">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9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96">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9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98">
    <w:name w:val="Grid Table 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9">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0">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1">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5">
    <w:name w:val="Grid Table 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6">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07">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8">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12">
    <w:name w:val="Grid Table 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1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14">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1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19">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2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2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2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2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26">
    <w:name w:val="Grid Table 6 Colorful"/>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2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28">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29">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3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3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33">
    <w:name w:val="Grid Table 7 Colorful"/>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3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35">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36">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3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3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4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4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4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4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4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47">
    <w:name w:val="List Table 2"/>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9">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5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5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54">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5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6">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57">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5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6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61">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3">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6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6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68">
    <w:name w:val="List Table 5 Dark"/>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6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70">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71">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7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7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7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75">
    <w:name w:val="List Table 6 Colorful"/>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7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77">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78">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7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8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82">
    <w:name w:val="List Table 7 Colorful"/>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83">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84">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85">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86">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7">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88">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8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9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9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96">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97">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8">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9">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0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0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0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03">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04">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05">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0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0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08">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0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10">
    <w:name w:val="脚注文本 Char"/>
    <w:link w:val="27"/>
    <w:qFormat/>
    <w:uiPriority w:val="99"/>
    <w:rPr>
      <w:sz w:val="18"/>
    </w:rPr>
  </w:style>
  <w:style w:type="character" w:customStyle="1" w:styleId="211">
    <w:name w:val="尾注文本 Char"/>
    <w:link w:val="21"/>
    <w:qFormat/>
    <w:uiPriority w:val="99"/>
    <w:rPr>
      <w:sz w:val="20"/>
    </w:rPr>
  </w:style>
  <w:style w:type="paragraph" w:customStyle="1" w:styleId="212">
    <w:name w:val="TOC Heading_3fd416be-6f8c-43dc-9aaa-65712bfebe15"/>
    <w:qFormat/>
    <w:uiPriority w:val="39"/>
    <w:rPr>
      <w:rFonts w:ascii="Times New Roman" w:hAnsi="Times New Roman" w:eastAsia="宋体" w:cs="Times New Roman"/>
      <w:lang w:val="en-US" w:eastAsia="zh-CN" w:bidi="ar-SA"/>
    </w:rPr>
  </w:style>
  <w:style w:type="paragraph" w:customStyle="1" w:styleId="213">
    <w:name w:val="标题 11"/>
    <w:basedOn w:val="1"/>
    <w:next w:val="1"/>
    <w:link w:val="225"/>
    <w:qFormat/>
    <w:uiPriority w:val="0"/>
    <w:pPr>
      <w:keepNext/>
      <w:jc w:val="center"/>
      <w:outlineLvl w:val="0"/>
    </w:pPr>
    <w:rPr>
      <w:rFonts w:ascii="楷体_GB2312" w:eastAsia="楷体_GB2312"/>
      <w:sz w:val="28"/>
      <w:szCs w:val="28"/>
    </w:rPr>
  </w:style>
  <w:style w:type="paragraph" w:customStyle="1" w:styleId="214">
    <w:name w:val="标题 21"/>
    <w:basedOn w:val="1"/>
    <w:next w:val="1"/>
    <w:link w:val="22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5">
    <w:name w:val="标题 31"/>
    <w:basedOn w:val="1"/>
    <w:next w:val="216"/>
    <w:link w:val="227"/>
    <w:qFormat/>
    <w:uiPriority w:val="0"/>
    <w:pPr>
      <w:keepNext/>
      <w:keepLines/>
      <w:spacing w:before="260" w:after="260" w:line="416" w:lineRule="auto"/>
      <w:outlineLvl w:val="2"/>
    </w:pPr>
    <w:rPr>
      <w:b/>
      <w:bCs/>
      <w:sz w:val="32"/>
      <w:szCs w:val="32"/>
    </w:rPr>
  </w:style>
  <w:style w:type="paragraph" w:customStyle="1" w:styleId="216">
    <w:name w:val="正文缩进1"/>
    <w:basedOn w:val="1"/>
    <w:link w:val="228"/>
    <w:qFormat/>
    <w:uiPriority w:val="0"/>
    <w:pPr>
      <w:ind w:firstLine="420"/>
    </w:pPr>
  </w:style>
  <w:style w:type="paragraph" w:customStyle="1" w:styleId="217">
    <w:name w:val="标题 41"/>
    <w:basedOn w:val="1"/>
    <w:next w:val="216"/>
    <w:link w:val="22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8">
    <w:name w:val="标题 51"/>
    <w:basedOn w:val="1"/>
    <w:next w:val="216"/>
    <w:link w:val="230"/>
    <w:qFormat/>
    <w:uiPriority w:val="0"/>
    <w:pPr>
      <w:keepNext/>
      <w:outlineLvl w:val="4"/>
    </w:pPr>
    <w:rPr>
      <w:rFonts w:ascii="宋体"/>
      <w:color w:val="000000"/>
      <w:sz w:val="28"/>
      <w:szCs w:val="28"/>
    </w:rPr>
  </w:style>
  <w:style w:type="paragraph" w:customStyle="1" w:styleId="219">
    <w:name w:val="标题 61"/>
    <w:basedOn w:val="1"/>
    <w:next w:val="1"/>
    <w:link w:val="23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20">
    <w:name w:val="标题 71"/>
    <w:basedOn w:val="1"/>
    <w:next w:val="1"/>
    <w:link w:val="232"/>
    <w:qFormat/>
    <w:uiPriority w:val="0"/>
    <w:pPr>
      <w:keepNext/>
      <w:keepLines/>
      <w:numPr>
        <w:ilvl w:val="6"/>
        <w:numId w:val="1"/>
      </w:numPr>
      <w:spacing w:before="240" w:after="64" w:line="320" w:lineRule="auto"/>
      <w:outlineLvl w:val="6"/>
    </w:pPr>
    <w:rPr>
      <w:b/>
      <w:bCs/>
      <w:sz w:val="24"/>
      <w:szCs w:val="24"/>
    </w:rPr>
  </w:style>
  <w:style w:type="paragraph" w:customStyle="1" w:styleId="221">
    <w:name w:val="标题 81"/>
    <w:basedOn w:val="1"/>
    <w:next w:val="1"/>
    <w:link w:val="23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22">
    <w:name w:val="标题 91"/>
    <w:basedOn w:val="1"/>
    <w:next w:val="1"/>
    <w:link w:val="234"/>
    <w:qFormat/>
    <w:uiPriority w:val="0"/>
    <w:pPr>
      <w:keepNext/>
      <w:keepLines/>
      <w:numPr>
        <w:ilvl w:val="8"/>
        <w:numId w:val="1"/>
      </w:numPr>
      <w:spacing w:before="240" w:after="64" w:line="320" w:lineRule="auto"/>
      <w:outlineLvl w:val="8"/>
    </w:pPr>
    <w:rPr>
      <w:rFonts w:ascii="Arial" w:hAnsi="Arial" w:eastAsia="黑体"/>
    </w:rPr>
  </w:style>
  <w:style w:type="character" w:customStyle="1" w:styleId="223">
    <w:name w:val="默认段落字体1"/>
    <w:link w:val="1"/>
    <w:qFormat/>
    <w:uiPriority w:val="1"/>
  </w:style>
  <w:style w:type="table" w:customStyle="1" w:styleId="224">
    <w:name w:val="普通表格1"/>
    <w:qFormat/>
    <w:uiPriority w:val="99"/>
    <w:tblPr>
      <w:tblCellMar>
        <w:top w:w="0" w:type="dxa"/>
        <w:left w:w="0" w:type="dxa"/>
        <w:bottom w:w="0" w:type="dxa"/>
        <w:right w:w="0" w:type="dxa"/>
      </w:tblCellMar>
    </w:tblPr>
  </w:style>
  <w:style w:type="character" w:customStyle="1" w:styleId="225">
    <w:name w:val="标题 1 Char"/>
    <w:link w:val="213"/>
    <w:qFormat/>
    <w:uiPriority w:val="0"/>
    <w:rPr>
      <w:rFonts w:ascii="楷体_GB2312" w:hAnsi="Times New Roman" w:eastAsia="楷体_GB2312" w:cs="Times New Roman"/>
      <w:sz w:val="28"/>
      <w:szCs w:val="28"/>
    </w:rPr>
  </w:style>
  <w:style w:type="character" w:customStyle="1" w:styleId="226">
    <w:name w:val="标题 2 Char"/>
    <w:link w:val="214"/>
    <w:qFormat/>
    <w:uiPriority w:val="0"/>
    <w:rPr>
      <w:rFonts w:ascii="Arial" w:hAnsi="Arial" w:eastAsia="幼圆" w:cs="Arial"/>
      <w:b/>
      <w:bCs/>
      <w:sz w:val="44"/>
      <w:szCs w:val="44"/>
    </w:rPr>
  </w:style>
  <w:style w:type="character" w:customStyle="1" w:styleId="227">
    <w:name w:val="标题 3 Char"/>
    <w:link w:val="215"/>
    <w:qFormat/>
    <w:uiPriority w:val="0"/>
    <w:rPr>
      <w:rFonts w:ascii="Times New Roman" w:hAnsi="Times New Roman" w:eastAsia="宋体" w:cs="Times New Roman"/>
      <w:b/>
      <w:bCs/>
      <w:sz w:val="32"/>
      <w:szCs w:val="32"/>
    </w:rPr>
  </w:style>
  <w:style w:type="character" w:customStyle="1" w:styleId="228">
    <w:name w:val="正文缩进 Char"/>
    <w:link w:val="216"/>
    <w:qFormat/>
    <w:uiPriority w:val="0"/>
    <w:rPr>
      <w:rFonts w:ascii="Times New Roman" w:hAnsi="Times New Roman" w:eastAsia="宋体" w:cs="Times New Roman"/>
      <w:szCs w:val="21"/>
    </w:rPr>
  </w:style>
  <w:style w:type="character" w:customStyle="1" w:styleId="229">
    <w:name w:val="标题 4 Char"/>
    <w:link w:val="217"/>
    <w:qFormat/>
    <w:uiPriority w:val="0"/>
    <w:rPr>
      <w:rFonts w:ascii="Arial" w:hAnsi="Arial" w:eastAsia="黑体" w:cs="Arial"/>
      <w:b/>
      <w:bCs/>
      <w:sz w:val="28"/>
      <w:szCs w:val="28"/>
    </w:rPr>
  </w:style>
  <w:style w:type="character" w:customStyle="1" w:styleId="230">
    <w:name w:val="标题 5 Char"/>
    <w:link w:val="218"/>
    <w:qFormat/>
    <w:uiPriority w:val="0"/>
    <w:rPr>
      <w:rFonts w:ascii="宋体" w:hAnsi="Times New Roman" w:eastAsia="宋体" w:cs="Times New Roman"/>
      <w:color w:val="000000"/>
      <w:sz w:val="28"/>
      <w:szCs w:val="28"/>
    </w:rPr>
  </w:style>
  <w:style w:type="character" w:customStyle="1" w:styleId="231">
    <w:name w:val="标题 6 Char"/>
    <w:link w:val="219"/>
    <w:qFormat/>
    <w:uiPriority w:val="0"/>
    <w:rPr>
      <w:rFonts w:ascii="Arial" w:hAnsi="Arial" w:eastAsia="黑体" w:cs="Times New Roman"/>
      <w:b/>
      <w:bCs/>
      <w:sz w:val="24"/>
      <w:szCs w:val="24"/>
    </w:rPr>
  </w:style>
  <w:style w:type="character" w:customStyle="1" w:styleId="232">
    <w:name w:val="标题 7 Char"/>
    <w:link w:val="220"/>
    <w:qFormat/>
    <w:uiPriority w:val="0"/>
    <w:rPr>
      <w:rFonts w:ascii="Times New Roman" w:hAnsi="Times New Roman" w:eastAsia="宋体" w:cs="Times New Roman"/>
      <w:b/>
      <w:bCs/>
      <w:sz w:val="24"/>
      <w:szCs w:val="24"/>
    </w:rPr>
  </w:style>
  <w:style w:type="character" w:customStyle="1" w:styleId="233">
    <w:name w:val="标题 8 Char"/>
    <w:link w:val="221"/>
    <w:qFormat/>
    <w:uiPriority w:val="0"/>
    <w:rPr>
      <w:rFonts w:ascii="Arial" w:hAnsi="Arial" w:eastAsia="黑体" w:cs="Times New Roman"/>
      <w:sz w:val="24"/>
      <w:szCs w:val="24"/>
    </w:rPr>
  </w:style>
  <w:style w:type="character" w:customStyle="1" w:styleId="234">
    <w:name w:val="标题 9 Char"/>
    <w:link w:val="222"/>
    <w:qFormat/>
    <w:uiPriority w:val="0"/>
    <w:rPr>
      <w:rFonts w:ascii="Arial" w:hAnsi="Arial" w:eastAsia="黑体" w:cs="Times New Roman"/>
      <w:szCs w:val="21"/>
    </w:rPr>
  </w:style>
  <w:style w:type="paragraph" w:customStyle="1" w:styleId="235">
    <w:name w:val="列表 31"/>
    <w:basedOn w:val="1"/>
    <w:qFormat/>
    <w:uiPriority w:val="0"/>
    <w:pPr>
      <w:ind w:left="100" w:hanging="200"/>
    </w:pPr>
  </w:style>
  <w:style w:type="paragraph" w:customStyle="1" w:styleId="236">
    <w:name w:val="目录 71"/>
    <w:basedOn w:val="1"/>
    <w:next w:val="1"/>
    <w:qFormat/>
    <w:uiPriority w:val="0"/>
    <w:pPr>
      <w:ind w:left="1260"/>
      <w:jc w:val="left"/>
    </w:pPr>
  </w:style>
  <w:style w:type="paragraph" w:customStyle="1" w:styleId="237">
    <w:name w:val="文档结构图1"/>
    <w:basedOn w:val="1"/>
    <w:link w:val="238"/>
    <w:qFormat/>
    <w:uiPriority w:val="0"/>
    <w:pPr>
      <w:shd w:val="clear" w:color="auto" w:fill="000080"/>
    </w:pPr>
  </w:style>
  <w:style w:type="character" w:customStyle="1" w:styleId="238">
    <w:name w:val="文档结构图 Char"/>
    <w:link w:val="237"/>
    <w:qFormat/>
    <w:uiPriority w:val="0"/>
    <w:rPr>
      <w:rFonts w:ascii="Times New Roman" w:hAnsi="Times New Roman" w:eastAsia="宋体" w:cs="Times New Roman"/>
      <w:szCs w:val="21"/>
      <w:shd w:val="clear" w:color="auto" w:fill="000080"/>
    </w:rPr>
  </w:style>
  <w:style w:type="paragraph" w:customStyle="1" w:styleId="239">
    <w:name w:val="批注文字1"/>
    <w:basedOn w:val="1"/>
    <w:link w:val="240"/>
    <w:qFormat/>
    <w:uiPriority w:val="0"/>
    <w:pPr>
      <w:jc w:val="left"/>
    </w:pPr>
  </w:style>
  <w:style w:type="character" w:customStyle="1" w:styleId="240">
    <w:name w:val="批注文字 Char"/>
    <w:link w:val="239"/>
    <w:qFormat/>
    <w:uiPriority w:val="0"/>
    <w:rPr>
      <w:rFonts w:ascii="Times New Roman" w:hAnsi="Times New Roman" w:eastAsia="宋体" w:cs="Times New Roman"/>
      <w:szCs w:val="21"/>
    </w:rPr>
  </w:style>
  <w:style w:type="paragraph" w:customStyle="1" w:styleId="241">
    <w:name w:val="正文文本 31"/>
    <w:basedOn w:val="1"/>
    <w:link w:val="242"/>
    <w:qFormat/>
    <w:uiPriority w:val="0"/>
    <w:rPr>
      <w:rFonts w:ascii="仿宋_GB2312" w:hAnsi="Arial" w:eastAsia="仿宋_GB2312"/>
      <w:sz w:val="32"/>
      <w:szCs w:val="32"/>
    </w:rPr>
  </w:style>
  <w:style w:type="character" w:customStyle="1" w:styleId="242">
    <w:name w:val="正文文本 3 Char"/>
    <w:link w:val="241"/>
    <w:qFormat/>
    <w:uiPriority w:val="0"/>
    <w:rPr>
      <w:rFonts w:ascii="仿宋_GB2312" w:hAnsi="Arial" w:eastAsia="仿宋_GB2312" w:cs="Times New Roman"/>
      <w:sz w:val="32"/>
      <w:szCs w:val="32"/>
    </w:rPr>
  </w:style>
  <w:style w:type="paragraph" w:customStyle="1" w:styleId="243">
    <w:name w:val="正文文本1"/>
    <w:basedOn w:val="1"/>
    <w:link w:val="244"/>
    <w:qFormat/>
    <w:uiPriority w:val="0"/>
    <w:rPr>
      <w:rFonts w:ascii="楷体_GB2312" w:hAnsi="Arial" w:eastAsia="楷体_GB2312"/>
      <w:sz w:val="28"/>
      <w:szCs w:val="28"/>
    </w:rPr>
  </w:style>
  <w:style w:type="character" w:customStyle="1" w:styleId="244">
    <w:name w:val="正文文本 Char"/>
    <w:link w:val="243"/>
    <w:qFormat/>
    <w:uiPriority w:val="0"/>
    <w:rPr>
      <w:rFonts w:ascii="楷体_GB2312" w:hAnsi="Arial" w:eastAsia="楷体_GB2312" w:cs="Times New Roman"/>
      <w:sz w:val="28"/>
      <w:szCs w:val="28"/>
    </w:rPr>
  </w:style>
  <w:style w:type="paragraph" w:customStyle="1" w:styleId="245">
    <w:name w:val="正文文本缩进1"/>
    <w:basedOn w:val="1"/>
    <w:link w:val="246"/>
    <w:qFormat/>
    <w:uiPriority w:val="0"/>
    <w:pPr>
      <w:ind w:firstLine="645"/>
    </w:pPr>
    <w:rPr>
      <w:rFonts w:ascii="楷体_GB2312" w:eastAsia="楷体_GB2312"/>
      <w:sz w:val="32"/>
      <w:szCs w:val="32"/>
    </w:rPr>
  </w:style>
  <w:style w:type="character" w:customStyle="1" w:styleId="246">
    <w:name w:val="正文文本缩进 Char"/>
    <w:link w:val="245"/>
    <w:qFormat/>
    <w:uiPriority w:val="0"/>
    <w:rPr>
      <w:rFonts w:ascii="楷体_GB2312" w:hAnsi="Times New Roman" w:eastAsia="楷体_GB2312" w:cs="Times New Roman"/>
      <w:sz w:val="32"/>
      <w:szCs w:val="32"/>
    </w:rPr>
  </w:style>
  <w:style w:type="paragraph" w:customStyle="1" w:styleId="247">
    <w:name w:val="列表 21"/>
    <w:basedOn w:val="1"/>
    <w:qFormat/>
    <w:uiPriority w:val="0"/>
    <w:pPr>
      <w:ind w:left="100" w:hanging="200"/>
    </w:pPr>
  </w:style>
  <w:style w:type="paragraph" w:customStyle="1" w:styleId="248">
    <w:name w:val="目录 51"/>
    <w:basedOn w:val="1"/>
    <w:next w:val="1"/>
    <w:qFormat/>
    <w:uiPriority w:val="0"/>
    <w:pPr>
      <w:ind w:left="840"/>
      <w:jc w:val="left"/>
    </w:pPr>
  </w:style>
  <w:style w:type="paragraph" w:customStyle="1" w:styleId="249">
    <w:name w:val="目录 31"/>
    <w:basedOn w:val="1"/>
    <w:next w:val="1"/>
    <w:qFormat/>
    <w:uiPriority w:val="0"/>
    <w:pPr>
      <w:ind w:left="420"/>
      <w:jc w:val="left"/>
    </w:pPr>
    <w:rPr>
      <w:i/>
      <w:iCs/>
      <w:szCs w:val="24"/>
    </w:rPr>
  </w:style>
  <w:style w:type="paragraph" w:customStyle="1" w:styleId="250">
    <w:name w:val="纯文本1"/>
    <w:basedOn w:val="1"/>
    <w:link w:val="251"/>
    <w:qFormat/>
    <w:uiPriority w:val="0"/>
    <w:rPr>
      <w:rFonts w:ascii="宋体" w:hAnsi="Courier New" w:cs="Courier New"/>
    </w:rPr>
  </w:style>
  <w:style w:type="character" w:customStyle="1" w:styleId="251">
    <w:name w:val="纯文本 Char"/>
    <w:link w:val="250"/>
    <w:qFormat/>
    <w:uiPriority w:val="0"/>
    <w:rPr>
      <w:rFonts w:ascii="宋体" w:hAnsi="Courier New" w:eastAsia="宋体" w:cs="Courier New"/>
      <w:szCs w:val="21"/>
    </w:rPr>
  </w:style>
  <w:style w:type="paragraph" w:customStyle="1" w:styleId="252">
    <w:name w:val="目录 81"/>
    <w:basedOn w:val="1"/>
    <w:next w:val="1"/>
    <w:qFormat/>
    <w:uiPriority w:val="0"/>
    <w:pPr>
      <w:ind w:left="1470"/>
      <w:jc w:val="left"/>
    </w:pPr>
  </w:style>
  <w:style w:type="paragraph" w:customStyle="1" w:styleId="253">
    <w:name w:val="日期1"/>
    <w:basedOn w:val="1"/>
    <w:next w:val="1"/>
    <w:link w:val="254"/>
    <w:qFormat/>
    <w:uiPriority w:val="0"/>
    <w:rPr>
      <w:sz w:val="24"/>
      <w:szCs w:val="24"/>
    </w:rPr>
  </w:style>
  <w:style w:type="character" w:customStyle="1" w:styleId="254">
    <w:name w:val="日期 Char"/>
    <w:link w:val="253"/>
    <w:qFormat/>
    <w:uiPriority w:val="0"/>
    <w:rPr>
      <w:rFonts w:ascii="Times New Roman" w:hAnsi="Times New Roman" w:eastAsia="宋体" w:cs="Times New Roman"/>
      <w:sz w:val="24"/>
      <w:szCs w:val="24"/>
    </w:rPr>
  </w:style>
  <w:style w:type="paragraph" w:customStyle="1" w:styleId="255">
    <w:name w:val="正文文本缩进 21"/>
    <w:basedOn w:val="1"/>
    <w:link w:val="256"/>
    <w:qFormat/>
    <w:uiPriority w:val="0"/>
    <w:pPr>
      <w:ind w:left="630" w:firstLine="645"/>
    </w:pPr>
    <w:rPr>
      <w:rFonts w:ascii="Arial" w:hAnsi="Arial" w:eastAsia="仿宋_GB2312" w:cs="Arial"/>
      <w:sz w:val="32"/>
      <w:szCs w:val="32"/>
    </w:rPr>
  </w:style>
  <w:style w:type="character" w:customStyle="1" w:styleId="256">
    <w:name w:val="正文文本缩进 2 Char"/>
    <w:link w:val="255"/>
    <w:qFormat/>
    <w:uiPriority w:val="0"/>
    <w:rPr>
      <w:rFonts w:ascii="Arial" w:hAnsi="Arial" w:eastAsia="仿宋_GB2312" w:cs="Arial"/>
      <w:sz w:val="32"/>
      <w:szCs w:val="32"/>
    </w:rPr>
  </w:style>
  <w:style w:type="paragraph" w:customStyle="1" w:styleId="257">
    <w:name w:val="批注框文本1"/>
    <w:basedOn w:val="1"/>
    <w:link w:val="258"/>
    <w:qFormat/>
    <w:uiPriority w:val="0"/>
    <w:rPr>
      <w:sz w:val="18"/>
      <w:szCs w:val="18"/>
    </w:rPr>
  </w:style>
  <w:style w:type="character" w:customStyle="1" w:styleId="258">
    <w:name w:val="批注框文本 Char"/>
    <w:link w:val="257"/>
    <w:qFormat/>
    <w:uiPriority w:val="0"/>
    <w:rPr>
      <w:rFonts w:ascii="Times New Roman" w:hAnsi="Times New Roman" w:eastAsia="宋体" w:cs="Times New Roman"/>
      <w:sz w:val="18"/>
      <w:szCs w:val="18"/>
    </w:rPr>
  </w:style>
  <w:style w:type="paragraph" w:customStyle="1" w:styleId="259">
    <w:name w:val="页脚1"/>
    <w:basedOn w:val="1"/>
    <w:link w:val="260"/>
    <w:qFormat/>
    <w:uiPriority w:val="0"/>
    <w:pPr>
      <w:tabs>
        <w:tab w:val="center" w:pos="4153"/>
        <w:tab w:val="right" w:pos="8306"/>
      </w:tabs>
      <w:jc w:val="left"/>
    </w:pPr>
    <w:rPr>
      <w:sz w:val="18"/>
      <w:szCs w:val="18"/>
    </w:rPr>
  </w:style>
  <w:style w:type="character" w:customStyle="1" w:styleId="260">
    <w:name w:val="页脚 Char"/>
    <w:link w:val="259"/>
    <w:qFormat/>
    <w:uiPriority w:val="0"/>
    <w:rPr>
      <w:rFonts w:ascii="Times New Roman" w:hAnsi="Times New Roman" w:eastAsia="宋体" w:cs="Times New Roman"/>
      <w:sz w:val="18"/>
      <w:szCs w:val="18"/>
    </w:rPr>
  </w:style>
  <w:style w:type="paragraph" w:customStyle="1" w:styleId="261">
    <w:name w:val="页眉1"/>
    <w:basedOn w:val="1"/>
    <w:link w:val="262"/>
    <w:qFormat/>
    <w:uiPriority w:val="0"/>
    <w:pPr>
      <w:pBdr>
        <w:bottom w:val="single" w:color="000000" w:sz="6" w:space="1"/>
      </w:pBdr>
      <w:tabs>
        <w:tab w:val="center" w:pos="4153"/>
        <w:tab w:val="right" w:pos="8306"/>
      </w:tabs>
      <w:jc w:val="center"/>
    </w:pPr>
    <w:rPr>
      <w:sz w:val="18"/>
      <w:szCs w:val="18"/>
    </w:rPr>
  </w:style>
  <w:style w:type="character" w:customStyle="1" w:styleId="262">
    <w:name w:val="页眉 Char"/>
    <w:link w:val="261"/>
    <w:qFormat/>
    <w:uiPriority w:val="0"/>
    <w:rPr>
      <w:rFonts w:ascii="Times New Roman" w:hAnsi="Times New Roman" w:eastAsia="宋体" w:cs="Times New Roman"/>
      <w:sz w:val="18"/>
      <w:szCs w:val="18"/>
    </w:rPr>
  </w:style>
  <w:style w:type="paragraph" w:customStyle="1" w:styleId="263">
    <w:name w:val="目录 11"/>
    <w:basedOn w:val="1"/>
    <w:next w:val="1"/>
    <w:qFormat/>
    <w:uiPriority w:val="0"/>
    <w:pPr>
      <w:tabs>
        <w:tab w:val="right" w:leader="dot" w:pos="8720"/>
      </w:tabs>
      <w:spacing w:before="120" w:after="120" w:line="400" w:lineRule="exact"/>
      <w:jc w:val="left"/>
    </w:pPr>
    <w:rPr>
      <w:rFonts w:ascii="宋体" w:hAnsi="宋体"/>
      <w:caps/>
      <w:sz w:val="30"/>
      <w:szCs w:val="24"/>
    </w:rPr>
  </w:style>
  <w:style w:type="paragraph" w:customStyle="1" w:styleId="264">
    <w:name w:val="目录 41"/>
    <w:basedOn w:val="1"/>
    <w:next w:val="1"/>
    <w:qFormat/>
    <w:uiPriority w:val="0"/>
    <w:pPr>
      <w:ind w:left="630"/>
      <w:jc w:val="left"/>
    </w:pPr>
  </w:style>
  <w:style w:type="paragraph" w:customStyle="1" w:styleId="265">
    <w:name w:val="列表1"/>
    <w:basedOn w:val="1"/>
    <w:qFormat/>
    <w:uiPriority w:val="0"/>
    <w:pPr>
      <w:ind w:left="200" w:hanging="200"/>
    </w:pPr>
  </w:style>
  <w:style w:type="paragraph" w:customStyle="1" w:styleId="266">
    <w:name w:val="目录 61"/>
    <w:basedOn w:val="1"/>
    <w:next w:val="1"/>
    <w:qFormat/>
    <w:uiPriority w:val="0"/>
    <w:pPr>
      <w:ind w:left="1050"/>
      <w:jc w:val="left"/>
    </w:pPr>
  </w:style>
  <w:style w:type="paragraph" w:customStyle="1" w:styleId="267">
    <w:name w:val="正文文本缩进 31"/>
    <w:basedOn w:val="1"/>
    <w:link w:val="268"/>
    <w:qFormat/>
    <w:uiPriority w:val="0"/>
    <w:pPr>
      <w:ind w:left="645" w:firstLine="645"/>
    </w:pPr>
    <w:rPr>
      <w:rFonts w:ascii="Arial" w:hAnsi="Arial" w:eastAsia="仿宋_GB2312" w:cs="Arial"/>
      <w:color w:val="FFFF00"/>
      <w:sz w:val="32"/>
      <w:szCs w:val="32"/>
    </w:rPr>
  </w:style>
  <w:style w:type="character" w:customStyle="1" w:styleId="268">
    <w:name w:val="正文文本缩进 3 Char"/>
    <w:link w:val="267"/>
    <w:qFormat/>
    <w:uiPriority w:val="0"/>
    <w:rPr>
      <w:rFonts w:ascii="Arial" w:hAnsi="Arial" w:eastAsia="仿宋_GB2312" w:cs="Arial"/>
      <w:color w:val="FFFF00"/>
      <w:sz w:val="32"/>
      <w:szCs w:val="32"/>
    </w:rPr>
  </w:style>
  <w:style w:type="paragraph" w:customStyle="1" w:styleId="269">
    <w:name w:val="图表目录1"/>
    <w:basedOn w:val="1"/>
    <w:next w:val="1"/>
    <w:qFormat/>
    <w:uiPriority w:val="0"/>
    <w:pPr>
      <w:ind w:left="840" w:hanging="420"/>
    </w:pPr>
  </w:style>
  <w:style w:type="paragraph" w:customStyle="1" w:styleId="270">
    <w:name w:val="目录 21"/>
    <w:basedOn w:val="1"/>
    <w:next w:val="1"/>
    <w:qFormat/>
    <w:uiPriority w:val="0"/>
    <w:pPr>
      <w:ind w:left="210"/>
      <w:jc w:val="left"/>
    </w:pPr>
    <w:rPr>
      <w:smallCaps/>
      <w:szCs w:val="24"/>
    </w:rPr>
  </w:style>
  <w:style w:type="paragraph" w:customStyle="1" w:styleId="271">
    <w:name w:val="目录 91"/>
    <w:basedOn w:val="1"/>
    <w:next w:val="1"/>
    <w:qFormat/>
    <w:uiPriority w:val="0"/>
    <w:pPr>
      <w:ind w:left="1680"/>
      <w:jc w:val="left"/>
    </w:pPr>
  </w:style>
  <w:style w:type="paragraph" w:customStyle="1" w:styleId="272">
    <w:name w:val="正文文本 21"/>
    <w:basedOn w:val="1"/>
    <w:link w:val="273"/>
    <w:qFormat/>
    <w:uiPriority w:val="0"/>
    <w:pPr>
      <w:widowControl/>
      <w:jc w:val="center"/>
    </w:pPr>
    <w:rPr>
      <w:rFonts w:ascii="楷体_GB2312" w:eastAsia="楷体_GB2312"/>
      <w:sz w:val="28"/>
      <w:szCs w:val="28"/>
    </w:rPr>
  </w:style>
  <w:style w:type="character" w:customStyle="1" w:styleId="273">
    <w:name w:val="正文文本 2 Char"/>
    <w:link w:val="272"/>
    <w:qFormat/>
    <w:uiPriority w:val="0"/>
    <w:rPr>
      <w:rFonts w:ascii="楷体_GB2312" w:hAnsi="Times New Roman" w:eastAsia="楷体_GB2312" w:cs="Times New Roman"/>
      <w:sz w:val="28"/>
      <w:szCs w:val="28"/>
    </w:rPr>
  </w:style>
  <w:style w:type="paragraph" w:customStyle="1" w:styleId="27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7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6">
    <w:name w:val="索引 11"/>
    <w:basedOn w:val="1"/>
    <w:next w:val="1"/>
    <w:qFormat/>
    <w:uiPriority w:val="0"/>
    <w:pPr>
      <w:spacing w:line="240" w:lineRule="atLeast"/>
    </w:pPr>
    <w:rPr>
      <w:b/>
      <w:bCs/>
    </w:rPr>
  </w:style>
  <w:style w:type="paragraph" w:customStyle="1" w:styleId="277">
    <w:name w:val="批注主题1"/>
    <w:basedOn w:val="239"/>
    <w:next w:val="239"/>
    <w:link w:val="278"/>
    <w:qFormat/>
    <w:uiPriority w:val="0"/>
    <w:rPr>
      <w:b/>
      <w:bCs/>
    </w:rPr>
  </w:style>
  <w:style w:type="character" w:customStyle="1" w:styleId="278">
    <w:name w:val="批注主题 Char"/>
    <w:link w:val="277"/>
    <w:qFormat/>
    <w:uiPriority w:val="0"/>
    <w:rPr>
      <w:rFonts w:ascii="Times New Roman" w:hAnsi="Times New Roman" w:eastAsia="宋体" w:cs="Times New Roman"/>
      <w:b/>
      <w:bCs/>
      <w:szCs w:val="21"/>
    </w:rPr>
  </w:style>
  <w:style w:type="paragraph" w:customStyle="1" w:styleId="279">
    <w:name w:val="正文首行缩进1"/>
    <w:basedOn w:val="1"/>
    <w:link w:val="280"/>
    <w:qFormat/>
    <w:uiPriority w:val="0"/>
    <w:pPr>
      <w:spacing w:line="360" w:lineRule="auto"/>
      <w:ind w:firstLine="200"/>
    </w:pPr>
    <w:rPr>
      <w:rFonts w:ascii="仿宋_GB2312" w:eastAsia="仿宋_GB2312"/>
      <w:sz w:val="30"/>
      <w:szCs w:val="30"/>
    </w:rPr>
  </w:style>
  <w:style w:type="character" w:customStyle="1" w:styleId="280">
    <w:name w:val="正文首行缩进 Char"/>
    <w:link w:val="279"/>
    <w:qFormat/>
    <w:uiPriority w:val="0"/>
    <w:rPr>
      <w:rFonts w:ascii="仿宋_GB2312" w:hAnsi="Times New Roman" w:eastAsia="仿宋_GB2312" w:cs="Times New Roman"/>
      <w:sz w:val="30"/>
      <w:szCs w:val="30"/>
    </w:rPr>
  </w:style>
  <w:style w:type="paragraph" w:customStyle="1" w:styleId="281">
    <w:name w:val="正文首行缩进 21"/>
    <w:basedOn w:val="245"/>
    <w:link w:val="282"/>
    <w:qFormat/>
    <w:uiPriority w:val="0"/>
    <w:pPr>
      <w:spacing w:line="360" w:lineRule="auto"/>
      <w:ind w:firstLine="420"/>
    </w:pPr>
    <w:rPr>
      <w:rFonts w:ascii="宋体" w:hAnsi="宋体" w:eastAsia="宋体"/>
      <w:sz w:val="21"/>
      <w:szCs w:val="20"/>
    </w:rPr>
  </w:style>
  <w:style w:type="character" w:customStyle="1" w:styleId="282">
    <w:name w:val="正文首行缩进 2 Char"/>
    <w:link w:val="281"/>
    <w:qFormat/>
    <w:uiPriority w:val="0"/>
    <w:rPr>
      <w:rFonts w:ascii="宋体" w:hAnsi="宋体" w:eastAsia="宋体" w:cs="Times New Roman"/>
      <w:sz w:val="32"/>
      <w:szCs w:val="20"/>
    </w:rPr>
  </w:style>
  <w:style w:type="table" w:customStyle="1" w:styleId="283">
    <w:name w:val="网格型1"/>
    <w:basedOn w:val="224"/>
    <w:qFormat/>
    <w:uiPriority w:val="0"/>
    <w:pPr>
      <w:widowControl w:val="0"/>
      <w:jc w:val="both"/>
    </w:pPr>
    <w:tblPr>
      <w:tblCellMar>
        <w:top w:w="0" w:type="dxa"/>
        <w:left w:w="0" w:type="dxa"/>
        <w:bottom w:w="0" w:type="dxa"/>
        <w:right w:w="0" w:type="dxa"/>
      </w:tblCellMar>
    </w:tblPr>
  </w:style>
  <w:style w:type="character" w:customStyle="1" w:styleId="284">
    <w:name w:val="要点1"/>
    <w:qFormat/>
    <w:uiPriority w:val="0"/>
    <w:rPr>
      <w:b/>
      <w:bCs/>
    </w:rPr>
  </w:style>
  <w:style w:type="character" w:customStyle="1" w:styleId="285">
    <w:name w:val="页码1"/>
    <w:qFormat/>
    <w:uiPriority w:val="0"/>
  </w:style>
  <w:style w:type="character" w:customStyle="1" w:styleId="286">
    <w:name w:val="已访问的超链接1"/>
    <w:qFormat/>
    <w:uiPriority w:val="0"/>
    <w:rPr>
      <w:color w:val="800080"/>
      <w:u w:val="single"/>
    </w:rPr>
  </w:style>
  <w:style w:type="character" w:customStyle="1" w:styleId="287">
    <w:name w:val="强调1"/>
    <w:basedOn w:val="223"/>
    <w:qFormat/>
    <w:uiPriority w:val="20"/>
    <w:rPr>
      <w:i/>
    </w:rPr>
  </w:style>
  <w:style w:type="character" w:customStyle="1" w:styleId="288">
    <w:name w:val="超链接1"/>
    <w:qFormat/>
    <w:uiPriority w:val="0"/>
    <w:rPr>
      <w:color w:val="0000FF"/>
      <w:u w:val="single"/>
    </w:rPr>
  </w:style>
  <w:style w:type="character" w:customStyle="1" w:styleId="289">
    <w:name w:val="批注引用1"/>
    <w:qFormat/>
    <w:uiPriority w:val="0"/>
    <w:rPr>
      <w:sz w:val="21"/>
      <w:szCs w:val="21"/>
    </w:rPr>
  </w:style>
  <w:style w:type="character" w:customStyle="1" w:styleId="290">
    <w:name w:val="二级目录 Char"/>
    <w:link w:val="291"/>
    <w:qFormat/>
    <w:uiPriority w:val="0"/>
    <w:rPr>
      <w:b/>
      <w:sz w:val="30"/>
      <w:szCs w:val="28"/>
    </w:rPr>
  </w:style>
  <w:style w:type="paragraph" w:customStyle="1" w:styleId="291">
    <w:name w:val="二级目录"/>
    <w:next w:val="1"/>
    <w:link w:val="29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92">
    <w:name w:val="font5 Char"/>
    <w:qFormat/>
    <w:uiPriority w:val="0"/>
    <w:rPr>
      <w:rFonts w:ascii="宋体" w:hAnsi="宋体" w:eastAsia="宋体"/>
      <w:sz w:val="28"/>
      <w:szCs w:val="28"/>
      <w:lang w:val="en-US" w:eastAsia="zh-CN" w:bidi="ar-SA"/>
    </w:rPr>
  </w:style>
  <w:style w:type="character" w:customStyle="1" w:styleId="293">
    <w:name w:val="列出段落 Char"/>
    <w:link w:val="294"/>
    <w:qFormat/>
    <w:uiPriority w:val="0"/>
    <w:rPr>
      <w:rFonts w:ascii="Calibri" w:hAnsi="Calibri"/>
      <w:sz w:val="24"/>
      <w:szCs w:val="24"/>
      <w:lang w:eastAsia="en-US" w:bidi="en-US"/>
    </w:rPr>
  </w:style>
  <w:style w:type="paragraph" w:customStyle="1" w:styleId="294">
    <w:name w:val="列出段落1"/>
    <w:basedOn w:val="1"/>
    <w:link w:val="293"/>
    <w:qFormat/>
    <w:uiPriority w:val="0"/>
    <w:pPr>
      <w:widowControl/>
      <w:ind w:left="720"/>
      <w:contextualSpacing/>
      <w:jc w:val="left"/>
    </w:pPr>
    <w:rPr>
      <w:rFonts w:ascii="Calibri" w:hAnsi="Calibri"/>
      <w:sz w:val="24"/>
      <w:szCs w:val="24"/>
      <w:lang w:eastAsia="en-US" w:bidi="en-US"/>
    </w:rPr>
  </w:style>
  <w:style w:type="character" w:customStyle="1" w:styleId="295">
    <w:name w:val="MSG_EN_FONT_STYLE_NAME_TEMPLATE_ROLE_NUMBER MSG_EN_FONT_STYLE_NAME_BY_ROLE_TEXT 2 + MSG_EN_FONT_STYLE_MODIFER_SIZE 8"/>
    <w:qFormat/>
    <w:uiPriority w:val="0"/>
    <w:rPr>
      <w:rFonts w:hint="eastAsia" w:ascii="PMingLiU" w:hAnsi="PMingLiU" w:eastAsia="PMingLiU" w:cs="PMingLiU"/>
      <w:spacing w:val="10"/>
      <w:sz w:val="16"/>
      <w:szCs w:val="16"/>
      <w:u w:val="none"/>
    </w:rPr>
  </w:style>
  <w:style w:type="paragraph" w:customStyle="1" w:styleId="296">
    <w:name w:val="table_lines"/>
    <w:basedOn w:val="1"/>
    <w:qFormat/>
    <w:uiPriority w:val="0"/>
    <w:pPr>
      <w:widowControl/>
      <w:jc w:val="left"/>
    </w:pPr>
    <w:rPr>
      <w:sz w:val="20"/>
      <w:szCs w:val="20"/>
      <w:lang w:val="de-DE" w:eastAsia="de-DE"/>
    </w:rPr>
  </w:style>
  <w:style w:type="paragraph" w:customStyle="1" w:styleId="29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9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0">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30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3">
    <w:name w:val="Char Char Char Char"/>
    <w:basedOn w:val="237"/>
    <w:qFormat/>
    <w:uiPriority w:val="0"/>
    <w:pPr>
      <w:spacing w:line="360" w:lineRule="auto"/>
    </w:pPr>
    <w:rPr>
      <w:rFonts w:ascii="Tahoma" w:hAnsi="Tahoma"/>
      <w:sz w:val="24"/>
      <w:szCs w:val="24"/>
    </w:rPr>
  </w:style>
  <w:style w:type="paragraph" w:customStyle="1" w:styleId="304">
    <w:name w:val="修订1"/>
    <w:qFormat/>
    <w:uiPriority w:val="99"/>
    <w:rPr>
      <w:rFonts w:ascii="Times New Roman" w:hAnsi="Times New Roman" w:eastAsia="宋体" w:cs="Times New Roman"/>
      <w:sz w:val="21"/>
      <w:szCs w:val="21"/>
      <w:lang w:val="en-US" w:eastAsia="zh-CN" w:bidi="ar-SA"/>
    </w:rPr>
  </w:style>
  <w:style w:type="paragraph" w:customStyle="1" w:styleId="30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6">
    <w:name w:val="列出段落2"/>
    <w:basedOn w:val="1"/>
    <w:qFormat/>
    <w:uiPriority w:val="0"/>
    <w:pPr>
      <w:ind w:firstLine="200"/>
    </w:pPr>
    <w:rPr>
      <w:szCs w:val="20"/>
    </w:rPr>
  </w:style>
  <w:style w:type="paragraph" w:customStyle="1" w:styleId="30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8">
    <w:name w:val="Body Text(ch)"/>
    <w:basedOn w:val="1"/>
    <w:next w:val="243"/>
    <w:qFormat/>
    <w:uiPriority w:val="0"/>
    <w:pPr>
      <w:spacing w:after="120"/>
    </w:pPr>
    <w:rPr>
      <w:rFonts w:ascii="宋体" w:hAnsi="Arial"/>
      <w:bCs/>
      <w:iCs/>
      <w:szCs w:val="24"/>
    </w:rPr>
  </w:style>
  <w:style w:type="paragraph" w:customStyle="1" w:styleId="30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1">
    <w:name w:val="Char Char Char Char1"/>
    <w:basedOn w:val="237"/>
    <w:qFormat/>
    <w:uiPriority w:val="0"/>
    <w:pPr>
      <w:spacing w:line="360" w:lineRule="auto"/>
    </w:pPr>
    <w:rPr>
      <w:rFonts w:ascii="Tahoma" w:hAnsi="Tahoma"/>
      <w:sz w:val="24"/>
      <w:szCs w:val="24"/>
    </w:rPr>
  </w:style>
  <w:style w:type="paragraph" w:customStyle="1" w:styleId="312">
    <w:name w:val="Char"/>
    <w:basedOn w:val="1"/>
    <w:qFormat/>
    <w:uiPriority w:val="0"/>
    <w:pPr>
      <w:tabs>
        <w:tab w:val="left" w:pos="360"/>
      </w:tabs>
      <w:ind w:firstLine="200"/>
    </w:pPr>
    <w:rPr>
      <w:sz w:val="28"/>
      <w:szCs w:val="30"/>
    </w:rPr>
  </w:style>
  <w:style w:type="paragraph" w:customStyle="1" w:styleId="31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4">
    <w:name w:val="Char1"/>
    <w:basedOn w:val="237"/>
    <w:qFormat/>
    <w:uiPriority w:val="0"/>
    <w:rPr>
      <w:rFonts w:ascii="Tahoma" w:hAnsi="Tahoma"/>
      <w:sz w:val="24"/>
      <w:szCs w:val="24"/>
    </w:rPr>
  </w:style>
  <w:style w:type="paragraph" w:customStyle="1" w:styleId="315">
    <w:name w:val="列出段落3"/>
    <w:basedOn w:val="1"/>
    <w:qFormat/>
    <w:uiPriority w:val="0"/>
    <w:pPr>
      <w:widowControl/>
      <w:ind w:left="720"/>
      <w:contextualSpacing/>
      <w:jc w:val="left"/>
    </w:pPr>
    <w:rPr>
      <w:rFonts w:ascii="Calibri" w:hAnsi="Calibri"/>
      <w:sz w:val="24"/>
      <w:szCs w:val="24"/>
      <w:lang w:eastAsia="en-US" w:bidi="en-US"/>
    </w:rPr>
  </w:style>
  <w:style w:type="paragraph" w:customStyle="1" w:styleId="316">
    <w:name w:val="4"/>
    <w:basedOn w:val="1"/>
    <w:next w:val="267"/>
    <w:qFormat/>
    <w:uiPriority w:val="0"/>
    <w:pPr>
      <w:spacing w:line="360" w:lineRule="auto"/>
      <w:ind w:firstLine="420"/>
    </w:pPr>
    <w:rPr>
      <w:color w:val="FF0000"/>
      <w:sz w:val="24"/>
      <w:szCs w:val="24"/>
    </w:rPr>
  </w:style>
  <w:style w:type="paragraph" w:customStyle="1" w:styleId="31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8">
    <w:name w:val="Char Char Char Char Char Char Char Char Char Char"/>
    <w:basedOn w:val="1"/>
    <w:qFormat/>
    <w:uiPriority w:val="0"/>
    <w:pPr>
      <w:spacing w:line="360" w:lineRule="auto"/>
    </w:pPr>
    <w:rPr>
      <w:sz w:val="24"/>
      <w:szCs w:val="20"/>
    </w:rPr>
  </w:style>
  <w:style w:type="paragraph" w:customStyle="1" w:styleId="319">
    <w:name w:val="样式1"/>
    <w:basedOn w:val="1"/>
    <w:qFormat/>
    <w:uiPriority w:val="0"/>
    <w:pPr>
      <w:numPr>
        <w:ilvl w:val="0"/>
        <w:numId w:val="3"/>
      </w:numPr>
    </w:pPr>
    <w:rPr>
      <w:rFonts w:ascii="宋体" w:hAnsi="宋体"/>
    </w:rPr>
  </w:style>
  <w:style w:type="paragraph" w:customStyle="1" w:styleId="320">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2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2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6">
    <w:name w:val="table_1stline"/>
    <w:basedOn w:val="1"/>
    <w:qFormat/>
    <w:uiPriority w:val="0"/>
    <w:pPr>
      <w:widowControl/>
      <w:spacing w:before="120"/>
      <w:jc w:val="left"/>
    </w:pPr>
    <w:rPr>
      <w:bCs/>
      <w:sz w:val="20"/>
      <w:szCs w:val="20"/>
      <w:lang w:val="de-DE" w:eastAsia="de-DE"/>
    </w:rPr>
  </w:style>
  <w:style w:type="paragraph" w:customStyle="1" w:styleId="327">
    <w:name w:val="font5"/>
    <w:basedOn w:val="1"/>
    <w:qFormat/>
    <w:uiPriority w:val="0"/>
    <w:pPr>
      <w:widowControl/>
      <w:spacing w:before="100" w:beforeAutospacing="1" w:after="100" w:afterAutospacing="1"/>
      <w:jc w:val="left"/>
    </w:pPr>
    <w:rPr>
      <w:rFonts w:hint="eastAsia" w:ascii="宋体" w:hAnsi="宋体"/>
      <w:sz w:val="28"/>
      <w:szCs w:val="28"/>
    </w:rPr>
  </w:style>
  <w:style w:type="character" w:customStyle="1" w:styleId="328">
    <w:name w:val="font31"/>
    <w:basedOn w:val="38"/>
    <w:qFormat/>
    <w:uiPriority w:val="0"/>
    <w:rPr>
      <w:rFonts w:ascii="仿宋" w:hAnsi="仿宋" w:eastAsia="仿宋" w:cs="仿宋"/>
      <w:color w:val="000000"/>
      <w:sz w:val="21"/>
      <w:szCs w:val="21"/>
      <w:u w:val="none"/>
    </w:rPr>
  </w:style>
  <w:style w:type="paragraph" w:customStyle="1" w:styleId="329">
    <w:name w:val="Table Paragraph"/>
    <w:basedOn w:val="1"/>
    <w:qFormat/>
    <w:uiPriority w:val="1"/>
    <w:rPr>
      <w:rFonts w:ascii="宋体" w:hAnsi="宋体" w:cs="宋体"/>
      <w:lang w:val="zh-CN" w:bidi="zh-CN"/>
    </w:rPr>
  </w:style>
  <w:style w:type="paragraph" w:customStyle="1" w:styleId="330">
    <w:name w:val="Body text|1"/>
    <w:basedOn w:val="1"/>
    <w:qFormat/>
    <w:uiPriority w:val="0"/>
    <w:pPr>
      <w:spacing w:line="480" w:lineRule="auto"/>
      <w:ind w:firstLine="400"/>
    </w:pPr>
    <w:rPr>
      <w:rFonts w:ascii="宋体" w:hAnsi="宋体" w:cs="宋体"/>
      <w:sz w:val="22"/>
      <w:szCs w:val="22"/>
      <w:lang w:val="zh-TW" w:eastAsia="zh-TW" w:bidi="zh-TW"/>
    </w:rPr>
  </w:style>
  <w:style w:type="paragraph" w:customStyle="1" w:styleId="331">
    <w:name w:val="Body text|4"/>
    <w:basedOn w:val="1"/>
    <w:qFormat/>
    <w:uiPriority w:val="0"/>
    <w:pPr>
      <w:spacing w:after="300"/>
      <w:ind w:left="1600"/>
    </w:pPr>
    <w:rPr>
      <w:rFonts w:ascii="宋体" w:hAnsi="宋体" w:cs="宋体"/>
      <w:sz w:val="32"/>
      <w:szCs w:val="32"/>
      <w:lang w:val="zh-TW" w:eastAsia="zh-TW" w:bidi="zh-TW"/>
    </w:rPr>
  </w:style>
  <w:style w:type="paragraph" w:customStyle="1" w:styleId="332">
    <w:name w:val="Other|2"/>
    <w:basedOn w:val="1"/>
    <w:qFormat/>
    <w:uiPriority w:val="0"/>
    <w:rPr>
      <w:rFonts w:ascii="宋体" w:hAnsi="宋体" w:cs="宋体"/>
      <w:sz w:val="134"/>
      <w:szCs w:val="134"/>
      <w:lang w:val="zh-TW" w:eastAsia="zh-TW" w:bidi="zh-TW"/>
    </w:rPr>
  </w:style>
  <w:style w:type="paragraph" w:customStyle="1" w:styleId="333">
    <w:name w:val="Other|1"/>
    <w:basedOn w:val="1"/>
    <w:qFormat/>
    <w:uiPriority w:val="0"/>
    <w:pPr>
      <w:spacing w:line="480" w:lineRule="auto"/>
      <w:ind w:firstLine="400"/>
    </w:pPr>
    <w:rPr>
      <w:rFonts w:ascii="宋体" w:hAnsi="宋体" w:cs="宋体"/>
      <w:sz w:val="22"/>
      <w:szCs w:val="22"/>
      <w:lang w:val="zh-TW" w:eastAsia="zh-TW" w:bidi="zh-TW"/>
    </w:rPr>
  </w:style>
  <w:style w:type="paragraph" w:customStyle="1" w:styleId="334">
    <w:name w:val="Body text|2"/>
    <w:basedOn w:val="1"/>
    <w:qFormat/>
    <w:uiPriority w:val="0"/>
    <w:pPr>
      <w:spacing w:after="50"/>
      <w:ind w:left="1340"/>
    </w:pPr>
    <w:rPr>
      <w:rFonts w:ascii="宋体" w:hAnsi="宋体" w:cs="宋体"/>
      <w:sz w:val="28"/>
      <w:szCs w:val="28"/>
      <w:lang w:val="zh-TW" w:eastAsia="zh-TW" w:bidi="zh-TW"/>
    </w:rPr>
  </w:style>
  <w:style w:type="paragraph" w:customStyle="1" w:styleId="335">
    <w:name w:val="Body text|3"/>
    <w:basedOn w:val="1"/>
    <w:qFormat/>
    <w:uiPriority w:val="0"/>
    <w:pPr>
      <w:spacing w:after="2740"/>
      <w:jc w:val="center"/>
    </w:pPr>
    <w:rPr>
      <w:rFonts w:ascii="宋体" w:hAnsi="宋体" w:cs="宋体"/>
      <w:sz w:val="36"/>
      <w:szCs w:val="36"/>
      <w:lang w:val="zh-TW" w:eastAsia="zh-TW" w:bidi="zh-TW"/>
    </w:rPr>
  </w:style>
  <w:style w:type="paragraph" w:customStyle="1" w:styleId="336">
    <w:name w:val="Body text|6"/>
    <w:basedOn w:val="1"/>
    <w:qFormat/>
    <w:uiPriority w:val="0"/>
    <w:pPr>
      <w:ind w:left="9700"/>
    </w:pPr>
    <w:rPr>
      <w:rFonts w:ascii="宋体" w:hAnsi="宋体" w:cs="宋体"/>
      <w:sz w:val="12"/>
      <w:szCs w:val="12"/>
      <w:lang w:val="zh-TW" w:eastAsia="zh-TW" w:bidi="zh-TW"/>
    </w:rPr>
  </w:style>
  <w:style w:type="paragraph" w:customStyle="1" w:styleId="337">
    <w:name w:val="Heading #2|1"/>
    <w:basedOn w:val="1"/>
    <w:qFormat/>
    <w:uiPriority w:val="0"/>
    <w:pPr>
      <w:spacing w:before="50" w:after="330"/>
      <w:jc w:val="center"/>
      <w:outlineLvl w:val="1"/>
    </w:pPr>
    <w:rPr>
      <w:rFonts w:ascii="宋体" w:hAnsi="宋体" w:cs="宋体"/>
      <w:sz w:val="44"/>
      <w:szCs w:val="44"/>
      <w:lang w:val="zh-TW" w:eastAsia="zh-TW" w:bidi="zh-TW"/>
    </w:rPr>
  </w:style>
  <w:style w:type="paragraph" w:customStyle="1" w:styleId="338">
    <w:name w:val="Heading #1|1"/>
    <w:basedOn w:val="1"/>
    <w:qFormat/>
    <w:uiPriority w:val="0"/>
    <w:pPr>
      <w:spacing w:after="2070"/>
      <w:jc w:val="center"/>
      <w:outlineLvl w:val="0"/>
    </w:pPr>
    <w:rPr>
      <w:rFonts w:ascii="宋体" w:hAnsi="宋体" w:cs="宋体"/>
      <w:sz w:val="72"/>
      <w:szCs w:val="72"/>
      <w:lang w:val="zh-TW" w:eastAsia="zh-TW" w:bidi="zh-TW"/>
    </w:rPr>
  </w:style>
  <w:style w:type="paragraph" w:customStyle="1" w:styleId="339">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340">
    <w:name w:val="首行缩进:  0.85 厘米"/>
    <w:basedOn w:val="1"/>
    <w:qFormat/>
    <w:uiPriority w:val="99"/>
    <w:pPr>
      <w:widowControl/>
      <w:spacing w:after="100" w:line="360" w:lineRule="auto"/>
      <w:ind w:firstLine="482"/>
      <w:jc w:val="left"/>
    </w:pPr>
    <w:rPr>
      <w:rFonts w:hint="eastAsia" w:ascii="宋体" w:hAnsi="宋体" w:cs="宋体"/>
      <w:sz w:val="24"/>
      <w:szCs w:val="20"/>
      <w:lang w:eastAsia="en-US"/>
    </w:rPr>
  </w:style>
  <w:style w:type="paragraph" w:customStyle="1" w:styleId="341">
    <w:name w:val="纯文本11"/>
    <w:basedOn w:val="1"/>
    <w:qFormat/>
    <w:uiPriority w:val="0"/>
    <w:rPr>
      <w:rFonts w:ascii="宋体" w:hAnsi="Courier New"/>
      <w:szCs w:val="20"/>
    </w:rPr>
  </w:style>
  <w:style w:type="character" w:customStyle="1" w:styleId="342">
    <w:name w:val="font91"/>
    <w:basedOn w:val="38"/>
    <w:qFormat/>
    <w:uiPriority w:val="0"/>
    <w:rPr>
      <w:rFonts w:hint="eastAsia" w:ascii="仿宋" w:hAnsi="仿宋" w:eastAsia="仿宋" w:cs="仿宋"/>
      <w:b/>
      <w:bCs/>
      <w:color w:val="FF0000"/>
      <w:sz w:val="18"/>
      <w:szCs w:val="18"/>
      <w:u w:val="none"/>
    </w:rPr>
  </w:style>
  <w:style w:type="character" w:customStyle="1" w:styleId="343">
    <w:name w:val="font81"/>
    <w:basedOn w:val="38"/>
    <w:qFormat/>
    <w:uiPriority w:val="0"/>
    <w:rPr>
      <w:rFonts w:hint="eastAsia" w:ascii="仿宋" w:hAnsi="仿宋" w:eastAsia="仿宋" w:cs="仿宋"/>
      <w:color w:val="000000"/>
      <w:sz w:val="18"/>
      <w:szCs w:val="18"/>
      <w:u w:val="none"/>
    </w:rPr>
  </w:style>
  <w:style w:type="character" w:customStyle="1" w:styleId="344">
    <w:name w:val="font111"/>
    <w:basedOn w:val="38"/>
    <w:qFormat/>
    <w:uiPriority w:val="0"/>
    <w:rPr>
      <w:rFonts w:hint="eastAsia" w:ascii="仿宋" w:hAnsi="仿宋" w:eastAsia="仿宋" w:cs="仿宋"/>
      <w:color w:val="FF0000"/>
      <w:sz w:val="18"/>
      <w:szCs w:val="18"/>
      <w:u w:val="none"/>
    </w:rPr>
  </w:style>
  <w:style w:type="character" w:customStyle="1" w:styleId="345">
    <w:name w:val="font112"/>
    <w:basedOn w:val="38"/>
    <w:qFormat/>
    <w:uiPriority w:val="0"/>
    <w:rPr>
      <w:rFonts w:hint="eastAsia" w:ascii="仿宋" w:hAnsi="仿宋" w:eastAsia="仿宋" w:cs="仿宋"/>
      <w:color w:val="FF0000"/>
      <w:sz w:val="18"/>
      <w:szCs w:val="18"/>
      <w:u w:val="none"/>
    </w:rPr>
  </w:style>
  <w:style w:type="paragraph" w:customStyle="1" w:styleId="346">
    <w:name w:val="Table Text"/>
    <w:qFormat/>
    <w:uiPriority w:val="6"/>
    <w:pPr>
      <w:spacing w:before="143" w:after="80"/>
      <w:jc w:val="center"/>
    </w:pPr>
    <w:rPr>
      <w:rFonts w:ascii="仿宋_GB2312" w:hAnsi="仿宋_GB2312" w:eastAsia="仿宋" w:cs="宋体"/>
      <w:color w:val="000000"/>
      <w:sz w:val="24"/>
      <w:lang w:val="en-US" w:eastAsia="zh-CN" w:bidi="ar-SA"/>
    </w:rPr>
  </w:style>
  <w:style w:type="paragraph" w:customStyle="1" w:styleId="347">
    <w:name w:val="Normal_2"/>
    <w:qFormat/>
    <w:uiPriority w:val="0"/>
    <w:rPr>
      <w:rFonts w:hint="default" w:ascii="Times New Roman" w:hAnsi="Times New Roman" w:eastAsia="Times New Roman" w:cs="Times New Roman"/>
      <w:sz w:val="24"/>
      <w:szCs w:val="24"/>
    </w:rPr>
  </w:style>
  <w:style w:type="character" w:customStyle="1" w:styleId="348">
    <w:name w:val="titlebody"/>
    <w:basedOn w:val="223"/>
    <w:link w:val="1"/>
    <w:qFormat/>
    <w:uiPriority w:val="0"/>
    <w:rPr>
      <w:rFonts w:ascii="Times New Roman" w:hAnsi="Times New Roman" w:eastAsia="宋体" w:cs="Times New Roman"/>
      <w:sz w:val="21"/>
      <w:szCs w:val="21"/>
      <w:lang w:val="en-US" w:eastAsia="zh-CN" w:bidi="ar-SA"/>
    </w:rPr>
  </w:style>
  <w:style w:type="paragraph" w:customStyle="1" w:styleId="349">
    <w:name w:val="null3"/>
    <w:hidden/>
    <w:qFormat/>
    <w:uiPriority w:val="0"/>
    <w:rPr>
      <w:rFonts w:hint="eastAsia" w:asciiTheme="minorHAnsi" w:hAnsiTheme="minorHAnsi" w:eastAsiaTheme="minorEastAsia" w:cstheme="minorBidi"/>
      <w:lang w:val="en-US" w:eastAsia="zh-Hans"/>
    </w:rPr>
  </w:style>
  <w:style w:type="table" w:customStyle="1" w:styleId="35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58</Pages>
  <Words>21100</Words>
  <Characters>22439</Characters>
  <Lines>189</Lines>
  <Paragraphs>53</Paragraphs>
  <TotalTime>1</TotalTime>
  <ScaleCrop>false</ScaleCrop>
  <LinksUpToDate>false</LinksUpToDate>
  <CharactersWithSpaces>23039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2023-03-16T10:16:00Z</dcterms:created>
  <dc:creator>赵国</dc:creator>
  <cp:lastModifiedBy>于雅静</cp:lastModifiedBy>
  <cp:lastPrinted>2026-04-25T09:06:00Z</cp:lastPrinted>
  <dcterms:modified xsi:type="dcterms:W3CDTF">2026-04-30T09:17:59Z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FCC4A863964F4CE99242DCF73FDBC9FC_13</vt:lpwstr>
  </property>
  <property fmtid="{D5CDD505-2E9C-101B-9397-08002B2CF9AE}" pid="4" name="KSOTemplateDocerSaveRecord">
    <vt:lpwstr>eyJoZGlkIjoiYjM1M2E0OWMxNTUyZDA1OTVkYWJmY2IxMzI5ZGFlODkiLCJ1c2VySWQiOiI4MjQ1MDE3NDQifQ==</vt:lpwstr>
  </property>
</Properties>
</file>