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caps/>
          <w:color w:val="000000" w:themeColor="text1"/>
          <w:sz w:val="44"/>
          <w:szCs w:val="44"/>
          <w:highlight w:val="none"/>
          <w14:textFill>
            <w14:solidFill>
              <w14:schemeClr w14:val="tx1"/>
            </w14:solidFill>
          </w14:textFill>
        </w:rPr>
      </w:pPr>
      <w:r/>
      <w:bookmarkStart w:id="47" w:name="_GoBack"/>
      <w:r/>
      <w:bookmarkEnd w:id="47"/>
      <w:r>
        <w:rPr>
          <w:rFonts w:hint="eastAsia" w:ascii="宋体"/>
          <w:caps/>
          <w:color w:val="000000" w:themeColor="text1"/>
          <w:sz w:val="44"/>
          <w:szCs w:val="44"/>
          <w:highlight w:val="none"/>
          <w14:textFill>
            <w14:solidFill>
              <w14:schemeClr w14:val="tx1"/>
            </w14:solidFill>
          </w14:textFill>
        </w:rPr>
        <w:t xml:space="preserve"> </w:t>
      </w:r>
      <w:r/>
    </w:p>
    <w:p>
      <w:pPr>
        <w:pStyle w:val="103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center"/>
        <w:spacing w:line="360" w:lineRule="auto"/>
        <w:widowControl/>
        <w:rPr>
          <w:rFonts w:hint="eastAsia" w:ascii="宋体" w:eastAsia="宋体"/>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44"/>
          <w:szCs w:val="44"/>
          <w:highlight w:val="none"/>
          <w:lang w:eastAsia="zh-CN"/>
          <w14:textFill>
            <w14:solidFill>
              <w14:schemeClr w14:val="tx1"/>
            </w14:solidFill>
          </w14:textFill>
        </w:rPr>
        <w:t xml:space="preserve">南京医科大学生物医药分中心测序仪采购项目</w:t>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6405" cy="2131060"/>
                <wp:effectExtent l="0" t="0" r="10795" b="2540"/>
                <wp:docPr id="8" name="图片 2"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我的插图-1"/>
                        <pic:cNvPicPr>
                          <a:picLocks noChangeAspect="1"/>
                        </pic:cNvPicPr>
                        <pic:nvPr/>
                      </pic:nvPicPr>
                      <pic:blipFill>
                        <a:blip r:embed="rId17"/>
                        <a:stretch/>
                      </pic:blipFill>
                      <pic:spPr bwMode="auto">
                        <a:xfrm>
                          <a:off x="0" y="0"/>
                          <a:ext cx="1716405" cy="2131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2pt;height:167.8pt;mso-wrap-distance-left:0.0pt;mso-wrap-distance-top:0.0pt;mso-wrap-distance-right:0.0pt;mso-wrap-distance-bottom:0.0pt;" stroked="f">
                <v:path textboxrect="0,0,0,0"/>
                <v:imagedata r:id="rId17" o:title=""/>
              </v:shape>
            </w:pict>
          </mc:Fallback>
        </mc:AlternateContent>
      </w:r>
      <w:r/>
    </w:p>
    <w:p>
      <w:pPr>
        <w:jc w:val="center"/>
        <w:spacing w:line="360" w:lineRule="auto"/>
        <w:widowControl/>
        <w:rPr>
          <w:rFonts w:asci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招标文件</w:t>
      </w:r>
      <w:r/>
    </w:p>
    <w:p>
      <w:pPr>
        <w:jc w:val="center"/>
        <w:spacing w:line="360" w:lineRule="auto"/>
        <w:widowControl/>
        <w:rPr>
          <w:rFonts w:hint="eastAsia" w:ascii="宋体" w:eastAsia="宋体"/>
          <w:b/>
          <w:color w:val="000000" w:themeColor="text1"/>
          <w:sz w:val="36"/>
          <w:szCs w:val="36"/>
          <w:highlight w:val="none"/>
          <w:lang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项目编号：</w:t>
      </w:r>
      <w:r>
        <w:rPr>
          <w:rFonts w:hint="eastAsia" w:ascii="宋体" w:hAnsi="宋体"/>
          <w:b/>
          <w:color w:val="000000" w:themeColor="text1"/>
          <w:sz w:val="32"/>
          <w:szCs w:val="32"/>
          <w:highlight w:val="none"/>
          <w:lang w:eastAsia="zh-CN"/>
          <w14:textFill>
            <w14:solidFill>
              <w14:schemeClr w14:val="tx1"/>
            </w14:solidFill>
          </w14:textFill>
        </w:rPr>
        <w:t xml:space="preserve">JSZC-320000-SNZX-G2026-0053</w:t>
      </w:r>
      <w:r/>
    </w:p>
    <w:p>
      <w:pPr>
        <w:pStyle w:val="1033"/>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1033"/>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1033"/>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1033"/>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ind w:firstLine="904"/>
        <w:spacing w:line="360" w:lineRule="auto"/>
        <w:widowControl/>
        <w:rPr>
          <w:rFonts w:asci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采购人：南京医科大学</w:t>
      </w:r>
      <w:r/>
    </w:p>
    <w:p>
      <w:pPr>
        <w:ind w:firstLine="904"/>
        <w:spacing w:line="360" w:lineRule="auto"/>
        <w:widowControl/>
        <w:rPr>
          <w:rFonts w:asci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招标代理机构：南京苏宁工程咨询有限公司</w:t>
      </w:r>
      <w:r/>
    </w:p>
    <w:p>
      <w:pPr>
        <w:ind w:firstLine="904"/>
        <w:spacing w:line="360" w:lineRule="auto"/>
        <w:shd w:val="clear" w:color="auto" w:fill="ffffff"/>
        <w:widowControl/>
        <w:rPr>
          <w:color w:val="000000" w:themeColor="text1"/>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日期：二〇二</w:t>
      </w:r>
      <w:r>
        <w:rPr>
          <w:rFonts w:hint="eastAsia" w:ascii="宋体" w:hAnsi="宋体"/>
          <w:b/>
          <w:color w:val="000000" w:themeColor="text1"/>
          <w:sz w:val="36"/>
          <w:szCs w:val="36"/>
          <w:highlight w:val="none"/>
          <w:lang w:val="en-US" w:eastAsia="zh-CN"/>
          <w14:textFill>
            <w14:solidFill>
              <w14:schemeClr w14:val="tx1"/>
            </w14:solidFill>
          </w14:textFill>
        </w:rPr>
        <w:t xml:space="preserve">六</w:t>
      </w:r>
      <w:r>
        <w:rPr>
          <w:rFonts w:hint="eastAsia" w:ascii="宋体" w:hAnsi="宋体"/>
          <w:b/>
          <w:color w:val="000000" w:themeColor="text1"/>
          <w:sz w:val="36"/>
          <w:szCs w:val="36"/>
          <w:highlight w:val="none"/>
          <w14:textFill>
            <w14:solidFill>
              <w14:schemeClr w14:val="tx1"/>
            </w14:solidFill>
          </w14:textFill>
        </w:rPr>
        <w:t xml:space="preserve">年</w:t>
      </w:r>
      <w:r>
        <w:rPr>
          <w:rFonts w:hint="eastAsia" w:ascii="宋体" w:hAnsi="宋体"/>
          <w:b/>
          <w:color w:val="000000" w:themeColor="text1"/>
          <w:sz w:val="36"/>
          <w:szCs w:val="36"/>
          <w:highlight w:val="none"/>
          <w:lang w:val="en-US" w:eastAsia="zh-CN"/>
          <w14:textFill>
            <w14:solidFill>
              <w14:schemeClr w14:val="tx1"/>
            </w14:solidFill>
          </w14:textFill>
        </w:rPr>
        <w:t xml:space="preserve">四</w:t>
      </w:r>
      <w:r>
        <w:rPr>
          <w:rFonts w:hint="eastAsia" w:ascii="宋体" w:hAnsi="宋体"/>
          <w:b/>
          <w:color w:val="000000" w:themeColor="text1"/>
          <w:sz w:val="36"/>
          <w:szCs w:val="36"/>
          <w:highlight w:val="none"/>
          <w14:textFill>
            <w14:solidFill>
              <w14:schemeClr w14:val="tx1"/>
            </w14:solidFill>
          </w14:textFill>
        </w:rPr>
        <w:t xml:space="preserve">月</w:t>
      </w:r>
      <w:r/>
    </w:p>
    <w:p>
      <w:pPr>
        <w:jc w:val="center"/>
        <w:rPr>
          <w:rFonts w:ascii="黑体" w:eastAsia="黑体"/>
          <w:color w:val="000000" w:themeColor="text1"/>
          <w:sz w:val="36"/>
          <w:szCs w:val="36"/>
          <w:highlight w:val="none"/>
          <w14:textFill>
            <w14:solidFill>
              <w14:schemeClr w14:val="tx1"/>
            </w14:solidFill>
          </w14:textFill>
        </w:rPr>
        <w:sectPr>
          <w:headerReference w:type="default" r:id="rId9"/>
          <w:footerReference w:type="default" r:id="rId12"/>
          <w:footnotePr/>
          <w:endnotePr>
            <w:numFmt w:val="decimal"/>
          </w:endnotePr>
          <w:type w:val="nextPage"/>
          <w:pgSz w:w="11906" w:h="16838" w:orient="portrait"/>
          <w:pgMar w:top="850" w:right="850" w:bottom="850" w:left="1417" w:header="567" w:footer="720" w:gutter="0"/>
          <w:cols w:num="1" w:sep="0" w:space="720" w:equalWidth="1"/>
          <w:docGrid w:linePitch="360"/>
        </w:sectPr>
      </w:pPr>
      <w:r>
        <w:rPr>
          <w:rFonts w:ascii="黑体" w:eastAsia="黑体"/>
          <w:color w:val="000000" w:themeColor="text1"/>
          <w:sz w:val="36"/>
          <w:szCs w:val="36"/>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第一章 投标邀请</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Cs w:val="21"/>
          <w:highlight w:val="none"/>
          <w14:textFill>
            <w14:solidFill>
              <w14:schemeClr w14:val="tx1"/>
            </w14:solidFill>
          </w14:textFill>
        </w:rPr>
        <w:t xml:space="preserve">项目概况</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Cs w:val="21"/>
          <w:highlight w:val="none"/>
          <w:u w:val="single"/>
          <w:lang w:eastAsia="zh-CN"/>
          <w14:textFill>
            <w14:solidFill>
              <w14:schemeClr w14:val="tx1"/>
            </w14:solidFill>
          </w14:textFill>
        </w:rPr>
        <w:t xml:space="preserve">南京医科大学生物医药分中心测序仪采购项目</w:t>
      </w:r>
      <w:r>
        <w:rPr>
          <w:rFonts w:hint="eastAsia" w:ascii="宋体" w:hAnsi="宋体" w:cs="宋体"/>
          <w:color w:val="000000" w:themeColor="text1"/>
          <w:szCs w:val="21"/>
          <w:highlight w:val="none"/>
          <w14:textFill>
            <w14:solidFill>
              <w14:schemeClr w14:val="tx1"/>
            </w14:solidFill>
          </w14:textFill>
        </w:rPr>
        <w:t xml:space="preserve">招标项目的潜在投标人应在</w:t>
      </w:r>
      <w:r>
        <w:rPr>
          <w:rFonts w:hint="eastAsia" w:ascii="宋体" w:hAnsi="宋体" w:cs="宋体"/>
          <w:color w:val="000000" w:themeColor="text1"/>
          <w:szCs w:val="21"/>
          <w:highlight w:val="none"/>
          <w:u w:val="single"/>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获取招标文件，并于</w:t>
      </w:r>
      <w:r>
        <w:rPr>
          <w:rFonts w:hint="eastAsia" w:ascii="宋体" w:hAnsi="宋体" w:cs="宋体"/>
          <w:color w:val="000000" w:themeColor="text1"/>
          <w:szCs w:val="21"/>
          <w:highlight w:val="none"/>
          <w:u w:val="single"/>
          <w14:textFill>
            <w14:solidFill>
              <w14:schemeClr w14:val="tx1"/>
            </w14:solidFill>
          </w14:textFill>
        </w:rPr>
        <w:t xml:space="preserve">202</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color w:val="000000" w:themeColor="text1"/>
          <w:szCs w:val="21"/>
          <w:highlight w:val="none"/>
          <w:u w:val="single"/>
          <w14:textFill>
            <w14:solidFill>
              <w14:schemeClr w14:val="tx1"/>
            </w14:solidFill>
          </w14:textFill>
        </w:rPr>
        <w:t xml:space="preserve">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5</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22</w:t>
      </w:r>
      <w:r>
        <w:rPr>
          <w:rFonts w:hint="eastAsia" w:ascii="宋体" w:hAnsi="宋体" w:cs="宋体"/>
          <w:color w:val="000000" w:themeColor="text1"/>
          <w:szCs w:val="21"/>
          <w:highlight w:val="none"/>
          <w:u w:val="single"/>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color w:val="000000" w:themeColor="text1"/>
          <w:szCs w:val="21"/>
          <w:highlight w:val="none"/>
          <w:u w:val="single"/>
          <w14:textFill>
            <w14:solidFill>
              <w14:schemeClr w14:val="tx1"/>
            </w14:solidFill>
          </w14:textFill>
        </w:rPr>
        <w:t xml:space="preserve">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color w:val="000000" w:themeColor="text1"/>
          <w:szCs w:val="21"/>
          <w:highlight w:val="none"/>
          <w:u w:val="single"/>
          <w14:textFill>
            <w14:solidFill>
              <w14:schemeClr w14:val="tx1"/>
            </w14:solidFill>
          </w14:textFill>
        </w:rPr>
        <w:t xml:space="preserve">分</w:t>
      </w:r>
      <w:r>
        <w:rPr>
          <w:rFonts w:hint="eastAsia" w:ascii="宋体" w:hAnsi="宋体" w:cs="宋体"/>
          <w:color w:val="000000" w:themeColor="text1"/>
          <w:szCs w:val="21"/>
          <w:highlight w:val="none"/>
          <w14:textFill>
            <w14:solidFill>
              <w14:schemeClr w14:val="tx1"/>
            </w14:solidFill>
          </w14:textFill>
        </w:rPr>
        <w:t xml:space="preserve">（北京时间）前递交投标文件。</w:t>
      </w:r>
      <w:r/>
    </w:p>
    <w:p>
      <w:pPr>
        <w:jc w:val="left"/>
        <w:spacing w:line="360" w:lineRule="auto"/>
        <w:rPr>
          <w:rFonts w:ascii="宋体" w:hAnsi="宋体" w:cs="宋体"/>
          <w:color w:val="000000" w:themeColor="text1"/>
          <w:szCs w:val="21"/>
          <w:highlight w:val="none"/>
          <w14:textFill>
            <w14:solidFill>
              <w14:schemeClr w14:val="tx1"/>
            </w14:solidFill>
          </w14:textFill>
        </w:rPr>
      </w:pPr>
      <w:r/>
      <w:bookmarkStart w:id="0" w:name="_Toc35393790"/>
      <w:r/>
      <w:bookmarkStart w:id="1" w:name="_Toc28359002"/>
      <w:r/>
      <w:bookmarkStart w:id="2" w:name="_Toc28359079"/>
      <w:r/>
      <w:bookmarkStart w:id="3" w:name="_Toc35393621"/>
      <w:r/>
      <w:bookmarkStart w:id="4" w:name="_Hlk24379207"/>
      <w:r>
        <w:rPr>
          <w:rFonts w:hint="eastAsia" w:ascii="宋体" w:hAnsi="宋体" w:cs="宋体"/>
          <w:color w:val="000000" w:themeColor="text1"/>
          <w:szCs w:val="21"/>
          <w:highlight w:val="none"/>
          <w14:textFill>
            <w14:solidFill>
              <w14:schemeClr w14:val="tx1"/>
            </w14:solidFill>
          </w14:textFill>
        </w:rPr>
        <w:t xml:space="preserve">一、项目基本情况</w:t>
      </w:r>
      <w:bookmarkEnd w:id="0"/>
      <w:r/>
      <w:bookmarkEnd w:id="1"/>
      <w:r/>
      <w:bookmarkEnd w:id="2"/>
      <w:r/>
      <w:bookmarkEnd w:id="3"/>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lang w:eastAsia="zh-CN"/>
          <w14:textFill>
            <w14:solidFill>
              <w14:schemeClr w14:val="tx1"/>
            </w14:solidFill>
          </w14:textFill>
        </w:rPr>
        <w:t xml:space="preserve">JSZC-320000-SNZX-G2026-0053</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bookmarkEnd w:id="4"/>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南京医科大学生物医药分中心测序仪采购项目</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预算金额：</w:t>
      </w:r>
      <w:r>
        <w:rPr>
          <w:rFonts w:hint="eastAsia" w:ascii="宋体" w:hAnsi="宋体" w:cs="宋体"/>
          <w:color w:val="000000" w:themeColor="text1"/>
          <w:szCs w:val="21"/>
          <w:highlight w:val="none"/>
          <w:lang w:val="en-US" w:eastAsia="zh-CN"/>
          <w14:textFill>
            <w14:solidFill>
              <w14:schemeClr w14:val="tx1"/>
            </w14:solidFill>
          </w14:textFill>
        </w:rPr>
        <w:t xml:space="preserve">650</w:t>
      </w:r>
      <w:r>
        <w:rPr>
          <w:rFonts w:hint="eastAsia" w:ascii="宋体" w:hAnsi="宋体" w:cs="宋体"/>
          <w:color w:val="000000" w:themeColor="text1"/>
          <w:szCs w:val="21"/>
          <w:highlight w:val="none"/>
          <w14:textFill>
            <w14:solidFill>
              <w14:schemeClr w14:val="tx1"/>
            </w14:solidFill>
          </w14:textFill>
        </w:rPr>
        <w:t xml:space="preserve">万元</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最高限价：</w:t>
      </w:r>
      <w:r>
        <w:rPr>
          <w:rFonts w:hint="eastAsia" w:ascii="宋体" w:hAnsi="宋体" w:cs="宋体"/>
          <w:color w:val="000000" w:themeColor="text1"/>
          <w:szCs w:val="21"/>
          <w:highlight w:val="none"/>
          <w:lang w:val="en-US" w:eastAsia="zh-CN"/>
          <w14:textFill>
            <w14:solidFill>
              <w14:schemeClr w14:val="tx1"/>
            </w14:solidFill>
          </w14:textFill>
        </w:rPr>
        <w:t xml:space="preserve">650</w:t>
      </w:r>
      <w:r>
        <w:rPr>
          <w:rFonts w:hint="eastAsia" w:ascii="宋体" w:hAnsi="宋体" w:cs="宋体"/>
          <w:color w:val="000000" w:themeColor="text1"/>
          <w:szCs w:val="21"/>
          <w:highlight w:val="none"/>
          <w14:textFill>
            <w14:solidFill>
              <w14:schemeClr w14:val="tx1"/>
            </w14:solidFill>
          </w14:textFill>
        </w:rPr>
        <w:t xml:space="preserve">万元，投标报价超过最高限价的为无效投标。</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采购需求：</w:t>
      </w:r>
      <w:r>
        <w:rPr>
          <w:rFonts w:hint="eastAsia" w:ascii="宋体" w:hAnsi="宋体" w:cs="宋体"/>
          <w:color w:val="000000" w:themeColor="text1"/>
          <w:szCs w:val="21"/>
          <w:highlight w:val="none"/>
          <w:lang w:val="en-US" w:eastAsia="zh-CN"/>
          <w14:textFill>
            <w14:solidFill>
              <w14:schemeClr w14:val="tx1"/>
            </w14:solidFill>
          </w14:textFill>
        </w:rPr>
        <w:t xml:space="preserve">南京医科大学生物医药分中心测序仪采购项目，</w:t>
      </w:r>
      <w:r>
        <w:rPr>
          <w:rFonts w:hint="eastAsia" w:ascii="宋体" w:hAnsi="宋体" w:cs="宋体"/>
          <w:color w:val="000000" w:themeColor="text1"/>
          <w:szCs w:val="21"/>
          <w:highlight w:val="none"/>
          <w14:textFill>
            <w14:solidFill>
              <w14:schemeClr w14:val="tx1"/>
            </w14:solidFill>
          </w14:textFill>
        </w:rPr>
        <w:t xml:space="preserve">具体详见招标文件。</w:t>
      </w:r>
      <w:r/>
    </w:p>
    <w:p>
      <w:pPr>
        <w:ind w:firstLine="420"/>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合同履行期限（交货期）：</w:t>
      </w:r>
      <w:bookmarkStart w:id="5" w:name="_Toc35393622"/>
      <w:r/>
      <w:bookmarkStart w:id="6" w:name="_Toc28359080"/>
      <w:r/>
      <w:bookmarkStart w:id="7" w:name="_Toc28359003"/>
      <w:r/>
      <w:bookmarkStart w:id="8" w:name="_Toc35393791"/>
      <w:r>
        <w:rPr>
          <w:rFonts w:hint="eastAsia" w:ascii="宋体" w:hAnsi="宋体" w:eastAsia="宋体" w:cs="宋体"/>
          <w:color w:val="000000" w:themeColor="text1"/>
          <w:sz w:val="21"/>
          <w:szCs w:val="21"/>
          <w:highlight w:val="none"/>
          <w:lang w:val="zh-CN"/>
          <w14:textFill>
            <w14:solidFill>
              <w14:schemeClr w14:val="tx1"/>
            </w14:solidFill>
          </w14:textFill>
        </w:rPr>
        <w:t xml:space="preserve">合同签订生效后，一个月内全部设备、材料运抵现场，并安装、调试结束，验收合格，交付</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w:t>
      </w:r>
      <w:r>
        <w:rPr>
          <w:rFonts w:hint="eastAsia" w:ascii="宋体" w:hAnsi="宋体" w:cs="宋体"/>
          <w:color w:val="000000" w:themeColor="text1"/>
          <w:sz w:val="21"/>
          <w:szCs w:val="21"/>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使用。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本项目不接受联合体投标。</w:t>
      </w:r>
      <w:bookmarkEnd w:id="5"/>
      <w:r/>
      <w:bookmarkEnd w:id="6"/>
      <w:r/>
      <w:bookmarkEnd w:id="7"/>
      <w:r/>
      <w:bookmarkEnd w:id="8"/>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二、申请人的资格要求：</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9" w:name="_Toc35393623"/>
      <w:r/>
      <w:bookmarkStart w:id="10" w:name="_Toc35393792"/>
      <w:r/>
      <w:bookmarkStart w:id="11" w:name="_Toc28359005"/>
      <w:r/>
      <w:bookmarkStart w:id="12" w:name="_Toc28359082"/>
      <w:r/>
      <w:bookmarkStart w:id="13" w:name="_Toc35393793"/>
      <w:r/>
      <w:bookmarkStart w:id="14" w:name="_Toc35393624"/>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一</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满足《中华人民共和国政府采购法》第二十二条规定；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具有独立承担民事责任的能力（提供法人或者其他组织的营业执照；供应商为自然人的提供其身份证，提供相关证明材料复印件并加盖公章）；</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eastAsia="zh-CN"/>
          <w14:textFill>
            <w14:solidFill>
              <w14:schemeClr w14:val="tx1"/>
            </w14:solidFill>
          </w14:textFill>
        </w:rPr>
        <w:t xml:space="preserve">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r>
        <w:rPr>
          <w:rFonts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具有履行合同所必需的设备和专业技术能力（投标人根据履行采购项目合同需要，提供履行合同所必需的设备和专业技术能力的证明材料，提供相关证明材料复印件并加盖公章或承诺书原件）；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有依法缴纳税收和社会保障资金的良好记录（提供投标截止时间前六个月内任意一个月的纳税证明文件（依法免缴的应提供相应文件说明）；并提供投标截止时间前六个月内依法为员工缴纳社会保障资金的证明材料（任意一个月即可），证明材料可以是缴费的银行单据复印件、社保机构开具的证明（依法不需要缴纳社会保障资金的应提供相应文件说明））；</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参加政府采购活动前三年内，在经营活动中没有重大违法记录（提供承诺书原件）；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法律、行政法规规定的其他条件，提供相关证明材料：无。</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注:①</w:t>
      </w:r>
      <w:r>
        <w:rPr>
          <w:rFonts w:hint="eastAsia" w:ascii="宋体" w:hAnsi="宋体" w:cs="宋体"/>
          <w:color w:val="000000" w:themeColor="text1"/>
          <w:szCs w:val="21"/>
          <w:highlight w:val="none"/>
          <w:lang w:val="en-US" w:eastAsia="zh-CN"/>
          <w14:textFill>
            <w14:solidFill>
              <w14:schemeClr w14:val="tx1"/>
            </w14:solidFill>
          </w14:textFill>
        </w:rPr>
        <w:t xml:space="preserve">前款</w:t>
      </w:r>
      <w:r>
        <w:rPr>
          <w:rFonts w:hint="eastAsia" w:ascii="宋体" w:hAnsi="宋体" w:cs="宋体"/>
          <w:color w:val="000000" w:themeColor="text1"/>
          <w:szCs w:val="21"/>
          <w:highlight w:val="none"/>
          <w14:textFill>
            <w14:solidFill>
              <w14:schemeClr w14:val="tx1"/>
            </w14:solidFill>
          </w14:textFill>
        </w:rPr>
        <w:t xml:space="preserve">第（5）</w:t>
      </w:r>
      <w:r>
        <w:rPr>
          <w:rFonts w:hint="eastAsia" w:ascii="宋体" w:hAnsi="宋体" w:cs="宋体"/>
          <w:color w:val="000000" w:themeColor="text1"/>
          <w:szCs w:val="21"/>
          <w:highlight w:val="none"/>
          <w:lang w:val="en-US" w:eastAsia="zh-CN"/>
          <w14:textFill>
            <w14:solidFill>
              <w14:schemeClr w14:val="tx1"/>
            </w14:solidFill>
          </w14:textFill>
        </w:rPr>
        <w:t xml:space="preserve">项中</w:t>
      </w:r>
      <w:r>
        <w:rPr>
          <w:rFonts w:hint="eastAsia" w:ascii="宋体" w:hAnsi="宋体" w:cs="宋体"/>
          <w:color w:val="000000" w:themeColor="text1"/>
          <w:szCs w:val="21"/>
          <w:highlight w:val="none"/>
          <w14:textFill>
            <w14:solidFill>
              <w14:schemeClr w14:val="tx1"/>
            </w14:solidFill>
          </w14:textFill>
        </w:rPr>
        <w:t xml:space="preserve">所称重大违法记录，是指投标人因违法经营受到刑事处罚或者责令停产停业、吊销许可证或者执照、较大数额罚款等行政处罚。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②投标人在参加政府采购活动前3年内因违法经营被禁止在一定期限内参加政府采购活动，期限届满的，可以参加政府采购活动。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二</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落实政府采购政策需满足的资格要求：如为中小微型企业、监狱企业、残疾人福利性单位，提供的产品为国家认定的节能产品和环保产品的须按要求提供相关材料。</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三</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本项目的特定资格要求：</w:t>
      </w:r>
      <w:r>
        <w:rPr>
          <w:rFonts w:hint="eastAsia" w:ascii="宋体" w:hAnsi="宋体" w:cs="宋体"/>
          <w:color w:val="000000" w:themeColor="text1"/>
          <w:szCs w:val="21"/>
          <w:highlight w:val="none"/>
          <w:lang w:val="en-US" w:eastAsia="zh-CN"/>
          <w14:textFill>
            <w14:solidFill>
              <w14:schemeClr w14:val="tx1"/>
            </w14:solidFill>
          </w14:textFill>
        </w:rPr>
        <w:t xml:space="preserve">无</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四</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本项目不接受转包、分包。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五</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拒绝下述供应商参加本次采购活动：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供应商单位负责人为同一人或者存在直接控股、管理关系的不同供应商，不得参加同一合同项下的采购活动。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凡为采购项目提供整体设计、规范编制或者项目管理、监理、检测等服务的供应商，不得再参加本项目的采购活动。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六</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本项目</w:t>
      </w:r>
      <w:r>
        <w:rPr>
          <w:rFonts w:hint="eastAsia" w:ascii="宋体" w:hAnsi="宋体" w:cs="宋体"/>
          <w:color w:val="000000" w:themeColor="text1"/>
          <w:szCs w:val="21"/>
          <w:highlight w:val="none"/>
          <w:lang w:val="en-US" w:eastAsia="zh-CN"/>
          <w14:textFill>
            <w14:solidFill>
              <w14:schemeClr w14:val="tx1"/>
            </w14:solidFill>
          </w14:textFill>
        </w:rPr>
        <w:t xml:space="preserve">不</w:t>
      </w:r>
      <w:r>
        <w:rPr>
          <w:rFonts w:hint="eastAsia" w:ascii="宋体" w:hAnsi="宋体" w:cs="宋体"/>
          <w:color w:val="000000" w:themeColor="text1"/>
          <w:szCs w:val="21"/>
          <w:highlight w:val="none"/>
          <w14:textFill>
            <w14:solidFill>
              <w14:schemeClr w14:val="tx1"/>
            </w14:solidFill>
          </w14:textFill>
        </w:rPr>
        <w:t xml:space="preserve">接受进口产品投标。（注：本文件所称进口产品是指通过中国海关报关验放进入中国境内且产自关境外的产品）</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三、获取招标文件</w:t>
      </w:r>
      <w:bookmarkEnd w:id="9"/>
      <w:r/>
      <w:bookmarkEnd w:id="1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时间：自招标文件公告发布之日起5个工作日</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地点：江苏政府采购网</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方式：网上下载</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售价：0.00元</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四、提交投标文件</w:t>
      </w:r>
      <w:bookmarkEnd w:id="11"/>
      <w:r/>
      <w:bookmarkEnd w:id="12"/>
      <w:r>
        <w:rPr>
          <w:rFonts w:hint="eastAsia" w:ascii="宋体" w:hAnsi="宋体" w:cs="宋体"/>
          <w:color w:val="000000" w:themeColor="text1"/>
          <w:szCs w:val="21"/>
          <w:highlight w:val="none"/>
          <w14:textFill>
            <w14:solidFill>
              <w14:schemeClr w14:val="tx1"/>
            </w14:solidFill>
          </w14:textFill>
        </w:rPr>
        <w:t xml:space="preserve">截止时间、开标时间和地点</w:t>
      </w:r>
      <w:bookmarkEnd w:id="13"/>
      <w:r/>
      <w:bookmarkEnd w:id="14"/>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截止时间及开标时间：</w:t>
      </w:r>
      <w:r>
        <w:rPr>
          <w:rFonts w:hint="eastAsia" w:ascii="宋体" w:hAnsi="宋体" w:cs="宋体"/>
          <w:color w:val="000000" w:themeColor="text1"/>
          <w:szCs w:val="21"/>
          <w:highlight w:val="none"/>
          <w:u w:val="single"/>
          <w14:textFill>
            <w14:solidFill>
              <w14:schemeClr w14:val="tx1"/>
            </w14:solidFill>
          </w14:textFill>
        </w:rPr>
        <w:t xml:space="preserve">202</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color w:val="000000" w:themeColor="text1"/>
          <w:szCs w:val="21"/>
          <w:highlight w:val="none"/>
          <w:u w:val="single"/>
          <w14:textFill>
            <w14:solidFill>
              <w14:schemeClr w14:val="tx1"/>
            </w14:solidFill>
          </w14:textFill>
        </w:rPr>
        <w:t xml:space="preserve">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5</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22</w:t>
      </w:r>
      <w:r>
        <w:rPr>
          <w:rFonts w:hint="eastAsia" w:ascii="宋体" w:hAnsi="宋体" w:cs="宋体"/>
          <w:color w:val="000000" w:themeColor="text1"/>
          <w:szCs w:val="21"/>
          <w:highlight w:val="none"/>
          <w:u w:val="single"/>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color w:val="000000" w:themeColor="text1"/>
          <w:szCs w:val="21"/>
          <w:highlight w:val="none"/>
          <w:u w:val="single"/>
          <w14:textFill>
            <w14:solidFill>
              <w14:schemeClr w14:val="tx1"/>
            </w14:solidFill>
          </w14:textFill>
        </w:rPr>
        <w:t xml:space="preserve">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color w:val="000000" w:themeColor="text1"/>
          <w:szCs w:val="21"/>
          <w:highlight w:val="none"/>
          <w:u w:val="single"/>
          <w14:textFill>
            <w14:solidFill>
              <w14:schemeClr w14:val="tx1"/>
            </w14:solidFill>
          </w14:textFill>
        </w:rPr>
        <w:t xml:space="preserve">分（北京时间）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w:t>
      </w:r>
      <w:r>
        <w:rPr>
          <w:rFonts w:hint="eastAsia" w:ascii="宋体" w:hAnsi="宋体" w:cs="宋体"/>
          <w:color w:val="000000" w:themeColor="text1"/>
          <w:szCs w:val="21"/>
          <w:highlight w:val="none"/>
          <w:u w:val="single"/>
          <w14:textFill>
            <w14:solidFill>
              <w14:schemeClr w14:val="tx1"/>
            </w14:solidFill>
          </w14:textFill>
        </w:rPr>
        <w:t xml:space="preserve">江苏省政府采购交易系统（以下简称“苏采云系统”）网上开标大厅。</w:t>
      </w:r>
      <w:r/>
    </w:p>
    <w:p>
      <w:pPr>
        <w:jc w:val="left"/>
        <w:spacing w:line="360" w:lineRule="auto"/>
        <w:rPr>
          <w:rFonts w:ascii="宋体" w:hAnsi="宋体" w:cs="宋体"/>
          <w:color w:val="000000" w:themeColor="text1"/>
          <w:szCs w:val="21"/>
          <w:highlight w:val="none"/>
          <w14:textFill>
            <w14:solidFill>
              <w14:schemeClr w14:val="tx1"/>
            </w14:solidFill>
          </w14:textFill>
        </w:rPr>
      </w:pPr>
      <w:r/>
      <w:bookmarkStart w:id="15" w:name="_Toc28359084"/>
      <w:r/>
      <w:bookmarkStart w:id="16" w:name="_Toc28359007"/>
      <w:r/>
      <w:bookmarkStart w:id="17" w:name="_Toc35393625"/>
      <w:r/>
      <w:bookmarkStart w:id="18" w:name="_Toc35393794"/>
      <w:r>
        <w:rPr>
          <w:rFonts w:hint="eastAsia" w:ascii="宋体" w:hAnsi="宋体" w:cs="宋体"/>
          <w:color w:val="000000" w:themeColor="text1"/>
          <w:szCs w:val="21"/>
          <w:highlight w:val="none"/>
          <w14:textFill>
            <w14:solidFill>
              <w14:schemeClr w14:val="tx1"/>
            </w14:solidFill>
          </w14:textFill>
        </w:rPr>
        <w:t xml:space="preserve">五、公告期限</w:t>
      </w:r>
      <w:bookmarkEnd w:id="15"/>
      <w:r/>
      <w:bookmarkEnd w:id="16"/>
      <w:r/>
      <w:bookmarkEnd w:id="17"/>
      <w:r/>
      <w:bookmarkEnd w:id="1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jc w:val="left"/>
        <w:spacing w:line="360" w:lineRule="auto"/>
        <w:rPr>
          <w:rFonts w:ascii="宋体" w:hAnsi="宋体" w:cs="宋体"/>
          <w:color w:val="000000" w:themeColor="text1"/>
          <w:szCs w:val="21"/>
          <w:highlight w:val="none"/>
          <w14:textFill>
            <w14:solidFill>
              <w14:schemeClr w14:val="tx1"/>
            </w14:solidFill>
          </w14:textFill>
        </w:rPr>
      </w:pPr>
      <w:r/>
      <w:bookmarkStart w:id="19" w:name="_Toc35393626"/>
      <w:r/>
      <w:bookmarkStart w:id="20" w:name="_Toc35393795"/>
      <w:r>
        <w:rPr>
          <w:rFonts w:hint="eastAsia" w:ascii="宋体" w:hAnsi="宋体" w:cs="宋体"/>
          <w:color w:val="000000" w:themeColor="text1"/>
          <w:szCs w:val="21"/>
          <w:highlight w:val="none"/>
          <w14:textFill>
            <w14:solidFill>
              <w14:schemeClr w14:val="tx1"/>
            </w14:solidFill>
          </w14:textFill>
        </w:rPr>
        <w:t xml:space="preserve">六、其他补充事宜</w:t>
      </w:r>
      <w:bookmarkEnd w:id="19"/>
      <w:r/>
      <w:bookmarkEnd w:id="20"/>
      <w:r/>
      <w:r/>
    </w:p>
    <w:p>
      <w:pPr>
        <w:ind w:firstLine="420"/>
        <w:jc w:val="left"/>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本项目</w:t>
      </w:r>
      <w:r>
        <w:rPr>
          <w:rFonts w:hint="eastAsia" w:ascii="宋体" w:hAnsi="宋体"/>
          <w:color w:val="000000" w:themeColor="text1"/>
          <w:szCs w:val="21"/>
          <w:highlight w:val="none"/>
          <w14:textFill>
            <w14:solidFill>
              <w14:schemeClr w14:val="tx1"/>
            </w14:solidFill>
          </w14:textFill>
        </w:rPr>
        <w:t xml:space="preserve">是否专门面向中小企业：否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本项目采购标的所属行业为：</w:t>
      </w:r>
      <w:r>
        <w:rPr>
          <w:rFonts w:hint="eastAsia" w:ascii="宋体" w:hAnsi="宋体" w:cs="宋体"/>
          <w:color w:val="000000" w:themeColor="text1"/>
          <w:szCs w:val="21"/>
          <w:highlight w:val="none"/>
          <w14:textFill>
            <w14:solidFill>
              <w14:schemeClr w14:val="tx1"/>
            </w14:solidFill>
          </w14:textFill>
        </w:rPr>
        <w:t xml:space="preserve">根据《关于印发中小企业划型标准规定的通知》(工信部联企业(2011)300 号)及《国家统计局关于印发(统计上大中小微型企业划分办法(2017)〉的通知》(国统字(2017〕213 号)等文件规定，本项目所属行业为“工业”。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集中勘察或答疑：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w:t>
      </w:r>
      <w:bookmarkStart w:id="21" w:name="_Toc28359008"/>
      <w:r/>
      <w:bookmarkStart w:id="22" w:name="_Toc35393627"/>
      <w:r/>
      <w:bookmarkStart w:id="23" w:name="_Toc35393796"/>
      <w:r/>
      <w:bookmarkStart w:id="24" w:name="_Toc28359085"/>
      <w:r>
        <w:rPr>
          <w:rFonts w:hint="eastAsia" w:ascii="宋体" w:hAnsi="宋体" w:cs="宋体"/>
          <w:color w:val="000000" w:themeColor="text1"/>
          <w:szCs w:val="21"/>
          <w:highlight w:val="none"/>
          <w14:textFill>
            <w14:solidFill>
              <w14:schemeClr w14:val="tx1"/>
            </w14:solidFill>
          </w14:textFill>
        </w:rPr>
        <w:t xml:space="preserve">公告媒体</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（1）本公告在江苏政府采购网（http：//www.ccgp-jiangsu.gov.cn/）公示发布，敬请各投标人关注；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（2）若有关本次采购存在变动或修改，敬请各投标人及时关注江苏政府采购网（http：//www.ccgp-jiangsu.gov.cn/）发布的关于本项目的信息更正公告。</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.采购项目需要落实的政府采购政策：</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（1）政府采购促进中小企业发展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（2）政府采购支持监狱企业发展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（3）政府采购促进残疾人就业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（4）政府采购鼓励采购节能环保产品</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http://www.ccgp-jiangsu.gov.cn/jiangsu/zlxz/ee/ee3a4bc5a3454aa2b0d9312230633ce9.html</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7.潜在供应商访问电子招标响应交易平台的网络地址和方法：</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（2）潜在供应商访问“苏采云”系统的网络地址和方法：“苏采云”系统的网址：http://jszfcg.jsczt.cn/。</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（3）“CA数字证书”的获取：</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（4）采购文件（后缀名为“.kedt”）、供应商操作手册及政府采购客户端工具可通过“苏采云”系统--已报名项目--报名详情页面内相应链接进行下载。</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（5）招标代理机构（采购代理机构）将数据电文形式的采购文件加载至“苏采云”系统，供潜在供应商下载或者查阅。</w:t>
      </w:r>
      <w:r/>
    </w:p>
    <w:p>
      <w:pPr>
        <w:ind w:firstLine="420"/>
        <w:jc w:val="left"/>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（6）请潜在投标单位提前安装相应的控件（详见《江苏省政府采购管理交易系统（苏采云）供应商操作手册》）并使用谷歌浏览器登录“苏采云”系统参与不见面开评标。</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七、对本次招标提出询问，请按以下方式联系。</w:t>
      </w:r>
      <w:bookmarkEnd w:id="21"/>
      <w:r/>
      <w:bookmarkEnd w:id="22"/>
      <w:r/>
      <w:bookmarkEnd w:id="23"/>
      <w:r/>
      <w:bookmarkEnd w:id="24"/>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25" w:name="_Toc28359086"/>
      <w:r/>
      <w:bookmarkStart w:id="26" w:name="_Toc28359009"/>
      <w:r>
        <w:rPr>
          <w:rFonts w:hint="eastAsia" w:ascii="宋体" w:hAnsi="宋体" w:cs="宋体"/>
          <w:color w:val="000000" w:themeColor="text1"/>
          <w:szCs w:val="21"/>
          <w:highlight w:val="none"/>
          <w:lang w:val="en-US" w:eastAsia="zh-CN"/>
          <w14:textFill>
            <w14:solidFill>
              <w14:schemeClr w14:val="tx1"/>
            </w14:solidFill>
          </w14:textFill>
        </w:rPr>
        <w:t xml:space="preserve">单位</w:t>
      </w:r>
      <w:r>
        <w:rPr>
          <w:rFonts w:hint="eastAsia" w:ascii="宋体" w:hAnsi="宋体" w:cs="宋体"/>
          <w:color w:val="000000" w:themeColor="text1"/>
          <w:szCs w:val="21"/>
          <w:highlight w:val="none"/>
          <w14:textFill>
            <w14:solidFill>
              <w14:schemeClr w14:val="tx1"/>
            </w14:solidFill>
          </w14:textFill>
        </w:rPr>
        <w:t xml:space="preserve">名称：南京医科大学</w:t>
      </w:r>
      <w:r/>
    </w:p>
    <w:p>
      <w:pPr>
        <w:ind w:firstLine="452"/>
        <w:jc w:val="left"/>
        <w:spacing w:line="360" w:lineRule="auto"/>
        <w:rPr>
          <w:rFonts w:ascii="宋体" w:hAnsi="宋体" w:cs="宋体"/>
          <w:color w:val="000000" w:themeColor="text1"/>
          <w:spacing w:val="8"/>
          <w:szCs w:val="21"/>
          <w:highlight w:val="none"/>
          <w14:textFill>
            <w14:solidFill>
              <w14:schemeClr w14:val="tx1"/>
            </w14:solidFill>
          </w14:textFill>
        </w:rPr>
      </w:pPr>
      <w:r>
        <w:rPr>
          <w:rFonts w:hint="eastAsia" w:ascii="宋体" w:hAnsi="宋体" w:cs="宋体"/>
          <w:color w:val="000000" w:themeColor="text1"/>
          <w:spacing w:val="8"/>
          <w:szCs w:val="21"/>
          <w:highlight w:val="none"/>
          <w:lang w:val="en-US" w:eastAsia="zh-CN"/>
          <w14:textFill>
            <w14:solidFill>
              <w14:schemeClr w14:val="tx1"/>
            </w14:solidFill>
          </w14:textFill>
        </w:rPr>
        <w:t xml:space="preserve">单位</w:t>
      </w:r>
      <w:r>
        <w:rPr>
          <w:rFonts w:hint="eastAsia" w:ascii="宋体" w:hAnsi="宋体" w:cs="宋体"/>
          <w:color w:val="000000" w:themeColor="text1"/>
          <w:spacing w:val="8"/>
          <w:szCs w:val="21"/>
          <w:highlight w:val="none"/>
          <w14:textFill>
            <w14:solidFill>
              <w14:schemeClr w14:val="tx1"/>
            </w14:solidFill>
          </w14:textFill>
        </w:rPr>
        <w:t xml:space="preserve">地址：</w:t>
      </w:r>
      <w:r>
        <w:rPr>
          <w:rFonts w:hint="eastAsia" w:ascii="宋体" w:hAnsi="宋体" w:cs="宋体"/>
          <w:color w:val="000000" w:themeColor="text1"/>
          <w:spacing w:val="8"/>
          <w:szCs w:val="21"/>
          <w:highlight w:val="none"/>
          <w:shd w:val="clear" w:color="auto" w:fill="ffffff"/>
          <w14:textFill>
            <w14:solidFill>
              <w14:schemeClr w14:val="tx1"/>
            </w14:solidFill>
          </w14:textFill>
        </w:rPr>
        <w:t xml:space="preserve">南京市江宁区龙眠大道101号</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联系人：马老师</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联系电话：025-86868572</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bookmarkEnd w:id="25"/>
      <w:r/>
      <w:bookmarkEnd w:id="26"/>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单位</w:t>
      </w:r>
      <w:r>
        <w:rPr>
          <w:rFonts w:hint="eastAsia" w:ascii="宋体" w:hAnsi="宋体" w:cs="宋体"/>
          <w:color w:val="000000" w:themeColor="text1"/>
          <w:szCs w:val="21"/>
          <w:highlight w:val="none"/>
          <w14:textFill>
            <w14:solidFill>
              <w14:schemeClr w14:val="tx1"/>
            </w14:solidFill>
          </w14:textFill>
        </w:rPr>
        <w:t xml:space="preserve">名称：</w:t>
      </w:r>
      <w:bookmarkStart w:id="27" w:name="OLE_LINK1"/>
      <w:r>
        <w:rPr>
          <w:rFonts w:hint="eastAsia" w:ascii="宋体" w:hAnsi="宋体" w:cs="宋体"/>
          <w:color w:val="000000" w:themeColor="text1"/>
          <w:szCs w:val="21"/>
          <w:highlight w:val="none"/>
          <w14:textFill>
            <w14:solidFill>
              <w14:schemeClr w14:val="tx1"/>
            </w14:solidFill>
          </w14:textFill>
        </w:rPr>
        <w:t xml:space="preserve">南京苏宁工程咨询有限公司</w:t>
      </w:r>
      <w:bookmarkEnd w:id="27"/>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单位</w:t>
      </w:r>
      <w:r>
        <w:rPr>
          <w:rFonts w:hint="eastAsia" w:ascii="宋体" w:hAnsi="宋体" w:cs="宋体"/>
          <w:color w:val="000000" w:themeColor="text1"/>
          <w:szCs w:val="21"/>
          <w:highlight w:val="none"/>
          <w14:textFill>
            <w14:solidFill>
              <w14:schemeClr w14:val="tx1"/>
            </w14:solidFill>
          </w14:textFill>
        </w:rPr>
        <w:t xml:space="preserve">地址：南京市鼓楼区中山路99号12楼1212室</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bookmarkStart w:id="28" w:name="_Toc28359010"/>
      <w:r/>
      <w:bookmarkStart w:id="29" w:name="_Toc28359087"/>
      <w:r>
        <w:rPr>
          <w:rFonts w:hint="eastAsia" w:ascii="宋体" w:hAnsi="宋体" w:cs="宋体"/>
          <w:color w:val="000000" w:themeColor="text1"/>
          <w:szCs w:val="21"/>
          <w:highlight w:val="none"/>
          <w14:textFill>
            <w14:solidFill>
              <w14:schemeClr w14:val="tx1"/>
            </w14:solidFill>
          </w14:textFill>
        </w:rPr>
        <w:t xml:space="preserve">李</w:t>
      </w:r>
      <w:r>
        <w:rPr>
          <w:rFonts w:hint="eastAsia" w:ascii="宋体" w:hAnsi="宋体" w:cs="宋体"/>
          <w:color w:val="000000" w:themeColor="text1"/>
          <w:szCs w:val="21"/>
          <w:highlight w:val="none"/>
          <w:lang w:val="en-US" w:eastAsia="zh-CN"/>
          <w14:textFill>
            <w14:solidFill>
              <w14:schemeClr w14:val="tx1"/>
            </w14:solidFill>
          </w14:textFill>
        </w:rPr>
        <w:t xml:space="preserve">佳蓉</w:t>
      </w:r>
      <w:r>
        <w:rPr>
          <w:rFonts w:hint="eastAsia" w:ascii="宋体" w:hAnsi="宋体" w:cs="宋体"/>
          <w:color w:val="000000" w:themeColor="text1"/>
          <w:szCs w:val="21"/>
          <w:highlight w:val="none"/>
          <w14:textFill>
            <w14:solidFill>
              <w14:schemeClr w14:val="tx1"/>
            </w14:solidFill>
          </w14:textFill>
        </w:rPr>
        <w:t xml:space="preserve">025-84200809</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项目联系方式</w:t>
      </w:r>
      <w:bookmarkEnd w:id="28"/>
      <w:r/>
      <w:bookmarkEnd w:id="2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项目联系人：李</w:t>
      </w:r>
      <w:r>
        <w:rPr>
          <w:rFonts w:hint="eastAsia" w:ascii="宋体" w:hAnsi="宋体" w:cs="宋体"/>
          <w:color w:val="000000" w:themeColor="text1"/>
          <w:szCs w:val="21"/>
          <w:highlight w:val="none"/>
          <w:lang w:val="en-US" w:eastAsia="zh-CN"/>
          <w14:textFill>
            <w14:solidFill>
              <w14:schemeClr w14:val="tx1"/>
            </w14:solidFill>
          </w14:textFill>
        </w:rPr>
        <w:t xml:space="preserve">佳蓉</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联系</w:t>
      </w:r>
      <w:r>
        <w:rPr>
          <w:rFonts w:hint="eastAsia" w:ascii="宋体" w:hAnsi="宋体" w:cs="宋体"/>
          <w:color w:val="000000" w:themeColor="text1"/>
          <w:szCs w:val="21"/>
          <w:highlight w:val="none"/>
          <w14:textFill>
            <w14:solidFill>
              <w14:schemeClr w14:val="tx1"/>
            </w14:solidFill>
          </w14:textFill>
        </w:rPr>
        <w:t xml:space="preserve">电话：025-84200809</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22"/>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请贵单位领取本次采购文件后，认真阅读各项内容，进行必要的投标准备，按文件的要求详细填写和编制响应文件，并按以上确定的时间、地点准时参加投标。</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sectPr>
          <w:footnotePr/>
          <w:endnotePr>
            <w:numFmt w:val="decimal"/>
          </w:endnotePr>
          <w:type w:val="nextPage"/>
          <w:pgSz w:w="11906" w:h="16838" w:orient="portrait"/>
          <w:pgMar w:top="850" w:right="850" w:bottom="850" w:left="1417" w:header="227" w:footer="720" w:gutter="0"/>
          <w:rtlGutter/>
          <w:cols w:num="1" w:sep="0" w:space="720" w:equalWidth="1"/>
          <w:docGrid w:linePitch="360"/>
        </w:sect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第二章供应商须知</w:t>
      </w:r>
      <w:r/>
    </w:p>
    <w:p>
      <w:pPr>
        <w:ind w:firstLine="422"/>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一、总则</w:t>
      </w:r>
      <w:r/>
    </w:p>
    <w:p>
      <w:pPr>
        <w:ind w:firstLine="420"/>
        <w:jc w:val="left"/>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1、适用法律</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22"/>
        <w:jc w:val="left"/>
        <w:rPr>
          <w:rFonts w:ascii="宋体" w:hAnsi="宋体" w:cs="宋体"/>
          <w:b/>
          <w:color w:val="000000" w:themeColor="text1"/>
          <w:szCs w:val="21"/>
          <w:highlight w:val="none"/>
          <w:lang w:val="zh-CN"/>
          <w14:textFill>
            <w14:solidFill>
              <w14:schemeClr w14:val="tx1"/>
            </w14:solidFill>
          </w14:textFill>
        </w:rPr>
        <w:outlineLvl w:val="0"/>
      </w:pPr>
      <w:r>
        <w:rPr>
          <w:rFonts w:hint="eastAsia" w:ascii="宋体" w:hAnsi="宋体" w:cs="宋体"/>
          <w:b/>
          <w:color w:val="000000" w:themeColor="text1"/>
          <w:szCs w:val="21"/>
          <w:highlight w:val="none"/>
          <w:lang w:val="zh-CN"/>
          <w14:textFill>
            <w14:solidFill>
              <w14:schemeClr w14:val="tx1"/>
            </w14:solidFill>
          </w14:textFill>
        </w:rPr>
        <w:t xml:space="preserve">2、定义</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 “</w:t>
      </w:r>
      <w:r>
        <w:rPr>
          <w:rFonts w:hint="eastAsia" w:ascii="宋体" w:hAnsi="宋体" w:cs="宋体"/>
          <w:bCs/>
          <w:color w:val="000000" w:themeColor="text1"/>
          <w:szCs w:val="21"/>
          <w:highlight w:val="none"/>
          <w:lang w:val="zh-CN"/>
          <w14:textFill>
            <w14:solidFill>
              <w14:schemeClr w14:val="tx1"/>
            </w14:solidFill>
          </w14:textFill>
        </w:rPr>
        <w:t xml:space="preserve">供应商”</w:t>
      </w:r>
      <w:r>
        <w:rPr>
          <w:rFonts w:hint="eastAsia" w:ascii="宋体" w:hAnsi="宋体" w:cs="宋体"/>
          <w:bCs/>
          <w:color w:val="000000" w:themeColor="text1"/>
          <w:highlight w:val="none"/>
          <w14:textFill>
            <w14:solidFill>
              <w14:schemeClr w14:val="tx1"/>
            </w14:solidFill>
          </w14:textFill>
        </w:rPr>
        <w:t xml:space="preserve">是指参加投标竞争，并符合招标文件规定资格条件的法人、其他组织或者自然人。</w:t>
      </w:r>
      <w:r/>
    </w:p>
    <w:p>
      <w:pPr>
        <w:ind w:firstLine="420"/>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2.2 “产品”指本招标文件中所述产品</w:t>
      </w:r>
      <w:r>
        <w:rPr>
          <w:rFonts w:hint="eastAsia" w:ascii="宋体" w:hAnsi="宋体" w:cs="宋体"/>
          <w:color w:val="000000" w:themeColor="text1"/>
          <w:szCs w:val="21"/>
          <w:highlight w:val="none"/>
          <w:lang w:val="zh-CN"/>
          <w14:textFill>
            <w14:solidFill>
              <w14:schemeClr w14:val="tx1"/>
            </w14:solidFill>
          </w14:textFill>
        </w:rPr>
        <w:t xml:space="preserve">及相关服务。</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 “用户或使用单位”是指使用服务的单位。</w:t>
      </w:r>
      <w:r/>
    </w:p>
    <w:p>
      <w:pPr>
        <w:ind w:firstLine="422"/>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3、政策功能</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3.1中小供应商政策</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（2）政府采购支持监狱和戒毒供应商发展政策，监狱和戒毒供应商提供的产品和服务在评标时将获得优势，参加投标的监狱和戒毒供应商，应当 提供由省级以上监狱管理局、戒毒管理局（含新疆生产建设兵团）出具的属于监狱供应商的证明文件，监狱和戒毒供应商享受政府采购支持政 策的要求详见财库〔2014〕68号。</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（5）提供的产品属于信息安全产品的，供应商应当选择经国家认证的信息安全产品投标，并提供由中国信息安全认证中心按国家标准认证颁发的有效认证证书复印件。</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（6）提供的产品属于政府强制采购节能产品的，供应商应当选择经过认证的节能产品投标，并提供有效的节能产品认证证书复印件。</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（7）提供的产品属于环境标志产品的,供应商应当选择经过认证的环境标志产品投标,并提供有效的环境标志产品认证证书复印件。</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3.2政府采购中实施本国产品标准及相关政策</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lang w:val="zh-CN"/>
          <w14:textFill>
            <w14:solidFill>
              <w14:schemeClr w14:val="tx1"/>
            </w14:solidFill>
          </w14:textFill>
        </w:rPr>
        <w:t xml:space="preserve">）本项目对采购本国产品给予政策支持，具体内容见招标文件</w:t>
      </w:r>
      <w:r>
        <w:rPr>
          <w:rFonts w:hint="eastAsia" w:ascii="宋体" w:hAnsi="宋体" w:cs="宋体"/>
          <w:bCs/>
          <w:color w:val="000000" w:themeColor="text1"/>
          <w:szCs w:val="21"/>
          <w:highlight w:val="none"/>
          <w:lang w:val="en-US" w:eastAsia="zh-CN"/>
          <w14:textFill>
            <w14:solidFill>
              <w14:schemeClr w14:val="tx1"/>
            </w14:solidFill>
          </w14:textFill>
        </w:rPr>
        <w:t xml:space="preserve">第三章</w:t>
      </w:r>
      <w:r>
        <w:rPr>
          <w:rFonts w:hint="eastAsia" w:ascii="宋体" w:hAnsi="宋体" w:cs="宋体"/>
          <w:bCs/>
          <w:color w:val="000000" w:themeColor="text1"/>
          <w:szCs w:val="21"/>
          <w:highlight w:val="none"/>
          <w:lang w:val="zh-CN"/>
          <w14:textFill>
            <w14:solidFill>
              <w14:schemeClr w14:val="tx1"/>
            </w14:solidFill>
          </w14:textFill>
        </w:rPr>
        <w:t xml:space="preserve">。</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lang w:val="zh-CN"/>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lang w:val="zh-CN"/>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3.3</w:t>
      </w:r>
      <w:r>
        <w:rPr>
          <w:rFonts w:hint="eastAsia" w:ascii="宋体" w:hAnsi="宋体" w:cs="宋体"/>
          <w:bCs/>
          <w:color w:val="000000" w:themeColor="text1"/>
          <w:szCs w:val="21"/>
          <w:highlight w:val="none"/>
          <w:lang w:val="zh-CN"/>
          <w14:textFill>
            <w14:solidFill>
              <w14:schemeClr w14:val="tx1"/>
            </w14:solidFill>
          </w14:textFill>
        </w:rPr>
        <w:t xml:space="preserve">未按要求提供相关材料的，不享受相关政策。</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 进口产品政策</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（1）除招标公告载明接受进口产品参加外，不允许进口产品参加。进口产品认定依照《财政部关于政府采购进口产品管理有关问题的通知》（财办库〔2008〕248号）的规定。</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（2）允许进口产品参加的，满足需求的国内产品可以参加。</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（3）允许进口产品参加的，优先采购向我国企业转让技术、与我国企业签订消化吸收再创新方案的投标人的进口产品。</w:t>
      </w:r>
      <w:r/>
    </w:p>
    <w:p>
      <w:pPr>
        <w:ind w:firstLine="413"/>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二、招标文件</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4、招标文件组成</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4.2 招标的最小单位是包。招标服务数量及技术要求中未分包的，供应商对要求提供的服务不得部分投标；招标服务数量及技术要求中已经分包的，应当以包为单位投标。</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4.3 招标文件如果要求供应商提交备选投标方案的，供应商可以提交备选方案；否则，备选方案将被拒绝。</w:t>
      </w:r>
      <w:r/>
    </w:p>
    <w:p>
      <w:pPr>
        <w:ind w:firstLine="420"/>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5、招标文件的澄清、修改</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5.1 招标代理对已发出的招标文件进行必要澄清或者修改的，将在招标文件要求提交投标文件截止时间</w:t>
      </w:r>
      <w:r>
        <w:rPr>
          <w:rFonts w:hint="eastAsia" w:ascii="宋体" w:hAnsi="宋体" w:cs="宋体"/>
          <w:b/>
          <w:bCs/>
          <w:iCs/>
          <w:color w:val="000000" w:themeColor="text1"/>
          <w:szCs w:val="21"/>
          <w:highlight w:val="none"/>
          <w:u w:val="single"/>
          <w:lang w:val="zh-CN"/>
          <w14:textFill>
            <w14:solidFill>
              <w14:schemeClr w14:val="tx1"/>
            </w14:solidFill>
          </w14:textFill>
        </w:rPr>
        <w:t xml:space="preserve">十五日</w:t>
      </w:r>
      <w:r>
        <w:rPr>
          <w:rFonts w:hint="eastAsia" w:ascii="宋体" w:hAnsi="宋体" w:cs="宋体"/>
          <w:color w:val="000000" w:themeColor="text1"/>
          <w:szCs w:val="21"/>
          <w:highlight w:val="none"/>
          <w:lang w:val="zh-CN"/>
          <w14:textFill>
            <w14:solidFill>
              <w14:schemeClr w14:val="tx1"/>
            </w14:solidFill>
          </w14:textFill>
        </w:rPr>
        <w:t xml:space="preserve">前，在原招标公告媒体发布更正公告，该澄清或者修改的内容为招标文件的组成部分。</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5.2 招标代理在招标文件要求提交投标文件截止时间前，有权决定延长投标截止时间和开标时间，并</w:t>
      </w:r>
      <w:r>
        <w:rPr>
          <w:rFonts w:hint="eastAsia" w:ascii="宋体" w:hAnsi="宋体" w:cs="宋体"/>
          <w:color w:val="000000" w:themeColor="text1"/>
          <w:highlight w:val="none"/>
          <w14:textFill>
            <w14:solidFill>
              <w14:schemeClr w14:val="tx1"/>
            </w14:solidFill>
          </w14:textFill>
        </w:rPr>
        <w:t xml:space="preserve">在原采购信息发布媒体上发布变更公告。</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.3 供应商应在投标截止时间前关注</w:t>
      </w:r>
      <w:r>
        <w:rPr>
          <w:rFonts w:hint="eastAsia" w:ascii="宋体" w:hAnsi="宋体" w:cs="宋体"/>
          <w:color w:val="000000" w:themeColor="text1"/>
          <w:highlight w:val="none"/>
          <w14:textFill>
            <w14:solidFill>
              <w14:schemeClr w14:val="tx1"/>
            </w14:solidFill>
          </w14:textFill>
        </w:rPr>
        <w:t xml:space="preserve">原采购信息发布媒体上</w:t>
      </w:r>
      <w:r>
        <w:rPr>
          <w:rFonts w:hint="eastAsia" w:ascii="宋体" w:hAnsi="宋体" w:cs="宋体"/>
          <w:color w:val="000000" w:themeColor="text1"/>
          <w:szCs w:val="21"/>
          <w:highlight w:val="none"/>
          <w:lang w:val="zh-CN"/>
          <w14:textFill>
            <w14:solidFill>
              <w14:schemeClr w14:val="tx1"/>
            </w14:solidFill>
          </w14:textFill>
        </w:rPr>
        <w:t xml:space="preserve">有关本招标项目有无变更公告。</w:t>
      </w:r>
      <w:r>
        <w:rPr>
          <w:rFonts w:hint="eastAsia" w:ascii="宋体" w:hAnsi="宋体"/>
          <w:bCs/>
          <w:color w:val="000000" w:themeColor="text1"/>
          <w:sz w:val="21"/>
          <w:szCs w:val="21"/>
          <w:highlight w:val="none"/>
          <w14:textFill>
            <w14:solidFill>
              <w14:schemeClr w14:val="tx1"/>
            </w14:solidFill>
          </w14:textFill>
        </w:rPr>
        <w:t xml:space="preserve">根据更正公告内容自行决定是否需要重新制作和提交投标文件，并承担由此产生的相应责任。</w:t>
      </w:r>
      <w:r/>
    </w:p>
    <w:p>
      <w:pPr>
        <w:ind w:firstLine="420"/>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三、投标</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6、投标文件的语言、计量单位、货币和编制</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6.1 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6.2 供应商所使用的计量单位应为国家法定计量单位。</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6.3 供应商应用人民币报价。投标产品如果是进口产品的，应提供人民币与外币之间的汇率。</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6.4 </w:t>
      </w:r>
      <w:r>
        <w:rPr>
          <w:rFonts w:hint="eastAsia" w:ascii="宋体" w:hAnsi="宋体"/>
          <w:bCs/>
          <w:color w:val="000000" w:themeColor="text1"/>
          <w:sz w:val="21"/>
          <w:szCs w:val="21"/>
          <w:highlight w:val="none"/>
          <w14:textFill>
            <w14:solidFill>
              <w14:schemeClr w14:val="tx1"/>
            </w14:solidFill>
          </w14:textFill>
        </w:rPr>
        <w:t xml:space="preserve">如标书制作工具中格式和内容与“江苏政府采购网”发布的招标文件不一致，以“江苏政府采购网”发布的招标文件为准。</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6.5 供应商应在投标文件中写清相应的项目编号、项目名称、供应商全称、地址、电话、传真等。</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6.6 供应商所使用的技术标准应遵循国家最新标准及规范。</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w:t>
      </w:r>
      <w:r>
        <w:rPr>
          <w:rFonts w:hint="eastAsia" w:ascii="宋体" w:hAnsi="宋体" w:cs="宋体"/>
          <w:b/>
          <w:bCs/>
          <w:color w:val="000000" w:themeColor="text1"/>
          <w:szCs w:val="21"/>
          <w:highlight w:val="none"/>
          <w:lang w:val="zh-CN"/>
          <w14:textFill>
            <w14:solidFill>
              <w14:schemeClr w14:val="tx1"/>
            </w14:solidFill>
          </w14:textFill>
        </w:rPr>
        <w:t xml:space="preserve">、联合投标</w:t>
      </w:r>
      <w:r/>
    </w:p>
    <w:p>
      <w:pPr>
        <w:ind w:firstLine="420"/>
        <w:rPr>
          <w:rFonts w:ascii="宋体" w:hAnsi="宋体" w:cs="宋体"/>
          <w:bCs/>
          <w:color w:val="000000" w:themeColor="text1"/>
          <w:szCs w:val="21"/>
          <w:highlight w:val="none"/>
          <w14:textFill>
            <w14:solidFill>
              <w14:schemeClr w14:val="tx1"/>
            </w14:solidFill>
          </w14:textFill>
        </w:rPr>
        <w:outlineLvl w:val="0"/>
      </w:pPr>
      <w:r>
        <w:rPr>
          <w:rFonts w:hint="eastAsia" w:ascii="宋体" w:hAnsi="宋体" w:cs="宋体"/>
          <w:bCs/>
          <w:color w:val="000000" w:themeColor="text1"/>
          <w:szCs w:val="21"/>
          <w:highlight w:val="none"/>
          <w14:textFill>
            <w14:solidFill>
              <w14:schemeClr w14:val="tx1"/>
            </w14:solidFill>
          </w14:textFill>
        </w:rPr>
        <w:t xml:space="preserve">本次招标不接受联合体投标。</w:t>
      </w:r>
      <w:r/>
    </w:p>
    <w:p>
      <w:pPr>
        <w:ind w:firstLine="420"/>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8、投标费用</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8.1 供应商应自行承担所有与准备和参加投标有关的费用。</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8.2</w:t>
      </w:r>
      <w:r>
        <w:rPr>
          <w:rFonts w:hint="eastAsia"/>
          <w:color w:val="000000" w:themeColor="text1"/>
          <w:highlight w:val="none"/>
          <w14:textFill>
            <w14:solidFill>
              <w14:schemeClr w14:val="tx1"/>
            </w14:solidFill>
          </w14:textFill>
        </w:rPr>
        <w:t xml:space="preserve"> 本次招标，中标人按《招标代理服务费管理暂行办法》（国家发展计划委员会计价格【2002】1980 号）代理服务招标收费标准的</w:t>
      </w:r>
      <w:r>
        <w:rPr>
          <w:rFonts w:hint="eastAsia"/>
          <w:color w:val="000000" w:themeColor="text1"/>
          <w:highlight w:val="none"/>
          <w:lang w:val="en-US" w:eastAsia="zh-CN"/>
          <w14:textFill>
            <w14:solidFill>
              <w14:schemeClr w14:val="tx1"/>
            </w14:solidFill>
          </w14:textFill>
        </w:rPr>
        <w:t xml:space="preserve">48</w:t>
      </w:r>
      <w:r>
        <w:rPr>
          <w:rFonts w:hint="eastAsia"/>
          <w:color w:val="000000" w:themeColor="text1"/>
          <w:highlight w:val="none"/>
          <w14:textFill>
            <w14:solidFill>
              <w14:schemeClr w14:val="tx1"/>
            </w14:solidFill>
          </w14:textFill>
        </w:rPr>
        <w:t xml:space="preserve">%计算，超过</w:t>
      </w:r>
      <w:r>
        <w:rPr>
          <w:rFonts w:hint="eastAsia"/>
          <w:color w:val="000000" w:themeColor="text1"/>
          <w:highlight w:val="none"/>
          <w:lang w:val="en-US" w:eastAsia="zh-CN"/>
          <w14:textFill>
            <w14:solidFill>
              <w14:schemeClr w14:val="tx1"/>
            </w14:solidFill>
          </w14:textFill>
        </w:rPr>
        <w:t xml:space="preserve">18000</w:t>
      </w:r>
      <w:r>
        <w:rPr>
          <w:rFonts w:hint="eastAsia"/>
          <w:color w:val="000000" w:themeColor="text1"/>
          <w:highlight w:val="none"/>
          <w14:textFill>
            <w14:solidFill>
              <w14:schemeClr w14:val="tx1"/>
            </w14:solidFill>
          </w14:textFill>
        </w:rPr>
        <w:t xml:space="preserve">元的按固定金额人民币</w:t>
      </w:r>
      <w:r>
        <w:rPr>
          <w:rFonts w:hint="eastAsia"/>
          <w:color w:val="000000" w:themeColor="text1"/>
          <w:highlight w:val="none"/>
          <w:lang w:val="en-US" w:eastAsia="zh-CN"/>
          <w14:textFill>
            <w14:solidFill>
              <w14:schemeClr w14:val="tx1"/>
            </w14:solidFill>
          </w14:textFill>
        </w:rPr>
        <w:t xml:space="preserve">18000</w:t>
      </w:r>
      <w:r>
        <w:rPr>
          <w:rFonts w:hint="eastAsia"/>
          <w:color w:val="000000" w:themeColor="text1"/>
          <w:highlight w:val="none"/>
          <w14:textFill>
            <w14:solidFill>
              <w14:schemeClr w14:val="tx1"/>
            </w14:solidFill>
          </w14:textFill>
        </w:rPr>
        <w:t xml:space="preserve">元计算，在领取中标通知书前向采购代理机构支付招标服务费。该项费用请投标人综合考虑在投标报价中，后期采购人不单独列支，必须在领取中标通知书前向招标代理机构支付招标服务费。</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9、投标文件组成</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9.1 </w:t>
      </w:r>
      <w:r>
        <w:rPr>
          <w:rFonts w:hint="eastAsia" w:ascii="宋体" w:hAnsi="宋体" w:cs="宋体"/>
          <w:color w:val="000000" w:themeColor="text1"/>
          <w:szCs w:val="21"/>
          <w:highlight w:val="none"/>
          <w14:textFill>
            <w14:solidFill>
              <w14:schemeClr w14:val="tx1"/>
            </w14:solidFill>
          </w14:textFill>
        </w:rPr>
        <w:t xml:space="preserve">供应商应当根据招标文件要求编制投标文件，投标文件应对招标文件提出的要求和条件作出实质性响应，并在</w:t>
      </w:r>
      <w:r>
        <w:rPr>
          <w:rFonts w:hint="eastAsia" w:ascii="宋体" w:hAnsi="宋体" w:cs="宋体"/>
          <w:color w:val="000000" w:themeColor="text1"/>
          <w:szCs w:val="21"/>
          <w:highlight w:val="none"/>
          <w:lang w:val="zh-CN"/>
          <w14:textFill>
            <w14:solidFill>
              <w14:schemeClr w14:val="tx1"/>
            </w14:solidFill>
          </w14:textFill>
        </w:rPr>
        <w:t xml:space="preserve">《商务条款偏离表》和《技术条款偏离表》等处</w:t>
      </w:r>
      <w:r>
        <w:rPr>
          <w:rFonts w:hint="eastAsia" w:ascii="宋体" w:hAnsi="宋体" w:cs="宋体"/>
          <w:color w:val="000000" w:themeColor="text1"/>
          <w:szCs w:val="21"/>
          <w:highlight w:val="none"/>
          <w14:textFill>
            <w14:solidFill>
              <w14:schemeClr w14:val="tx1"/>
            </w14:solidFill>
          </w14:textFill>
        </w:rPr>
        <w:t xml:space="preserve">逐条标明满足与否。</w:t>
      </w:r>
      <w:r/>
    </w:p>
    <w:p>
      <w:pPr>
        <w:ind w:firstLine="411"/>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9.2 供应商根据招标文件载明的标的采购项目实际情况，拟在中标后将中标项目的非主体、非关键性工作交由他人完成的，应当在投标文件中载明。</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.3 投标文件由商务部分、技术部分、价格部分，以及其他部分组成。</w:t>
      </w:r>
      <w:r/>
    </w:p>
    <w:p>
      <w:pPr>
        <w:ind w:firstLine="422"/>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10、投标文件的商务部分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10.1 商务部分是证明供应商有资格参加投标和中标后有能力履行合同的文件，</w:t>
      </w:r>
      <w:r>
        <w:rPr>
          <w:rFonts w:hint="eastAsia" w:ascii="宋体" w:hAnsi="宋体" w:cs="宋体"/>
          <w:color w:val="000000" w:themeColor="text1"/>
          <w:szCs w:val="21"/>
          <w:highlight w:val="none"/>
          <w14:textFill>
            <w14:solidFill>
              <w14:schemeClr w14:val="tx1"/>
            </w14:solidFill>
          </w14:textFill>
        </w:rPr>
        <w:t xml:space="preserve">这些文件应能满足招标的要求</w:t>
      </w:r>
      <w:r>
        <w:rPr>
          <w:rFonts w:hint="eastAsia" w:ascii="宋体" w:hAnsi="宋体" w:cs="宋体"/>
          <w:color w:val="000000" w:themeColor="text1"/>
          <w:szCs w:val="21"/>
          <w:highlight w:val="none"/>
          <w:lang w:val="zh-CN"/>
          <w14:textFill>
            <w14:solidFill>
              <w14:schemeClr w14:val="tx1"/>
            </w14:solidFill>
          </w14:textFill>
        </w:rPr>
        <w:t xml:space="preserve">，包括但不限于下列文件，其中加</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项目不得有缺失或无效。</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投标函（投标申请及声明）；</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法定代表人授权委托书及委托代理人的身份证复印件；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第一章投标邀请中二、申请人的资格要求：1.《中华人民共和国政府采购法》规定的资格条件证明文件</w:t>
      </w:r>
      <w:r>
        <w:rPr>
          <w:color w:val="000000" w:themeColor="text1"/>
          <w:highlight w:val="none"/>
          <w14:textFill>
            <w14:solidFill>
              <w14:schemeClr w14:val="tx1"/>
            </w14:solidFill>
          </w14:textFill>
        </w:rPr>
        <w:t xml:space="preserve">；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第一章投标邀请中</w:t>
      </w:r>
      <w:r>
        <w:rPr>
          <w:rFonts w:hint="eastAsia" w:ascii="宋体" w:hAnsi="宋体" w:cs="宋体"/>
          <w:color w:val="000000" w:themeColor="text1"/>
          <w:szCs w:val="21"/>
          <w:highlight w:val="none"/>
          <w14:textFill>
            <w14:solidFill>
              <w14:schemeClr w14:val="tx1"/>
            </w14:solidFill>
          </w14:textFill>
        </w:rPr>
        <w:t xml:space="preserve">二、申请人的资格要求：3.本项目的特定资格要求</w:t>
      </w:r>
      <w:r>
        <w:rPr>
          <w:rFonts w:hint="eastAsia" w:ascii="宋体" w:hAnsi="宋体" w:cs="宋体"/>
          <w:color w:val="000000" w:themeColor="text1"/>
          <w:szCs w:val="21"/>
          <w:highlight w:val="none"/>
          <w:lang w:val="zh-CN"/>
          <w14:textFill>
            <w14:solidFill>
              <w14:schemeClr w14:val="tx1"/>
            </w14:solidFill>
          </w14:textFill>
        </w:rPr>
        <w:t xml:space="preserve">证明文件</w:t>
      </w:r>
      <w:r>
        <w:rPr>
          <w:rFonts w:hint="eastAsia"/>
          <w:color w:val="000000" w:themeColor="text1"/>
          <w:highlight w:val="none"/>
          <w14:textFill>
            <w14:solidFill>
              <w14:schemeClr w14:val="tx1"/>
            </w14:solidFill>
          </w14:textFill>
        </w:rPr>
        <w:t xml:space="preserve">（若有）</w:t>
      </w:r>
      <w:r>
        <w:rPr>
          <w:color w:val="000000" w:themeColor="text1"/>
          <w:highlight w:val="none"/>
          <w14:textFill>
            <w14:solidFill>
              <w14:schemeClr w14:val="tx1"/>
            </w14:solidFill>
          </w14:textFill>
        </w:rPr>
        <w:t xml:space="preserve">；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开标一览表；</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）《商务条款偏离表》； </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合同条款</w:t>
      </w:r>
      <w:r/>
    </w:p>
    <w:p>
      <w:pPr>
        <w:ind w:firstLine="42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供应商认为需要提供的其他资格证明文件和商务资料。</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11、投标文件的技术部分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11.1 技术部分是证明</w:t>
      </w:r>
      <w:r>
        <w:rPr>
          <w:rFonts w:hint="eastAsia" w:ascii="宋体" w:hAnsi="宋体" w:cs="宋体"/>
          <w:color w:val="000000" w:themeColor="text1"/>
          <w:szCs w:val="21"/>
          <w:highlight w:val="none"/>
          <w14:textFill>
            <w14:solidFill>
              <w14:schemeClr w14:val="tx1"/>
            </w14:solidFill>
          </w14:textFill>
        </w:rPr>
        <w:t xml:space="preserve">供应商提供的产品和服务是合格的、并符合招标文件要求的证明文件，以及</w:t>
      </w:r>
      <w:r>
        <w:rPr>
          <w:rFonts w:hint="eastAsia" w:ascii="宋体" w:hAnsi="宋体" w:cs="宋体"/>
          <w:color w:val="000000" w:themeColor="text1"/>
          <w:szCs w:val="21"/>
          <w:highlight w:val="none"/>
          <w:lang w:val="zh-CN"/>
          <w14:textFill>
            <w14:solidFill>
              <w14:schemeClr w14:val="tx1"/>
            </w14:solidFill>
          </w14:textFill>
        </w:rPr>
        <w:t xml:space="preserve">对投标报价表中的服务的详细说明，这些文件可以是文字资料、图纸和数据等。</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11.2 若技术性能无特殊说明，则按国家有关部门最新颁布的标准及规范为准；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11.3 提供的服务如与招标文件要求有不符之处，应说明其差别之所在，并在《技术条款偏离表》中逐条予以说明。</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11.4 投标文件应按照招标文件要求提供技术资料、文件和有关证明，包括但不限于其中加</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项目不得有缺失或无效：</w:t>
      </w:r>
      <w:r/>
    </w:p>
    <w:p>
      <w:pPr>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（1）技术说明或服务方案；</w:t>
      </w:r>
      <w:r/>
    </w:p>
    <w:p>
      <w:pPr>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（2）《技术条款偏离表》； </w:t>
      </w:r>
      <w:r/>
    </w:p>
    <w:p>
      <w:pPr>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（3）服务承诺； </w:t>
      </w:r>
      <w:r/>
    </w:p>
    <w:p>
      <w:pPr>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（4）投标人拟投入本项目的设备、人员情况一览表； </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（5）供应商认为需要提供的其他技术资料。</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12、投标文件的价格部分</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12.1价格部分是对投标服务价格构成的说明，</w:t>
      </w:r>
      <w:r>
        <w:rPr>
          <w:rFonts w:hint="eastAsia" w:ascii="宋体" w:hAnsi="宋体" w:eastAsia="宋体" w:cs="宋体"/>
          <w:color w:val="000000" w:themeColor="text1"/>
          <w:szCs w:val="21"/>
          <w:highlight w:val="none"/>
          <w14:textFill>
            <w14:solidFill>
              <w14:schemeClr w14:val="tx1"/>
            </w14:solidFill>
          </w14:textFill>
        </w:rPr>
        <w:t xml:space="preserve">招标文件如没有特别说明的话，</w:t>
      </w:r>
      <w:r>
        <w:rPr>
          <w:rFonts w:hint="eastAsia" w:ascii="宋体" w:hAnsi="宋体" w:cs="宋体"/>
          <w:color w:val="000000" w:themeColor="text1"/>
          <w:szCs w:val="21"/>
          <w:highlight w:val="none"/>
          <w:lang w:val="zh-CN"/>
          <w14:textFill>
            <w14:solidFill>
              <w14:schemeClr w14:val="tx1"/>
            </w14:solidFill>
          </w14:textFill>
        </w:rPr>
        <w:t xml:space="preserve">每一项服务仅接受一个价格。</w:t>
      </w:r>
      <w:r>
        <w:rPr>
          <w:rFonts w:hint="eastAsia" w:ascii="宋体" w:hAnsi="宋体" w:eastAsia="宋体" w:cs="宋体"/>
          <w:color w:val="000000" w:themeColor="text1"/>
          <w:szCs w:val="21"/>
          <w:highlight w:val="none"/>
          <w14:textFill>
            <w14:solidFill>
              <w14:schemeClr w14:val="tx1"/>
            </w14:solidFill>
          </w14:textFill>
        </w:rPr>
        <w:t xml:space="preserve">投标人应按照招标文件规定格式填报投标分项报价表。</w:t>
      </w:r>
      <w:r/>
    </w:p>
    <w:p>
      <w:pPr>
        <w:ind w:left="0" w:firstLine="420"/>
        <w:keepLines w:val="0"/>
        <w:keepNext w:val="0"/>
        <w:pageBreakBefore w:val="0"/>
        <w:spacing w:line="288" w:lineRule="auto"/>
        <w:shd w:val="clear" w:color="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12.2</w:t>
      </w:r>
      <w:r>
        <w:rPr>
          <w:rFonts w:hint="eastAsia" w:ascii="宋体" w:hAnsi="宋体" w:eastAsia="宋体" w:cs="宋体"/>
          <w:color w:val="000000" w:themeColor="text1"/>
          <w:szCs w:val="21"/>
          <w:highlight w:val="none"/>
          <w14:textFill>
            <w14:solidFill>
              <w14:schemeClr w14:val="tx1"/>
            </w14:solidFill>
          </w14:textFill>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eastAsia="宋体" w:cs="宋体"/>
          <w:b/>
          <w:color w:val="000000" w:themeColor="text1"/>
          <w:szCs w:val="21"/>
          <w:highlight w:val="none"/>
          <w14:textFill>
            <w14:solidFill>
              <w14:schemeClr w14:val="tx1"/>
            </w14:solidFill>
          </w14:textFill>
        </w:rPr>
        <w:t xml:space="preserve">。</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12.3供应商的任何错漏、优惠、竞争性报价不得作为减轻责任、减少服务、增加收费、降低质量的理由。</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12.4供应商应在《开标一览表》、《分项报价</w:t>
      </w:r>
      <w:r>
        <w:rPr>
          <w:rFonts w:hint="eastAsia" w:ascii="宋体" w:hAnsi="宋体" w:cs="宋体"/>
          <w:color w:val="000000" w:themeColor="text1"/>
          <w:szCs w:val="21"/>
          <w:highlight w:val="none"/>
          <w14:textFill>
            <w14:solidFill>
              <w14:schemeClr w14:val="tx1"/>
            </w14:solidFill>
          </w14:textFill>
        </w:rPr>
        <w:t xml:space="preserve">表</w:t>
      </w:r>
      <w:r>
        <w:rPr>
          <w:rFonts w:hint="eastAsia" w:ascii="宋体" w:hAnsi="宋体" w:cs="宋体"/>
          <w:color w:val="000000" w:themeColor="text1"/>
          <w:szCs w:val="21"/>
          <w:highlight w:val="none"/>
          <w:lang w:val="zh-CN"/>
          <w14:textFill>
            <w14:solidFill>
              <w14:schemeClr w14:val="tx1"/>
            </w14:solidFill>
          </w14:textFill>
        </w:rPr>
        <w:t xml:space="preserve">》等标明提供</w:t>
      </w:r>
      <w:r>
        <w:rPr>
          <w:rFonts w:hint="eastAsia" w:ascii="宋体" w:hAnsi="宋体" w:cs="宋体"/>
          <w:color w:val="000000" w:themeColor="text1"/>
          <w:szCs w:val="21"/>
          <w:highlight w:val="none"/>
          <w:lang w:val="en-US" w:eastAsia="zh-CN"/>
          <w14:textFill>
            <w14:solidFill>
              <w14:schemeClr w14:val="tx1"/>
            </w14:solidFill>
          </w14:textFill>
        </w:rPr>
        <w:t xml:space="preserve">货物和</w:t>
      </w:r>
      <w:r>
        <w:rPr>
          <w:rFonts w:hint="eastAsia" w:ascii="宋体" w:hAnsi="宋体" w:cs="宋体"/>
          <w:color w:val="000000" w:themeColor="text1"/>
          <w:szCs w:val="21"/>
          <w:highlight w:val="none"/>
          <w:lang w:val="zh-CN"/>
          <w14:textFill>
            <w14:solidFill>
              <w14:schemeClr w14:val="tx1"/>
            </w14:solidFill>
          </w14:textFill>
        </w:rPr>
        <w:t xml:space="preserve">服务的单价、总价以及分项报价。供应商系小企业（含小型、微型企业），并由本企业提供服务，须在《开标一览表》、《分项报价</w:t>
      </w:r>
      <w:r>
        <w:rPr>
          <w:rFonts w:hint="eastAsia" w:ascii="宋体" w:hAnsi="宋体" w:cs="宋体"/>
          <w:color w:val="000000" w:themeColor="text1"/>
          <w:szCs w:val="21"/>
          <w:highlight w:val="none"/>
          <w14:textFill>
            <w14:solidFill>
              <w14:schemeClr w14:val="tx1"/>
            </w14:solidFill>
          </w14:textFill>
        </w:rPr>
        <w:t xml:space="preserve">表</w:t>
      </w:r>
      <w:r>
        <w:rPr>
          <w:rFonts w:hint="eastAsia" w:ascii="宋体" w:hAnsi="宋体" w:cs="宋体"/>
          <w:color w:val="000000" w:themeColor="text1"/>
          <w:szCs w:val="21"/>
          <w:highlight w:val="none"/>
          <w:lang w:val="zh-CN"/>
          <w14:textFill>
            <w14:solidFill>
              <w14:schemeClr w14:val="tx1"/>
            </w14:solidFill>
          </w14:textFill>
        </w:rPr>
        <w:t xml:space="preserve">》中注明,供应商应当如实申报,否则评标委员会有权取消其小微企业优惠政策。</w:t>
      </w:r>
      <w:r/>
    </w:p>
    <w:p>
      <w:pPr>
        <w:ind w:left="0" w:firstLine="420"/>
        <w:keepLines w:val="0"/>
        <w:keepNext w:val="0"/>
        <w:pageBreakBefore w:val="0"/>
        <w:spacing w:line="288" w:lineRule="auto"/>
        <w:shd w:val="clear" w:color="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w:t>
      </w:r>
      <w:r>
        <w:rPr>
          <w:rFonts w:hint="eastAsia" w:ascii="宋体" w:hAnsi="宋体" w:cs="宋体"/>
          <w:color w:val="000000" w:themeColor="text1"/>
          <w:sz w:val="21"/>
          <w:szCs w:val="21"/>
          <w:highlight w:val="none"/>
          <w:lang w:val="zh-CN"/>
          <w14:textFill>
            <w14:solidFill>
              <w14:schemeClr w14:val="tx1"/>
            </w14:solidFill>
          </w14:textFill>
        </w:rPr>
        <w:t xml:space="preserve">《开标一览表》须加盖电子公章。</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12.6</w:t>
      </w:r>
      <w:r>
        <w:rPr>
          <w:rFonts w:hint="eastAsia" w:ascii="宋体" w:hAnsi="宋体" w:cs="宋体"/>
          <w:color w:val="000000" w:themeColor="text1"/>
          <w:szCs w:val="21"/>
          <w:highlight w:val="none"/>
          <w14:textFill>
            <w14:solidFill>
              <w14:schemeClr w14:val="tx1"/>
            </w14:solidFill>
          </w14:textFill>
        </w:rPr>
        <w:t xml:space="preserve">评审中出现下列情形之一的，评审委员会应当启动异常低价投标（响应）审查程序：</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（3）投标（响应）报价低于采购项目最高限价45%的，即投标（响应）报价&lt;采购项目最高限价×45%；</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相关法律法规对供应商报价有规定的，从其规定。</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2.7</w:t>
      </w:r>
      <w:r>
        <w:rPr>
          <w:rFonts w:hint="eastAsia" w:ascii="宋体" w:hAnsi="宋体" w:cs="宋体"/>
          <w:color w:val="000000" w:themeColor="text1"/>
          <w:szCs w:val="21"/>
          <w:highlight w:val="none"/>
          <w14:textFill>
            <w14:solidFill>
              <w14:schemeClr w14:val="tx1"/>
            </w14:solidFill>
          </w14:textFill>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12.8启动异常低价投标（响应）审查程序后，评标委员会将通过“苏采云”系统要求供应商作出必要的说明，并规定回复时间。供应商说明应当采用通过“苏采云”系统（使用“CA数字证书”，加盖电子签章）形式。</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13、投标文件的其他部分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13.1其他部分由供应商根据编制投标文件需要提供的其他相关文件。</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14、投标保证金：无</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15、投标有效期</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15.1 自开标之日起60天内投标有效。</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15.2 在特殊情况下，在原投标有效期截止之前，招标代理可要求供应商同意延长投标有效期，这种要求与答复均以书面形式提交。供应商可拒绝这种要求，并且不影响保证金退还。接受延长投标有效期的供应商将不会要求和允许修正其投标。</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16、投标文件的份数、签署</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16.1 </w:t>
      </w:r>
      <w:r>
        <w:rPr>
          <w:rFonts w:hint="eastAsia" w:ascii="宋体" w:hAnsi="宋体" w:cs="宋体"/>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color w:val="000000" w:themeColor="text1"/>
          <w:szCs w:val="21"/>
          <w:highlight w:val="none"/>
          <w14:textFill>
            <w14:solidFill>
              <w14:schemeClr w14:val="tx1"/>
            </w14:solidFill>
          </w14:textFill>
        </w:rPr>
        <w:t xml:space="preserve">应加盖响应供应商公章</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Cs w:val="21"/>
          <w:highlight w:val="none"/>
          <w14:textFill>
            <w14:solidFill>
              <w14:schemeClr w14:val="tx1"/>
            </w14:solidFill>
          </w14:textFill>
        </w:rPr>
        <w:t xml:space="preserve">文件中注明须签字的地方应由供应商的法定代表人或委托代理人签字。</w:t>
      </w:r>
      <w:r/>
    </w:p>
    <w:p>
      <w:pPr>
        <w:ind w:firstLine="420"/>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16.2 </w:t>
      </w:r>
      <w:r>
        <w:rPr>
          <w:rFonts w:hint="eastAsia" w:ascii="宋体" w:hAnsi="宋体" w:cs="宋体"/>
          <w:bCs/>
          <w:color w:val="000000" w:themeColor="text1"/>
          <w:highlight w:val="none"/>
          <w14:textFill>
            <w14:solidFill>
              <w14:schemeClr w14:val="tx1"/>
            </w14:solidFill>
          </w14:textFill>
        </w:rPr>
        <w:t xml:space="preserve">除投标人对错处做必要修改外，投标文件不得行间插字、涂改或增删。如有修改错漏处，必须由投标文件签署人签字或盖章。</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17、投标文件的密封和递交</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17.1 </w:t>
      </w:r>
      <w:r>
        <w:rPr>
          <w:rFonts w:hint="eastAsia" w:ascii="宋体" w:hAnsi="宋体" w:eastAsia="宋体" w:cs="宋体"/>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.2投标人应当按照《操作手册》规定，在苏采云系统规定的时间内对</w:t>
      </w:r>
      <w:r>
        <w:rPr>
          <w:rFonts w:hint="eastAsia" w:ascii="宋体" w:hAnsi="宋体" w:eastAsia="宋体" w:cs="宋体"/>
          <w:color w:val="000000" w:themeColor="text1"/>
          <w:szCs w:val="21"/>
          <w:highlight w:val="none"/>
          <w:lang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文件进行解密。</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17.3</w:t>
      </w:r>
      <w:r>
        <w:rPr>
          <w:rFonts w:hint="eastAsia" w:ascii="宋体" w:hAnsi="宋体" w:eastAsia="宋体" w:cs="宋体"/>
          <w:color w:val="000000" w:themeColor="text1"/>
          <w:szCs w:val="21"/>
          <w:highlight w:val="none"/>
          <w14:textFill>
            <w14:solidFill>
              <w14:schemeClr w14:val="tx1"/>
            </w14:solidFill>
          </w14:textFill>
        </w:rPr>
        <w:t xml:space="preserve"> 所有</w:t>
      </w:r>
      <w:r>
        <w:rPr>
          <w:rFonts w:hint="eastAsia" w:ascii="宋体" w:hAnsi="宋体" w:eastAsia="宋体" w:cs="宋体"/>
          <w:color w:val="000000" w:themeColor="text1"/>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1"/>
          <w:highlight w:val="none"/>
          <w14:textFill>
            <w14:solidFill>
              <w14:schemeClr w14:val="tx1"/>
            </w14:solidFill>
          </w14:textFill>
        </w:rPr>
        <w:t xml:space="preserve">使用 CA 证书在递交响应文件截止后，解密各自响应文件，</w:t>
      </w:r>
      <w:r>
        <w:rPr>
          <w:rFonts w:hint="eastAsia" w:ascii="宋体" w:hAnsi="宋体" w:eastAsia="宋体" w:cs="宋体"/>
          <w:color w:val="000000" w:themeColor="text1"/>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1"/>
          <w:highlight w:val="none"/>
          <w14:textFill>
            <w14:solidFill>
              <w14:schemeClr w14:val="tx1"/>
            </w14:solidFill>
          </w14:textFill>
        </w:rPr>
        <w:t xml:space="preserve">不足3家的，不得评标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17.4</w:t>
      </w:r>
      <w:r>
        <w:rPr>
          <w:rFonts w:hint="eastAsia" w:ascii="宋体" w:hAnsi="宋体" w:eastAsia="宋体" w:cs="宋体"/>
          <w:color w:val="000000" w:themeColor="text1"/>
          <w:szCs w:val="21"/>
          <w:highlight w:val="none"/>
          <w14:textFill>
            <w14:solidFill>
              <w14:schemeClr w14:val="tx1"/>
            </w14:solidFill>
          </w14:textFill>
        </w:rPr>
        <w:t xml:space="preserve"> 因投标人网络与电源不稳定、未按操作手册要求配置软硬件、解密锁发生故障或用错、故意不在要求时限内完成解密等自身原因，导致</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文件在规定时间内未能解密、解密失败或解密超时，视为投标人撤销其</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文件，系统内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文件将被退回；因采购人原因或网上招投标平台发生故障，导致无法按时完成</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文件解密或开、评标工作无法进行的，可根据实际情况相应延迟解密时间或调整开、评标时间。部分</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文件未解密的，其他</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文件的评标可以继续进行。</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 代理机构有权通过修改招标文件酌情延长投标截止时间，在此情况下，投标人的所有权利和义务均以延长后新的截止时间为准。</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18、有下列情形之一的投标文件将拒收：</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18.1 在招标文件要求提交投标文件的截止时间之后</w:t>
      </w:r>
      <w:r>
        <w:rPr>
          <w:rFonts w:hint="eastAsia" w:ascii="宋体" w:hAnsi="宋体" w:cs="宋体"/>
          <w:color w:val="000000" w:themeColor="text1"/>
          <w:szCs w:val="21"/>
          <w:highlight w:val="none"/>
          <w:lang w:val="en-US" w:eastAsia="zh-CN"/>
          <w14:textFill>
            <w14:solidFill>
              <w14:schemeClr w14:val="tx1"/>
            </w14:solidFill>
          </w14:textFill>
        </w:rPr>
        <w:t xml:space="preserve">上传</w:t>
      </w:r>
      <w:r>
        <w:rPr>
          <w:rFonts w:hint="eastAsia" w:ascii="宋体" w:hAnsi="宋体" w:cs="宋体"/>
          <w:color w:val="000000" w:themeColor="text1"/>
          <w:szCs w:val="21"/>
          <w:highlight w:val="none"/>
          <w:lang w:val="zh-CN"/>
          <w14:textFill>
            <w14:solidFill>
              <w14:schemeClr w14:val="tx1"/>
            </w14:solidFill>
          </w14:textFill>
        </w:rPr>
        <w:t xml:space="preserve">的。</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19、投标文件的修改和撤回</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19.1 </w:t>
      </w:r>
      <w:r>
        <w:rPr>
          <w:rFonts w:hint="eastAsia" w:ascii="宋体" w:hAnsi="宋体" w:eastAsia="宋体" w:cs="宋体"/>
          <w:color w:val="000000" w:themeColor="text1"/>
          <w:szCs w:val="21"/>
          <w:highlight w:val="none"/>
          <w14:textFill>
            <w14:solidFill>
              <w14:schemeClr w14:val="tx1"/>
            </w14:solidFill>
          </w14:textFill>
        </w:rPr>
        <w:t xml:space="preserve">投标文件的修改</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.1 投标人可在投标截止时间前对其电子投标文件进行修改，具体操作方法见《操作手册》。</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.2 投标截止时间之后，投标人不得对其电子投标文件作任何修改。</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 投标文件的撤回</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.2.1 投标人可在投标截止时间前撤回其电子投标文件，具体操作方法见《操作手册》。</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.2.2 投标人撤回电子投标文件，则认为其不再参与本项目投标活动。</w:t>
      </w:r>
      <w:r/>
    </w:p>
    <w:p>
      <w:pPr>
        <w:ind w:left="0" w:firstLine="420"/>
        <w:keepLines w:val="0"/>
        <w:keepNext w:val="0"/>
        <w:pageBreakBefore w:val="0"/>
        <w:spacing w:line="288"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.2.3 在投标截止时间至招标文件中规定的投标有效期满之间的这段时间内，投标人不得撤回其投标。</w:t>
      </w:r>
      <w:r/>
    </w:p>
    <w:p>
      <w:pPr>
        <w:ind w:firstLine="420"/>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四、开标、评标与</w:t>
      </w:r>
      <w:r>
        <w:rPr>
          <w:rFonts w:hint="eastAsia" w:ascii="宋体" w:hAnsi="宋体" w:cs="宋体"/>
          <w:b/>
          <w:bCs/>
          <w:color w:val="000000" w:themeColor="text1"/>
          <w:highlight w:val="none"/>
          <w:lang w:val="zh-CN"/>
          <w14:textFill>
            <w14:solidFill>
              <w14:schemeClr w14:val="tx1"/>
            </w14:solidFill>
          </w14:textFill>
        </w:rPr>
        <w:t xml:space="preserve">确定中标供应商</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20、开标</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20.1 </w:t>
      </w:r>
      <w:r>
        <w:rPr>
          <w:rFonts w:hint="eastAsia" w:ascii="宋体" w:hAnsi="宋体" w:eastAsia="宋体" w:cs="宋体"/>
          <w:color w:val="000000" w:themeColor="text1"/>
          <w:szCs w:val="21"/>
          <w:highlight w:val="none"/>
          <w14:textFill>
            <w14:solidFill>
              <w14:schemeClr w14:val="tx1"/>
            </w14:solidFill>
          </w14:textFill>
        </w:rPr>
        <w:t xml:space="preserve">代理机构将在招标文件确定的时间和地点进行公开开标。投标人按照《操作手册》规定参加开标活动，并在苏采云系统规定的时间内对投标文件进行解密。苏采云系统公布各投标人名称和投标价格。</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20.2 </w:t>
      </w:r>
      <w:r>
        <w:rPr>
          <w:rFonts w:hint="eastAsia" w:ascii="宋体" w:hAnsi="宋体" w:eastAsia="宋体" w:cs="宋体"/>
          <w:color w:val="000000" w:themeColor="text1"/>
          <w:szCs w:val="21"/>
          <w:highlight w:val="none"/>
          <w14:textFill>
            <w14:solidFill>
              <w14:schemeClr w14:val="tx1"/>
            </w14:solidFill>
          </w14:textFill>
        </w:rPr>
        <w:t xml:space="preserve">投标人在开标过程中涉及到的投标文件解密、开标结果确认等工作，应按照《操作手册》规定执行。</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lang w:val="zh-CN"/>
          <w14:textFill>
            <w14:solidFill>
              <w14:schemeClr w14:val="tx1"/>
            </w14:solidFill>
          </w14:textFill>
        </w:rPr>
        <w:t xml:space="preserve">.3 </w:t>
      </w:r>
      <w:r>
        <w:rPr>
          <w:rFonts w:hint="eastAsia" w:ascii="宋体" w:hAnsi="宋体" w:eastAsia="宋体" w:cs="宋体"/>
          <w:color w:val="000000" w:themeColor="text1"/>
          <w:szCs w:val="21"/>
          <w:highlight w:val="none"/>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20.4 投标截止时间结束后参加投标的供应商不足三家的，除采购任务取消情形外，招标代理报经监管部门批准后，可变更为竞争性谈判、竞争性磋商或者单一来源方式采购。如果变更为竞争性谈判或竞争性磋商采购的，招标代理根据招标文件中的采购需求编制竞争性谈判文件或竞争性磋商文件，只与该两家供应商进行竞争性谈判采购或竞争性磋商。</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21、评标</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w:t>
      </w:r>
      <w:r>
        <w:rPr>
          <w:rFonts w:hint="eastAsia" w:ascii="宋体" w:hAnsi="宋体" w:cs="宋体"/>
          <w:b/>
          <w:bCs/>
          <w:color w:val="000000" w:themeColor="text1"/>
          <w:szCs w:val="21"/>
          <w:highlight w:val="none"/>
          <w:lang w:val="zh-CN"/>
          <w14:textFill>
            <w14:solidFill>
              <w14:schemeClr w14:val="tx1"/>
            </w14:solidFill>
          </w14:textFill>
        </w:rPr>
        <w:t xml:space="preserve"> 评标组织</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21.1.1评标工作由招标代理负责组织，具体评标事务由依法组建的评标委员会负责，并独立履行</w:t>
      </w:r>
      <w:r>
        <w:rPr>
          <w:rFonts w:hint="eastAsia" w:ascii="宋体" w:hAnsi="宋体" w:cs="宋体"/>
          <w:color w:val="000000" w:themeColor="text1"/>
          <w:szCs w:val="21"/>
          <w:highlight w:val="none"/>
          <w14:textFill>
            <w14:solidFill>
              <w14:schemeClr w14:val="tx1"/>
            </w14:solidFill>
          </w14:textFill>
        </w:rPr>
        <w:t xml:space="preserve">下列职责：</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（2）要求投标人对投标文件有关事项作出澄清或者说明；</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（3）对投标文件进行比较和评价；</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推荐中标候选人或</w:t>
      </w:r>
      <w:r>
        <w:rPr>
          <w:rFonts w:hint="eastAsia" w:ascii="宋体" w:hAnsi="宋体" w:cs="宋体"/>
          <w:color w:val="000000" w:themeColor="text1"/>
          <w:szCs w:val="21"/>
          <w:highlight w:val="none"/>
          <w14:textFill>
            <w14:solidFill>
              <w14:schemeClr w14:val="tx1"/>
            </w14:solidFill>
          </w14:textFill>
        </w:rPr>
        <w:t xml:space="preserve">根据采购人委托协议直接确定中标人；</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（5）向采购人、财政部门报告评标中发现的违法行为。</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21.1.2 </w:t>
      </w:r>
      <w:r>
        <w:rPr>
          <w:rFonts w:hint="eastAsia" w:ascii="宋体" w:hAnsi="宋体" w:cs="宋体"/>
          <w:color w:val="000000" w:themeColor="text1"/>
          <w:szCs w:val="21"/>
          <w:highlight w:val="none"/>
          <w:lang w:val="zh-CN"/>
          <w14:textFill>
            <w14:solidFill>
              <w14:schemeClr w14:val="tx1"/>
            </w14:solidFill>
          </w14:textFill>
        </w:rPr>
        <w:t xml:space="preserve">评标委员会由采购人代表和有关技术、经济等方面的专家组成，独立开展评审工作。</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21.2 评标程序</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21.2.1 投标文件的资格审查。</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21.2.1.1 采购人代表将依法对投标人的资格进行审查。</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21.2.1.2 资格性审查：依据法律法规和招标文件的规定，对投标文件中的资格证明文件进行审查，以 确定投标供应商是否具备投标资格。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21.2.1.3 在进行资格性审查的同时，将在“信用中国”网站（www.creditchina.gov.cn）、“中国政府采购网"(www.ccgp.gov.cn)对投标人是否被列入失信被执行人、重大税收违法失信主体、政府采购严重违法失信行为记录名单的情况进行查询，以确定投标供应商是否具备投标资格。查询结果将以网页打印的形式留存并归档。</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21.2.1.4 投标文件有下列情况之一的，在资格性审查时按照无效投标处理：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不具备招标文件中规定资格条件的；</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 供应商被“信用中国”网站（www.creditchina.gov.cn）、“中国政府采购网"(www.ccgp.gov.cn) 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 </w:t>
      </w:r>
      <w:r/>
    </w:p>
    <w:p>
      <w:pPr>
        <w:ind w:firstLine="420"/>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t xml:space="preserve">21.2.2 投标文件的符合性审查。</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21.2.2.1 评标委员会将依据法律法规和招标文件的规定，对投标文件的有效性、完整性和对招标文件 的响应程度进行审查，以确定是否对招标文件的实质性要求作出响应。</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21.2.2.2 实质性要求是指本招标文件中用带星号（“</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”）的商务和技术要求。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21.2.2.3 如果投标文件实质上没有响应招标文件的要求，评标委员会将予以拒绝，投标人不得通过修改或撤销不合要求的偏离或保留而使其投标成为实质性响应的投标。</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21.2.2.4 投标文件有下列情况之一的，在符合性审查时按照无效投标处理： </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（1）供应商在苏采云系统规定的时间内未成功解密电子投标文件的。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（2）供应商未按照采购文件要求上传电子投标文件的。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（3）供应商不具备采购文件中规定资格要求的；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（4）供应商在报价时采用选择性报价；</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（5）报价超过采购文件中规定的预算金额或者最高限价的；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（6）投标文件含有采购人不能接受的附加条件的；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（7）不同供应商的投标文件由同一单位或者个人编制；</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（8）不同供应商委托同一单位或者个人办理投标事宜；</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（9）不同供应商的投标文件载明的项目管理成员或联系人员为同一人；</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（10）不同供应商的投标文件异常一致或者报价呈规律性差异；</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（11）不同供应商的投标文件相互混装；</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（12）不同供应商的负责人为同一人或者存在控股、管理关系的；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（13）未通过符合性检查的；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（15）未按文件要求签署、盖章的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（16）不符合采购文件中规定的其它实质性要求的；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17）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（18）不符合法律、法规和磋商文件规定的其他实质性要求的。</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21.2.2.5 在评标期间，出现符合专业条件的供应商或者对招标文件作出实质性响应的供应商不足三 家情形的，比照 </w:t>
      </w:r>
      <w:r>
        <w:rPr>
          <w:rFonts w:hint="eastAsia"/>
          <w:color w:val="000000" w:themeColor="text1"/>
          <w:highlight w:val="none"/>
          <w14:textFill>
            <w14:solidFill>
              <w14:schemeClr w14:val="tx1"/>
            </w14:solidFill>
          </w14:textFill>
        </w:rPr>
        <w:t xml:space="preserve">20.4</w:t>
      </w:r>
      <w:r>
        <w:rPr>
          <w:color w:val="000000" w:themeColor="text1"/>
          <w:highlight w:val="none"/>
          <w14:textFill>
            <w14:solidFill>
              <w14:schemeClr w14:val="tx1"/>
            </w14:solidFill>
          </w14:textFill>
        </w:rPr>
        <w:t xml:space="preserve"> 款执行。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21.2.2.6 有下列情形之一的予以废标，同时将废标理由通知所有供应商： </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（1）符合专业条件的供应商或者对招标文件作实质性响应的供应商不足三家的； </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（2）出现影响采购公正的违法、违规行为的；</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（3）供应商的报价均超过了采购预算或最高限价的，采购人不能支付的； </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（4）因重大变故，采购任务取消的；</w:t>
      </w:r>
      <w:r/>
    </w:p>
    <w:p>
      <w:pPr>
        <w:ind w:left="0" w:firstLine="420"/>
        <w:keepLines w:val="0"/>
        <w:keepNext w:val="0"/>
        <w:pageBreakBefore w:val="0"/>
        <w:spacing w:line="288" w:lineRule="auto"/>
        <w:shd w:val="clear" w:color="auto"/>
        <w:widowControl/>
        <w:rPr>
          <w:rFonts w:hint="eastAsia" w:ascii="宋体" w:hAnsi="宋体" w:eastAsia="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评委会认定招标文件存在歧义、重大缺陷导致评审工作无法进行。</w:t>
      </w:r>
      <w:r/>
    </w:p>
    <w:p>
      <w:pPr>
        <w:ind w:left="0" w:firstLine="420"/>
        <w:keepLines w:val="0"/>
        <w:keepNext w:val="0"/>
        <w:pageBreakBefore w:val="0"/>
        <w:spacing w:line="288" w:lineRule="auto"/>
        <w:shd w:val="clear" w:color="auto"/>
        <w:widowControl/>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eastAsia="zh-CN"/>
          <w14:textFill>
            <w14:solidFill>
              <w14:schemeClr w14:val="tx1"/>
            </w14:solidFill>
          </w14:textFill>
        </w:rPr>
        <w:t xml:space="preserve">）预留份额的采购项目或采购包，通过发布公告方式邀请供应商后，符合资格条件的中小企业数量不足3家的。</w:t>
      </w:r>
      <w:r/>
    </w:p>
    <w:p>
      <w:pPr>
        <w:ind w:left="0" w:firstLine="420"/>
        <w:keepLines w:val="0"/>
        <w:keepNext w:val="0"/>
        <w:pageBreakBefore w:val="0"/>
        <w:spacing w:line="288" w:lineRule="auto"/>
        <w:shd w:val="clear" w:color="auto"/>
        <w:widowControl/>
        <w:rPr>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lang w:eastAsia="zh-CN"/>
          <w14:textFill>
            <w14:solidFill>
              <w14:schemeClr w14:val="tx1"/>
            </w14:solidFill>
          </w14:textFill>
        </w:rPr>
        <w:t xml:space="preserve">）因苏采云系统故障造成开标不成功。</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 投标文件的进一步评审。 </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21.2.3.1 评标委员会将对确定为实质性响应的投标文件进行进一步评审，看其是否有计算上或累加上 的算术错误，修正错误的原则如下：</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）《开标一览表》（报价表）内容与投标文件中相应内容不一致的，以《开标一览表》（报价表）为准。</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）投标文件、《开标一览表》（报价表）中报价的大写金额与小写金额不一致的，以大写金额为准。</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）单价金额小数点或者百分比有明显错位的，以《开标一览表》（报价表）的总价为准，并修改单价；</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）总价金额与按单价汇总金额不一致的，以单价金额计算结果为准；</w:t>
      </w:r>
      <w:r>
        <w:rPr>
          <w:color w:val="000000" w:themeColor="text1"/>
          <w:highlight w:val="none"/>
          <w14:textFill>
            <w14:solidFill>
              <w14:schemeClr w14:val="tx1"/>
            </w14:solidFill>
          </w14:textFill>
        </w:rPr>
        <w:t xml:space="preserve">只有在评委会认为单价有明显的小数点错误时，才能以标出的总价为准，并修改单价。</w:t>
      </w:r>
      <w:r/>
    </w:p>
    <w:p>
      <w:pPr>
        <w:ind w:left="0" w:firstLine="420"/>
        <w:keepLines w:val="0"/>
        <w:keepNext w:val="0"/>
        <w:pageBreakBefore w:val="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）同时出现21.2.3.1中两种以上不一致的,按照（</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的顺序修正。</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）对不同文字文本投标文件的解释发生异议的，以中文文本为准。</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21.2.3.2 评标委员会将按上述修正错误的方法</w:t>
      </w:r>
      <w:r>
        <w:rPr>
          <w:rFonts w:hint="eastAsia"/>
          <w:color w:val="000000" w:themeColor="text1"/>
          <w:highlight w:val="none"/>
          <w:lang w:val="en-US" w:eastAsia="zh-CN"/>
          <w14:textFill>
            <w14:solidFill>
              <w14:schemeClr w14:val="tx1"/>
            </w14:solidFill>
          </w14:textFill>
        </w:rPr>
        <w:t xml:space="preserve">修正</w:t>
      </w:r>
      <w:r>
        <w:rPr>
          <w:color w:val="000000" w:themeColor="text1"/>
          <w:highlight w:val="none"/>
          <w14:textFill>
            <w14:solidFill>
              <w14:schemeClr w14:val="tx1"/>
            </w14:solidFill>
          </w14:textFill>
        </w:rPr>
        <w:t xml:space="preserve">投标文件中的投标价，</w:t>
      </w:r>
      <w:r>
        <w:rPr>
          <w:rFonts w:hint="eastAsia" w:ascii="宋体" w:hAnsi="宋体" w:cs="宋体"/>
          <w:color w:val="000000" w:themeColor="text1"/>
          <w:szCs w:val="21"/>
          <w:highlight w:val="none"/>
          <w:lang w:val="zh-CN"/>
          <w14:textFill>
            <w14:solidFill>
              <w14:schemeClr w14:val="tx1"/>
            </w14:solidFill>
          </w14:textFill>
        </w:rPr>
        <w:t xml:space="preserve">修正后的报价由法定代表人或其授权的代表</w:t>
      </w:r>
      <w:r>
        <w:rPr>
          <w:rFonts w:hint="eastAsia" w:ascii="宋体" w:hAnsi="宋体" w:eastAsia="宋体" w:cs="宋体"/>
          <w:color w:val="000000" w:themeColor="text1"/>
          <w:szCs w:val="21"/>
          <w:highlight w:val="none"/>
          <w:lang w:val="zh-CN"/>
          <w14:textFill>
            <w14:solidFill>
              <w14:schemeClr w14:val="tx1"/>
            </w14:solidFill>
          </w14:textFill>
        </w:rPr>
        <w:t xml:space="preserve">通过“苏采云”系统</w:t>
      </w:r>
      <w:r>
        <w:rPr>
          <w:rFonts w:hint="eastAsia" w:ascii="宋体" w:hAnsi="宋体" w:cs="宋体"/>
          <w:color w:val="000000" w:themeColor="text1"/>
          <w:szCs w:val="21"/>
          <w:highlight w:val="none"/>
          <w:lang w:val="zh-CN"/>
          <w14:textFill>
            <w14:solidFill>
              <w14:schemeClr w14:val="tx1"/>
            </w14:solidFill>
          </w14:textFill>
        </w:rPr>
        <w:t xml:space="preserve">确认后产生约束力，投标人不确认的，投标无效。</w:t>
      </w:r>
      <w:r>
        <w:rPr>
          <w:color w:val="000000" w:themeColor="text1"/>
          <w:highlight w:val="none"/>
          <w14:textFill>
            <w14:solidFill>
              <w14:schemeClr w14:val="tx1"/>
            </w14:solidFill>
          </w14:textFill>
        </w:rPr>
        <w:t xml:space="preserve">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21.2.3.3 评委会将允许修正投标文件中不构成重大偏离的、微小的、非正规的、不一致的或不规则的地方，但这些修改不能影响任何投标人相应的名次排列。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21.2.3.4 澄清有关问题。对投标文件中含义不明确、同类问题表述不一致或者明显文字错误的内容， 评标委员会可以要求供应商作出必要的澄清、说明或者补正。供应商的澄清、说明、补正应当采用书面形 式，由其授权代表签字，但不得超出投标文件的范围或者改变投标文件的实质性内容。</w:t>
      </w:r>
      <w:r/>
    </w:p>
    <w:p>
      <w:pPr>
        <w:ind w:left="0" w:firstLine="420"/>
        <w:keepLines w:val="0"/>
        <w:keepNext w:val="0"/>
        <w:pageBreakBefore w:val="0"/>
        <w:spacing w:line="288" w:lineRule="auto"/>
        <w:shd w:val="clear" w:color="auto"/>
        <w:widowControl/>
        <w:rPr>
          <w:rFonts w:hint="eastAsia" w:ascii="宋体" w:hAnsi="宋体" w:eastAsia="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21.2.3.5 </w:t>
      </w:r>
      <w:r>
        <w:rPr>
          <w:rFonts w:hint="eastAsia" w:ascii="宋体" w:hAnsi="宋体" w:eastAsia="宋体" w:cs="宋体"/>
          <w:color w:val="000000" w:themeColor="text1"/>
          <w:szCs w:val="21"/>
          <w:highlight w:val="none"/>
          <w14:textFill>
            <w14:solidFill>
              <w14:schemeClr w14:val="tx1"/>
            </w14:solidFill>
          </w14:textFill>
        </w:rPr>
        <w:t xml:space="preserve">需要供应商进行澄清、说明和补正的，</w:t>
      </w:r>
      <w:r>
        <w:rPr>
          <w:rFonts w:hint="eastAsia" w:ascii="宋体" w:hAnsi="宋体" w:cs="宋体"/>
          <w:color w:val="000000" w:themeColor="text1"/>
          <w:szCs w:val="21"/>
          <w:highlight w:val="none"/>
          <w:lang w:val="en-US" w:eastAsia="zh-CN"/>
          <w14:textFill>
            <w14:solidFill>
              <w14:schemeClr w14:val="tx1"/>
            </w14:solidFill>
          </w14:textFill>
        </w:rPr>
        <w:t xml:space="preserve">评标委员会</w:t>
      </w:r>
      <w:r>
        <w:rPr>
          <w:rFonts w:hint="eastAsia" w:ascii="宋体" w:hAnsi="宋体" w:eastAsia="宋体" w:cs="宋体"/>
          <w:color w:val="000000" w:themeColor="text1"/>
          <w:szCs w:val="21"/>
          <w:highlight w:val="none"/>
          <w14:textFill>
            <w14:solidFill>
              <w14:schemeClr w14:val="tx1"/>
            </w14:solidFill>
          </w14:textFill>
        </w:rPr>
        <w:t xml:space="preserve">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firstLine="420"/>
        <w:keepLines w:val="0"/>
        <w:keepNext w:val="0"/>
        <w:pageBreakBefore w:val="0"/>
        <w:spacing w:line="288" w:lineRule="auto"/>
        <w:shd w:val="clear" w:color="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2</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highlight w:val="none"/>
          <w14:textFill>
            <w14:solidFill>
              <w14:schemeClr w14:val="tx1"/>
            </w14:solidFill>
          </w14:textFill>
        </w:rPr>
        <w:t xml:space="preserve">.2.3.</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接到</w:t>
      </w:r>
      <w:r>
        <w:rPr>
          <w:rFonts w:hint="eastAsia" w:ascii="宋体" w:hAnsi="宋体" w:cs="宋体"/>
          <w:color w:val="000000" w:themeColor="text1"/>
          <w:szCs w:val="21"/>
          <w:highlight w:val="none"/>
          <w:lang w:val="en-US" w:eastAsia="zh-CN"/>
          <w14:textFill>
            <w14:solidFill>
              <w14:schemeClr w14:val="tx1"/>
            </w14:solidFill>
          </w14:textFill>
        </w:rPr>
        <w:t xml:space="preserve">评标委员会</w:t>
      </w:r>
      <w:r>
        <w:rPr>
          <w:rFonts w:hint="eastAsia" w:ascii="宋体" w:hAnsi="宋体" w:eastAsia="宋体" w:cs="宋体"/>
          <w:color w:val="000000" w:themeColor="text1"/>
          <w:szCs w:val="21"/>
          <w:highlight w:val="none"/>
          <w14:textFill>
            <w14:solidFill>
              <w14:schemeClr w14:val="tx1"/>
            </w14:solidFill>
          </w14:textFill>
        </w:rPr>
        <w:t xml:space="preserve">澄清、说明和补正要求的供应商如未按规定做出澄清、说明和补正，其风险由供应商自行承担。供应商拒不按照要求对响应件进行澄清、说明或者补正的，视其放弃该项权利。</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2</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highlight w:val="none"/>
          <w14:textFill>
            <w14:solidFill>
              <w14:schemeClr w14:val="tx1"/>
            </w14:solidFill>
          </w14:textFill>
        </w:rPr>
        <w:t xml:space="preserve">.2.3.</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7 </w:t>
      </w:r>
      <w:r>
        <w:rPr>
          <w:color w:val="000000" w:themeColor="text1"/>
          <w:highlight w:val="none"/>
          <w14:textFill>
            <w14:solidFill>
              <w14:schemeClr w14:val="tx1"/>
            </w14:solidFill>
          </w14:textFill>
        </w:rPr>
        <w:t xml:space="preserve">比较与评价。按照招标文件中规定的评标方法和标准，对资格性检查和符合性检查合格的投 标文件进行商务和技术评估，综合比较与评价。</w:t>
      </w:r>
      <w:r/>
    </w:p>
    <w:p>
      <w:pPr>
        <w:ind w:left="0" w:firstLine="420"/>
        <w:keepLines w:val="0"/>
        <w:keepNext w:val="0"/>
        <w:pageBreakBefore w:val="0"/>
        <w:spacing w:line="288" w:lineRule="auto"/>
        <w:shd w:val="clear" w:color="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2</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0</w:t>
      </w:r>
      <w:r>
        <w:rPr>
          <w:rFonts w:hint="eastAsia" w:ascii="Times New Roman" w:hAnsi="Times New Roman" w:eastAsia="宋体" w:cs="Times New Roman"/>
          <w:color w:val="000000" w:themeColor="text1"/>
          <w:highlight w:val="none"/>
          <w14:textFill>
            <w14:solidFill>
              <w14:schemeClr w14:val="tx1"/>
            </w14:solidFill>
          </w14:textFill>
        </w:rPr>
        <w:t xml:space="preserve">.2.3.</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8</w:t>
      </w:r>
      <w:r>
        <w:rPr>
          <w:rFonts w:hint="eastAsia" w:ascii="Times New Roman" w:hAnsi="Times New Roman" w:eastAsia="宋体" w:cs="Times New Roman"/>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投标人在开、评标全过程中应保持通讯畅通，及时登录苏采云系统查阅、答复相关信息，并安排专人与代理机构及评委会联系。</w:t>
      </w:r>
      <w:r/>
    </w:p>
    <w:p>
      <w:pPr>
        <w:ind w:left="0" w:firstLine="420"/>
        <w:keepLines w:val="0"/>
        <w:keepNext w:val="0"/>
        <w:pageBreakBefore w:val="0"/>
        <w:spacing w:line="288" w:lineRule="auto"/>
        <w:shd w:val="clear" w:color="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2</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0</w:t>
      </w:r>
      <w:r>
        <w:rPr>
          <w:rFonts w:hint="eastAsia" w:ascii="Times New Roman" w:hAnsi="Times New Roman" w:eastAsia="宋体" w:cs="Times New Roman"/>
          <w:color w:val="000000" w:themeColor="text1"/>
          <w:highlight w:val="none"/>
          <w14:textFill>
            <w14:solidFill>
              <w14:schemeClr w14:val="tx1"/>
            </w14:solidFill>
          </w14:textFill>
        </w:rPr>
        <w:t xml:space="preserve">.2.3.</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9</w:t>
      </w:r>
      <w:r>
        <w:rPr>
          <w:rFonts w:hint="eastAsia" w:ascii="Times New Roman" w:hAnsi="Times New Roman" w:eastAsia="宋体" w:cs="Times New Roman"/>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如出现投标截止时间后参加投标的供应商或者对招标文件作出实质性响应的供应商不足三家的情况，按政府采购相关规定执行。</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 评标方法和标准 </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21.3.1 采用综合评分法。即在投标文件满足招标文件全部实质性要求前提下，且按照评审因素的量化指标评审得分最高的投标人为中标人的评标方法。</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21.3.2 综合评分的主要因素是：价格、技术、商务等。 </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21.3.3</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评分标准详见文件第三章。</w:t>
      </w:r>
      <w:r/>
    </w:p>
    <w:p>
      <w:pPr>
        <w:ind w:firstLine="422"/>
        <w:rPr>
          <w:rFonts w:ascii="宋体" w:hAnsi="宋体" w:cs="宋体"/>
          <w:b/>
          <w:bCs/>
          <w:color w:val="000000" w:themeColor="text1"/>
          <w:highlight w:val="none"/>
          <w:lang w:val="zh-CN"/>
          <w14:textFill>
            <w14:solidFill>
              <w14:schemeClr w14:val="tx1"/>
            </w14:solidFill>
          </w14:textFill>
        </w:rPr>
      </w:pPr>
      <w:r>
        <w:rPr>
          <w:rFonts w:hint="eastAsia" w:ascii="宋体" w:hAnsi="宋体" w:cs="宋体"/>
          <w:b/>
          <w:bCs/>
          <w:color w:val="000000" w:themeColor="text1"/>
          <w:highlight w:val="none"/>
          <w:lang w:val="zh-CN"/>
          <w14:textFill>
            <w14:solidFill>
              <w14:schemeClr w14:val="tx1"/>
            </w14:solidFill>
          </w14:textFill>
        </w:rPr>
        <w:t xml:space="preserve">22、确定中标供应商</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22.1 在综合比较与评价后按照得分由高到低顺序对供应商进行排序。评标委员会按综合得分排名推荐3名中标候选人。得分相同的，按投标报价由低到高顺序排列。得分且报价相同的，按技术指标（</w:t>
      </w:r>
      <w:r>
        <w:rPr>
          <w:rFonts w:hint="eastAsia" w:ascii="宋体" w:hAnsi="宋体" w:cs="宋体"/>
          <w:color w:val="000000" w:themeColor="text1"/>
          <w:highlight w:val="none"/>
          <w14:textFill>
            <w14:solidFill>
              <w14:schemeClr w14:val="tx1"/>
            </w14:solidFill>
          </w14:textFill>
        </w:rPr>
        <w:t xml:space="preserve">技术部分</w:t>
      </w:r>
      <w:r>
        <w:rPr>
          <w:rFonts w:hint="eastAsia" w:ascii="宋体" w:hAnsi="宋体" w:cs="宋体"/>
          <w:color w:val="000000" w:themeColor="text1"/>
          <w:highlight w:val="none"/>
          <w:lang w:val="zh-CN"/>
          <w14:textFill>
            <w14:solidFill>
              <w14:schemeClr w14:val="tx1"/>
            </w14:solidFill>
          </w14:textFill>
        </w:rPr>
        <w:t xml:space="preserve">）优劣顺序排列。</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22.2 按以下第（</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lang w:val="zh-CN"/>
          <w14:textFill>
            <w14:solidFill>
              <w14:schemeClr w14:val="tx1"/>
            </w14:solidFill>
          </w14:textFill>
        </w:rPr>
        <w:t xml:space="preserve">）种方式确定中标供应商</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（1）评标委员会直接确定排名第一的中标候选人为中标供应商；</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（2）采购人在评标委员会推荐的中标候选人中按顺序确定中标供应商。</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22.3 中标供应商确定之日起两个工作日内，将在财政部门指定的政府采购信息发布媒体上公告。</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22.4 《中标通知书》对采购人和中标供应商具有同等法律效力。</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22.5 《中标通知书》发出后，中标供应商无正当理由不与采购人签订合同的，应当依法承担法律责任。</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22.6代理机构和评标委员会对未中标的供应商不作未中标原因的解释。</w:t>
      </w:r>
      <w:r/>
    </w:p>
    <w:p>
      <w:pPr>
        <w:ind w:firstLine="413"/>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23</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编写评标报告</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23.1 评标委员会根据全体评标成员签字的原始评标记录和评标结果编写评标报告。</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24、评标过程的保密性</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24.1 招标代理将采取必要措施，保证评标在严格保密的情况下进行。</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 任何单位和个人不得非法干预、影响评标办法的确定，以及评标过程和结果。</w:t>
      </w:r>
      <w:r/>
    </w:p>
    <w:p>
      <w:pPr>
        <w:ind w:firstLine="420"/>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24.3 凡是与审查、澄清、评价和比较投标的有关资料等，均不向供应商及与评标无关的其他人员透露。</w:t>
      </w:r>
      <w:r/>
    </w:p>
    <w:p>
      <w:pPr>
        <w:ind w:firstLine="420"/>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五、签订合同</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25、签订合同</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25.1 采购人应当自中标通知书发出之日起30日内，按照招标文件和中标人投标文件的规定与中标人签订书面合同。所签订的合同不得对招标文件确定事项和中标人投标文件作实质性修改。</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25.2</w:t>
      </w:r>
      <w:r>
        <w:rPr>
          <w:rFonts w:hint="eastAsia" w:ascii="宋体" w:hAnsi="宋体" w:cs="宋体"/>
          <w:color w:val="000000" w:themeColor="text1"/>
          <w:szCs w:val="21"/>
          <w:highlight w:val="none"/>
          <w14:textFill>
            <w14:solidFill>
              <w14:schemeClr w14:val="tx1"/>
            </w14:solidFill>
          </w14:textFill>
        </w:rPr>
        <w:t xml:space="preserve">采购人不得向中标人提出任何不合理的要求作为签订合同的条件，不得与中标人私下订立背离合同实质性内容的协议。</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20"/>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六、询问、质疑、投诉和诚实信用</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26、询问</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26.1 供应商对招标活动事项有疑问的，可以向招标代理或采购人提出询问，招标代理或采购人将在两个工作日内作出答复，但答复的内容不涉及商业秘密</w:t>
      </w:r>
      <w:r>
        <w:rPr>
          <w:rFonts w:hint="eastAsia" w:ascii="宋体" w:hAnsi="宋体" w:cs="宋体"/>
          <w:b/>
          <w:color w:val="000000" w:themeColor="text1"/>
          <w:szCs w:val="21"/>
          <w:highlight w:val="none"/>
          <w:lang w:val="zh-CN"/>
          <w14:textFill>
            <w14:solidFill>
              <w14:schemeClr w14:val="tx1"/>
            </w14:solidFill>
          </w14:textFill>
        </w:rPr>
        <w:t xml:space="preserve">。</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27、质疑</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27.1 投标人认为招标文件、采购过程和中标结果使自己的合法权益受到损害的，可以在知道或者应当知道其权益受到损害之日起七个工作日内一次性提出针对同一采购程序环节的质疑，质疑文件原件以书面形式送达招标代理。</w:t>
      </w:r>
      <w:r/>
    </w:p>
    <w:p>
      <w:pPr>
        <w:ind w:firstLine="409"/>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27.2 </w:t>
      </w:r>
      <w:r>
        <w:rPr>
          <w:rFonts w:hint="eastAsia" w:ascii="宋体" w:hAnsi="宋体" w:eastAsia="宋体" w:cs="宋体"/>
          <w:color w:val="000000" w:themeColor="text1"/>
          <w:szCs w:val="21"/>
          <w:highlight w:val="none"/>
          <w14:textFill>
            <w14:solidFill>
              <w14:schemeClr w14:val="tx1"/>
            </w14:solidFill>
          </w14:textFill>
        </w:rPr>
        <w:t xml:space="preserve">质疑供应商的质疑行为应符合财政部94号令相关规定，</w:t>
      </w:r>
      <w:r>
        <w:rPr>
          <w:rFonts w:hint="eastAsia" w:ascii="宋体" w:hAnsi="宋体" w:cs="宋体"/>
          <w:color w:val="000000" w:themeColor="text1"/>
          <w:szCs w:val="21"/>
          <w:highlight w:val="none"/>
          <w:lang w:val="zh-CN"/>
          <w14:textFill>
            <w14:solidFill>
              <w14:schemeClr w14:val="tx1"/>
            </w14:solidFill>
          </w14:textFill>
        </w:rPr>
        <w:t xml:space="preserve">质疑供应商是指直接参加本次投标活动的供应商，未参加投标活动的供应商或在投标活动中自身权益未受到损害的供应商所提出的质疑不予受理。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27.3 质疑必须以参加投标供应商法定代表人或授权代表（投标文件中所确定的）原件送达的方式提交，否则，招标代理有权不予受理。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27.4上述应知其权益受到损害之日是指：</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（1）对招标文件提出质疑的，为投标文件公告期限届满之日起计算；</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（2）对采购过程提出质疑的，自采购程序环节结束之日起计算；</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（3）对中标结果提出质疑的，自中标结果公告期限届满之日起计算。  </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27.5 质疑文件应包括以下主要内容，并按照“谁主张、谁举证”的原则，附上相关证明材料。否则，招标代理或采购人不予受理：</w:t>
      </w:r>
      <w:r/>
    </w:p>
    <w:p>
      <w:pPr>
        <w:ind w:left="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（1）质疑项目名称、项目编号、包号、招标公告发布时间、开标时间；</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（2）提起质疑的日期、具体的质疑事项及事实根据（具体条款）；</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（4）质疑供应商名称、地址、邮编、联系人、联系电话（包括座机、手机、传真号码等）；</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（5）质疑文件应当署名，质疑人为自然人的，应当由本人签字并附有效身份证明；质疑人为法人或其他组织的，应当由法定代表人签字并加盖单位公章。</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（6）供应商委托代理质疑的，应当向被质疑人提交授权委托书，并载明委托代理的具体权限和事项。</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27.6 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28、投诉</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28.1 质疑供应商对招标代理的答复不满意，或招标代理未在规定的时间内作出答复的，可以在答复期满后</w:t>
      </w:r>
      <w:r>
        <w:rPr>
          <w:rFonts w:hint="eastAsia" w:ascii="宋体" w:hAnsi="宋体" w:cs="宋体"/>
          <w:b/>
          <w:bCs/>
          <w:color w:val="000000" w:themeColor="text1"/>
          <w:szCs w:val="21"/>
          <w:highlight w:val="none"/>
          <w:lang w:val="zh-CN"/>
          <w14:textFill>
            <w14:solidFill>
              <w14:schemeClr w14:val="tx1"/>
            </w14:solidFill>
          </w14:textFill>
        </w:rPr>
        <w:t xml:space="preserve">十五个工作日内</w:t>
      </w:r>
      <w:r>
        <w:rPr>
          <w:rFonts w:hint="eastAsia" w:ascii="宋体" w:hAnsi="宋体" w:cs="宋体"/>
          <w:color w:val="000000" w:themeColor="text1"/>
          <w:szCs w:val="21"/>
          <w:highlight w:val="none"/>
          <w:lang w:val="zh-CN"/>
          <w14:textFill>
            <w14:solidFill>
              <w14:schemeClr w14:val="tx1"/>
            </w14:solidFill>
          </w14:textFill>
        </w:rPr>
        <w:t xml:space="preserve">向采购项目同级财政部门投诉。</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29、诚实信用</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29.1 供应商之间不得相互串通投标报价，不得妨碍其他供应商的公平竞争，不得损害采购人和其他供应商的合法权益。</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29.2 供应商不得以向招标代理工作人员、评标委员会成员行贿或者采取其他不正当手段谋取中标。经查实供应商有此行为的，</w:t>
      </w:r>
      <w:r>
        <w:rPr>
          <w:rFonts w:hint="eastAsia" w:ascii="宋体" w:hAnsi="宋体" w:cs="宋体"/>
          <w:color w:val="000000" w:themeColor="text1"/>
          <w:highlight w:val="none"/>
          <w14:textFill>
            <w14:solidFill>
              <w14:schemeClr w14:val="tx1"/>
            </w14:solidFill>
          </w14:textFill>
        </w:rPr>
        <w:t xml:space="preserve">政府采购管理部门将供应商列入不良行为记录名单，按照《政府采购法》有关规定处理。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29.4 供应商不得虚假承诺，否则，按照提供虚假材料谋取中标成交处理。</w:t>
      </w:r>
      <w:r/>
    </w:p>
    <w:p>
      <w:pPr>
        <w:ind w:firstLine="420"/>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b/>
          <w:color w:val="000000" w:themeColor="text1"/>
          <w:sz w:val="36"/>
          <w:szCs w:val="36"/>
          <w:highlight w:val="none"/>
          <w14:textFill>
            <w14:solidFill>
              <w14:schemeClr w14:val="tx1"/>
            </w14:solidFill>
          </w14:textFill>
        </w:rPr>
        <w:t xml:space="preserve">第三章 评标标准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在综合比较与评价后按照得分由高到低顺序对供应商进行排序。得分相同的，按投标报价由低到高顺序排列。得分且报价相同的，按技术指标（</w:t>
      </w:r>
      <w:r>
        <w:rPr>
          <w:rFonts w:hint="eastAsia" w:ascii="宋体" w:hAnsi="宋体" w:cs="宋体"/>
          <w:color w:val="000000" w:themeColor="text1"/>
          <w:szCs w:val="21"/>
          <w:highlight w:val="none"/>
          <w14:textFill>
            <w14:solidFill>
              <w14:schemeClr w14:val="tx1"/>
            </w14:solidFill>
          </w14:textFill>
        </w:rPr>
        <w:t xml:space="preserve">技术部分</w:t>
      </w:r>
      <w:r>
        <w:rPr>
          <w:rFonts w:hint="eastAsia" w:ascii="宋体" w:hAnsi="宋体" w:cs="宋体"/>
          <w:color w:val="000000" w:themeColor="text1"/>
          <w:szCs w:val="21"/>
          <w:highlight w:val="none"/>
          <w:lang w:val="zh-CN"/>
          <w14:textFill>
            <w14:solidFill>
              <w14:schemeClr w14:val="tx1"/>
            </w14:solidFill>
          </w14:textFill>
        </w:rPr>
        <w:t xml:space="preserve">）优劣顺序排列</w:t>
      </w:r>
      <w:r>
        <w:rPr>
          <w:rFonts w:ascii="宋体" w:hAnsi="宋体" w:cs="宋体"/>
          <w:color w:val="000000" w:themeColor="text1"/>
          <w:szCs w:val="21"/>
          <w:highlight w:val="none"/>
          <w:lang w:val="zh-CN"/>
          <w14:textFill>
            <w14:solidFill>
              <w14:schemeClr w14:val="tx1"/>
            </w14:solidFill>
          </w14:textFill>
        </w:rPr>
        <w:t xml:space="preserve">。</w:t>
      </w:r>
      <w:r/>
    </w:p>
    <w:tbl>
      <w:tblPr>
        <w:tblStyle w:val="10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998"/>
        <w:gridCol w:w="7299"/>
        <w:gridCol w:w="788"/>
      </w:tblGrid>
      <w:tr>
        <w:trPr>
          <w:jc w:val="center"/>
          <w:trHeight w:val="20"/>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评分项目</w:t>
            </w:r>
            <w:r/>
          </w:p>
        </w:tc>
        <w:tc>
          <w:tcPr>
            <w:tcBorders>
              <w:top w:val="single" w:color="auto" w:sz="4" w:space="0"/>
              <w:left w:val="single" w:color="auto" w:sz="4" w:space="0"/>
              <w:bottom w:val="single" w:color="auto" w:sz="4" w:space="0"/>
              <w:right w:val="single" w:color="auto" w:sz="4" w:space="0"/>
            </w:tcBorders>
            <w:tcW w:w="3703" w:type="pct"/>
            <w:vAlign w:val="center"/>
            <w:textDirection w:val="lrTb"/>
            <w:noWrap w:val="false"/>
          </w:tcPr>
          <w:p>
            <w:pPr>
              <w:jc w:val="cente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评分标准及细则</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价格分</w:t>
            </w:r>
            <w:r/>
          </w:p>
        </w:tc>
        <w:tc>
          <w:tcPr>
            <w:tcBorders>
              <w:top w:val="single" w:color="auto" w:sz="4" w:space="0"/>
              <w:left w:val="single" w:color="auto" w:sz="4" w:space="0"/>
              <w:bottom w:val="single" w:color="auto" w:sz="4" w:space="0"/>
              <w:right w:val="single" w:color="auto" w:sz="4" w:space="0"/>
            </w:tcBorders>
            <w:tcW w:w="3703" w:type="pct"/>
            <w:vAlign w:val="center"/>
            <w:textDirection w:val="lrTb"/>
            <w:noWrap w:val="false"/>
          </w:tcPr>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00" w:lineRule="exact"/>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30</w:t>
            </w:r>
            <w:r/>
          </w:p>
        </w:tc>
      </w:tr>
      <w:tr>
        <w:trPr>
          <w:jc w:val="center"/>
          <w:trHeight w:val="90"/>
        </w:trPr>
        <w:tc>
          <w:tcPr>
            <w:tcBorders>
              <w:left w:val="single" w:color="auto" w:sz="4" w:space="0"/>
              <w:right w:val="single" w:color="auto" w:sz="4" w:space="0"/>
            </w:tcBorders>
            <w:tcW w:w="39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w:t>
            </w:r>
            <w:r/>
          </w:p>
        </w:tc>
        <w:tc>
          <w:tcPr>
            <w:tcBorders>
              <w:left w:val="single" w:color="auto" w:sz="4" w:space="0"/>
              <w:right w:val="single" w:color="auto" w:sz="4" w:space="0"/>
            </w:tcBorders>
            <w:tcW w:w="506"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技术响应</w:t>
            </w:r>
            <w:r/>
          </w:p>
        </w:tc>
        <w:tc>
          <w:tcPr>
            <w:tcBorders>
              <w:top w:val="single" w:color="auto" w:sz="4" w:space="0"/>
              <w:left w:val="single" w:color="auto" w:sz="4" w:space="0"/>
              <w:bottom w:val="single" w:color="auto" w:sz="4" w:space="0"/>
              <w:right w:val="single" w:color="auto" w:sz="4" w:space="0"/>
            </w:tcBorders>
            <w:tcW w:w="3703" w:type="pct"/>
            <w:vAlign w:val="center"/>
            <w:textDirection w:val="lrTb"/>
            <w:noWrap w:val="false"/>
          </w:tcPr>
          <w:p>
            <w:pPr>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投标产品对招标文件具体需求的响应程度能够满足招标文件“第四章 项目需求”的得3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分。招标文件中标注“★”的内容为实质性要求，有一项不符合的，作无效投标处理。</w:t>
            </w:r>
            <w:r>
              <w:rPr>
                <w:rFonts w:hint="eastAsia" w:ascii="宋体" w:hAnsi="宋体" w:cs="宋体"/>
                <w:color w:val="000000" w:themeColor="text1"/>
                <w:sz w:val="24"/>
                <w:highlight w:val="none"/>
                <w:shd w:val="clear" w:color="auto"/>
                <w14:textFill>
                  <w14:solidFill>
                    <w14:schemeClr w14:val="tx1"/>
                  </w14:solidFill>
                </w14:textFill>
              </w:rPr>
              <w:t xml:space="preserve">带“▲”条款为重要技术参数指标，如带“▲”条款存在负偏离的，负偏离1项扣</w:t>
            </w:r>
            <w:r>
              <w:rPr>
                <w:rFonts w:hint="eastAsia" w:ascii="宋体" w:hAnsi="宋体" w:cs="宋体"/>
                <w:color w:val="000000" w:themeColor="text1"/>
                <w:sz w:val="24"/>
                <w:highlight w:val="none"/>
                <w:shd w:val="clear" w:color="auto"/>
                <w:lang w:val="en-US" w:eastAsia="zh-CN"/>
                <w14:textFill>
                  <w14:solidFill>
                    <w14:schemeClr w14:val="tx1"/>
                  </w14:solidFill>
                </w14:textFill>
              </w:rPr>
              <w:t xml:space="preserve">3</w:t>
            </w:r>
            <w:r>
              <w:rPr>
                <w:rFonts w:hint="eastAsia" w:ascii="宋体" w:hAnsi="宋体" w:cs="宋体"/>
                <w:color w:val="000000" w:themeColor="text1"/>
                <w:sz w:val="24"/>
                <w:highlight w:val="none"/>
                <w:shd w:val="clear" w:color="auto"/>
                <w14:textFill>
                  <w14:solidFill>
                    <w14:schemeClr w14:val="tx1"/>
                  </w14:solidFill>
                </w14:textFill>
              </w:rPr>
              <w:t xml:space="preserve">分，其他技术参数，负偏离1项扣</w:t>
            </w:r>
            <w:r>
              <w:rPr>
                <w:rFonts w:hint="eastAsia" w:ascii="宋体" w:hAnsi="宋体" w:cs="宋体"/>
                <w:color w:val="000000" w:themeColor="text1"/>
                <w:sz w:val="24"/>
                <w:highlight w:val="none"/>
                <w:shd w:val="clear" w:color="auto"/>
                <w:lang w:val="en-US" w:eastAsia="zh-CN"/>
                <w14:textFill>
                  <w14:solidFill>
                    <w14:schemeClr w14:val="tx1"/>
                  </w14:solidFill>
                </w14:textFill>
              </w:rPr>
              <w:t xml:space="preserve">1</w:t>
            </w:r>
            <w:r>
              <w:rPr>
                <w:rFonts w:hint="eastAsia" w:ascii="宋体" w:hAnsi="宋体" w:cs="宋体"/>
                <w:color w:val="000000" w:themeColor="text1"/>
                <w:sz w:val="24"/>
                <w:highlight w:val="none"/>
                <w:shd w:val="clear" w:color="auto"/>
                <w14:textFill>
                  <w14:solidFill>
                    <w14:schemeClr w14:val="tx1"/>
                  </w14:solidFill>
                </w14:textFill>
              </w:rPr>
              <w:t xml:space="preserve">分，扣完为止。</w:t>
            </w:r>
            <w:r/>
          </w:p>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和“▲”的技术参数响应需提供支撑资料（提供相关证明材料并加盖投标单位公章包括但不限于明确说明该技术内容的公开发行的产品彩页或产品说明书或第三方检测机构的检测报告等，自拟无效），如未附有效支撑材料或者所附的支撑材料由评标委员会认为不能佐证技术指标的有效性的，则视为负偏离。如文件中要求提供证明材料，建议采用箭头、标红或下划线等进行明显标注，并在偏离表中标明页码，方便评委查看。</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3</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3</w:t>
            </w:r>
            <w:r/>
          </w:p>
        </w:tc>
      </w:tr>
      <w:tr>
        <w:trPr>
          <w:jc w:val="center"/>
          <w:trHeight w:val="1865"/>
        </w:trPr>
        <w:tc>
          <w:tcPr>
            <w:tcBorders>
              <w:left w:val="single" w:color="auto" w:sz="4" w:space="0"/>
              <w:right w:val="single" w:color="auto" w:sz="4" w:space="0"/>
            </w:tcBorders>
            <w:tcW w:w="39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w:t>
            </w:r>
            <w:r/>
          </w:p>
        </w:tc>
        <w:tc>
          <w:tcPr>
            <w:tcBorders>
              <w:left w:val="single" w:color="auto" w:sz="4" w:space="0"/>
              <w:right w:val="single" w:color="auto" w:sz="4" w:space="0"/>
            </w:tcBorders>
            <w:tcW w:w="506"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业绩</w:t>
            </w:r>
            <w:r/>
          </w:p>
        </w:tc>
        <w:tc>
          <w:tcPr>
            <w:tcBorders>
              <w:top w:val="single" w:color="auto" w:sz="4" w:space="0"/>
              <w:left w:val="single" w:color="auto" w:sz="4" w:space="0"/>
              <w:bottom w:val="single" w:color="auto" w:sz="4" w:space="0"/>
              <w:right w:val="single" w:color="auto" w:sz="4" w:space="0"/>
            </w:tcBorders>
            <w:tcW w:w="3703" w:type="pct"/>
            <w:vAlign w:val="center"/>
            <w:textDirection w:val="lrTb"/>
            <w:noWrap w:val="false"/>
          </w:tcPr>
          <w:p>
            <w:pPr>
              <w:spacing w:line="30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投标人提供自202</w:t>
            </w: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年</w:t>
            </w:r>
            <w:r>
              <w:rPr>
                <w:rFonts w:hint="eastAsia"/>
                <w:color w:val="000000" w:themeColor="text1"/>
                <w:sz w:val="24"/>
                <w:highlight w:val="none"/>
                <w:lang w:val="en-US" w:eastAsia="zh-CN"/>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月1日（含）（时间以合同签订时间为准）以来同类产品的销售业绩，每提供一份得</w:t>
            </w: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分，最多得</w:t>
            </w:r>
            <w:r>
              <w:rPr>
                <w:rFonts w:hint="eastAsia"/>
                <w:color w:val="000000" w:themeColor="text1"/>
                <w:sz w:val="24"/>
                <w:highlight w:val="none"/>
                <w:lang w:val="en-US" w:eastAsia="zh-CN"/>
                <w14:textFill>
                  <w14:solidFill>
                    <w14:schemeClr w14:val="tx1"/>
                  </w14:solidFill>
                </w14:textFill>
              </w:rPr>
              <w:t xml:space="preserve">9</w:t>
            </w:r>
            <w:r>
              <w:rPr>
                <w:rFonts w:hint="eastAsia"/>
                <w:color w:val="000000" w:themeColor="text1"/>
                <w:sz w:val="24"/>
                <w:highlight w:val="none"/>
                <w14:textFill>
                  <w14:solidFill>
                    <w14:schemeClr w14:val="tx1"/>
                  </w14:solidFill>
                </w14:textFill>
              </w:rPr>
              <w:t xml:space="preserve">分。</w:t>
            </w:r>
            <w:r/>
          </w:p>
          <w:p>
            <w:pPr>
              <w:spacing w:line="300" w:lineRule="auto"/>
              <w:rPr>
                <w:rFonts w:ascii="宋体" w:hAnsi="宋体" w:cs="宋体"/>
                <w:color w:val="000000" w:themeColor="text1"/>
                <w:sz w:val="24"/>
                <w:szCs w:val="24"/>
                <w:highlight w:val="none"/>
                <w14:textFill>
                  <w14:solidFill>
                    <w14:schemeClr w14:val="tx1"/>
                  </w14:solidFill>
                </w14:textFill>
              </w:rPr>
            </w:pPr>
            <w:r>
              <w:rPr>
                <w:rFonts w:hint="eastAsia"/>
                <w:b/>
                <w:bCs/>
                <w:color w:val="000000" w:themeColor="text1"/>
                <w:sz w:val="24"/>
                <w:highlight w:val="none"/>
                <w:lang w:eastAsia="zh-CN"/>
                <w14:textFill>
                  <w14:solidFill>
                    <w14:schemeClr w14:val="tx1"/>
                  </w14:solidFill>
                </w14:textFill>
              </w:rPr>
              <w:t xml:space="preserve">（</w:t>
            </w:r>
            <w:r>
              <w:rPr>
                <w:rFonts w:hint="eastAsia"/>
                <w:b/>
                <w:bCs/>
                <w:color w:val="000000" w:themeColor="text1"/>
                <w:sz w:val="24"/>
                <w:highlight w:val="none"/>
                <w14:textFill>
                  <w14:solidFill>
                    <w14:schemeClr w14:val="tx1"/>
                  </w14:solidFill>
                </w14:textFill>
              </w:rPr>
              <w:t xml:space="preserve">提供合同复印件加盖投标</w:t>
            </w:r>
            <w:r>
              <w:rPr>
                <w:rFonts w:hint="eastAsia"/>
                <w:b/>
                <w:bCs/>
                <w:color w:val="000000" w:themeColor="text1"/>
                <w:sz w:val="24"/>
                <w:highlight w:val="none"/>
                <w:lang w:val="en-US" w:eastAsia="zh-CN"/>
                <w14:textFill>
                  <w14:solidFill>
                    <w14:schemeClr w14:val="tx1"/>
                  </w14:solidFill>
                </w14:textFill>
              </w:rPr>
              <w:t xml:space="preserve">单位</w:t>
            </w:r>
            <w:r>
              <w:rPr>
                <w:rFonts w:hint="eastAsia"/>
                <w:b/>
                <w:bCs/>
                <w:color w:val="000000" w:themeColor="text1"/>
                <w:sz w:val="24"/>
                <w:highlight w:val="none"/>
                <w14:textFill>
                  <w14:solidFill>
                    <w14:schemeClr w14:val="tx1"/>
                  </w14:solidFill>
                </w14:textFill>
              </w:rPr>
              <w:t xml:space="preserve">公章，</w:t>
            </w:r>
            <w:r>
              <w:rPr>
                <w:rFonts w:hint="eastAsia" w:ascii="宋体" w:hAnsi="宋体" w:eastAsia="宋体" w:cs="宋体"/>
                <w:b/>
                <w:bCs/>
                <w:color w:val="000000" w:themeColor="text1"/>
                <w:sz w:val="24"/>
                <w:szCs w:val="24"/>
                <w:highlight w:val="none"/>
                <w14:textFill>
                  <w14:solidFill>
                    <w14:schemeClr w14:val="tx1"/>
                  </w14:solidFill>
                </w14:textFill>
              </w:rPr>
              <w:t xml:space="preserve">合同需体现相关内容，</w:t>
            </w:r>
            <w:r>
              <w:rPr>
                <w:rFonts w:hint="eastAsia"/>
                <w:b/>
                <w:bCs/>
                <w:color w:val="000000" w:themeColor="text1"/>
                <w:sz w:val="24"/>
                <w:highlight w:val="none"/>
                <w14:textFill>
                  <w14:solidFill>
                    <w14:schemeClr w14:val="tx1"/>
                  </w14:solidFill>
                </w14:textFill>
              </w:rPr>
              <w:t xml:space="preserve">未体现不得分，</w:t>
            </w:r>
            <w:r>
              <w:rPr>
                <w:rFonts w:hint="eastAsia"/>
                <w:b/>
                <w:bCs/>
                <w:color w:val="000000" w:themeColor="text1"/>
                <w:sz w:val="24"/>
                <w:highlight w:val="none"/>
                <w:lang w:val="en-US" w:eastAsia="zh-CN"/>
                <w14:textFill>
                  <w14:solidFill>
                    <w14:schemeClr w14:val="tx1"/>
                  </w14:solidFill>
                </w14:textFill>
              </w:rPr>
              <w:t xml:space="preserve">合同</w:t>
            </w:r>
            <w:r>
              <w:rPr>
                <w:rFonts w:hint="eastAsia"/>
                <w:b/>
                <w:bCs/>
                <w:color w:val="000000" w:themeColor="text1"/>
                <w:sz w:val="24"/>
                <w:highlight w:val="none"/>
                <w14:textFill>
                  <w14:solidFill>
                    <w14:schemeClr w14:val="tx1"/>
                  </w14:solidFill>
                </w14:textFill>
              </w:rPr>
              <w:t xml:space="preserve">原件备查。</w:t>
            </w:r>
            <w:r>
              <w:rPr>
                <w:rFonts w:hint="eastAsia"/>
                <w:b/>
                <w:bCs/>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00" w:lineRule="exact"/>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9</w:t>
            </w:r>
            <w:r/>
          </w:p>
        </w:tc>
      </w:tr>
      <w:tr>
        <w:trPr>
          <w:jc w:val="center"/>
          <w:trHeight w:val="560"/>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default"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4</w:t>
            </w:r>
            <w:r/>
          </w:p>
        </w:tc>
        <w:tc>
          <w:tcPr>
            <w:gridSpan w:val="3"/>
            <w:tcBorders>
              <w:left w:val="single" w:color="auto" w:sz="4" w:space="0"/>
              <w:right w:val="single" w:color="auto" w:sz="4" w:space="0"/>
            </w:tcBorders>
            <w:tcW w:w="4609"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技术部分</w:t>
            </w:r>
            <w:r/>
          </w:p>
        </w:tc>
      </w:tr>
      <w:tr>
        <w:trPr>
          <w:jc w:val="center"/>
          <w:trHeight w:val="1058"/>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4.1</w:t>
            </w:r>
            <w:r/>
          </w:p>
        </w:tc>
        <w:tc>
          <w:tcPr>
            <w:tcBorders>
              <w:left w:val="single" w:color="auto" w:sz="4" w:space="0"/>
              <w:right w:val="single" w:color="auto" w:sz="4" w:space="0"/>
            </w:tcBorders>
            <w:tcW w:w="506" w:type="pct"/>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实施方案</w:t>
            </w:r>
            <w:r/>
          </w:p>
        </w:tc>
        <w:tc>
          <w:tcPr>
            <w:tcBorders>
              <w:top w:val="single" w:color="auto" w:sz="4" w:space="0"/>
              <w:left w:val="single" w:color="auto" w:sz="4" w:space="0"/>
              <w:right w:val="single" w:color="auto" w:sz="4" w:space="0"/>
            </w:tcBorders>
            <w:tcW w:w="3703" w:type="pct"/>
            <w:vAlign w:val="center"/>
            <w:textDirection w:val="lrTb"/>
            <w:noWrap w:val="false"/>
          </w:tcPr>
          <w:p>
            <w:pPr>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评标委员会根据供应商针对本项目的项目需求及项目要点提供的项目实施方案进行打分，包括但不限于全部产品的安装部署、联合调试方案、供货及安装各节点时间进度、人员配置安排等：</w:t>
            </w:r>
            <w:r/>
          </w:p>
          <w:p>
            <w:pPr>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1、项目实施方案全面，针对性强，能完全满足本项目需求的，得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p>
            <w:pPr>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2、项目实施方案较全面、针对性较强，能满足本项目需求的，得4分；</w:t>
            </w:r>
            <w:r/>
          </w:p>
          <w:p>
            <w:pPr>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3、项目实施方案一般，针对性、可行性一般，勉强能满足本项目需求的，得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p>
            <w:pPr>
              <w:spacing w:line="400" w:lineRule="exact"/>
              <w:rPr>
                <w:rFonts w:ascii="宋体" w:hAnsi="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4、其他或未提供不得分。</w:t>
            </w:r>
            <w:r/>
          </w:p>
        </w:tc>
        <w:tc>
          <w:tcPr>
            <w:tcBorders>
              <w:top w:val="single" w:color="auto" w:sz="4" w:space="0"/>
              <w:left w:val="single" w:color="auto" w:sz="4" w:space="0"/>
              <w:right w:val="single" w:color="auto" w:sz="4" w:space="0"/>
            </w:tcBorders>
            <w:tcW w:w="399" w:type="pct"/>
            <w:vAlign w:val="center"/>
            <w:textDirection w:val="lrTb"/>
            <w:noWrap w:val="false"/>
          </w:tcPr>
          <w:p>
            <w:pPr>
              <w:jc w:val="center"/>
              <w:spacing w:line="300" w:lineRule="auto"/>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r>
      <w:tr>
        <w:trPr>
          <w:jc w:val="center"/>
          <w:trHeight w:val="1058"/>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4.2</w:t>
            </w:r>
            <w:r/>
          </w:p>
        </w:tc>
        <w:tc>
          <w:tcPr>
            <w:tcBorders>
              <w:left w:val="single" w:color="auto" w:sz="4" w:space="0"/>
              <w:right w:val="single" w:color="auto" w:sz="4" w:space="0"/>
            </w:tcBorders>
            <w:tcW w:w="506"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验收方案</w:t>
            </w:r>
            <w:r/>
          </w:p>
        </w:tc>
        <w:tc>
          <w:tcPr>
            <w:tcBorders>
              <w:top w:val="single" w:color="auto" w:sz="4" w:space="0"/>
              <w:left w:val="single" w:color="auto" w:sz="4" w:space="0"/>
              <w:right w:val="single" w:color="auto" w:sz="4" w:space="0"/>
            </w:tcBorders>
            <w:tcW w:w="3703" w:type="pct"/>
            <w:vAlign w:val="center"/>
            <w:textDirection w:val="lrTb"/>
            <w:noWrap w:val="false"/>
          </w:tcPr>
          <w:p>
            <w:pPr>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评标委员会根据供应商针对本项目的项目需求及项目要点提供的项目验收方案进行打分，包括但不限于全部产品的安装部署、联合调试方案、供货及安装各节点时间进度、人员配置安排等：</w:t>
            </w:r>
            <w:r/>
          </w:p>
          <w:p>
            <w:pPr>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1、验收方案全面，针对性强，能完全满足本项目需求的，得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p>
            <w:pPr>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2、验收方案较全面、针对性较强，能满足本项目需求的，得</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p>
            <w:pPr>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3、验收方案一般，针对性、可行性一般，勉强能满足本项目需求的，得1分；</w:t>
            </w:r>
            <w:r/>
          </w:p>
          <w:p>
            <w:pPr>
              <w:spacing w:line="400" w:lineRule="exact"/>
              <w:rPr>
                <w:rFonts w:ascii="宋体" w:hAnsi="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4、其他或未提供不得分。</w:t>
            </w:r>
            <w:r/>
          </w:p>
        </w:tc>
        <w:tc>
          <w:tcPr>
            <w:tcBorders>
              <w:left w:val="single" w:color="auto" w:sz="4" w:space="0"/>
              <w:right w:val="single" w:color="auto" w:sz="4" w:space="0"/>
            </w:tcBorders>
            <w:tcW w:w="399" w:type="pct"/>
            <w:vAlign w:val="center"/>
            <w:textDirection w:val="lrTb"/>
            <w:noWrap w:val="false"/>
          </w:tcPr>
          <w:p>
            <w:pPr>
              <w:jc w:val="center"/>
              <w:spacing w:line="300" w:lineRule="exact"/>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w:t>
            </w:r>
            <w:r/>
          </w:p>
        </w:tc>
      </w:tr>
      <w:tr>
        <w:trPr>
          <w:jc w:val="center"/>
          <w:trHeight w:val="1058"/>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4.3</w:t>
            </w:r>
            <w:r/>
          </w:p>
        </w:tc>
        <w:tc>
          <w:tcPr>
            <w:tcBorders>
              <w:left w:val="single" w:color="auto" w:sz="4" w:space="0"/>
              <w:right w:val="single" w:color="auto" w:sz="4" w:space="0"/>
            </w:tcBorders>
            <w:tcW w:w="506"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售后服务方案</w:t>
            </w:r>
            <w:r/>
          </w:p>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3703" w:type="pct"/>
            <w:vAlign w:val="center"/>
            <w:textDirection w:val="lrTb"/>
            <w:noWrap w:val="false"/>
          </w:tcPr>
          <w:p>
            <w:pP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根据投标人针对本项目提供的售后服务方案（包括但不限于售后服务人员的配备、服务响应时间、质保期后服务等技术指导及该仪器的备品、配件、耗材、维修的明细、价格或折扣的承诺）进行综合评审：</w:t>
            </w:r>
            <w:r/>
          </w:p>
          <w:p>
            <w:pP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服务方案全面，细致，有针对性，且售后服务、质保期后服务等技术指导方案周全，备品、配件、耗材、维修的明细、价格或折扣合理，得7分；</w:t>
            </w:r>
            <w:r/>
          </w:p>
          <w:p>
            <w:pP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服务方案不够全面，无针对性，且售后服务、质保期后服务等技术指导方案内容不够周全，备品、配件、耗材、维修的明细、价格或折扣较为合理的，得4分；</w:t>
            </w:r>
            <w:r/>
          </w:p>
          <w:p>
            <w:pP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方案无实质性内容、没有可操作性，备品、配件、耗材、维修的明细、价格或折扣不太合理得1分；</w:t>
            </w:r>
            <w:r/>
          </w:p>
          <w:p>
            <w:pP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4、其他或未提供不得分。</w:t>
            </w:r>
            <w:r/>
          </w:p>
        </w:tc>
        <w:tc>
          <w:tcPr>
            <w:tcBorders>
              <w:left w:val="single" w:color="auto" w:sz="4" w:space="0"/>
              <w:right w:val="single" w:color="auto" w:sz="4" w:space="0"/>
            </w:tcBorders>
            <w:tcW w:w="399" w:type="pct"/>
            <w:vAlign w:val="center"/>
            <w:textDirection w:val="lrTb"/>
            <w:noWrap w:val="false"/>
          </w:tcPr>
          <w:p>
            <w:pPr>
              <w:jc w:val="center"/>
              <w:spacing w:line="300" w:lineRule="exact"/>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r>
      <w:tr>
        <w:trPr>
          <w:jc w:val="center"/>
          <w:trHeight w:val="1058"/>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4.4</w:t>
            </w:r>
            <w:r/>
          </w:p>
        </w:tc>
        <w:tc>
          <w:tcPr>
            <w:tcBorders>
              <w:left w:val="single" w:color="auto" w:sz="4" w:space="0"/>
              <w:right w:val="single" w:color="auto" w:sz="4" w:space="0"/>
            </w:tcBorders>
            <w:tcW w:w="506" w:type="pct"/>
            <w:vAlign w:val="center"/>
            <w:textDirection w:val="lrTb"/>
            <w:noWrap w:val="false"/>
          </w:tcPr>
          <w:p>
            <w:pPr>
              <w:spacing w:line="30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培训及应急保障方案</w:t>
            </w:r>
            <w:r/>
          </w:p>
        </w:tc>
        <w:tc>
          <w:tcPr>
            <w:tcBorders>
              <w:top w:val="single" w:color="auto" w:sz="4" w:space="0"/>
              <w:left w:val="single" w:color="auto" w:sz="4" w:space="0"/>
              <w:right w:val="single" w:color="auto" w:sz="4" w:space="0"/>
            </w:tcBorders>
            <w:tcW w:w="3703" w:type="pct"/>
            <w:vAlign w:val="center"/>
            <w:textDirection w:val="lrTb"/>
            <w:noWrap w:val="false"/>
          </w:tcPr>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根据供应商提供的</w:t>
            </w:r>
            <w:r>
              <w:rPr>
                <w:rFonts w:hint="eastAsia" w:ascii="宋体" w:hAnsi="宋体" w:cs="宋体"/>
                <w:color w:val="000000" w:themeColor="text1"/>
                <w:sz w:val="24"/>
                <w:highlight w:val="none"/>
                <w14:textFill>
                  <w14:solidFill>
                    <w14:schemeClr w14:val="tx1"/>
                  </w14:solidFill>
                </w14:textFill>
              </w:rPr>
              <w:t xml:space="preserve">培训及应急保障方案进行打分，</w:t>
            </w:r>
            <w:r>
              <w:rPr>
                <w:rFonts w:hint="eastAsia" w:ascii="宋体" w:hAnsi="宋体" w:cs="宋体"/>
                <w:color w:val="000000" w:themeColor="text1"/>
                <w:sz w:val="24"/>
                <w:highlight w:val="none"/>
                <w:lang w:val="zh-CN"/>
                <w14:textFill>
                  <w14:solidFill>
                    <w14:schemeClr w14:val="tx1"/>
                  </w14:solidFill>
                </w14:textFill>
              </w:rPr>
              <w:t xml:space="preserve">包括但不限于人员操作培训、维修保养培训、相关科研教育</w:t>
            </w:r>
            <w:r>
              <w:rPr>
                <w:rFonts w:hint="eastAsia" w:ascii="宋体" w:hAnsi="宋体" w:cs="宋体"/>
                <w:color w:val="000000" w:themeColor="text1"/>
                <w:sz w:val="24"/>
                <w:highlight w:val="none"/>
                <w14:textFill>
                  <w14:solidFill>
                    <w14:schemeClr w14:val="tx1"/>
                  </w14:solidFill>
                </w14:textFill>
              </w:rPr>
              <w:t xml:space="preserve">、应急保障预案以及项目实施风险分析</w:t>
            </w:r>
            <w:r>
              <w:rPr>
                <w:rFonts w:hint="eastAsia" w:ascii="宋体" w:hAnsi="宋体" w:cs="宋体"/>
                <w:color w:val="000000" w:themeColor="text1"/>
                <w:sz w:val="24"/>
                <w:highlight w:val="none"/>
                <w:lang w:val="zh-CN"/>
                <w14:textFill>
                  <w14:solidFill>
                    <w14:schemeClr w14:val="tx1"/>
                  </w14:solidFill>
                </w14:textFill>
              </w:rPr>
              <w:t xml:space="preserve">等</w:t>
            </w:r>
            <w:r>
              <w:rPr>
                <w:rFonts w:hint="eastAsia" w:ascii="宋体" w:hAnsi="宋体" w:cs="宋体"/>
                <w:color w:val="000000" w:themeColor="text1"/>
                <w:sz w:val="24"/>
                <w:highlight w:val="none"/>
                <w14:textFill>
                  <w14:solidFill>
                    <w14:schemeClr w14:val="tx1"/>
                  </w14:solidFill>
                </w14:textFill>
              </w:rPr>
              <w:t xml:space="preserve">方面进行打分。</w:t>
            </w:r>
            <w:r/>
          </w:p>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培训内容完善、风险分析全面、保障方案周全，得7分；</w:t>
            </w:r>
            <w:r/>
          </w:p>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培训内容基本完善、风险分析基本全面、保障方案基本周全，得4分；</w:t>
            </w:r>
            <w:r/>
          </w:p>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培训内容和保障方案简单、风险分析有所缺漏，得1分；</w:t>
            </w:r>
            <w:r/>
          </w:p>
          <w:p>
            <w:pPr>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4、其他或未提供不得分。</w:t>
            </w:r>
            <w:r/>
          </w:p>
        </w:tc>
        <w:tc>
          <w:tcPr>
            <w:tcBorders>
              <w:left w:val="single" w:color="auto" w:sz="4" w:space="0"/>
              <w:right w:val="single" w:color="auto" w:sz="4" w:space="0"/>
            </w:tcBorders>
            <w:tcW w:w="399" w:type="pct"/>
            <w:vAlign w:val="center"/>
            <w:textDirection w:val="lrTb"/>
            <w:noWrap w:val="false"/>
          </w:tcPr>
          <w:p>
            <w:pPr>
              <w:jc w:val="center"/>
              <w:spacing w:line="300" w:lineRule="auto"/>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r>
      <w:tr>
        <w:trPr>
          <w:jc w:val="center"/>
          <w:trHeight w:val="623"/>
        </w:trPr>
        <w:tc>
          <w:tcPr>
            <w:gridSpan w:val="3"/>
            <w:tcBorders>
              <w:left w:val="single" w:color="auto" w:sz="4" w:space="0"/>
              <w:right w:val="single" w:color="auto" w:sz="4" w:space="0"/>
            </w:tcBorders>
            <w:tcW w:w="460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合计</w:t>
            </w:r>
            <w:r/>
          </w:p>
        </w:tc>
        <w:tc>
          <w:tcPr>
            <w:tcBorders>
              <w:left w:val="single" w:color="auto" w:sz="4" w:space="0"/>
              <w:right w:val="single" w:color="auto" w:sz="4" w:space="0"/>
            </w:tcBorders>
            <w:tcW w:w="399" w:type="pct"/>
            <w:vAlign w:val="center"/>
            <w:textDirection w:val="lrTb"/>
            <w:noWrap w:val="false"/>
          </w:tcPr>
          <w:p>
            <w:pPr>
              <w:jc w:val="center"/>
              <w:spacing w:line="400" w:lineRule="exact"/>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100</w:t>
            </w:r>
            <w:r/>
          </w:p>
        </w:tc>
      </w:tr>
    </w:tbl>
    <w:p>
      <w:pPr>
        <w:pStyle w:val="10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20"/>
        <w:jc w:val="left"/>
        <w:spacing w:line="360" w:lineRule="auto"/>
        <w:shd w:val="clear" w:color="auto" w:fill="ffffff"/>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20"/>
        <w:jc w:val="left"/>
        <w:spacing w:line="360" w:lineRule="auto"/>
        <w:shd w:val="clear" w:color="auto" w:fill="ffffff"/>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二、小微企业的价格扣除</w:t>
      </w:r>
      <w:r/>
    </w:p>
    <w:p>
      <w:pPr>
        <w:ind w:firstLine="420"/>
        <w:jc w:val="left"/>
        <w:spacing w:line="360" w:lineRule="auto"/>
        <w:shd w:val="clear" w:color="auto" w:fill="ffffff"/>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0"/>
        <w:jc w:val="left"/>
        <w:spacing w:line="360" w:lineRule="auto"/>
        <w:shd w:val="clear" w:color="auto" w:fill="ffffff"/>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2.价格扣除比例或者价格分加分比例对小型企业和微型企业同等对待，不作区分。</w:t>
      </w:r>
      <w:r/>
    </w:p>
    <w:p>
      <w:pPr>
        <w:ind w:firstLine="420"/>
        <w:jc w:val="left"/>
        <w:spacing w:line="360" w:lineRule="auto"/>
        <w:shd w:val="clear" w:color="auto" w:fill="ffffff"/>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三、监狱和戒毒企业的价格扣除</w:t>
      </w:r>
      <w:r/>
    </w:p>
    <w:p>
      <w:pPr>
        <w:ind w:firstLine="420"/>
        <w:jc w:val="left"/>
        <w:spacing w:line="360" w:lineRule="auto"/>
        <w:shd w:val="clear" w:color="auto" w:fill="ffffff"/>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1.本项目对监狱和戒毒企业（简称监狱企业）视同小型、微型企业，享受相同的价格扣除优惠政策。</w:t>
      </w:r>
      <w:r/>
    </w:p>
    <w:p>
      <w:pPr>
        <w:ind w:firstLine="420"/>
        <w:jc w:val="left"/>
        <w:spacing w:line="360" w:lineRule="auto"/>
        <w:shd w:val="clear" w:color="auto" w:fill="ffffff"/>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2.监狱企业需提供由省级以上监狱管理局、戒毒管理局（含新疆生产建设兵团）出具的属于监狱企业的证明文件。</w:t>
      </w:r>
      <w:r/>
    </w:p>
    <w:p>
      <w:pPr>
        <w:ind w:firstLine="420"/>
        <w:jc w:val="left"/>
        <w:spacing w:line="360" w:lineRule="auto"/>
        <w:shd w:val="clear" w:color="auto" w:fill="ffffff"/>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ind w:firstLine="420"/>
        <w:jc w:val="left"/>
        <w:spacing w:line="360" w:lineRule="auto"/>
        <w:shd w:val="clear" w:color="auto" w:fill="ffffff"/>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四、残疾人福利性单位的价格扣除</w:t>
      </w:r>
      <w:r/>
    </w:p>
    <w:p>
      <w:pPr>
        <w:ind w:firstLine="420"/>
        <w:jc w:val="left"/>
        <w:spacing w:line="360" w:lineRule="auto"/>
        <w:shd w:val="clear" w:color="auto" w:fill="ffffff"/>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1.本项目对残疾人福利性单位视同小型、微型企业，享受相同的价格扣除优惠政策。</w:t>
      </w:r>
      <w:r/>
    </w:p>
    <w:p>
      <w:pPr>
        <w:ind w:firstLine="420"/>
        <w:jc w:val="left"/>
        <w:spacing w:line="360" w:lineRule="auto"/>
        <w:shd w:val="clear" w:color="auto" w:fill="ffffff"/>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2.残疾人福利性单位需按照招标文件的要求提供《残疾人福利性单位声明函》。</w:t>
      </w:r>
      <w:r/>
    </w:p>
    <w:p>
      <w:pPr>
        <w:ind w:firstLine="420"/>
        <w:jc w:val="left"/>
        <w:spacing w:line="360" w:lineRule="auto"/>
        <w:shd w:val="clear" w:color="auto" w:fill="ffffff"/>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3.残疾人福利性单位标准请参照《关于促进残疾人就业政府采购政策的通知》（财库〔2017〕141号）。</w:t>
      </w:r>
      <w:r/>
    </w:p>
    <w:p>
      <w:pPr>
        <w:ind w:firstLine="420"/>
        <w:jc w:val="left"/>
        <w:spacing w:line="360" w:lineRule="auto"/>
        <w:shd w:val="clear" w:color="auto" w:fill="ffffff"/>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五、监狱企业、残疾人福利性单位属于小型、微型企业的，不重复享受政策。</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六、采购本国产品的支持政策</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1、</w:t>
      </w:r>
      <w:r>
        <w:rPr>
          <w:rFonts w:hint="eastAsia" w:ascii="宋体" w:hAnsi="宋体" w:cs="宋体"/>
          <w:bCs/>
          <w:color w:val="000000" w:themeColor="text1"/>
          <w:highlight w:val="none"/>
          <w14:textFill>
            <w14:solidFill>
              <w14:schemeClr w14:val="tx1"/>
            </w14:solidFill>
          </w14:textFill>
        </w:rPr>
        <w:t xml:space="preserve"> 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2、</w:t>
      </w:r>
      <w:r>
        <w:rPr>
          <w:rFonts w:hint="eastAsia" w:ascii="宋体" w:hAnsi="宋体" w:cs="宋体"/>
          <w:bCs/>
          <w:color w:val="000000" w:themeColor="text1"/>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投标文件格式及附件</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lang w:val="en-US" w:eastAsia="zh-CN"/>
          <w14:textFill>
            <w14:solidFill>
              <w14:schemeClr w14:val="tx1"/>
            </w14:solidFill>
          </w14:textFill>
        </w:rPr>
        <w:t xml:space="preserve">中的</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目录五、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3、</w:t>
      </w:r>
      <w:r>
        <w:rPr>
          <w:rFonts w:hint="eastAsia" w:ascii="宋体" w:hAnsi="宋体" w:cs="宋体"/>
          <w:bCs/>
          <w:color w:val="000000" w:themeColor="text1"/>
          <w:highlight w:val="none"/>
          <w14:textFill>
            <w14:solidFill>
              <w14:schemeClr w14:val="tx1"/>
            </w14:solidFill>
          </w14:textFill>
        </w:rPr>
        <w:t xml:space="preserve">供应商需按照招标文件的要求提供《关于符合本国产品标准的声明函》（以下简称《声明函》），如不提供将不享受本国产品价格评审优惠。</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4、</w:t>
      </w:r>
      <w:r>
        <w:rPr>
          <w:rFonts w:hint="eastAsia" w:ascii="宋体" w:hAnsi="宋体" w:cs="宋体"/>
          <w:bCs/>
          <w:color w:val="000000" w:themeColor="text1"/>
          <w:highlight w:val="none"/>
          <w14:textFill>
            <w14:solidFill>
              <w14:schemeClr w14:val="tx1"/>
            </w14:solidFill>
          </w14:textFill>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5、</w:t>
      </w:r>
      <w:r>
        <w:rPr>
          <w:rFonts w:hint="eastAsia" w:ascii="宋体" w:hAnsi="宋体" w:cs="宋体"/>
          <w:bCs/>
          <w:color w:val="000000" w:themeColor="text1"/>
          <w:highlight w:val="none"/>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rPr>
          <w:rFonts w:ascii="宋体" w:hAnsi="宋体" w:cs="宋体"/>
          <w:bCs/>
          <w:color w:val="000000" w:themeColor="text1"/>
          <w:sz w:val="22"/>
          <w:szCs w:val="22"/>
          <w:highlight w:val="none"/>
          <w14:textFill>
            <w14:solidFill>
              <w14:schemeClr w14:val="tx1"/>
            </w14:solidFill>
          </w14:textFill>
        </w:rPr>
        <w:sectPr>
          <w:headerReference w:type="default" r:id="rId10"/>
          <w:footerReference w:type="default" r:id="rId13"/>
          <w:footnotePr/>
          <w:endnotePr/>
          <w:type w:val="nextPage"/>
          <w:pgSz w:w="11906" w:h="16838" w:orient="portrait"/>
          <w:pgMar w:top="850" w:right="850" w:bottom="850" w:left="1418" w:header="170" w:footer="397" w:gutter="0"/>
          <w:cols w:num="1" w:sep="0" w:space="720" w:equalWidth="1"/>
          <w:docGrid w:linePitch="360"/>
        </w:sectPr>
      </w:pPr>
      <w:r>
        <w:rPr>
          <w:rFonts w:hint="eastAsia" w:ascii="宋体" w:hAnsi="宋体" w:cs="宋体"/>
          <w:bCs/>
          <w:color w:val="000000" w:themeColor="text1"/>
          <w:highlight w:val="none"/>
          <w:lang w:val="en-US" w:eastAsia="zh-CN"/>
          <w14:textFill>
            <w14:solidFill>
              <w14:schemeClr w14:val="tx1"/>
            </w14:solidFill>
          </w14:textFill>
        </w:rPr>
        <w:t xml:space="preserve">七、</w:t>
      </w:r>
      <w:r>
        <w:rPr>
          <w:rFonts w:hint="eastAsia" w:ascii="宋体" w:hAnsi="宋体" w:cs="宋体"/>
          <w:bCs/>
          <w:color w:val="000000" w:themeColor="text1"/>
          <w:highlight w:val="none"/>
          <w14:textFill>
            <w14:solidFill>
              <w14:schemeClr w14:val="tx1"/>
            </w14:solidFill>
          </w14:textFill>
        </w:rPr>
        <w:t xml:space="preserve">除评分标准中另有说明外，所有认证、证明和业绩均以有效的证明文件的复印件为依据。</w:t>
      </w:r>
      <w:r/>
    </w:p>
    <w:p>
      <w:pPr>
        <w:jc w:val="center"/>
        <w:spacing w:after="240"/>
        <w:rPr>
          <w:rFonts w:ascii="宋体" w:hAnsi="宋体"/>
          <w:b/>
          <w:bCs/>
          <w:color w:val="000000" w:themeColor="text1"/>
          <w:sz w:val="44"/>
          <w:szCs w:val="44"/>
          <w:highlight w:val="none"/>
          <w:lang w:val="zh-CN"/>
          <w14:textFill>
            <w14:solidFill>
              <w14:schemeClr w14:val="tx1"/>
            </w14:solidFill>
          </w14:textFill>
        </w:rPr>
        <w:outlineLvl w:val="0"/>
      </w:pPr>
      <w:r/>
      <w:bookmarkStart w:id="30" w:name="_Toc86950124"/>
      <w:r/>
      <w:bookmarkStart w:id="31" w:name="_Toc285612594"/>
      <w:r/>
      <w:bookmarkStart w:id="32" w:name="_Toc390713967"/>
      <w:r/>
      <w:bookmarkStart w:id="33" w:name="OLE_LINK13"/>
      <w:r/>
      <w:bookmarkStart w:id="34" w:name="OLE_LINK4"/>
      <w:r/>
      <w:bookmarkStart w:id="35" w:name="OLE_LINK12"/>
      <w:r/>
      <w:bookmarkStart w:id="36" w:name="OLE_LINK6"/>
      <w:r>
        <w:rPr>
          <w:rFonts w:ascii="宋体" w:hAnsi="宋体"/>
          <w:b/>
          <w:bCs/>
          <w:color w:val="000000" w:themeColor="text1"/>
          <w:sz w:val="44"/>
          <w:szCs w:val="44"/>
          <w:highlight w:val="none"/>
          <w:lang w:val="zh-CN"/>
          <w14:textFill>
            <w14:solidFill>
              <w14:schemeClr w14:val="tx1"/>
            </w14:solidFill>
          </w14:textFill>
        </w:rPr>
        <w:t xml:space="preserve">第</w:t>
      </w:r>
      <w:r>
        <w:rPr>
          <w:rFonts w:hint="eastAsia" w:ascii="宋体" w:hAnsi="宋体"/>
          <w:b/>
          <w:bCs/>
          <w:color w:val="000000" w:themeColor="text1"/>
          <w:sz w:val="44"/>
          <w:szCs w:val="44"/>
          <w:highlight w:val="none"/>
          <w14:textFill>
            <w14:solidFill>
              <w14:schemeClr w14:val="tx1"/>
            </w14:solidFill>
          </w14:textFill>
        </w:rPr>
        <w:t xml:space="preserve">四</w:t>
      </w:r>
      <w:r>
        <w:rPr>
          <w:rFonts w:hint="eastAsia" w:ascii="宋体" w:hAnsi="宋体"/>
          <w:b/>
          <w:bCs/>
          <w:color w:val="000000" w:themeColor="text1"/>
          <w:sz w:val="44"/>
          <w:szCs w:val="44"/>
          <w:highlight w:val="none"/>
          <w:lang w:val="zh-CN"/>
          <w14:textFill>
            <w14:solidFill>
              <w14:schemeClr w14:val="tx1"/>
            </w14:solidFill>
          </w14:textFill>
        </w:rPr>
        <w:t xml:space="preserve">章</w:t>
      </w:r>
      <w:r>
        <w:rPr>
          <w:rFonts w:ascii="宋体" w:hAnsi="宋体"/>
          <w:b/>
          <w:bCs/>
          <w:color w:val="000000" w:themeColor="text1"/>
          <w:sz w:val="44"/>
          <w:szCs w:val="44"/>
          <w:highlight w:val="none"/>
          <w:lang w:val="zh-CN"/>
          <w14:textFill>
            <w14:solidFill>
              <w14:schemeClr w14:val="tx1"/>
            </w14:solidFill>
          </w14:textFill>
        </w:rPr>
        <w:t xml:space="preserve">  </w:t>
      </w:r>
      <w:r>
        <w:rPr>
          <w:rFonts w:hint="eastAsia" w:ascii="宋体" w:hAnsi="宋体"/>
          <w:b/>
          <w:bCs/>
          <w:color w:val="000000" w:themeColor="text1"/>
          <w:sz w:val="44"/>
          <w:szCs w:val="44"/>
          <w:highlight w:val="none"/>
          <w:lang w:val="zh-CN"/>
          <w14:textFill>
            <w14:solidFill>
              <w14:schemeClr w14:val="tx1"/>
            </w14:solidFill>
          </w14:textFill>
        </w:rPr>
        <w:t xml:space="preserve">项目</w:t>
      </w:r>
      <w:bookmarkEnd w:id="30"/>
      <w:r/>
      <w:bookmarkEnd w:id="31"/>
      <w:r/>
      <w:bookmarkEnd w:id="32"/>
      <w:r>
        <w:rPr>
          <w:rFonts w:hint="eastAsia" w:ascii="宋体" w:hAnsi="宋体"/>
          <w:b/>
          <w:bCs/>
          <w:color w:val="000000" w:themeColor="text1"/>
          <w:sz w:val="44"/>
          <w:szCs w:val="44"/>
          <w:highlight w:val="none"/>
          <w:lang w:val="zh-CN"/>
          <w14:textFill>
            <w14:solidFill>
              <w14:schemeClr w14:val="tx1"/>
            </w14:solidFill>
          </w14:textFill>
        </w:rPr>
        <w:t xml:space="preserve">需求</w:t>
      </w:r>
      <w:bookmarkEnd w:id="33"/>
      <w:r/>
      <w:bookmarkEnd w:id="34"/>
      <w:r/>
      <w:bookmarkEnd w:id="35"/>
      <w:r/>
      <w:bookmarkEnd w:id="36"/>
      <w:r/>
      <w:r/>
    </w:p>
    <w:p>
      <w:pPr>
        <w:spacing w:after="120" w:line="360" w:lineRule="auto"/>
        <w:rPr>
          <w:rFonts w:ascii="宋体" w:hAnsi="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注：本章节需在《技术条款偏离表》或《商务条款偏离表》中进行响应，其中加“★”内容为实质性要求，供应商未对实质性要求响应或有负偏离的，按无效响应处理。</w:t>
      </w:r>
      <w:r/>
    </w:p>
    <w:p>
      <w:pPr>
        <w:jc w:val="cente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（第一部分：技术部分要求）</w:t>
      </w:r>
      <w:r/>
    </w:p>
    <w:p>
      <w:pPr>
        <w:pStyle w:val="1143"/>
        <w:ind w:left="0" w:firstLine="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bookmarkStart w:id="37" w:name="_Toc11610"/>
      <w:r>
        <w:rPr>
          <w:rFonts w:hint="eastAsia" w:ascii="宋体" w:hAnsi="宋体" w:eastAsia="宋体" w:cs="宋体"/>
          <w:b/>
          <w:bCs/>
          <w:color w:val="000000" w:themeColor="text1"/>
          <w:sz w:val="24"/>
          <w:szCs w:val="24"/>
          <w:highlight w:val="none"/>
          <w14:textFill>
            <w14:solidFill>
              <w14:schemeClr w14:val="tx1"/>
            </w14:solidFill>
          </w14:textFill>
        </w:rPr>
        <w:t xml:space="preserve">一、项目基本情况及采购项目清单</w:t>
      </w:r>
      <w:r/>
    </w:p>
    <w:tbl>
      <w:tblPr>
        <w:tblStyle w:val="10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1"/>
        <w:gridCol w:w="2327"/>
        <w:gridCol w:w="1704"/>
        <w:gridCol w:w="1294"/>
        <w:gridCol w:w="2116"/>
      </w:tblGrid>
      <w:tr>
        <w:trPr>
          <w:jc w:val="center"/>
          <w:trHeight w:val="466"/>
        </w:trPr>
        <w:tc>
          <w:tcPr>
            <w:tcW w:w="1081" w:type="dxa"/>
            <w:vAlign w:val="center"/>
            <w:textDirection w:val="lrTb"/>
            <w:noWrap w:val="false"/>
          </w:tcPr>
          <w:p>
            <w:pPr>
              <w:pStyle w:val="1143"/>
              <w:ind w:firstLine="0"/>
              <w:jc w:val="center"/>
              <w:spacing w:after="0"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2327" w:type="dxa"/>
            <w:vAlign w:val="center"/>
            <w:textDirection w:val="lrTb"/>
            <w:noWrap w:val="false"/>
          </w:tcPr>
          <w:p>
            <w:pPr>
              <w:pStyle w:val="1143"/>
              <w:ind w:firstLine="0"/>
              <w:jc w:val="center"/>
              <w:spacing w:after="0"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产品名称</w:t>
            </w:r>
            <w:r/>
          </w:p>
        </w:tc>
        <w:tc>
          <w:tcPr>
            <w:tcW w:w="1704" w:type="dxa"/>
            <w:vAlign w:val="center"/>
            <w:textDirection w:val="lrTb"/>
            <w:noWrap w:val="false"/>
          </w:tcPr>
          <w:p>
            <w:pPr>
              <w:pStyle w:val="1143"/>
              <w:ind w:firstLine="0"/>
              <w:jc w:val="center"/>
              <w:spacing w:after="0"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数量</w:t>
            </w:r>
            <w:r/>
          </w:p>
        </w:tc>
        <w:tc>
          <w:tcPr>
            <w:tcW w:w="1294" w:type="dxa"/>
            <w:vAlign w:val="center"/>
            <w:textDirection w:val="lrTb"/>
            <w:noWrap w:val="false"/>
          </w:tcPr>
          <w:p>
            <w:pPr>
              <w:pStyle w:val="1143"/>
              <w:ind w:firstLine="0"/>
              <w:jc w:val="center"/>
              <w:spacing w:after="0"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单位</w:t>
            </w:r>
            <w:r/>
          </w:p>
        </w:tc>
        <w:tc>
          <w:tcPr>
            <w:tcW w:w="2116" w:type="dxa"/>
            <w:vAlign w:val="center"/>
            <w:textDirection w:val="lrTb"/>
            <w:noWrap w:val="false"/>
          </w:tcPr>
          <w:p>
            <w:pPr>
              <w:pStyle w:val="1143"/>
              <w:ind w:firstLine="0"/>
              <w:jc w:val="center"/>
              <w:spacing w:after="0"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最高限价</w:t>
            </w:r>
            <w:r/>
          </w:p>
        </w:tc>
      </w:tr>
      <w:tr>
        <w:trPr>
          <w:jc w:val="center"/>
          <w:trHeight w:val="596"/>
        </w:trPr>
        <w:tc>
          <w:tcPr>
            <w:tcW w:w="1081" w:type="dxa"/>
            <w:vAlign w:val="center"/>
            <w:textDirection w:val="lrTb"/>
            <w:noWrap w:val="false"/>
          </w:tcPr>
          <w:p>
            <w:pPr>
              <w:pStyle w:val="1143"/>
              <w:ind w:firstLine="0"/>
              <w:jc w:val="center"/>
              <w:spacing w:after="0" w:line="24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p>
        </w:tc>
        <w:tc>
          <w:tcPr>
            <w:tcW w:w="2327" w:type="dxa"/>
            <w:vAlign w:val="center"/>
            <w:textDirection w:val="lrTb"/>
            <w:noWrap w:val="false"/>
          </w:tcPr>
          <w:p>
            <w:pPr>
              <w:pStyle w:val="1143"/>
              <w:ind w:firstLine="0"/>
              <w:jc w:val="center"/>
              <w:spacing w:after="0" w:line="24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测序仪</w:t>
            </w:r>
            <w:r/>
          </w:p>
        </w:tc>
        <w:tc>
          <w:tcPr>
            <w:tcW w:w="1704" w:type="dxa"/>
            <w:vAlign w:val="center"/>
            <w:textDirection w:val="lrTb"/>
            <w:noWrap w:val="false"/>
          </w:tcPr>
          <w:p>
            <w:pPr>
              <w:pStyle w:val="1143"/>
              <w:ind w:firstLine="0"/>
              <w:jc w:val="center"/>
              <w:spacing w:after="0" w:line="24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p>
        </w:tc>
        <w:tc>
          <w:tcPr>
            <w:tcW w:w="1294" w:type="dxa"/>
            <w:vAlign w:val="center"/>
            <w:textDirection w:val="lrTb"/>
            <w:noWrap w:val="false"/>
          </w:tcPr>
          <w:p>
            <w:pPr>
              <w:pStyle w:val="1143"/>
              <w:ind w:firstLine="0"/>
              <w:jc w:val="center"/>
              <w:spacing w:after="0" w:line="24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台</w:t>
            </w:r>
            <w:r/>
          </w:p>
        </w:tc>
        <w:tc>
          <w:tcPr>
            <w:tcW w:w="2116" w:type="dxa"/>
            <w:vAlign w:val="center"/>
            <w:textDirection w:val="lrTb"/>
            <w:noWrap w:val="false"/>
          </w:tcPr>
          <w:p>
            <w:pPr>
              <w:pStyle w:val="1143"/>
              <w:ind w:firstLine="0"/>
              <w:jc w:val="center"/>
              <w:spacing w:after="0" w:line="24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650万元</w:t>
            </w:r>
            <w:r/>
          </w:p>
        </w:tc>
      </w:tr>
    </w:tbl>
    <w:p>
      <w:pPr>
        <w:pStyle w:val="1143"/>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1143"/>
        <w:numPr>
          <w:ilvl w:val="0"/>
          <w:numId w:val="0"/>
        </w:num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技术要求</w:t>
      </w:r>
      <w:r/>
    </w:p>
    <w:p>
      <w:pPr>
        <w:pStyle w:val="1040"/>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1.电源:200-240V，≤3000VA；</w:t>
      </w:r>
      <w:r/>
    </w:p>
    <w:p>
      <w:pPr>
        <w:pStyle w:val="1040"/>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2.运行环境要求:温度19℃-25℃；湿度30%RH-80%RH无冷凝；大气压80kPa-105kPa；</w:t>
      </w:r>
      <w:r/>
    </w:p>
    <w:p>
      <w:pPr>
        <w:ind w:firstLine="420"/>
        <w:keepLines w:val="0"/>
        <w:keepNext w:val="0"/>
        <w:pageBreakBefore w:val="0"/>
        <w:spacing w:line="360" w:lineRule="auto"/>
        <w:widowControl/>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3.应用领域:</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可开展全基因组测序、全外显子测序、表观基因组测序、转录组测序、宏基因组测序、单细胞测序等科研应用；</w:t>
      </w:r>
      <w:r/>
    </w:p>
    <w:p>
      <w:pPr>
        <w:ind w:firstLine="420"/>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4.功能范围：可完成DNB文库的测序、样本序列信息的收集、序列信息的识别与初步分析；</w:t>
      </w:r>
      <w:r/>
    </w:p>
    <w:p>
      <w:pPr>
        <w:pStyle w:val="1040"/>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5.仪器应采用触摸屏幕操作界面，测序控制软件界面支持中英文切换；</w:t>
      </w:r>
      <w:r/>
    </w:p>
    <w:p>
      <w:pPr>
        <w:pStyle w:val="1040"/>
        <w:ind w:firstLine="480"/>
        <w:keepLines w:val="0"/>
        <w:keepNext w:val="0"/>
        <w:pageBreakBefore w:val="0"/>
        <w:spacing w:line="360" w:lineRule="auto"/>
        <w:widowControl/>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★6.核心原理:采用线性扩增技术，且所有扩增反应（包括文库拷贝数扩增）均需在测序载片加载文库操作之前，测序载片加载文库后，不进行任何扩增操作；</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提供相关证明材料并加盖</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投标单位</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公章（包括但不限于明确说明该技术内容的产品彩页或产品说明书或第三方检测机构的检测报告等，自拟无效）</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w:t>
      </w:r>
      <w:r/>
    </w:p>
    <w:p>
      <w:pPr>
        <w:pStyle w:val="1040"/>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7.重复序列率:产出数据的Duplicate Rate 平均不高于6%；</w:t>
      </w:r>
      <w:r/>
    </w:p>
    <w:p>
      <w:pPr>
        <w:pStyle w:val="1040"/>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8.标签跳跃率:Index Hopping的发生概率控制在0.0001%-0.0004%；</w:t>
      </w:r>
      <w:r/>
    </w:p>
    <w:p>
      <w:pPr>
        <w:pStyle w:val="1040"/>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9.测序方式:支持单端测序（SE）和双端测序（PE）;</w:t>
      </w:r>
      <w:r/>
    </w:p>
    <w:p>
      <w:pPr>
        <w:pStyle w:val="1040"/>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10.读长支持：支持读长类型中须至少包含SE50、PE100、PE150。</w:t>
      </w:r>
      <w:r/>
    </w:p>
    <w:p>
      <w:pPr>
        <w:ind w:firstLine="420"/>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▲11.载片数量:支持</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张（含）以上载片同时运行，各个载片独立工作，支持不同读长同时测序，互不干扰；</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提供相关证明材料并加盖</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投标单位</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公章（包括但不限于明确说明该技术内容的产品彩页或产品说明书或第三方检测机构的检测报告等，自拟无效）</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w:t>
      </w:r>
      <w:r/>
    </w:p>
    <w:p>
      <w:pPr>
        <w:pStyle w:val="1040"/>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▲12.载片类型:每次运行单张载片可生成≥</w:t>
      </w:r>
      <w:r>
        <w:rPr>
          <w:rFonts w:hint="eastAsia" w:ascii="宋体" w:hAnsi="宋体" w:cs="宋体"/>
          <w:color w:val="000000" w:themeColor="text1"/>
          <w:sz w:val="24"/>
          <w:szCs w:val="24"/>
          <w:highlight w:val="none"/>
          <w:lang w:val="en-US" w:eastAsia="zh-CN"/>
          <w14:textFill>
            <w14:solidFill>
              <w14:schemeClr w14:val="tx1"/>
            </w14:solidFill>
          </w14:textFill>
        </w:rPr>
        <w:t xml:space="preserve">300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0M 条片段序列（单端模式下）；</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提供相关证明材料并加盖</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投标单位</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公章（包括但不限于明确说明该技术内容的产品彩页或产品说明书或第三方检测机构的检测报告等，自拟无效）</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w:t>
      </w:r>
      <w:r/>
    </w:p>
    <w:p>
      <w:pPr>
        <w:pStyle w:val="1040"/>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▲13.运行时间:在PE150模式下单次运行时间≤30小时（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张（含）以上载片上机）；</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提供相关证明材料并加盖</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投标单位</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公章（包括但不限于明确说明该技术内容的产品彩页或产品说明书或第三方检测机构的检测报告等，自拟无效）</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w:t>
      </w:r>
      <w:r/>
    </w:p>
    <w:p>
      <w:pPr>
        <w:pStyle w:val="1040"/>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14.测序通量：PE150 模式下，单次运行可产生≥22000M 条片段序列，数据产出≥6.5Tb；</w:t>
      </w:r>
      <w:r/>
    </w:p>
    <w:p>
      <w:pPr>
        <w:pStyle w:val="1040"/>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15.测序质量:读长PE100时，Q30（下机数据中Q值大于30的比值）≥85%；</w:t>
      </w:r>
      <w:r/>
    </w:p>
    <w:p>
      <w:pPr>
        <w:pStyle w:val="1040"/>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16.高准确性：测序文库采用滚环扩增技术制备，可实现文库扩增PCR-Free。始终以原始单链DNA为模板进行等温扩增，单次扩增错误不会累积；</w:t>
      </w:r>
      <w:r/>
    </w:p>
    <w:p>
      <w:pPr>
        <w:pStyle w:val="1040"/>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17.无线射频识别装置：仪器具备无线射频识别标签的读取装置，避免放错耗材；</w:t>
      </w:r>
      <w:r/>
    </w:p>
    <w:p>
      <w:pPr>
        <w:pStyle w:val="1040"/>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18.配备全自动样本加载系统：应能够自动将DNA 纳米球(DNA Nanoball，DNB)样本和/或试剂加载到载片上，以完成测序载片的制备；</w:t>
      </w:r>
      <w:r/>
    </w:p>
    <w:p>
      <w:pPr>
        <w:pStyle w:val="1040"/>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19.配置基因数据中心：</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基因数据中心应配备write_fastq分析流程，可用于接收测序仪下机的测序数据，并转换为FASTQ文件。</w:t>
      </w:r>
      <w:r/>
    </w:p>
    <w:p>
      <w:pPr>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pPr>
      <w:r/>
      <w:bookmarkStart w:id="38" w:name="_Toc13108"/>
      <w:r/>
      <w:bookmarkStart w:id="39" w:name="_Toc9546"/>
      <w:r/>
      <w:bookmarkStart w:id="40" w:name="_Toc8837"/>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三、服务要求</w:t>
      </w:r>
      <w:bookmarkEnd w:id="38"/>
      <w:r/>
      <w:bookmarkEnd w:id="39"/>
      <w:r/>
      <w:r/>
    </w:p>
    <w:p>
      <w:pPr>
        <w:ind w:firstLine="42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（1）技术培训：为采购方进行人员培训，提供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内共计</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不少于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次的设备操作培训，培训人员</w:t>
      </w:r>
      <w:r>
        <w:rPr>
          <w:rFonts w:hint="eastAsia" w:ascii="宋体" w:hAnsi="宋体" w:eastAsia="宋体" w:cs="宋体"/>
          <w:color w:val="000000" w:themeColor="text1"/>
          <w:sz w:val="24"/>
          <w:szCs w:val="24"/>
          <w:highlight w:val="none"/>
          <w14:textFill>
            <w14:solidFill>
              <w14:schemeClr w14:val="tx1"/>
            </w14:solidFill>
          </w14:textFill>
        </w:rPr>
        <w:t xml:space="preserve">数量</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不低于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人。</w:t>
      </w:r>
      <w:r/>
    </w:p>
    <w:p>
      <w:pPr>
        <w:ind w:firstLine="42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免费质保期：质保期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不低于5</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年，自验收合格次日起算，因人为因素出现的故障不在免费保修范围内。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质保</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包含：仪器免费维修+免费软硬件更新和升级+支持对因质量或测序仪故障问题导致试剂盒的损坏进行索赔+每年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不少于</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2次PM保养（预防性维护保养）。</w:t>
      </w:r>
      <w:r/>
    </w:p>
    <w:p>
      <w:pPr>
        <w:ind w:firstLine="42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（3）售后技术服务要求：接到故障通知后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小时内作出答复，一般问题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小时之内解决；若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有需求，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48</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小时内到达现场解决；若遇重大问题在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天内</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解决。</w:t>
      </w:r>
      <w:r/>
    </w:p>
    <w:p>
      <w:pPr>
        <w:ind w:firstLine="42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供应商需提供符合要求的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I</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Q/</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O</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Q/PQ合规认证（IQ：安装确认；0Q：操作确认；PQ：仪器性能验证）</w:t>
      </w:r>
      <w:r>
        <w:rPr>
          <w:rFonts w:hint="eastAsia" w:ascii="宋体" w:hAnsi="宋体" w:cs="宋体"/>
          <w:color w:val="000000" w:themeColor="text1"/>
          <w:sz w:val="24"/>
          <w:szCs w:val="24"/>
          <w:highlight w:val="none"/>
          <w:lang w:val="zh-CN"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四、安装要求</w:t>
      </w:r>
      <w:bookmarkEnd w:id="40"/>
      <w:r/>
      <w:r/>
    </w:p>
    <w:p>
      <w:pPr>
        <w:ind w:firstLine="42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按照国家现行行业规范标准进行安装，符合国家或行业质量检验评定标准，没有行业标准的产品，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应提供相关制造商标准。</w:t>
      </w:r>
      <w:r/>
    </w:p>
    <w:p>
      <w:pPr>
        <w:ind w:firstLine="42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设备安装调试：设备到货后，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在接到通知的7个工作日内派人前往负责该设备的安装、调试和操作培训，直至达到各项验收指标合格。</w:t>
      </w:r>
      <w:r/>
    </w:p>
    <w:p>
      <w:pPr>
        <w:jc w:val="cente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jc w:val="cente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（第二部分：商务部分要求）</w:t>
      </w:r>
      <w:r/>
    </w:p>
    <w:p>
      <w:pPr>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五、交货期、交货方式及交货地点</w:t>
      </w:r>
      <w:r/>
    </w:p>
    <w:p>
      <w:pPr>
        <w:ind w:firstLine="42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 交货期：合同签订生效后，一个月内全部设备、材料运抵现场，并安装、调试结束，验收合格，交付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使用。</w:t>
      </w:r>
      <w:r/>
    </w:p>
    <w:p>
      <w:pPr>
        <w:ind w:firstLine="42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 交货方式：中标人在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指定地点交货，并完成安装、调试。</w:t>
      </w:r>
      <w:r/>
    </w:p>
    <w:p>
      <w:pPr>
        <w:ind w:firstLine="42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3. 交货地点：南京医科大学</w:t>
      </w:r>
      <w:r>
        <w:rPr>
          <w:rFonts w:hint="eastAsia" w:ascii="宋体" w:hAnsi="宋体" w:eastAsia="宋体" w:cs="宋体"/>
          <w:color w:val="000000" w:themeColor="text1"/>
          <w:sz w:val="24"/>
          <w:szCs w:val="24"/>
          <w:highlight w:val="none"/>
          <w14:textFill>
            <w14:solidFill>
              <w14:schemeClr w14:val="tx1"/>
            </w14:solidFill>
          </w14:textFill>
        </w:rPr>
        <w:t xml:space="preserve">指定地点</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pPr>
      <w:r/>
      <w:bookmarkStart w:id="41" w:name="_Toc18026"/>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其他技术服务需求</w:t>
      </w:r>
      <w:bookmarkEnd w:id="41"/>
      <w:r/>
      <w:r/>
    </w:p>
    <w:p>
      <w:pPr>
        <w:ind w:firstLine="42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1、投标人须保证本次投标产品系优质材料和先进工艺制成新出厂的产品，且完全与投标文件所述相符。</w:t>
      </w:r>
      <w:r/>
    </w:p>
    <w:p>
      <w:pPr>
        <w:ind w:firstLine="42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2、交付使用前发生的产品硬件损坏和不合格，一律退换新品。在质保期开始的前三个月内，若发生产品损坏和性能不合格（非使用不当原因造成），除采购人同意修理之外，亦应退换新品。</w:t>
      </w:r>
      <w:r/>
    </w:p>
    <w:p>
      <w:pPr>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、货款支付</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货物交付、安装、调试且通过验收后一周内（遇寒暑假和法定节假日顺延），学校支付合同总金额的100%，付款之前需收到中标供应商开具的合法有效的相应全额发票。</w:t>
      </w:r>
      <w:r/>
    </w:p>
    <w:p>
      <w:pPr>
        <w:pStyle w:val="1049"/>
        <w:spacing w:line="360" w:lineRule="auto"/>
        <w:rPr>
          <w:rFonts w:hint="eastAsia" w:hAnsi="宋体" w:cs="宋体"/>
          <w:b/>
          <w:bCs/>
          <w:color w:val="000000" w:themeColor="text1"/>
          <w:spacing w:val="8"/>
          <w:sz w:val="24"/>
          <w:szCs w:val="24"/>
          <w:highlight w:val="none"/>
          <w:lang w:val="en-US" w:eastAsia="zh-CN"/>
          <w14:textFill>
            <w14:solidFill>
              <w14:schemeClr w14:val="tx1"/>
            </w14:solidFill>
          </w14:textFill>
        </w:rPr>
      </w:pPr>
      <w:r>
        <w:rPr>
          <w:rFonts w:hint="eastAsia" w:hAnsi="宋体" w:cs="宋体"/>
          <w:b/>
          <w:bCs/>
          <w:color w:val="000000" w:themeColor="text1"/>
          <w:spacing w:val="8"/>
          <w:sz w:val="24"/>
          <w:szCs w:val="24"/>
          <w:highlight w:val="none"/>
          <w:lang w:val="en-US" w:eastAsia="zh-CN"/>
          <w14:textFill>
            <w14:solidFill>
              <w14:schemeClr w14:val="tx1"/>
            </w14:solidFill>
          </w14:textFill>
        </w:rPr>
        <w:t xml:space="preserve">八、履约保证金</w:t>
      </w:r>
      <w:r/>
    </w:p>
    <w:p>
      <w:pPr>
        <w:pStyle w:val="1049"/>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1、缴纳履约保证金</w:t>
      </w:r>
      <w:r/>
    </w:p>
    <w:p>
      <w:pPr>
        <w:pStyle w:val="1049"/>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pStyle w:val="1049"/>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南京医科大学指定账户信息具体如下：</w:t>
      </w:r>
      <w:r/>
    </w:p>
    <w:p>
      <w:pPr>
        <w:pStyle w:val="1049"/>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单位名称：南京医科大学</w:t>
      </w:r>
      <w:r/>
    </w:p>
    <w:p>
      <w:pPr>
        <w:pStyle w:val="1049"/>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开 户 行：南京市工行汉中门支行</w:t>
      </w:r>
      <w:r/>
    </w:p>
    <w:p>
      <w:pPr>
        <w:pStyle w:val="1049"/>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账    号：4301010109001038622</w:t>
      </w:r>
      <w:r/>
    </w:p>
    <w:p>
      <w:pPr>
        <w:pStyle w:val="1049"/>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注：请在转账时备注“项目名称+履约保证金”字样。</w:t>
      </w:r>
      <w:r/>
    </w:p>
    <w:p>
      <w:pPr>
        <w:pStyle w:val="1049"/>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p>
    <w:p>
      <w:pPr>
        <w:pStyle w:val="1049"/>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3、合同履行过程中，若经学校核实存在货物质量问题或中标供应商违约情形，学校有权在通知中标供应商后，从履约保证金中抵扣相应的补偿或赔偿款项。</w:t>
      </w:r>
      <w:r/>
    </w:p>
    <w:p>
      <w:pPr>
        <w:pStyle w:val="1049"/>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4、履约保证金退还流程</w:t>
      </w:r>
      <w:r/>
    </w:p>
    <w:p>
      <w:pPr>
        <w:pStyle w:val="1049"/>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（1）自货物验收合格之日起12个月后，中标供应商可向学校出具货物最终验收单，并同步提交填写完整的《履约保证金退还申请单》。</w:t>
      </w:r>
      <w:r/>
    </w:p>
    <w:p>
      <w:pPr>
        <w:pStyle w:val="1049"/>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（2）经最终用户签字确认，核实无质量问题且供应商无违约情形后，学校于确认完成后一个月内，将履约保证金一次性无息退还中标供应商。</w:t>
      </w:r>
      <w:r/>
    </w:p>
    <w:p>
      <w:pPr>
        <w:pStyle w:val="1049"/>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hAnsi="宋体" w:cs="宋体"/>
          <w:b/>
          <w:bCs/>
          <w:color w:val="000000" w:themeColor="text1"/>
          <w:spacing w:val="8"/>
          <w:sz w:val="24"/>
          <w:szCs w:val="24"/>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pacing w:val="8"/>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pacing w:val="8"/>
          <w:sz w:val="24"/>
          <w:szCs w:val="24"/>
          <w:highlight w:val="none"/>
          <w14:textFill>
            <w14:solidFill>
              <w14:schemeClr w14:val="tx1"/>
            </w14:solidFill>
          </w14:textFill>
        </w:rPr>
        <w:t xml:space="preserve">投标报价</w:t>
      </w:r>
      <w:r>
        <w:rPr>
          <w:rFonts w:hint="eastAsia" w:ascii="宋体" w:hAnsi="宋体" w:eastAsia="宋体" w:cs="宋体"/>
          <w:b/>
          <w:bCs/>
          <w:color w:val="000000" w:themeColor="text1"/>
          <w:spacing w:val="8"/>
          <w:sz w:val="24"/>
          <w:szCs w:val="24"/>
          <w:highlight w:val="none"/>
          <w:lang w:val="en-US" w:eastAsia="zh-CN"/>
          <w14:textFill>
            <w14:solidFill>
              <w14:schemeClr w14:val="tx1"/>
            </w14:solidFill>
          </w14:textFill>
        </w:rPr>
        <w:t xml:space="preserve">要求</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bookmarkEnd w:id="37"/>
      <w:r/>
      <w:r/>
    </w:p>
    <w:p>
      <w:pPr>
        <w:ind w:firstLine="48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2、报价时应充分考虑所有可能影响到报价的因素，一旦评审结束最终成交，如发生漏、缺、少项都将被认为是成交供应商的报价让利行为，损失自负。</w:t>
      </w:r>
      <w:r/>
    </w:p>
    <w:p>
      <w:pPr>
        <w:spacing w:line="360" w:lineRule="auto"/>
        <w:rPr>
          <w:rFonts w:hint="eastAsia" w:ascii="宋体" w:hAnsi="宋体" w:eastAsia="宋体" w:cs="宋体"/>
          <w:b/>
          <w:bCs/>
          <w:color w:val="000000" w:themeColor="text1"/>
          <w:spacing w:val="8"/>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8"/>
          <w:sz w:val="24"/>
          <w:szCs w:val="24"/>
          <w:highlight w:val="none"/>
          <w:lang w:val="en-US" w:eastAsia="zh-CN"/>
          <w14:textFill>
            <w14:solidFill>
              <w14:schemeClr w14:val="tx1"/>
            </w14:solidFill>
          </w14:textFill>
        </w:rPr>
        <w:t xml:space="preserve">十</w:t>
      </w:r>
      <w:r>
        <w:rPr>
          <w:rFonts w:hint="eastAsia" w:ascii="宋体" w:hAnsi="宋体" w:cs="宋体"/>
          <w:b/>
          <w:bCs/>
          <w:color w:val="000000" w:themeColor="text1"/>
          <w:spacing w:val="8"/>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pacing w:val="8"/>
          <w:sz w:val="24"/>
          <w:szCs w:val="24"/>
          <w:highlight w:val="none"/>
          <w:lang w:val="en-US" w:eastAsia="zh-CN"/>
          <w14:textFill>
            <w14:solidFill>
              <w14:schemeClr w14:val="tx1"/>
            </w14:solidFill>
          </w14:textFill>
        </w:rPr>
        <w:t xml:space="preserve">、联系方式</w:t>
      </w:r>
      <w:r/>
    </w:p>
    <w:p>
      <w:pPr>
        <w:numPr>
          <w:ilvl w:val="0"/>
          <w:numId w:val="0"/>
        </w:numPr>
        <w:ind w:firstLine="480"/>
        <w:spacing w:line="360" w:lineRule="auto"/>
        <w:widowControl/>
        <w:rPr>
          <w:rFonts w:hint="default"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需求联系人：张红玉</w:t>
      </w:r>
      <w:r/>
    </w:p>
    <w:p>
      <w:pPr>
        <w:numPr>
          <w:ilvl w:val="0"/>
          <w:numId w:val="0"/>
        </w:numPr>
        <w:ind w:firstLine="480"/>
        <w:spacing w:line="360" w:lineRule="auto"/>
        <w:widowControl/>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联系电话：</w:t>
      </w:r>
      <w:r>
        <w:rPr>
          <w:rFonts w:hint="eastAsia"/>
          <w:color w:val="000000" w:themeColor="text1"/>
          <w:highlight w:val="none"/>
          <w:lang w:val="en-US" w:eastAsia="zh-CN"/>
          <w14:textFill>
            <w14:solidFill>
              <w14:schemeClr w14:val="tx1"/>
            </w14:solidFill>
          </w14:textFill>
        </w:rPr>
        <w:t xml:space="preserve">15150562962</w:t>
      </w:r>
      <w:r/>
    </w:p>
    <w:p>
      <w:pPr>
        <w:ind w:firstLine="720"/>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br w:type="page" w:clear="all"/>
      </w:r>
      <w:r/>
    </w:p>
    <w:p>
      <w:pPr>
        <w:pStyle w:val="1022"/>
        <w:jc w:val="center"/>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第五章  </w:t>
      </w:r>
      <w:bookmarkStart w:id="42" w:name="_Toc13969"/>
      <w:r>
        <w:rPr>
          <w:rFonts w:hint="eastAsia" w:ascii="宋体" w:hAnsi="宋体" w:cs="宋体"/>
          <w:color w:val="000000" w:themeColor="text1"/>
          <w:sz w:val="32"/>
          <w:szCs w:val="32"/>
          <w:highlight w:val="none"/>
          <w14:textFill>
            <w14:solidFill>
              <w14:schemeClr w14:val="tx1"/>
            </w14:solidFill>
          </w14:textFill>
        </w:rPr>
        <w:t xml:space="preserve"> </w:t>
      </w:r>
      <w:bookmarkEnd w:id="42"/>
      <w:r>
        <w:rPr>
          <w:rFonts w:hint="eastAsia" w:ascii="宋体" w:hAnsi="宋体" w:cs="宋体"/>
          <w:color w:val="000000" w:themeColor="text1"/>
          <w:sz w:val="36"/>
          <w:szCs w:val="36"/>
          <w:highlight w:val="none"/>
          <w:lang w:val="zh-CN"/>
          <w14:textFill>
            <w14:solidFill>
              <w14:schemeClr w14:val="tx1"/>
            </w14:solidFill>
          </w14:textFill>
        </w:rPr>
        <w:t xml:space="preserve">合同主要条款及格式</w:t>
      </w:r>
      <w:r/>
    </w:p>
    <w:p>
      <w:pPr>
        <w:pStyle w:val="1049"/>
        <w:jc w:val="center"/>
        <w:spacing w:before="120" w:after="120" w:line="360" w:lineRule="auto"/>
        <w:rPr>
          <w:rFonts w:ascii="宋体" w:hAnsi="宋体" w:cs="宋体"/>
          <w:b/>
          <w:bCs/>
          <w:color w:val="000000" w:themeColor="text1"/>
          <w:sz w:val="24"/>
          <w:highlight w:val="none"/>
          <w:u w:val="single"/>
          <w14:textFill>
            <w14:solidFill>
              <w14:schemeClr w14:val="tx1"/>
            </w14:solidFill>
          </w14:textFill>
        </w:rPr>
      </w:pPr>
      <w:r>
        <w:rPr>
          <w:rFonts w:hint="eastAsia" w:hAnsi="宋体" w:cs="宋体"/>
          <w:b/>
          <w:bCs/>
          <w:color w:val="000000" w:themeColor="text1"/>
          <w:sz w:val="24"/>
          <w:highlight w:val="none"/>
          <w:u w:val="single"/>
          <w:lang w:eastAsia="zh-CN"/>
          <w14:textFill>
            <w14:solidFill>
              <w14:schemeClr w14:val="tx1"/>
            </w14:solidFill>
          </w14:textFill>
        </w:rPr>
        <w:t xml:space="preserve">南京医科大学生物医药分中心测序仪采购项目</w:t>
      </w:r>
      <w:r>
        <w:rPr>
          <w:rFonts w:hint="eastAsia" w:ascii="宋体" w:hAnsi="宋体" w:cs="宋体"/>
          <w:b/>
          <w:bCs/>
          <w:color w:val="000000" w:themeColor="text1"/>
          <w:sz w:val="24"/>
          <w:highlight w:val="none"/>
          <w:u w:val="single"/>
          <w14:textFill>
            <w14:solidFill>
              <w14:schemeClr w14:val="tx1"/>
            </w14:solidFill>
          </w14:textFill>
        </w:rPr>
        <w:t xml:space="preserve">合同</w:t>
      </w:r>
      <w:r/>
    </w:p>
    <w:p>
      <w:pPr>
        <w:pStyle w:val="1049"/>
        <w:ind w:firstLine="420"/>
        <w:spacing w:before="120" w:after="12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甲方：（买方）_________         乙方：（卖方）_________ </w:t>
      </w:r>
      <w:r/>
    </w:p>
    <w:p>
      <w:pPr>
        <w:pStyle w:val="1049"/>
        <w:ind w:firstLine="420"/>
        <w:spacing w:before="120" w:after="120"/>
        <w:rPr>
          <w:rFonts w:hint="eastAsia"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法定代表人：</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法定代表人：</w:t>
      </w:r>
      <w:r>
        <w:rPr>
          <w:rFonts w:hint="eastAsia" w:hAnsi="宋体" w:cs="宋体"/>
          <w:color w:val="000000" w:themeColor="text1"/>
          <w:highlight w:val="none"/>
          <w:u w:val="single"/>
          <w14:textFill>
            <w14:solidFill>
              <w14:schemeClr w14:val="tx1"/>
            </w14:solidFill>
          </w14:textFill>
        </w:rPr>
        <w:t xml:space="preserve">           </w:t>
      </w:r>
      <w:r/>
    </w:p>
    <w:p>
      <w:pPr>
        <w:pStyle w:val="1049"/>
        <w:ind w:firstLine="420"/>
        <w:spacing w:before="120" w:after="120"/>
        <w:rPr>
          <w:rFonts w:hint="eastAsia"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地址：</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地址：</w:t>
      </w:r>
      <w:r>
        <w:rPr>
          <w:rFonts w:hint="eastAsia" w:hAnsi="宋体" w:cs="宋体"/>
          <w:color w:val="000000" w:themeColor="text1"/>
          <w:highlight w:val="none"/>
          <w:u w:val="single"/>
          <w14:textFill>
            <w14:solidFill>
              <w14:schemeClr w14:val="tx1"/>
            </w14:solidFill>
          </w14:textFill>
        </w:rPr>
        <w:t xml:space="preserve">                 </w:t>
      </w:r>
      <w:r/>
    </w:p>
    <w:p>
      <w:pPr>
        <w:pStyle w:val="1049"/>
        <w:ind w:firstLine="420"/>
        <w:spacing w:before="120" w:after="120"/>
        <w:rPr>
          <w:rFonts w:hint="eastAsia"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联系人：</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联系人：</w:t>
      </w:r>
      <w:r>
        <w:rPr>
          <w:rFonts w:hint="eastAsia" w:hAnsi="宋体" w:cs="宋体"/>
          <w:color w:val="000000" w:themeColor="text1"/>
          <w:highlight w:val="none"/>
          <w:u w:val="single"/>
          <w14:textFill>
            <w14:solidFill>
              <w14:schemeClr w14:val="tx1"/>
            </w14:solidFill>
          </w14:textFill>
        </w:rPr>
        <w:t xml:space="preserve">                </w:t>
      </w:r>
      <w:r/>
    </w:p>
    <w:p>
      <w:pPr>
        <w:pStyle w:val="1049"/>
        <w:ind w:firstLine="420"/>
        <w:spacing w:before="120" w:after="12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联系方式：</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联系方式：</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w:t>
      </w:r>
      <w:r/>
    </w:p>
    <w:p>
      <w:pPr>
        <w:pStyle w:val="1049"/>
        <w:ind w:firstLine="420"/>
        <w:spacing w:before="120" w:after="120"/>
        <w:rPr>
          <w:rFonts w:hint="eastAsia" w:hAnsi="宋体"/>
          <w:color w:val="000000" w:themeColor="text1"/>
          <w:sz w:val="24"/>
          <w:szCs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甲、乙双方根据南京医科大学 </w:t>
      </w:r>
      <w:r>
        <w:rPr>
          <w:rFonts w:hint="eastAsia" w:hAnsi="宋体" w:cs="宋体"/>
          <w:color w:val="000000" w:themeColor="text1"/>
          <w:highlight w:val="none"/>
          <w:u w:val="single"/>
          <w14:textFill>
            <w14:solidFill>
              <w14:schemeClr w14:val="tx1"/>
            </w14:solidFill>
          </w14:textFill>
        </w:rPr>
        <w:t xml:space="preserve">                    项目 </w:t>
      </w:r>
      <w:r>
        <w:rPr>
          <w:rFonts w:hint="eastAsia" w:hAnsi="宋体" w:cs="宋体"/>
          <w:color w:val="000000" w:themeColor="text1"/>
          <w:highlight w:val="none"/>
          <w14:textFill>
            <w14:solidFill>
              <w14:schemeClr w14:val="tx1"/>
            </w14:solidFill>
          </w14:textFill>
        </w:rPr>
        <w:t xml:space="preserve">公开招标的结果，本着自愿及平等互利的原则，就甲方向乙方购买本合同约定的货物事宜，签署本合同。</w:t>
      </w:r>
      <w:r/>
    </w:p>
    <w:p>
      <w:pPr>
        <w:pStyle w:val="1049"/>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一、货物内容</w:t>
      </w:r>
      <w:r>
        <w:rPr>
          <w:rFonts w:hint="eastAsia" w:hAnsi="宋体"/>
          <w:b/>
          <w:color w:val="000000" w:themeColor="text1"/>
          <w:sz w:val="24"/>
          <w:szCs w:val="24"/>
          <w:highlight w:val="none"/>
          <w14:textFill>
            <w14:solidFill>
              <w14:schemeClr w14:val="tx1"/>
            </w14:solidFill>
          </w14:textFill>
        </w:rPr>
        <w:t xml:space="preserve">、数量及金额</w:t>
      </w:r>
      <w:r/>
    </w:p>
    <w:tbl>
      <w:tblPr>
        <w:tblStyle w:val="1032"/>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1459"/>
        <w:gridCol w:w="1029"/>
        <w:gridCol w:w="1029"/>
        <w:gridCol w:w="1029"/>
        <w:gridCol w:w="1037"/>
        <w:gridCol w:w="1622"/>
        <w:gridCol w:w="1628"/>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总价（人民币大写）：                         </w:t>
            </w:r>
            <w:r>
              <w:rPr>
                <w:rFonts w:hint="eastAsia" w:ascii="宋体" w:hAnsi="宋体" w:cs="宋体"/>
                <w:color w:val="000000" w:themeColor="text1"/>
                <w:szCs w:val="21"/>
                <w:highlight w:val="none"/>
                <w14:textFill>
                  <w14:solidFill>
                    <w14:schemeClr w14:val="tx1"/>
                  </w14:solidFill>
                </w14:textFill>
              </w:rPr>
              <w:t xml:space="preserve">合计（小写）：</w:t>
            </w:r>
            <w:r/>
          </w:p>
          <w:p>
            <w:pPr>
              <w:jc w:val="cente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cente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此外，</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（1）若合同在履行过程中因国家政策调整，不在进口货物免税清单内，加征的关税亦包含在本合同总价款中。</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以上两种情况，甲方按照采购合同约定的付款方式支付给委托的外贸公司后，甲方即完成向乙方付款义务，乙方不得再向甲方追索本项目款项。</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1049"/>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二、</w:t>
      </w:r>
      <w:r>
        <w:rPr>
          <w:rFonts w:hint="eastAsia" w:hAnsi="宋体"/>
          <w:b/>
          <w:color w:val="000000" w:themeColor="text1"/>
          <w:sz w:val="24"/>
          <w:szCs w:val="24"/>
          <w:highlight w:val="none"/>
          <w14:textFill>
            <w14:solidFill>
              <w14:schemeClr w14:val="tx1"/>
            </w14:solidFill>
          </w14:textFill>
        </w:rPr>
        <w:t xml:space="preserve">结算方式</w:t>
      </w:r>
      <w:r/>
    </w:p>
    <w:p>
      <w:pPr>
        <w:pStyle w:val="1049"/>
        <w:ind w:firstLine="480"/>
        <w:spacing w:before="120" w:after="120" w:line="330" w:lineRule="atLeast"/>
        <w:rPr>
          <w:rFonts w:hint="eastAsia" w:hAnsi="宋体"/>
          <w:color w:val="000000" w:themeColor="text1"/>
          <w:sz w:val="24"/>
          <w:szCs w:val="28"/>
          <w:highlight w:val="none"/>
          <w14:textFill>
            <w14:solidFill>
              <w14:schemeClr w14:val="tx1"/>
            </w14:solidFill>
          </w14:textFill>
        </w:rPr>
      </w:pPr>
      <w:r>
        <w:rPr>
          <w:rFonts w:hAnsi="宋体"/>
          <w:color w:val="000000" w:themeColor="text1"/>
          <w:sz w:val="24"/>
          <w:szCs w:val="28"/>
          <w:highlight w:val="none"/>
          <w14:textFill>
            <w14:solidFill>
              <w14:schemeClr w14:val="tx1"/>
            </w14:solidFill>
          </w14:textFill>
        </w:rPr>
        <w:t xml:space="preserve">2.1结算方式：</w:t>
      </w:r>
      <w:r/>
    </w:p>
    <w:p>
      <w:pPr>
        <w:pStyle w:val="1049"/>
        <w:ind w:firstLine="480"/>
        <w:spacing w:before="120" w:after="120" w:line="330" w:lineRule="atLeast"/>
        <w:rPr>
          <w:rFonts w:hint="eastAsia" w:hAnsi="宋体" w:cstheme="minorBidi"/>
          <w:color w:val="000000" w:themeColor="text1"/>
          <w:sz w:val="24"/>
          <w:szCs w:val="22"/>
          <w:highlight w:val="none"/>
          <w14:textFill>
            <w14:solidFill>
              <w14:schemeClr w14:val="tx1"/>
            </w14:solidFill>
          </w14:textFill>
        </w:rPr>
      </w:pPr>
      <w:r>
        <w:rPr>
          <w:rFonts w:hint="eastAsia" w:hAnsi="宋体" w:cstheme="minorBidi"/>
          <w:color w:val="000000" w:themeColor="text1"/>
          <w:sz w:val="24"/>
          <w:szCs w:val="22"/>
          <w:highlight w:val="none"/>
          <w14:textFill>
            <w14:solidFill>
              <w14:schemeClr w14:val="tx1"/>
            </w14:solidFill>
          </w14:textFill>
        </w:rPr>
        <w:t xml:space="preserve">货物交付、安装、调试且通过验收后一周内（遇寒暑假和法定节假日顺延），学校支付合同总金额的100%，付款之前需收到中标供应商开具的合法有效的相应全额发票。</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2.2履约保证金（根据招标文件要求选用）</w:t>
      </w:r>
      <w:r/>
    </w:p>
    <w:p>
      <w:pPr>
        <w:pStyle w:val="1049"/>
        <w:ind w:firstLine="480"/>
        <w:rPr>
          <w:rFonts w:hint="eastAsia" w:hAnsi="宋体"/>
          <w:i/>
          <w:iCs/>
          <w:color w:val="000000" w:themeColor="text1"/>
          <w:sz w:val="24"/>
          <w:szCs w:val="28"/>
          <w:highlight w:val="none"/>
          <w14:textFill>
            <w14:solidFill>
              <w14:schemeClr w14:val="tx1"/>
            </w14:solidFill>
          </w14:textFill>
        </w:rPr>
      </w:pPr>
      <w:r>
        <w:rPr>
          <w:rFonts w:ascii="Wingdings 2" w:hAnsi="Wingdings 2" w:eastAsia="Wingdings 2" w:cs="Wingdings 2"/>
          <w:i/>
          <w:iCs/>
          <w:color w:val="000000" w:themeColor="text1"/>
          <w:sz w:val="24"/>
          <w:szCs w:val="28"/>
          <w:highlight w:val="none"/>
          <w14:textFill>
            <w14:solidFill>
              <w14:schemeClr w14:val="tx1"/>
            </w14:solidFill>
          </w14:textFill>
        </w:rPr>
        <w:t xml:space="preserve">£</w:t>
      </w:r>
      <w:r>
        <w:rPr>
          <w:rFonts w:hint="eastAsia" w:hAnsi="宋体"/>
          <w:i/>
          <w:iCs/>
          <w:color w:val="000000" w:themeColor="text1"/>
          <w:sz w:val="24"/>
          <w:szCs w:val="28"/>
          <w:highlight w:val="none"/>
          <w14:textFill>
            <w14:solidFill>
              <w14:schemeClr w14:val="tx1"/>
            </w14:solidFill>
          </w14:textFill>
        </w:rPr>
        <w:t xml:space="preserve">本项目不需要缴纳履约保证金。</w:t>
      </w:r>
      <w:r/>
    </w:p>
    <w:p>
      <w:pPr>
        <w:pStyle w:val="1049"/>
        <w:ind w:firstLine="480"/>
        <w:rPr>
          <w:rFonts w:hint="eastAsia" w:hAnsi="宋体"/>
          <w:i/>
          <w:iCs/>
          <w:color w:val="000000" w:themeColor="text1"/>
          <w:sz w:val="24"/>
          <w:szCs w:val="28"/>
          <w:highlight w:val="none"/>
          <w14:textFill>
            <w14:solidFill>
              <w14:schemeClr w14:val="tx1"/>
            </w14:solidFill>
          </w14:textFill>
        </w:rPr>
      </w:pPr>
      <w:r>
        <w:rPr>
          <w:rFonts w:ascii="Wingdings 2" w:hAnsi="Wingdings 2" w:eastAsia="Wingdings 2" w:cs="Wingdings 2"/>
          <w:i/>
          <w:iCs/>
          <w:color w:val="000000" w:themeColor="text1"/>
          <w:sz w:val="24"/>
          <w:szCs w:val="28"/>
          <w:highlight w:val="none"/>
          <w14:textFill>
            <w14:solidFill>
              <w14:schemeClr w14:val="tx1"/>
            </w14:solidFill>
          </w14:textFill>
        </w:rPr>
        <w:t xml:space="preserve">£</w:t>
      </w:r>
      <w:r>
        <w:rPr>
          <w:rFonts w:hint="eastAsia" w:hAnsi="宋体"/>
          <w:i/>
          <w:iCs/>
          <w:color w:val="000000" w:themeColor="text1"/>
          <w:sz w:val="24"/>
          <w:szCs w:val="28"/>
          <w:highlight w:val="none"/>
          <w14:textFill>
            <w14:solidFill>
              <w14:schemeClr w14:val="tx1"/>
            </w14:solidFill>
          </w14:textFill>
        </w:rPr>
        <w:t xml:space="preserve">本项目需要缴纳履约保证金，具体要求如下：</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（1）供应商中标后7个工作日内，将中标合同金额10%的履约保证金以银行对公转账形式支付至</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指定账户，并将加盖单位公章的银行回执单或网银截图递交至</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凭付款凭证及到款情况办理合同签订相关手续。</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南京医科大学指定账户信息具体如下：</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单位名称：南京医科大学</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开 户 行：南京市工行汉中门支行                          </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账    号：4301010109001038622</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注：请在转账时备注“项目名称+履约保证保金”字样。</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lang w:eastAsia="zh-CN"/>
          <w14:textFill>
            <w14:solidFill>
              <w14:schemeClr w14:val="tx1"/>
            </w14:solidFill>
          </w14:textFill>
        </w:rPr>
        <w:t xml:space="preserve">（</w:t>
      </w:r>
      <w:r>
        <w:rPr>
          <w:rFonts w:hint="eastAsia" w:hAnsi="宋体"/>
          <w:color w:val="000000" w:themeColor="text1"/>
          <w:sz w:val="24"/>
          <w:szCs w:val="28"/>
          <w:highlight w:val="none"/>
          <w:lang w:val="en-US" w:eastAsia="zh-CN"/>
          <w14:textFill>
            <w14:solidFill>
              <w14:schemeClr w14:val="tx1"/>
            </w14:solidFill>
          </w14:textFill>
        </w:rPr>
        <w:t xml:space="preserve">2</w:t>
      </w:r>
      <w:r>
        <w:rPr>
          <w:rFonts w:hint="eastAsia" w:hAnsi="宋体"/>
          <w:color w:val="000000" w:themeColor="text1"/>
          <w:sz w:val="24"/>
          <w:szCs w:val="28"/>
          <w:highlight w:val="none"/>
          <w:lang w:eastAsia="zh-CN"/>
          <w14:textFill>
            <w14:solidFill>
              <w14:schemeClr w14:val="tx1"/>
            </w14:solidFill>
          </w14:textFill>
        </w:rPr>
        <w:t xml:space="preserve">）</w:t>
      </w:r>
      <w:r>
        <w:rPr>
          <w:rFonts w:hint="eastAsia" w:hAnsi="宋体"/>
          <w:color w:val="000000" w:themeColor="text1"/>
          <w:sz w:val="24"/>
          <w:szCs w:val="28"/>
          <w:highlight w:val="none"/>
          <w14:textFill>
            <w14:solidFill>
              <w14:schemeClr w14:val="tx1"/>
            </w14:solidFill>
          </w14:textFill>
        </w:rPr>
        <w:t xml:space="preserve">合同履行过程中，若经</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核实存在货物质量问题或</w:t>
      </w:r>
      <w:r>
        <w:rPr>
          <w:rFonts w:hint="eastAsia" w:hAnsi="宋体"/>
          <w:color w:val="000000" w:themeColor="text1"/>
          <w:sz w:val="24"/>
          <w:szCs w:val="28"/>
          <w:highlight w:val="none"/>
          <w:lang w:val="en-US" w:eastAsia="zh-CN"/>
          <w14:textFill>
            <w14:solidFill>
              <w14:schemeClr w14:val="tx1"/>
            </w14:solidFill>
          </w14:textFill>
        </w:rPr>
        <w:t xml:space="preserve">乙方</w:t>
      </w:r>
      <w:r>
        <w:rPr>
          <w:rFonts w:hint="eastAsia" w:hAnsi="宋体"/>
          <w:color w:val="000000" w:themeColor="text1"/>
          <w:sz w:val="24"/>
          <w:szCs w:val="28"/>
          <w:highlight w:val="none"/>
          <w14:textFill>
            <w14:solidFill>
              <w14:schemeClr w14:val="tx1"/>
            </w14:solidFill>
          </w14:textFill>
        </w:rPr>
        <w:t xml:space="preserve">违约情形，</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有权在通知</w:t>
      </w:r>
      <w:r>
        <w:rPr>
          <w:rFonts w:hint="eastAsia" w:hAnsi="宋体"/>
          <w:color w:val="000000" w:themeColor="text1"/>
          <w:sz w:val="24"/>
          <w:szCs w:val="28"/>
          <w:highlight w:val="none"/>
          <w:lang w:val="en-US" w:eastAsia="zh-CN"/>
          <w14:textFill>
            <w14:solidFill>
              <w14:schemeClr w14:val="tx1"/>
            </w14:solidFill>
          </w14:textFill>
        </w:rPr>
        <w:t xml:space="preserve">乙方</w:t>
      </w:r>
      <w:r>
        <w:rPr>
          <w:rFonts w:hint="eastAsia" w:hAnsi="宋体"/>
          <w:color w:val="000000" w:themeColor="text1"/>
          <w:sz w:val="24"/>
          <w:szCs w:val="28"/>
          <w:highlight w:val="none"/>
          <w14:textFill>
            <w14:solidFill>
              <w14:schemeClr w14:val="tx1"/>
            </w14:solidFill>
          </w14:textFill>
        </w:rPr>
        <w:t xml:space="preserve">后，从履约保证金中抵扣相应的补偿或赔偿款项。</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lang w:eastAsia="zh-CN"/>
          <w14:textFill>
            <w14:solidFill>
              <w14:schemeClr w14:val="tx1"/>
            </w14:solidFill>
          </w14:textFill>
        </w:rPr>
        <w:t xml:space="preserve">（</w:t>
      </w:r>
      <w:r>
        <w:rPr>
          <w:rFonts w:hint="eastAsia" w:hAnsi="宋体"/>
          <w:color w:val="000000" w:themeColor="text1"/>
          <w:sz w:val="24"/>
          <w:szCs w:val="28"/>
          <w:highlight w:val="none"/>
          <w:lang w:val="en-US" w:eastAsia="zh-CN"/>
          <w14:textFill>
            <w14:solidFill>
              <w14:schemeClr w14:val="tx1"/>
            </w14:solidFill>
          </w14:textFill>
        </w:rPr>
        <w:t xml:space="preserve">3</w:t>
      </w:r>
      <w:r>
        <w:rPr>
          <w:rFonts w:hint="eastAsia" w:hAnsi="宋体"/>
          <w:color w:val="000000" w:themeColor="text1"/>
          <w:sz w:val="24"/>
          <w:szCs w:val="28"/>
          <w:highlight w:val="none"/>
          <w:lang w:eastAsia="zh-CN"/>
          <w14:textFill>
            <w14:solidFill>
              <w14:schemeClr w14:val="tx1"/>
            </w14:solidFill>
          </w14:textFill>
        </w:rPr>
        <w:t xml:space="preserve">）</w:t>
      </w:r>
      <w:r>
        <w:rPr>
          <w:rFonts w:hint="eastAsia" w:hAnsi="宋体"/>
          <w:color w:val="000000" w:themeColor="text1"/>
          <w:sz w:val="24"/>
          <w:szCs w:val="28"/>
          <w:highlight w:val="none"/>
          <w14:textFill>
            <w14:solidFill>
              <w14:schemeClr w14:val="tx1"/>
            </w14:solidFill>
          </w14:textFill>
        </w:rPr>
        <w:t xml:space="preserve">履约保证金退还流程</w:t>
      </w:r>
      <w:r>
        <w:rPr>
          <w:rFonts w:hint="eastAsia" w:hAnsi="宋体"/>
          <w:color w:val="000000" w:themeColor="text1"/>
          <w:sz w:val="24"/>
          <w:szCs w:val="28"/>
          <w:highlight w:val="none"/>
          <w:lang w:eastAsia="zh-CN"/>
          <w14:textFill>
            <w14:solidFill>
              <w14:schemeClr w14:val="tx1"/>
            </w14:solidFill>
          </w14:textFill>
        </w:rPr>
        <w:t xml:space="preserve">：</w:t>
      </w:r>
      <w:r>
        <w:rPr>
          <w:rFonts w:hint="eastAsia" w:hAnsi="宋体"/>
          <w:color w:val="000000" w:themeColor="text1"/>
          <w:sz w:val="24"/>
          <w:szCs w:val="28"/>
          <w:highlight w:val="none"/>
          <w14:textFill>
            <w14:solidFill>
              <w14:schemeClr w14:val="tx1"/>
            </w14:solidFill>
          </w14:textFill>
        </w:rPr>
        <w:t xml:space="preserve">自货物验收合格之日起12个月后，</w:t>
      </w:r>
      <w:r>
        <w:rPr>
          <w:rFonts w:hint="eastAsia" w:hAnsi="宋体"/>
          <w:color w:val="000000" w:themeColor="text1"/>
          <w:sz w:val="24"/>
          <w:szCs w:val="28"/>
          <w:highlight w:val="none"/>
          <w:lang w:val="en-US" w:eastAsia="zh-CN"/>
          <w14:textFill>
            <w14:solidFill>
              <w14:schemeClr w14:val="tx1"/>
            </w14:solidFill>
          </w14:textFill>
        </w:rPr>
        <w:t xml:space="preserve">乙方</w:t>
      </w:r>
      <w:r>
        <w:rPr>
          <w:rFonts w:hint="eastAsia" w:hAnsi="宋体"/>
          <w:color w:val="000000" w:themeColor="text1"/>
          <w:sz w:val="24"/>
          <w:szCs w:val="28"/>
          <w:highlight w:val="none"/>
          <w14:textFill>
            <w14:solidFill>
              <w14:schemeClr w14:val="tx1"/>
            </w14:solidFill>
          </w14:textFill>
        </w:rPr>
        <w:t xml:space="preserve">可向</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出具货物最终验收单，并同步提交填写完整的《履约保证金退还申请单》。经最终用户签字确认，核实无质量问题且</w:t>
      </w:r>
      <w:r>
        <w:rPr>
          <w:rFonts w:hint="eastAsia" w:hAnsi="宋体"/>
          <w:color w:val="000000" w:themeColor="text1"/>
          <w:sz w:val="24"/>
          <w:szCs w:val="28"/>
          <w:highlight w:val="none"/>
          <w:lang w:val="en-US" w:eastAsia="zh-CN"/>
          <w14:textFill>
            <w14:solidFill>
              <w14:schemeClr w14:val="tx1"/>
            </w14:solidFill>
          </w14:textFill>
        </w:rPr>
        <w:t xml:space="preserve">乙方</w:t>
      </w:r>
      <w:r>
        <w:rPr>
          <w:rFonts w:hint="eastAsia" w:hAnsi="宋体"/>
          <w:color w:val="000000" w:themeColor="text1"/>
          <w:sz w:val="24"/>
          <w:szCs w:val="28"/>
          <w:highlight w:val="none"/>
          <w14:textFill>
            <w14:solidFill>
              <w14:schemeClr w14:val="tx1"/>
            </w14:solidFill>
          </w14:textFill>
        </w:rPr>
        <w:t xml:space="preserve">无违约情形后，</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于确认完成后一个月内，将履约保证金一次性无息退还</w:t>
      </w:r>
      <w:r>
        <w:rPr>
          <w:rFonts w:hint="eastAsia" w:hAnsi="宋体"/>
          <w:color w:val="000000" w:themeColor="text1"/>
          <w:sz w:val="24"/>
          <w:szCs w:val="28"/>
          <w:highlight w:val="none"/>
          <w:lang w:val="en-US" w:eastAsia="zh-CN"/>
          <w14:textFill>
            <w14:solidFill>
              <w14:schemeClr w14:val="tx1"/>
            </w14:solidFill>
          </w14:textFill>
        </w:rPr>
        <w:t xml:space="preserve">乙方</w:t>
      </w:r>
      <w:r>
        <w:rPr>
          <w:rFonts w:hint="eastAsia" w:hAnsi="宋体"/>
          <w:color w:val="000000" w:themeColor="text1"/>
          <w:sz w:val="24"/>
          <w:szCs w:val="28"/>
          <w:highlight w:val="none"/>
          <w14:textFill>
            <w14:solidFill>
              <w14:schemeClr w14:val="tx1"/>
            </w14:solidFill>
          </w14:textFill>
        </w:rPr>
        <w:t xml:space="preserve">。</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2.3当采购数量与实际使用数量不一致时，乙方应根据实际使用量供货，合同的最终结算金额按实际使用量乘以本合同约定的成交单价进行计算。</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2.4乙方指定账户信息：</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开户行：</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户名：</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账号：</w:t>
      </w:r>
      <w:r/>
    </w:p>
    <w:p>
      <w:pPr>
        <w:pStyle w:val="1049"/>
        <w:ind w:firstLine="480"/>
        <w:rPr>
          <w:rFonts w:hint="eastAsia" w:hAnsi="宋体" w:cs="Times New Roman"/>
          <w:color w:val="000000" w:themeColor="text1"/>
          <w:sz w:val="24"/>
          <w:szCs w:val="24"/>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上述账户信息，如有变更，乙方应在变更前3日内书面通知甲方。否则，由此产生的后果由乙方承担。</w:t>
      </w:r>
      <w:r/>
    </w:p>
    <w:p>
      <w:pPr>
        <w:pStyle w:val="1049"/>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三、交付方式、时间及地点</w:t>
      </w:r>
      <w:r/>
    </w:p>
    <w:p>
      <w:pPr>
        <w:ind w:firstLine="480"/>
        <w:spacing w:line="24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）交货期：</w:t>
      </w:r>
      <w:r>
        <w:rPr>
          <w:rFonts w:hint="eastAsia" w:ascii="宋体" w:hAnsi="宋体" w:cs="宋体"/>
          <w:color w:val="000000" w:themeColor="text1"/>
          <w:sz w:val="24"/>
          <w:highlight w:val="none"/>
          <w:lang w:val="zh-CN"/>
          <w14:textFill>
            <w14:solidFill>
              <w14:schemeClr w14:val="tx1"/>
            </w14:solidFill>
          </w14:textFill>
        </w:rPr>
        <w:t xml:space="preserve">合同签订生效后，一个月内全部设备、材料运抵现场，并安装、调试结束，验收合格，交付采购方使用。</w:t>
      </w:r>
      <w:r/>
    </w:p>
    <w:p>
      <w:pPr>
        <w:ind w:firstLine="480"/>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）交货方式：中标人在采购方指定地点交货，并完成安装、调试。</w:t>
      </w:r>
      <w:r/>
    </w:p>
    <w:p>
      <w:pPr>
        <w:pStyle w:val="1049"/>
        <w:ind w:firstLine="480"/>
        <w:spacing w:before="120" w:after="120" w:line="360" w:lineRule="auto"/>
        <w:rPr>
          <w:rFonts w:hint="eastAsia" w:hAnsi="宋体"/>
          <w:b/>
          <w:bCs/>
          <w:color w:val="000000" w:themeColor="text1"/>
          <w:sz w:val="24"/>
          <w:highlight w:val="none"/>
          <w:lang w:val="zh-CN"/>
          <w14:textFill>
            <w14:solidFill>
              <w14:schemeClr w14:val="tx1"/>
            </w14:solidFill>
          </w14:textFill>
        </w:rPr>
      </w:pPr>
      <w:r>
        <w:rPr>
          <w:rFonts w:hint="eastAsia" w:hAnsi="宋体"/>
          <w:color w:val="000000" w:themeColor="text1"/>
          <w:sz w:val="24"/>
          <w:highlight w:val="none"/>
          <w:lang w:val="zh-CN"/>
          <w14:textFill>
            <w14:solidFill>
              <w14:schemeClr w14:val="tx1"/>
            </w14:solidFill>
          </w14:textFill>
        </w:rPr>
        <w:t xml:space="preserve">（</w:t>
      </w:r>
      <w:r>
        <w:rPr>
          <w:rFonts w:hint="eastAsia" w:hAnsi="宋体"/>
          <w:color w:val="000000" w:themeColor="text1"/>
          <w:sz w:val="24"/>
          <w:highlight w:val="none"/>
          <w14:textFill>
            <w14:solidFill>
              <w14:schemeClr w14:val="tx1"/>
            </w14:solidFill>
          </w14:textFill>
        </w:rPr>
        <w:t xml:space="preserve">3</w:t>
      </w:r>
      <w:r>
        <w:rPr>
          <w:rFonts w:hint="eastAsia" w:hAnsi="宋体"/>
          <w:color w:val="000000" w:themeColor="text1"/>
          <w:sz w:val="24"/>
          <w:highlight w:val="none"/>
          <w:lang w:val="zh-CN"/>
          <w14:textFill>
            <w14:solidFill>
              <w14:schemeClr w14:val="tx1"/>
            </w14:solidFill>
          </w14:textFill>
        </w:rPr>
        <w:t xml:space="preserve">）交货地点</w:t>
      </w:r>
      <w:r>
        <w:rPr>
          <w:rFonts w:hint="eastAsia" w:hAnsi="宋体"/>
          <w:b w:val="0"/>
          <w:bCs w:val="0"/>
          <w:color w:val="000000" w:themeColor="text1"/>
          <w:sz w:val="24"/>
          <w:highlight w:val="none"/>
          <w:lang w:val="zh-CN"/>
          <w14:textFill>
            <w14:solidFill>
              <w14:schemeClr w14:val="tx1"/>
            </w14:solidFill>
          </w14:textFill>
        </w:rPr>
        <w:t xml:space="preserve">：南京医科大学指定地点。</w:t>
      </w:r>
      <w:r/>
    </w:p>
    <w:p>
      <w:pPr>
        <w:pStyle w:val="1049"/>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四、货物包装、发运及运输</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 乙方应在货物发运前</w:t>
      </w:r>
      <w:r>
        <w:rPr>
          <w:rFonts w:hint="eastAsia" w:hAnsi="宋体"/>
          <w:color w:val="000000" w:themeColor="text1"/>
          <w:sz w:val="24"/>
          <w:szCs w:val="24"/>
          <w:highlight w:val="none"/>
          <w14:textFill>
            <w14:solidFill>
              <w14:schemeClr w14:val="tx1"/>
            </w14:solidFill>
          </w14:textFill>
        </w:rPr>
        <w:t xml:space="preserve">根据</w:t>
      </w:r>
      <w:r>
        <w:rPr>
          <w:rFonts w:hAnsi="宋体"/>
          <w:color w:val="000000" w:themeColor="text1"/>
          <w:sz w:val="24"/>
          <w:szCs w:val="24"/>
          <w:highlight w:val="none"/>
          <w14:textFill>
            <w14:solidFill>
              <w14:schemeClr w14:val="tx1"/>
            </w14:solidFill>
          </w14:textFill>
        </w:rPr>
        <w:t xml:space="preserve">运输距离、防潮、防震、防锈和防破损装卸等要求</w:t>
      </w:r>
      <w:r>
        <w:rPr>
          <w:rFonts w:hint="eastAsia" w:hAnsi="宋体"/>
          <w:color w:val="000000" w:themeColor="text1"/>
          <w:sz w:val="24"/>
          <w:szCs w:val="24"/>
          <w:highlight w:val="none"/>
          <w14:textFill>
            <w14:solidFill>
              <w14:schemeClr w14:val="tx1"/>
            </w14:solidFill>
          </w14:textFill>
        </w:rPr>
        <w:t xml:space="preserve">进行相应的</w:t>
      </w:r>
      <w:r>
        <w:rPr>
          <w:rFonts w:hAnsi="宋体"/>
          <w:color w:val="000000" w:themeColor="text1"/>
          <w:sz w:val="24"/>
          <w:szCs w:val="24"/>
          <w:highlight w:val="none"/>
          <w14:textFill>
            <w14:solidFill>
              <w14:schemeClr w14:val="tx1"/>
            </w14:solidFill>
          </w14:textFill>
        </w:rPr>
        <w:t xml:space="preserve">包装，以保证货物安全运达甲方指定地点。</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4.2 使用说明书、质量检验证明书、随配附件和工具以及清单一并附于货物内。</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4.3 乙方在货物发运手续办理完毕后24小时内或货到甲方48小时前通知甲方，以准备接货。</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4.4 货物在交付甲方前发生的风险均由乙方负责。</w:t>
      </w:r>
      <w:r/>
    </w:p>
    <w:p>
      <w:pPr>
        <w:pStyle w:val="1049"/>
        <w:ind w:firstLine="482"/>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五、</w:t>
      </w:r>
      <w:r>
        <w:rPr>
          <w:rFonts w:hAnsi="宋体"/>
          <w:b/>
          <w:color w:val="000000" w:themeColor="text1"/>
          <w:sz w:val="24"/>
          <w:szCs w:val="24"/>
          <w:highlight w:val="none"/>
          <w14:textFill>
            <w14:solidFill>
              <w14:schemeClr w14:val="tx1"/>
            </w14:solidFill>
          </w14:textFill>
        </w:rPr>
        <w:t xml:space="preserve">质量保证及售后服务</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5.1 乙方应按招标文件规定的货物性能、技术要求、质量标准向甲方提供全新</w:t>
      </w:r>
      <w:r>
        <w:rPr>
          <w:rFonts w:hint="eastAsia" w:hAnsi="宋体"/>
          <w:color w:val="000000" w:themeColor="text1"/>
          <w:sz w:val="24"/>
          <w:szCs w:val="24"/>
          <w:highlight w:val="none"/>
          <w14:textFill>
            <w14:solidFill>
              <w14:schemeClr w14:val="tx1"/>
            </w14:solidFill>
          </w14:textFill>
        </w:rPr>
        <w:t xml:space="preserve">货物，乙方所供货物应符合国家相关的法律规定、技术规格和质量标准；如是进口商品，则需是获得国家相关部门颁布安全许可证的出厂原装合格产品。</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5.2 乙方提供的货物在</w:t>
      </w:r>
      <w:r>
        <w:rPr>
          <w:rFonts w:hint="eastAsia" w:hAnsi="宋体"/>
          <w:color w:val="000000" w:themeColor="text1"/>
          <w:sz w:val="24"/>
          <w:szCs w:val="24"/>
          <w:highlight w:val="none"/>
          <w14:textFill>
            <w14:solidFill>
              <w14:schemeClr w14:val="tx1"/>
            </w14:solidFill>
          </w14:textFill>
        </w:rPr>
        <w:t xml:space="preserve">质保期</w:t>
      </w:r>
      <w:r>
        <w:rPr>
          <w:rFonts w:hAnsi="宋体"/>
          <w:color w:val="000000" w:themeColor="text1"/>
          <w:sz w:val="24"/>
          <w:szCs w:val="24"/>
          <w:highlight w:val="none"/>
          <w14:textFill>
            <w14:solidFill>
              <w14:schemeClr w14:val="tx1"/>
            </w14:solidFill>
          </w14:textFill>
        </w:rPr>
        <w:t xml:space="preserve">内因货物本身的质量问题发生故障，乙方应负责免费更换</w:t>
      </w:r>
      <w:r>
        <w:rPr>
          <w:rFonts w:hint="eastAsia" w:hAnsi="宋体"/>
          <w:color w:val="000000" w:themeColor="text1"/>
          <w:sz w:val="24"/>
          <w:szCs w:val="24"/>
          <w:highlight w:val="none"/>
          <w14:textFill>
            <w14:solidFill>
              <w14:schemeClr w14:val="tx1"/>
            </w14:solidFill>
          </w14:textFill>
        </w:rPr>
        <w:t xml:space="preserve">，并承担所发生的全部费用</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更换后仍</w:t>
      </w:r>
      <w:r>
        <w:rPr>
          <w:rFonts w:hAnsi="宋体"/>
          <w:color w:val="000000" w:themeColor="text1"/>
          <w:sz w:val="24"/>
          <w:szCs w:val="24"/>
          <w:highlight w:val="none"/>
          <w14:textFill>
            <w14:solidFill>
              <w14:schemeClr w14:val="tx1"/>
            </w14:solidFill>
          </w14:textFill>
        </w:rPr>
        <w:t xml:space="preserve">达不到技术要求</w:t>
      </w:r>
      <w:r>
        <w:rPr>
          <w:rFonts w:hint="eastAsia" w:hAnsi="宋体"/>
          <w:color w:val="000000" w:themeColor="text1"/>
          <w:sz w:val="24"/>
          <w:szCs w:val="24"/>
          <w:highlight w:val="none"/>
          <w14:textFill>
            <w14:solidFill>
              <w14:schemeClr w14:val="tx1"/>
            </w14:solidFill>
          </w14:textFill>
        </w:rPr>
        <w:t xml:space="preserve">的，</w:t>
      </w:r>
      <w:r>
        <w:rPr>
          <w:rFonts w:hAnsi="宋体"/>
          <w:color w:val="000000" w:themeColor="text1"/>
          <w:sz w:val="24"/>
          <w:szCs w:val="24"/>
          <w:highlight w:val="none"/>
          <w14:textFill>
            <w14:solidFill>
              <w14:schemeClr w14:val="tx1"/>
            </w14:solidFill>
          </w14:textFill>
        </w:rPr>
        <w:t xml:space="preserve">乙方应退还甲方支付的合同款，同时应承担该货物的直接费用（运输、保险、检验、货款利息及银行手续费等）。</w:t>
      </w:r>
      <w:r/>
    </w:p>
    <w:p>
      <w:pPr>
        <w:pStyle w:val="1049"/>
        <w:ind w:firstLine="480"/>
        <w:spacing w:before="120" w:after="120" w:line="330" w:lineRule="atLeast"/>
        <w:rPr>
          <w:rFonts w:hint="default" w:hAnsi="宋体" w:eastAsia="宋体"/>
          <w:color w:val="000000" w:themeColor="text1"/>
          <w:sz w:val="24"/>
          <w:szCs w:val="24"/>
          <w:highlight w:val="none"/>
          <w:lang w:val="en-US" w:eastAsia="zh-CN"/>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5.3</w:t>
      </w:r>
      <w:r>
        <w:rPr>
          <w:rFonts w:hint="eastAsia" w:hAnsi="宋体"/>
          <w:color w:val="000000" w:themeColor="text1"/>
          <w:sz w:val="24"/>
          <w:szCs w:val="24"/>
          <w:highlight w:val="none"/>
          <w14:textFill>
            <w14:solidFill>
              <w14:schemeClr w14:val="tx1"/>
            </w14:solidFill>
          </w14:textFill>
        </w:rPr>
        <w:t xml:space="preserve">上述货物的</w:t>
      </w:r>
      <w:r>
        <w:rPr>
          <w:rFonts w:hAnsi="宋体"/>
          <w:color w:val="000000" w:themeColor="text1"/>
          <w:sz w:val="24"/>
          <w:szCs w:val="24"/>
          <w:highlight w:val="none"/>
          <w14:textFill>
            <w14:solidFill>
              <w14:schemeClr w14:val="tx1"/>
            </w14:solidFill>
          </w14:textFill>
        </w:rPr>
        <w:t xml:space="preserve">质保期</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年</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（自交货验收合格</w:t>
      </w:r>
      <w:r>
        <w:rPr>
          <w:rFonts w:hint="eastAsia" w:hAnsi="宋体"/>
          <w:color w:val="000000" w:themeColor="text1"/>
          <w:sz w:val="24"/>
          <w:szCs w:val="24"/>
          <w:highlight w:val="none"/>
          <w14:textFill>
            <w14:solidFill>
              <w14:schemeClr w14:val="tx1"/>
            </w14:solidFill>
          </w14:textFill>
        </w:rPr>
        <w:t xml:space="preserve">次日</w:t>
      </w:r>
      <w:r>
        <w:rPr>
          <w:rFonts w:hAnsi="宋体"/>
          <w:color w:val="000000" w:themeColor="text1"/>
          <w:sz w:val="24"/>
          <w:szCs w:val="24"/>
          <w:highlight w:val="none"/>
          <w14:textFill>
            <w14:solidFill>
              <w14:schemeClr w14:val="tx1"/>
            </w14:solidFill>
          </w14:textFill>
        </w:rPr>
        <w:t xml:space="preserve">起</w:t>
      </w:r>
      <w:r>
        <w:rPr>
          <w:rFonts w:hint="eastAsia" w:hAnsi="宋体"/>
          <w:color w:val="000000" w:themeColor="text1"/>
          <w:sz w:val="24"/>
          <w:szCs w:val="24"/>
          <w:highlight w:val="none"/>
          <w14:textFill>
            <w14:solidFill>
              <w14:schemeClr w14:val="tx1"/>
            </w14:solidFill>
          </w14:textFill>
        </w:rPr>
        <w:t xml:space="preserve">计算</w:t>
      </w:r>
      <w:r>
        <w:rPr>
          <w:rFonts w:hAnsi="宋体"/>
          <w:color w:val="000000" w:themeColor="text1"/>
          <w:sz w:val="24"/>
          <w:szCs w:val="24"/>
          <w:highlight w:val="none"/>
          <w14:textFill>
            <w14:solidFill>
              <w14:schemeClr w14:val="tx1"/>
            </w14:solidFill>
          </w14:textFill>
        </w:rPr>
        <w:t xml:space="preserve">），因人为因素出现的故障不在免费保修范围内。</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质保</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包含：仪器免费维修+免费软硬件更新和升级+支持对因质量或测序仪故障问题导致试剂盒的损坏进行索赔+每年</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不少于</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2次PM保养（预防性维护保养）</w:t>
      </w:r>
      <w:r>
        <w:rPr>
          <w:rFonts w:hint="eastAsia"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I</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Q/</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O</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Q/PQ合规认证（IQ：安装确认；0Q：操作确认；PQ：仪器性能验证）</w:t>
      </w:r>
      <w:r>
        <w:rPr>
          <w:rFonts w:hint="eastAsia" w:ascii="宋体" w:hAnsi="宋体" w:cs="宋体"/>
          <w:color w:val="000000" w:themeColor="text1"/>
          <w:sz w:val="24"/>
          <w:szCs w:val="24"/>
          <w:highlight w:val="none"/>
          <w:lang w:val="zh-CN" w:eastAsia="zh-CN"/>
          <w14:textFill>
            <w14:solidFill>
              <w14:schemeClr w14:val="tx1"/>
            </w14:solidFill>
          </w14:textFill>
        </w:rPr>
        <w:t xml:space="preserve">。</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5.4</w:t>
      </w:r>
      <w:r>
        <w:rPr>
          <w:rFonts w:hint="eastAsia" w:hAnsi="宋体"/>
          <w:color w:val="000000" w:themeColor="text1"/>
          <w:sz w:val="24"/>
          <w:szCs w:val="24"/>
          <w:highlight w:val="none"/>
          <w14:textFill>
            <w14:solidFill>
              <w14:schemeClr w14:val="tx1"/>
            </w14:solidFill>
          </w14:textFill>
        </w:rPr>
        <w:t xml:space="preserve">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1049"/>
        <w:ind w:firstLine="480"/>
        <w:spacing w:before="120" w:after="120" w:line="330" w:lineRule="atLeas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5.5 在质保期内，乙方应对货物出现的质量及安全问题负责处理解决并承担一切费用。</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5.6 </w:t>
      </w:r>
      <w:r>
        <w:rPr>
          <w:rFonts w:hint="eastAsia" w:hAnsi="宋体"/>
          <w:color w:val="000000" w:themeColor="text1"/>
          <w:sz w:val="24"/>
          <w:szCs w:val="24"/>
          <w:highlight w:val="none"/>
          <w14:textFill>
            <w14:solidFill>
              <w14:schemeClr w14:val="tx1"/>
            </w14:solidFill>
          </w14:textFill>
        </w:rPr>
        <w:t xml:space="preserve">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color w:val="000000" w:themeColor="text1"/>
          <w:sz w:val="24"/>
          <w:szCs w:val="24"/>
          <w:highlight w:val="none"/>
          <w14:textFill>
            <w14:solidFill>
              <w14:schemeClr w14:val="tx1"/>
            </w14:solidFill>
          </w14:textFill>
        </w:rPr>
        <w:t xml:space="preserve">。</w:t>
      </w:r>
      <w:r/>
    </w:p>
    <w:p>
      <w:pPr>
        <w:pStyle w:val="1049"/>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六</w:t>
      </w:r>
      <w:r>
        <w:rPr>
          <w:rFonts w:hAnsi="宋体"/>
          <w:b/>
          <w:color w:val="000000" w:themeColor="text1"/>
          <w:sz w:val="24"/>
          <w:szCs w:val="24"/>
          <w:highlight w:val="none"/>
          <w14:textFill>
            <w14:solidFill>
              <w14:schemeClr w14:val="tx1"/>
            </w14:solidFill>
          </w14:textFill>
        </w:rPr>
        <w:t xml:space="preserve">、调试和验收</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6.1 乙方交货前应对</w:t>
      </w:r>
      <w:r>
        <w:rPr>
          <w:rFonts w:hint="eastAsia" w:hAnsi="宋体"/>
          <w:color w:val="000000" w:themeColor="text1"/>
          <w:sz w:val="24"/>
          <w:szCs w:val="24"/>
          <w:highlight w:val="none"/>
          <w14:textFill>
            <w14:solidFill>
              <w14:schemeClr w14:val="tx1"/>
            </w14:solidFill>
          </w14:textFill>
        </w:rPr>
        <w:t xml:space="preserve">货物</w:t>
      </w:r>
      <w:r>
        <w:rPr>
          <w:rFonts w:hAnsi="宋体"/>
          <w:color w:val="000000" w:themeColor="text1"/>
          <w:sz w:val="24"/>
          <w:szCs w:val="24"/>
          <w:highlight w:val="none"/>
          <w14:textFill>
            <w14:solidFill>
              <w14:schemeClr w14:val="tx1"/>
            </w14:solidFill>
          </w14:textFill>
        </w:rPr>
        <w:t xml:space="preserve">全面检查</w:t>
      </w:r>
      <w:r>
        <w:rPr>
          <w:rFonts w:hint="eastAsia" w:hAnsi="宋体"/>
          <w:color w:val="000000" w:themeColor="text1"/>
          <w:sz w:val="24"/>
          <w:szCs w:val="24"/>
          <w:highlight w:val="none"/>
          <w14:textFill>
            <w14:solidFill>
              <w14:schemeClr w14:val="tx1"/>
            </w14:solidFill>
          </w14:textFill>
        </w:rPr>
        <w:t xml:space="preserve">并</w:t>
      </w:r>
      <w:r>
        <w:rPr>
          <w:rFonts w:hAnsi="宋体"/>
          <w:color w:val="000000" w:themeColor="text1"/>
          <w:sz w:val="24"/>
          <w:szCs w:val="24"/>
          <w:highlight w:val="none"/>
          <w14:textFill>
            <w14:solidFill>
              <w14:schemeClr w14:val="tx1"/>
            </w14:solidFill>
          </w14:textFill>
        </w:rPr>
        <w:t xml:space="preserve">对验收文件进行整理，列出清单</w:t>
      </w:r>
      <w:r>
        <w:rPr>
          <w:rFonts w:hint="eastAsia" w:hAnsi="宋体"/>
          <w:color w:val="000000" w:themeColor="text1"/>
          <w:sz w:val="24"/>
          <w:szCs w:val="24"/>
          <w:highlight w:val="none"/>
          <w14:textFill>
            <w14:solidFill>
              <w14:schemeClr w14:val="tx1"/>
            </w14:solidFill>
          </w14:textFill>
        </w:rPr>
        <w:t xml:space="preserve">提交甲方</w:t>
      </w:r>
      <w:r>
        <w:rPr>
          <w:rFonts w:hAnsi="宋体"/>
          <w:color w:val="000000" w:themeColor="text1"/>
          <w:sz w:val="24"/>
          <w:szCs w:val="24"/>
          <w:highlight w:val="none"/>
          <w14:textFill>
            <w14:solidFill>
              <w14:schemeClr w14:val="tx1"/>
            </w14:solidFill>
          </w14:textFill>
        </w:rPr>
        <w:t xml:space="preserve">，检验的结果</w:t>
      </w:r>
      <w:r>
        <w:rPr>
          <w:rFonts w:hint="eastAsia" w:hAnsi="宋体"/>
          <w:color w:val="000000" w:themeColor="text1"/>
          <w:sz w:val="24"/>
          <w:szCs w:val="24"/>
          <w:highlight w:val="none"/>
          <w14:textFill>
            <w14:solidFill>
              <w14:schemeClr w14:val="tx1"/>
            </w14:solidFill>
          </w14:textFill>
        </w:rPr>
        <w:t xml:space="preserve">亦</w:t>
      </w:r>
      <w:r>
        <w:rPr>
          <w:rFonts w:hAnsi="宋体"/>
          <w:color w:val="000000" w:themeColor="text1"/>
          <w:sz w:val="24"/>
          <w:szCs w:val="24"/>
          <w:highlight w:val="none"/>
          <w14:textFill>
            <w14:solidFill>
              <w14:schemeClr w14:val="tx1"/>
            </w14:solidFill>
          </w14:textFill>
        </w:rPr>
        <w:t xml:space="preserve">应随货物交甲方。</w:t>
      </w:r>
      <w:r/>
    </w:p>
    <w:p>
      <w:pPr>
        <w:pStyle w:val="1049"/>
        <w:ind w:firstLine="480"/>
        <w:spacing w:before="120" w:after="120" w:line="330" w:lineRule="atLeast"/>
        <w:rPr>
          <w:rFonts w:hint="eastAsia" w:hAnsi="宋体"/>
          <w:color w:val="000000" w:themeColor="text1"/>
          <w:sz w:val="24"/>
          <w:szCs w:val="24"/>
          <w:highlight w:val="none"/>
          <w:u w:val="singl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6.2 甲方对乙方提供的货物在使用前进行调试时，乙方需负责安装并培训甲方的使用操作人员，并协助甲方一起调试，直到符合技术要求。</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6.3 </w:t>
      </w:r>
      <w:r>
        <w:rPr>
          <w:rFonts w:hint="eastAsia" w:hAnsi="宋体"/>
          <w:color w:val="000000" w:themeColor="text1"/>
          <w:sz w:val="24"/>
          <w:szCs w:val="24"/>
          <w:highlight w:val="none"/>
          <w14:textFill>
            <w14:solidFill>
              <w14:schemeClr w14:val="tx1"/>
            </w14:solidFill>
          </w14:textFill>
        </w:rPr>
        <w:t xml:space="preserve">在安装、调试和验收过程中，如发现有漏件、缺件，乙方应无条件、无偿补齐，所发生的一切费用，视为已包含在投标时的投标报价中，且并不因此而影响交付甲方使用的时间。</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6.4 甲方对乙方提交的货物依据招标文件上的技术规格要求和国家有关质量标准进行现场初步验收</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外观、说明书符合招标文件技术要求的，给予签收，初步验收不合格的不予签收。货到后，甲方需在10个工作日内</w:t>
      </w:r>
      <w:r>
        <w:rPr>
          <w:rFonts w:hint="eastAsia" w:hAnsi="宋体"/>
          <w:color w:val="000000" w:themeColor="text1"/>
          <w:sz w:val="24"/>
          <w:szCs w:val="24"/>
          <w:highlight w:val="none"/>
          <w14:textFill>
            <w14:solidFill>
              <w14:schemeClr w14:val="tx1"/>
            </w14:solidFill>
          </w14:textFill>
        </w:rPr>
        <w:t xml:space="preserve">完成初步</w:t>
      </w:r>
      <w:r>
        <w:rPr>
          <w:rFonts w:hAnsi="宋体"/>
          <w:color w:val="000000" w:themeColor="text1"/>
          <w:sz w:val="24"/>
          <w:szCs w:val="24"/>
          <w:highlight w:val="none"/>
          <w14:textFill>
            <w14:solidFill>
              <w14:schemeClr w14:val="tx1"/>
            </w14:solidFill>
          </w14:textFill>
        </w:rPr>
        <w:t xml:space="preserve">验收。</w:t>
      </w:r>
      <w:r>
        <w:rPr>
          <w:rFonts w:hint="eastAsia" w:hAnsi="宋体"/>
          <w:color w:val="000000" w:themeColor="text1"/>
          <w:sz w:val="24"/>
          <w:szCs w:val="24"/>
          <w:highlight w:val="none"/>
          <w14:textFill>
            <w14:solidFill>
              <w14:schemeClr w14:val="tx1"/>
            </w14:solidFill>
          </w14:textFill>
        </w:rPr>
        <w:t xml:space="preserve">验收不合格的，乙方应在收到甲方书面整改通知后完成整改并重新申请验收，整改后仍不合格的，甲方有权单方解除合同，乙方按9.3条承担违约责任。</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6.5 </w:t>
      </w:r>
      <w:r>
        <w:rPr>
          <w:rFonts w:hint="eastAsia" w:hAnsi="宋体"/>
          <w:color w:val="000000" w:themeColor="text1"/>
          <w:sz w:val="24"/>
          <w:szCs w:val="24"/>
          <w:highlight w:val="none"/>
          <w14:textFill>
            <w14:solidFill>
              <w14:schemeClr w14:val="tx1"/>
            </w14:solidFill>
          </w14:textFill>
        </w:rPr>
        <w:t xml:space="preserve">设备、材料安装、调试结束，甲、</w:t>
      </w:r>
      <w:r>
        <w:rPr>
          <w:rFonts w:hAnsi="宋体"/>
          <w:color w:val="000000" w:themeColor="text1"/>
          <w:sz w:val="24"/>
          <w:szCs w:val="24"/>
          <w:highlight w:val="none"/>
          <w14:textFill>
            <w14:solidFill>
              <w14:schemeClr w14:val="tx1"/>
            </w14:solidFill>
          </w14:textFill>
        </w:rPr>
        <w:t xml:space="preserve">乙</w:t>
      </w:r>
      <w:r>
        <w:rPr>
          <w:rFonts w:hint="eastAsia" w:hAnsi="宋体"/>
          <w:color w:val="000000" w:themeColor="text1"/>
          <w:sz w:val="24"/>
          <w:szCs w:val="24"/>
          <w:highlight w:val="none"/>
          <w14:textFill>
            <w14:solidFill>
              <w14:schemeClr w14:val="tx1"/>
            </w14:solidFill>
          </w14:textFill>
        </w:rPr>
        <w:t xml:space="preserve">双</w:t>
      </w:r>
      <w:r>
        <w:rPr>
          <w:rFonts w:hAnsi="宋体"/>
          <w:color w:val="000000" w:themeColor="text1"/>
          <w:sz w:val="24"/>
          <w:szCs w:val="24"/>
          <w:highlight w:val="none"/>
          <w14:textFill>
            <w14:solidFill>
              <w14:schemeClr w14:val="tx1"/>
            </w14:solidFill>
          </w14:textFill>
        </w:rPr>
        <w:t xml:space="preserve">方</w:t>
      </w:r>
      <w:r>
        <w:rPr>
          <w:rFonts w:hint="eastAsia" w:hAnsi="宋体"/>
          <w:color w:val="000000" w:themeColor="text1"/>
          <w:sz w:val="24"/>
          <w:szCs w:val="24"/>
          <w:highlight w:val="none"/>
          <w14:textFill>
            <w14:solidFill>
              <w14:schemeClr w14:val="tx1"/>
            </w14:solidFill>
          </w14:textFill>
        </w:rPr>
        <w:t xml:space="preserve">派员共同验收</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达到验收标准则验收合格。</w:t>
      </w:r>
      <w:r>
        <w:rPr>
          <w:rFonts w:hAnsi="宋体"/>
          <w:color w:val="000000" w:themeColor="text1"/>
          <w:sz w:val="24"/>
          <w:szCs w:val="24"/>
          <w:highlight w:val="none"/>
          <w14:textFill>
            <w14:solidFill>
              <w14:schemeClr w14:val="tx1"/>
            </w14:solidFill>
          </w14:textFill>
        </w:rPr>
        <w:t xml:space="preserve">验收完毕后</w:t>
      </w:r>
      <w:r>
        <w:rPr>
          <w:rFonts w:hint="eastAsia" w:hAnsi="宋体"/>
          <w:color w:val="000000" w:themeColor="text1"/>
          <w:sz w:val="24"/>
          <w:szCs w:val="24"/>
          <w:highlight w:val="none"/>
          <w14:textFill>
            <w14:solidFill>
              <w14:schemeClr w14:val="tx1"/>
            </w14:solidFill>
          </w14:textFill>
        </w:rPr>
        <w:t xml:space="preserve">出具</w:t>
      </w:r>
      <w:r>
        <w:rPr>
          <w:rFonts w:hAnsi="宋体"/>
          <w:color w:val="000000" w:themeColor="text1"/>
          <w:sz w:val="24"/>
          <w:szCs w:val="24"/>
          <w:highlight w:val="none"/>
          <w14:textFill>
            <w14:solidFill>
              <w14:schemeClr w14:val="tx1"/>
            </w14:solidFill>
          </w14:textFill>
        </w:rPr>
        <w:t xml:space="preserve">验收结果报告</w:t>
      </w:r>
      <w:r>
        <w:rPr>
          <w:rFonts w:hint="eastAsia" w:hAnsi="宋体"/>
          <w:color w:val="000000" w:themeColor="text1"/>
          <w:sz w:val="24"/>
          <w:szCs w:val="24"/>
          <w:highlight w:val="none"/>
          <w14:textFill>
            <w14:solidFill>
              <w14:schemeClr w14:val="tx1"/>
            </w14:solidFill>
          </w14:textFill>
        </w:rPr>
        <w:t xml:space="preserve">并经双方签字确认</w:t>
      </w:r>
      <w:r>
        <w:rPr>
          <w:rFonts w:hAnsi="宋体"/>
          <w:color w:val="000000" w:themeColor="text1"/>
          <w:sz w:val="24"/>
          <w:szCs w:val="24"/>
          <w:highlight w:val="none"/>
          <w14:textFill>
            <w14:solidFill>
              <w14:schemeClr w14:val="tx1"/>
            </w14:solidFill>
          </w14:textFill>
        </w:rPr>
        <w:t xml:space="preserve">；验收</w:t>
      </w:r>
      <w:r>
        <w:rPr>
          <w:rFonts w:hint="eastAsia" w:hAnsi="宋体"/>
          <w:color w:val="000000" w:themeColor="text1"/>
          <w:sz w:val="24"/>
          <w:szCs w:val="24"/>
          <w:highlight w:val="none"/>
          <w14:textFill>
            <w14:solidFill>
              <w14:schemeClr w14:val="tx1"/>
            </w14:solidFill>
          </w14:textFill>
        </w:rPr>
        <w:t xml:space="preserve">相关</w:t>
      </w:r>
      <w:r>
        <w:rPr>
          <w:rFonts w:hAnsi="宋体"/>
          <w:color w:val="000000" w:themeColor="text1"/>
          <w:sz w:val="24"/>
          <w:szCs w:val="24"/>
          <w:highlight w:val="none"/>
          <w14:textFill>
            <w14:solidFill>
              <w14:schemeClr w14:val="tx1"/>
            </w14:solidFill>
          </w14:textFill>
        </w:rPr>
        <w:t xml:space="preserve">费用由</w:t>
      </w:r>
      <w:r>
        <w:rPr>
          <w:rFonts w:hint="eastAsia" w:hAnsi="宋体"/>
          <w:color w:val="000000" w:themeColor="text1"/>
          <w:sz w:val="24"/>
          <w:szCs w:val="24"/>
          <w:highlight w:val="none"/>
          <w14:textFill>
            <w14:solidFill>
              <w14:schemeClr w14:val="tx1"/>
            </w14:solidFill>
          </w14:textFill>
        </w:rPr>
        <w:t xml:space="preserve">乙方承担。</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6.6 对技术复杂的货物，甲方</w:t>
      </w:r>
      <w:r>
        <w:rPr>
          <w:rFonts w:hint="eastAsia" w:hAnsi="宋体"/>
          <w:color w:val="000000" w:themeColor="text1"/>
          <w:sz w:val="24"/>
          <w:szCs w:val="24"/>
          <w:highlight w:val="none"/>
          <w14:textFill>
            <w14:solidFill>
              <w14:schemeClr w14:val="tx1"/>
            </w14:solidFill>
          </w14:textFill>
        </w:rPr>
        <w:t xml:space="preserve">可聘</w:t>
      </w:r>
      <w:r>
        <w:rPr>
          <w:rFonts w:hAnsi="宋体"/>
          <w:color w:val="000000" w:themeColor="text1"/>
          <w:sz w:val="24"/>
          <w:szCs w:val="24"/>
          <w:highlight w:val="none"/>
          <w14:textFill>
            <w14:solidFill>
              <w14:schemeClr w14:val="tx1"/>
            </w14:solidFill>
          </w14:textFill>
        </w:rPr>
        <w:t xml:space="preserve">请国家认可的专业检测机构参与初步验收及最终验收，</w:t>
      </w:r>
      <w:r>
        <w:rPr>
          <w:rFonts w:hint="eastAsia" w:hAnsi="宋体"/>
          <w:color w:val="000000" w:themeColor="text1"/>
          <w:sz w:val="24"/>
          <w:szCs w:val="24"/>
          <w:highlight w:val="none"/>
          <w14:textFill>
            <w14:solidFill>
              <w14:schemeClr w14:val="tx1"/>
            </w14:solidFill>
          </w14:textFill>
        </w:rPr>
        <w:t xml:space="preserve">专业检测机构</w:t>
      </w:r>
      <w:r>
        <w:rPr>
          <w:rFonts w:hAnsi="宋体"/>
          <w:color w:val="000000" w:themeColor="text1"/>
          <w:sz w:val="24"/>
          <w:szCs w:val="24"/>
          <w:highlight w:val="none"/>
          <w14:textFill>
            <w14:solidFill>
              <w14:schemeClr w14:val="tx1"/>
            </w14:solidFill>
          </w14:textFill>
        </w:rPr>
        <w:t xml:space="preserve">出具</w:t>
      </w:r>
      <w:r>
        <w:rPr>
          <w:rFonts w:hint="eastAsia" w:hAnsi="宋体"/>
          <w:color w:val="000000" w:themeColor="text1"/>
          <w:sz w:val="24"/>
          <w:szCs w:val="24"/>
          <w:highlight w:val="none"/>
          <w14:textFill>
            <w14:solidFill>
              <w14:schemeClr w14:val="tx1"/>
            </w14:solidFill>
          </w14:textFill>
        </w:rPr>
        <w:t xml:space="preserve">的</w:t>
      </w:r>
      <w:r>
        <w:rPr>
          <w:rFonts w:hAnsi="宋体"/>
          <w:color w:val="000000" w:themeColor="text1"/>
          <w:sz w:val="24"/>
          <w:szCs w:val="24"/>
          <w:highlight w:val="none"/>
          <w14:textFill>
            <w14:solidFill>
              <w14:schemeClr w14:val="tx1"/>
            </w14:solidFill>
          </w14:textFill>
        </w:rPr>
        <w:t xml:space="preserve">质量检测报告</w:t>
      </w:r>
      <w:r>
        <w:rPr>
          <w:rFonts w:hint="eastAsia" w:hAnsi="宋体"/>
          <w:color w:val="000000" w:themeColor="text1"/>
          <w:sz w:val="24"/>
          <w:szCs w:val="24"/>
          <w:highlight w:val="none"/>
          <w14:textFill>
            <w14:solidFill>
              <w14:schemeClr w14:val="tx1"/>
            </w14:solidFill>
          </w14:textFill>
        </w:rPr>
        <w:t xml:space="preserve">作为甲方判断乙方的货物能否通过验收的条件之一，无论是否通过验收，相关检测费用均由乙方承担。</w:t>
      </w:r>
      <w:r/>
    </w:p>
    <w:p>
      <w:pPr>
        <w:pStyle w:val="1049"/>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七</w:t>
      </w:r>
      <w:r>
        <w:rPr>
          <w:rFonts w:hAnsi="宋体"/>
          <w:b/>
          <w:color w:val="000000" w:themeColor="text1"/>
          <w:sz w:val="24"/>
          <w:szCs w:val="24"/>
          <w:highlight w:val="none"/>
          <w14:textFill>
            <w14:solidFill>
              <w14:schemeClr w14:val="tx1"/>
            </w14:solidFill>
          </w14:textFill>
        </w:rPr>
        <w:t xml:space="preserve">、技术资料</w:t>
      </w:r>
      <w:r/>
    </w:p>
    <w:p>
      <w:pPr>
        <w:pStyle w:val="1049"/>
        <w:ind w:firstLine="480"/>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7.1乙方应按招标文件规定的时间向甲方提供使用货物的有关技术资料。</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7.2 </w:t>
      </w:r>
      <w:r>
        <w:rPr>
          <w:rFonts w:hint="eastAsia" w:hAnsi="宋体"/>
          <w:color w:val="000000" w:themeColor="text1"/>
          <w:sz w:val="24"/>
          <w:szCs w:val="24"/>
          <w:highlight w:val="none"/>
          <w14:textFill>
            <w14:solidFill>
              <w14:schemeClr w14:val="tx1"/>
            </w14:solidFill>
          </w14:textFill>
        </w:rPr>
        <w:t xml:space="preserve">未经</w:t>
      </w:r>
      <w:r>
        <w:rPr>
          <w:rFonts w:hAnsi="宋体"/>
          <w:color w:val="000000" w:themeColor="text1"/>
          <w:sz w:val="24"/>
          <w:szCs w:val="24"/>
          <w:highlight w:val="none"/>
          <w14:textFill>
            <w14:solidFill>
              <w14:schemeClr w14:val="tx1"/>
            </w14:solidFill>
          </w14:textFill>
        </w:rPr>
        <w:t xml:space="preserve">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1049"/>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八</w:t>
      </w:r>
      <w:r>
        <w:rPr>
          <w:rFonts w:hAnsi="宋体"/>
          <w:b/>
          <w:color w:val="000000" w:themeColor="text1"/>
          <w:sz w:val="24"/>
          <w:szCs w:val="24"/>
          <w:highlight w:val="none"/>
          <w14:textFill>
            <w14:solidFill>
              <w14:schemeClr w14:val="tx1"/>
            </w14:solidFill>
          </w14:textFill>
        </w:rPr>
        <w:t xml:space="preserve">、知识产权</w:t>
      </w:r>
      <w:r/>
    </w:p>
    <w:p>
      <w:pPr>
        <w:ind w:firstLine="480"/>
        <w:spacing w:line="33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乙</w:t>
      </w:r>
      <w:r>
        <w:rPr>
          <w:rFonts w:hint="eastAsia" w:ascii="宋体" w:hAnsi="宋体"/>
          <w:color w:val="000000" w:themeColor="text1"/>
          <w:sz w:val="24"/>
          <w:szCs w:val="24"/>
          <w:highlight w:val="none"/>
          <w14:textFill>
            <w14:solidFill>
              <w14:schemeClr w14:val="tx1"/>
            </w14:solidFill>
          </w14:textFill>
        </w:rPr>
        <w:t xml:space="preserve">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1049"/>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九</w:t>
      </w:r>
      <w:r>
        <w:rPr>
          <w:rFonts w:hAnsi="宋体"/>
          <w:b/>
          <w:color w:val="000000" w:themeColor="text1"/>
          <w:sz w:val="24"/>
          <w:szCs w:val="24"/>
          <w:highlight w:val="none"/>
          <w14:textFill>
            <w14:solidFill>
              <w14:schemeClr w14:val="tx1"/>
            </w14:solidFill>
          </w14:textFill>
        </w:rPr>
        <w:t xml:space="preserve">、违约责任</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9.2 乙方履约的前提下，甲方无故迟延支付货款的,甲方应按逾期付款总额每日万分之五向乙方支付违约金。</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9.8 乙方履行义务不符合合同约定时，甲方有权扣减总货款的10%作为违约金。</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1049"/>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十</w:t>
      </w:r>
      <w:r>
        <w:rPr>
          <w:rFonts w:hAnsi="宋体"/>
          <w:b/>
          <w:color w:val="000000" w:themeColor="text1"/>
          <w:sz w:val="24"/>
          <w:szCs w:val="24"/>
          <w:highlight w:val="none"/>
          <w14:textFill>
            <w14:solidFill>
              <w14:schemeClr w14:val="tx1"/>
            </w14:solidFill>
          </w14:textFill>
        </w:rPr>
        <w:t xml:space="preserve">、不可抗力事件处理</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10.1 在合同有效期内，任何一方因不可抗力事件导致不能履行合同，则合同履行期可延长，其延长期与不可抗力影响期相同。</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10.2 不可抗力事件发生后</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应立即通知对方，并寄送有关权威机构出具的证明。</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10.3 不可抗力事件延续30天以上，双方应通过友好协商，确定是否继续履行合同。</w:t>
      </w:r>
      <w:r/>
    </w:p>
    <w:p>
      <w:pPr>
        <w:pStyle w:val="1049"/>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b/>
          <w:color w:val="000000" w:themeColor="text1"/>
          <w:sz w:val="24"/>
          <w:szCs w:val="24"/>
          <w:highlight w:val="none"/>
          <w14:textFill>
            <w14:solidFill>
              <w14:schemeClr w14:val="tx1"/>
            </w14:solidFill>
          </w14:textFill>
        </w:rPr>
        <w:t xml:space="preserve">一</w:t>
      </w:r>
      <w:r>
        <w:rPr>
          <w:rFonts w:hAnsi="宋体"/>
          <w:b/>
          <w:color w:val="000000" w:themeColor="text1"/>
          <w:sz w:val="24"/>
          <w:szCs w:val="24"/>
          <w:highlight w:val="none"/>
          <w14:textFill>
            <w14:solidFill>
              <w14:schemeClr w14:val="tx1"/>
            </w14:solidFill>
          </w14:textFill>
        </w:rPr>
        <w:t xml:space="preserve">、诉讼</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1049"/>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b/>
          <w:color w:val="000000" w:themeColor="text1"/>
          <w:sz w:val="24"/>
          <w:szCs w:val="24"/>
          <w:highlight w:val="none"/>
          <w14:textFill>
            <w14:solidFill>
              <w14:schemeClr w14:val="tx1"/>
            </w14:solidFill>
          </w14:textFill>
        </w:rPr>
        <w:t xml:space="preserve">二</w:t>
      </w:r>
      <w:r>
        <w:rPr>
          <w:rFonts w:hAnsi="宋体"/>
          <w:b/>
          <w:color w:val="000000" w:themeColor="text1"/>
          <w:sz w:val="24"/>
          <w:szCs w:val="24"/>
          <w:highlight w:val="none"/>
          <w14:textFill>
            <w14:solidFill>
              <w14:schemeClr w14:val="tx1"/>
            </w14:solidFill>
          </w14:textFill>
        </w:rPr>
        <w:t xml:space="preserve">、合同生效及其它</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12.1招投标文件、中标通知书作为合同的附件，与本合同具有同等法律效力。合同经双方法定代表人或授权委托代表人签字、盖章后生效。</w:t>
      </w:r>
      <w:r/>
    </w:p>
    <w:p>
      <w:pPr>
        <w:pStyle w:val="1049"/>
        <w:ind w:firstLine="480"/>
        <w:spacing w:before="120" w:after="1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12.2本合同未尽事宜，遵照《中华人民共和国民法典》有关条文执行。</w:t>
      </w:r>
      <w:r/>
    </w:p>
    <w:p>
      <w:pPr>
        <w:pStyle w:val="1049"/>
        <w:ind w:firstLine="480"/>
        <w:spacing w:before="120" w:after="1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12.3 本合同正本一式</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份，甲方</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份，乙方</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份，具有同等法律效力。</w:t>
      </w:r>
      <w:r/>
    </w:p>
    <w:p>
      <w:pPr>
        <w:pStyle w:val="1049"/>
        <w:ind w:firstLine="480"/>
        <w:spacing w:before="120" w:after="1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12.4 其他：</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w:t>
      </w:r>
      <w:r/>
    </w:p>
    <w:p>
      <w:pPr>
        <w:pStyle w:val="1049"/>
        <w:ind w:firstLine="420"/>
        <w:spacing w:before="120" w:after="120"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49"/>
        <w:ind w:firstLine="480"/>
        <w:spacing w:before="120" w:after="120"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（以下无正文，为签字盖章处）</w:t>
      </w:r>
      <w:r/>
    </w:p>
    <w:p>
      <w:pPr>
        <w:pStyle w:val="1049"/>
        <w:ind w:firstLine="480"/>
        <w:spacing w:before="120" w:after="1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   </w:t>
      </w:r>
      <w:r/>
    </w:p>
    <w:p>
      <w:pPr>
        <w:pStyle w:val="1049"/>
        <w:spacing w:before="120" w:after="120" w:line="240" w:lineRule="atLeas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pStyle w:val="1049"/>
        <w:spacing w:before="120" w:after="120" w:line="30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甲方： 南京医科大学（盖章）                 乙方： （盖章）</w:t>
      </w:r>
      <w:r/>
    </w:p>
    <w:p>
      <w:pPr>
        <w:pStyle w:val="1049"/>
        <w:spacing w:before="120" w:after="120" w:line="30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地址：南京市江宁区龙眠大道101号            地址： </w:t>
      </w:r>
      <w:r/>
    </w:p>
    <w:p>
      <w:pPr>
        <w:pStyle w:val="1049"/>
        <w:spacing w:before="120" w:after="120" w:line="30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法定代表人/授权代表：（签字）               法定代表人/授权代表：（签字）</w:t>
      </w:r>
      <w:r/>
    </w:p>
    <w:p>
      <w:pPr>
        <w:pStyle w:val="1049"/>
        <w:spacing w:before="120" w:after="120" w:line="300" w:lineRule="auto"/>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签订日期：   年    月    日                 签订日期：   年    月    日</w:t>
      </w:r>
      <w:r/>
    </w:p>
    <w:p>
      <w:pPr>
        <w:jc w:val="left"/>
        <w:keepLines w:val="0"/>
        <w:keepNext w:val="0"/>
        <w:pageBreakBefore w:val="0"/>
        <w:spacing w:line="560" w:lineRule="exact"/>
        <w:widowControl w:val="off"/>
        <w:rPr>
          <w:rFonts w:hint="eastAsia" w:ascii="Times New Roman" w:hAnsi="Times New Roman" w:eastAsia="仿宋" w:cs="Times New Roman"/>
          <w:color w:val="000000" w:themeColor="text1"/>
          <w:sz w:val="28"/>
          <w:szCs w:val="28"/>
          <w:highlight w:val="none"/>
          <w:lang w:val="zh-CN"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val="en-US" w:eastAsia="zh-CN"/>
          <w14:textFill>
            <w14:solidFill>
              <w14:schemeClr w14:val="tx1"/>
            </w14:solidFill>
          </w14:textFill>
        </w:rPr>
        <w:t xml:space="preserve">附件1：分项报价表</w:t>
      </w:r>
      <w:r/>
    </w:p>
    <w:tbl>
      <w:tblPr>
        <w:tblStyle w:val="10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096"/>
        <w:gridCol w:w="656"/>
        <w:gridCol w:w="656"/>
        <w:gridCol w:w="656"/>
        <w:gridCol w:w="1096"/>
        <w:gridCol w:w="1096"/>
        <w:gridCol w:w="1096"/>
      </w:tblGrid>
      <w:tr>
        <w:trPr>
          <w:trHeight w:val="67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标的名称</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w:t>
            </w:r>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w:t>
            </w:r>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（万元）</w:t>
            </w:r>
            <w:r/>
          </w:p>
        </w:tc>
      </w:tr>
      <w:tr>
        <w:trPr>
          <w:trHeight w:val="54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47"/>
        </w:trPr>
        <w:tc>
          <w:tcPr>
            <w:gridSpan w:val="4"/>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val="0"/>
        <w:keepNext w:val="0"/>
        <w:pageBreakBefore w:val="0"/>
        <w:spacing w:line="560" w:lineRule="exact"/>
        <w:widowControl w:val="off"/>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val="en-US" w:eastAsia="zh-CN"/>
          <w14:textFill>
            <w14:solidFill>
              <w14:schemeClr w14:val="tx1"/>
            </w14:solidFill>
          </w14:textFill>
        </w:rPr>
        <w:t xml:space="preserve">附件2：货物配置清单</w:t>
      </w:r>
      <w:r/>
    </w:p>
    <w:p>
      <w:pPr>
        <w:pStyle w:val="1046"/>
        <w:ind w:left="0"/>
        <w:rPr>
          <w:rFonts w:hint="eastAsia" w:ascii="Times New Roman" w:hAnsi="Times New Roman" w:eastAsia="仿宋" w:cs="Times New Roman"/>
          <w:color w:val="000000" w:themeColor="text1"/>
          <w:sz w:val="28"/>
          <w:szCs w:val="28"/>
          <w:highlight w:val="none"/>
          <w:lang w:val="en-US" w:eastAsia="zh-CN" w:bidi="ar-SA"/>
          <w14:textFill>
            <w14:solidFill>
              <w14:schemeClr w14:val="tx1"/>
            </w14:solidFill>
          </w14:textFill>
        </w:rPr>
      </w:pPr>
      <w:r>
        <w:rPr>
          <w:rFonts w:hint="eastAsia" w:ascii="Times New Roman" w:hAnsi="Times New Roman" w:eastAsia="仿宋" w:cs="Times New Roman"/>
          <w:color w:val="000000" w:themeColor="text1"/>
          <w:sz w:val="28"/>
          <w:szCs w:val="28"/>
          <w:highlight w:val="none"/>
          <w:lang w:val="en-US" w:eastAsia="zh-CN" w:bidi="ar-SA"/>
          <w14:textFill>
            <w14:solidFill>
              <w14:schemeClr w14:val="tx1"/>
            </w14:solidFill>
          </w14:textFill>
        </w:rPr>
      </w:r>
      <w:r/>
    </w:p>
    <w:p>
      <w:pPr>
        <w:pStyle w:val="1046"/>
        <w:ind w:left="0"/>
        <w:rPr>
          <w:rFonts w:hint="default" w:ascii="Times New Roman" w:hAnsi="Times New Roman" w:eastAsia="仿宋" w:cs="Times New Roman"/>
          <w:color w:val="000000" w:themeColor="text1"/>
          <w:sz w:val="28"/>
          <w:szCs w:val="28"/>
          <w:highlight w:val="none"/>
          <w:lang w:val="en-US" w:eastAsia="zh-CN" w:bidi="ar-SA"/>
          <w14:textFill>
            <w14:solidFill>
              <w14:schemeClr w14:val="tx1"/>
            </w14:solidFill>
          </w14:textFill>
        </w:rPr>
      </w:pPr>
      <w:r>
        <w:rPr>
          <w:rFonts w:hint="eastAsia" w:ascii="Times New Roman" w:hAnsi="Times New Roman" w:eastAsia="仿宋" w:cs="Times New Roman"/>
          <w:color w:val="000000" w:themeColor="text1"/>
          <w:sz w:val="28"/>
          <w:szCs w:val="28"/>
          <w:highlight w:val="none"/>
          <w:lang w:val="en-US" w:eastAsia="zh-CN" w:bidi="ar-SA"/>
          <w14:textFill>
            <w14:solidFill>
              <w14:schemeClr w14:val="tx1"/>
            </w14:solidFill>
          </w14:textFill>
        </w:rPr>
        <w:t xml:space="preserve">附件3：履约保证金退还申请单</w:t>
      </w:r>
      <w:r/>
    </w:p>
    <w:p>
      <w:pPr>
        <w:spacing w:line="48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制表单位：</w:t>
      </w:r>
      <w:r>
        <w:rPr>
          <w:color w:val="000000" w:themeColor="text1"/>
          <w:sz w:val="24"/>
          <w:highlight w:val="none"/>
          <w14:textFill>
            <w14:solidFill>
              <w14:schemeClr w14:val="tx1"/>
            </w14:solidFill>
          </w14:textFill>
        </w:rPr>
        <w:t xml:space="preserve"> </w:t>
      </w:r>
      <w:r/>
    </w:p>
    <w:tbl>
      <w:tblPr>
        <w:tblStyle w:val="1032"/>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账  号</w:t>
            </w:r>
            <w:r>
              <w:rPr>
                <w:color w:val="000000" w:themeColor="text1"/>
                <w:sz w:val="24"/>
                <w:highlight w:val="none"/>
                <w14:textFill>
                  <w14:solidFill>
                    <w14:schemeClr w14:val="tx1"/>
                  </w14:solidFill>
                </w14:textFill>
              </w:rPr>
              <w:t xml:space="preserve">：</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自验收合格之日起，已正常使用满一年且无违约情况发生。</w:t>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right="960" w:firstLine="360"/>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396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rPr>
          <w:rFonts w:hint="default" w:eastAsia="宋体"/>
          <w:color w:val="000000" w:themeColor="text1"/>
          <w:highlight w:val="none"/>
          <w:lang w:val="en-US" w:eastAsia="zh-CN"/>
          <w14:textFill>
            <w14:solidFill>
              <w14:schemeClr w14:val="tx1"/>
            </w14:solidFill>
          </w14:textFill>
        </w:rPr>
      </w:pPr>
      <w:r>
        <w:rPr>
          <w:rFonts w:hint="default" w:eastAsia="宋体"/>
          <w:color w:val="000000" w:themeColor="text1"/>
          <w:highlight w:val="none"/>
          <w:lang w:val="en-US" w:eastAsia="zh-CN"/>
          <w14:textFill>
            <w14:solidFill>
              <w14:schemeClr w14:val="tx1"/>
            </w14:solidFill>
          </w14:textFill>
        </w:rPr>
      </w:r>
      <w:r/>
    </w:p>
    <w:p>
      <w:pPr>
        <w:rPr>
          <w:rFonts w:ascii="宋体" w:hAnsi="宋体" w:cs="宋体"/>
          <w:color w:val="000000" w:themeColor="text1"/>
          <w:sz w:val="36"/>
          <w:szCs w:val="36"/>
          <w:highlight w:val="none"/>
          <w:lang w:val="zh-CN"/>
          <w14:textFill>
            <w14:solidFill>
              <w14:schemeClr w14:val="tx1"/>
            </w14:solidFill>
          </w14:textFill>
        </w:rPr>
        <w:sectPr>
          <w:headerReference w:type="default" r:id="rId11"/>
          <w:footerReference w:type="default" r:id="rId14"/>
          <w:footnotePr/>
          <w:endnotePr>
            <w:numFmt w:val="decimal"/>
          </w:endnotePr>
          <w:type w:val="nextPage"/>
          <w:pgSz w:w="11906" w:h="16838" w:orient="portrait"/>
          <w:pgMar w:top="850" w:right="850" w:bottom="850" w:left="1418" w:header="340" w:footer="567" w:gutter="0"/>
          <w:cols w:num="1" w:sep="0" w:space="720" w:equalWidth="1"/>
          <w:docGrid w:linePitch="360"/>
        </w:sectPr>
      </w:pPr>
      <w:r>
        <w:rPr>
          <w:rFonts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第六章 投标文件格式及附件</w:t>
      </w:r>
      <w:r/>
    </w:p>
    <w:p>
      <w:pPr>
        <w:ind w:left="560"/>
        <w:jc w:val="center"/>
        <w:spacing w:line="240" w:lineRule="atLeast"/>
        <w:rPr>
          <w:rFonts w:ascii="宋体" w:hAnsi="宋体" w:cs="宋体"/>
          <w:b/>
          <w:bCs/>
          <w:color w:val="000000" w:themeColor="text1"/>
          <w:sz w:val="36"/>
          <w:szCs w:val="36"/>
          <w:highlight w:val="none"/>
          <w:lang w:val="zh-CN"/>
          <w14:textFill>
            <w14:solidFill>
              <w14:schemeClr w14:val="tx1"/>
            </w14:solidFill>
          </w14:textFill>
        </w:rPr>
        <w:outlineLvl w:val="0"/>
      </w:pPr>
      <w:r>
        <w:rPr>
          <w:rFonts w:ascii="宋体" w:hAnsi="宋体" w:cs="宋体"/>
          <w:b/>
          <w:bCs/>
          <w:color w:val="000000" w:themeColor="text1"/>
          <w:sz w:val="36"/>
          <w:szCs w:val="36"/>
          <w:highlight w:val="none"/>
          <w:lang w:val="zh-CN"/>
          <w14:textFill>
            <w14:solidFill>
              <w14:schemeClr w14:val="tx1"/>
            </w14:solidFill>
          </w14:textFill>
        </w:rPr>
      </w:r>
      <w:r/>
    </w:p>
    <w:p>
      <w:pPr>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投  标  文  件</w:t>
      </w:r>
      <w:r/>
    </w:p>
    <w:p>
      <w:pPr>
        <w:ind w:firstLine="3708"/>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rPr>
          <w:rFonts w:ascii="宋体" w:hAnsi="宋体" w:cs="宋体"/>
          <w:b/>
          <w:color w:val="000000" w:themeColor="text1"/>
          <w:sz w:val="72"/>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r>
      <w:r/>
    </w:p>
    <w:p>
      <w:pPr>
        <w:jc w:val="cente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ind w:firstLine="1084"/>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编号： </w:t>
      </w:r>
      <w:r/>
    </w:p>
    <w:p>
      <w:pPr>
        <w:ind w:firstLine="1084"/>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名称： </w:t>
      </w:r>
      <w:r/>
    </w:p>
    <w:p>
      <w:pP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投标人名称 ：</w:t>
      </w:r>
      <w:r>
        <w:rPr>
          <w:rFonts w:hint="eastAsia" w:ascii="宋体" w:hAnsi="宋体" w:eastAsia="宋体" w:cs="宋体"/>
          <w:b/>
          <w:color w:val="000000" w:themeColor="text1"/>
          <w:sz w:val="36"/>
          <w:highlight w:val="none"/>
          <w14:textFill>
            <w14:solidFill>
              <w14:schemeClr w14:val="tx1"/>
            </w14:solidFill>
          </w14:textFill>
        </w:rPr>
        <w:t xml:space="preserve">（加盖CA电子公章）</w:t>
      </w:r>
      <w:r/>
    </w:p>
    <w:p>
      <w:pPr>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日      期 ：</w:t>
      </w:r>
      <w:r/>
    </w:p>
    <w:p>
      <w:pPr>
        <w:jc w:val="center"/>
        <w:rPr>
          <w:rFonts w:ascii="宋体" w:hAnsi="宋体" w:cs="宋体"/>
          <w:b/>
          <w:bCs/>
          <w:color w:val="000000" w:themeColor="text1"/>
          <w:sz w:val="44"/>
          <w:highlight w:val="none"/>
          <w14:textFill>
            <w14:solidFill>
              <w14:schemeClr w14:val="tx1"/>
            </w14:solidFill>
          </w14:textFill>
        </w:rPr>
        <w:outlineLvl w:val="0"/>
      </w:pPr>
      <w:r>
        <w:rPr>
          <w:rFonts w:ascii="宋体" w:hAnsi="宋体" w:cs="宋体"/>
          <w:b/>
          <w:bCs/>
          <w:color w:val="000000" w:themeColor="text1"/>
          <w:sz w:val="44"/>
          <w:highlight w:val="none"/>
          <w14:textFill>
            <w14:solidFill>
              <w14:schemeClr w14:val="tx1"/>
            </w14:solidFill>
          </w14:textFill>
        </w:rPr>
      </w:r>
      <w:r/>
    </w:p>
    <w:p>
      <w:pPr>
        <w:jc w:val="cente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br w:type="page" w:clear="all"/>
      </w:r>
      <w:bookmarkStart w:id="43" w:name="_Toc489655320"/>
      <w:r/>
      <w:bookmarkStart w:id="44" w:name="_Toc405408732"/>
      <w:r>
        <w:rPr>
          <w:rFonts w:hint="eastAsia" w:ascii="宋体" w:hAnsi="宋体" w:cs="宋体"/>
          <w:b/>
          <w:bCs/>
          <w:color w:val="000000" w:themeColor="text1"/>
          <w:sz w:val="32"/>
          <w:szCs w:val="32"/>
          <w:highlight w:val="none"/>
          <w14:textFill>
            <w14:solidFill>
              <w14:schemeClr w14:val="tx1"/>
            </w14:solidFill>
          </w14:textFill>
        </w:rPr>
        <w:t xml:space="preserve">投标文件主要目录</w:t>
      </w:r>
      <w:bookmarkEnd w:id="43"/>
      <w:r/>
      <w:bookmarkEnd w:id="44"/>
      <w:r>
        <w:rPr>
          <w:rFonts w:hint="eastAsia" w:ascii="宋体" w:hAnsi="宋体" w:cs="宋体"/>
          <w:b/>
          <w:bCs/>
          <w:color w:val="000000" w:themeColor="text1"/>
          <w:sz w:val="32"/>
          <w:szCs w:val="32"/>
          <w:highlight w:val="none"/>
          <w14:textFill>
            <w14:solidFill>
              <w14:schemeClr w14:val="tx1"/>
            </w14:solidFill>
          </w14:textFill>
        </w:rPr>
        <w:t xml:space="preserve">及相关证明材料格式、附件</w:t>
      </w:r>
      <w:r/>
    </w:p>
    <w:p>
      <w:pP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投标申请及声明</w:t>
      </w:r>
      <w:r/>
    </w:p>
    <w:p>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法定代表人授权书</w:t>
      </w:r>
      <w:r/>
    </w:p>
    <w:p>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开标一览表</w:t>
      </w:r>
      <w:r/>
    </w:p>
    <w:p>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分项报价表</w:t>
      </w:r>
      <w:r/>
    </w:p>
    <w:p>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技术条款偏离表</w:t>
      </w:r>
      <w:r/>
    </w:p>
    <w:p>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商务条款偏离表</w:t>
      </w:r>
      <w:r/>
    </w:p>
    <w:p>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服务与承诺</w:t>
      </w:r>
      <w:r/>
    </w:p>
    <w:p>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投标人类似业绩情况表</w:t>
      </w:r>
      <w:r/>
    </w:p>
    <w:p>
      <w:pPr>
        <w:numPr>
          <w:ilvl w:val="0"/>
          <w:numId w:val="2"/>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投标需要的其他证明文件及材料（若有)</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附件一、中小企业声明函格式</w:t>
      </w:r>
      <w:r/>
    </w:p>
    <w:p>
      <w:pPr>
        <w:spacing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附件二、关于符合本国产品标准的声明函</w:t>
      </w:r>
      <w:r>
        <w:rPr>
          <w:rFonts w:hint="eastAsia" w:ascii="宋体" w:hAnsi="宋体" w:cs="宋体"/>
          <w:color w:val="000000" w:themeColor="text1"/>
          <w:sz w:val="28"/>
          <w:szCs w:val="28"/>
          <w:highlight w:val="none"/>
          <w:lang w:val="en-US" w:eastAsia="zh-CN"/>
          <w14:textFill>
            <w14:solidFill>
              <w14:schemeClr w14:val="tx1"/>
            </w14:solidFill>
          </w14:textFill>
        </w:rPr>
        <w:t xml:space="preserve">格式</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附件三、无重大违法记录声明格式</w:t>
      </w:r>
      <w:r/>
    </w:p>
    <w:p>
      <w:pPr>
        <w:ind w:left="2796" w:hanging="112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附件四、</w:t>
      </w:r>
      <w:r>
        <w:rPr>
          <w:rFonts w:hint="eastAsia" w:ascii="宋体" w:hAnsi="宋体" w:cs="宋体"/>
          <w:color w:val="000000" w:themeColor="text1"/>
          <w:sz w:val="28"/>
          <w:szCs w:val="28"/>
          <w:highlight w:val="none"/>
          <w14:textFill>
            <w14:solidFill>
              <w14:schemeClr w14:val="tx1"/>
            </w14:solidFill>
          </w14:textFill>
        </w:rPr>
        <w:t xml:space="preserve">具备履行合同所必需的设备和专业技术能力的声明格式及证明材料</w:t>
      </w:r>
      <w:r/>
    </w:p>
    <w:p>
      <w:pPr>
        <w:pStyle w:val="1033"/>
        <w:ind w:firstLine="168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w:t>
      </w:r>
      <w:r>
        <w:rPr>
          <w:rFonts w:hint="eastAsia" w:ascii="宋体" w:hAnsi="宋体" w:cs="宋体"/>
          <w:color w:val="000000" w:themeColor="text1"/>
          <w:sz w:val="28"/>
          <w:szCs w:val="28"/>
          <w:highlight w:val="none"/>
          <w:lang w:val="en-US" w:eastAsia="zh-CN"/>
          <w14:textFill>
            <w14:solidFill>
              <w14:schemeClr w14:val="tx1"/>
            </w14:solidFill>
          </w14:textFill>
        </w:rPr>
        <w:t xml:space="preserve">五</w:t>
      </w:r>
      <w:r>
        <w:rPr>
          <w:rFonts w:hint="eastAsia" w:ascii="宋体" w:hAnsi="宋体" w:cs="宋体"/>
          <w:color w:val="000000" w:themeColor="text1"/>
          <w:sz w:val="28"/>
          <w:szCs w:val="28"/>
          <w:highlight w:val="none"/>
          <w14:textFill>
            <w14:solidFill>
              <w14:schemeClr w14:val="tx1"/>
            </w14:solidFill>
          </w14:textFill>
        </w:rPr>
        <w:t xml:space="preserve">、残疾人福利性单位声明函格式</w:t>
      </w:r>
      <w:r/>
    </w:p>
    <w:p>
      <w:pPr>
        <w:pStyle w:val="1033"/>
        <w:ind w:firstLine="168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w:t>
      </w:r>
      <w:r>
        <w:rPr>
          <w:rFonts w:hint="eastAsia" w:ascii="宋体" w:hAnsi="宋体" w:cs="宋体"/>
          <w:color w:val="000000" w:themeColor="text1"/>
          <w:sz w:val="28"/>
          <w:szCs w:val="28"/>
          <w:highlight w:val="none"/>
          <w:lang w:val="en-US" w:eastAsia="zh-CN"/>
          <w14:textFill>
            <w14:solidFill>
              <w14:schemeClr w14:val="tx1"/>
            </w14:solidFill>
          </w14:textFill>
        </w:rPr>
        <w:t xml:space="preserve">六</w:t>
      </w:r>
      <w:r>
        <w:rPr>
          <w:rFonts w:hint="eastAsia" w:ascii="宋体" w:hAnsi="宋体" w:cs="宋体"/>
          <w:color w:val="000000" w:themeColor="text1"/>
          <w:sz w:val="28"/>
          <w:szCs w:val="28"/>
          <w:highlight w:val="none"/>
          <w14:textFill>
            <w14:solidFill>
              <w14:schemeClr w14:val="tx1"/>
            </w14:solidFill>
          </w14:textFill>
        </w:rPr>
        <w:t xml:space="preserve">、属于监狱企业的证明文件</w:t>
      </w:r>
      <w:r/>
    </w:p>
    <w:p>
      <w:pPr>
        <w:jc w:val="left"/>
        <w:spacing w:line="360" w:lineRule="auto"/>
        <w:rPr>
          <w:rFonts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170" w:footer="720" w:gutter="0"/>
          <w:cols w:num="1" w:sep="0" w:space="720" w:equalWidth="1"/>
          <w:docGrid w:linePitch="360"/>
        </w:sectPr>
      </w:pPr>
      <w:r>
        <w:rPr>
          <w:rFonts w:ascii="宋体" w:hAnsi="宋体" w:cs="宋体"/>
          <w:b/>
          <w:color w:val="000000" w:themeColor="text1"/>
          <w:szCs w:val="21"/>
          <w:highlight w:val="none"/>
          <w:lang w:val="zh-CN"/>
          <w14:textFill>
            <w14:solidFill>
              <w14:schemeClr w14:val="tx1"/>
            </w14:solidFill>
          </w14:textFill>
        </w:rPr>
      </w:r>
      <w:r/>
    </w:p>
    <w:p>
      <w:pPr>
        <w:jc w:val="left"/>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目录一、投标申请及声明格式</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投标申请及声明</w:t>
      </w:r>
      <w:r/>
    </w:p>
    <w:p>
      <w:pPr>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致：南京医科大学</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根据贵方（项目名称）（项目编号）投标邀请，正式授权下述签字人(姓名和职务)代表投标人（投标人名称），提交投标文件。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据此函，签字人兹宣布声明和承诺如下：</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b/>
          <w:color w:val="000000" w:themeColor="text1"/>
          <w:szCs w:val="21"/>
          <w:highlight w:val="none"/>
          <w:lang w:val="zh-CN"/>
          <w14:textFill>
            <w14:solidFill>
              <w14:schemeClr w14:val="tx1"/>
            </w14:solidFill>
          </w14:textFill>
        </w:rPr>
        <w:t xml:space="preserve">我们的资格条件完全符合政府采购法和本次招标要求</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我们</w:t>
      </w:r>
      <w:r>
        <w:rPr>
          <w:rFonts w:hint="eastAsia" w:ascii="宋体" w:hAnsi="宋体" w:cs="宋体"/>
          <w:color w:val="000000" w:themeColor="text1"/>
          <w:szCs w:val="21"/>
          <w:highlight w:val="none"/>
          <w:lang w:val="zh-CN"/>
          <w14:textFill>
            <w14:solidFill>
              <w14:schemeClr w14:val="tx1"/>
            </w14:solidFill>
          </w14:textFill>
        </w:rPr>
        <w:t xml:space="preserve">同意并向贵方提供了与投标有关的所有证据和资料。</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2、按招标要求，我们的投标总报价为（小写）元（大写）元人民币。其中，小</w:t>
      </w:r>
      <w:r>
        <w:rPr>
          <w:rFonts w:hint="eastAsia" w:ascii="宋体" w:hAnsi="宋体" w:cs="宋体"/>
          <w:color w:val="000000" w:themeColor="text1"/>
          <w:szCs w:val="21"/>
          <w:highlight w:val="none"/>
          <w:lang w:val="en-US" w:eastAsia="zh-CN"/>
          <w14:textFill>
            <w14:solidFill>
              <w14:schemeClr w14:val="tx1"/>
            </w14:solidFill>
          </w14:textFill>
        </w:rPr>
        <w:t xml:space="preserve">微</w:t>
      </w:r>
      <w:r>
        <w:rPr>
          <w:rFonts w:hint="eastAsia" w:ascii="宋体" w:hAnsi="宋体" w:cs="宋体"/>
          <w:color w:val="000000" w:themeColor="text1"/>
          <w:szCs w:val="21"/>
          <w:highlight w:val="none"/>
          <w:lang w:val="zh-CN"/>
          <w14:textFill>
            <w14:solidFill>
              <w14:schemeClr w14:val="tx1"/>
            </w14:solidFill>
          </w14:textFill>
        </w:rPr>
        <w:t xml:space="preserve">型企业的产品为（大写）元人民币</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交货期：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3、我们已详细审核全部招标文件及其有效补充文件，我们放弃对招标文件任何误解的权利，提交投标文件后，</w:t>
      </w:r>
      <w:r>
        <w:rPr>
          <w:rFonts w:hint="eastAsia" w:ascii="宋体" w:hAnsi="宋体" w:cs="宋体"/>
          <w:b/>
          <w:color w:val="000000" w:themeColor="text1"/>
          <w:szCs w:val="21"/>
          <w:highlight w:val="none"/>
          <w:lang w:val="zh-CN"/>
          <w14:textFill>
            <w14:solidFill>
              <w14:schemeClr w14:val="tx1"/>
            </w14:solidFill>
          </w14:textFill>
        </w:rPr>
        <w:t xml:space="preserve">不对招标文件本身提出质疑</w:t>
      </w:r>
      <w:r>
        <w:rPr>
          <w:rFonts w:hint="eastAsia" w:ascii="宋体" w:hAnsi="宋体" w:cs="宋体"/>
          <w:color w:val="000000" w:themeColor="text1"/>
          <w:szCs w:val="21"/>
          <w:highlight w:val="none"/>
          <w:lang w:val="zh-CN"/>
          <w14:textFill>
            <w14:solidFill>
              <w14:schemeClr w14:val="tx1"/>
            </w14:solidFill>
          </w14:textFill>
        </w:rPr>
        <w:t xml:space="preserve">。否则，属于不诚信和故意扰乱政府采购活动行为，我们将无条件接受处罚。</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4、我们同意从规定的开标日期起遵循本投标文件，并在规定的投标有效期期满之前均具有约束力。</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5、一旦我方中标，我方将根据招标文件的规定严格履行合同，并保证于承诺的时间完成服务的启动/集成、调试等服务，交付采购人验收、使用。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、与本投标有关的正式联系方式为：</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地址：</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电话：</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传真：</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银行账号：</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供应商授权代表姓名（签字）：</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w:t>
      </w:r>
      <w:r>
        <w:rPr>
          <w:rFonts w:hint="eastAsia" w:ascii="宋体" w:hAnsi="宋体" w:cs="宋体"/>
          <w:color w:val="000000" w:themeColor="text1"/>
          <w:szCs w:val="21"/>
          <w:highlight w:val="none"/>
          <w:lang w:val="en-US" w:eastAsia="zh-CN"/>
          <w14:textFill>
            <w14:solidFill>
              <w14:schemeClr w14:val="tx1"/>
            </w14:solidFill>
          </w14:textFill>
        </w:rPr>
        <w:t xml:space="preserve">加盖CA电子公章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日期：年月日</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113" w:footer="720" w:gutter="0"/>
          <w:cols w:num="1" w:sep="0" w:space="720" w:equalWidth="1"/>
          <w:docGrid w:linePitch="360"/>
        </w:sectPr>
      </w:pPr>
      <w:r>
        <w:rPr>
          <w:rFonts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目录二、法定代表人授权书格式</w:t>
      </w:r>
      <w:r/>
    </w:p>
    <w:p>
      <w:pPr>
        <w:ind w:firstLine="7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法定代表人授权委托书</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南京医科大学</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firstLine="408"/>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本授权书于年月日签字生效，特此声明。</w:t>
      </w:r>
      <w:r/>
    </w:p>
    <w:p>
      <w:pPr>
        <w:ind w:firstLine="408"/>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法定代表人（签字或盖章）：</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授权委托人（签字）：</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w:t>
      </w:r>
      <w:r>
        <w:rPr>
          <w:rFonts w:hint="eastAsia" w:ascii="宋体" w:hAnsi="宋体" w:cs="宋体"/>
          <w:color w:val="000000" w:themeColor="text1"/>
          <w:szCs w:val="21"/>
          <w:highlight w:val="none"/>
          <w:lang w:val="en-US" w:eastAsia="zh-CN"/>
          <w14:textFill>
            <w14:solidFill>
              <w14:schemeClr w14:val="tx1"/>
            </w14:solidFill>
          </w14:textFill>
        </w:rPr>
        <w:t xml:space="preserve">加盖CA电子公章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tabs>
          <w:tab w:val="left" w:pos="144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日期：年月日</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法定代表人身份证复印件：</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授权委托人身份证复印件：</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170" w:footer="720" w:gutter="0"/>
          <w:cols w:num="1" w:sep="0" w:space="720" w:equalWidth="1"/>
          <w:docGrid w:linePitch="360"/>
        </w:sectPr>
      </w:pPr>
      <w:r>
        <w:rPr>
          <w:rFonts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目录三、开标一览表格式</w:t>
      </w:r>
      <w:r/>
    </w:p>
    <w:p>
      <w:pPr>
        <w:pStyle w:val="1022"/>
        <w:jc w:val="center"/>
        <w:keepLines w:val="0"/>
        <w:keepNext w:val="0"/>
        <w:widowControl/>
        <w:rPr>
          <w:color w:val="000000" w:themeColor="text1"/>
          <w:highlight w:val="none"/>
          <w14:textFill>
            <w14:solidFill>
              <w14:schemeClr w14:val="tx1"/>
            </w14:solidFill>
          </w14:textFill>
        </w:rPr>
        <w:suppressLineNumbers w:val="0"/>
      </w:pPr>
      <w:r>
        <w:rPr>
          <w:rStyle w:val="1080"/>
          <w:b/>
          <w:color w:val="000000" w:themeColor="text1"/>
          <w:highlight w:val="none"/>
          <w14:textFill>
            <w14:solidFill>
              <w14:schemeClr w14:val="tx1"/>
            </w14:solidFill>
          </w14:textFill>
        </w:rPr>
        <w:t xml:space="preserve">开标一览表 </w:t>
      </w:r>
      <w:r/>
    </w:p>
    <w:p>
      <w:pPr>
        <w:pStyle w:val="1073"/>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投标人全称（CA公章）：供应商名称 </w:t>
      </w:r>
      <w:r/>
    </w:p>
    <w:p>
      <w:pPr>
        <w:pStyle w:val="1073"/>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项目名称： 项目名称 </w:t>
      </w:r>
      <w:r/>
    </w:p>
    <w:p>
      <w:pPr>
        <w:pStyle w:val="1073"/>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项目编号：项目编号 </w:t>
      </w:r>
      <w:r/>
    </w:p>
    <w:p>
      <w:pPr>
        <w:pStyle w:val="1073"/>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分包号 ：分包号 </w:t>
      </w:r>
      <w:r/>
    </w:p>
    <w:tbl>
      <w:tblPr>
        <w:tblStyle w:val="1032"/>
        <w:tblW w:w="4515"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716"/>
        <w:gridCol w:w="8086"/>
      </w:tblGrid>
      <w:tr>
        <w:trPr>
          <w:tblCellSpacing w:w="15" w:type="dxa"/>
          <w:trHeight w:val="810"/>
        </w:trPr>
        <w:tc>
          <w:tcPr>
            <w:shd w:val="clear" w:color="auto" w:fill="auto"/>
            <w:tcW w:w="385" w:type="pct"/>
            <w:vAlign w:val="center"/>
            <w:textDirection w:val="lrTb"/>
            <w:noWrap w:val="false"/>
          </w:tcPr>
          <w:p>
            <w:pPr>
              <w:jc w:val="left"/>
              <w:keepLines w:val="0"/>
              <w:keepNext w:val="0"/>
              <w:widowControl/>
              <w:rPr>
                <w:color w:val="000000" w:themeColor="text1"/>
                <w:highlight w:val="none"/>
                <w14:textFill>
                  <w14:solidFill>
                    <w14:schemeClr w14:val="tx1"/>
                  </w14:solidFill>
                </w14:textFill>
              </w:rPr>
              <w:suppressLineNumbers w:val="0"/>
            </w:pPr>
            <w:r>
              <w:rPr>
                <w:rFonts w:ascii="宋体" w:hAnsi="宋体" w:eastAsia="宋体" w:cs="宋体"/>
                <w:color w:val="000000" w:themeColor="text1"/>
                <w:sz w:val="24"/>
                <w:szCs w:val="24"/>
                <w:highlight w:val="none"/>
                <w:lang w:val="en-US" w:eastAsia="zh-CN" w:bidi="ar"/>
                <w14:textFill>
                  <w14:solidFill>
                    <w14:schemeClr w14:val="tx1"/>
                  </w14:solidFill>
                </w14:textFill>
              </w:rPr>
              <w:t xml:space="preserve"> </w:t>
            </w:r>
            <w:r/>
          </w:p>
        </w:tc>
        <w:tc>
          <w:tcPr>
            <w:shd w:val="clear" w:color="auto" w:fill="auto"/>
            <w:tcW w:w="4612" w:type="pct"/>
            <w:vAlign w:val="center"/>
            <w:textDirection w:val="lrTb"/>
            <w:noWrap w:val="false"/>
          </w:tcPr>
          <w:p>
            <w:pPr>
              <w:pStyle w:val="1073"/>
              <w:jc w:val="center"/>
              <w:keepLines w:val="0"/>
              <w:keepNext w:val="0"/>
              <w:widowControl/>
              <w:rPr>
                <w:color w:val="000000" w:themeColor="text1"/>
                <w:highlight w:val="none"/>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lang w:val="en-US" w:eastAsia="zh-CN" w:bidi="ar"/>
                <w14:textFill>
                  <w14:solidFill>
                    <w14:schemeClr w14:val="tx1"/>
                  </w14:solidFill>
                </w14:textFill>
              </w:rPr>
              <w:t xml:space="preserve">总报价</w:t>
            </w:r>
            <w:r/>
          </w:p>
        </w:tc>
      </w:tr>
      <w:tr>
        <w:trPr>
          <w:tblCellSpacing w:w="15" w:type="dxa"/>
          <w:trHeight w:val="825"/>
        </w:trPr>
        <w:tc>
          <w:tcPr>
            <w:shd w:val="clear" w:color="auto" w:fill="auto"/>
            <w:tcW w:w="385" w:type="pct"/>
            <w:vAlign w:val="center"/>
            <w:textDirection w:val="lrTb"/>
            <w:noWrap w:val="false"/>
          </w:tcPr>
          <w:p>
            <w:pPr>
              <w:pStyle w:val="1073"/>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 </w:t>
            </w:r>
            <w:r/>
          </w:p>
        </w:tc>
        <w:tc>
          <w:tcPr>
            <w:shd w:val="clear" w:color="auto" w:fill="auto"/>
            <w:tcW w:w="4612" w:type="pct"/>
            <w:vAlign w:val="center"/>
            <w:textDirection w:val="lrTb"/>
            <w:noWrap w:val="false"/>
          </w:tcPr>
          <w:p>
            <w:pPr>
              <w:pStyle w:val="1073"/>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小写：</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元</w:t>
            </w:r>
            <w:r/>
          </w:p>
        </w:tc>
      </w:tr>
    </w:tbl>
    <w:p>
      <w:pPr>
        <w:pStyle w:val="1073"/>
        <w:jc w:val="right"/>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 年</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日</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113" w:footer="720" w:gutter="0"/>
          <w:cols w:num="1" w:sep="0" w:space="0" w:equalWidth="1"/>
          <w:docGrid w:linePitch="360"/>
        </w:sectPr>
      </w:pPr>
      <w:r>
        <w:rPr>
          <w:rFonts w:ascii="宋体" w:hAnsi="宋体" w:cs="宋体"/>
          <w:b/>
          <w:color w:val="000000" w:themeColor="text1"/>
          <w:szCs w:val="21"/>
          <w:highlight w:val="none"/>
          <w:lang w:val="zh-CN"/>
          <w14:textFill>
            <w14:solidFill>
              <w14:schemeClr w14:val="tx1"/>
            </w14:solidFill>
          </w14:textFill>
        </w:rPr>
      </w:r>
      <w:r/>
    </w:p>
    <w:p>
      <w:pPr>
        <w:jc w:val="left"/>
        <w:spacing w:line="240" w:lineRule="atLeast"/>
        <w:widowControl/>
        <w:rPr>
          <w:rFonts w:ascii="宋体" w:hAnsi="宋体" w:cs="宋体"/>
          <w:b/>
          <w:color w:val="000000" w:themeColor="text1"/>
          <w:szCs w:val="21"/>
          <w:highlight w:val="none"/>
          <w:lang w:val="zh-CN"/>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目录四、</w:t>
      </w:r>
      <w:r>
        <w:rPr>
          <w:rFonts w:hint="eastAsia" w:ascii="宋体" w:hAnsi="宋体" w:cs="宋体"/>
          <w:b/>
          <w:color w:val="000000" w:themeColor="text1"/>
          <w:szCs w:val="21"/>
          <w:highlight w:val="none"/>
          <w:lang w:val="zh-CN"/>
          <w14:textFill>
            <w14:solidFill>
              <w14:schemeClr w14:val="tx1"/>
            </w14:solidFill>
          </w14:textFill>
        </w:rPr>
        <w:t xml:space="preserve">分项报价表格式</w:t>
      </w:r>
      <w:r/>
    </w:p>
    <w:p>
      <w:pPr>
        <w:pStyle w:val="102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分项报价表</w:t>
      </w:r>
      <w:r/>
    </w:p>
    <w:tbl>
      <w:tblPr>
        <w:tblStyle w:val="10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994"/>
        <w:gridCol w:w="765"/>
        <w:gridCol w:w="1080"/>
        <w:gridCol w:w="855"/>
        <w:gridCol w:w="915"/>
        <w:gridCol w:w="1374"/>
        <w:gridCol w:w="1890"/>
        <w:gridCol w:w="1208"/>
      </w:tblGrid>
      <w:tr>
        <w:trPr>
          <w:trHeight w:val="626"/>
        </w:trPr>
        <w:tc>
          <w:tcPr>
            <w:gridSpan w:val="6"/>
            <w:tcW w:w="5277"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3"/>
            <w:tcW w:w="4472"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trHeight w:val="827"/>
        </w:trPr>
        <w:tc>
          <w:tcPr>
            <w:tcW w:w="668" w:type="dxa"/>
            <w:vAlign w:val="center"/>
            <w:textDirection w:val="lrTb"/>
            <w:noWrap w:val="false"/>
          </w:tcPr>
          <w:p>
            <w:pPr>
              <w:spacing w:line="240" w:lineRule="auto"/>
              <w:widowControl/>
              <w:tabs>
                <w:tab w:val="left" w:pos="15" w:leader="none"/>
              </w:tabs>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994" w:type="dxa"/>
            <w:vAlign w:val="center"/>
            <w:textDirection w:val="lrTb"/>
            <w:noWrap w:val="false"/>
          </w:tcPr>
          <w:p>
            <w:pPr>
              <w:spacing w:line="240" w:lineRule="auto"/>
              <w:widowControl/>
              <w:tabs>
                <w:tab w:val="left" w:pos="225" w:leader="none"/>
              </w:tabs>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lang w:val="zh-CN"/>
                <w14:textFill>
                  <w14:solidFill>
                    <w14:schemeClr w14:val="tx1"/>
                  </w14:solidFill>
                </w14:textFill>
              </w:rPr>
              <w:t xml:space="preserve">名称</w:t>
            </w:r>
            <w:r/>
          </w:p>
        </w:tc>
        <w:tc>
          <w:tcPr>
            <w:tcW w:w="765" w:type="dxa"/>
            <w:vAlign w:val="center"/>
            <w:textDirection w:val="lrTb"/>
            <w:noWrap w:val="false"/>
          </w:tcPr>
          <w:p>
            <w:pPr>
              <w:spacing w:line="24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品牌</w:t>
            </w:r>
            <w:r/>
          </w:p>
        </w:tc>
        <w:tc>
          <w:tcPr>
            <w:tcW w:w="1080" w:type="dxa"/>
            <w:vAlign w:val="center"/>
            <w:textDirection w:val="lrTb"/>
            <w:noWrap w:val="false"/>
          </w:tcPr>
          <w:p>
            <w:pPr>
              <w:spacing w:line="24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规格型号</w:t>
            </w:r>
            <w:r/>
          </w:p>
        </w:tc>
        <w:tc>
          <w:tcPr>
            <w:tcW w:w="855" w:type="dxa"/>
            <w:vAlign w:val="center"/>
            <w:textDirection w:val="lrTb"/>
            <w:noWrap w:val="false"/>
          </w:tcPr>
          <w:p>
            <w:pPr>
              <w:spacing w:line="24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产地</w:t>
            </w:r>
            <w:r/>
          </w:p>
        </w:tc>
        <w:tc>
          <w:tcPr>
            <w:tcW w:w="915" w:type="dxa"/>
            <w:vAlign w:val="center"/>
            <w:textDirection w:val="lrTb"/>
            <w:noWrap w:val="false"/>
          </w:tcPr>
          <w:p>
            <w:pPr>
              <w:spacing w:line="24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数量</w:t>
            </w:r>
            <w:r/>
          </w:p>
        </w:tc>
        <w:tc>
          <w:tcPr>
            <w:tcW w:w="1374" w:type="dxa"/>
            <w:vAlign w:val="center"/>
            <w:textDirection w:val="lrTb"/>
            <w:noWrap w:val="false"/>
          </w:tcPr>
          <w:p>
            <w:pPr>
              <w:spacing w:line="24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投标单价</w:t>
            </w:r>
            <w:r/>
          </w:p>
        </w:tc>
        <w:tc>
          <w:tcPr>
            <w:tcW w:w="1890" w:type="dxa"/>
            <w:vAlign w:val="center"/>
            <w:textDirection w:val="lrTb"/>
            <w:noWrap w:val="false"/>
          </w:tcPr>
          <w:p>
            <w:pPr>
              <w:spacing w:line="24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投标报价</w:t>
            </w:r>
            <w:r/>
          </w:p>
        </w:tc>
        <w:tc>
          <w:tcPr>
            <w:tcW w:w="1208" w:type="dxa"/>
            <w:vAlign w:val="center"/>
            <w:textDirection w:val="lrTb"/>
            <w:noWrap w:val="false"/>
          </w:tcPr>
          <w:p>
            <w:pPr>
              <w:spacing w:line="240" w:lineRule="auto"/>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是否属于小、微型企业的产品</w:t>
            </w:r>
            <w:r/>
          </w:p>
        </w:tc>
      </w:tr>
      <w:tr>
        <w:trPr>
          <w:trHeight w:val="626"/>
        </w:trPr>
        <w:tc>
          <w:tcPr>
            <w:tcW w:w="66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7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89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20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89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20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89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20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89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20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89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20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89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20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trHeight w:val="650"/>
        </w:trPr>
        <w:tc>
          <w:tcPr>
            <w:gridSpan w:val="9"/>
            <w:tcW w:w="9749"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总价小计：</w:t>
            </w:r>
            <w:r/>
          </w:p>
        </w:tc>
      </w:tr>
      <w:tr>
        <w:trPr>
          <w:trHeight w:val="650"/>
        </w:trPr>
        <w:tc>
          <w:tcPr>
            <w:gridSpan w:val="9"/>
            <w:tcW w:w="9749"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本采购</w:t>
            </w:r>
            <w:r>
              <w:rPr>
                <w:rFonts w:hint="eastAsia" w:ascii="宋体" w:hAnsi="宋体" w:cs="宋体"/>
                <w:color w:val="000000" w:themeColor="text1"/>
                <w:szCs w:val="21"/>
                <w:highlight w:val="none"/>
                <w:lang w:val="en-US" w:eastAsia="zh-CN"/>
                <w14:textFill>
                  <w14:solidFill>
                    <w14:schemeClr w14:val="tx1"/>
                  </w14:solidFill>
                </w14:textFill>
              </w:rPr>
              <w:t xml:space="preserve">包</w:t>
            </w:r>
            <w:r>
              <w:rPr>
                <w:rFonts w:hint="eastAsia" w:ascii="宋体" w:hAnsi="宋体" w:cs="宋体"/>
                <w:color w:val="000000" w:themeColor="text1"/>
                <w:szCs w:val="21"/>
                <w:highlight w:val="none"/>
                <w:lang w:val="zh-CN"/>
                <w14:textFill>
                  <w14:solidFill>
                    <w14:schemeClr w14:val="tx1"/>
                  </w14:solidFill>
                </w14:textFill>
              </w:rPr>
              <w:t xml:space="preserve">中提供的符合本国产品标准的产品成本之和占该采购包提供的全部产品成本之和的比例为</w:t>
            </w:r>
            <w:r>
              <w:rPr>
                <w:rFonts w:hint="eastAsia" w:ascii="宋体" w:hAnsi="宋体" w:cs="宋体"/>
                <w:color w:val="000000" w:themeColor="text1"/>
                <w:szCs w:val="21"/>
                <w:highlight w:val="none"/>
                <w:lang w:val="en-US" w:eastAsia="zh-CN"/>
                <w14:textFill>
                  <w14:solidFill>
                    <w14:schemeClr w14:val="tx1"/>
                  </w14:solidFill>
                </w14:textFill>
              </w:rPr>
              <w:t xml:space="preserve">______</w:t>
            </w:r>
            <w:r>
              <w:rPr>
                <w:rFonts w:hint="eastAsia" w:ascii="宋体" w:hAnsi="宋体" w:cs="宋体"/>
                <w:color w:val="000000" w:themeColor="text1"/>
                <w:szCs w:val="21"/>
                <w:highlight w:val="none"/>
                <w:lang w:val="zh-CN"/>
                <w14:textFill>
                  <w14:solidFill>
                    <w14:schemeClr w14:val="tx1"/>
                  </w14:solidFill>
                </w14:textFill>
              </w:rPr>
              <w:t xml:space="preserve">%。</w:t>
            </w:r>
            <w:r/>
          </w:p>
        </w:tc>
      </w:tr>
    </w:tbl>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投标人名称：（加盖CA电子公章）</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说明：1、如果行数不够，请自行增加。</w:t>
      </w:r>
      <w:r/>
    </w:p>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2、在“是否属于小、微型企业的产品”栏内，填写“是”或“否”，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ind w:firstLine="630"/>
        <w:jc w:val="left"/>
        <w:spacing w:line="360" w:lineRule="auto"/>
        <w:widowControl/>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p>
      <w:pP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clear="all"/>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w:t>
      </w:r>
      <w:r>
        <w:rPr>
          <w:rFonts w:hint="eastAsia" w:ascii="宋体" w:hAnsi="宋体" w:cs="宋体"/>
          <w:b/>
          <w:color w:val="000000" w:themeColor="text1"/>
          <w:szCs w:val="21"/>
          <w:highlight w:val="none"/>
          <w:lang w:val="en-US" w:eastAsia="zh-CN"/>
          <w14:textFill>
            <w14:solidFill>
              <w14:schemeClr w14:val="tx1"/>
            </w14:solidFill>
          </w14:textFill>
        </w:rPr>
        <w:t xml:space="preserve">五</w:t>
      </w:r>
      <w:r>
        <w:rPr>
          <w:rFonts w:hint="eastAsia" w:ascii="宋体" w:hAnsi="宋体" w:cs="宋体"/>
          <w:b/>
          <w:color w:val="000000" w:themeColor="text1"/>
          <w:szCs w:val="21"/>
          <w:highlight w:val="none"/>
          <w:lang w:val="zh-CN"/>
          <w14:textFill>
            <w14:solidFill>
              <w14:schemeClr w14:val="tx1"/>
            </w14:solidFill>
          </w14:textFill>
        </w:rPr>
        <w:t xml:space="preserve">、技术条款偏离表格式</w:t>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技术条款偏离表</w:t>
      </w:r>
      <w:r/>
    </w:p>
    <w:tbl>
      <w:tblPr>
        <w:tblStyle w:val="1032"/>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152"/>
        <w:gridCol w:w="1787"/>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招标文件要求的</w:t>
            </w:r>
            <w:r>
              <w:rPr>
                <w:rFonts w:hint="eastAsia" w:ascii="宋体" w:hAnsi="宋体" w:cs="宋体"/>
                <w:color w:val="000000" w:themeColor="text1"/>
                <w:szCs w:val="21"/>
                <w:highlight w:val="none"/>
                <w14:textFill>
                  <w14:solidFill>
                    <w14:schemeClr w14:val="tx1"/>
                  </w14:solidFill>
                </w14:textFill>
              </w:rPr>
              <w:t xml:space="preserve">技术</w:t>
            </w:r>
            <w:r>
              <w:rPr>
                <w:rFonts w:hint="eastAsia" w:ascii="宋体" w:hAnsi="宋体" w:cs="宋体"/>
                <w:color w:val="000000" w:themeColor="text1"/>
                <w:szCs w:val="21"/>
                <w:highlight w:val="none"/>
                <w:lang w:val="zh-CN"/>
                <w14:textFill>
                  <w14:solidFill>
                    <w14:schemeClr w14:val="tx1"/>
                  </w14:solidFill>
                </w14:textFill>
              </w:rPr>
              <w:t xml:space="preserve">条款</w:t>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投标响应</w:t>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bl>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供应商名称：（加盖CA电子公章）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1、如果行数不够，请自行增加。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2、供应商需在上表中对采购文件第四章“（第一部分：技术部分要求）”相关要求进行响应。</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w:t>
      </w:r>
      <w:r>
        <w:rPr>
          <w:rFonts w:hint="eastAsia" w:ascii="宋体" w:hAnsi="宋体" w:cs="宋体"/>
          <w:b/>
          <w:color w:val="000000" w:themeColor="text1"/>
          <w:szCs w:val="21"/>
          <w:highlight w:val="none"/>
          <w:lang w:val="en-US" w:eastAsia="zh-CN"/>
          <w14:textFill>
            <w14:solidFill>
              <w14:schemeClr w14:val="tx1"/>
            </w14:solidFill>
          </w14:textFill>
        </w:rPr>
        <w:t xml:space="preserve">六</w:t>
      </w:r>
      <w:r>
        <w:rPr>
          <w:rFonts w:hint="eastAsia" w:ascii="宋体" w:hAnsi="宋体" w:cs="宋体"/>
          <w:b/>
          <w:color w:val="000000" w:themeColor="text1"/>
          <w:szCs w:val="21"/>
          <w:highlight w:val="none"/>
          <w:lang w:val="zh-CN"/>
          <w14:textFill>
            <w14:solidFill>
              <w14:schemeClr w14:val="tx1"/>
            </w14:solidFill>
          </w14:textFill>
        </w:rPr>
        <w:t xml:space="preserve">、商务条款偏离表格式</w:t>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商务条款偏离表</w:t>
      </w:r>
      <w:r/>
    </w:p>
    <w:tbl>
      <w:tblPr>
        <w:tblStyle w:val="1032"/>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153"/>
        <w:gridCol w:w="1677"/>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招标文件条目号</w:t>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招标文件要求的商务条款</w:t>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投标响应</w:t>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2"/>
            <w:tcW w:w="2568"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77"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供应商名称：（加盖CA电子公章）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1、如果行数不够，请自行增加。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2、供应商需在上表中对采购文件第四章“（第二部分：商务部分要求）”相关要求进行响应。</w:t>
      </w:r>
      <w:r/>
    </w:p>
    <w:p>
      <w:pPr>
        <w:jc w:val="left"/>
        <w:spacing w:line="240" w:lineRule="atLeast"/>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240" w:lineRule="atLeast"/>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240" w:lineRule="atLeast"/>
        <w:rPr>
          <w:rFonts w:ascii="宋体" w:hAnsi="宋体" w:cs="宋体"/>
          <w:b/>
          <w:color w:val="000000" w:themeColor="text1"/>
          <w:highlight w:val="none"/>
          <w14:textFill>
            <w14:solidFill>
              <w14:schemeClr w14:val="tx1"/>
            </w14:solidFill>
          </w14:textFill>
        </w:rPr>
        <w:sectPr>
          <w:footnotePr/>
          <w:endnotePr>
            <w:numFmt w:val="decimal"/>
          </w:endnotePr>
          <w:type w:val="nextPage"/>
          <w:pgSz w:w="11906" w:h="16838" w:orient="portrait"/>
          <w:pgMar w:top="850" w:right="850" w:bottom="850" w:left="1418" w:header="113" w:footer="720" w:gutter="0"/>
          <w:cols w:num="1" w:sep="0" w:space="0" w:equalWidth="1"/>
          <w:docGrid w:linePitch="360"/>
        </w:sect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w:t>
      </w:r>
      <w:r>
        <w:rPr>
          <w:rFonts w:hint="eastAsia" w:ascii="宋体" w:hAnsi="宋体" w:cs="宋体"/>
          <w:b/>
          <w:color w:val="000000" w:themeColor="text1"/>
          <w:highlight w:val="none"/>
          <w:lang w:val="en-US" w:eastAsia="zh-CN"/>
          <w14:textFill>
            <w14:solidFill>
              <w14:schemeClr w14:val="tx1"/>
            </w14:solidFill>
          </w14:textFill>
        </w:rPr>
        <w:t xml:space="preserve">七</w:t>
      </w:r>
      <w:r>
        <w:rPr>
          <w:rFonts w:hint="eastAsia" w:ascii="宋体" w:hAnsi="宋体" w:cs="宋体"/>
          <w:b/>
          <w:color w:val="000000" w:themeColor="text1"/>
          <w:highlight w:val="none"/>
          <w14:textFill>
            <w14:solidFill>
              <w14:schemeClr w14:val="tx1"/>
            </w14:solidFill>
          </w14:textFill>
        </w:rPr>
        <w:t xml:space="preserve">、服务与承诺</w:t>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服务与承诺</w:t>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w:t>
      </w:r>
      <w:r>
        <w:rPr>
          <w:rFonts w:hint="eastAsia" w:ascii="宋体" w:hAnsi="宋体" w:cs="宋体"/>
          <w:b/>
          <w:color w:val="000000" w:themeColor="text1"/>
          <w:highlight w:val="none"/>
          <w:lang w:val="en-US" w:eastAsia="zh-CN"/>
          <w14:textFill>
            <w14:solidFill>
              <w14:schemeClr w14:val="tx1"/>
            </w14:solidFill>
          </w14:textFill>
        </w:rPr>
        <w:t xml:space="preserve">八</w:t>
      </w:r>
      <w:r>
        <w:rPr>
          <w:rFonts w:hint="eastAsia" w:ascii="宋体" w:hAnsi="宋体" w:cs="宋体"/>
          <w:b/>
          <w:color w:val="000000" w:themeColor="text1"/>
          <w:highlight w:val="none"/>
          <w14:textFill>
            <w14:solidFill>
              <w14:schemeClr w14:val="tx1"/>
            </w14:solidFill>
          </w14:textFill>
        </w:rPr>
        <w:t xml:space="preserve">、</w:t>
      </w:r>
      <w:r>
        <w:rPr>
          <w:rFonts w:ascii="宋体" w:hAnsi="宋体" w:cs="宋体"/>
          <w:b/>
          <w:color w:val="000000" w:themeColor="text1"/>
          <w:highlight w:val="none"/>
          <w14:textFill>
            <w14:solidFill>
              <w14:schemeClr w14:val="tx1"/>
            </w14:solidFill>
          </w14:textFill>
        </w:rPr>
        <w:t xml:space="preserve">投标人类似业绩情况表</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投标人类似业绩情况表</w:t>
      </w:r>
      <w:r/>
    </w:p>
    <w:p>
      <w:pPr>
        <w:pStyle w:val="1025"/>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0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84"/>
        <w:gridCol w:w="1447"/>
        <w:gridCol w:w="1846"/>
        <w:gridCol w:w="1451"/>
        <w:gridCol w:w="379"/>
        <w:gridCol w:w="1267"/>
        <w:gridCol w:w="2093"/>
        <w:gridCol w:w="572"/>
      </w:tblGrid>
      <w:tr>
        <w:trPr>
          <w:jc w:val="center"/>
          <w:trHeight w:val="339"/>
          <w:tblHeader/>
        </w:trPr>
        <w:tc>
          <w:tcPr>
            <w:gridSpan w:val="5"/>
            <w:tcBorders>
              <w:top w:val="none" w:color="000000" w:sz="4" w:space="0"/>
              <w:left w:val="none" w:color="000000" w:sz="4" w:space="0"/>
              <w:right w:val="none" w:color="000000" w:sz="4" w:space="0"/>
            </w:tcBorders>
            <w:tcW w:w="6395"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tcBorders>
              <w:top w:val="none" w:color="000000" w:sz="4" w:space="0"/>
              <w:left w:val="none" w:color="000000" w:sz="4" w:space="0"/>
              <w:right w:val="none" w:color="000000" w:sz="4" w:space="0"/>
            </w:tcBorders>
            <w:tcW w:w="1421"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c>
          <w:tcPr>
            <w:tcBorders>
              <w:top w:val="none" w:color="000000" w:sz="4" w:space="0"/>
              <w:left w:val="none" w:color="000000" w:sz="4" w:space="0"/>
              <w:right w:val="none" w:color="000000" w:sz="4" w:space="0"/>
            </w:tcBorders>
            <w:tcW w:w="2348"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none" w:color="000000" w:sz="4" w:space="0"/>
              <w:left w:val="none" w:color="000000" w:sz="4" w:space="0"/>
              <w:right w:val="none" w:color="000000" w:sz="4" w:space="0"/>
            </w:tcBorders>
            <w:tcW w:w="639"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业主方</w:t>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项目规模</w:t>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签约及服务时间</w:t>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联系人及电话</w:t>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备注</w:t>
            </w:r>
            <w:r/>
          </w:p>
        </w:tc>
      </w:tr>
      <w:tr>
        <w:trPr>
          <w:jc w:val="center"/>
          <w:trHeight w:val="340"/>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483"/>
        </w:trPr>
        <w:tc>
          <w:tcPr>
            <w:tcW w:w="652"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2"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70"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2"/>
            <w:tcW w:w="1846"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348" w:type="dxa"/>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639" w:type="dxa"/>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投标人名称： （</w:t>
      </w:r>
      <w:r>
        <w:rPr>
          <w:rFonts w:hint="eastAsia" w:ascii="宋体" w:hAnsi="宋体" w:cs="宋体"/>
          <w:color w:val="000000" w:themeColor="text1"/>
          <w:szCs w:val="21"/>
          <w:highlight w:val="none"/>
          <w:lang w:val="zh-CN"/>
          <w14:textFill>
            <w14:solidFill>
              <w14:schemeClr w14:val="tx1"/>
            </w14:solidFill>
          </w14:textFill>
        </w:rPr>
        <w:t xml:space="preserve">加盖CA电子公章</w:t>
      </w:r>
      <w:r>
        <w:rPr>
          <w:color w:val="000000" w:themeColor="text1"/>
          <w:highlight w:val="none"/>
          <w14:textFill>
            <w14:solidFill>
              <w14:schemeClr w14:val="tx1"/>
            </w14:solidFill>
          </w14:textFill>
        </w:rPr>
        <w:t xml:space="preserve">）</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日 期： 年 月 日 </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 1、如果行、列数不够，请自行增加。</w:t>
      </w:r>
      <w:r/>
    </w:p>
    <w:p>
      <w:pPr>
        <w:ind w:firstLine="63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2、请投标人根据本格式要求如实填写业绩情况表，并附业绩合同复印件</w:t>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w:t>
      </w:r>
      <w:r>
        <w:rPr>
          <w:rFonts w:hint="eastAsia" w:ascii="宋体" w:hAnsi="宋体" w:cs="宋体"/>
          <w:b/>
          <w:color w:val="000000" w:themeColor="text1"/>
          <w:highlight w:val="none"/>
          <w:lang w:val="en-US" w:eastAsia="zh-CN"/>
          <w14:textFill>
            <w14:solidFill>
              <w14:schemeClr w14:val="tx1"/>
            </w14:solidFill>
          </w14:textFill>
        </w:rPr>
        <w:t xml:space="preserve">九</w:t>
      </w:r>
      <w:r>
        <w:rPr>
          <w:rFonts w:hint="eastAsia" w:ascii="宋体" w:hAnsi="宋体" w:cs="宋体"/>
          <w:b/>
          <w:color w:val="000000" w:themeColor="text1"/>
          <w:highlight w:val="none"/>
          <w14:textFill>
            <w14:solidFill>
              <w14:schemeClr w14:val="tx1"/>
            </w14:solidFill>
          </w14:textFill>
        </w:rPr>
        <w:t xml:space="preserve">、投标需要的其他证明文件及材料</w:t>
      </w:r>
      <w:r/>
    </w:p>
    <w:p>
      <w:pPr>
        <w:jc w:val="center"/>
        <w:spacing w:line="240" w:lineRule="atLeast"/>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投标需要的其他证明文件及材料（若有)</w:t>
      </w:r>
      <w:r/>
    </w:p>
    <w:p>
      <w:pPr>
        <w:spacing w:before="50" w:after="50" w:line="360" w:lineRule="auto"/>
        <w:rPr>
          <w:rFonts w:ascii="宋体" w:hAnsi="宋体" w:cs="宋体"/>
          <w:b/>
          <w:color w:val="000000" w:themeColor="text1"/>
          <w:highlight w:val="none"/>
          <w14:textFill>
            <w14:solidFill>
              <w14:schemeClr w14:val="tx1"/>
            </w14:solidFill>
          </w14:textFill>
        </w:rPr>
        <w:sectPr>
          <w:footnotePr/>
          <w:endnotePr>
            <w:numFmt w:val="decimal"/>
          </w:endnotePr>
          <w:type w:val="nextPage"/>
          <w:pgSz w:w="11906" w:h="16838" w:orient="portrait"/>
          <w:pgMar w:top="850" w:right="850" w:bottom="850" w:left="1418" w:header="170" w:footer="720" w:gutter="0"/>
          <w:cols w:num="1" w:sep="0" w:space="0" w:equalWidth="1"/>
          <w:docGrid w:linePitch="360"/>
        </w:sect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附件一、中小企业声明函格式</w:t>
      </w:r>
      <w:r/>
    </w:p>
    <w:p>
      <w:pPr>
        <w:jc w:val="center"/>
        <w:rPr>
          <w:rFonts w:ascii="宋体" w:hAnsi="宋体" w:cs="宋体"/>
          <w:color w:val="000000" w:themeColor="text1"/>
          <w:highlight w:val="none"/>
          <w14:textFill>
            <w14:solidFill>
              <w14:schemeClr w14:val="tx1"/>
            </w14:solidFill>
          </w14:textFill>
        </w:rPr>
      </w:pPr>
      <w:r/>
      <w:bookmarkStart w:id="45" w:name="_bookmark0"/>
      <w:r/>
      <w:bookmarkEnd w:id="45"/>
      <w:r>
        <w:rPr>
          <w:rFonts w:hint="eastAsia" w:ascii="宋体" w:hAnsi="宋体" w:cs="宋体"/>
          <w:color w:val="000000" w:themeColor="text1"/>
          <w:sz w:val="36"/>
          <w:szCs w:val="36"/>
          <w:highlight w:val="none"/>
          <w14:textFill>
            <w14:solidFill>
              <w14:schemeClr w14:val="tx1"/>
            </w14:solidFill>
          </w14:textFill>
        </w:rPr>
        <w:t xml:space="preserve">中小企业声明函（货物）</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highlight w:val="none"/>
          <w:u w:val="single"/>
          <w14:textFill>
            <w14:solidFill>
              <w14:schemeClr w14:val="tx1"/>
            </w14:solidFill>
          </w14:textFill>
        </w:rPr>
        <w:t xml:space="preserve">（单位名称）</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highlight w:val="none"/>
          <w:u w:val="single"/>
          <w14:textFill>
            <w14:solidFill>
              <w14:schemeClr w14:val="tx1"/>
            </w14:solidFill>
          </w14:textFill>
        </w:rPr>
        <w:t xml:space="preserve">（项目名称）</w:t>
      </w:r>
      <w:r>
        <w:rPr>
          <w:rFonts w:hint="eastAsia" w:ascii="宋体" w:hAnsi="宋体" w:cs="宋体"/>
          <w:color w:val="000000" w:themeColor="text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u w:val="single"/>
          <w14:textFill>
            <w14:solidFill>
              <w14:schemeClr w14:val="tx1"/>
            </w14:solidFill>
          </w14:textFill>
        </w:rPr>
        <w:t xml:space="preserve">（标的名称）</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  工业 </w:t>
      </w:r>
      <w:r>
        <w:rPr>
          <w:rFonts w:hint="eastAsia" w:ascii="宋体" w:hAnsi="宋体" w:cs="宋体"/>
          <w:color w:val="000000" w:themeColor="text1"/>
          <w:highlight w:val="none"/>
          <w14:textFill>
            <w14:solidFill>
              <w14:schemeClr w14:val="tx1"/>
            </w14:solidFill>
          </w14:textFill>
        </w:rPr>
        <w:t xml:space="preserve">行业；制造商为</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none"/>
          <w14:textFill>
            <w14:solidFill>
              <w14:schemeClr w14:val="tx1"/>
            </w14:solidFill>
          </w14:textFill>
        </w:rPr>
        <w:t xml:space="preserve">（企业名称）</w:t>
      </w:r>
      <w:r>
        <w:rPr>
          <w:rFonts w:hint="eastAsia" w:ascii="宋体" w:hAnsi="宋体" w:cs="宋体"/>
          <w:color w:val="000000" w:themeColor="text1"/>
          <w:highlight w:val="none"/>
          <w14:textFill>
            <w14:solidFill>
              <w14:schemeClr w14:val="tx1"/>
            </w14:solidFill>
          </w14:textFill>
        </w:rPr>
        <w:t xml:space="preserve">，从业人员</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（中型企业、小型企业、微型企业）；</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u w:val="single"/>
          <w14:textFill>
            <w14:solidFill>
              <w14:schemeClr w14:val="tx1"/>
            </w14:solidFill>
          </w14:textFill>
        </w:rPr>
        <w:t xml:space="preserve">（标的名称）</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  工业 </w:t>
      </w:r>
      <w:r>
        <w:rPr>
          <w:rFonts w:hint="eastAsia" w:ascii="宋体" w:hAnsi="宋体" w:cs="宋体"/>
          <w:color w:val="000000" w:themeColor="text1"/>
          <w:highlight w:val="none"/>
          <w14:textFill>
            <w14:solidFill>
              <w14:schemeClr w14:val="tx1"/>
            </w14:solidFill>
          </w14:textFill>
        </w:rPr>
        <w:t xml:space="preserve">行业；制造商为</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none"/>
          <w14:textFill>
            <w14:solidFill>
              <w14:schemeClr w14:val="tx1"/>
            </w14:solidFill>
          </w14:textFill>
        </w:rPr>
        <w:t xml:space="preserve">（企业名称）</w:t>
      </w:r>
      <w:r>
        <w:rPr>
          <w:rFonts w:hint="eastAsia" w:ascii="宋体" w:hAnsi="宋体" w:cs="宋体"/>
          <w:color w:val="000000" w:themeColor="text1"/>
          <w:highlight w:val="none"/>
          <w14:textFill>
            <w14:solidFill>
              <w14:schemeClr w14:val="tx1"/>
            </w14:solidFill>
          </w14:textFill>
        </w:rPr>
        <w:t xml:space="preserve">，从业人员</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（中型企业、小型企业、微型企业）；</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本企业对上述声明内容的真实性负责。如有虚假，将依法承担相应责任。</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企业名称（</w:t>
      </w:r>
      <w:r>
        <w:rPr>
          <w:rFonts w:hint="eastAsia" w:ascii="宋体" w:hAnsi="宋体" w:cs="宋体"/>
          <w:color w:val="000000" w:themeColor="text1"/>
          <w:szCs w:val="21"/>
          <w:highlight w:val="none"/>
          <w:lang w:val="en-US" w:eastAsia="zh-CN"/>
          <w14:textFill>
            <w14:solidFill>
              <w14:schemeClr w14:val="tx1"/>
            </w14:solidFill>
          </w14:textFill>
        </w:rPr>
        <w:t xml:space="preserve">加盖CA电子公章</w:t>
      </w:r>
      <w:r>
        <w:rPr>
          <w:rFonts w:hint="eastAsia" w:ascii="宋体" w:hAnsi="宋体" w:cs="宋体"/>
          <w:color w:val="000000" w:themeColor="text1"/>
          <w:highlight w:val="none"/>
          <w14:textFill>
            <w14:solidFill>
              <w14:schemeClr w14:val="tx1"/>
            </w14:solidFill>
          </w14:textFill>
        </w:rPr>
        <w:t xml:space="preserve">）：</w:t>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spacing w:line="240" w:lineRule="atLeast"/>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left"/>
        <w:spacing w:line="360" w:lineRule="auto"/>
        <w:shd w:val="clear" w:color="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jc w:val="left"/>
        <w:spacing w:line="360" w:lineRule="auto"/>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spacing w:line="240" w:lineRule="atLeast"/>
        <w:shd w:val="clear" w:color="auto"/>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注3：投标人如不提供此声明函，价格将不做相应扣除。</w:t>
      </w:r>
      <w:r/>
    </w:p>
    <w:p>
      <w:pPr>
        <w:spacing w:line="360" w:lineRule="auto"/>
        <w:shd w:val="clear" w:color="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注4：依据《关于印发中小企业划型标准规定的通知》（工信部联企业〔2011〕300号）：</w:t>
      </w:r>
      <w:r/>
    </w:p>
    <w:p>
      <w:pPr>
        <w:spacing w:line="240" w:lineRule="atLeast"/>
        <w:widowControl/>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p>
    <w:p>
      <w:pPr>
        <w:spacing w:line="240" w:lineRule="atLeast"/>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240" w:lineRule="atLeast"/>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p>
    <w:p>
      <w:pPr>
        <w:spacing w:line="240" w:lineRule="atLeast"/>
        <w:widowControl/>
        <w:rPr>
          <w:rFonts w:hint="eastAsia" w:ascii="宋体" w:hAnsi="宋体" w:eastAsia="宋体" w:cs="宋体"/>
          <w:b/>
          <w:color w:val="000000" w:themeColor="text1"/>
          <w:highlight w:val="none"/>
          <w:lang w:val="en-US" w:eastAsia="zh-CN"/>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附件二、关于符合本国产品标准的声明函</w:t>
      </w:r>
      <w:r>
        <w:rPr>
          <w:rFonts w:hint="eastAsia" w:ascii="宋体" w:hAnsi="宋体" w:cs="宋体"/>
          <w:b/>
          <w:color w:val="000000" w:themeColor="text1"/>
          <w:highlight w:val="none"/>
          <w:lang w:val="en-US" w:eastAsia="zh-CN"/>
          <w14:textFill>
            <w14:solidFill>
              <w14:schemeClr w14:val="tx1"/>
            </w14:solidFill>
          </w14:textFill>
        </w:rPr>
        <w:t xml:space="preserve">格式</w:t>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关于符合本国产品标准的声明函</w:t>
      </w:r>
      <w:r/>
    </w:p>
    <w:p>
      <w:pPr>
        <w:jc w:val="cente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（产品名称1），生产厂为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（厂名），厂址为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（生产厂址）。</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（产品名称1）</w:t>
      </w:r>
      <w:r>
        <w:rPr>
          <w:rFonts w:hint="eastAsia" w:ascii="宋体" w:hAnsi="宋体" w:eastAsia="宋体" w:cs="宋体"/>
          <w:color w:val="000000" w:themeColor="text1"/>
          <w:highlight w:val="none"/>
          <w14:textFill>
            <w14:solidFill>
              <w14:schemeClr w14:val="tx1"/>
            </w14:solidFill>
          </w14:textFill>
        </w:rPr>
        <w:t xml:space="preserve">的中国境内生产的组件成本占比≥</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（规定比例）</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（产品名称1）</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（关键组件）</w:t>
      </w:r>
      <w:r>
        <w:rPr>
          <w:rFonts w:hint="eastAsia" w:ascii="宋体" w:hAnsi="宋体" w:eastAsia="宋体" w:cs="宋体"/>
          <w:color w:val="000000" w:themeColor="text1"/>
          <w:highlight w:val="none"/>
          <w14:textFill>
            <w14:solidFill>
              <w14:schemeClr w14:val="tx1"/>
            </w14:solidFill>
          </w14:textFill>
        </w:rPr>
        <w:t xml:space="preserve">在中国境内生产。</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（产品名称1）</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（关键工序）</w:t>
      </w:r>
      <w:r>
        <w:rPr>
          <w:rFonts w:hint="eastAsia" w:ascii="宋体" w:hAnsi="宋体" w:eastAsia="宋体" w:cs="宋体"/>
          <w:color w:val="000000" w:themeColor="text1"/>
          <w:highlight w:val="none"/>
          <w14:textFill>
            <w14:solidFill>
              <w14:schemeClr w14:val="tx1"/>
            </w14:solidFill>
          </w14:textFill>
        </w:rPr>
        <w:t xml:space="preserve">在中国境内完成。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（产品名称</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），生产厂为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（厂名），厂址为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（生产厂址）。</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（产品名称</w:t>
      </w:r>
      <w:r>
        <w:rPr>
          <w:rFonts w:hint="eastAsia" w:ascii="宋体" w:hAnsi="宋体" w:eastAsia="宋体" w:cs="宋体"/>
          <w:strike w:val="0"/>
          <w:color w:val="000000" w:themeColor="text1"/>
          <w:highlight w:val="none"/>
          <w:lang w:val="en-US" w:eastAsia="zh-CN"/>
          <w14:textFill>
            <w14:solidFill>
              <w14:schemeClr w14:val="tx1"/>
            </w14:solidFill>
          </w14:textFill>
        </w:rPr>
        <w:t xml:space="preserve">2</w:t>
      </w:r>
      <w:r>
        <w:rPr>
          <w:rFonts w:hint="eastAsia" w:ascii="宋体" w:hAnsi="宋体" w:eastAsia="宋体" w:cs="宋体"/>
          <w:strike w:val="0"/>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的中国境内生产的组件成本占比≥</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（规定比例）</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（产品名称</w:t>
      </w:r>
      <w:r>
        <w:rPr>
          <w:rFonts w:hint="eastAsia" w:ascii="宋体" w:hAnsi="宋体" w:eastAsia="宋体" w:cs="宋体"/>
          <w:strike w:val="0"/>
          <w:color w:val="000000" w:themeColor="text1"/>
          <w:highlight w:val="none"/>
          <w:lang w:val="en-US" w:eastAsia="zh-CN"/>
          <w14:textFill>
            <w14:solidFill>
              <w14:schemeClr w14:val="tx1"/>
            </w14:solidFill>
          </w14:textFill>
        </w:rPr>
        <w:t xml:space="preserve">2</w:t>
      </w:r>
      <w:r>
        <w:rPr>
          <w:rFonts w:hint="eastAsia" w:ascii="宋体" w:hAnsi="宋体" w:eastAsia="宋体" w:cs="宋体"/>
          <w:strike w:val="0"/>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（关键组件）</w:t>
      </w:r>
      <w:r>
        <w:rPr>
          <w:rFonts w:hint="eastAsia" w:ascii="宋体" w:hAnsi="宋体" w:eastAsia="宋体" w:cs="宋体"/>
          <w:color w:val="000000" w:themeColor="text1"/>
          <w:highlight w:val="none"/>
          <w14:textFill>
            <w14:solidFill>
              <w14:schemeClr w14:val="tx1"/>
            </w14:solidFill>
          </w14:textFill>
        </w:rPr>
        <w:t xml:space="preserve">在中国境内生产。</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（产品名称</w:t>
      </w:r>
      <w:r>
        <w:rPr>
          <w:rFonts w:hint="eastAsia" w:ascii="宋体" w:hAnsi="宋体" w:eastAsia="宋体" w:cs="宋体"/>
          <w:strike w:val="0"/>
          <w:color w:val="000000" w:themeColor="text1"/>
          <w:highlight w:val="none"/>
          <w:lang w:val="en-US" w:eastAsia="zh-CN"/>
          <w14:textFill>
            <w14:solidFill>
              <w14:schemeClr w14:val="tx1"/>
            </w14:solidFill>
          </w14:textFill>
        </w:rPr>
        <w:t xml:space="preserve">2</w:t>
      </w:r>
      <w:r>
        <w:rPr>
          <w:rFonts w:hint="eastAsia" w:ascii="宋体" w:hAnsi="宋体" w:eastAsia="宋体" w:cs="宋体"/>
          <w:strike w:val="0"/>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（关键工序）</w:t>
      </w:r>
      <w:r>
        <w:rPr>
          <w:rFonts w:hint="eastAsia" w:ascii="宋体" w:hAnsi="宋体" w:eastAsia="宋体" w:cs="宋体"/>
          <w:color w:val="000000" w:themeColor="text1"/>
          <w:highlight w:val="none"/>
          <w14:textFill>
            <w14:solidFill>
              <w14:schemeClr w14:val="tx1"/>
            </w14:solidFill>
          </w14:textFill>
        </w:rPr>
        <w:t xml:space="preserve">在中国境内完成。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本公司（单位）对上述声明内容的真实性负责。如有虚假，愿承担相应法律责任。</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right"/>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公司（单位）名称（</w:t>
      </w:r>
      <w:r>
        <w:rPr>
          <w:rFonts w:hint="eastAsia" w:ascii="宋体" w:hAnsi="宋体" w:cs="宋体"/>
          <w:color w:val="000000" w:themeColor="text1"/>
          <w:szCs w:val="21"/>
          <w:highlight w:val="none"/>
          <w:lang w:val="en-US" w:eastAsia="zh-CN"/>
          <w14:textFill>
            <w14:solidFill>
              <w14:schemeClr w14:val="tx1"/>
            </w14:solidFill>
          </w14:textFill>
        </w:rPr>
        <w:t xml:space="preserve">加盖CA电子公章</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p>
    <w:p>
      <w:pPr>
        <w:ind w:firstLine="420"/>
        <w:jc w:val="right"/>
        <w:spacing w:line="360" w:lineRule="auto"/>
        <w:rPr>
          <w:rFonts w:hint="default" w:ascii="宋体" w:hAnsi="宋体" w:eastAsia="宋体" w:cs="宋体"/>
          <w:b/>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　   年　  月　  日</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p>
    <w:p>
      <w:pPr>
        <w:rPr>
          <w:rFonts w:hint="default" w:ascii="宋体" w:hAnsi="宋体" w:eastAsia="宋体" w:cs="宋体"/>
          <w:b/>
          <w:color w:val="000000" w:themeColor="text1"/>
          <w:highlight w:val="none"/>
          <w:lang w:val="en-US" w:eastAsia="zh-CN"/>
          <w14:textFill>
            <w14:solidFill>
              <w14:schemeClr w14:val="tx1"/>
            </w14:solidFill>
          </w14:textFill>
        </w:rPr>
      </w:pPr>
      <w:r>
        <w:rPr>
          <w:rFonts w:hint="eastAsia" w:ascii="宋体" w:hAnsi="宋体" w:cs="宋体"/>
          <w:b/>
          <w:color w:val="000000" w:themeColor="text1"/>
          <w:highlight w:val="none"/>
          <w:lang w:val="en-US" w:eastAsia="zh-CN"/>
          <w14:textFill>
            <w14:solidFill>
              <w14:schemeClr w14:val="tx1"/>
            </w14:solidFill>
          </w14:textFill>
        </w:rPr>
        <w:t xml:space="preserve">注：</w:t>
      </w:r>
      <w:r/>
    </w:p>
    <w:p>
      <w:pPr>
        <w:rPr>
          <w:rFonts w:hint="eastAsia" w:ascii="宋体" w:hAnsi="宋体" w:cs="宋体"/>
          <w:b w:val="0"/>
          <w:bCs/>
          <w:color w:val="000000" w:themeColor="text1"/>
          <w:highlight w:val="none"/>
          <w14:textFill>
            <w14:solidFill>
              <w14:schemeClr w14:val="tx1"/>
            </w14:solidFill>
          </w14:textFill>
        </w:rPr>
      </w:pPr>
      <w:r>
        <w:rPr>
          <w:rFonts w:hint="eastAsia" w:ascii="宋体" w:hAnsi="宋体" w:cs="宋体"/>
          <w:b w:val="0"/>
          <w:bCs/>
          <w:color w:val="000000" w:themeColor="text1"/>
          <w:highlight w:val="none"/>
          <w14:textFill>
            <w14:solidFill>
              <w14:schemeClr w14:val="tx1"/>
            </w14:solidFill>
          </w14:textFill>
        </w:rPr>
        <w:t xml:space="preserve">1.产品如有型号，请在“产品名称”栏一并填写。</w:t>
      </w:r>
      <w:r/>
    </w:p>
    <w:p>
      <w:pPr>
        <w:rPr>
          <w:rFonts w:hint="eastAsia" w:ascii="宋体" w:hAnsi="宋体" w:cs="宋体"/>
          <w:b w:val="0"/>
          <w:bCs/>
          <w:color w:val="000000" w:themeColor="text1"/>
          <w:highlight w:val="none"/>
          <w14:textFill>
            <w14:solidFill>
              <w14:schemeClr w14:val="tx1"/>
            </w14:solidFill>
          </w14:textFill>
        </w:rPr>
      </w:pPr>
      <w:r>
        <w:rPr>
          <w:rFonts w:hint="eastAsia" w:ascii="宋体" w:hAnsi="宋体" w:cs="宋体"/>
          <w:b w:val="0"/>
          <w:bCs/>
          <w:color w:val="000000" w:themeColor="text1"/>
          <w:highlight w:val="none"/>
          <w14:textFill>
            <w14:solidFill>
              <w14:schemeClr w14:val="tx1"/>
            </w14:solidFill>
          </w14:textFill>
        </w:rPr>
        <w:t xml:space="preserve">2.生产厂名与厂址应与生产厂营业执照载明的相关信息保持一致。</w:t>
      </w:r>
      <w:r/>
    </w:p>
    <w:p>
      <w:pPr>
        <w:rPr>
          <w:rFonts w:hint="eastAsia" w:ascii="宋体" w:hAnsi="宋体" w:cs="宋体"/>
          <w:b w:val="0"/>
          <w:bCs/>
          <w:color w:val="000000" w:themeColor="text1"/>
          <w:highlight w:val="none"/>
          <w14:textFill>
            <w14:solidFill>
              <w14:schemeClr w14:val="tx1"/>
            </w14:solidFill>
          </w14:textFill>
        </w:rPr>
      </w:pPr>
      <w:r>
        <w:rPr>
          <w:rFonts w:hint="eastAsia" w:ascii="宋体" w:hAnsi="宋体" w:cs="宋体"/>
          <w:b w:val="0"/>
          <w:bCs/>
          <w:color w:val="000000" w:themeColor="text1"/>
          <w:highlight w:val="none"/>
          <w14:textFill>
            <w14:solidFill>
              <w14:schemeClr w14:val="tx1"/>
            </w14:solidFill>
          </w14:textFill>
        </w:rPr>
        <w:t xml:space="preserve">3.该产品的中国境内生产的组件成本占比相关要求实施前，“规定比例”栏可不填，下同。</w:t>
      </w:r>
      <w:r/>
    </w:p>
    <w:p>
      <w:pPr>
        <w:rPr>
          <w:rFonts w:hint="eastAsia" w:ascii="宋体" w:hAnsi="宋体" w:cs="宋体"/>
          <w:b w:val="0"/>
          <w:bCs/>
          <w:color w:val="000000" w:themeColor="text1"/>
          <w:highlight w:val="none"/>
          <w14:textFill>
            <w14:solidFill>
              <w14:schemeClr w14:val="tx1"/>
            </w14:solidFill>
          </w14:textFill>
        </w:rPr>
      </w:pPr>
      <w:r>
        <w:rPr>
          <w:rFonts w:hint="eastAsia" w:ascii="宋体" w:hAnsi="宋体" w:cs="宋体"/>
          <w:b w:val="0"/>
          <w:bCs/>
          <w:color w:val="000000" w:themeColor="text1"/>
          <w:highlight w:val="none"/>
          <w14:textFill>
            <w14:solidFill>
              <w14:schemeClr w14:val="tx1"/>
            </w14:solidFill>
          </w14:textFill>
        </w:rPr>
        <w:t xml:space="preserve">4.该产品的关键组件要求实施前，“关键组件”栏可不填，下同。</w:t>
      </w:r>
      <w:r/>
    </w:p>
    <w:p>
      <w:pPr>
        <w:rPr>
          <w:rFonts w:hint="eastAsia" w:ascii="宋体" w:hAnsi="宋体" w:cs="宋体"/>
          <w:b w:val="0"/>
          <w:bCs/>
          <w:color w:val="000000" w:themeColor="text1"/>
          <w:highlight w:val="none"/>
          <w14:textFill>
            <w14:solidFill>
              <w14:schemeClr w14:val="tx1"/>
            </w14:solidFill>
          </w14:textFill>
        </w:rPr>
      </w:pPr>
      <w:r>
        <w:rPr>
          <w:rFonts w:hint="eastAsia" w:ascii="宋体" w:hAnsi="宋体" w:cs="宋体"/>
          <w:b w:val="0"/>
          <w:bCs/>
          <w:color w:val="000000" w:themeColor="text1"/>
          <w:highlight w:val="none"/>
          <w14:textFill>
            <w14:solidFill>
              <w14:schemeClr w14:val="tx1"/>
            </w14:solidFill>
          </w14:textFill>
        </w:rPr>
        <w:t xml:space="preserve">5.该产品的关键工序要求实施前，“关键工序”栏可不填，下同。</w:t>
      </w:r>
      <w:r/>
    </w:p>
    <w:p>
      <w:pPr>
        <w:rPr>
          <w:rFonts w:hint="eastAsia" w:ascii="宋体" w:hAnsi="宋体" w:cs="宋体"/>
          <w:b w:val="0"/>
          <w:bCs/>
          <w:color w:val="000000" w:themeColor="text1"/>
          <w:highlight w:val="none"/>
          <w14:textFill>
            <w14:solidFill>
              <w14:schemeClr w14:val="tx1"/>
            </w14:solidFill>
          </w14:textFill>
        </w:rPr>
      </w:pPr>
      <w:r>
        <w:rPr>
          <w:rFonts w:hint="eastAsia" w:ascii="宋体" w:hAnsi="宋体" w:cs="宋体"/>
          <w:b w:val="0"/>
          <w:bCs/>
          <w:color w:val="000000" w:themeColor="text1"/>
          <w:highlight w:val="none"/>
          <w14:textFill>
            <w14:solidFill>
              <w14:schemeClr w14:val="tx1"/>
            </w14:solidFill>
          </w14:textFill>
        </w:rPr>
        <w:t xml:space="preserve">6.用</w:t>
      </w:r>
      <w:r>
        <w:rPr>
          <w:rFonts w:hint="eastAsia" w:ascii="宋体" w:hAnsi="宋体" w:cs="宋体"/>
          <w:b w:val="0"/>
          <w:bCs/>
          <w:color w:val="000000" w:themeColor="text1"/>
          <w:highlight w:val="none"/>
          <w:lang w:val="en-US" w:eastAsia="zh-CN"/>
          <w14:textFill>
            <w14:solidFill>
              <w14:schemeClr w14:val="tx1"/>
            </w14:solidFill>
          </w14:textFill>
        </w:rPr>
        <w:t xml:space="preserve">斜线划除</w:t>
      </w:r>
      <w:r>
        <w:rPr>
          <w:rFonts w:hint="eastAsia" w:ascii="宋体" w:hAnsi="宋体" w:cs="宋体"/>
          <w:b w:val="0"/>
          <w:bCs/>
          <w:color w:val="000000" w:themeColor="text1"/>
          <w:highlight w:val="none"/>
          <w14:textFill>
            <w14:solidFill>
              <w14:schemeClr w14:val="tx1"/>
            </w14:solidFill>
          </w14:textFill>
        </w:rPr>
        <w:t xml:space="preserve">的地方无需填写。</w:t>
      </w:r>
      <w:r>
        <w:rPr>
          <w:rFonts w:hint="eastAsia" w:ascii="宋体" w:hAnsi="宋体" w:cs="宋体"/>
          <w:b w:val="0"/>
          <w:bCs/>
          <w:color w:val="000000" w:themeColor="text1"/>
          <w:highlight w:val="none"/>
          <w14:textFill>
            <w14:solidFill>
              <w14:schemeClr w14:val="tx1"/>
            </w14:solidFill>
          </w14:textFill>
        </w:rPr>
        <w:br w:type="page" w:clear="all"/>
      </w:r>
      <w:r/>
    </w:p>
    <w:p>
      <w:pPr>
        <w:spacing w:line="240" w:lineRule="atLeast"/>
        <w:widowControl/>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lang w:val="en-US" w:eastAsia="zh-CN"/>
          <w14:textFill>
            <w14:solidFill>
              <w14:schemeClr w14:val="tx1"/>
            </w14:solidFill>
          </w14:textFill>
        </w:rPr>
        <w:t xml:space="preserve">附件三、</w:t>
      </w:r>
      <w:r>
        <w:rPr>
          <w:rFonts w:hint="eastAsia" w:ascii="宋体" w:hAnsi="宋体" w:cs="宋体"/>
          <w:b/>
          <w:color w:val="000000" w:themeColor="text1"/>
          <w:highlight w:val="none"/>
          <w14:textFill>
            <w14:solidFill>
              <w14:schemeClr w14:val="tx1"/>
            </w14:solidFill>
          </w14:textFill>
        </w:rPr>
        <w:t xml:space="preserve">无重大违法记录声明格式</w:t>
      </w:r>
      <w:r/>
    </w:p>
    <w:p>
      <w:pPr>
        <w:spacing w:line="240" w:lineRule="atLeast"/>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rPr>
          <w:rFonts w:ascii="宋体" w:hAnsi="宋体" w:cs="宋体"/>
          <w:color w:val="000000" w:themeColor="text1"/>
          <w:sz w:val="36"/>
          <w:szCs w:val="36"/>
          <w:highlight w:val="none"/>
          <w14:textFill>
            <w14:solidFill>
              <w14:schemeClr w14:val="tx1"/>
            </w14:solidFill>
          </w14:textFill>
        </w:rPr>
      </w:pPr>
      <w:r/>
      <w:bookmarkStart w:id="46" w:name="_Hlk179355627"/>
      <w:r>
        <w:rPr>
          <w:rFonts w:hint="eastAsia" w:ascii="宋体" w:hAnsi="宋体" w:cs="宋体"/>
          <w:color w:val="000000" w:themeColor="text1"/>
          <w:sz w:val="36"/>
          <w:szCs w:val="36"/>
          <w:highlight w:val="none"/>
          <w14:textFill>
            <w14:solidFill>
              <w14:schemeClr w14:val="tx1"/>
            </w14:solidFill>
          </w14:textFill>
        </w:rPr>
        <w:t xml:space="preserve">无重大违法记录声明</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南京医科大学：</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我单位（供应商名称）郑重声明：</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参加政府采购活动前3年内在经营活动中______（在下划线上如实填写：有或没有）重大违法记录。</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6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声明人（</w:t>
      </w:r>
      <w:r>
        <w:rPr>
          <w:rFonts w:hint="eastAsia" w:ascii="宋体" w:hAnsi="宋体" w:cs="宋体"/>
          <w:color w:val="000000" w:themeColor="text1"/>
          <w:szCs w:val="21"/>
          <w:highlight w:val="none"/>
          <w:lang w:val="en-US" w:eastAsia="zh-CN"/>
          <w14:textFill>
            <w14:solidFill>
              <w14:schemeClr w14:val="tx1"/>
            </w14:solidFill>
          </w14:textFill>
        </w:rPr>
        <w:t xml:space="preserve">加盖CA电子公章</w:t>
      </w:r>
      <w:r>
        <w:rPr>
          <w:rFonts w:hint="eastAsia" w:ascii="宋体" w:hAnsi="宋体" w:cs="宋体"/>
          <w:color w:val="000000" w:themeColor="text1"/>
          <w:highlight w:val="none"/>
          <w14:textFill>
            <w14:solidFill>
              <w14:schemeClr w14:val="tx1"/>
            </w14:solidFill>
          </w14:textFill>
        </w:rPr>
        <w:t xml:space="preserve">）：</w:t>
      </w:r>
      <w:r/>
    </w:p>
    <w:p>
      <w:pPr>
        <w:ind w:firstLine="46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          年     月    日</w:t>
      </w:r>
      <w:bookmarkEnd w:id="46"/>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w:t>
      </w:r>
      <w:r>
        <w:rPr>
          <w:rFonts w:hint="eastAsia" w:ascii="宋体" w:hAnsi="宋体" w:cs="宋体"/>
          <w:b/>
          <w:color w:val="000000" w:themeColor="text1"/>
          <w:szCs w:val="21"/>
          <w:highlight w:val="none"/>
          <w:lang w:eastAsia="zh-CN"/>
          <w14:textFill>
            <w14:solidFill>
              <w14:schemeClr w14:val="tx1"/>
            </w14:solidFill>
          </w14:textFill>
        </w:rPr>
        <w:t xml:space="preserve">四</w:t>
      </w:r>
      <w:r>
        <w:rPr>
          <w:rFonts w:hint="eastAsia" w:ascii="宋体" w:hAnsi="宋体" w:cs="宋体"/>
          <w:b/>
          <w:color w:val="000000" w:themeColor="text1"/>
          <w:szCs w:val="21"/>
          <w:highlight w:val="none"/>
          <w14:textFill>
            <w14:solidFill>
              <w14:schemeClr w14:val="tx1"/>
            </w14:solidFill>
          </w14:textFill>
        </w:rPr>
        <w:t xml:space="preserve">、具备履行合同所必需的设备和专业技术能力的声明格式及证明材料</w:t>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具备履行合同所必需的设备和专业技术能力的声明</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南京医科大学：</w:t>
      </w:r>
      <w:r/>
    </w:p>
    <w:p>
      <w:pPr>
        <w:ind w:firstLine="49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主要设备有：</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9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主要专业技术能力有：</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声明人：（</w:t>
      </w:r>
      <w:r>
        <w:rPr>
          <w:rFonts w:hint="eastAsia" w:ascii="宋体" w:hAnsi="宋体" w:cs="宋体"/>
          <w:color w:val="000000" w:themeColor="text1"/>
          <w:szCs w:val="21"/>
          <w:highlight w:val="none"/>
          <w:lang w:val="en-US" w:eastAsia="zh-CN"/>
          <w14:textFill>
            <w14:solidFill>
              <w14:schemeClr w14:val="tx1"/>
            </w14:solidFill>
          </w14:textFill>
        </w:rPr>
        <w:t xml:space="preserve">加盖CA电子公章</w:t>
      </w:r>
      <w:r>
        <w:rPr>
          <w:rFonts w:hint="eastAsia" w:ascii="宋体" w:hAnsi="宋体" w:cs="宋体"/>
          <w:color w:val="000000" w:themeColor="text1"/>
          <w:szCs w:val="21"/>
          <w:highlight w:val="none"/>
          <w14:textFill>
            <w14:solidFill>
              <w14:schemeClr w14:val="tx1"/>
            </w14:solidFill>
          </w14:textFill>
        </w:rPr>
        <w:t xml:space="preserve">）</w:t>
      </w:r>
      <w:r/>
    </w:p>
    <w:p>
      <w:pPr>
        <w:ind w:firstLine="4410"/>
        <w:jc w:val="left"/>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    月    日</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92"/>
        <w:spacing w:line="46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其他证明材料及文件：（如果投标人认为需要提供的话）</w:t>
      </w:r>
      <w:r/>
    </w:p>
    <w:p>
      <w:pPr>
        <w:pStyle w:val="1462"/>
        <w:ind w:left="0"/>
        <w:spacing w:before="20"/>
        <w:rPr>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rPr>
          <w:rFonts w:hint="eastAsia"/>
          <w:color w:val="000000" w:themeColor="text1"/>
          <w:sz w:val="21"/>
          <w:szCs w:val="21"/>
          <w:highlight w:val="none"/>
          <w14:textFill>
            <w14:solidFill>
              <w14:schemeClr w14:val="tx1"/>
            </w14:solidFill>
          </w14:textFill>
        </w:rPr>
      </w:r>
      <w:r/>
    </w:p>
    <w:p>
      <w:pPr>
        <w:pStyle w:val="1462"/>
        <w:ind w:left="0"/>
        <w:spacing w:before="20"/>
        <w:rPr>
          <w:rFonts w:hint="eastAsia"/>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rPr>
          <w:rFonts w:hint="eastAsia"/>
          <w:color w:val="000000" w:themeColor="text1"/>
          <w:sz w:val="21"/>
          <w:szCs w:val="21"/>
          <w:highlight w:val="none"/>
          <w14:textFill>
            <w14:solidFill>
              <w14:schemeClr w14:val="tx1"/>
            </w14:solidFill>
          </w14:textFill>
        </w:rPr>
      </w:r>
      <w:r/>
    </w:p>
    <w:p>
      <w:pPr>
        <w:pStyle w:val="1462"/>
        <w:ind w:left="0"/>
        <w:spacing w:before="20"/>
        <w:rPr>
          <w:rFonts w:hint="eastAsia"/>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rPr>
          <w:rFonts w:hint="eastAsia"/>
          <w:color w:val="000000" w:themeColor="text1"/>
          <w:sz w:val="21"/>
          <w:szCs w:val="21"/>
          <w:highlight w:val="none"/>
          <w14:textFill>
            <w14:solidFill>
              <w14:schemeClr w14:val="tx1"/>
            </w14:solidFill>
          </w14:textFill>
        </w:rPr>
      </w:r>
      <w:r/>
    </w:p>
    <w:p>
      <w:pPr>
        <w:pStyle w:val="1462"/>
        <w:ind w:left="0"/>
        <w:spacing w:before="20"/>
        <w:rPr>
          <w:rFonts w:hint="eastAsia"/>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rPr>
          <w:rFonts w:hint="eastAsia"/>
          <w:color w:val="000000" w:themeColor="text1"/>
          <w:sz w:val="21"/>
          <w:szCs w:val="21"/>
          <w:highlight w:val="none"/>
          <w14:textFill>
            <w14:solidFill>
              <w14:schemeClr w14:val="tx1"/>
            </w14:solidFill>
          </w14:textFill>
        </w:rPr>
      </w:r>
      <w:r/>
    </w:p>
    <w:p>
      <w:pPr>
        <w:pStyle w:val="1462"/>
        <w:ind w:left="0"/>
        <w:spacing w:before="20"/>
        <w:rPr>
          <w:rFonts w:hint="eastAsia"/>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rPr>
          <w:rFonts w:hint="eastAsia"/>
          <w:color w:val="000000" w:themeColor="text1"/>
          <w:sz w:val="21"/>
          <w:szCs w:val="21"/>
          <w:highlight w:val="none"/>
          <w14:textFill>
            <w14:solidFill>
              <w14:schemeClr w14:val="tx1"/>
            </w14:solidFill>
          </w14:textFill>
        </w:rPr>
      </w:r>
      <w:r/>
    </w:p>
    <w:p>
      <w:pPr>
        <w:pStyle w:val="1462"/>
        <w:ind w:left="0"/>
        <w:spacing w:before="20"/>
        <w:rPr>
          <w:rFonts w:hint="eastAsia"/>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rPr>
          <w:rFonts w:hint="eastAsia"/>
          <w:color w:val="000000" w:themeColor="text1"/>
          <w:sz w:val="21"/>
          <w:szCs w:val="21"/>
          <w:highlight w:val="none"/>
          <w14:textFill>
            <w14:solidFill>
              <w14:schemeClr w14:val="tx1"/>
            </w14:solidFill>
          </w14:textFill>
        </w:rPr>
      </w:r>
      <w:r/>
    </w:p>
    <w:p>
      <w:pPr>
        <w:pStyle w:val="1462"/>
        <w:ind w:left="0"/>
        <w:spacing w:before="20"/>
        <w:rPr>
          <w:rFonts w:hint="eastAsia"/>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附件</w:t>
      </w:r>
      <w:r>
        <w:rPr>
          <w:rFonts w:hint="eastAsia"/>
          <w:color w:val="000000" w:themeColor="text1"/>
          <w:sz w:val="21"/>
          <w:szCs w:val="21"/>
          <w:highlight w:val="none"/>
          <w:lang w:val="en-US" w:eastAsia="zh-CN"/>
          <w14:textFill>
            <w14:solidFill>
              <w14:schemeClr w14:val="tx1"/>
            </w14:solidFill>
          </w14:textFill>
        </w:rPr>
        <w:t xml:space="preserve">五</w:t>
      </w:r>
      <w:r>
        <w:rPr>
          <w:rFonts w:hint="eastAsia"/>
          <w:color w:val="000000" w:themeColor="text1"/>
          <w:sz w:val="21"/>
          <w:szCs w:val="21"/>
          <w:highlight w:val="none"/>
          <w14:textFill>
            <w14:solidFill>
              <w14:schemeClr w14:val="tx1"/>
            </w14:solidFill>
          </w14:textFill>
        </w:rPr>
        <w:t xml:space="preserve">、残疾人福利性单位声明函格式</w:t>
      </w:r>
      <w:r/>
    </w:p>
    <w:p>
      <w:pPr>
        <w:pStyle w:val="1033"/>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p>
      <w:pPr>
        <w:pStyle w:val="1462"/>
        <w:ind w:left="0"/>
        <w:jc w:val="center"/>
        <w:spacing w:before="167"/>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残疾人福利性单位声明函</w:t>
      </w:r>
      <w:r/>
    </w:p>
    <w:p>
      <w:pPr>
        <w:pStyle w:val="1033"/>
        <w:spacing w:before="7"/>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p>
      <w:pPr>
        <w:pStyle w:val="1033"/>
        <w:ind w:right="617" w:firstLine="480"/>
        <w:spacing w:line="424" w:lineRule="auto"/>
        <w:tabs>
          <w:tab w:val="left" w:pos="3711" w:leader="none"/>
          <w:tab w:val="left" w:pos="5151"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本单位郑重声明</w:t>
      </w:r>
      <w:r>
        <w:rPr>
          <w:rFonts w:hint="eastAsia" w:ascii="宋体" w:hAnsi="宋体" w:cs="宋体"/>
          <w:color w:val="000000" w:themeColor="text1"/>
          <w:spacing w:val="-2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根</w:t>
      </w:r>
      <w:r>
        <w:rPr>
          <w:rFonts w:hint="eastAsia" w:ascii="宋体" w:hAnsi="宋体" w:cs="宋体"/>
          <w:color w:val="000000" w:themeColor="text1"/>
          <w:spacing w:val="-24"/>
          <w:sz w:val="21"/>
          <w:szCs w:val="21"/>
          <w:highlight w:val="none"/>
          <w14:textFill>
            <w14:solidFill>
              <w14:schemeClr w14:val="tx1"/>
            </w14:solidFill>
          </w14:textFill>
        </w:rPr>
        <w:t xml:space="preserve">据</w:t>
      </w:r>
      <w:r>
        <w:rPr>
          <w:rFonts w:hint="eastAsia" w:ascii="宋体" w:hAnsi="宋体" w:cs="宋体"/>
          <w:color w:val="000000" w:themeColor="text1"/>
          <w:sz w:val="21"/>
          <w:szCs w:val="21"/>
          <w:highlight w:val="none"/>
          <w14:textFill>
            <w14:solidFill>
              <w14:schemeClr w14:val="tx1"/>
            </w14:solidFill>
          </w14:textFill>
        </w:rPr>
        <w:t xml:space="preserve">《财政部 民政部 中国残疾人联合会关于促进残疾人就业</w:t>
      </w:r>
      <w:r>
        <w:rPr>
          <w:rFonts w:hint="eastAsia" w:ascii="宋体" w:hAnsi="宋体" w:cs="宋体"/>
          <w:color w:val="000000" w:themeColor="text1"/>
          <w:spacing w:val="-18"/>
          <w:sz w:val="21"/>
          <w:szCs w:val="21"/>
          <w:highlight w:val="none"/>
          <w14:textFill>
            <w14:solidFill>
              <w14:schemeClr w14:val="tx1"/>
            </w14:solidFill>
          </w14:textFill>
        </w:rPr>
        <w:t xml:space="preserve">政</w:t>
      </w:r>
      <w:r>
        <w:rPr>
          <w:rFonts w:hint="eastAsia" w:ascii="宋体" w:hAnsi="宋体" w:cs="宋体"/>
          <w:color w:val="000000" w:themeColor="text1"/>
          <w:sz w:val="21"/>
          <w:szCs w:val="21"/>
          <w:highlight w:val="none"/>
          <w14:textFill>
            <w14:solidFill>
              <w14:schemeClr w14:val="tx1"/>
            </w14:solidFill>
          </w14:textFill>
        </w:rPr>
        <w:t xml:space="preserve">府采购政策的通知</w:t>
      </w:r>
      <w:r>
        <w:rPr>
          <w:rFonts w:hint="eastAsia" w:ascii="宋体" w:hAnsi="宋体" w:cs="宋体"/>
          <w:color w:val="000000" w:themeColor="text1"/>
          <w:spacing w:val="-39"/>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（财</w:t>
      </w:r>
      <w:r>
        <w:rPr>
          <w:rFonts w:hint="eastAsia" w:ascii="宋体" w:hAnsi="宋体" w:cs="宋体"/>
          <w:color w:val="000000" w:themeColor="text1"/>
          <w:spacing w:val="-17"/>
          <w:sz w:val="21"/>
          <w:szCs w:val="21"/>
          <w:highlight w:val="none"/>
          <w14:textFill>
            <w14:solidFill>
              <w14:schemeClr w14:val="tx1"/>
            </w14:solidFill>
          </w14:textFill>
        </w:rPr>
        <w:t xml:space="preserve">库</w:t>
      </w:r>
      <w:r>
        <w:rPr>
          <w:rFonts w:hint="eastAsia" w:ascii="宋体" w:hAnsi="宋体" w:cs="宋体"/>
          <w:color w:val="000000" w:themeColor="text1"/>
          <w:sz w:val="21"/>
          <w:szCs w:val="21"/>
          <w:highlight w:val="none"/>
          <w14:textFill>
            <w14:solidFill>
              <w14:schemeClr w14:val="tx1"/>
            </w14:solidFill>
          </w14:textFill>
        </w:rPr>
        <w:t xml:space="preserve">〔2017〕141号</w:t>
      </w:r>
      <w:r>
        <w:rPr>
          <w:rFonts w:hint="eastAsia" w:ascii="宋体" w:hAnsi="宋体" w:cs="宋体"/>
          <w:color w:val="000000" w:themeColor="text1"/>
          <w:spacing w:val="-20"/>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的规定</w:t>
      </w:r>
      <w:r>
        <w:rPr>
          <w:rFonts w:hint="eastAsia" w:ascii="宋体" w:hAnsi="宋体" w:cs="宋体"/>
          <w:color w:val="000000" w:themeColor="text1"/>
          <w:spacing w:val="-1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本单位为符合条件的残疾人福</w:t>
      </w:r>
      <w:r>
        <w:rPr>
          <w:rFonts w:hint="eastAsia" w:ascii="宋体" w:hAnsi="宋体" w:cs="宋体"/>
          <w:color w:val="000000" w:themeColor="text1"/>
          <w:spacing w:val="-16"/>
          <w:sz w:val="21"/>
          <w:szCs w:val="21"/>
          <w:highlight w:val="none"/>
          <w14:textFill>
            <w14:solidFill>
              <w14:schemeClr w14:val="tx1"/>
            </w14:solidFill>
          </w14:textFill>
        </w:rPr>
        <w:t xml:space="preserve">利</w:t>
      </w:r>
      <w:r>
        <w:rPr>
          <w:rFonts w:hint="eastAsia" w:ascii="宋体" w:hAnsi="宋体" w:cs="宋体"/>
          <w:color w:val="000000" w:themeColor="text1"/>
          <w:sz w:val="21"/>
          <w:szCs w:val="21"/>
          <w:highlight w:val="none"/>
          <w14:textFill>
            <w14:solidFill>
              <w14:schemeClr w14:val="tx1"/>
            </w14:solidFill>
          </w14:textFill>
        </w:rPr>
        <w:t xml:space="preserve">性单位</w:t>
      </w:r>
      <w:r>
        <w:rPr>
          <w:rFonts w:hint="eastAsia" w:ascii="宋体" w:hAnsi="宋体" w:cs="宋体"/>
          <w:color w:val="000000" w:themeColor="text1"/>
          <w:spacing w:val="-2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且本单位参加</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14:textFill>
            <w14:solidFill>
              <w14:schemeClr w14:val="tx1"/>
            </w14:solidFill>
          </w14:textFill>
        </w:rPr>
        <w:t xml:space="preserve">单位的</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14:textFill>
            <w14:solidFill>
              <w14:schemeClr w14:val="tx1"/>
            </w14:solidFill>
          </w14:textFill>
        </w:rPr>
        <w:t xml:space="preserve">项目采购活动提供本单位制造的货</w:t>
      </w:r>
      <w:r>
        <w:rPr>
          <w:rFonts w:hint="eastAsia" w:ascii="宋体" w:hAnsi="宋体" w:cs="宋体"/>
          <w:color w:val="000000" w:themeColor="text1"/>
          <w:spacing w:val="-24"/>
          <w:sz w:val="21"/>
          <w:szCs w:val="21"/>
          <w:highlight w:val="none"/>
          <w14:textFill>
            <w14:solidFill>
              <w14:schemeClr w14:val="tx1"/>
            </w14:solidFill>
          </w14:textFill>
        </w:rPr>
        <w:t xml:space="preserve">物</w:t>
      </w:r>
      <w:r>
        <w:rPr>
          <w:rFonts w:hint="eastAsia" w:ascii="宋体" w:hAnsi="宋体" w:cs="宋体"/>
          <w:color w:val="000000" w:themeColor="text1"/>
          <w:sz w:val="21"/>
          <w:szCs w:val="21"/>
          <w:highlight w:val="none"/>
          <w14:textFill>
            <w14:solidFill>
              <w14:schemeClr w14:val="tx1"/>
            </w14:solidFill>
          </w14:textFill>
        </w:rPr>
        <w:t xml:space="preserve">（由</w:t>
      </w:r>
      <w:r>
        <w:rPr>
          <w:rFonts w:hint="eastAsia" w:ascii="宋体" w:hAnsi="宋体" w:cs="宋体"/>
          <w:color w:val="000000" w:themeColor="text1"/>
          <w:spacing w:val="-18"/>
          <w:sz w:val="21"/>
          <w:szCs w:val="21"/>
          <w:highlight w:val="none"/>
          <w14:textFill>
            <w14:solidFill>
              <w14:schemeClr w14:val="tx1"/>
            </w14:solidFill>
          </w14:textFill>
        </w:rPr>
        <w:t xml:space="preserve">本</w:t>
      </w:r>
      <w:r>
        <w:rPr>
          <w:rFonts w:hint="eastAsia" w:ascii="宋体" w:hAnsi="宋体" w:cs="宋体"/>
          <w:color w:val="000000" w:themeColor="text1"/>
          <w:sz w:val="21"/>
          <w:szCs w:val="21"/>
          <w:highlight w:val="none"/>
          <w14:textFill>
            <w14:solidFill>
              <w14:schemeClr w14:val="tx1"/>
            </w14:solidFill>
          </w14:textFill>
        </w:rPr>
        <w:t xml:space="preserve">单位承担工程/提供服务），或者提供其他残疾人福利性单位制造的货物（不包括使用非残疾人福利性单位注册商标的货物）。</w:t>
      </w:r>
      <w:r/>
    </w:p>
    <w:p>
      <w:pPr>
        <w:pStyle w:val="1033"/>
        <w:ind w:left="1098"/>
        <w:spacing w:before="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33"/>
        <w:ind w:right="2725"/>
        <w:spacing w:line="422" w:lineRule="auto"/>
        <w:tabs>
          <w:tab w:val="left" w:pos="7098" w:leader="none"/>
        </w:tabs>
        <w:rPr>
          <w:rFonts w:ascii="宋体" w:hAnsi="宋体" w:cs="宋体"/>
          <w:color w:val="000000" w:themeColor="text1"/>
          <w:spacing w:val="-9"/>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单位名称（</w:t>
      </w:r>
      <w:r>
        <w:rPr>
          <w:rFonts w:hint="eastAsia" w:ascii="宋体" w:hAnsi="宋体" w:cs="宋体"/>
          <w:color w:val="000000" w:themeColor="text1"/>
          <w:sz w:val="21"/>
          <w:szCs w:val="18"/>
          <w:highlight w:val="none"/>
          <w:lang w:val="en-US" w:eastAsia="zh-CN"/>
          <w14:textFill>
            <w14:solidFill>
              <w14:schemeClr w14:val="tx1"/>
            </w14:solidFill>
          </w14:textFill>
        </w:rPr>
        <w:t xml:space="preserve">加盖CA电子公章</w:t>
      </w:r>
      <w:r>
        <w:rPr>
          <w:rFonts w:hint="eastAsia" w:ascii="宋体" w:hAnsi="宋体" w:cs="宋体"/>
          <w:color w:val="000000" w:themeColor="text1"/>
          <w:spacing w:val="-9"/>
          <w:sz w:val="21"/>
          <w:szCs w:val="21"/>
          <w:highlight w:val="none"/>
          <w14:textFill>
            <w14:solidFill>
              <w14:schemeClr w14:val="tx1"/>
            </w14:solidFill>
          </w14:textFill>
        </w:rPr>
        <w:t xml:space="preserve">）：</w:t>
      </w:r>
      <w:r/>
    </w:p>
    <w:p>
      <w:pPr>
        <w:pStyle w:val="1033"/>
        <w:ind w:right="2725"/>
        <w:spacing w:line="422" w:lineRule="auto"/>
        <w:tabs>
          <w:tab w:val="left" w:pos="7098" w:leader="none"/>
        </w:tabs>
        <w:rPr>
          <w:rFonts w:ascii="宋体" w:hAnsi="宋体" w:cs="宋体"/>
          <w:color w:val="000000" w:themeColor="text1"/>
          <w:spacing w:val="-17"/>
          <w:sz w:val="21"/>
          <w:szCs w:val="21"/>
          <w:highlight w:val="none"/>
          <w14:textFill>
            <w14:solidFill>
              <w14:schemeClr w14:val="tx1"/>
            </w14:solidFill>
          </w14:textFill>
        </w:rPr>
      </w:pPr>
      <w:r>
        <w:rPr>
          <w:rFonts w:hint="eastAsia" w:ascii="宋体" w:hAnsi="宋体" w:cs="宋体"/>
          <w:color w:val="000000" w:themeColor="text1"/>
          <w:spacing w:val="-9"/>
          <w:sz w:val="21"/>
          <w:szCs w:val="21"/>
          <w:highlight w:val="none"/>
          <w14:textFill>
            <w14:solidFill>
              <w14:schemeClr w14:val="tx1"/>
            </w14:solidFill>
          </w14:textFill>
        </w:rPr>
        <w:t xml:space="preserve">日</w:t>
      </w:r>
      <w:r>
        <w:rPr>
          <w:rFonts w:hint="eastAsia" w:ascii="宋体" w:hAnsi="宋体" w:cs="宋体"/>
          <w:color w:val="000000" w:themeColor="text1"/>
          <w:sz w:val="21"/>
          <w:szCs w:val="21"/>
          <w:highlight w:val="none"/>
          <w14:textFill>
            <w14:solidFill>
              <w14:schemeClr w14:val="tx1"/>
            </w14:solidFill>
          </w14:textFill>
        </w:rPr>
        <w:t xml:space="preserve">期</w:t>
      </w:r>
      <w:r>
        <w:rPr>
          <w:rFonts w:hint="eastAsia" w:ascii="宋体" w:hAnsi="宋体" w:cs="宋体"/>
          <w:color w:val="000000" w:themeColor="text1"/>
          <w:spacing w:val="-17"/>
          <w:sz w:val="21"/>
          <w:szCs w:val="21"/>
          <w:highlight w:val="none"/>
          <w14:textFill>
            <w14:solidFill>
              <w14:schemeClr w14:val="tx1"/>
            </w14:solidFill>
          </w14:textFill>
        </w:rPr>
        <w:t xml:space="preserve">：</w:t>
      </w:r>
      <w:r/>
    </w:p>
    <w:p>
      <w:pPr>
        <w:pStyle w:val="1033"/>
        <w:ind w:right="2725"/>
        <w:spacing w:line="422" w:lineRule="auto"/>
        <w:tabs>
          <w:tab w:val="left" w:pos="7098" w:leader="none"/>
        </w:tabs>
        <w:rPr>
          <w:rFonts w:ascii="宋体" w:hAnsi="宋体" w:cs="宋体"/>
          <w:color w:val="000000" w:themeColor="text1"/>
          <w:spacing w:val="-17"/>
          <w:sz w:val="21"/>
          <w:szCs w:val="21"/>
          <w:highlight w:val="none"/>
          <w14:textFill>
            <w14:solidFill>
              <w14:schemeClr w14:val="tx1"/>
            </w14:solidFill>
          </w14:textFill>
        </w:rPr>
      </w:pPr>
      <w:r>
        <w:rPr>
          <w:rFonts w:ascii="宋体" w:hAnsi="宋体" w:cs="宋体"/>
          <w:color w:val="000000" w:themeColor="text1"/>
          <w:spacing w:val="-17"/>
          <w:sz w:val="21"/>
          <w:szCs w:val="21"/>
          <w:highlight w:val="none"/>
          <w14:textFill>
            <w14:solidFill>
              <w14:schemeClr w14:val="tx1"/>
            </w14:solidFill>
          </w14:textFill>
        </w:rPr>
      </w:r>
      <w:r/>
    </w:p>
    <w:p>
      <w:pPr>
        <w:pStyle w:val="1462"/>
        <w:ind w:left="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附件</w:t>
      </w:r>
      <w:r>
        <w:rPr>
          <w:rFonts w:hint="eastAsia"/>
          <w:color w:val="000000" w:themeColor="text1"/>
          <w:sz w:val="21"/>
          <w:szCs w:val="21"/>
          <w:highlight w:val="none"/>
          <w:lang w:val="en-US" w:eastAsia="zh-CN"/>
          <w14:textFill>
            <w14:solidFill>
              <w14:schemeClr w14:val="tx1"/>
            </w14:solidFill>
          </w14:textFill>
        </w:rPr>
        <w:t xml:space="preserve">六</w:t>
      </w:r>
      <w:r>
        <w:rPr>
          <w:rFonts w:hint="eastAsia"/>
          <w:color w:val="000000" w:themeColor="text1"/>
          <w:sz w:val="21"/>
          <w:szCs w:val="21"/>
          <w:highlight w:val="none"/>
          <w14:textFill>
            <w14:solidFill>
              <w14:schemeClr w14:val="tx1"/>
            </w14:solidFill>
          </w14:textFill>
        </w:rPr>
        <w:t xml:space="preserve">、属于监狱企业的证明文件</w:t>
      </w:r>
      <w:r/>
    </w:p>
    <w:p>
      <w:pPr>
        <w:pStyle w:val="1033"/>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p>
      <w:pPr>
        <w:jc w:val="left"/>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提供由省级以上监狱管理局、戒毒管理局(含新疆生产建设兵团)出具的属于监狱企业的证明文件。</w:t>
      </w:r>
      <w:r/>
    </w:p>
    <w:sectPr>
      <w:footerReference w:type="default" r:id="rId15"/>
      <w:footnotePr/>
      <w:endnotePr/>
      <w:type w:val="nextPage"/>
      <w:pgSz w:w="11906" w:h="16838" w:orient="portrait"/>
      <w:pgMar w:top="850" w:right="850" w:bottom="85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NLe">
    <w:panose1 w:val="020B0503020202020204"/>
  </w:font>
  <w:font w:name="仿宋">
    <w:panose1 w:val="02010609060101010101"/>
  </w:font>
  <w:font w:name="Arial Unicode MS">
    <w:panose1 w:val="020B0604020202020204"/>
  </w:font>
  <w:font w:name="Wingdings 2">
    <w:panose1 w:val="05020102010507070707"/>
  </w:font>
  <w:font w:name="方正小标宋_GBK">
    <w:panose1 w:val="020B0503020202020204"/>
  </w:font>
  <w:font w:name="华文楷体">
    <w:panose1 w:val="02010600040101010101"/>
  </w:font>
  <w:font w:name="华文细黑">
    <w:panose1 w:val="02010600040101010101"/>
  </w:font>
  <w:font w:name="汉仪大黑简">
    <w:panose1 w:val="020B0503020202020204"/>
  </w:font>
  <w:font w:name="楷体_GB2312">
    <w:panose1 w:val="0201060906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Ari">
    <w:panose1 w:val="020B060602020203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4"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5035" cy="147955"/>
                      </a:xfrm>
                      <a:prstGeom prst="rect">
                        <a:avLst/>
                      </a:prstGeom>
                      <a:noFill/>
                      <a:ln>
                        <a:noFill/>
                      </a:ln>
                      <a:effectLst/>
                    </wps:spPr>
                    <wps:txbx>
                      <w:txbxContent>
                        <w:p>
                          <w:pPr>
                            <w:pStyle w:val="1056"/>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text-anchor:top;visibility:visible;" filled="f" stroked="f">
              <v:textbox inset="0,0,0,0">
                <w:txbxContent>
                  <w:p>
                    <w:pPr>
                      <w:pStyle w:val="1056"/>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5"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1056"/>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wrap="none" lIns="0" tIns="0" rIns="0" bIns="0">
                      <a:spAutoFit/>
                    </wps:bodyPr>
                  </wps:wsp>
                </a:graphicData>
              </a:graphic>
            </wp:anchor>
          </w:drawing>
        </mc:Choice>
        <mc:Fallback>
          <w:pict>
            <v:shape id="shape 4" o:spid="_x0000_s4" o:spt="1" type="#_x0000_t1"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1056"/>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2185" cy="147955"/>
              <wp:effectExtent l="0" t="0" r="0" b="0"/>
              <wp:wrapNone/>
              <wp:docPr id="6"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1056"/>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5" o:spid="_x0000_s5" o:spt="1" type="#_x0000_t1" style="position:absolute;z-index:251662336;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1056"/>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7"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1056"/>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1056"/>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both"/>
      <w:pBdr>
        <w:bottom w:val="none" w:color="auto" w:sz="0" w:space="1"/>
      </w:pBdr>
    </w:pPr>
    <w:r>
      <mc:AlternateContent>
        <mc:Choice Requires="wpg">
          <w:drawing>
            <wp:inline xmlns:wp="http://schemas.openxmlformats.org/drawingml/2006/wordprocessingDrawing" distT="0" distB="0" distL="0" distR="0">
              <wp:extent cx="1378585" cy="239395"/>
              <wp:effectExtent l="0" t="0" r="5715" b="1905"/>
              <wp:docPr id="1"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826bae80687e3a7b3b8bc243736336"/>
                      <pic:cNvPicPr>
                        <a:picLocks noChangeAspect="1"/>
                      </pic:cNvPicPr>
                      <pic:nvPr/>
                    </pic:nvPicPr>
                    <pic:blipFill>
                      <a:blip r:embed="rId1"/>
                      <a:stretch/>
                    </pic:blipFill>
                    <pic:spPr bwMode="auto">
                      <a:xfrm>
                        <a:off x="0" y="0"/>
                        <a:ext cx="1378585"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left"/>
      <w:pBdr>
        <w:bottom w:val="none" w:color="auto" w:sz="0" w:space="1"/>
      </w:pBdr>
    </w:pPr>
    <w:r>
      <mc:AlternateContent>
        <mc:Choice Requires="wpg">
          <w:drawing>
            <wp:inline xmlns:wp="http://schemas.openxmlformats.org/drawingml/2006/wordprocessingDrawing" distT="0" distB="0" distL="0" distR="0">
              <wp:extent cx="1371600" cy="239395"/>
              <wp:effectExtent l="0" t="0" r="0" b="0"/>
              <wp:docPr id="2"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c826bae80687e3a7b3b8bc243736336"/>
                      <pic:cNvPicPr>
                        <a:picLocks noChangeAspect="1"/>
                      </pic:cNvPicPr>
                      <pic:nvPr/>
                    </pic:nvPicPr>
                    <pic:blipFill>
                      <a:blip r:embed="rId1"/>
                      <a:stretch/>
                    </pic:blipFill>
                    <pic:spPr bwMode="auto">
                      <a:xfrm>
                        <a:off x="0" y="0"/>
                        <a:ext cx="1371600"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0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left"/>
      <w:pBdr>
        <w:bottom w:val="none" w:color="auto" w:sz="0" w:space="1"/>
      </w:pBdr>
    </w:pPr>
    <w:r>
      <mc:AlternateContent>
        <mc:Choice Requires="wpg">
          <w:drawing>
            <wp:inline xmlns:wp="http://schemas.openxmlformats.org/drawingml/2006/wordprocessingDrawing" distT="0" distB="0" distL="0" distR="0">
              <wp:extent cx="1371600" cy="239395"/>
              <wp:effectExtent l="0" t="0" r="0" b="0"/>
              <wp:docPr id="3"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826bae80687e3a7b3b8bc243736336"/>
                      <pic:cNvPicPr>
                        <a:picLocks noChangeAspect="1"/>
                      </pic:cNvPicPr>
                      <pic:nvPr/>
                    </pic:nvPicPr>
                    <pic:blipFill>
                      <a:blip r:embed="rId1"/>
                      <a:stretch/>
                    </pic:blipFill>
                    <pic:spPr bwMode="auto">
                      <a:xfrm>
                        <a:off x="0" y="0"/>
                        <a:ext cx="1371600"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0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478"/>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japaneseCounting"/>
      <w:isLgl w:val="false"/>
      <w:suff w:val="tab"/>
      <w:lvlText w:val="%1、"/>
      <w:lvlJc w:val="left"/>
      <w:pPr>
        <w:ind w:left="2138" w:hanging="720"/>
        <w:tabs>
          <w:tab w:val="left" w:pos="2138"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5">
    <w:name w:val="Heading 1 Char"/>
    <w:basedOn w:val="1031"/>
    <w:link w:val="1022"/>
    <w:uiPriority w:val="9"/>
    <w:rPr>
      <w:rFonts w:ascii="Arial" w:hAnsi="Arial" w:eastAsia="Arial" w:cs="Arial"/>
      <w:sz w:val="40"/>
      <w:szCs w:val="40"/>
    </w:rPr>
  </w:style>
  <w:style w:type="character" w:styleId="876">
    <w:name w:val="Heading 2 Char"/>
    <w:basedOn w:val="1031"/>
    <w:link w:val="1023"/>
    <w:uiPriority w:val="9"/>
    <w:rPr>
      <w:rFonts w:ascii="Arial" w:hAnsi="Arial" w:eastAsia="Arial" w:cs="Arial"/>
      <w:sz w:val="34"/>
    </w:rPr>
  </w:style>
  <w:style w:type="character" w:styleId="877">
    <w:name w:val="Heading 3 Char"/>
    <w:basedOn w:val="1031"/>
    <w:link w:val="1024"/>
    <w:uiPriority w:val="9"/>
    <w:rPr>
      <w:rFonts w:ascii="Arial" w:hAnsi="Arial" w:eastAsia="Arial" w:cs="Arial"/>
      <w:sz w:val="30"/>
      <w:szCs w:val="30"/>
    </w:rPr>
  </w:style>
  <w:style w:type="character" w:styleId="878">
    <w:name w:val="Heading 4 Char"/>
    <w:basedOn w:val="1031"/>
    <w:link w:val="1025"/>
    <w:uiPriority w:val="9"/>
    <w:rPr>
      <w:rFonts w:ascii="Arial" w:hAnsi="Arial" w:eastAsia="Arial" w:cs="Arial"/>
      <w:b/>
      <w:bCs/>
      <w:sz w:val="26"/>
      <w:szCs w:val="26"/>
    </w:rPr>
  </w:style>
  <w:style w:type="character" w:styleId="879">
    <w:name w:val="Heading 5 Char"/>
    <w:basedOn w:val="1031"/>
    <w:link w:val="1026"/>
    <w:uiPriority w:val="9"/>
    <w:rPr>
      <w:rFonts w:ascii="Arial" w:hAnsi="Arial" w:eastAsia="Arial" w:cs="Arial"/>
      <w:b/>
      <w:bCs/>
      <w:sz w:val="24"/>
      <w:szCs w:val="24"/>
    </w:rPr>
  </w:style>
  <w:style w:type="character" w:styleId="880">
    <w:name w:val="Heading 6 Char"/>
    <w:basedOn w:val="1031"/>
    <w:link w:val="1027"/>
    <w:uiPriority w:val="9"/>
    <w:rPr>
      <w:rFonts w:ascii="Arial" w:hAnsi="Arial" w:eastAsia="Arial" w:cs="Arial"/>
      <w:b/>
      <w:bCs/>
      <w:sz w:val="22"/>
      <w:szCs w:val="22"/>
    </w:rPr>
  </w:style>
  <w:style w:type="character" w:styleId="881">
    <w:name w:val="Heading 7 Char"/>
    <w:basedOn w:val="1031"/>
    <w:link w:val="1028"/>
    <w:uiPriority w:val="9"/>
    <w:rPr>
      <w:rFonts w:ascii="Arial" w:hAnsi="Arial" w:eastAsia="Arial" w:cs="Arial"/>
      <w:b/>
      <w:bCs/>
      <w:i/>
      <w:iCs/>
      <w:sz w:val="22"/>
      <w:szCs w:val="22"/>
    </w:rPr>
  </w:style>
  <w:style w:type="character" w:styleId="882">
    <w:name w:val="Heading 8 Char"/>
    <w:basedOn w:val="1031"/>
    <w:link w:val="1029"/>
    <w:uiPriority w:val="9"/>
    <w:rPr>
      <w:rFonts w:ascii="Arial" w:hAnsi="Arial" w:eastAsia="Arial" w:cs="Arial"/>
      <w:i/>
      <w:iCs/>
      <w:sz w:val="22"/>
      <w:szCs w:val="22"/>
    </w:rPr>
  </w:style>
  <w:style w:type="character" w:styleId="883">
    <w:name w:val="Heading 9 Char"/>
    <w:basedOn w:val="1031"/>
    <w:link w:val="1030"/>
    <w:uiPriority w:val="9"/>
    <w:rPr>
      <w:rFonts w:ascii="Arial" w:hAnsi="Arial" w:eastAsia="Arial" w:cs="Arial"/>
      <w:i/>
      <w:iCs/>
      <w:sz w:val="21"/>
      <w:szCs w:val="21"/>
    </w:rPr>
  </w:style>
  <w:style w:type="paragraph" w:styleId="884">
    <w:name w:val="No Spacing"/>
    <w:uiPriority w:val="1"/>
    <w:qFormat/>
    <w:pPr>
      <w:spacing w:before="0" w:after="0" w:line="240" w:lineRule="auto"/>
    </w:pPr>
  </w:style>
  <w:style w:type="character" w:styleId="885">
    <w:name w:val="Title Char"/>
    <w:basedOn w:val="1031"/>
    <w:link w:val="1075"/>
    <w:uiPriority w:val="10"/>
    <w:rPr>
      <w:sz w:val="48"/>
      <w:szCs w:val="48"/>
    </w:rPr>
  </w:style>
  <w:style w:type="character" w:styleId="886">
    <w:name w:val="Subtitle Char"/>
    <w:basedOn w:val="1031"/>
    <w:link w:val="1063"/>
    <w:uiPriority w:val="11"/>
    <w:rPr>
      <w:sz w:val="24"/>
      <w:szCs w:val="24"/>
    </w:rPr>
  </w:style>
  <w:style w:type="paragraph" w:styleId="887">
    <w:name w:val="Quote"/>
    <w:basedOn w:val="1021"/>
    <w:next w:val="1021"/>
    <w:link w:val="1183"/>
    <w:uiPriority w:val="29"/>
    <w:qFormat/>
    <w:pPr>
      <w:ind w:left="720" w:right="720"/>
    </w:pPr>
    <w:rPr>
      <w:i/>
    </w:rPr>
  </w:style>
  <w:style w:type="paragraph" w:styleId="888">
    <w:name w:val="Intense Quote"/>
    <w:basedOn w:val="1021"/>
    <w:next w:val="1021"/>
    <w:link w:val="11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name w:val="Header Char"/>
    <w:basedOn w:val="1031"/>
    <w:link w:val="1057"/>
    <w:uiPriority w:val="99"/>
  </w:style>
  <w:style w:type="character" w:styleId="890">
    <w:name w:val="Footer Char"/>
    <w:basedOn w:val="1031"/>
    <w:link w:val="1056"/>
    <w:uiPriority w:val="99"/>
  </w:style>
  <w:style w:type="paragraph" w:styleId="891">
    <w:name w:val="Caption"/>
    <w:basedOn w:val="1021"/>
    <w:next w:val="1021"/>
    <w:uiPriority w:val="35"/>
    <w:semiHidden/>
    <w:unhideWhenUsed/>
    <w:qFormat/>
    <w:pPr>
      <w:spacing w:line="276" w:lineRule="auto"/>
    </w:pPr>
    <w:rPr>
      <w:b/>
      <w:bCs/>
      <w:color w:val="4f81bd" w:themeColor="accent1"/>
      <w:sz w:val="18"/>
      <w:szCs w:val="18"/>
    </w:rPr>
  </w:style>
  <w:style w:type="character" w:styleId="892">
    <w:name w:val="Caption Char"/>
    <w:basedOn w:val="891"/>
    <w:link w:val="1056"/>
    <w:uiPriority w:val="99"/>
  </w:style>
  <w:style w:type="table" w:styleId="893">
    <w:name w:val="Table Grid Light"/>
    <w:basedOn w:val="10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4">
    <w:name w:val="Plain Table 1"/>
    <w:basedOn w:val="10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2"/>
    <w:basedOn w:val="10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3"/>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name w:val="Plain Table 4"/>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name w:val="Plain Table 5"/>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9">
    <w:name w:val="Grid Table 1 Light"/>
    <w:basedOn w:val="10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0">
    <w:name w:val="Grid Table 1 Light - Accent 1"/>
    <w:basedOn w:val="10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1">
    <w:name w:val="Grid Table 1 Light - Accent 2"/>
    <w:basedOn w:val="10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2">
    <w:name w:val="Grid Table 1 Light - Accent 3"/>
    <w:basedOn w:val="10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3">
    <w:name w:val="Grid Table 1 Light - Accent 4"/>
    <w:basedOn w:val="10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4">
    <w:name w:val="Grid Table 1 Light - Accent 5"/>
    <w:basedOn w:val="10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5">
    <w:name w:val="Grid Table 1 Light - Accent 6"/>
    <w:basedOn w:val="10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6">
    <w:name w:val="Grid Table 2"/>
    <w:basedOn w:val="10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7">
    <w:name w:val="Grid Table 2 - Accent 1"/>
    <w:basedOn w:val="10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8">
    <w:name w:val="Grid Table 2 - Accent 2"/>
    <w:basedOn w:val="10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2 - Accent 3"/>
    <w:basedOn w:val="10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2 - Accent 4"/>
    <w:basedOn w:val="10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2 - Accent 5"/>
    <w:basedOn w:val="10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2">
    <w:name w:val="Grid Table 2 - Accent 6"/>
    <w:basedOn w:val="10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3">
    <w:name w:val="Grid Table 3"/>
    <w:basedOn w:val="10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1"/>
    <w:basedOn w:val="10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2"/>
    <w:basedOn w:val="10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3"/>
    <w:basedOn w:val="10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4"/>
    <w:basedOn w:val="10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5"/>
    <w:basedOn w:val="10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6"/>
    <w:basedOn w:val="10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4"/>
    <w:basedOn w:val="10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name w:val="Grid Table 4 - Accent 1"/>
    <w:basedOn w:val="10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2">
    <w:name w:val="Grid Table 4 - Accent 2"/>
    <w:basedOn w:val="10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3">
    <w:name w:val="Grid Table 4 - Accent 3"/>
    <w:basedOn w:val="10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4">
    <w:name w:val="Grid Table 4 - Accent 4"/>
    <w:basedOn w:val="10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5">
    <w:name w:val="Grid Table 4 - Accent 5"/>
    <w:basedOn w:val="10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6">
    <w:name w:val="Grid Table 4 - Accent 6"/>
    <w:basedOn w:val="10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7">
    <w:name w:val="Grid Table 5 Dark"/>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8">
    <w:name w:val="Grid Table 5 Dark- Accent 1"/>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9">
    <w:name w:val="Grid Table 5 Dark - Accent 2"/>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0">
    <w:name w:val="Grid Table 5 Dark - Accent 3"/>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1">
    <w:name w:val="Grid Table 5 Dark- Accent 4"/>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2">
    <w:name w:val="Grid Table 5 Dark - Accent 5"/>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3">
    <w:name w:val="Grid Table 5 Dark - Accent 6"/>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4">
    <w:name w:val="Grid Table 6 Colorful"/>
    <w:basedOn w:val="10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5">
    <w:name w:val="Grid Table 6 Colorful - Accent 1"/>
    <w:basedOn w:val="10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6">
    <w:name w:val="Grid Table 6 Colorful - Accent 2"/>
    <w:basedOn w:val="10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7">
    <w:name w:val="Grid Table 6 Colorful - Accent 3"/>
    <w:basedOn w:val="10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8">
    <w:name w:val="Grid Table 6 Colorful - Accent 4"/>
    <w:basedOn w:val="10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9">
    <w:name w:val="Grid Table 6 Colorful - Accent 5"/>
    <w:basedOn w:val="10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6 Colorful - Accent 6"/>
    <w:basedOn w:val="10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7 Colorful"/>
    <w:basedOn w:val="10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2">
    <w:name w:val="Grid Table 7 Colorful - Accent 1"/>
    <w:basedOn w:val="10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3">
    <w:name w:val="Grid Table 7 Colorful - Accent 2"/>
    <w:basedOn w:val="10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7 Colorful - Accent 3"/>
    <w:basedOn w:val="10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7 Colorful - Accent 4"/>
    <w:basedOn w:val="10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7 Colorful - Accent 5"/>
    <w:basedOn w:val="10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7">
    <w:name w:val="Grid Table 7 Colorful - Accent 6"/>
    <w:basedOn w:val="10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8">
    <w:name w:val="List Table 1 Light"/>
    <w:basedOn w:val="10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name w:val="List Table 1 Light - Accent 1"/>
    <w:basedOn w:val="10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0">
    <w:name w:val="List Table 1 Light - Accent 2"/>
    <w:basedOn w:val="10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1">
    <w:name w:val="List Table 1 Light - Accent 3"/>
    <w:basedOn w:val="10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2">
    <w:name w:val="List Table 1 Light - Accent 4"/>
    <w:basedOn w:val="10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3">
    <w:name w:val="List Table 1 Light - Accent 5"/>
    <w:basedOn w:val="10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4">
    <w:name w:val="List Table 1 Light - Accent 6"/>
    <w:basedOn w:val="10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5">
    <w:name w:val="List Table 2"/>
    <w:basedOn w:val="10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6">
    <w:name w:val="List Table 2 - Accent 1"/>
    <w:basedOn w:val="10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7">
    <w:name w:val="List Table 2 - Accent 2"/>
    <w:basedOn w:val="10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8">
    <w:name w:val="List Table 2 - Accent 3"/>
    <w:basedOn w:val="10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9">
    <w:name w:val="List Table 2 - Accent 4"/>
    <w:basedOn w:val="10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0">
    <w:name w:val="List Table 2 - Accent 5"/>
    <w:basedOn w:val="10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1">
    <w:name w:val="List Table 2 - Accent 6"/>
    <w:basedOn w:val="10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2">
    <w:name w:val="List Table 3"/>
    <w:basedOn w:val="10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3 - Accent 1"/>
    <w:basedOn w:val="10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4">
    <w:name w:val="List Table 3 - Accent 2"/>
    <w:basedOn w:val="10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5">
    <w:name w:val="List Table 3 - Accent 3"/>
    <w:basedOn w:val="10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6">
    <w:name w:val="List Table 3 - Accent 4"/>
    <w:basedOn w:val="10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7">
    <w:name w:val="List Table 3 - Accent 5"/>
    <w:basedOn w:val="10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8">
    <w:name w:val="List Table 3 - Accent 6"/>
    <w:basedOn w:val="10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9">
    <w:name w:val="List Table 4"/>
    <w:basedOn w:val="10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0">
    <w:name w:val="List Table 4 - Accent 1"/>
    <w:basedOn w:val="10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1">
    <w:name w:val="List Table 4 - Accent 2"/>
    <w:basedOn w:val="10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2">
    <w:name w:val="List Table 4 - Accent 3"/>
    <w:basedOn w:val="10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3">
    <w:name w:val="List Table 4 - Accent 4"/>
    <w:basedOn w:val="10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4">
    <w:name w:val="List Table 4 - Accent 5"/>
    <w:basedOn w:val="10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5">
    <w:name w:val="List Table 4 - Accent 6"/>
    <w:basedOn w:val="10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6">
    <w:name w:val="List Table 5 Dark"/>
    <w:basedOn w:val="10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1"/>
    <w:basedOn w:val="10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2"/>
    <w:basedOn w:val="10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3"/>
    <w:basedOn w:val="10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4"/>
    <w:basedOn w:val="10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5"/>
    <w:basedOn w:val="10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6"/>
    <w:basedOn w:val="10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6 Colorful"/>
    <w:basedOn w:val="10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4">
    <w:name w:val="List Table 6 Colorful - Accent 1"/>
    <w:basedOn w:val="10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5">
    <w:name w:val="List Table 6 Colorful - Accent 2"/>
    <w:basedOn w:val="10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6">
    <w:name w:val="List Table 6 Colorful - Accent 3"/>
    <w:basedOn w:val="10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7">
    <w:name w:val="List Table 6 Colorful - Accent 4"/>
    <w:basedOn w:val="10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8">
    <w:name w:val="List Table 6 Colorful - Accent 5"/>
    <w:basedOn w:val="10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9">
    <w:name w:val="List Table 6 Colorful - Accent 6"/>
    <w:basedOn w:val="10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0">
    <w:name w:val="List Table 7 Colorful"/>
    <w:basedOn w:val="10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1">
    <w:name w:val="List Table 7 Colorful - Accent 1"/>
    <w:basedOn w:val="10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2">
    <w:name w:val="List Table 7 Colorful - Accent 2"/>
    <w:basedOn w:val="10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3">
    <w:name w:val="List Table 7 Colorful - Accent 3"/>
    <w:basedOn w:val="10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4">
    <w:name w:val="List Table 7 Colorful - Accent 4"/>
    <w:basedOn w:val="10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5">
    <w:name w:val="List Table 7 Colorful - Accent 5"/>
    <w:basedOn w:val="10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6">
    <w:name w:val="List Table 7 Colorful - Accent 6"/>
    <w:basedOn w:val="10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7">
    <w:name w:val="Lined - Accent"/>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Lined - Accent 1"/>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9">
    <w:name w:val="Lined - Accent 2"/>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0">
    <w:name w:val="Lined - Accent 3"/>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1">
    <w:name w:val="Lined - Accent 4"/>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2">
    <w:name w:val="Lined - Accent 5"/>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3">
    <w:name w:val="Lined - Accent 6"/>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4">
    <w:name w:val="Bordered &amp; Lined - Accent"/>
    <w:basedOn w:val="10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5">
    <w:name w:val="Bordered &amp; Lined - Accent 1"/>
    <w:basedOn w:val="10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6">
    <w:name w:val="Bordered &amp; Lined - Accent 2"/>
    <w:basedOn w:val="10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7">
    <w:name w:val="Bordered &amp; Lined - Accent 3"/>
    <w:basedOn w:val="10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8">
    <w:name w:val="Bordered &amp; Lined - Accent 4"/>
    <w:basedOn w:val="10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9">
    <w:name w:val="Bordered &amp; Lined - Accent 5"/>
    <w:basedOn w:val="10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0">
    <w:name w:val="Bordered &amp; Lined - Accent 6"/>
    <w:basedOn w:val="10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1">
    <w:name w:val="Bordered"/>
    <w:basedOn w:val="10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2">
    <w:name w:val="Bordered - Accent 1"/>
    <w:basedOn w:val="10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3">
    <w:name w:val="Bordered - Accent 2"/>
    <w:basedOn w:val="10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4">
    <w:name w:val="Bordered - Accent 3"/>
    <w:basedOn w:val="10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5">
    <w:name w:val="Bordered - Accent 4"/>
    <w:basedOn w:val="10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6">
    <w:name w:val="Bordered - Accent 5"/>
    <w:basedOn w:val="10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7">
    <w:name w:val="Bordered - Accent 6"/>
    <w:basedOn w:val="10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8">
    <w:name w:val="Footnote Text Char"/>
    <w:link w:val="1065"/>
    <w:uiPriority w:val="99"/>
    <w:rPr>
      <w:sz w:val="18"/>
    </w:rPr>
  </w:style>
  <w:style w:type="character" w:styleId="1019">
    <w:name w:val="Endnote Text Char"/>
    <w:link w:val="1054"/>
    <w:uiPriority w:val="99"/>
    <w:rPr>
      <w:sz w:val="20"/>
    </w:rPr>
  </w:style>
  <w:style w:type="paragraph" w:styleId="1020">
    <w:name w:val="TOC Heading"/>
    <w:uiPriority w:val="39"/>
    <w:unhideWhenUsed/>
  </w:style>
  <w:style w:type="paragraph" w:styleId="1021" w:default="1">
    <w:name w:val="Normal"/>
    <w:next w:val="1033"/>
    <w:uiPriority w:val="0"/>
    <w:qFormat/>
    <w:pPr>
      <w:jc w:val="both"/>
      <w:widowControl w:val="off"/>
    </w:pPr>
    <w:rPr>
      <w:rFonts w:ascii="Times New Roman" w:hAnsi="Times New Roman" w:eastAsia="宋体" w:cs="Times New Roman"/>
      <w:sz w:val="21"/>
      <w:szCs w:val="24"/>
      <w:lang w:val="en-US" w:eastAsia="zh-CN" w:bidi="ar-SA"/>
    </w:rPr>
  </w:style>
  <w:style w:type="paragraph" w:styleId="1022">
    <w:name w:val="Heading 1"/>
    <w:basedOn w:val="1021"/>
    <w:next w:val="1021"/>
    <w:link w:val="1091"/>
    <w:uiPriority w:val="99"/>
    <w:qFormat/>
    <w:pPr>
      <w:keepLines/>
      <w:keepNext/>
      <w:spacing w:before="340" w:after="330" w:line="576" w:lineRule="auto"/>
      <w:outlineLvl w:val="0"/>
    </w:pPr>
    <w:rPr>
      <w:b/>
      <w:bCs/>
      <w:sz w:val="44"/>
      <w:szCs w:val="44"/>
    </w:rPr>
  </w:style>
  <w:style w:type="paragraph" w:styleId="1023">
    <w:name w:val="Heading 2"/>
    <w:basedOn w:val="1021"/>
    <w:next w:val="1021"/>
    <w:link w:val="1092"/>
    <w:uiPriority w:val="99"/>
    <w:qFormat/>
    <w:pPr>
      <w:keepLines/>
      <w:keepNext/>
      <w:spacing w:before="260" w:after="260" w:line="413" w:lineRule="auto"/>
      <w:outlineLvl w:val="1"/>
    </w:pPr>
    <w:rPr>
      <w:rFonts w:ascii="Arial" w:hAnsi="Arial" w:eastAsia="黑体"/>
      <w:b/>
      <w:bCs/>
      <w:sz w:val="32"/>
      <w:szCs w:val="32"/>
    </w:rPr>
  </w:style>
  <w:style w:type="paragraph" w:styleId="1024">
    <w:name w:val="Heading 3"/>
    <w:basedOn w:val="1021"/>
    <w:next w:val="1021"/>
    <w:link w:val="1097"/>
    <w:uiPriority w:val="99"/>
    <w:qFormat/>
    <w:pPr>
      <w:keepLines/>
      <w:keepNext/>
      <w:spacing w:before="260" w:after="260" w:line="413" w:lineRule="auto"/>
      <w:outlineLvl w:val="2"/>
    </w:pPr>
    <w:rPr>
      <w:b/>
      <w:bCs/>
      <w:sz w:val="32"/>
      <w:szCs w:val="32"/>
    </w:rPr>
  </w:style>
  <w:style w:type="paragraph" w:styleId="1025">
    <w:name w:val="Heading 4"/>
    <w:basedOn w:val="1021"/>
    <w:next w:val="1021"/>
    <w:link w:val="1098"/>
    <w:uiPriority w:val="99"/>
    <w:qFormat/>
    <w:pPr>
      <w:keepLines/>
      <w:keepNext/>
      <w:spacing w:before="120" w:after="120"/>
      <w:outlineLvl w:val="3"/>
    </w:pPr>
    <w:rPr>
      <w:rFonts w:ascii="Arial" w:hAnsi="Arial" w:eastAsia="黑体"/>
      <w:b/>
      <w:sz w:val="20"/>
      <w:szCs w:val="20"/>
    </w:rPr>
  </w:style>
  <w:style w:type="paragraph" w:styleId="1026">
    <w:name w:val="Heading 5"/>
    <w:basedOn w:val="1021"/>
    <w:next w:val="1021"/>
    <w:link w:val="1099"/>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1027">
    <w:name w:val="Heading 6"/>
    <w:basedOn w:val="1021"/>
    <w:next w:val="1021"/>
    <w:link w:val="1100"/>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1028">
    <w:name w:val="Heading 7"/>
    <w:basedOn w:val="1021"/>
    <w:next w:val="1021"/>
    <w:link w:val="1101"/>
    <w:uiPriority w:val="99"/>
    <w:qFormat/>
    <w:pPr>
      <w:ind w:left="1296" w:hanging="1296"/>
      <w:keepLines/>
      <w:keepNext/>
      <w:spacing w:before="240" w:after="64" w:line="317" w:lineRule="auto"/>
      <w:tabs>
        <w:tab w:val="left" w:pos="1296" w:leader="none"/>
      </w:tabs>
      <w:outlineLvl w:val="6"/>
    </w:pPr>
    <w:rPr>
      <w:b/>
      <w:bCs/>
      <w:sz w:val="24"/>
    </w:rPr>
  </w:style>
  <w:style w:type="paragraph" w:styleId="1029">
    <w:name w:val="Heading 8"/>
    <w:basedOn w:val="1021"/>
    <w:next w:val="1021"/>
    <w:link w:val="1102"/>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1030">
    <w:name w:val="Heading 9"/>
    <w:basedOn w:val="1021"/>
    <w:next w:val="1021"/>
    <w:link w:val="1103"/>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031" w:default="1">
    <w:name w:val="Default Paragraph Font"/>
    <w:uiPriority w:val="1"/>
    <w:semiHidden/>
    <w:unhideWhenUsed/>
    <w:qFormat/>
  </w:style>
  <w:style w:type="table" w:styleId="1032" w:default="1">
    <w:name w:val="Normal Table"/>
    <w:uiPriority w:val="99"/>
    <w:semiHidden/>
    <w:unhideWhenUsed/>
    <w:qFormat/>
    <w:tblPr>
      <w:tblCellMar>
        <w:left w:w="108" w:type="dxa"/>
        <w:top w:w="0" w:type="dxa"/>
        <w:right w:w="108" w:type="dxa"/>
        <w:bottom w:w="0" w:type="dxa"/>
      </w:tblCellMar>
    </w:tblPr>
  </w:style>
  <w:style w:type="paragraph" w:styleId="1033">
    <w:name w:val="Body Text"/>
    <w:basedOn w:val="1021"/>
    <w:link w:val="1096"/>
    <w:uiPriority w:val="99"/>
    <w:qFormat/>
    <w:pPr>
      <w:spacing w:after="120"/>
    </w:pPr>
    <w:rPr>
      <w:sz w:val="24"/>
    </w:rPr>
  </w:style>
  <w:style w:type="paragraph" w:styleId="1034">
    <w:name w:val="List 3"/>
    <w:basedOn w:val="1021"/>
    <w:uiPriority w:val="99"/>
    <w:qFormat/>
    <w:pPr>
      <w:ind w:left="1260" w:hanging="420"/>
    </w:pPr>
    <w:rPr>
      <w:szCs w:val="20"/>
    </w:rPr>
  </w:style>
  <w:style w:type="paragraph" w:styleId="1035">
    <w:name w:val="toc 7"/>
    <w:basedOn w:val="1021"/>
    <w:next w:val="1021"/>
    <w:uiPriority w:val="99"/>
    <w:semiHidden/>
    <w:qFormat/>
    <w:pPr>
      <w:ind w:left="1260"/>
      <w:jc w:val="left"/>
    </w:pPr>
    <w:rPr>
      <w:szCs w:val="21"/>
    </w:rPr>
  </w:style>
  <w:style w:type="paragraph" w:styleId="1036">
    <w:name w:val="List Number 2"/>
    <w:basedOn w:val="1021"/>
    <w:uiPriority w:val="99"/>
    <w:qFormat/>
    <w:pPr>
      <w:ind w:left="1440" w:hanging="1440"/>
      <w:spacing w:line="360" w:lineRule="auto"/>
      <w:tabs>
        <w:tab w:val="left" w:pos="1440" w:leader="none"/>
      </w:tabs>
    </w:pPr>
    <w:rPr>
      <w:sz w:val="24"/>
    </w:rPr>
  </w:style>
  <w:style w:type="paragraph" w:styleId="1037">
    <w:name w:val="List Number"/>
    <w:basedOn w:val="1021"/>
    <w:uiPriority w:val="99"/>
    <w:qFormat/>
    <w:pPr>
      <w:ind w:left="2952" w:hanging="432"/>
      <w:tabs>
        <w:tab w:val="left" w:pos="2952" w:leader="none"/>
      </w:tabs>
    </w:pPr>
  </w:style>
  <w:style w:type="paragraph" w:styleId="1038">
    <w:name w:val="Normal Indent"/>
    <w:basedOn w:val="1021"/>
    <w:uiPriority w:val="99"/>
    <w:qFormat/>
    <w:pPr>
      <w:ind w:firstLine="420"/>
    </w:pPr>
    <w:rPr>
      <w:szCs w:val="20"/>
    </w:rPr>
  </w:style>
  <w:style w:type="paragraph" w:styleId="1039">
    <w:name w:val="Document Map"/>
    <w:basedOn w:val="1021"/>
    <w:link w:val="1104"/>
    <w:uiPriority w:val="99"/>
    <w:semiHidden/>
    <w:qFormat/>
    <w:pPr>
      <w:shd w:val="clear" w:color="auto" w:fill="000080"/>
    </w:pPr>
    <w:rPr>
      <w:sz w:val="24"/>
    </w:rPr>
  </w:style>
  <w:style w:type="paragraph" w:styleId="1040">
    <w:name w:val="annotation text"/>
    <w:basedOn w:val="1021"/>
    <w:link w:val="1105"/>
    <w:uiPriority w:val="0"/>
    <w:qFormat/>
    <w:pPr>
      <w:jc w:val="left"/>
    </w:pPr>
    <w:rPr>
      <w:sz w:val="20"/>
      <w:szCs w:val="20"/>
    </w:rPr>
  </w:style>
  <w:style w:type="paragraph" w:styleId="1041">
    <w:name w:val="Salutation"/>
    <w:basedOn w:val="1021"/>
    <w:next w:val="1021"/>
    <w:link w:val="1106"/>
    <w:uiPriority w:val="99"/>
    <w:qFormat/>
    <w:rPr>
      <w:rFonts w:ascii="仿宋_GB2312" w:eastAsia="仿宋_GB2312"/>
      <w:sz w:val="20"/>
      <w:szCs w:val="20"/>
    </w:rPr>
  </w:style>
  <w:style w:type="paragraph" w:styleId="1042">
    <w:name w:val="Body Text 3"/>
    <w:basedOn w:val="1021"/>
    <w:link w:val="1107"/>
    <w:uiPriority w:val="99"/>
    <w:qFormat/>
    <w:pPr>
      <w:spacing w:after="120"/>
    </w:pPr>
    <w:rPr>
      <w:sz w:val="16"/>
      <w:szCs w:val="16"/>
    </w:rPr>
  </w:style>
  <w:style w:type="paragraph" w:styleId="1043">
    <w:name w:val="Body Text Indent"/>
    <w:basedOn w:val="1021"/>
    <w:next w:val="1044"/>
    <w:link w:val="1108"/>
    <w:uiPriority w:val="99"/>
    <w:qFormat/>
    <w:pPr>
      <w:ind w:left="420"/>
      <w:spacing w:after="120"/>
    </w:pPr>
    <w:rPr>
      <w:sz w:val="24"/>
    </w:rPr>
  </w:style>
  <w:style w:type="paragraph" w:styleId="1044">
    <w:name w:val="envelope return"/>
    <w:basedOn w:val="1021"/>
    <w:uiPriority w:val="99"/>
    <w:unhideWhenUsed/>
    <w:qFormat/>
    <w:rPr>
      <w:rFonts w:ascii="Arial" w:hAnsi="Arial"/>
    </w:rPr>
  </w:style>
  <w:style w:type="paragraph" w:styleId="1045">
    <w:name w:val="List 2"/>
    <w:basedOn w:val="1021"/>
    <w:uiPriority w:val="99"/>
    <w:qFormat/>
    <w:pPr>
      <w:ind w:left="100" w:hanging="200"/>
    </w:pPr>
    <w:rPr>
      <w:szCs w:val="21"/>
    </w:rPr>
  </w:style>
  <w:style w:type="paragraph" w:styleId="1046">
    <w:name w:val="index 4"/>
    <w:basedOn w:val="1021"/>
    <w:next w:val="1021"/>
    <w:uiPriority w:val="99"/>
    <w:qFormat/>
    <w:pPr>
      <w:ind w:left="600"/>
    </w:pPr>
    <w:rPr>
      <w:rFonts w:ascii="Calibri" w:hAnsi="Calibri"/>
    </w:rPr>
  </w:style>
  <w:style w:type="paragraph" w:styleId="1047">
    <w:name w:val="toc 5"/>
    <w:basedOn w:val="1021"/>
    <w:next w:val="1021"/>
    <w:uiPriority w:val="99"/>
    <w:semiHidden/>
    <w:qFormat/>
    <w:pPr>
      <w:ind w:left="840"/>
      <w:jc w:val="left"/>
    </w:pPr>
    <w:rPr>
      <w:szCs w:val="21"/>
    </w:rPr>
  </w:style>
  <w:style w:type="paragraph" w:styleId="1048">
    <w:name w:val="toc 3"/>
    <w:basedOn w:val="1021"/>
    <w:next w:val="1021"/>
    <w:uiPriority w:val="99"/>
    <w:semiHidden/>
    <w:qFormat/>
    <w:pPr>
      <w:ind w:left="840"/>
    </w:pPr>
  </w:style>
  <w:style w:type="paragraph" w:styleId="1049">
    <w:name w:val="Plain Text"/>
    <w:basedOn w:val="1021"/>
    <w:link w:val="1109"/>
    <w:uiPriority w:val="99"/>
    <w:qFormat/>
    <w:rPr>
      <w:rFonts w:ascii="宋体" w:hAnsi="Courier New"/>
      <w:szCs w:val="21"/>
    </w:rPr>
  </w:style>
  <w:style w:type="paragraph" w:styleId="1050">
    <w:name w:val="toc 8"/>
    <w:basedOn w:val="1021"/>
    <w:next w:val="1021"/>
    <w:uiPriority w:val="99"/>
    <w:semiHidden/>
    <w:qFormat/>
    <w:pPr>
      <w:ind w:left="1470"/>
      <w:jc w:val="left"/>
    </w:pPr>
    <w:rPr>
      <w:szCs w:val="21"/>
    </w:rPr>
  </w:style>
  <w:style w:type="paragraph" w:styleId="1051">
    <w:name w:val="index 3"/>
    <w:basedOn w:val="1021"/>
    <w:next w:val="1021"/>
    <w:uiPriority w:val="99"/>
    <w:semiHidden/>
    <w:qFormat/>
    <w:pPr>
      <w:ind w:left="840"/>
    </w:pPr>
    <w:rPr>
      <w:szCs w:val="20"/>
    </w:rPr>
  </w:style>
  <w:style w:type="paragraph" w:styleId="1052">
    <w:name w:val="Date"/>
    <w:basedOn w:val="1021"/>
    <w:next w:val="1021"/>
    <w:link w:val="1110"/>
    <w:uiPriority w:val="99"/>
    <w:qFormat/>
    <w:pPr>
      <w:ind w:left="100"/>
    </w:pPr>
    <w:rPr>
      <w:sz w:val="20"/>
      <w:szCs w:val="20"/>
    </w:rPr>
  </w:style>
  <w:style w:type="paragraph" w:styleId="1053">
    <w:name w:val="Body Text Indent 2"/>
    <w:basedOn w:val="1021"/>
    <w:link w:val="1111"/>
    <w:uiPriority w:val="99"/>
    <w:qFormat/>
    <w:pPr>
      <w:ind w:firstLine="480"/>
      <w:spacing w:line="400" w:lineRule="exact"/>
    </w:pPr>
    <w:rPr>
      <w:rFonts w:ascii="宋体" w:hAnsi="宋体"/>
      <w:sz w:val="24"/>
    </w:rPr>
  </w:style>
  <w:style w:type="paragraph" w:styleId="1054">
    <w:name w:val="endnote text"/>
    <w:basedOn w:val="1021"/>
    <w:link w:val="1112"/>
    <w:uiPriority w:val="99"/>
    <w:semiHidden/>
    <w:qFormat/>
    <w:pPr>
      <w:jc w:val="left"/>
    </w:pPr>
    <w:rPr>
      <w:sz w:val="24"/>
    </w:rPr>
  </w:style>
  <w:style w:type="paragraph" w:styleId="1055">
    <w:name w:val="Balloon Text"/>
    <w:basedOn w:val="1021"/>
    <w:link w:val="1113"/>
    <w:uiPriority w:val="99"/>
    <w:semiHidden/>
    <w:qFormat/>
    <w:rPr>
      <w:sz w:val="18"/>
      <w:szCs w:val="18"/>
    </w:rPr>
  </w:style>
  <w:style w:type="paragraph" w:styleId="1056">
    <w:name w:val="Footer"/>
    <w:basedOn w:val="1021"/>
    <w:link w:val="1114"/>
    <w:uiPriority w:val="0"/>
    <w:qFormat/>
    <w:pPr>
      <w:jc w:val="left"/>
      <w:tabs>
        <w:tab w:val="center" w:pos="4153" w:leader="none"/>
        <w:tab w:val="right" w:pos="8306" w:leader="none"/>
      </w:tabs>
    </w:pPr>
    <w:rPr>
      <w:sz w:val="18"/>
      <w:szCs w:val="18"/>
    </w:rPr>
  </w:style>
  <w:style w:type="paragraph" w:styleId="1057">
    <w:name w:val="Header"/>
    <w:basedOn w:val="1021"/>
    <w:link w:val="1115"/>
    <w:uiPriority w:val="0"/>
    <w:qFormat/>
    <w:pPr>
      <w:jc w:val="center"/>
      <w:tabs>
        <w:tab w:val="center" w:pos="4153" w:leader="none"/>
        <w:tab w:val="right" w:pos="8306" w:leader="none"/>
      </w:tabs>
      <w:pBdr>
        <w:bottom w:val="single" w:color="auto" w:sz="6" w:space="1"/>
      </w:pBdr>
    </w:pPr>
    <w:rPr>
      <w:sz w:val="18"/>
      <w:szCs w:val="18"/>
    </w:rPr>
  </w:style>
  <w:style w:type="paragraph" w:styleId="1058">
    <w:name w:val="Signature"/>
    <w:basedOn w:val="1021"/>
    <w:link w:val="1116"/>
    <w:uiPriority w:val="99"/>
    <w:qFormat/>
    <w:pPr>
      <w:jc w:val="center"/>
      <w:spacing w:after="600" w:line="312" w:lineRule="atLeast"/>
    </w:pPr>
    <w:rPr>
      <w:rFonts w:eastAsia="仿宋_GB2312"/>
      <w:sz w:val="20"/>
      <w:szCs w:val="20"/>
    </w:rPr>
  </w:style>
  <w:style w:type="paragraph" w:styleId="1059">
    <w:name w:val="toc 1"/>
    <w:basedOn w:val="1021"/>
    <w:next w:val="1021"/>
    <w:uiPriority w:val="99"/>
    <w:semiHidden/>
    <w:qFormat/>
  </w:style>
  <w:style w:type="paragraph" w:styleId="1060">
    <w:name w:val="toc 4"/>
    <w:basedOn w:val="1021"/>
    <w:next w:val="1021"/>
    <w:uiPriority w:val="99"/>
    <w:semiHidden/>
    <w:qFormat/>
    <w:pPr>
      <w:ind w:left="630"/>
      <w:jc w:val="left"/>
    </w:pPr>
    <w:rPr>
      <w:szCs w:val="21"/>
    </w:rPr>
  </w:style>
  <w:style w:type="paragraph" w:styleId="1061">
    <w:name w:val="index heading"/>
    <w:basedOn w:val="1021"/>
    <w:next w:val="1062"/>
    <w:uiPriority w:val="99"/>
    <w:semiHidden/>
    <w:qFormat/>
    <w:rPr>
      <w:szCs w:val="20"/>
    </w:rPr>
  </w:style>
  <w:style w:type="paragraph" w:styleId="1062">
    <w:name w:val="index 1"/>
    <w:basedOn w:val="1021"/>
    <w:next w:val="1021"/>
    <w:uiPriority w:val="99"/>
    <w:semiHidden/>
    <w:qFormat/>
    <w:pPr>
      <w:jc w:val="center"/>
      <w:tabs>
        <w:tab w:val="left" w:pos="1260" w:leader="none"/>
      </w:tabs>
    </w:pPr>
    <w:rPr>
      <w:rFonts w:ascii="仿宋_GB2312" w:hAnsi="宋体" w:eastAsia="仿宋_GB2312"/>
      <w:sz w:val="30"/>
      <w:szCs w:val="20"/>
    </w:rPr>
  </w:style>
  <w:style w:type="paragraph" w:styleId="1063">
    <w:name w:val="Subtitle"/>
    <w:basedOn w:val="1021"/>
    <w:next w:val="1021"/>
    <w:link w:val="1117"/>
    <w:uiPriority w:val="99"/>
    <w:qFormat/>
    <w:pPr>
      <w:jc w:val="left"/>
      <w:spacing w:after="600" w:line="276" w:lineRule="auto"/>
      <w:widowControl/>
    </w:pPr>
    <w:rPr>
      <w:rFonts w:ascii="Cambria" w:hAnsi="Cambria"/>
      <w:i/>
      <w:iCs/>
      <w:spacing w:val="13"/>
      <w:sz w:val="24"/>
      <w:lang w:eastAsia="en-US"/>
    </w:rPr>
  </w:style>
  <w:style w:type="paragraph" w:styleId="1064">
    <w:name w:val="List"/>
    <w:basedOn w:val="1021"/>
    <w:uiPriority w:val="99"/>
    <w:qFormat/>
    <w:pPr>
      <w:ind w:left="200" w:hanging="200"/>
    </w:pPr>
    <w:rPr>
      <w:szCs w:val="21"/>
    </w:rPr>
  </w:style>
  <w:style w:type="paragraph" w:styleId="1065">
    <w:name w:val="footnote text"/>
    <w:basedOn w:val="1021"/>
    <w:link w:val="1118"/>
    <w:uiPriority w:val="99"/>
    <w:semiHidden/>
    <w:qFormat/>
    <w:pPr>
      <w:jc w:val="left"/>
    </w:pPr>
    <w:rPr>
      <w:sz w:val="18"/>
      <w:szCs w:val="18"/>
    </w:rPr>
  </w:style>
  <w:style w:type="paragraph" w:styleId="1066">
    <w:name w:val="toc 6"/>
    <w:basedOn w:val="1021"/>
    <w:next w:val="1021"/>
    <w:uiPriority w:val="99"/>
    <w:semiHidden/>
    <w:qFormat/>
    <w:pPr>
      <w:ind w:left="1050"/>
      <w:jc w:val="left"/>
    </w:pPr>
    <w:rPr>
      <w:szCs w:val="21"/>
    </w:rPr>
  </w:style>
  <w:style w:type="paragraph" w:styleId="1067">
    <w:name w:val="Body Text Indent 3"/>
    <w:basedOn w:val="1021"/>
    <w:link w:val="1119"/>
    <w:uiPriority w:val="99"/>
    <w:qFormat/>
    <w:pPr>
      <w:ind w:left="480"/>
      <w:spacing w:before="120" w:after="120" w:line="264" w:lineRule="auto"/>
    </w:pPr>
    <w:rPr>
      <w:b/>
      <w:bCs/>
      <w:sz w:val="20"/>
      <w:szCs w:val="20"/>
    </w:rPr>
  </w:style>
  <w:style w:type="paragraph" w:styleId="1068">
    <w:name w:val="table of figures"/>
    <w:basedOn w:val="1021"/>
    <w:next w:val="1021"/>
    <w:uiPriority w:val="99"/>
    <w:semiHidden/>
    <w:qFormat/>
    <w:pPr>
      <w:ind w:left="840" w:hanging="420"/>
    </w:pPr>
    <w:rPr>
      <w:szCs w:val="21"/>
    </w:rPr>
  </w:style>
  <w:style w:type="paragraph" w:styleId="1069">
    <w:name w:val="toc 2"/>
    <w:basedOn w:val="1021"/>
    <w:next w:val="1021"/>
    <w:uiPriority w:val="99"/>
    <w:semiHidden/>
    <w:qFormat/>
    <w:pPr>
      <w:ind w:left="420"/>
    </w:pPr>
  </w:style>
  <w:style w:type="paragraph" w:styleId="1070">
    <w:name w:val="toc 9"/>
    <w:basedOn w:val="1021"/>
    <w:next w:val="1021"/>
    <w:uiPriority w:val="99"/>
    <w:semiHidden/>
    <w:qFormat/>
    <w:pPr>
      <w:ind w:left="1680"/>
      <w:jc w:val="left"/>
    </w:pPr>
    <w:rPr>
      <w:szCs w:val="21"/>
    </w:rPr>
  </w:style>
  <w:style w:type="paragraph" w:styleId="1071">
    <w:name w:val="Body Text 2"/>
    <w:basedOn w:val="1021"/>
    <w:link w:val="1120"/>
    <w:uiPriority w:val="99"/>
    <w:qFormat/>
    <w:pPr>
      <w:jc w:val="center"/>
    </w:pPr>
    <w:rPr>
      <w:b/>
      <w:bCs/>
      <w:sz w:val="20"/>
      <w:szCs w:val="20"/>
    </w:rPr>
  </w:style>
  <w:style w:type="paragraph" w:styleId="1072">
    <w:name w:val="HTML Preformatted"/>
    <w:basedOn w:val="1021"/>
    <w:link w:val="112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73">
    <w:name w:val="Normal (Web)"/>
    <w:basedOn w:val="1021"/>
    <w:uiPriority w:val="99"/>
    <w:qFormat/>
    <w:pPr>
      <w:jc w:val="left"/>
      <w:spacing w:before="100" w:beforeAutospacing="1" w:after="100" w:afterAutospacing="1"/>
      <w:widowControl/>
    </w:pPr>
    <w:rPr>
      <w:rFonts w:ascii="宋体" w:hAnsi="宋体" w:cs="宋体"/>
      <w:sz w:val="24"/>
    </w:rPr>
  </w:style>
  <w:style w:type="paragraph" w:styleId="1074">
    <w:name w:val="index 2"/>
    <w:basedOn w:val="1021"/>
    <w:next w:val="1021"/>
    <w:uiPriority w:val="99"/>
    <w:semiHidden/>
    <w:qFormat/>
    <w:pPr>
      <w:ind w:left="420"/>
      <w:jc w:val="center"/>
    </w:pPr>
    <w:rPr>
      <w:rFonts w:ascii="宋体" w:hAnsi="宋体"/>
      <w:b/>
      <w:sz w:val="32"/>
      <w:szCs w:val="20"/>
    </w:rPr>
  </w:style>
  <w:style w:type="paragraph" w:styleId="1075">
    <w:name w:val="Title"/>
    <w:basedOn w:val="1021"/>
    <w:link w:val="1122"/>
    <w:uiPriority w:val="99"/>
    <w:qFormat/>
    <w:pPr>
      <w:jc w:val="center"/>
      <w:spacing w:line="420" w:lineRule="exact"/>
      <w:widowControl/>
    </w:pPr>
    <w:rPr>
      <w:rFonts w:eastAsia="黑体"/>
      <w:b/>
      <w:sz w:val="20"/>
      <w:szCs w:val="20"/>
      <w:lang w:val="en-GB"/>
    </w:rPr>
  </w:style>
  <w:style w:type="paragraph" w:styleId="1076">
    <w:name w:val="annotation subject"/>
    <w:basedOn w:val="1040"/>
    <w:next w:val="1040"/>
    <w:link w:val="1123"/>
    <w:uiPriority w:val="99"/>
    <w:semiHidden/>
    <w:qFormat/>
    <w:rPr>
      <w:b/>
      <w:bCs/>
      <w:sz w:val="24"/>
    </w:rPr>
  </w:style>
  <w:style w:type="paragraph" w:styleId="1077">
    <w:name w:val="Body Text First Indent"/>
    <w:basedOn w:val="1033"/>
    <w:link w:val="1124"/>
    <w:uiPriority w:val="99"/>
    <w:qFormat/>
    <w:pPr>
      <w:ind w:firstLine="420"/>
    </w:pPr>
  </w:style>
  <w:style w:type="paragraph" w:styleId="1078">
    <w:name w:val="Body Text First Indent 2"/>
    <w:basedOn w:val="1043"/>
    <w:next w:val="1021"/>
    <w:link w:val="1125"/>
    <w:uiPriority w:val="99"/>
    <w:qFormat/>
    <w:pPr>
      <w:ind w:left="0" w:firstLine="420"/>
      <w:spacing w:after="0" w:line="360" w:lineRule="auto"/>
    </w:pPr>
    <w:rPr>
      <w:rFonts w:ascii="宋体" w:hAnsi="宋体"/>
      <w:sz w:val="20"/>
      <w:szCs w:val="20"/>
    </w:rPr>
  </w:style>
  <w:style w:type="table" w:styleId="1079">
    <w:name w:val="Table Grid"/>
    <w:basedOn w:val="103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0">
    <w:name w:val="Strong"/>
    <w:uiPriority w:val="99"/>
    <w:qFormat/>
    <w:rPr>
      <w:rFonts w:cs="Times New Roman"/>
      <w:b/>
    </w:rPr>
  </w:style>
  <w:style w:type="character" w:styleId="1081">
    <w:name w:val="endnote reference"/>
    <w:uiPriority w:val="99"/>
    <w:semiHidden/>
    <w:qFormat/>
    <w:rPr>
      <w:rFonts w:cs="Times New Roman"/>
      <w:vertAlign w:val="superscript"/>
    </w:rPr>
  </w:style>
  <w:style w:type="character" w:styleId="1082">
    <w:name w:val="page number"/>
    <w:uiPriority w:val="99"/>
    <w:qFormat/>
    <w:rPr>
      <w:rFonts w:cs="Times New Roman"/>
    </w:rPr>
  </w:style>
  <w:style w:type="character" w:styleId="1083">
    <w:name w:val="FollowedHyperlink"/>
    <w:uiPriority w:val="99"/>
    <w:qFormat/>
    <w:rPr>
      <w:rFonts w:cs="Times New Roman"/>
      <w:color w:val="auto"/>
      <w:u w:val="none"/>
    </w:rPr>
  </w:style>
  <w:style w:type="character" w:styleId="1084">
    <w:name w:val="Emphasis"/>
    <w:uiPriority w:val="99"/>
    <w:qFormat/>
    <w:rPr>
      <w:rFonts w:cs="Times New Roman"/>
      <w:b/>
      <w:i/>
      <w:spacing w:val="10"/>
      <w:shd w:val="clear" w:color="auto" w:fill="auto"/>
    </w:rPr>
  </w:style>
  <w:style w:type="character" w:styleId="1085">
    <w:name w:val="line number"/>
    <w:uiPriority w:val="99"/>
    <w:qFormat/>
    <w:rPr>
      <w:rFonts w:cs="Times New Roman"/>
    </w:rPr>
  </w:style>
  <w:style w:type="character" w:styleId="1086">
    <w:name w:val="HTML Typewriter"/>
    <w:uiPriority w:val="99"/>
    <w:qFormat/>
    <w:rPr>
      <w:rFonts w:ascii="宋体" w:hAnsi="宋体" w:eastAsia="宋体" w:cs="Times New Roman"/>
      <w:sz w:val="24"/>
    </w:rPr>
  </w:style>
  <w:style w:type="character" w:styleId="1087">
    <w:name w:val="Hyperlink"/>
    <w:uiPriority w:val="99"/>
    <w:qFormat/>
    <w:rPr>
      <w:rFonts w:cs="Times New Roman"/>
      <w:color w:val="auto"/>
      <w:u w:val="none"/>
    </w:rPr>
  </w:style>
  <w:style w:type="character" w:styleId="1088">
    <w:name w:val="annotation reference"/>
    <w:uiPriority w:val="0"/>
    <w:qFormat/>
    <w:rPr>
      <w:rFonts w:cs="Times New Roman"/>
      <w:sz w:val="21"/>
    </w:rPr>
  </w:style>
  <w:style w:type="character" w:styleId="1089">
    <w:name w:val="footnote reference"/>
    <w:uiPriority w:val="99"/>
    <w:semiHidden/>
    <w:qFormat/>
    <w:rPr>
      <w:rFonts w:cs="Times New Roman"/>
      <w:vertAlign w:val="superscript"/>
    </w:rPr>
  </w:style>
  <w:style w:type="character" w:styleId="1090">
    <w:name w:val="HTML Sample"/>
    <w:uiPriority w:val="99"/>
    <w:qFormat/>
    <w:rPr>
      <w:rFonts w:ascii="Courier New" w:hAnsi="宋体" w:eastAsia="宋体" w:cs="Times New Roman"/>
    </w:rPr>
  </w:style>
  <w:style w:type="character" w:styleId="1091" w:customStyle="1">
    <w:name w:val="标题 1 字符"/>
    <w:link w:val="1022"/>
    <w:uiPriority w:val="99"/>
    <w:qFormat/>
    <w:rPr>
      <w:rFonts w:ascii="Times New Roman" w:hAnsi="Times New Roman" w:eastAsia="宋体"/>
      <w:b/>
      <w:sz w:val="44"/>
    </w:rPr>
  </w:style>
  <w:style w:type="character" w:styleId="1092" w:customStyle="1">
    <w:name w:val="标题 2 字符"/>
    <w:link w:val="1023"/>
    <w:uiPriority w:val="99"/>
    <w:qFormat/>
    <w:rPr>
      <w:rFonts w:ascii="Arial" w:hAnsi="Arial" w:eastAsia="黑体"/>
      <w:b/>
      <w:sz w:val="32"/>
    </w:rPr>
  </w:style>
  <w:style w:type="paragraph" w:styleId="1093" w:customStyle="1">
    <w:name w:val="正文首行缩进1"/>
    <w:basedOn w:val="1094"/>
    <w:uiPriority w:val="0"/>
    <w:qFormat/>
    <w:pPr>
      <w:ind w:firstLine="100"/>
    </w:pPr>
  </w:style>
  <w:style w:type="paragraph" w:styleId="1094" w:customStyle="1">
    <w:name w:val="正文文本1"/>
    <w:basedOn w:val="1021"/>
    <w:next w:val="1021"/>
    <w:uiPriority w:val="0"/>
    <w:qFormat/>
    <w:rPr>
      <w:rFonts w:ascii="宋体"/>
      <w:sz w:val="28"/>
    </w:rPr>
  </w:style>
  <w:style w:type="paragraph" w:styleId="1095" w:customStyle="1">
    <w:name w:val="列出段落1"/>
    <w:basedOn w:val="1021"/>
    <w:uiPriority w:val="99"/>
    <w:qFormat/>
    <w:pPr>
      <w:ind w:firstLine="420"/>
    </w:pPr>
    <w:rPr>
      <w:rFonts w:ascii="Calibri" w:hAnsi="Calibri"/>
      <w:szCs w:val="22"/>
    </w:rPr>
  </w:style>
  <w:style w:type="character" w:styleId="1096" w:customStyle="1">
    <w:name w:val="正文文本 字符1"/>
    <w:link w:val="1033"/>
    <w:uiPriority w:val="99"/>
    <w:qFormat/>
    <w:rPr>
      <w:rFonts w:ascii="Times New Roman" w:hAnsi="Times New Roman" w:eastAsia="宋体" w:cs="Times New Roman"/>
      <w:sz w:val="24"/>
      <w:szCs w:val="24"/>
    </w:rPr>
  </w:style>
  <w:style w:type="character" w:styleId="1097" w:customStyle="1">
    <w:name w:val="标题 3 字符"/>
    <w:link w:val="1024"/>
    <w:uiPriority w:val="99"/>
    <w:qFormat/>
    <w:rPr>
      <w:rFonts w:ascii="Times New Roman" w:hAnsi="Times New Roman" w:eastAsia="宋体"/>
      <w:b/>
      <w:sz w:val="32"/>
    </w:rPr>
  </w:style>
  <w:style w:type="character" w:styleId="1098" w:customStyle="1">
    <w:name w:val="标题 4 字符"/>
    <w:link w:val="1025"/>
    <w:uiPriority w:val="99"/>
    <w:qFormat/>
    <w:rPr>
      <w:rFonts w:ascii="Arial" w:hAnsi="Arial" w:eastAsia="黑体"/>
      <w:b/>
      <w:sz w:val="20"/>
    </w:rPr>
  </w:style>
  <w:style w:type="character" w:styleId="1099" w:customStyle="1">
    <w:name w:val="标题 5 字符"/>
    <w:link w:val="1026"/>
    <w:uiPriority w:val="99"/>
    <w:qFormat/>
    <w:rPr>
      <w:rFonts w:ascii="Times New Roman" w:hAnsi="Times New Roman" w:eastAsia="宋体"/>
      <w:b/>
      <w:sz w:val="28"/>
    </w:rPr>
  </w:style>
  <w:style w:type="character" w:styleId="1100" w:customStyle="1">
    <w:name w:val="标题 6 字符"/>
    <w:link w:val="1027"/>
    <w:uiPriority w:val="99"/>
    <w:qFormat/>
    <w:rPr>
      <w:rFonts w:ascii="Arial" w:hAnsi="Arial" w:eastAsia="黑体"/>
      <w:b/>
      <w:sz w:val="24"/>
    </w:rPr>
  </w:style>
  <w:style w:type="character" w:styleId="1101" w:customStyle="1">
    <w:name w:val="标题 7 字符"/>
    <w:link w:val="1028"/>
    <w:uiPriority w:val="99"/>
    <w:qFormat/>
    <w:rPr>
      <w:rFonts w:ascii="Times New Roman" w:hAnsi="Times New Roman" w:eastAsia="宋体"/>
      <w:b/>
      <w:sz w:val="24"/>
    </w:rPr>
  </w:style>
  <w:style w:type="character" w:styleId="1102" w:customStyle="1">
    <w:name w:val="标题 8 字符"/>
    <w:link w:val="1029"/>
    <w:uiPriority w:val="99"/>
    <w:qFormat/>
    <w:rPr>
      <w:rFonts w:ascii="Arial" w:hAnsi="Arial" w:eastAsia="黑体"/>
      <w:sz w:val="24"/>
    </w:rPr>
  </w:style>
  <w:style w:type="character" w:styleId="1103" w:customStyle="1">
    <w:name w:val="标题 9 字符"/>
    <w:link w:val="1030"/>
    <w:uiPriority w:val="99"/>
    <w:qFormat/>
    <w:rPr>
      <w:rFonts w:ascii="Arial" w:hAnsi="Arial" w:eastAsia="黑体"/>
      <w:sz w:val="21"/>
    </w:rPr>
  </w:style>
  <w:style w:type="character" w:styleId="1104" w:customStyle="1">
    <w:name w:val="文档结构图 字符"/>
    <w:link w:val="1039"/>
    <w:uiPriority w:val="99"/>
    <w:semiHidden/>
    <w:qFormat/>
    <w:rPr>
      <w:rFonts w:ascii="Times New Roman" w:hAnsi="Times New Roman" w:eastAsia="宋体"/>
      <w:sz w:val="24"/>
      <w:shd w:val="clear" w:color="auto" w:fill="000080"/>
    </w:rPr>
  </w:style>
  <w:style w:type="character" w:styleId="1105" w:customStyle="1">
    <w:name w:val="批注文字 字符1"/>
    <w:link w:val="1040"/>
    <w:uiPriority w:val="0"/>
    <w:qFormat/>
    <w:rPr>
      <w:rFonts w:ascii="Times New Roman" w:hAnsi="Times New Roman" w:eastAsia="宋体" w:cs="Times New Roman"/>
      <w:sz w:val="24"/>
      <w:szCs w:val="24"/>
    </w:rPr>
  </w:style>
  <w:style w:type="character" w:styleId="1106" w:customStyle="1">
    <w:name w:val="称呼 字符"/>
    <w:link w:val="1041"/>
    <w:uiPriority w:val="99"/>
    <w:qFormat/>
    <w:rPr>
      <w:rFonts w:ascii="仿宋_GB2312" w:hAnsi="Times New Roman" w:eastAsia="仿宋_GB2312"/>
      <w:sz w:val="20"/>
    </w:rPr>
  </w:style>
  <w:style w:type="character" w:styleId="1107" w:customStyle="1">
    <w:name w:val="正文文本 3 字符"/>
    <w:link w:val="1042"/>
    <w:uiPriority w:val="99"/>
    <w:qFormat/>
    <w:rPr>
      <w:rFonts w:ascii="Times New Roman" w:hAnsi="Times New Roman" w:eastAsia="宋体"/>
      <w:sz w:val="16"/>
    </w:rPr>
  </w:style>
  <w:style w:type="character" w:styleId="1108" w:customStyle="1">
    <w:name w:val="正文文本缩进 字符"/>
    <w:link w:val="1043"/>
    <w:uiPriority w:val="99"/>
    <w:qFormat/>
    <w:rPr>
      <w:rFonts w:ascii="Times New Roman" w:hAnsi="Times New Roman" w:eastAsia="宋体"/>
      <w:sz w:val="24"/>
    </w:rPr>
  </w:style>
  <w:style w:type="character" w:styleId="1109" w:customStyle="1">
    <w:name w:val="纯文本 字符"/>
    <w:link w:val="1049"/>
    <w:uiPriority w:val="0"/>
    <w:qFormat/>
    <w:rPr>
      <w:rFonts w:ascii="宋体" w:hAnsi="Courier New" w:eastAsia="宋体"/>
      <w:sz w:val="21"/>
    </w:rPr>
  </w:style>
  <w:style w:type="character" w:styleId="1110" w:customStyle="1">
    <w:name w:val="日期 字符"/>
    <w:link w:val="1052"/>
    <w:uiPriority w:val="99"/>
    <w:qFormat/>
    <w:rPr>
      <w:rFonts w:ascii="Times New Roman" w:hAnsi="Times New Roman" w:eastAsia="宋体"/>
      <w:sz w:val="20"/>
    </w:rPr>
  </w:style>
  <w:style w:type="character" w:styleId="1111" w:customStyle="1">
    <w:name w:val="正文文本缩进 2 字符"/>
    <w:link w:val="1053"/>
    <w:uiPriority w:val="99"/>
    <w:qFormat/>
    <w:rPr>
      <w:rFonts w:ascii="宋体" w:hAnsi="宋体" w:eastAsia="宋体"/>
      <w:sz w:val="24"/>
    </w:rPr>
  </w:style>
  <w:style w:type="character" w:styleId="1112" w:customStyle="1">
    <w:name w:val="尾注文本 字符"/>
    <w:link w:val="1054"/>
    <w:uiPriority w:val="99"/>
    <w:semiHidden/>
    <w:qFormat/>
    <w:rPr>
      <w:rFonts w:ascii="Times New Roman" w:hAnsi="Times New Roman" w:eastAsia="宋体"/>
      <w:sz w:val="24"/>
    </w:rPr>
  </w:style>
  <w:style w:type="character" w:styleId="1113" w:customStyle="1">
    <w:name w:val="批注框文本 字符"/>
    <w:link w:val="1055"/>
    <w:uiPriority w:val="99"/>
    <w:semiHidden/>
    <w:qFormat/>
    <w:rPr>
      <w:rFonts w:ascii="Times New Roman" w:hAnsi="Times New Roman" w:eastAsia="宋体"/>
      <w:sz w:val="18"/>
    </w:rPr>
  </w:style>
  <w:style w:type="character" w:styleId="1114" w:customStyle="1">
    <w:name w:val="页脚 字符"/>
    <w:link w:val="1056"/>
    <w:uiPriority w:val="99"/>
    <w:qFormat/>
    <w:rPr>
      <w:rFonts w:cs="Times New Roman"/>
      <w:sz w:val="18"/>
      <w:szCs w:val="18"/>
    </w:rPr>
  </w:style>
  <w:style w:type="character" w:styleId="1115" w:customStyle="1">
    <w:name w:val="页眉 字符"/>
    <w:link w:val="1057"/>
    <w:uiPriority w:val="0"/>
    <w:qFormat/>
    <w:rPr>
      <w:sz w:val="18"/>
    </w:rPr>
  </w:style>
  <w:style w:type="character" w:styleId="1116" w:customStyle="1">
    <w:name w:val="签名 字符"/>
    <w:link w:val="1058"/>
    <w:uiPriority w:val="99"/>
    <w:qFormat/>
    <w:rPr>
      <w:rFonts w:ascii="Times New Roman" w:hAnsi="Times New Roman" w:eastAsia="仿宋_GB2312"/>
      <w:sz w:val="20"/>
    </w:rPr>
  </w:style>
  <w:style w:type="character" w:styleId="1117" w:customStyle="1">
    <w:name w:val="副标题 字符"/>
    <w:link w:val="1063"/>
    <w:uiPriority w:val="99"/>
    <w:qFormat/>
    <w:rPr>
      <w:rFonts w:ascii="Cambria" w:hAnsi="Cambria" w:eastAsia="宋体"/>
      <w:i/>
      <w:spacing w:val="13"/>
      <w:sz w:val="24"/>
      <w:lang w:eastAsia="en-US"/>
    </w:rPr>
  </w:style>
  <w:style w:type="character" w:styleId="1118" w:customStyle="1">
    <w:name w:val="脚注文本 字符"/>
    <w:link w:val="1065"/>
    <w:uiPriority w:val="99"/>
    <w:semiHidden/>
    <w:qFormat/>
    <w:rPr>
      <w:rFonts w:ascii="Times New Roman" w:hAnsi="Times New Roman" w:eastAsia="宋体"/>
      <w:sz w:val="18"/>
    </w:rPr>
  </w:style>
  <w:style w:type="character" w:styleId="1119" w:customStyle="1">
    <w:name w:val="正文文本缩进 3 字符"/>
    <w:link w:val="1067"/>
    <w:uiPriority w:val="99"/>
    <w:qFormat/>
    <w:rPr>
      <w:rFonts w:ascii="Times New Roman" w:hAnsi="Times New Roman" w:eastAsia="宋体"/>
      <w:b/>
      <w:sz w:val="20"/>
    </w:rPr>
  </w:style>
  <w:style w:type="character" w:styleId="1120" w:customStyle="1">
    <w:name w:val="正文文本 2 字符"/>
    <w:link w:val="1071"/>
    <w:uiPriority w:val="99"/>
    <w:qFormat/>
    <w:rPr>
      <w:rFonts w:ascii="Times New Roman" w:hAnsi="Times New Roman" w:eastAsia="宋体"/>
      <w:b/>
      <w:sz w:val="20"/>
    </w:rPr>
  </w:style>
  <w:style w:type="character" w:styleId="1121" w:customStyle="1">
    <w:name w:val="HTML 预设格式 字符"/>
    <w:link w:val="1072"/>
    <w:uiPriority w:val="99"/>
    <w:qFormat/>
    <w:rPr>
      <w:rFonts w:ascii="宋体" w:hAnsi="宋体" w:eastAsia="宋体"/>
      <w:sz w:val="24"/>
    </w:rPr>
  </w:style>
  <w:style w:type="character" w:styleId="1122" w:customStyle="1">
    <w:name w:val="标题 字符"/>
    <w:link w:val="1075"/>
    <w:uiPriority w:val="99"/>
    <w:qFormat/>
    <w:rPr>
      <w:rFonts w:ascii="Times New Roman" w:hAnsi="Times New Roman" w:eastAsia="黑体"/>
      <w:b/>
      <w:sz w:val="20"/>
      <w:lang w:val="en-GB"/>
    </w:rPr>
  </w:style>
  <w:style w:type="character" w:styleId="1123" w:customStyle="1">
    <w:name w:val="批注主题 字符"/>
    <w:link w:val="1076"/>
    <w:uiPriority w:val="99"/>
    <w:semiHidden/>
    <w:qFormat/>
    <w:rPr>
      <w:rFonts w:ascii="Times New Roman" w:hAnsi="Times New Roman" w:eastAsia="宋体" w:cs="Times New Roman"/>
      <w:b/>
      <w:sz w:val="24"/>
      <w:szCs w:val="24"/>
    </w:rPr>
  </w:style>
  <w:style w:type="character" w:styleId="1124" w:customStyle="1">
    <w:name w:val="正文文本首行缩进 字符"/>
    <w:link w:val="1077"/>
    <w:uiPriority w:val="99"/>
    <w:qFormat/>
    <w:rPr>
      <w:rFonts w:ascii="Times New Roman" w:hAnsi="Times New Roman" w:eastAsia="宋体" w:cs="Times New Roman"/>
      <w:sz w:val="24"/>
      <w:szCs w:val="24"/>
    </w:rPr>
  </w:style>
  <w:style w:type="character" w:styleId="1125" w:customStyle="1">
    <w:name w:val="正文文本首行缩进 2 字符"/>
    <w:link w:val="1078"/>
    <w:uiPriority w:val="99"/>
    <w:qFormat/>
    <w:rPr>
      <w:rFonts w:ascii="宋体" w:hAnsi="宋体" w:eastAsia="宋体"/>
      <w:sz w:val="20"/>
    </w:rPr>
  </w:style>
  <w:style w:type="paragraph" w:styleId="1126" w:customStyle="1">
    <w:name w:val="首行缩进"/>
    <w:basedOn w:val="1021"/>
    <w:uiPriority w:val="0"/>
    <w:qFormat/>
    <w:pPr>
      <w:ind w:left="420" w:firstLine="480"/>
      <w:spacing w:line="400" w:lineRule="exact"/>
    </w:pPr>
    <w:rPr>
      <w:szCs w:val="20"/>
    </w:rPr>
  </w:style>
  <w:style w:type="character" w:styleId="1127" w:customStyle="1">
    <w:name w:val="方案文档 Char Char"/>
    <w:uiPriority w:val="99"/>
    <w:qFormat/>
    <w:rPr>
      <w:rFonts w:ascii="宋体" w:hAnsi="宋体" w:eastAsia="宋体"/>
      <w:sz w:val="24"/>
      <w:lang w:val="zh-CN" w:eastAsia="zh-CN"/>
    </w:rPr>
  </w:style>
  <w:style w:type="character" w:styleId="1128" w:customStyle="1">
    <w:name w:val="textcontents"/>
    <w:uiPriority w:val="99"/>
    <w:qFormat/>
  </w:style>
  <w:style w:type="character" w:styleId="1129" w:customStyle="1">
    <w:name w:val="Char Char28"/>
    <w:uiPriority w:val="99"/>
    <w:qFormat/>
    <w:rPr>
      <w:rFonts w:ascii="Arial" w:hAnsi="Arial" w:eastAsia="黑体"/>
      <w:b/>
      <w:sz w:val="32"/>
    </w:rPr>
  </w:style>
  <w:style w:type="character" w:styleId="1130" w:customStyle="1">
    <w:name w:val="Char Char23"/>
    <w:uiPriority w:val="99"/>
    <w:qFormat/>
    <w:rPr>
      <w:rFonts w:ascii="Arial" w:hAnsi="Arial" w:eastAsia="黑体"/>
      <w:b/>
      <w:sz w:val="24"/>
    </w:rPr>
  </w:style>
  <w:style w:type="character" w:styleId="1131" w:customStyle="1">
    <w:name w:val="纯文本 Char Char Char1"/>
    <w:uiPriority w:val="99"/>
    <w:qFormat/>
    <w:rPr>
      <w:rFonts w:ascii="宋体" w:hAnsi="Courier New" w:eastAsia="宋体"/>
      <w:sz w:val="21"/>
      <w:lang w:val="en-US" w:eastAsia="zh-CN"/>
    </w:rPr>
  </w:style>
  <w:style w:type="character" w:styleId="1132" w:customStyle="1">
    <w:name w:val="华宇段落1 Char Char Char"/>
    <w:uiPriority w:val="99"/>
    <w:qFormat/>
    <w:rPr>
      <w:rFonts w:eastAsia="宋体"/>
      <w:sz w:val="24"/>
      <w:lang w:val="en-US" w:eastAsia="zh-CN"/>
    </w:rPr>
  </w:style>
  <w:style w:type="character" w:styleId="1133" w:customStyle="1">
    <w:name w:val="Char Char6"/>
    <w:uiPriority w:val="99"/>
    <w:qFormat/>
    <w:rPr>
      <w:rFonts w:eastAsia="宋体"/>
      <w:sz w:val="24"/>
      <w:lang w:val="en-US" w:eastAsia="zh-CN"/>
    </w:rPr>
  </w:style>
  <w:style w:type="character" w:styleId="1134" w:customStyle="1">
    <w:name w:val="标准文本 Char"/>
    <w:uiPriority w:val="99"/>
    <w:qFormat/>
    <w:rPr>
      <w:rFonts w:eastAsia="宋体"/>
      <w:sz w:val="24"/>
      <w:lang w:val="en-US" w:eastAsia="zh-CN"/>
    </w:rPr>
  </w:style>
  <w:style w:type="character" w:styleId="1135" w:customStyle="1">
    <w:name w:val="listbenefit"/>
    <w:uiPriority w:val="99"/>
    <w:qFormat/>
  </w:style>
  <w:style w:type="character" w:styleId="1136" w:customStyle="1">
    <w:name w:val="Char Char18"/>
    <w:uiPriority w:val="99"/>
    <w:qFormat/>
    <w:rPr>
      <w:rFonts w:eastAsia="宋体"/>
      <w:b/>
      <w:sz w:val="24"/>
      <w:lang w:val="en-US" w:eastAsia="zh-CN"/>
    </w:rPr>
  </w:style>
  <w:style w:type="character" w:styleId="1137" w:customStyle="1">
    <w:name w:val="明显强调1"/>
    <w:uiPriority w:val="99"/>
    <w:qFormat/>
    <w:rPr>
      <w:b/>
    </w:rPr>
  </w:style>
  <w:style w:type="character" w:styleId="1138" w:customStyle="1">
    <w:name w:val="font5 Char Char"/>
    <w:uiPriority w:val="99"/>
    <w:qFormat/>
    <w:rPr>
      <w:rFonts w:ascii="宋体" w:hAnsi="宋体" w:eastAsia="宋体"/>
      <w:sz w:val="28"/>
      <w:lang w:val="en-US" w:eastAsia="zh-CN"/>
    </w:rPr>
  </w:style>
  <w:style w:type="character" w:styleId="1139" w:customStyle="1">
    <w:name w:val="Char Char11"/>
    <w:uiPriority w:val="99"/>
    <w:qFormat/>
    <w:rPr>
      <w:rFonts w:ascii="宋体" w:hAnsi="宋体" w:eastAsia="宋体"/>
      <w:sz w:val="24"/>
      <w:lang w:val="en-US" w:eastAsia="zh-CN"/>
    </w:rPr>
  </w:style>
  <w:style w:type="character" w:styleId="1140" w:customStyle="1">
    <w:name w:val="Char Char10"/>
    <w:uiPriority w:val="99"/>
    <w:qFormat/>
    <w:rPr>
      <w:rFonts w:eastAsia="宋体"/>
      <w:b/>
      <w:sz w:val="24"/>
      <w:lang w:val="en-US" w:eastAsia="zh-CN"/>
    </w:rPr>
  </w:style>
  <w:style w:type="character" w:styleId="1141" w:customStyle="1">
    <w:name w:val="特点 Char1"/>
    <w:uiPriority w:val="99"/>
    <w:qFormat/>
    <w:rPr>
      <w:rFonts w:eastAsia="宋体"/>
      <w:sz w:val="21"/>
      <w:lang w:val="en-US" w:eastAsia="zh-CN"/>
    </w:rPr>
  </w:style>
  <w:style w:type="character" w:styleId="1142" w:customStyle="1">
    <w:name w:val="列表段落 字符"/>
    <w:link w:val="1143"/>
    <w:uiPriority w:val="99"/>
    <w:qFormat/>
    <w:rPr>
      <w:rFonts w:ascii="Calibri" w:hAnsi="Calibri"/>
    </w:rPr>
  </w:style>
  <w:style w:type="paragraph" w:styleId="1143">
    <w:name w:val="List Paragraph"/>
    <w:basedOn w:val="1021"/>
    <w:link w:val="1142"/>
    <w:uiPriority w:val="99"/>
    <w:qFormat/>
    <w:pPr>
      <w:ind w:firstLine="420"/>
      <w:spacing w:line="360" w:lineRule="auto"/>
    </w:pPr>
    <w:rPr>
      <w:rFonts w:ascii="Calibri" w:hAnsi="Calibri"/>
      <w:sz w:val="20"/>
      <w:szCs w:val="20"/>
    </w:rPr>
  </w:style>
  <w:style w:type="character" w:styleId="1144" w:customStyle="1">
    <w:name w:val="样式 非加粗"/>
    <w:uiPriority w:val="99"/>
    <w:qFormat/>
    <w:rPr>
      <w:rFonts w:eastAsia="宋体"/>
      <w:sz w:val="28"/>
    </w:rPr>
  </w:style>
  <w:style w:type="character" w:styleId="1145" w:customStyle="1">
    <w:name w:val="明显引用 Char"/>
    <w:uiPriority w:val="99"/>
    <w:qFormat/>
    <w:rPr>
      <w:rFonts w:ascii="Calibri" w:hAnsi="Calibri" w:eastAsia="宋体"/>
      <w:b/>
      <w:i/>
      <w:sz w:val="22"/>
      <w:lang w:val="en-US" w:eastAsia="en-US"/>
    </w:rPr>
  </w:style>
  <w:style w:type="character" w:styleId="1146" w:customStyle="1">
    <w:name w:val="content"/>
    <w:uiPriority w:val="99"/>
    <w:qFormat/>
  </w:style>
  <w:style w:type="character" w:styleId="1147" w:customStyle="1">
    <w:name w:val="Char Char14"/>
    <w:uiPriority w:val="99"/>
    <w:qFormat/>
    <w:rPr>
      <w:rFonts w:eastAsia="黑体"/>
      <w:b/>
      <w:sz w:val="28"/>
      <w:lang w:val="en-GB" w:eastAsia="zh-CN"/>
    </w:rPr>
  </w:style>
  <w:style w:type="character" w:styleId="1148" w:customStyle="1">
    <w:name w:val="标准小四 Char Char"/>
    <w:uiPriority w:val="99"/>
    <w:qFormat/>
    <w:rPr>
      <w:rFonts w:ascii="Arial" w:hAnsi="Arial" w:eastAsia="宋体"/>
      <w:sz w:val="21"/>
      <w:lang w:val="en-US" w:eastAsia="zh-CN"/>
    </w:rPr>
  </w:style>
  <w:style w:type="character" w:styleId="1149" w:customStyle="1">
    <w:name w:val="华宇段落1 Char Char"/>
    <w:uiPriority w:val="99"/>
    <w:qFormat/>
    <w:rPr>
      <w:rFonts w:eastAsia="宋体"/>
      <w:sz w:val="24"/>
      <w:lang w:val="en-US" w:eastAsia="zh-CN"/>
    </w:rPr>
  </w:style>
  <w:style w:type="character" w:styleId="1150" w:customStyle="1">
    <w:name w:val="书籍标题1"/>
    <w:uiPriority w:val="99"/>
    <w:qFormat/>
    <w:rPr>
      <w:i/>
      <w:smallCaps/>
      <w:spacing w:val="5"/>
    </w:rPr>
  </w:style>
  <w:style w:type="character" w:styleId="1151" w:customStyle="1">
    <w:name w:val="标准文本 Char Char"/>
    <w:uiPriority w:val="99"/>
    <w:qFormat/>
    <w:rPr>
      <w:rFonts w:eastAsia="宋体"/>
      <w:sz w:val="24"/>
      <w:lang w:val="en-US" w:eastAsia="zh-CN"/>
    </w:rPr>
  </w:style>
  <w:style w:type="character" w:styleId="1152" w:customStyle="1">
    <w:name w:val="纯文本 Char Char"/>
    <w:uiPriority w:val="99"/>
    <w:qFormat/>
    <w:rPr>
      <w:rFonts w:ascii="宋体" w:hAnsi="Courier New" w:eastAsia="宋体"/>
      <w:sz w:val="21"/>
      <w:lang w:val="en-US" w:eastAsia="zh-CN"/>
    </w:rPr>
  </w:style>
  <w:style w:type="character" w:styleId="1153" w:customStyle="1">
    <w:name w:val="h Char Char"/>
    <w:uiPriority w:val="99"/>
    <w:qFormat/>
    <w:rPr>
      <w:rFonts w:eastAsia="宋体"/>
      <w:sz w:val="18"/>
      <w:lang w:val="en-US" w:eastAsia="zh-CN"/>
    </w:rPr>
  </w:style>
  <w:style w:type="character" w:styleId="1154" w:customStyle="1">
    <w:name w:val="标题 Char1"/>
    <w:uiPriority w:val="99"/>
    <w:qFormat/>
    <w:rPr>
      <w:rFonts w:ascii="Cambria" w:eastAsia="宋体"/>
      <w:b/>
      <w:sz w:val="32"/>
    </w:rPr>
  </w:style>
  <w:style w:type="character" w:styleId="1155" w:customStyle="1">
    <w:name w:val="Char Char34"/>
    <w:uiPriority w:val="99"/>
    <w:qFormat/>
    <w:rPr>
      <w:rFonts w:eastAsia="宋体"/>
      <w:b/>
      <w:sz w:val="44"/>
      <w:lang w:val="en-US" w:eastAsia="zh-CN"/>
    </w:rPr>
  </w:style>
  <w:style w:type="character" w:styleId="1156" w:customStyle="1">
    <w:name w:val="不明显参考1"/>
    <w:uiPriority w:val="99"/>
    <w:qFormat/>
    <w:rPr>
      <w:smallCaps/>
    </w:rPr>
  </w:style>
  <w:style w:type="character" w:styleId="1157" w:customStyle="1">
    <w:name w:val="Intense Quote Char"/>
    <w:link w:val="1158"/>
    <w:uiPriority w:val="99"/>
    <w:qFormat/>
    <w:rPr>
      <w:rFonts w:ascii="Calibri" w:hAnsi="Calibri" w:eastAsia="宋体"/>
      <w:b/>
      <w:i/>
      <w:sz w:val="22"/>
      <w:lang w:eastAsia="en-US"/>
    </w:rPr>
  </w:style>
  <w:style w:type="paragraph" w:styleId="1158" w:customStyle="1">
    <w:name w:val="明显引用1"/>
    <w:basedOn w:val="1021"/>
    <w:next w:val="1021"/>
    <w:link w:val="1157"/>
    <w:uiPriority w:val="99"/>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character" w:styleId="1159" w:customStyle="1">
    <w:name w:val="font41"/>
    <w:uiPriority w:val="99"/>
    <w:qFormat/>
    <w:rPr>
      <w:rFonts w:ascii="宋体" w:hAnsi="宋体" w:eastAsia="宋体" w:cs="宋体"/>
      <w:color w:val="000000"/>
      <w:sz w:val="18"/>
      <w:szCs w:val="18"/>
      <w:u w:val="none"/>
    </w:rPr>
  </w:style>
  <w:style w:type="character" w:styleId="1160" w:customStyle="1">
    <w:name w:val="Title1 Char"/>
    <w:uiPriority w:val="99"/>
    <w:qFormat/>
    <w:rPr>
      <w:rFonts w:eastAsia="宋体"/>
      <w:b/>
      <w:sz w:val="44"/>
      <w:lang w:val="en-US" w:eastAsia="zh-CN"/>
    </w:rPr>
  </w:style>
  <w:style w:type="character" w:styleId="1161" w:customStyle="1">
    <w:name w:val="font21"/>
    <w:uiPriority w:val="99"/>
    <w:qFormat/>
    <w:rPr>
      <w:rFonts w:ascii="宋体" w:hAnsi="宋体" w:eastAsia="宋体"/>
      <w:color w:val="000000"/>
      <w:sz w:val="20"/>
      <w:u w:val="none"/>
    </w:rPr>
  </w:style>
  <w:style w:type="character" w:styleId="1162" w:customStyle="1">
    <w:name w:val="Char Char19"/>
    <w:uiPriority w:val="99"/>
    <w:qFormat/>
    <w:rPr>
      <w:rFonts w:ascii="Arial" w:hAnsi="Arial" w:eastAsia="黑体"/>
      <w:b/>
      <w:sz w:val="24"/>
      <w:lang w:val="en-US" w:eastAsia="zh-CN"/>
    </w:rPr>
  </w:style>
  <w:style w:type="character" w:styleId="1163" w:customStyle="1">
    <w:name w:val="style131"/>
    <w:uiPriority w:val="99"/>
    <w:qFormat/>
    <w:rPr>
      <w:sz w:val="18"/>
    </w:rPr>
  </w:style>
  <w:style w:type="character" w:styleId="1164" w:customStyle="1">
    <w:name w:val="Char Char4"/>
    <w:uiPriority w:val="99"/>
    <w:qFormat/>
    <w:rPr>
      <w:rFonts w:ascii="方正大黑简体" w:eastAsia="方正大黑简体"/>
      <w:position w:val="6"/>
      <w:sz w:val="30"/>
      <w:lang w:val="en-US" w:eastAsia="zh-CN"/>
    </w:rPr>
  </w:style>
  <w:style w:type="character" w:styleId="1165" w:customStyle="1">
    <w:name w:val="Char Char32"/>
    <w:uiPriority w:val="99"/>
    <w:qFormat/>
    <w:rPr>
      <w:rFonts w:eastAsia="宋体"/>
      <w:b/>
      <w:sz w:val="32"/>
      <w:lang w:val="en-US" w:eastAsia="zh-CN"/>
    </w:rPr>
  </w:style>
  <w:style w:type="character" w:styleId="1166" w:customStyle="1">
    <w:name w:val="case31"/>
    <w:uiPriority w:val="99"/>
    <w:qFormat/>
    <w:rPr>
      <w:sz w:val="21"/>
    </w:rPr>
  </w:style>
  <w:style w:type="character" w:styleId="1167" w:customStyle="1">
    <w:name w:val="标准小四 Char"/>
    <w:uiPriority w:val="99"/>
    <w:qFormat/>
    <w:rPr>
      <w:rFonts w:ascii="Arial" w:hAnsi="Arial" w:eastAsia="宋体"/>
      <w:sz w:val="21"/>
      <w:lang w:val="en-US" w:eastAsia="zh-CN"/>
    </w:rPr>
  </w:style>
  <w:style w:type="character" w:styleId="1168" w:customStyle="1">
    <w:name w:val="apple-style-span"/>
    <w:uiPriority w:val="99"/>
    <w:qFormat/>
  </w:style>
  <w:style w:type="character" w:styleId="1169" w:customStyle="1">
    <w:name w:val="纯文本 Char Char Char"/>
    <w:uiPriority w:val="99"/>
    <w:qFormat/>
    <w:rPr>
      <w:rFonts w:ascii="宋体" w:hAnsi="Courier New" w:eastAsia="宋体"/>
      <w:sz w:val="21"/>
      <w:lang w:val="en-US" w:eastAsia="zh-CN"/>
    </w:rPr>
  </w:style>
  <w:style w:type="character" w:styleId="1170" w:customStyle="1">
    <w:name w:val="2nd level Char"/>
    <w:uiPriority w:val="99"/>
    <w:qFormat/>
    <w:rPr>
      <w:rFonts w:ascii="Arial" w:hAnsi="Arial" w:eastAsia="黑体"/>
      <w:b/>
      <w:sz w:val="32"/>
      <w:lang w:val="en-US" w:eastAsia="zh-CN"/>
    </w:rPr>
  </w:style>
  <w:style w:type="character" w:styleId="1171" w:customStyle="1">
    <w:name w:val="A2"/>
    <w:uiPriority w:val="99"/>
    <w:qFormat/>
    <w:rPr>
      <w:color w:val="000000"/>
      <w:sz w:val="18"/>
    </w:rPr>
  </w:style>
  <w:style w:type="character" w:styleId="1172" w:customStyle="1">
    <w:name w:val="Char Char30"/>
    <w:uiPriority w:val="99"/>
    <w:qFormat/>
    <w:rPr>
      <w:rFonts w:eastAsia="宋体"/>
      <w:b/>
      <w:sz w:val="28"/>
      <w:lang w:val="en-US" w:eastAsia="zh-CN"/>
    </w:rPr>
  </w:style>
  <w:style w:type="character" w:styleId="1173" w:customStyle="1">
    <w:name w:val="小四 段落 宋体 Char1"/>
    <w:uiPriority w:val="99"/>
    <w:qFormat/>
    <w:rPr>
      <w:rFonts w:eastAsia="宋体"/>
      <w:sz w:val="24"/>
      <w:lang w:val="en-US" w:eastAsia="zh-CN"/>
    </w:rPr>
  </w:style>
  <w:style w:type="character" w:styleId="1174" w:customStyle="1">
    <w:name w:val="普通文字 Char Char3"/>
    <w:uiPriority w:val="99"/>
    <w:qFormat/>
    <w:rPr>
      <w:rFonts w:ascii="宋体" w:hAnsi="Courier New" w:eastAsia="宋体"/>
      <w:sz w:val="21"/>
      <w:lang w:val="en-US" w:eastAsia="zh-CN"/>
    </w:rPr>
  </w:style>
  <w:style w:type="character" w:styleId="1175" w:customStyle="1">
    <w:name w:val="小四 段落 宋体 Char Char Char Char Char"/>
    <w:uiPriority w:val="99"/>
    <w:qFormat/>
    <w:rPr>
      <w:rFonts w:eastAsia="宋体"/>
      <w:sz w:val="24"/>
      <w:lang w:val="en-US" w:eastAsia="zh-CN"/>
    </w:rPr>
  </w:style>
  <w:style w:type="character" w:styleId="1176" w:customStyle="1">
    <w:name w:val="正文 + 宋体 Char"/>
    <w:uiPriority w:val="99"/>
    <w:qFormat/>
    <w:rPr>
      <w:rFonts w:eastAsia="宋体"/>
      <w:sz w:val="24"/>
      <w:lang w:val="en-US" w:eastAsia="zh-CN"/>
    </w:rPr>
  </w:style>
  <w:style w:type="character" w:styleId="1177" w:customStyle="1">
    <w:name w:val="Char Char5"/>
    <w:uiPriority w:val="99"/>
    <w:qFormat/>
    <w:rPr>
      <w:rFonts w:eastAsia="宋体"/>
      <w:sz w:val="24"/>
      <w:lang w:val="en-US" w:eastAsia="zh-CN"/>
    </w:rPr>
  </w:style>
  <w:style w:type="character" w:styleId="1178" w:customStyle="1">
    <w:name w:val="样式 首行缩进:  2 字符 Char"/>
    <w:uiPriority w:val="99"/>
    <w:qFormat/>
    <w:rPr>
      <w:rFonts w:eastAsia="宋体"/>
      <w:sz w:val="24"/>
      <w:lang w:val="en-US" w:eastAsia="zh-CN"/>
    </w:rPr>
  </w:style>
  <w:style w:type="character" w:styleId="1179" w:customStyle="1">
    <w:name w:val="已访问的超链接1"/>
    <w:uiPriority w:val="99"/>
    <w:qFormat/>
    <w:rPr>
      <w:color w:val="auto"/>
      <w:u w:val="none"/>
    </w:rPr>
  </w:style>
  <w:style w:type="character" w:styleId="1180" w:customStyle="1">
    <w:name w:val="正文文本 字符"/>
    <w:uiPriority w:val="99"/>
    <w:semiHidden/>
    <w:qFormat/>
    <w:rPr>
      <w:rFonts w:ascii="Times New Roman" w:hAnsi="Times New Roman" w:eastAsia="宋体"/>
      <w:sz w:val="24"/>
    </w:rPr>
  </w:style>
  <w:style w:type="character" w:styleId="1181" w:customStyle="1">
    <w:name w:val="normalfont1"/>
    <w:uiPriority w:val="99"/>
    <w:qFormat/>
    <w:rPr>
      <w:rFonts w:ascii="??" w:hAnsi="??"/>
      <w:sz w:val="18"/>
      <w:u w:val="none"/>
    </w:rPr>
  </w:style>
  <w:style w:type="character" w:styleId="1182" w:customStyle="1">
    <w:name w:val="小四 段落 宋体 Char Char Char Char1"/>
    <w:uiPriority w:val="99"/>
    <w:qFormat/>
    <w:rPr>
      <w:rFonts w:eastAsia="宋体"/>
      <w:sz w:val="24"/>
      <w:lang w:val="en-US" w:eastAsia="zh-CN"/>
    </w:rPr>
  </w:style>
  <w:style w:type="character" w:styleId="1183" w:customStyle="1">
    <w:name w:val="Quote Char"/>
    <w:link w:val="1184"/>
    <w:uiPriority w:val="99"/>
    <w:qFormat/>
    <w:rPr>
      <w:rFonts w:ascii="Calibri" w:hAnsi="Calibri" w:eastAsia="宋体"/>
      <w:i/>
      <w:sz w:val="22"/>
      <w:lang w:eastAsia="en-US"/>
    </w:rPr>
  </w:style>
  <w:style w:type="paragraph" w:styleId="1184" w:customStyle="1">
    <w:name w:val="引用1"/>
    <w:basedOn w:val="1021"/>
    <w:next w:val="1021"/>
    <w:link w:val="1183"/>
    <w:uiPriority w:val="99"/>
    <w:qFormat/>
    <w:pPr>
      <w:ind w:left="360" w:right="360"/>
      <w:jc w:val="left"/>
      <w:spacing w:before="200" w:line="276" w:lineRule="auto"/>
      <w:widowControl/>
    </w:pPr>
    <w:rPr>
      <w:rFonts w:ascii="Calibri" w:hAnsi="Calibri"/>
      <w:i/>
      <w:sz w:val="22"/>
      <w:szCs w:val="20"/>
      <w:lang w:eastAsia="en-US"/>
    </w:rPr>
  </w:style>
  <w:style w:type="character" w:styleId="1185" w:customStyle="1">
    <w:name w:val="样式 宋体 小四"/>
    <w:uiPriority w:val="99"/>
    <w:qFormat/>
    <w:rPr>
      <w:rFonts w:ascii="宋体" w:eastAsia="宋体"/>
      <w:sz w:val="24"/>
    </w:rPr>
  </w:style>
  <w:style w:type="character" w:styleId="1186" w:customStyle="1">
    <w:name w:val="标题 3 Char Char"/>
    <w:uiPriority w:val="99"/>
    <w:qFormat/>
    <w:rPr>
      <w:rFonts w:eastAsia="仿宋_GB2312"/>
      <w:b/>
      <w:sz w:val="32"/>
      <w:lang w:val="en-US" w:eastAsia="zh-CN"/>
    </w:rPr>
  </w:style>
  <w:style w:type="character" w:styleId="1187" w:customStyle="1">
    <w:name w:val="font111"/>
    <w:uiPriority w:val="99"/>
    <w:qFormat/>
    <w:rPr>
      <w:rFonts w:ascii="宋体" w:hAnsi="宋体" w:eastAsia="宋体"/>
      <w:color w:val="000000"/>
      <w:sz w:val="20"/>
      <w:u w:val="none"/>
    </w:rPr>
  </w:style>
  <w:style w:type="character" w:styleId="1188" w:customStyle="1">
    <w:name w:val="标准文本 Char Char Char"/>
    <w:uiPriority w:val="99"/>
    <w:qFormat/>
    <w:rPr>
      <w:rFonts w:eastAsia="宋体"/>
      <w:sz w:val="24"/>
      <w:lang w:val="en-US" w:eastAsia="zh-CN"/>
    </w:rPr>
  </w:style>
  <w:style w:type="character" w:styleId="1189" w:customStyle="1">
    <w:name w:val="Char Char24"/>
    <w:uiPriority w:val="99"/>
    <w:qFormat/>
    <w:rPr>
      <w:b/>
      <w:sz w:val="28"/>
    </w:rPr>
  </w:style>
  <w:style w:type="character" w:styleId="1190" w:customStyle="1">
    <w:name w:val="样式 首行缩进:  2 字符 Char Char Char"/>
    <w:uiPriority w:val="99"/>
    <w:qFormat/>
    <w:rPr>
      <w:rFonts w:eastAsia="宋体"/>
      <w:sz w:val="24"/>
      <w:lang w:val="en-US" w:eastAsia="zh-CN"/>
    </w:rPr>
  </w:style>
  <w:style w:type="character" w:styleId="1191" w:customStyle="1">
    <w:name w:val="Char Char31"/>
    <w:uiPriority w:val="99"/>
    <w:qFormat/>
    <w:rPr>
      <w:rFonts w:ascii="Arial" w:hAnsi="Arial" w:eastAsia="黑体"/>
      <w:b/>
      <w:sz w:val="28"/>
      <w:lang w:val="en-US" w:eastAsia="zh-CN"/>
    </w:rPr>
  </w:style>
  <w:style w:type="character" w:styleId="1192" w:customStyle="1">
    <w:name w:val="小四 段落 宋体 Char Char Char1"/>
    <w:uiPriority w:val="99"/>
    <w:qFormat/>
    <w:rPr>
      <w:rFonts w:ascii="宋体" w:hAnsi="宋体" w:eastAsia="宋体"/>
      <w:sz w:val="24"/>
      <w:lang w:val="en-US" w:eastAsia="zh-CN"/>
    </w:rPr>
  </w:style>
  <w:style w:type="character" w:styleId="1193" w:customStyle="1">
    <w:name w:val="Char Char7"/>
    <w:uiPriority w:val="99"/>
    <w:qFormat/>
    <w:rPr>
      <w:rFonts w:eastAsia="宋体"/>
      <w:b/>
      <w:sz w:val="24"/>
      <w:lang w:val="en-US" w:eastAsia="zh-CN"/>
    </w:rPr>
  </w:style>
  <w:style w:type="character" w:styleId="1194" w:customStyle="1">
    <w:name w:val="concon"/>
    <w:uiPriority w:val="99"/>
    <w:qFormat/>
  </w:style>
  <w:style w:type="character" w:styleId="1195" w:customStyle="1">
    <w:name w:val="小四 段落 宋体 Char Char Char Char Char Char"/>
    <w:uiPriority w:val="99"/>
    <w:qFormat/>
    <w:rPr>
      <w:rFonts w:eastAsia="宋体"/>
      <w:sz w:val="24"/>
      <w:lang w:val="en-US" w:eastAsia="zh-CN"/>
    </w:rPr>
  </w:style>
  <w:style w:type="character" w:styleId="1196" w:customStyle="1">
    <w:name w:val="标题 3 Char1"/>
    <w:uiPriority w:val="99"/>
    <w:qFormat/>
    <w:rPr>
      <w:rFonts w:eastAsia="宋体"/>
      <w:b/>
      <w:sz w:val="32"/>
      <w:lang w:val="en-US" w:eastAsia="zh-CN"/>
    </w:rPr>
  </w:style>
  <w:style w:type="character" w:styleId="1197" w:customStyle="1">
    <w:name w:val="Char Char26"/>
    <w:uiPriority w:val="99"/>
    <w:qFormat/>
    <w:rPr>
      <w:b/>
      <w:sz w:val="32"/>
    </w:rPr>
  </w:style>
  <w:style w:type="character" w:styleId="1198" w:customStyle="1">
    <w:name w:val="Char Char33"/>
    <w:uiPriority w:val="99"/>
    <w:qFormat/>
    <w:rPr>
      <w:rFonts w:ascii="Arial" w:hAnsi="Arial" w:eastAsia="黑体"/>
      <w:b/>
      <w:sz w:val="32"/>
      <w:lang w:val="en-US" w:eastAsia="zh-CN"/>
    </w:rPr>
  </w:style>
  <w:style w:type="character" w:styleId="1199" w:customStyle="1">
    <w:name w:val="小四 段落 宋体 Char Char Char Char Char Char Char"/>
    <w:uiPriority w:val="99"/>
    <w:qFormat/>
    <w:rPr>
      <w:rFonts w:eastAsia="宋体"/>
      <w:sz w:val="24"/>
      <w:lang w:val="en-US" w:eastAsia="zh-CN"/>
    </w:rPr>
  </w:style>
  <w:style w:type="character" w:styleId="1200" w:customStyle="1">
    <w:name w:val="Char Char20"/>
    <w:uiPriority w:val="99"/>
    <w:qFormat/>
    <w:rPr>
      <w:rFonts w:ascii="Arial" w:hAnsi="Arial" w:eastAsia="黑体"/>
      <w:sz w:val="21"/>
    </w:rPr>
  </w:style>
  <w:style w:type="character" w:styleId="1201" w:customStyle="1">
    <w:name w:val="Char Char17"/>
    <w:uiPriority w:val="99"/>
    <w:qFormat/>
    <w:rPr>
      <w:rFonts w:ascii="宋体" w:hAnsi="Courier New"/>
      <w:sz w:val="21"/>
    </w:rPr>
  </w:style>
  <w:style w:type="character" w:styleId="1202" w:customStyle="1">
    <w:name w:val="subtitle1"/>
    <w:uiPriority w:val="99"/>
    <w:qFormat/>
    <w:rPr>
      <w:rFonts w:ascii="Georgia" w:hAnsi="Georgia"/>
      <w:b/>
      <w:color w:val="auto"/>
      <w:sz w:val="18"/>
    </w:rPr>
  </w:style>
  <w:style w:type="character" w:styleId="1203" w:customStyle="1">
    <w:name w:val="正文缩进 Char1"/>
    <w:uiPriority w:val="99"/>
    <w:qFormat/>
    <w:rPr>
      <w:rFonts w:eastAsia="宋体"/>
    </w:rPr>
  </w:style>
  <w:style w:type="character" w:styleId="1204" w:customStyle="1">
    <w:name w:val="Char Char12"/>
    <w:uiPriority w:val="99"/>
    <w:qFormat/>
    <w:rPr>
      <w:rFonts w:ascii="Arial" w:hAnsi="Arial" w:eastAsia="黑体"/>
      <w:sz w:val="21"/>
      <w:lang w:val="en-US" w:eastAsia="zh-CN"/>
    </w:rPr>
  </w:style>
  <w:style w:type="character" w:styleId="1205" w:customStyle="1">
    <w:name w:val="Char Char27"/>
    <w:uiPriority w:val="99"/>
    <w:qFormat/>
    <w:rPr>
      <w:b/>
      <w:sz w:val="44"/>
    </w:rPr>
  </w:style>
  <w:style w:type="character" w:styleId="1206" w:customStyle="1">
    <w:name w:val="页脚 Char"/>
    <w:uiPriority w:val="0"/>
    <w:qFormat/>
    <w:rPr>
      <w:sz w:val="18"/>
    </w:rPr>
  </w:style>
  <w:style w:type="character" w:styleId="1207" w:customStyle="1">
    <w:name w:val="明显参考1"/>
    <w:uiPriority w:val="99"/>
    <w:qFormat/>
    <w:rPr>
      <w:smallCaps/>
      <w:spacing w:val="5"/>
      <w:u w:val="single"/>
    </w:rPr>
  </w:style>
  <w:style w:type="character" w:styleId="1208" w:customStyle="1">
    <w:name w:val="apple-converted-space"/>
    <w:uiPriority w:val="99"/>
    <w:qFormat/>
  </w:style>
  <w:style w:type="character" w:styleId="1209" w:customStyle="1">
    <w:name w:val="Char Char22"/>
    <w:uiPriority w:val="99"/>
    <w:qFormat/>
    <w:rPr>
      <w:b/>
      <w:sz w:val="24"/>
    </w:rPr>
  </w:style>
  <w:style w:type="character" w:styleId="1210" w:customStyle="1">
    <w:name w:val="Char Char13"/>
    <w:uiPriority w:val="99"/>
    <w:qFormat/>
    <w:rPr>
      <w:rFonts w:ascii="宋体" w:hAnsi="宋体" w:eastAsia="宋体"/>
      <w:sz w:val="24"/>
      <w:lang w:val="en-US" w:eastAsia="zh-CN"/>
    </w:rPr>
  </w:style>
  <w:style w:type="character" w:styleId="1211" w:customStyle="1">
    <w:name w:val="content_lineheight1"/>
    <w:uiPriority w:val="99"/>
    <w:qFormat/>
  </w:style>
  <w:style w:type="character" w:styleId="1212" w:customStyle="1">
    <w:name w:val="ih151"/>
    <w:uiPriority w:val="99"/>
    <w:qFormat/>
    <w:rPr>
      <w:color w:val="auto"/>
      <w:sz w:val="18"/>
      <w:u w:val="none"/>
    </w:rPr>
  </w:style>
  <w:style w:type="character" w:styleId="1213" w:customStyle="1">
    <w:name w:val="样式 首行缩进:  2 字符 Char Char"/>
    <w:uiPriority w:val="99"/>
    <w:qFormat/>
    <w:rPr>
      <w:rFonts w:eastAsia="宋体"/>
      <w:sz w:val="24"/>
      <w:lang w:val="en-US" w:eastAsia="zh-CN"/>
    </w:rPr>
  </w:style>
  <w:style w:type="character" w:styleId="1214" w:customStyle="1">
    <w:name w:val="Char Char15"/>
    <w:uiPriority w:val="99"/>
    <w:qFormat/>
    <w:rPr>
      <w:rFonts w:ascii="Arial" w:hAnsi="Arial" w:eastAsia="黑体"/>
      <w:sz w:val="21"/>
      <w:lang w:val="en-US" w:eastAsia="zh-CN"/>
    </w:rPr>
  </w:style>
  <w:style w:type="character" w:styleId="1215" w:customStyle="1">
    <w:name w:val="引用 Char"/>
    <w:uiPriority w:val="99"/>
    <w:qFormat/>
    <w:rPr>
      <w:rFonts w:ascii="Calibri" w:hAnsi="Calibri" w:eastAsia="宋体"/>
      <w:i/>
      <w:sz w:val="22"/>
      <w:lang w:val="en-US" w:eastAsia="en-US"/>
    </w:rPr>
  </w:style>
  <w:style w:type="character" w:styleId="1216" w:customStyle="1">
    <w:name w:val="Char Char29"/>
    <w:uiPriority w:val="99"/>
    <w:qFormat/>
    <w:rPr>
      <w:rFonts w:ascii="Times New Roman" w:hAnsi="Times New Roman" w:eastAsia="宋体"/>
      <w:b/>
      <w:sz w:val="44"/>
    </w:rPr>
  </w:style>
  <w:style w:type="character" w:styleId="1217" w:customStyle="1">
    <w:name w:val="t1"/>
    <w:uiPriority w:val="99"/>
    <w:qFormat/>
  </w:style>
  <w:style w:type="character" w:styleId="1218" w:customStyle="1">
    <w:name w:val="title_emph1"/>
    <w:uiPriority w:val="99"/>
    <w:qFormat/>
    <w:rPr>
      <w:rFonts w:ascii="Arial"/>
      <w:b/>
      <w:sz w:val="18"/>
    </w:rPr>
  </w:style>
  <w:style w:type="character" w:styleId="1219" w:customStyle="1">
    <w:name w:val="Char Char21"/>
    <w:uiPriority w:val="99"/>
    <w:qFormat/>
    <w:rPr>
      <w:rFonts w:ascii="Arial" w:hAnsi="Arial" w:eastAsia="黑体"/>
      <w:sz w:val="24"/>
    </w:rPr>
  </w:style>
  <w:style w:type="character" w:styleId="1220" w:customStyle="1">
    <w:name w:val="纯文本 Char1"/>
    <w:uiPriority w:val="99"/>
    <w:qFormat/>
    <w:rPr>
      <w:rFonts w:ascii="宋体" w:hAnsi="Courier New"/>
      <w:sz w:val="21"/>
    </w:rPr>
  </w:style>
  <w:style w:type="character" w:styleId="1221" w:customStyle="1">
    <w:name w:val="Char Char25"/>
    <w:uiPriority w:val="99"/>
    <w:qFormat/>
    <w:rPr>
      <w:rFonts w:ascii="Arial" w:hAnsi="Arial" w:eastAsia="黑体"/>
      <w:b/>
      <w:sz w:val="28"/>
    </w:rPr>
  </w:style>
  <w:style w:type="character" w:styleId="1222" w:customStyle="1">
    <w:name w:val="无间隔 Char"/>
    <w:uiPriority w:val="99"/>
    <w:qFormat/>
    <w:rPr>
      <w:rFonts w:ascii="Calibri" w:hAnsi="Calibri" w:eastAsia="微软雅黑"/>
      <w:sz w:val="22"/>
      <w:lang w:val="en-US" w:eastAsia="zh-CN"/>
    </w:rPr>
  </w:style>
  <w:style w:type="character" w:styleId="1223" w:customStyle="1">
    <w:name w:val="Char Char2"/>
    <w:uiPriority w:val="99"/>
    <w:qFormat/>
    <w:rPr>
      <w:rFonts w:ascii="宋体" w:hAnsi="Courier New" w:eastAsia="宋体"/>
      <w:sz w:val="21"/>
      <w:lang w:val="en-US" w:eastAsia="zh-CN"/>
    </w:rPr>
  </w:style>
  <w:style w:type="character" w:styleId="122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225" w:customStyle="1">
    <w:name w:val="不明显强调1"/>
    <w:uiPriority w:val="99"/>
    <w:qFormat/>
    <w:rPr>
      <w:i/>
    </w:rPr>
  </w:style>
  <w:style w:type="character" w:styleId="1226" w:customStyle="1">
    <w:name w:val="111111 Char Char"/>
    <w:uiPriority w:val="99"/>
    <w:qFormat/>
    <w:rPr>
      <w:rFonts w:ascii="宋体" w:hAnsi="宋体" w:eastAsia="黑体"/>
      <w:b/>
      <w:sz w:val="21"/>
      <w:lang w:val="en-US" w:eastAsia="zh-CN"/>
    </w:rPr>
  </w:style>
  <w:style w:type="character" w:styleId="1227" w:customStyle="1">
    <w:name w:val="font61"/>
    <w:uiPriority w:val="0"/>
    <w:qFormat/>
    <w:rPr>
      <w:rFonts w:ascii="宋体" w:hAnsi="宋体" w:eastAsia="宋体"/>
      <w:color w:val="ff0000"/>
      <w:sz w:val="20"/>
      <w:u w:val="none"/>
    </w:rPr>
  </w:style>
  <w:style w:type="character" w:styleId="1228" w:customStyle="1">
    <w:name w:val="标准小四 Char Char Char"/>
    <w:uiPriority w:val="99"/>
    <w:qFormat/>
    <w:rPr>
      <w:rFonts w:ascii="Arial" w:hAnsi="Arial" w:eastAsia="宋体"/>
      <w:sz w:val="21"/>
      <w:lang w:val="en-US" w:eastAsia="zh-CN"/>
    </w:rPr>
  </w:style>
  <w:style w:type="character" w:styleId="1229" w:customStyle="1">
    <w:name w:val="Char Char9"/>
    <w:uiPriority w:val="99"/>
    <w:qFormat/>
    <w:rPr>
      <w:rFonts w:eastAsia="宋体"/>
      <w:sz w:val="21"/>
      <w:lang w:val="en-US" w:eastAsia="zh-CN"/>
    </w:rPr>
  </w:style>
  <w:style w:type="character" w:styleId="1230" w:customStyle="1">
    <w:name w:val="3zw"/>
    <w:uiPriority w:val="99"/>
    <w:qFormat/>
  </w:style>
  <w:style w:type="character" w:styleId="1231" w:customStyle="1">
    <w:name w:val="medium_text1"/>
    <w:uiPriority w:val="99"/>
    <w:qFormat/>
    <w:rPr>
      <w:sz w:val="24"/>
    </w:rPr>
  </w:style>
  <w:style w:type="character" w:styleId="1232" w:customStyle="1">
    <w:name w:val="Char Char16"/>
    <w:uiPriority w:val="99"/>
    <w:qFormat/>
    <w:rPr>
      <w:rFonts w:ascii="Arial" w:hAnsi="Arial" w:eastAsia="黑体"/>
      <w:sz w:val="24"/>
      <w:lang w:val="en-US" w:eastAsia="zh-CN"/>
    </w:rPr>
  </w:style>
  <w:style w:type="character" w:styleId="1233" w:customStyle="1">
    <w:name w:val="华宇段落1 Char Char Char Char"/>
    <w:uiPriority w:val="99"/>
    <w:qFormat/>
    <w:rPr>
      <w:rFonts w:eastAsia="宋体"/>
      <w:sz w:val="24"/>
      <w:lang w:val="en-US" w:eastAsia="zh-CN"/>
    </w:rPr>
  </w:style>
  <w:style w:type="character" w:styleId="1234" w:customStyle="1">
    <w:name w:val="font91"/>
    <w:uiPriority w:val="99"/>
    <w:qFormat/>
    <w:rPr>
      <w:rFonts w:ascii="宋体" w:hAnsi="宋体" w:eastAsia="宋体"/>
      <w:color w:val="000000"/>
      <w:sz w:val="20"/>
      <w:u w:val="none"/>
    </w:rPr>
  </w:style>
  <w:style w:type="character" w:styleId="1235" w:customStyle="1">
    <w:name w:val="Char Char3"/>
    <w:uiPriority w:val="99"/>
    <w:qFormat/>
    <w:rPr>
      <w:rFonts w:eastAsia="宋体"/>
      <w:sz w:val="18"/>
      <w:lang w:val="en-US" w:eastAsia="zh-CN"/>
    </w:rPr>
  </w:style>
  <w:style w:type="character" w:styleId="1236" w:customStyle="1">
    <w:name w:val="普通文字1 Char"/>
    <w:uiPriority w:val="99"/>
    <w:qFormat/>
    <w:rPr>
      <w:rFonts w:ascii="宋体" w:eastAsia="宋体"/>
      <w:sz w:val="21"/>
      <w:lang w:val="en-US" w:eastAsia="zh-CN"/>
    </w:rPr>
  </w:style>
  <w:style w:type="character" w:styleId="1237" w:customStyle="1">
    <w:name w:val="Char Char8"/>
    <w:uiPriority w:val="99"/>
    <w:qFormat/>
    <w:rPr>
      <w:rFonts w:eastAsia="宋体"/>
      <w:sz w:val="18"/>
      <w:lang w:val="en-US" w:eastAsia="zh-CN"/>
    </w:rPr>
  </w:style>
  <w:style w:type="character" w:styleId="1238" w:customStyle="1">
    <w:name w:val="msosubtleemphasis"/>
    <w:uiPriority w:val="99"/>
    <w:qFormat/>
    <w:rPr>
      <w:rFonts w:cs="Times New Roman"/>
      <w:i/>
      <w:color w:val="auto"/>
    </w:rPr>
  </w:style>
  <w:style w:type="character" w:styleId="1239" w:customStyle="1">
    <w:name w:val="小四 段落 宋体 Char Char Char Char Char Char Char Char"/>
    <w:uiPriority w:val="99"/>
    <w:qFormat/>
    <w:rPr>
      <w:rFonts w:eastAsia="宋体"/>
      <w:sz w:val="24"/>
      <w:lang w:val="en-US" w:eastAsia="zh-CN"/>
    </w:rPr>
  </w:style>
  <w:style w:type="character" w:styleId="1240" w:customStyle="1">
    <w:name w:val="批注文字 Char"/>
    <w:uiPriority w:val="0"/>
    <w:qFormat/>
    <w:rPr>
      <w:rFonts w:ascii="Times New Roman" w:hAnsi="Times New Roman" w:eastAsia="宋体"/>
      <w:sz w:val="20"/>
    </w:rPr>
  </w:style>
  <w:style w:type="character" w:styleId="1241" w:customStyle="1">
    <w:name w:val="批注文字 字符"/>
    <w:uiPriority w:val="99"/>
    <w:qFormat/>
    <w:rPr>
      <w:rFonts w:ascii="Times New Roman" w:hAnsi="Times New Roman" w:eastAsia="宋体" w:cs="Times New Roman"/>
      <w:sz w:val="24"/>
      <w:szCs w:val="24"/>
    </w:rPr>
  </w:style>
  <w:style w:type="paragraph" w:styleId="1242" w:customStyle="1">
    <w:name w:val="样式 加点正文 + 段前: 0.5 行 段后: 0.5 行1"/>
    <w:basedOn w:val="1021"/>
    <w:uiPriority w:val="99"/>
    <w:qFormat/>
    <w:pPr>
      <w:ind w:left="1268" w:hanging="420"/>
      <w:spacing w:line="300" w:lineRule="auto"/>
      <w:tabs>
        <w:tab w:val="left" w:pos="1268" w:leader="none"/>
      </w:tabs>
    </w:pPr>
    <w:rPr>
      <w:sz w:val="24"/>
      <w:szCs w:val="20"/>
    </w:rPr>
  </w:style>
  <w:style w:type="paragraph" w:styleId="1243" w:customStyle="1">
    <w:name w:val="Char2"/>
    <w:basedOn w:val="1039"/>
    <w:uiPriority w:val="99"/>
    <w:qFormat/>
    <w:rPr>
      <w:rFonts w:ascii="Tahoma" w:hAnsi="Tahoma"/>
    </w:rPr>
  </w:style>
  <w:style w:type="paragraph" w:styleId="1244" w:customStyle="1">
    <w:name w:val="正文缩进2字符"/>
    <w:basedOn w:val="1021"/>
    <w:uiPriority w:val="99"/>
    <w:qFormat/>
    <w:pPr>
      <w:ind w:firstLine="200"/>
      <w:spacing w:line="300" w:lineRule="auto"/>
    </w:pPr>
    <w:rPr>
      <w:rFonts w:ascii="仿宋_GB2312" w:eastAsia="仿宋_GB2312"/>
      <w:sz w:val="32"/>
      <w:szCs w:val="32"/>
    </w:rPr>
  </w:style>
  <w:style w:type="paragraph" w:styleId="1245" w:customStyle="1">
    <w:name w:val="普通 (Web)"/>
    <w:basedOn w:val="1021"/>
    <w:uiPriority w:val="99"/>
    <w:qFormat/>
    <w:pPr>
      <w:jc w:val="left"/>
      <w:spacing w:before="100" w:beforeAutospacing="1" w:after="100" w:afterAutospacing="1"/>
      <w:widowControl/>
    </w:pPr>
    <w:rPr>
      <w:rFonts w:ascii="宋体" w:hAnsi="宋体"/>
      <w:sz w:val="24"/>
    </w:rPr>
  </w:style>
  <w:style w:type="paragraph" w:styleId="1246" w:customStyle="1">
    <w:name w:val="table_lines"/>
    <w:basedOn w:val="1021"/>
    <w:uiPriority w:val="99"/>
    <w:qFormat/>
    <w:pPr>
      <w:jc w:val="left"/>
      <w:widowControl/>
    </w:pPr>
    <w:rPr>
      <w:sz w:val="20"/>
      <w:szCs w:val="20"/>
      <w:lang w:val="de-DE" w:eastAsia="de-DE"/>
    </w:rPr>
  </w:style>
  <w:style w:type="paragraph" w:styleId="1247" w:customStyle="1">
    <w:name w:val="方案正文"/>
    <w:basedOn w:val="1021"/>
    <w:uiPriority w:val="99"/>
    <w:qFormat/>
    <w:pPr>
      <w:ind w:firstLine="359"/>
      <w:jc w:val="left"/>
      <w:spacing w:before="156" w:line="360" w:lineRule="auto"/>
    </w:pPr>
    <w:rPr>
      <w:rFonts w:ascii="Arial" w:hAnsi="Arial" w:cs="宋体"/>
      <w:sz w:val="24"/>
      <w:szCs w:val="21"/>
    </w:rPr>
  </w:style>
  <w:style w:type="paragraph" w:styleId="1248" w:customStyle="1">
    <w:name w:val="xl37"/>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49" w:customStyle="1">
    <w:name w:val="标准文本"/>
    <w:basedOn w:val="1021"/>
    <w:uiPriority w:val="99"/>
    <w:qFormat/>
    <w:pPr>
      <w:ind w:firstLine="480"/>
      <w:spacing w:line="360" w:lineRule="auto"/>
    </w:pPr>
    <w:rPr>
      <w:rFonts w:cs="宋体"/>
      <w:sz w:val="24"/>
    </w:rPr>
  </w:style>
  <w:style w:type="paragraph" w:styleId="1250" w:customStyle="1">
    <w:name w:val="正文 + 宋体"/>
    <w:basedOn w:val="1021"/>
    <w:uiPriority w:val="99"/>
    <w:qFormat/>
    <w:pPr>
      <w:ind w:firstLine="420"/>
      <w:spacing w:line="360" w:lineRule="auto"/>
    </w:pPr>
  </w:style>
  <w:style w:type="paragraph" w:styleId="1251" w:customStyle="1">
    <w:name w:val="我的正文"/>
    <w:basedOn w:val="1021"/>
    <w:uiPriority w:val="99"/>
    <w:qFormat/>
    <w:pPr>
      <w:ind w:firstLine="420"/>
      <w:jc w:val="left"/>
      <w:spacing w:line="360" w:lineRule="auto"/>
      <w:widowControl/>
    </w:pPr>
    <w:rPr>
      <w:rFonts w:ascii="宋体" w:hAnsi="宋体" w:cs="宋体"/>
      <w:szCs w:val="21"/>
    </w:rPr>
  </w:style>
  <w:style w:type="paragraph" w:styleId="1252" w:customStyle="1">
    <w:name w:val="Char Char Char Char Char Char Char"/>
    <w:basedOn w:val="1021"/>
    <w:uiPriority w:val="99"/>
    <w:qFormat/>
    <w:pPr>
      <w:jc w:val="left"/>
    </w:pPr>
    <w:rPr>
      <w:rFonts w:ascii="Tahoma" w:hAnsi="Tahoma"/>
      <w:sz w:val="24"/>
      <w:szCs w:val="20"/>
    </w:rPr>
  </w:style>
  <w:style w:type="paragraph" w:styleId="1253" w:customStyle="1">
    <w:name w:val="公文正文"/>
    <w:basedOn w:val="1043"/>
    <w:uiPriority w:val="99"/>
    <w:qFormat/>
    <w:pPr>
      <w:ind w:left="0" w:firstLine="200"/>
      <w:spacing w:after="0"/>
    </w:pPr>
    <w:rPr>
      <w:rFonts w:ascii="仿宋_GB2312" w:hAnsi="宋体" w:eastAsia="仿宋_GB2312"/>
      <w:sz w:val="28"/>
    </w:rPr>
  </w:style>
  <w:style w:type="paragraph" w:styleId="1254" w:customStyle="1">
    <w:name w:val="p0"/>
    <w:basedOn w:val="1021"/>
    <w:uiPriority w:val="99"/>
    <w:qFormat/>
    <w:pPr>
      <w:jc w:val="left"/>
      <w:spacing w:before="100" w:beforeAutospacing="1" w:after="100" w:afterAutospacing="1"/>
      <w:widowControl/>
    </w:pPr>
    <w:rPr>
      <w:rFonts w:ascii="宋体" w:hAnsi="宋体" w:cs="宋体"/>
      <w:sz w:val="24"/>
    </w:rPr>
  </w:style>
  <w:style w:type="paragraph" w:styleId="1255" w:customStyle="1">
    <w:name w:val="Char Char Char Char Char Char Char Char Char Char Char"/>
    <w:basedOn w:val="1021"/>
    <w:uiPriority w:val="99"/>
    <w:qFormat/>
    <w:rPr>
      <w:rFonts w:ascii="Tahoma" w:hAnsi="Tahoma"/>
      <w:sz w:val="24"/>
      <w:szCs w:val="20"/>
    </w:rPr>
  </w:style>
  <w:style w:type="paragraph" w:styleId="1256" w:customStyle="1">
    <w:name w:val="插图"/>
    <w:basedOn w:val="1021"/>
    <w:uiPriority w:val="99"/>
    <w:qFormat/>
    <w:pPr>
      <w:jc w:val="center"/>
      <w:tabs>
        <w:tab w:val="left" w:pos="1620" w:leader="none"/>
      </w:tabs>
    </w:pPr>
    <w:rPr>
      <w:bCs/>
      <w:color w:val="000000"/>
      <w:szCs w:val="22"/>
    </w:rPr>
  </w:style>
  <w:style w:type="paragraph" w:styleId="1257" w:customStyle="1">
    <w:name w:val="样式1"/>
    <w:basedOn w:val="1021"/>
    <w:uiPriority w:val="99"/>
    <w:qFormat/>
    <w:pPr>
      <w:ind w:firstLine="480"/>
      <w:spacing w:line="300" w:lineRule="auto"/>
    </w:pPr>
    <w:rPr>
      <w:sz w:val="24"/>
    </w:rPr>
  </w:style>
  <w:style w:type="paragraph" w:styleId="1258" w:customStyle="1">
    <w:name w:val="xl26"/>
    <w:basedOn w:val="10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59" w:customStyle="1">
    <w:name w:val="Char Char Char"/>
    <w:basedOn w:val="1021"/>
    <w:uiPriority w:val="99"/>
    <w:qFormat/>
    <w:rPr>
      <w:rFonts w:ascii="Tahoma" w:hAnsi="Tahoma"/>
      <w:sz w:val="24"/>
      <w:szCs w:val="20"/>
    </w:rPr>
  </w:style>
  <w:style w:type="paragraph" w:styleId="1260" w:customStyle="1">
    <w:name w:val="马刚标题3"/>
    <w:basedOn w:val="1021"/>
    <w:next w:val="1021"/>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61" w:customStyle="1">
    <w:name w:val="段"/>
    <w:uiPriority w:val="99"/>
    <w:qFormat/>
    <w:pPr>
      <w:ind w:firstLine="200"/>
      <w:jc w:val="both"/>
    </w:pPr>
    <w:rPr>
      <w:rFonts w:ascii="宋体" w:hAnsi="Times New Roman" w:eastAsia="宋体" w:cs="Times New Roman"/>
      <w:sz w:val="21"/>
      <w:lang w:val="en-US" w:eastAsia="zh-CN" w:bidi="ar-SA"/>
    </w:rPr>
  </w:style>
  <w:style w:type="paragraph" w:styleId="1262" w:customStyle="1">
    <w:name w:val="二级条标题"/>
    <w:basedOn w:val="1021"/>
    <w:next w:val="1261"/>
    <w:uiPriority w:val="99"/>
    <w:qFormat/>
    <w:pPr>
      <w:ind w:hanging="420"/>
      <w:widowControl/>
      <w:tabs>
        <w:tab w:val="left" w:pos="2240" w:leader="none"/>
      </w:tabs>
      <w:outlineLvl w:val="3"/>
    </w:pPr>
    <w:rPr>
      <w:rFonts w:eastAsia="黑体"/>
      <w:szCs w:val="20"/>
    </w:rPr>
  </w:style>
  <w:style w:type="paragraph" w:styleId="1263" w:customStyle="1">
    <w:name w:val="Char Char1 Char Char Char Char1 Char Char Char Char Char Char"/>
    <w:basedOn w:val="1021"/>
    <w:uiPriority w:val="99"/>
    <w:qFormat/>
    <w:rPr>
      <w:rFonts w:ascii="Tahoma" w:hAnsi="Tahoma"/>
      <w:sz w:val="24"/>
      <w:szCs w:val="20"/>
    </w:rPr>
  </w:style>
  <w:style w:type="paragraph" w:styleId="1264" w:customStyle="1">
    <w:name w:val="正文表标题"/>
    <w:next w:val="1261"/>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65" w:customStyle="1">
    <w:name w:val="xl44"/>
    <w:basedOn w:val="102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266" w:customStyle="1">
    <w:name w:val="Char Char Char Char Char Char Char Char Char Char Char Char Char Char Char Char Char Char Char Char Char1"/>
    <w:basedOn w:val="1021"/>
    <w:uiPriority w:val="99"/>
    <w:qFormat/>
    <w:rPr>
      <w:rFonts w:ascii="Tahoma" w:hAnsi="Tahoma"/>
      <w:sz w:val="24"/>
      <w:szCs w:val="20"/>
    </w:rPr>
  </w:style>
  <w:style w:type="paragraph" w:styleId="1267" w:customStyle="1">
    <w:name w:val="样式2"/>
    <w:basedOn w:val="1021"/>
    <w:uiPriority w:val="99"/>
    <w:qFormat/>
    <w:pPr>
      <w:ind w:left="200"/>
      <w:spacing w:line="360" w:lineRule="auto"/>
    </w:pPr>
    <w:rPr>
      <w:rFonts w:ascii="宋体" w:hAnsi="宋体"/>
      <w:b/>
      <w:sz w:val="24"/>
    </w:rPr>
  </w:style>
  <w:style w:type="paragraph" w:styleId="1268" w:customStyle="1">
    <w:name w:val="部分1"/>
    <w:basedOn w:val="1021"/>
    <w:uiPriority w:val="99"/>
    <w:qFormat/>
    <w:pPr>
      <w:jc w:val="center"/>
      <w:keepNext/>
      <w:pageBreakBefore/>
      <w:spacing w:line="360" w:lineRule="auto"/>
      <w:tabs>
        <w:tab w:val="left" w:pos="360" w:leader="none"/>
      </w:tabs>
      <w:outlineLvl w:val="0"/>
    </w:pPr>
    <w:rPr>
      <w:rFonts w:eastAsia="黑体"/>
      <w:b/>
      <w:sz w:val="36"/>
      <w:szCs w:val="20"/>
    </w:rPr>
  </w:style>
  <w:style w:type="paragraph" w:styleId="1269"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270" w:customStyle="1">
    <w:name w:val="马刚标题4"/>
    <w:basedOn w:val="1260"/>
    <w:next w:val="1021"/>
    <w:uiPriority w:val="99"/>
    <w:qFormat/>
    <w:pPr>
      <w:spacing w:before="100" w:after="40"/>
      <w:tabs>
        <w:tab w:val="left" w:pos="1050" w:leader="none"/>
      </w:tabs>
      <w:outlineLvl w:val="3"/>
    </w:pPr>
    <w:rPr>
      <w:b w:val="0"/>
    </w:rPr>
  </w:style>
  <w:style w:type="paragraph" w:styleId="1271" w:customStyle="1">
    <w:name w:val="xl27"/>
    <w:basedOn w:val="10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72" w:customStyle="1">
    <w:name w:val="xl31"/>
    <w:basedOn w:val="10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73" w:customStyle="1">
    <w:name w:val="样式 标题 3H3sect1.2.3BOD 0Heading 3 - oldh3l3CTLevel 3 Head..."/>
    <w:basedOn w:val="1024"/>
    <w:uiPriority w:val="99"/>
    <w:qFormat/>
    <w:pPr>
      <w:jc w:val="left"/>
      <w:spacing w:line="240" w:lineRule="auto"/>
    </w:pPr>
    <w:rPr>
      <w:rFonts w:cs="宋体"/>
      <w:sz w:val="30"/>
      <w:szCs w:val="20"/>
    </w:rPr>
  </w:style>
  <w:style w:type="paragraph" w:styleId="1274" w:customStyle="1">
    <w:name w:val="Table Text Char"/>
    <w:uiPriority w:val="99"/>
    <w:qFormat/>
    <w:pPr>
      <w:spacing w:before="80" w:after="80"/>
    </w:pPr>
    <w:rPr>
      <w:rFonts w:ascii="Arial" w:hAnsi="Arial" w:eastAsia="宋体" w:cs="Arial"/>
      <w:sz w:val="18"/>
      <w:szCs w:val="28"/>
      <w:lang w:val="en-US" w:eastAsia="zh-CN" w:bidi="ar-SA"/>
    </w:rPr>
  </w:style>
  <w:style w:type="paragraph" w:styleId="1275" w:customStyle="1">
    <w:name w:val="小四 段落 宋体 Char Char Char Char"/>
    <w:basedOn w:val="1021"/>
    <w:uiPriority w:val="99"/>
    <w:qFormat/>
    <w:pPr>
      <w:ind w:right="-33" w:firstLine="480"/>
      <w:jc w:val="left"/>
      <w:spacing w:line="360" w:lineRule="auto"/>
    </w:pPr>
    <w:rPr>
      <w:sz w:val="24"/>
    </w:rPr>
  </w:style>
  <w:style w:type="paragraph" w:styleId="1276" w:customStyle="1">
    <w:name w:val="Pa5"/>
    <w:basedOn w:val="1021"/>
    <w:next w:val="1021"/>
    <w:uiPriority w:val="99"/>
    <w:qFormat/>
    <w:pPr>
      <w:jc w:val="left"/>
      <w:spacing w:line="241" w:lineRule="atLeast"/>
    </w:pPr>
    <w:rPr>
      <w:rFonts w:ascii="汉仪大黑简" w:eastAsia="汉仪大黑简"/>
      <w:sz w:val="24"/>
    </w:rPr>
  </w:style>
  <w:style w:type="paragraph" w:styleId="1277" w:customStyle="1">
    <w:name w:val="样式 段后: 0.25 行"/>
    <w:basedOn w:val="1021"/>
    <w:uiPriority w:val="99"/>
    <w:qFormat/>
    <w:pPr>
      <w:ind w:firstLine="420"/>
      <w:jc w:val="left"/>
      <w:spacing w:line="300" w:lineRule="auto"/>
      <w:widowControl/>
    </w:pPr>
    <w:rPr>
      <w:rFonts w:ascii="Arial" w:hAnsi="Arial" w:cs="宋体"/>
      <w:sz w:val="22"/>
      <w:szCs w:val="20"/>
      <w:lang w:eastAsia="en-US"/>
    </w:rPr>
  </w:style>
  <w:style w:type="paragraph" w:styleId="1278" w:customStyle="1">
    <w:name w:val="flType"/>
    <w:basedOn w:val="1279"/>
    <w:uiPriority w:val="99"/>
    <w:qFormat/>
    <w:pPr>
      <w:spacing w:after="284"/>
    </w:pPr>
    <w:rPr>
      <w:rFonts w:eastAsia="宋体"/>
      <w:b w:val="0"/>
    </w:rPr>
  </w:style>
  <w:style w:type="paragraph" w:styleId="1279" w:customStyle="1">
    <w:name w:val="flName"/>
    <w:basedOn w:val="1280"/>
    <w:uiPriority w:val="99"/>
    <w:qFormat/>
    <w:pPr>
      <w:spacing w:before="0" w:line="113" w:lineRule="atLeast"/>
    </w:pPr>
  </w:style>
  <w:style w:type="paragraph" w:styleId="1280" w:customStyle="1">
    <w:name w:val="flNote"/>
    <w:basedOn w:val="1021"/>
    <w:uiPriority w:val="99"/>
    <w:qFormat/>
    <w:pPr>
      <w:jc w:val="center"/>
      <w:spacing w:before="567" w:line="360" w:lineRule="atLeast"/>
    </w:pPr>
    <w:rPr>
      <w:rFonts w:eastAsia="黑体"/>
      <w:b/>
      <w:sz w:val="24"/>
      <w:szCs w:val="20"/>
    </w:rPr>
  </w:style>
  <w:style w:type="paragraph" w:styleId="1281"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282" w:customStyle="1">
    <w:name w:val="样式 样式 首行缩进:  2 字符 + 行距: 1.5 倍行距"/>
    <w:basedOn w:val="1021"/>
    <w:uiPriority w:val="99"/>
    <w:qFormat/>
    <w:pPr>
      <w:ind w:firstLine="470"/>
      <w:spacing w:line="360" w:lineRule="auto"/>
    </w:pPr>
    <w:rPr>
      <w:sz w:val="24"/>
      <w:szCs w:val="20"/>
    </w:rPr>
  </w:style>
  <w:style w:type="paragraph" w:styleId="1283" w:customStyle="1">
    <w:name w:val="_Style 82"/>
    <w:uiPriority w:val="99"/>
    <w:qFormat/>
    <w:rPr>
      <w:rFonts w:ascii="Times New Roman" w:hAnsi="Times New Roman" w:eastAsia="宋体" w:cs="Times New Roman"/>
      <w:sz w:val="22"/>
      <w:szCs w:val="22"/>
      <w:lang w:val="en-US" w:eastAsia="zh-CN" w:bidi="ar-SA"/>
    </w:rPr>
  </w:style>
  <w:style w:type="paragraph" w:styleId="1284" w:customStyle="1">
    <w:name w:val="xl52"/>
    <w:basedOn w:val="1021"/>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85" w:customStyle="1">
    <w:name w:val="样式 样式 首行缩进:  0.74 厘米 行距: 1.5 倍行距 + 段后: 0.5 行"/>
    <w:basedOn w:val="1021"/>
    <w:uiPriority w:val="99"/>
    <w:qFormat/>
    <w:pPr>
      <w:ind w:firstLine="420"/>
      <w:spacing w:line="360" w:lineRule="auto"/>
    </w:pPr>
    <w:rPr>
      <w:rFonts w:ascii="楷体_GB2312" w:eastAsia="楷体_GB2312"/>
      <w:bCs/>
      <w:sz w:val="24"/>
      <w:szCs w:val="20"/>
    </w:rPr>
  </w:style>
  <w:style w:type="paragraph" w:styleId="1286" w:customStyle="1">
    <w:name w:val="Char Char1"/>
    <w:basedOn w:val="1021"/>
    <w:uiPriority w:val="99"/>
    <w:qFormat/>
    <w:rPr>
      <w:rFonts w:ascii="Tahoma" w:hAnsi="Tahoma"/>
      <w:sz w:val="24"/>
      <w:szCs w:val="20"/>
    </w:rPr>
  </w:style>
  <w:style w:type="paragraph" w:styleId="1287" w:customStyle="1">
    <w:name w:val="Char1 Char Char Char"/>
    <w:basedOn w:val="1021"/>
    <w:uiPriority w:val="99"/>
    <w:qFormat/>
    <w:rPr>
      <w:rFonts w:ascii="Tahoma" w:hAnsi="Tahoma" w:cs="Tahoma"/>
      <w:sz w:val="24"/>
      <w:szCs w:val="20"/>
    </w:rPr>
  </w:style>
  <w:style w:type="paragraph" w:styleId="1288" w:customStyle="1">
    <w:name w:val="标题2，章节第二层"/>
    <w:basedOn w:val="1021"/>
    <w:next w:val="1289"/>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89" w:customStyle="1">
    <w:name w:val="正文格式"/>
    <w:basedOn w:val="1021"/>
    <w:uiPriority w:val="99"/>
    <w:qFormat/>
    <w:pPr>
      <w:ind w:left="178" w:right="44" w:hanging="178"/>
      <w:jc w:val="left"/>
      <w:spacing w:line="360" w:lineRule="auto"/>
      <w:widowControl/>
    </w:pPr>
    <w:rPr>
      <w:rFonts w:ascii="宋体" w:hAnsi="宋体"/>
      <w:bCs/>
      <w:szCs w:val="21"/>
    </w:rPr>
  </w:style>
  <w:style w:type="paragraph" w:styleId="1290" w:customStyle="1">
    <w:name w:val="Test2"/>
    <w:basedOn w:val="1023"/>
    <w:uiPriority w:val="99"/>
    <w:qFormat/>
    <w:pPr>
      <w:jc w:val="center"/>
      <w:spacing w:line="480" w:lineRule="exact"/>
      <w:widowControl/>
    </w:pPr>
    <w:rPr>
      <w:rFonts w:ascii="黑体"/>
      <w:sz w:val="24"/>
      <w:szCs w:val="24"/>
    </w:rPr>
  </w:style>
  <w:style w:type="paragraph" w:styleId="1291" w:customStyle="1">
    <w:name w:val="xl36"/>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92" w:customStyle="1">
    <w:name w:val="font6"/>
    <w:basedOn w:val="1021"/>
    <w:uiPriority w:val="99"/>
    <w:qFormat/>
    <w:pPr>
      <w:jc w:val="left"/>
      <w:spacing w:before="100" w:beforeAutospacing="1" w:after="100" w:afterAutospacing="1"/>
      <w:widowControl/>
    </w:pPr>
    <w:rPr>
      <w:rFonts w:ascii="宋体" w:hAnsi="宋体" w:cs="宋体"/>
      <w:b/>
      <w:bCs/>
      <w:sz w:val="20"/>
      <w:szCs w:val="20"/>
    </w:rPr>
  </w:style>
  <w:style w:type="paragraph" w:styleId="1293" w:customStyle="1">
    <w:name w:val="xl58"/>
    <w:basedOn w:val="1021"/>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294" w:customStyle="1">
    <w:name w:val="font10"/>
    <w:basedOn w:val="1021"/>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295" w:customStyle="1">
    <w:name w:val="xl56"/>
    <w:basedOn w:val="1021"/>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296" w:customStyle="1">
    <w:name w:val="样式"/>
    <w:basedOn w:val="1021"/>
    <w:uiPriority w:val="99"/>
    <w:qFormat/>
    <w:pPr>
      <w:spacing w:before="120" w:after="120" w:line="360" w:lineRule="auto"/>
    </w:pPr>
    <w:rPr>
      <w:rFonts w:ascii="宋体"/>
      <w:sz w:val="24"/>
      <w:szCs w:val="20"/>
    </w:rPr>
  </w:style>
  <w:style w:type="paragraph" w:styleId="1297" w:customStyle="1">
    <w:name w:val="a0"/>
    <w:basedOn w:val="1021"/>
    <w:uiPriority w:val="99"/>
    <w:qFormat/>
    <w:pPr>
      <w:spacing w:before="100" w:beforeAutospacing="1" w:after="100" w:afterAutospacing="1"/>
      <w:widowControl/>
    </w:pPr>
    <w:rPr>
      <w:rFonts w:ascii="宋体" w:hAnsi="宋体" w:cs="宋体"/>
      <w:sz w:val="24"/>
    </w:rPr>
  </w:style>
  <w:style w:type="paragraph" w:styleId="1298" w:customStyle="1">
    <w:name w:val="retrait3"/>
    <w:basedOn w:val="1021"/>
    <w:uiPriority w:val="99"/>
    <w:qFormat/>
    <w:pPr>
      <w:ind w:left="851"/>
      <w:jc w:val="left"/>
      <w:spacing w:before="20" w:after="20"/>
      <w:widowControl/>
    </w:pPr>
    <w:rPr>
      <w:rFonts w:ascii="Arial" w:hAnsi="Arial"/>
      <w:sz w:val="24"/>
      <w:szCs w:val="20"/>
      <w:lang w:val="en-GB"/>
    </w:rPr>
  </w:style>
  <w:style w:type="paragraph" w:styleId="1299" w:customStyle="1">
    <w:name w:val="图标"/>
    <w:basedOn w:val="1021"/>
    <w:next w:val="1021"/>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00" w:customStyle="1">
    <w:name w:val="Char1 Char Char Char1"/>
    <w:basedOn w:val="1021"/>
    <w:uiPriority w:val="99"/>
    <w:qFormat/>
    <w:rPr>
      <w:rFonts w:ascii="Tahoma" w:hAnsi="Tahoma"/>
      <w:sz w:val="24"/>
      <w:szCs w:val="20"/>
    </w:rPr>
  </w:style>
  <w:style w:type="paragraph" w:styleId="1301" w:customStyle="1">
    <w:name w:val="样式 样式 标题 3H3sect1.2.3BOD 0Heading 3 - oldh3l3CTLevel 3 Head... +..."/>
    <w:basedOn w:val="1021"/>
    <w:uiPriority w:val="99"/>
    <w:qFormat/>
    <w:pPr>
      <w:jc w:val="left"/>
      <w:keepLines/>
      <w:keepNext/>
      <w:outlineLvl w:val="2"/>
    </w:pPr>
    <w:rPr>
      <w:rFonts w:cs="宋体"/>
      <w:b/>
      <w:bCs/>
      <w:sz w:val="24"/>
      <w:szCs w:val="20"/>
    </w:rPr>
  </w:style>
  <w:style w:type="paragraph" w:styleId="1302" w:customStyle="1">
    <w:name w:val="Char Char1 Char1"/>
    <w:basedOn w:val="1021"/>
    <w:uiPriority w:val="99"/>
    <w:qFormat/>
    <w:pPr>
      <w:jc w:val="left"/>
      <w:spacing w:after="160" w:line="240" w:lineRule="exact"/>
      <w:widowControl/>
    </w:pPr>
    <w:rPr>
      <w:rFonts w:ascii="Verdana" w:hAnsi="Verdana"/>
      <w:sz w:val="20"/>
      <w:szCs w:val="20"/>
      <w:lang w:eastAsia="en-US"/>
    </w:rPr>
  </w:style>
  <w:style w:type="paragraph" w:styleId="1303"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304" w:customStyle="1">
    <w:name w:val="xl34"/>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05" w:customStyle="1">
    <w:name w:val="正文2"/>
    <w:basedOn w:val="1021"/>
    <w:uiPriority w:val="99"/>
    <w:qFormat/>
    <w:pPr>
      <w:ind w:firstLine="510"/>
      <w:spacing w:before="156" w:line="360" w:lineRule="auto"/>
    </w:pPr>
    <w:rPr>
      <w:sz w:val="24"/>
      <w:szCs w:val="20"/>
    </w:rPr>
  </w:style>
  <w:style w:type="paragraph" w:styleId="1306" w:customStyle="1">
    <w:name w:val="7"/>
    <w:basedOn w:val="1021"/>
    <w:next w:val="1073"/>
    <w:uiPriority w:val="99"/>
    <w:qFormat/>
    <w:pPr>
      <w:jc w:val="left"/>
      <w:spacing w:before="100" w:beforeAutospacing="1" w:after="100" w:afterAutospacing="1"/>
      <w:widowControl/>
    </w:pPr>
    <w:rPr>
      <w:rFonts w:ascii="宋体" w:hAnsi="宋体"/>
      <w:sz w:val="24"/>
      <w:szCs w:val="20"/>
    </w:rPr>
  </w:style>
  <w:style w:type="paragraph" w:styleId="1307" w:customStyle="1">
    <w:name w:val="Char Char Char Char Char Char Char Char Char Char Char1 Char Char Char1"/>
    <w:basedOn w:val="1021"/>
    <w:uiPriority w:val="99"/>
    <w:qFormat/>
    <w:pPr>
      <w:ind w:firstLine="200"/>
      <w:jc w:val="left"/>
    </w:pPr>
    <w:rPr>
      <w:rFonts w:ascii="Tahoma" w:hAnsi="Tahoma"/>
      <w:sz w:val="24"/>
    </w:rPr>
  </w:style>
  <w:style w:type="paragraph" w:styleId="1308" w:customStyle="1">
    <w:name w:val="font13"/>
    <w:basedOn w:val="1021"/>
    <w:uiPriority w:val="99"/>
    <w:qFormat/>
    <w:pPr>
      <w:jc w:val="left"/>
      <w:spacing w:before="100" w:beforeAutospacing="1" w:after="100" w:afterAutospacing="1"/>
      <w:widowControl/>
    </w:pPr>
    <w:rPr>
      <w:i/>
      <w:iCs/>
      <w:sz w:val="36"/>
      <w:szCs w:val="36"/>
    </w:rPr>
  </w:style>
  <w:style w:type="paragraph" w:styleId="1309" w:customStyle="1">
    <w:name w:val="默认段落字体 Para Char"/>
    <w:basedOn w:val="1021"/>
    <w:uiPriority w:val="99"/>
    <w:qFormat/>
    <w:pPr>
      <w:spacing w:line="360" w:lineRule="auto"/>
    </w:pPr>
    <w:rPr>
      <w:sz w:val="24"/>
    </w:rPr>
  </w:style>
  <w:style w:type="paragraph" w:styleId="1310" w:customStyle="1">
    <w:name w:val="xl24"/>
    <w:basedOn w:val="10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11" w:customStyle="1">
    <w:name w:val="xl29"/>
    <w:basedOn w:val="10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12" w:customStyle="1">
    <w:name w:val="无间隔1"/>
    <w:uiPriority w:val="99"/>
    <w:qFormat/>
    <w:pPr>
      <w:jc w:val="both"/>
      <w:widowControl w:val="off"/>
    </w:pPr>
    <w:rPr>
      <w:rFonts w:ascii="Times New Roman" w:hAnsi="Times New Roman" w:eastAsia="微软雅黑" w:cs="Times New Roman"/>
      <w:sz w:val="24"/>
      <w:szCs w:val="22"/>
      <w:lang w:val="en-US" w:eastAsia="zh-CN" w:bidi="ar-SA"/>
    </w:rPr>
  </w:style>
  <w:style w:type="paragraph" w:styleId="1313" w:customStyle="1">
    <w:name w:val="符号与编号 Char Char"/>
    <w:basedOn w:val="1021"/>
    <w:uiPriority w:val="99"/>
    <w:qFormat/>
    <w:pPr>
      <w:ind w:left="839" w:hanging="419"/>
      <w:spacing w:line="400" w:lineRule="atLeast"/>
      <w:tabs>
        <w:tab w:val="left" w:pos="840" w:leader="none"/>
      </w:tabs>
    </w:pPr>
    <w:rPr>
      <w:sz w:val="24"/>
    </w:rPr>
  </w:style>
  <w:style w:type="paragraph" w:styleId="1314" w:customStyle="1">
    <w:name w:val="Char Char Char Char Char Char Char Char Char Char Char1"/>
    <w:basedOn w:val="1021"/>
    <w:uiPriority w:val="99"/>
    <w:qFormat/>
    <w:rPr>
      <w:rFonts w:ascii="Tahoma" w:hAnsi="Tahoma" w:cs="Tahoma"/>
      <w:sz w:val="24"/>
      <w:szCs w:val="20"/>
    </w:rPr>
  </w:style>
  <w:style w:type="paragraph" w:styleId="1315" w:customStyle="1">
    <w:name w:val="标题1，章节第一层"/>
    <w:basedOn w:val="1289"/>
    <w:next w:val="1289"/>
    <w:uiPriority w:val="99"/>
    <w:qFormat/>
    <w:pPr>
      <w:ind w:left="482"/>
      <w:tabs>
        <w:tab w:val="left" w:pos="693" w:leader="none"/>
      </w:tabs>
      <w:outlineLvl w:val="0"/>
    </w:pPr>
    <w:rPr>
      <w:color w:val="000000"/>
      <w:sz w:val="24"/>
      <w:szCs w:val="24"/>
    </w:rPr>
  </w:style>
  <w:style w:type="paragraph" w:styleId="1316"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17" w:customStyle="1">
    <w:name w:val="样式 首行缩进:  2 字符"/>
    <w:basedOn w:val="1021"/>
    <w:uiPriority w:val="99"/>
    <w:qFormat/>
    <w:pPr>
      <w:ind w:firstLine="480"/>
      <w:spacing w:line="360" w:lineRule="auto"/>
    </w:pPr>
    <w:rPr>
      <w:rFonts w:cs="宋体"/>
      <w:sz w:val="24"/>
      <w:szCs w:val="20"/>
    </w:rPr>
  </w:style>
  <w:style w:type="paragraph" w:styleId="1318" w:customStyle="1">
    <w:name w:val="标题5，章节第五层"/>
    <w:basedOn w:val="1021"/>
    <w:next w:val="1021"/>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19" w:customStyle="1">
    <w:name w:val="表格"/>
    <w:basedOn w:val="1021"/>
    <w:uiPriority w:val="99"/>
    <w:qFormat/>
    <w:pPr>
      <w:ind w:firstLine="21"/>
    </w:pPr>
    <w:rPr>
      <w:rFonts w:ascii="宋体" w:hAnsi="宋体" w:cs="宋体"/>
      <w:sz w:val="20"/>
      <w:szCs w:val="20"/>
    </w:rPr>
  </w:style>
  <w:style w:type="paragraph" w:styleId="1320" w:customStyle="1">
    <w:name w:val="正文1"/>
    <w:basedOn w:val="1021"/>
    <w:next w:val="1021"/>
    <w:uiPriority w:val="99"/>
    <w:qFormat/>
    <w:pPr>
      <w:ind w:firstLine="510"/>
      <w:spacing w:before="156" w:line="360" w:lineRule="auto"/>
    </w:pPr>
    <w:rPr>
      <w:sz w:val="24"/>
      <w:szCs w:val="20"/>
    </w:rPr>
  </w:style>
  <w:style w:type="paragraph" w:styleId="1321" w:customStyle="1">
    <w:name w:val="批注主题1"/>
    <w:basedOn w:val="1040"/>
    <w:next w:val="1040"/>
    <w:uiPriority w:val="99"/>
    <w:qFormat/>
    <w:rPr>
      <w:b/>
      <w:bCs/>
    </w:rPr>
  </w:style>
  <w:style w:type="paragraph" w:styleId="1322" w:customStyle="1">
    <w:name w:val="样式3"/>
    <w:basedOn w:val="1021"/>
    <w:next w:val="1021"/>
    <w:uiPriority w:val="99"/>
    <w:qFormat/>
    <w:pPr>
      <w:spacing w:line="360" w:lineRule="auto"/>
    </w:pPr>
    <w:rPr>
      <w:szCs w:val="20"/>
    </w:rPr>
  </w:style>
  <w:style w:type="paragraph" w:styleId="1323" w:customStyle="1">
    <w:name w:val="Char Char Char Char Char Char Char Char Char1"/>
    <w:basedOn w:val="1021"/>
    <w:uiPriority w:val="99"/>
    <w:qFormat/>
    <w:pPr>
      <w:ind w:left="360" w:hanging="360"/>
      <w:tabs>
        <w:tab w:val="left" w:pos="360" w:leader="none"/>
      </w:tabs>
    </w:pPr>
    <w:rPr>
      <w:sz w:val="24"/>
    </w:rPr>
  </w:style>
  <w:style w:type="paragraph" w:styleId="1324" w:customStyle="1">
    <w:name w:val="正文--wdh"/>
    <w:basedOn w:val="1021"/>
    <w:uiPriority w:val="99"/>
    <w:qFormat/>
    <w:pPr>
      <w:spacing w:line="360" w:lineRule="auto"/>
    </w:pPr>
    <w:rPr>
      <w:sz w:val="24"/>
    </w:rPr>
  </w:style>
  <w:style w:type="paragraph" w:styleId="1325" w:customStyle="1">
    <w:name w:val="Char Char Char Char Char Char Char Char Char Char Char Char Char Char Char Char Char Char Char Char Char Char Char"/>
    <w:basedOn w:val="1021"/>
    <w:uiPriority w:val="99"/>
    <w:qFormat/>
    <w:rPr>
      <w:rFonts w:ascii="Tahoma" w:hAnsi="Tahoma"/>
      <w:sz w:val="24"/>
      <w:szCs w:val="20"/>
    </w:rPr>
  </w:style>
  <w:style w:type="paragraph" w:styleId="1326" w:customStyle="1">
    <w:name w:val="Char"/>
    <w:basedOn w:val="1021"/>
    <w:uiPriority w:val="99"/>
    <w:qFormat/>
    <w:pPr>
      <w:spacing w:line="360" w:lineRule="auto"/>
    </w:pPr>
    <w:rPr>
      <w:rFonts w:ascii="Tahoma" w:hAnsi="Tahoma"/>
      <w:sz w:val="24"/>
      <w:szCs w:val="20"/>
    </w:rPr>
  </w:style>
  <w:style w:type="paragraph" w:styleId="1327" w:customStyle="1">
    <w:name w:val="Char1"/>
    <w:basedOn w:val="1021"/>
    <w:uiPriority w:val="99"/>
    <w:qFormat/>
    <w:rPr>
      <w:rFonts w:ascii="仿宋_GB2312" w:hAnsi="宋体" w:eastAsia="仿宋_GB2312" w:cs="宋体"/>
      <w:b/>
      <w:sz w:val="32"/>
      <w:szCs w:val="32"/>
    </w:rPr>
  </w:style>
  <w:style w:type="paragraph" w:styleId="1328" w:customStyle="1">
    <w:name w:val="xl62"/>
    <w:basedOn w:val="1021"/>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29" w:customStyle="1">
    <w:name w:val="xl41"/>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30" w:customStyle="1">
    <w:name w:val="xl40"/>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31" w:customStyle="1">
    <w:name w:val="xl48"/>
    <w:basedOn w:val="1021"/>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332" w:customStyle="1">
    <w:name w:val="font14"/>
    <w:basedOn w:val="1021"/>
    <w:uiPriority w:val="99"/>
    <w:qFormat/>
    <w:pPr>
      <w:jc w:val="left"/>
      <w:spacing w:before="100" w:beforeAutospacing="1" w:after="100" w:afterAutospacing="1"/>
      <w:widowControl/>
    </w:pPr>
    <w:rPr>
      <w:sz w:val="36"/>
      <w:szCs w:val="36"/>
    </w:rPr>
  </w:style>
  <w:style w:type="paragraph" w:styleId="1333" w:customStyle="1">
    <w:name w:val="xl53"/>
    <w:basedOn w:val="1021"/>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34" w:customStyle="1">
    <w:name w:val="正文文本 21"/>
    <w:basedOn w:val="1021"/>
    <w:uiPriority w:val="99"/>
    <w:qFormat/>
    <w:pPr>
      <w:ind w:left="720" w:hanging="720"/>
      <w:widowControl/>
    </w:pPr>
    <w:rPr>
      <w:sz w:val="24"/>
      <w:szCs w:val="20"/>
      <w:lang w:val="en-GB"/>
    </w:rPr>
  </w:style>
  <w:style w:type="paragraph" w:styleId="1335" w:customStyle="1">
    <w:name w:val="xl57"/>
    <w:basedOn w:val="1021"/>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336" w:customStyle="1">
    <w:name w:val="Char Char Char Char Char Char Char Char Char Char Char Char Char Char Char Char Char Char Char Char Char Char Char1"/>
    <w:basedOn w:val="1021"/>
    <w:uiPriority w:val="99"/>
    <w:qFormat/>
    <w:rPr>
      <w:rFonts w:ascii="Tahoma" w:hAnsi="Tahoma" w:cs="Tahoma"/>
      <w:sz w:val="24"/>
      <w:szCs w:val="20"/>
    </w:rPr>
  </w:style>
  <w:style w:type="paragraph" w:styleId="1337" w:customStyle="1">
    <w:name w:val="正文文本 New New"/>
    <w:basedOn w:val="1021"/>
    <w:uiPriority w:val="99"/>
    <w:qFormat/>
    <w:pPr>
      <w:ind w:firstLine="200"/>
      <w:spacing w:before="60" w:after="60" w:line="360" w:lineRule="auto"/>
      <w:widowControl/>
    </w:pPr>
    <w:rPr>
      <w:rFonts w:eastAsia="华文楷体"/>
      <w:sz w:val="24"/>
    </w:rPr>
  </w:style>
  <w:style w:type="paragraph" w:styleId="1338" w:customStyle="1">
    <w:name w:val="Char Char110"/>
    <w:basedOn w:val="1021"/>
    <w:uiPriority w:val="99"/>
    <w:qFormat/>
    <w:rPr>
      <w:rFonts w:ascii="Tahoma" w:hAnsi="Tahoma" w:cs="Tahoma"/>
      <w:sz w:val="24"/>
      <w:szCs w:val="20"/>
    </w:rPr>
  </w:style>
  <w:style w:type="paragraph" w:styleId="1339" w:customStyle="1">
    <w:name w:val="表头_5"/>
    <w:basedOn w:val="1021"/>
    <w:uiPriority w:val="99"/>
    <w:qFormat/>
    <w:pPr>
      <w:spacing w:line="360" w:lineRule="auto"/>
    </w:pPr>
    <w:rPr>
      <w:b/>
      <w:bCs/>
      <w:sz w:val="28"/>
      <w:szCs w:val="21"/>
    </w:rPr>
  </w:style>
  <w:style w:type="paragraph" w:styleId="1340" w:customStyle="1">
    <w:name w:val="华宇段落1 Char"/>
    <w:basedOn w:val="1021"/>
    <w:uiPriority w:val="99"/>
    <w:qFormat/>
    <w:pPr>
      <w:ind w:firstLine="200"/>
      <w:spacing w:line="360" w:lineRule="auto"/>
    </w:pPr>
    <w:rPr>
      <w:bCs/>
      <w:sz w:val="24"/>
    </w:rPr>
  </w:style>
  <w:style w:type="paragraph" w:styleId="1341" w:customStyle="1">
    <w:name w:val="Char Char Char Char Char Char Char Char Char Char Char Char Char Char1"/>
    <w:basedOn w:val="1021"/>
    <w:uiPriority w:val="99"/>
    <w:qFormat/>
    <w:rPr>
      <w:rFonts w:ascii="Tahoma" w:hAnsi="Tahoma" w:cs="Tahoma"/>
      <w:sz w:val="24"/>
      <w:szCs w:val="20"/>
    </w:rPr>
  </w:style>
  <w:style w:type="paragraph" w:styleId="1342" w:customStyle="1">
    <w:name w:val="文档正文"/>
    <w:basedOn w:val="1021"/>
    <w:uiPriority w:val="99"/>
    <w:qFormat/>
    <w:pPr>
      <w:spacing w:line="360" w:lineRule="auto"/>
    </w:pPr>
    <w:rPr>
      <w:rFonts w:ascii="宋体" w:hAnsi="宋体"/>
      <w:b/>
      <w:bCs/>
    </w:rPr>
  </w:style>
  <w:style w:type="paragraph" w:styleId="1343" w:customStyle="1">
    <w:name w:val="Default Text"/>
    <w:basedOn w:val="1021"/>
    <w:uiPriority w:val="99"/>
    <w:qFormat/>
    <w:pPr>
      <w:jc w:val="left"/>
      <w:widowControl/>
    </w:pPr>
    <w:rPr>
      <w:sz w:val="24"/>
      <w:szCs w:val="20"/>
      <w:lang w:eastAsia="en-US"/>
    </w:rPr>
  </w:style>
  <w:style w:type="paragraph" w:styleId="1344" w:customStyle="1">
    <w:name w:val="xl63"/>
    <w:basedOn w:val="1021"/>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345" w:customStyle="1">
    <w:name w:val="xl45"/>
    <w:basedOn w:val="1021"/>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346" w:customStyle="1">
    <w:name w:val="Char Char Char Char Char"/>
    <w:basedOn w:val="1021"/>
    <w:uiPriority w:val="99"/>
    <w:qFormat/>
    <w:rPr>
      <w:rFonts w:ascii="Tahoma" w:hAnsi="Tahoma"/>
      <w:sz w:val="24"/>
      <w:szCs w:val="20"/>
    </w:rPr>
  </w:style>
  <w:style w:type="paragraph" w:styleId="1347" w:customStyle="1">
    <w:name w:val="纯文本1"/>
    <w:basedOn w:val="1021"/>
    <w:uiPriority w:val="99"/>
    <w:qFormat/>
    <w:rPr>
      <w:rFonts w:ascii="宋体" w:hAnsi="宋体" w:eastAsia="楷体_GB2312" w:cs="宋体"/>
      <w:sz w:val="28"/>
      <w:szCs w:val="20"/>
    </w:rPr>
  </w:style>
  <w:style w:type="paragraph" w:styleId="1348" w:customStyle="1">
    <w:name w:val="font5"/>
    <w:basedOn w:val="1021"/>
    <w:uiPriority w:val="99"/>
    <w:qFormat/>
    <w:pPr>
      <w:jc w:val="left"/>
      <w:spacing w:before="100" w:beforeAutospacing="1" w:after="100" w:afterAutospacing="1"/>
      <w:widowControl/>
    </w:pPr>
    <w:rPr>
      <w:rFonts w:ascii="宋体" w:hAnsi="宋体" w:cs="宋体"/>
      <w:sz w:val="18"/>
      <w:szCs w:val="18"/>
    </w:rPr>
  </w:style>
  <w:style w:type="paragraph" w:styleId="1349" w:customStyle="1">
    <w:name w:val="章标题"/>
    <w:next w:val="1261"/>
    <w:uiPriority w:val="99"/>
    <w:qFormat/>
    <w:pPr>
      <w:jc w:val="both"/>
      <w:outlineLvl w:val="1"/>
    </w:pPr>
    <w:rPr>
      <w:rFonts w:ascii="Times New Roman" w:hAnsi="Times New Roman" w:eastAsia="黑体" w:cs="Times New Roman"/>
      <w:sz w:val="21"/>
      <w:lang w:val="en-US" w:eastAsia="zh-CN" w:bidi="ar-SA"/>
    </w:rPr>
  </w:style>
  <w:style w:type="paragraph" w:styleId="1350" w:customStyle="1">
    <w:name w:val="xl50"/>
    <w:basedOn w:val="102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351" w:customStyle="1">
    <w:name w:val="正文文本缩进1"/>
    <w:basedOn w:val="1021"/>
    <w:uiPriority w:val="99"/>
    <w:qFormat/>
    <w:pPr>
      <w:ind w:left="420"/>
      <w:spacing w:after="120"/>
    </w:pPr>
  </w:style>
  <w:style w:type="paragraph" w:styleId="1352" w:customStyle="1">
    <w:name w:val="1"/>
    <w:basedOn w:val="1021"/>
    <w:next w:val="1071"/>
    <w:uiPriority w:val="99"/>
    <w:qFormat/>
    <w:pPr>
      <w:spacing w:line="360" w:lineRule="auto"/>
    </w:pPr>
    <w:rPr>
      <w:rFonts w:eastAsia="仿宋_GB2312"/>
      <w:sz w:val="24"/>
    </w:rPr>
  </w:style>
  <w:style w:type="paragraph" w:styleId="1353" w:customStyle="1">
    <w:name w:val="table_1stline"/>
    <w:basedOn w:val="1021"/>
    <w:uiPriority w:val="99"/>
    <w:qFormat/>
    <w:pPr>
      <w:jc w:val="left"/>
      <w:spacing w:before="120"/>
      <w:widowControl/>
    </w:pPr>
    <w:rPr>
      <w:bCs/>
      <w:sz w:val="20"/>
      <w:szCs w:val="20"/>
      <w:lang w:val="de-DE" w:eastAsia="de-DE"/>
    </w:rPr>
  </w:style>
  <w:style w:type="paragraph" w:styleId="1354" w:customStyle="1">
    <w:name w:val="xl54"/>
    <w:basedOn w:val="1021"/>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355" w:customStyle="1">
    <w:name w:val="111111"/>
    <w:basedOn w:val="1021"/>
    <w:uiPriority w:val="99"/>
    <w:qFormat/>
    <w:pPr>
      <w:jc w:val="center"/>
      <w:spacing w:before="120" w:after="120"/>
    </w:pPr>
    <w:rPr>
      <w:rFonts w:ascii="宋体" w:hAnsi="宋体" w:eastAsia="黑体" w:cs="宋体"/>
      <w:b/>
      <w:bCs/>
      <w:szCs w:val="21"/>
    </w:rPr>
  </w:style>
  <w:style w:type="paragraph" w:styleId="1356" w:customStyle="1">
    <w:name w:val="丁华正文"/>
    <w:basedOn w:val="1067"/>
    <w:uiPriority w:val="99"/>
    <w:qFormat/>
    <w:pPr>
      <w:ind w:left="0" w:firstLine="510"/>
      <w:spacing w:before="0" w:after="0" w:line="360" w:lineRule="auto"/>
    </w:pPr>
    <w:rPr>
      <w:rFonts w:ascii="宋体" w:hAnsi="Arial"/>
      <w:bCs w:val="0"/>
      <w:color w:val="000000"/>
      <w:szCs w:val="16"/>
    </w:rPr>
  </w:style>
  <w:style w:type="paragraph" w:styleId="1357" w:customStyle="1">
    <w:name w:val="条1"/>
    <w:basedOn w:val="1021"/>
    <w:uiPriority w:val="99"/>
    <w:qFormat/>
    <w:pPr>
      <w:ind w:left="780" w:hanging="360"/>
      <w:spacing w:before="156" w:line="360" w:lineRule="auto"/>
      <w:tabs>
        <w:tab w:val="left" w:pos="780" w:leader="none"/>
      </w:tabs>
    </w:pPr>
    <w:rPr>
      <w:rFonts w:eastAsia="黑体"/>
      <w:sz w:val="24"/>
      <w:szCs w:val="20"/>
    </w:rPr>
  </w:style>
  <w:style w:type="paragraph" w:styleId="1358" w:customStyle="1">
    <w:name w:val="标题4，章节第四层"/>
    <w:basedOn w:val="1021"/>
    <w:next w:val="1021"/>
    <w:uiPriority w:val="99"/>
    <w:qFormat/>
    <w:pPr>
      <w:spacing w:line="360" w:lineRule="auto"/>
      <w:tabs>
        <w:tab w:val="left" w:pos="0" w:leader="none"/>
      </w:tabs>
      <w:outlineLvl w:val="3"/>
    </w:pPr>
    <w:rPr>
      <w:rFonts w:ascii="宋体" w:hAnsi="宋体"/>
      <w:b/>
      <w:sz w:val="24"/>
    </w:rPr>
  </w:style>
  <w:style w:type="paragraph" w:styleId="1359" w:customStyle="1">
    <w:name w:val="Char Char1 Char"/>
    <w:basedOn w:val="1021"/>
    <w:uiPriority w:val="99"/>
    <w:qFormat/>
    <w:pPr>
      <w:jc w:val="left"/>
      <w:spacing w:after="160" w:line="240" w:lineRule="exact"/>
      <w:widowControl/>
    </w:pPr>
    <w:rPr>
      <w:rFonts w:ascii="Verdana" w:hAnsi="Verdana"/>
      <w:sz w:val="20"/>
      <w:szCs w:val="20"/>
      <w:lang w:eastAsia="en-US"/>
    </w:rPr>
  </w:style>
  <w:style w:type="paragraph" w:styleId="1360" w:customStyle="1">
    <w:name w:val="公文标题 2"/>
    <w:basedOn w:val="1021"/>
    <w:next w:val="1253"/>
    <w:uiPriority w:val="99"/>
    <w:qFormat/>
    <w:pPr>
      <w:outlineLvl w:val="1"/>
    </w:pPr>
    <w:rPr>
      <w:rFonts w:ascii="仿宋_GB2312" w:hAnsi="宋体" w:eastAsia="仿宋_GB2312"/>
      <w:sz w:val="28"/>
    </w:rPr>
  </w:style>
  <w:style w:type="paragraph" w:styleId="1361" w:customStyle="1">
    <w:name w:val="项目符号，一级"/>
    <w:basedOn w:val="1289"/>
    <w:next w:val="1289"/>
    <w:uiPriority w:val="99"/>
    <w:qFormat/>
    <w:pPr>
      <w:ind w:left="376" w:firstLine="0"/>
      <w:spacing w:line="240" w:lineRule="atLeast"/>
      <w:tabs>
        <w:tab w:val="left" w:pos="1320" w:leader="none"/>
      </w:tabs>
    </w:pPr>
    <w:rPr>
      <w:bCs w:val="0"/>
      <w:color w:val="000000"/>
      <w:szCs w:val="24"/>
    </w:rPr>
  </w:style>
  <w:style w:type="paragraph" w:styleId="1362" w:customStyle="1">
    <w:name w:val="font11"/>
    <w:basedOn w:val="1021"/>
    <w:uiPriority w:val="99"/>
    <w:qFormat/>
    <w:pPr>
      <w:jc w:val="left"/>
      <w:spacing w:before="100" w:beforeAutospacing="1" w:after="100" w:afterAutospacing="1"/>
      <w:widowControl/>
    </w:pPr>
    <w:rPr>
      <w:b/>
      <w:bCs/>
      <w:sz w:val="18"/>
      <w:szCs w:val="18"/>
    </w:rPr>
  </w:style>
  <w:style w:type="paragraph" w:styleId="1363" w:customStyle="1">
    <w:name w:val="样式 段后: 0.5 行 左  0.75 字符"/>
    <w:basedOn w:val="1021"/>
    <w:uiPriority w:val="99"/>
    <w:qFormat/>
    <w:pPr>
      <w:ind w:firstLine="420"/>
      <w:spacing w:line="360" w:lineRule="auto"/>
      <w:widowControl/>
    </w:pPr>
    <w:rPr>
      <w:rFonts w:hAnsi="Arial" w:cs="Arial"/>
      <w:szCs w:val="21"/>
    </w:rPr>
  </w:style>
  <w:style w:type="paragraph" w:styleId="1364" w:customStyle="1">
    <w:name w:val="xl60"/>
    <w:basedOn w:val="1021"/>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365" w:customStyle="1">
    <w:name w:val="表蕊"/>
    <w:basedOn w:val="1021"/>
    <w:uiPriority w:val="99"/>
    <w:qFormat/>
    <w:pPr>
      <w:jc w:val="left"/>
      <w:spacing w:line="320" w:lineRule="atLeast"/>
    </w:pPr>
    <w:rPr>
      <w:rFonts w:eastAsia="楷体_GB2312"/>
      <w:spacing w:val="-10"/>
      <w:szCs w:val="20"/>
    </w:rPr>
  </w:style>
  <w:style w:type="paragraph" w:styleId="1366" w:customStyle="1">
    <w:name w:val="Char11"/>
    <w:basedOn w:val="1021"/>
    <w:uiPriority w:val="99"/>
    <w:qFormat/>
    <w:rPr>
      <w:rFonts w:ascii="仿宋_GB2312" w:eastAsia="仿宋_GB2312"/>
      <w:b/>
      <w:sz w:val="32"/>
      <w:szCs w:val="32"/>
    </w:rPr>
  </w:style>
  <w:style w:type="paragraph" w:styleId="1367" w:customStyle="1">
    <w:name w:val="符号与编号 Char"/>
    <w:basedOn w:val="1021"/>
    <w:uiPriority w:val="99"/>
    <w:qFormat/>
    <w:pPr>
      <w:ind w:left="720"/>
      <w:spacing w:line="400" w:lineRule="atLeast"/>
      <w:tabs>
        <w:tab w:val="left" w:pos="720" w:leader="none"/>
      </w:tabs>
    </w:pPr>
    <w:rPr>
      <w:sz w:val="24"/>
    </w:rPr>
  </w:style>
  <w:style w:type="paragraph" w:styleId="1368" w:customStyle="1">
    <w:name w:val="标题3"/>
    <w:basedOn w:val="1024"/>
    <w:uiPriority w:val="99"/>
    <w:qFormat/>
    <w:pPr>
      <w:keepLines w:val="0"/>
      <w:keepNext w:val="0"/>
      <w:spacing w:before="0" w:after="0" w:line="360" w:lineRule="auto"/>
    </w:pPr>
    <w:rPr>
      <w:rFonts w:eastAsia="仿宋_GB2312"/>
      <w:b w:val="0"/>
      <w:sz w:val="30"/>
    </w:rPr>
  </w:style>
  <w:style w:type="paragraph" w:styleId="1369" w:customStyle="1">
    <w:name w:val="表格内文字"/>
    <w:basedOn w:val="1021"/>
    <w:uiPriority w:val="99"/>
    <w:qFormat/>
    <w:pPr>
      <w:spacing w:line="300" w:lineRule="atLeast"/>
    </w:pPr>
    <w:rPr>
      <w:sz w:val="18"/>
    </w:rPr>
  </w:style>
  <w:style w:type="paragraph" w:styleId="1370" w:customStyle="1">
    <w:name w:val="xl59"/>
    <w:basedOn w:val="102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371" w:customStyle="1">
    <w:name w:val="正文 居中"/>
    <w:basedOn w:val="1021"/>
    <w:uiPriority w:val="99"/>
    <w:qFormat/>
    <w:pPr>
      <w:jc w:val="center"/>
      <w:spacing w:line="360" w:lineRule="auto"/>
    </w:pPr>
    <w:rPr>
      <w:sz w:val="24"/>
      <w:szCs w:val="20"/>
    </w:rPr>
  </w:style>
  <w:style w:type="paragraph" w:styleId="1372" w:customStyle="1">
    <w:name w:val="正文 + Arial Char"/>
    <w:basedOn w:val="1021"/>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373" w:customStyle="1">
    <w:name w:val="xl35"/>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374" w:customStyle="1">
    <w:name w:val="列表内容"/>
    <w:basedOn w:val="1021"/>
    <w:next w:val="1021"/>
    <w:uiPriority w:val="99"/>
    <w:qFormat/>
    <w:pPr>
      <w:ind w:left="840" w:hanging="420"/>
      <w:jc w:val="left"/>
      <w:widowControl/>
      <w:tabs>
        <w:tab w:val="left" w:pos="840" w:leader="none"/>
      </w:tabs>
    </w:pPr>
    <w:rPr>
      <w:sz w:val="18"/>
    </w:rPr>
  </w:style>
  <w:style w:type="paragraph" w:styleId="1375" w:customStyle="1">
    <w:name w:val="Char Char1 Char Char2 Char Char"/>
    <w:basedOn w:val="1021"/>
    <w:uiPriority w:val="99"/>
    <w:qFormat/>
    <w:pPr>
      <w:jc w:val="left"/>
      <w:spacing w:after="160" w:line="240" w:lineRule="exact"/>
      <w:widowControl/>
    </w:pPr>
  </w:style>
  <w:style w:type="paragraph" w:styleId="1376" w:customStyle="1">
    <w:name w:val="方案文档"/>
    <w:basedOn w:val="1021"/>
    <w:uiPriority w:val="99"/>
    <w:qFormat/>
    <w:pPr>
      <w:jc w:val="center"/>
      <w:spacing w:before="60" w:after="60" w:line="360" w:lineRule="auto"/>
    </w:pPr>
    <w:rPr>
      <w:rFonts w:ascii="宋体" w:hAnsi="宋体"/>
      <w:sz w:val="24"/>
      <w:szCs w:val="20"/>
      <w:lang w:val="zh-CN"/>
    </w:rPr>
  </w:style>
  <w:style w:type="paragraph" w:styleId="1377" w:customStyle="1">
    <w:name w:val="tableau"/>
    <w:basedOn w:val="1021"/>
    <w:uiPriority w:val="99"/>
    <w:qFormat/>
    <w:pPr>
      <w:jc w:val="center"/>
      <w:spacing w:before="20" w:after="20"/>
      <w:widowControl/>
    </w:pPr>
    <w:rPr>
      <w:rFonts w:ascii="Arial" w:hAnsi="Arial"/>
      <w:sz w:val="16"/>
      <w:szCs w:val="20"/>
      <w:lang w:val="en-GB" w:eastAsia="en-US"/>
    </w:rPr>
  </w:style>
  <w:style w:type="paragraph" w:styleId="1378" w:customStyle="1">
    <w:name w:val="样式 标题 2第一章 标题 2Heading 2 HiddenHeading 2 CCBSheading 2H2h2..."/>
    <w:basedOn w:val="1023"/>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79" w:customStyle="1">
    <w:name w:val="Char Char Char Char1"/>
    <w:basedOn w:val="1039"/>
    <w:uiPriority w:val="99"/>
    <w:qFormat/>
    <w:pPr>
      <w:spacing w:line="360" w:lineRule="auto"/>
    </w:pPr>
    <w:rPr>
      <w:rFonts w:ascii="Tahoma" w:hAnsi="Tahoma"/>
    </w:rPr>
  </w:style>
  <w:style w:type="paragraph" w:styleId="1380" w:customStyle="1">
    <w:name w:val="标题1"/>
    <w:basedOn w:val="1021"/>
    <w:next w:val="1021"/>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81" w:customStyle="1">
    <w:name w:val="Normal Indent1"/>
    <w:basedOn w:val="1021"/>
    <w:uiPriority w:val="99"/>
    <w:qFormat/>
    <w:pPr>
      <w:ind w:firstLine="420"/>
    </w:pPr>
    <w:rPr>
      <w:sz w:val="20"/>
      <w:szCs w:val="20"/>
    </w:rPr>
  </w:style>
  <w:style w:type="paragraph" w:styleId="1382" w:customStyle="1">
    <w:name w:val="Char Char1 Char Char Char Char Char Char Char"/>
    <w:basedOn w:val="1021"/>
    <w:uiPriority w:val="99"/>
    <w:qFormat/>
    <w:rPr>
      <w:rFonts w:ascii="Tahoma" w:hAnsi="Tahoma" w:cs="Tahoma"/>
      <w:sz w:val="24"/>
      <w:szCs w:val="20"/>
    </w:rPr>
  </w:style>
  <w:style w:type="paragraph" w:styleId="1383" w:customStyle="1">
    <w:name w:val="font9"/>
    <w:basedOn w:val="1021"/>
    <w:uiPriority w:val="99"/>
    <w:qFormat/>
    <w:pPr>
      <w:jc w:val="left"/>
      <w:spacing w:before="100" w:beforeAutospacing="1" w:after="100" w:afterAutospacing="1"/>
      <w:widowControl/>
    </w:pPr>
    <w:rPr>
      <w:b/>
      <w:bCs/>
      <w:sz w:val="20"/>
      <w:szCs w:val="20"/>
    </w:rPr>
  </w:style>
  <w:style w:type="paragraph" w:styleId="1384"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1"/>
      <w:szCs w:val="22"/>
      <w:lang w:val="en-US" w:eastAsia="zh-CN" w:bidi="ar-SA"/>
    </w:rPr>
  </w:style>
  <w:style w:type="paragraph" w:styleId="1385" w:customStyle="1">
    <w:name w:val="Char Char Char Char Char Char Char1 Char"/>
    <w:basedOn w:val="1021"/>
    <w:uiPriority w:val="99"/>
    <w:qFormat/>
    <w:rPr>
      <w:rFonts w:ascii="Tahoma" w:hAnsi="Tahoma" w:cs="Tahoma"/>
      <w:sz w:val="24"/>
      <w:szCs w:val="20"/>
    </w:rPr>
  </w:style>
  <w:style w:type="paragraph" w:styleId="1386" w:customStyle="1">
    <w:name w:val="小四 段落 宋体 Char"/>
    <w:basedOn w:val="1037"/>
    <w:uiPriority w:val="99"/>
    <w:qFormat/>
    <w:pPr>
      <w:ind w:left="0" w:right="-33" w:firstLine="600"/>
      <w:jc w:val="left"/>
      <w:tabs>
        <w:tab w:val="clear" w:pos="2952" w:leader="none"/>
      </w:tabs>
    </w:pPr>
    <w:rPr>
      <w:rFonts w:ascii="仿宋_GB2312" w:eastAsia="仿宋_GB2312"/>
      <w:sz w:val="30"/>
      <w:szCs w:val="30"/>
    </w:rPr>
  </w:style>
  <w:style w:type="paragraph" w:styleId="1387" w:customStyle="1">
    <w:name w:val="标准小四"/>
    <w:basedOn w:val="1021"/>
    <w:uiPriority w:val="99"/>
    <w:qFormat/>
    <w:pPr>
      <w:ind w:firstLine="480"/>
      <w:spacing w:line="360" w:lineRule="auto"/>
    </w:pPr>
    <w:rPr>
      <w:rFonts w:ascii="Arial" w:hAnsi="Arial"/>
      <w:sz w:val="24"/>
      <w:szCs w:val="21"/>
    </w:rPr>
  </w:style>
  <w:style w:type="paragraph" w:styleId="1388" w:customStyle="1">
    <w:name w:val="xl47"/>
    <w:basedOn w:val="102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389" w:customStyle="1">
    <w:name w:val="xl25"/>
    <w:basedOn w:val="1021"/>
    <w:uiPriority w:val="99"/>
    <w:qFormat/>
    <w:pPr>
      <w:jc w:val="center"/>
      <w:spacing w:before="100" w:beforeAutospacing="1" w:after="100" w:afterAutospacing="1"/>
      <w:widowControl/>
      <w:pBdr>
        <w:right w:val="single" w:color="auto" w:sz="4" w:space="0"/>
      </w:pBdr>
    </w:pPr>
    <w:rPr>
      <w:szCs w:val="21"/>
    </w:rPr>
  </w:style>
  <w:style w:type="paragraph" w:styleId="1390" w:customStyle="1">
    <w:name w:val="greytypebeni"/>
    <w:basedOn w:val="1021"/>
    <w:uiPriority w:val="99"/>
    <w:qFormat/>
    <w:pPr>
      <w:jc w:val="left"/>
      <w:widowControl/>
    </w:pPr>
    <w:rPr>
      <w:rFonts w:ascii="宋体" w:hAnsi="宋体" w:cs="宋体"/>
      <w:sz w:val="24"/>
    </w:rPr>
  </w:style>
  <w:style w:type="paragraph" w:styleId="1391" w:customStyle="1">
    <w:name w:val="Body Text(ch)"/>
    <w:basedOn w:val="1021"/>
    <w:next w:val="1033"/>
    <w:uiPriority w:val="99"/>
    <w:qFormat/>
    <w:pPr>
      <w:spacing w:after="120"/>
    </w:pPr>
    <w:rPr>
      <w:rFonts w:ascii="宋体" w:hAnsi="Arial"/>
      <w:bCs/>
      <w:iCs/>
    </w:rPr>
  </w:style>
  <w:style w:type="paragraph" w:styleId="1392" w:customStyle="1">
    <w:name w:val="样式 标题 2H2h2sect 1.2Heading 2 HiddenHeading 2 CCBSheading 2..."/>
    <w:basedOn w:val="1023"/>
    <w:uiPriority w:val="99"/>
    <w:qFormat/>
    <w:pPr>
      <w:ind w:left="576" w:hanging="36"/>
      <w:jc w:val="left"/>
      <w:spacing w:line="240" w:lineRule="auto"/>
      <w:tabs>
        <w:tab w:val="left" w:pos="576" w:leader="none"/>
      </w:tabs>
    </w:pPr>
    <w:rPr>
      <w:rFonts w:ascii="宋体" w:hAnsi="宋体" w:eastAsia="宋体"/>
      <w:sz w:val="28"/>
      <w:szCs w:val="20"/>
    </w:rPr>
  </w:style>
  <w:style w:type="paragraph" w:styleId="1393" w:customStyle="1">
    <w:name w:val="a"/>
    <w:basedOn w:val="1021"/>
    <w:uiPriority w:val="99"/>
    <w:qFormat/>
    <w:pPr>
      <w:spacing w:before="100" w:beforeAutospacing="1" w:after="100" w:afterAutospacing="1"/>
      <w:widowControl/>
    </w:pPr>
    <w:rPr>
      <w:rFonts w:ascii="宋体" w:hAnsi="宋体" w:cs="宋体"/>
      <w:sz w:val="24"/>
    </w:rPr>
  </w:style>
  <w:style w:type="paragraph" w:styleId="1394" w:customStyle="1">
    <w:name w:val="小四 段落 宋体 Char Char Char"/>
    <w:basedOn w:val="1037"/>
    <w:uiPriority w:val="99"/>
    <w:qFormat/>
    <w:pPr>
      <w:ind w:left="0" w:right="-33" w:firstLine="545"/>
      <w:jc w:val="left"/>
      <w:spacing w:line="360" w:lineRule="auto"/>
      <w:tabs>
        <w:tab w:val="clear" w:pos="2952" w:leader="none"/>
      </w:tabs>
    </w:pPr>
    <w:rPr>
      <w:sz w:val="24"/>
    </w:rPr>
  </w:style>
  <w:style w:type="paragraph" w:styleId="1395" w:customStyle="1">
    <w:name w:val="Body Text 211"/>
    <w:basedOn w:val="1021"/>
    <w:uiPriority w:val="99"/>
    <w:qFormat/>
    <w:pPr>
      <w:ind w:left="720" w:hanging="720"/>
      <w:widowControl/>
    </w:pPr>
    <w:rPr>
      <w:sz w:val="24"/>
      <w:szCs w:val="20"/>
      <w:lang w:val="en-GB"/>
    </w:rPr>
  </w:style>
  <w:style w:type="paragraph" w:styleId="1396" w:customStyle="1">
    <w:name w:val="Char Char Char Char Char Char Char Char1"/>
    <w:basedOn w:val="1021"/>
    <w:uiPriority w:val="99"/>
    <w:qFormat/>
    <w:pPr>
      <w:jc w:val="left"/>
      <w:spacing w:after="160" w:line="240" w:lineRule="exact"/>
      <w:widowControl/>
    </w:pPr>
    <w:rPr>
      <w:rFonts w:ascii="Verdana" w:hAnsi="Verdana"/>
      <w:sz w:val="20"/>
      <w:szCs w:val="20"/>
      <w:lang w:eastAsia="en-US"/>
    </w:rPr>
  </w:style>
  <w:style w:type="paragraph" w:styleId="1397" w:customStyle="1">
    <w:name w:val="xl28"/>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98" w:customStyle="1">
    <w:name w:val="标题3，章节第三层"/>
    <w:basedOn w:val="1021"/>
    <w:next w:val="1289"/>
    <w:uiPriority w:val="99"/>
    <w:qFormat/>
    <w:pPr>
      <w:spacing w:before="78" w:line="300" w:lineRule="auto"/>
      <w:outlineLvl w:val="2"/>
    </w:pPr>
    <w:rPr>
      <w:rFonts w:ascii="Arial" w:hAnsi="Arial" w:eastAsia="华文细黑"/>
      <w:sz w:val="30"/>
    </w:rPr>
  </w:style>
  <w:style w:type="paragraph" w:styleId="1399" w:customStyle="1">
    <w:name w:val="样式4 Char"/>
    <w:basedOn w:val="1021"/>
    <w:uiPriority w:val="99"/>
    <w:qFormat/>
    <w:pPr>
      <w:ind w:firstLine="480"/>
      <w:jc w:val="left"/>
      <w:spacing w:line="360" w:lineRule="auto"/>
      <w:widowControl/>
    </w:pPr>
    <w:rPr>
      <w:rFonts w:cs="宋体"/>
      <w:color w:val="000000"/>
      <w:sz w:val="24"/>
    </w:rPr>
  </w:style>
  <w:style w:type="paragraph" w:styleId="1400" w:customStyle="1">
    <w:name w:val="Body Text 21"/>
    <w:basedOn w:val="1021"/>
    <w:uiPriority w:val="99"/>
    <w:qFormat/>
    <w:pPr>
      <w:ind w:left="720" w:hanging="720"/>
      <w:widowControl/>
    </w:pPr>
    <w:rPr>
      <w:sz w:val="24"/>
      <w:szCs w:val="20"/>
      <w:lang w:val="en-GB"/>
    </w:rPr>
  </w:style>
  <w:style w:type="paragraph" w:styleId="1401" w:customStyle="1">
    <w:name w:val="普通文字"/>
    <w:basedOn w:val="1021"/>
    <w:next w:val="1021"/>
    <w:uiPriority w:val="99"/>
    <w:qFormat/>
    <w:rPr>
      <w:rFonts w:ascii="宋体" w:hAnsi="宋体" w:cs="宋体"/>
      <w:sz w:val="24"/>
      <w:szCs w:val="20"/>
    </w:rPr>
  </w:style>
  <w:style w:type="paragraph" w:styleId="1402" w:customStyle="1">
    <w:name w:val="xl46"/>
    <w:basedOn w:val="1021"/>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403"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404" w:customStyle="1">
    <w:name w:val="font12"/>
    <w:basedOn w:val="1021"/>
    <w:uiPriority w:val="99"/>
    <w:qFormat/>
    <w:pPr>
      <w:jc w:val="left"/>
      <w:spacing w:before="100" w:beforeAutospacing="1" w:after="100" w:afterAutospacing="1"/>
      <w:widowControl/>
    </w:pPr>
    <w:rPr>
      <w:rFonts w:ascii="宋体" w:hAnsi="宋体" w:cs="宋体"/>
      <w:sz w:val="36"/>
      <w:szCs w:val="36"/>
    </w:rPr>
  </w:style>
  <w:style w:type="paragraph" w:styleId="1405" w:customStyle="1">
    <w:name w:val="马刚标题1"/>
    <w:basedOn w:val="1022"/>
    <w:next w:val="1021"/>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406" w:customStyle="1">
    <w:name w:val="Char Char Char Char Char Char Char Char Char Char Char Char Char Char Char Char Char Char Char Char Char"/>
    <w:basedOn w:val="1021"/>
    <w:uiPriority w:val="99"/>
    <w:qFormat/>
    <w:rPr>
      <w:rFonts w:ascii="Tahoma" w:hAnsi="Tahoma" w:cs="Tahoma"/>
      <w:sz w:val="24"/>
      <w:szCs w:val="20"/>
    </w:rPr>
  </w:style>
  <w:style w:type="paragraph" w:styleId="1407" w:customStyle="1">
    <w:name w:val="xl30"/>
    <w:basedOn w:val="10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08" w:customStyle="1">
    <w:name w:val="Char Char1 Char Char Char Char"/>
    <w:basedOn w:val="1039"/>
    <w:uiPriority w:val="99"/>
    <w:qFormat/>
    <w:pPr>
      <w:ind w:left="357"/>
      <w:jc w:val="left"/>
      <w:spacing w:line="436" w:lineRule="exact"/>
      <w:outlineLvl w:val="3"/>
    </w:pPr>
    <w:rPr>
      <w:rFonts w:ascii="Tahoma" w:hAnsi="Tahoma" w:cs="Tahoma"/>
      <w:b/>
    </w:rPr>
  </w:style>
  <w:style w:type="paragraph" w:styleId="1409" w:customStyle="1">
    <w:name w:val="普通正文"/>
    <w:basedOn w:val="1021"/>
    <w:uiPriority w:val="99"/>
    <w:qFormat/>
    <w:pPr>
      <w:ind w:firstLine="480"/>
      <w:jc w:val="left"/>
      <w:spacing w:before="120" w:after="120" w:line="360" w:lineRule="auto"/>
    </w:pPr>
    <w:rPr>
      <w:rFonts w:ascii="Arial" w:hAnsi="Arial"/>
      <w:sz w:val="24"/>
    </w:rPr>
  </w:style>
  <w:style w:type="paragraph" w:styleId="1410" w:customStyle="1">
    <w:name w:val="Char Char Char Char Char Char Char Char Char Char Char Char Char Char"/>
    <w:basedOn w:val="1021"/>
    <w:uiPriority w:val="99"/>
    <w:qFormat/>
    <w:rPr>
      <w:rFonts w:ascii="Tahoma" w:hAnsi="Tahoma"/>
      <w:sz w:val="24"/>
      <w:szCs w:val="20"/>
    </w:rPr>
  </w:style>
  <w:style w:type="paragraph" w:styleId="1411" w:customStyle="1">
    <w:name w:val="xl32"/>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12" w:customStyle="1">
    <w:name w:val="正文 首行缩进:  2 字符 Char Char"/>
    <w:basedOn w:val="1021"/>
    <w:uiPriority w:val="99"/>
    <w:qFormat/>
    <w:pPr>
      <w:ind w:firstLine="480"/>
      <w:spacing w:line="360" w:lineRule="auto"/>
    </w:pPr>
    <w:rPr>
      <w:rFonts w:ascii="楷体_GB2312" w:eastAsia="楷体_GB2312"/>
      <w:bCs/>
      <w:sz w:val="24"/>
    </w:rPr>
  </w:style>
  <w:style w:type="paragraph" w:styleId="1413" w:customStyle="1">
    <w:name w:val="4"/>
    <w:basedOn w:val="1021"/>
    <w:next w:val="1067"/>
    <w:uiPriority w:val="99"/>
    <w:qFormat/>
    <w:pPr>
      <w:ind w:firstLine="420"/>
      <w:spacing w:line="360" w:lineRule="auto"/>
    </w:pPr>
    <w:rPr>
      <w:color w:val="ff0000"/>
      <w:sz w:val="24"/>
    </w:rPr>
  </w:style>
  <w:style w:type="paragraph" w:styleId="1414" w:customStyle="1">
    <w:name w:val="font7"/>
    <w:basedOn w:val="1021"/>
    <w:uiPriority w:val="99"/>
    <w:qFormat/>
    <w:pPr>
      <w:jc w:val="left"/>
      <w:spacing w:before="100" w:beforeAutospacing="1" w:after="100" w:afterAutospacing="1"/>
      <w:widowControl/>
    </w:pPr>
    <w:rPr>
      <w:rFonts w:ascii="宋体" w:hAnsi="宋体"/>
      <w:b/>
      <w:bCs/>
      <w:sz w:val="24"/>
    </w:rPr>
  </w:style>
  <w:style w:type="paragraph" w:styleId="1415" w:customStyle="1">
    <w:name w:val="Char Char Char Char Char Char Char Char Char Char"/>
    <w:basedOn w:val="1021"/>
    <w:uiPriority w:val="99"/>
    <w:qFormat/>
    <w:pPr>
      <w:spacing w:line="360" w:lineRule="auto"/>
    </w:pPr>
    <w:rPr>
      <w:sz w:val="24"/>
      <w:szCs w:val="20"/>
    </w:rPr>
  </w:style>
  <w:style w:type="paragraph" w:styleId="1416" w:customStyle="1">
    <w:name w:val="Char Char Char Char Char Char Char Char Char Char Char Char Char"/>
    <w:basedOn w:val="1021"/>
    <w:uiPriority w:val="99"/>
    <w:qFormat/>
    <w:pPr>
      <w:jc w:val="left"/>
      <w:spacing w:after="160" w:line="240" w:lineRule="exact"/>
      <w:widowControl/>
    </w:pPr>
  </w:style>
  <w:style w:type="paragraph" w:styleId="1417" w:customStyle="1">
    <w:name w:val="xl43"/>
    <w:basedOn w:val="102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418" w:customStyle="1">
    <w:name w:val="列出段落2"/>
    <w:basedOn w:val="1021"/>
    <w:uiPriority w:val="99"/>
    <w:qFormat/>
    <w:pPr>
      <w:ind w:left="720"/>
      <w:jc w:val="left"/>
      <w:widowControl/>
    </w:pPr>
    <w:rPr>
      <w:rFonts w:ascii="Arial" w:hAnsi="Arial" w:eastAsia="黑体" w:cs="Arial"/>
      <w:sz w:val="24"/>
      <w:lang w:eastAsia="en-US"/>
    </w:rPr>
  </w:style>
  <w:style w:type="paragraph" w:styleId="1419" w:customStyle="1">
    <w:name w:val="默认段落字体 Para Char Char Char Char Char Char Char"/>
    <w:basedOn w:val="1021"/>
    <w:uiPriority w:val="99"/>
    <w:qFormat/>
    <w:rPr>
      <w:rFonts w:ascii="Tahoma" w:hAnsi="Tahoma"/>
      <w:sz w:val="24"/>
      <w:szCs w:val="20"/>
    </w:rPr>
  </w:style>
  <w:style w:type="paragraph" w:styleId="1420" w:customStyle="1">
    <w:name w:val="正文--表格内正文"/>
    <w:basedOn w:val="1021"/>
    <w:uiPriority w:val="99"/>
    <w:qFormat/>
    <w:pPr>
      <w:jc w:val="center"/>
      <w:spacing w:line="240" w:lineRule="atLeast"/>
    </w:pPr>
    <w:rPr>
      <w:rFonts w:ascii="宋体" w:hAnsi="宋体"/>
      <w:color w:val="000000"/>
      <w:sz w:val="24"/>
    </w:rPr>
  </w:style>
  <w:style w:type="paragraph" w:styleId="1421" w:customStyle="1">
    <w:name w:val="标题 4宋体"/>
    <w:basedOn w:val="1025"/>
    <w:uiPriority w:val="99"/>
    <w:qFormat/>
    <w:pPr>
      <w:jc w:val="left"/>
      <w:keepLines w:val="0"/>
      <w:spacing w:before="0" w:after="0" w:line="360" w:lineRule="auto"/>
    </w:pPr>
    <w:rPr>
      <w:rFonts w:ascii="宋体" w:hAnsi="宋体" w:eastAsia="宋体"/>
      <w:bCs/>
      <w:color w:val="000000"/>
      <w:sz w:val="24"/>
    </w:rPr>
  </w:style>
  <w:style w:type="paragraph" w:styleId="1422" w:customStyle="1">
    <w:name w:val="xl42"/>
    <w:basedOn w:val="10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23" w:customStyle="1">
    <w:name w:val="xl39"/>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24" w:customStyle="1">
    <w:name w:val="符号与编号"/>
    <w:basedOn w:val="1021"/>
    <w:uiPriority w:val="99"/>
    <w:qFormat/>
    <w:pPr>
      <w:ind w:left="900" w:hanging="420"/>
      <w:spacing w:line="400" w:lineRule="atLeast"/>
      <w:tabs>
        <w:tab w:val="left" w:pos="900" w:leader="none"/>
      </w:tabs>
    </w:pPr>
    <w:rPr>
      <w:sz w:val="24"/>
    </w:rPr>
  </w:style>
  <w:style w:type="paragraph" w:styleId="1425" w:customStyle="1">
    <w:name w:val="zw"/>
    <w:basedOn w:val="1021"/>
    <w:uiPriority w:val="99"/>
    <w:qFormat/>
    <w:pPr>
      <w:ind w:firstLine="480"/>
      <w:jc w:val="left"/>
      <w:spacing w:line="360" w:lineRule="auto"/>
      <w:widowControl/>
    </w:pPr>
    <w:rPr>
      <w:rFonts w:ascii="宋体" w:hAnsi="宋体"/>
      <w:bCs/>
      <w:sz w:val="24"/>
      <w:szCs w:val="20"/>
    </w:rPr>
  </w:style>
  <w:style w:type="paragraph" w:styleId="1426" w:customStyle="1">
    <w:name w:val="一级标题"/>
    <w:basedOn w:val="1021"/>
    <w:uiPriority w:val="99"/>
    <w:qFormat/>
    <w:pPr>
      <w:ind w:left="900" w:hanging="420"/>
      <w:spacing w:line="360" w:lineRule="auto"/>
      <w:tabs>
        <w:tab w:val="left" w:pos="903" w:leader="none"/>
      </w:tabs>
    </w:pPr>
    <w:rPr>
      <w:rFonts w:ascii="Arial" w:hAnsi="Arial" w:cs="Arial"/>
      <w:sz w:val="24"/>
      <w:szCs w:val="20"/>
    </w:rPr>
  </w:style>
  <w:style w:type="paragraph" w:styleId="1427"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428" w:customStyle="1">
    <w:name w:val="font8"/>
    <w:basedOn w:val="1021"/>
    <w:uiPriority w:val="99"/>
    <w:qFormat/>
    <w:pPr>
      <w:jc w:val="left"/>
      <w:spacing w:before="100" w:beforeAutospacing="1" w:after="100" w:afterAutospacing="1"/>
      <w:widowControl/>
    </w:pPr>
    <w:rPr>
      <w:rFonts w:ascii="宋体" w:hAnsi="宋体" w:cs="宋体"/>
      <w:b/>
      <w:bCs/>
      <w:i/>
      <w:iCs/>
      <w:sz w:val="20"/>
      <w:szCs w:val="20"/>
    </w:rPr>
  </w:style>
  <w:style w:type="paragraph" w:styleId="1429" w:customStyle="1">
    <w:name w:val="丁华标题2"/>
    <w:basedOn w:val="1023"/>
    <w:next w:val="1356"/>
    <w:uiPriority w:val="99"/>
    <w:qFormat/>
    <w:pPr>
      <w:ind w:left="567" w:hanging="567"/>
      <w:jc w:val="left"/>
      <w:spacing w:before="120" w:after="120"/>
      <w:tabs>
        <w:tab w:val="left" w:pos="567" w:leader="none"/>
      </w:tabs>
    </w:pPr>
    <w:rPr>
      <w:color w:val="000000"/>
      <w:sz w:val="28"/>
      <w:szCs w:val="20"/>
    </w:rPr>
  </w:style>
  <w:style w:type="paragraph" w:styleId="1430" w:customStyle="1">
    <w:name w:val="xl38"/>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31" w:customStyle="1">
    <w:name w:val="小四 段落 宋体"/>
    <w:basedOn w:val="1037"/>
    <w:uiPriority w:val="99"/>
    <w:qFormat/>
    <w:pPr>
      <w:ind w:left="113" w:right="113" w:firstLine="425"/>
      <w:jc w:val="left"/>
      <w:spacing w:line="360" w:lineRule="auto"/>
      <w:tabs>
        <w:tab w:val="clear" w:pos="2952" w:leader="none"/>
      </w:tabs>
    </w:pPr>
    <w:rPr>
      <w:sz w:val="24"/>
    </w:rPr>
  </w:style>
  <w:style w:type="paragraph" w:styleId="1432" w:customStyle="1">
    <w:name w:val="xl51"/>
    <w:basedOn w:val="1021"/>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33" w:customStyle="1">
    <w:name w:val="List Paragraph1"/>
    <w:basedOn w:val="1021"/>
    <w:uiPriority w:val="99"/>
    <w:qFormat/>
    <w:pPr>
      <w:ind w:left="720"/>
      <w:jc w:val="left"/>
      <w:widowControl/>
    </w:pPr>
    <w:rPr>
      <w:rFonts w:ascii="Arial" w:hAnsi="Arial" w:eastAsia="黑体"/>
      <w:sz w:val="24"/>
      <w:lang w:eastAsia="en-US"/>
    </w:rPr>
  </w:style>
  <w:style w:type="paragraph" w:styleId="1434" w:customStyle="1">
    <w:name w:val="Char Char Char Char Char Char Char Char"/>
    <w:basedOn w:val="1021"/>
    <w:uiPriority w:val="99"/>
    <w:qFormat/>
    <w:pPr>
      <w:jc w:val="left"/>
      <w:spacing w:after="160" w:line="240" w:lineRule="exact"/>
      <w:widowControl/>
    </w:pPr>
    <w:rPr>
      <w:rFonts w:ascii="Verdana" w:hAnsi="Verdana"/>
      <w:sz w:val="20"/>
      <w:szCs w:val="20"/>
      <w:lang w:eastAsia="en-US"/>
    </w:rPr>
  </w:style>
  <w:style w:type="paragraph" w:styleId="1435" w:customStyle="1">
    <w:name w:val="批注框文本1"/>
    <w:basedOn w:val="1021"/>
    <w:uiPriority w:val="99"/>
    <w:qFormat/>
    <w:rPr>
      <w:sz w:val="18"/>
      <w:szCs w:val="18"/>
    </w:rPr>
  </w:style>
  <w:style w:type="paragraph" w:styleId="1436" w:customStyle="1">
    <w:name w:val="默认段落字体 Para Char Char Char Char Char Char Char Char Char1 Char Char Char Char Char Char Char"/>
    <w:basedOn w:val="1039"/>
    <w:uiPriority w:val="99"/>
    <w:qFormat/>
    <w:rPr>
      <w:szCs w:val="20"/>
    </w:rPr>
  </w:style>
  <w:style w:type="paragraph" w:styleId="1437" w:customStyle="1">
    <w:name w:val="Pa6"/>
    <w:basedOn w:val="1021"/>
    <w:next w:val="1021"/>
    <w:uiPriority w:val="99"/>
    <w:qFormat/>
    <w:pPr>
      <w:jc w:val="left"/>
      <w:spacing w:line="241" w:lineRule="atLeast"/>
    </w:pPr>
    <w:rPr>
      <w:rFonts w:ascii="汉仪大黑简" w:eastAsia="汉仪大黑简"/>
      <w:sz w:val="24"/>
    </w:rPr>
  </w:style>
  <w:style w:type="paragraph" w:styleId="1438" w:customStyle="1">
    <w:name w:val="xl49"/>
    <w:basedOn w:val="1021"/>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439" w:customStyle="1">
    <w:name w:val="列出段落11"/>
    <w:basedOn w:val="1021"/>
    <w:uiPriority w:val="99"/>
    <w:qFormat/>
    <w:pPr>
      <w:ind w:firstLine="200"/>
    </w:pPr>
    <w:rPr>
      <w:rFonts w:ascii="Calibri" w:hAnsi="Calibri" w:cs="宋体"/>
      <w:szCs w:val="22"/>
    </w:rPr>
  </w:style>
  <w:style w:type="paragraph" w:styleId="1440" w:customStyle="1">
    <w:name w:val="Char Char Char Char Char Char Char1"/>
    <w:basedOn w:val="1021"/>
    <w:uiPriority w:val="99"/>
    <w:qFormat/>
    <w:rPr>
      <w:rFonts w:ascii="Tahoma" w:hAnsi="Tahoma"/>
      <w:sz w:val="24"/>
      <w:szCs w:val="20"/>
    </w:rPr>
  </w:style>
  <w:style w:type="paragraph" w:styleId="1441" w:customStyle="1">
    <w:name w:val="大标题"/>
    <w:basedOn w:val="1021"/>
    <w:next w:val="1021"/>
    <w:uiPriority w:val="99"/>
    <w:qFormat/>
    <w:pPr>
      <w:ind w:hanging="420"/>
      <w:pageBreakBefore/>
      <w:spacing w:line="360" w:lineRule="auto"/>
      <w:tabs>
        <w:tab w:val="left" w:pos="420" w:leader="none"/>
      </w:tabs>
      <w:outlineLvl w:val="0"/>
    </w:pPr>
    <w:rPr>
      <w:b/>
      <w:iCs/>
      <w:sz w:val="44"/>
    </w:rPr>
  </w:style>
  <w:style w:type="paragraph" w:styleId="1442" w:customStyle="1">
    <w:name w:val="Char2 Char Char Char Char Char Char1"/>
    <w:basedOn w:val="1021"/>
    <w:uiPriority w:val="99"/>
    <w:qFormat/>
    <w:pPr>
      <w:ind w:hanging="425"/>
      <w:keepNext/>
      <w:spacing w:before="80" w:after="80"/>
      <w:widowControl/>
      <w:tabs>
        <w:tab w:val="left" w:pos="425" w:leader="none"/>
      </w:tabs>
    </w:pPr>
    <w:rPr>
      <w:rFonts w:ascii="Arial" w:hAnsi="Arial" w:cs="Arial"/>
      <w:sz w:val="20"/>
      <w:szCs w:val="20"/>
    </w:rPr>
  </w:style>
  <w:style w:type="paragraph" w:styleId="1443" w:customStyle="1">
    <w:name w:val="Char Char"/>
    <w:basedOn w:val="1021"/>
    <w:uiPriority w:val="99"/>
    <w:qFormat/>
    <w:rPr>
      <w:rFonts w:ascii="Tahoma" w:hAnsi="Tahoma"/>
      <w:sz w:val="24"/>
      <w:szCs w:val="20"/>
    </w:rPr>
  </w:style>
  <w:style w:type="paragraph" w:styleId="1444" w:customStyle="1">
    <w:name w:val="Char Char Char Char"/>
    <w:basedOn w:val="1039"/>
    <w:uiPriority w:val="99"/>
    <w:qFormat/>
    <w:pPr>
      <w:spacing w:line="360" w:lineRule="auto"/>
    </w:pPr>
    <w:rPr>
      <w:rFonts w:ascii="Tahoma" w:hAnsi="Tahoma"/>
    </w:rPr>
  </w:style>
  <w:style w:type="paragraph" w:styleId="1445" w:customStyle="1">
    <w:name w:val="ewb-con-p2"/>
    <w:basedOn w:val="1021"/>
    <w:uiPriority w:val="99"/>
    <w:qFormat/>
    <w:pPr>
      <w:jc w:val="left"/>
      <w:spacing w:before="100" w:beforeAutospacing="1" w:after="100" w:afterAutospacing="1"/>
      <w:widowControl/>
    </w:pPr>
    <w:rPr>
      <w:rFonts w:ascii="宋体" w:hAnsi="宋体" w:cs="宋体"/>
      <w:sz w:val="24"/>
    </w:rPr>
  </w:style>
  <w:style w:type="paragraph" w:styleId="1446" w:customStyle="1">
    <w:name w:val="xl61"/>
    <w:basedOn w:val="1021"/>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447" w:customStyle="1">
    <w:name w:val="xl55"/>
    <w:basedOn w:val="1021"/>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448" w:customStyle="1">
    <w:name w:val="Char Char Char1"/>
    <w:basedOn w:val="1039"/>
    <w:uiPriority w:val="99"/>
    <w:qFormat/>
    <w:pPr>
      <w:spacing w:line="436" w:lineRule="exact"/>
    </w:pPr>
  </w:style>
  <w:style w:type="paragraph" w:styleId="1449"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450" w:customStyle="1">
    <w:name w:val="正文 首行缩进:  2 字符 Char"/>
    <w:basedOn w:val="1021"/>
    <w:uiPriority w:val="99"/>
    <w:qFormat/>
    <w:pPr>
      <w:ind w:firstLine="480"/>
      <w:spacing w:line="360" w:lineRule="auto"/>
    </w:pPr>
    <w:rPr>
      <w:rFonts w:cs="宋体"/>
      <w:sz w:val="24"/>
      <w:szCs w:val="20"/>
    </w:rPr>
  </w:style>
  <w:style w:type="paragraph" w:styleId="1451"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452" w:customStyle="1">
    <w:name w:val="xl33"/>
    <w:basedOn w:val="10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53" w:customStyle="1">
    <w:name w:val="表格内容"/>
    <w:basedOn w:val="1021"/>
    <w:uiPriority w:val="99"/>
    <w:qFormat/>
    <w:pPr>
      <w:jc w:val="center"/>
      <w:spacing w:before="60" w:line="300" w:lineRule="auto"/>
      <w:widowControl/>
    </w:pPr>
    <w:rPr>
      <w:szCs w:val="20"/>
    </w:rPr>
  </w:style>
  <w:style w:type="paragraph" w:styleId="1454" w:customStyle="1">
    <w:name w:val="正文lzq"/>
    <w:basedOn w:val="1021"/>
    <w:uiPriority w:val="99"/>
    <w:qFormat/>
    <w:pPr>
      <w:ind w:firstLine="480"/>
      <w:spacing w:line="360" w:lineRule="auto"/>
    </w:pPr>
    <w:rPr>
      <w:sz w:val="24"/>
      <w:szCs w:val="20"/>
    </w:rPr>
  </w:style>
  <w:style w:type="paragraph" w:styleId="1455"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456" w:customStyle="1">
    <w:name w:val="Char Char Char Char Char Char Char Char Char"/>
    <w:basedOn w:val="1021"/>
    <w:uiPriority w:val="99"/>
    <w:qFormat/>
    <w:pPr>
      <w:ind w:left="200" w:hanging="200"/>
      <w:tabs>
        <w:tab w:val="left" w:pos="360" w:leader="none"/>
      </w:tabs>
    </w:pPr>
    <w:rPr>
      <w:sz w:val="24"/>
    </w:rPr>
  </w:style>
  <w:style w:type="paragraph" w:styleId="1457" w:customStyle="1">
    <w:name w:val="项目符号：一级"/>
    <w:basedOn w:val="1289"/>
    <w:next w:val="1289"/>
    <w:uiPriority w:val="99"/>
    <w:qFormat/>
    <w:pPr>
      <w:ind w:right="-134"/>
    </w:pPr>
    <w:rPr>
      <w:bCs w:val="0"/>
    </w:rPr>
  </w:style>
  <w:style w:type="paragraph" w:styleId="1458" w:customStyle="1">
    <w:name w:val="content_lineheight"/>
    <w:basedOn w:val="1021"/>
    <w:uiPriority w:val="99"/>
    <w:qFormat/>
    <w:pPr>
      <w:jc w:val="left"/>
      <w:spacing w:before="100" w:beforeAutospacing="1" w:after="100" w:afterAutospacing="1"/>
      <w:widowControl/>
    </w:pPr>
    <w:rPr>
      <w:rFonts w:ascii="宋体" w:hAnsi="宋体"/>
      <w:sz w:val="24"/>
    </w:rPr>
  </w:style>
  <w:style w:type="paragraph" w:styleId="1459" w:customStyle="1">
    <w:name w:val="项目符号，二级"/>
    <w:basedOn w:val="1289"/>
    <w:next w:val="1289"/>
    <w:uiPriority w:val="99"/>
    <w:qFormat/>
    <w:pPr>
      <w:ind w:left="1337" w:right="-27" w:firstLine="480"/>
      <w:tabs>
        <w:tab w:val="left" w:pos="1211" w:leader="none"/>
        <w:tab w:val="left" w:pos="1337" w:leader="none"/>
      </w:tabs>
    </w:pPr>
    <w:rPr>
      <w:bCs w:val="0"/>
      <w:color w:val="000000"/>
      <w:sz w:val="24"/>
      <w:szCs w:val="24"/>
    </w:rPr>
  </w:style>
  <w:style w:type="paragraph" w:styleId="1460" w:customStyle="1">
    <w:name w:val="小四 段落 宋体 Char Char"/>
    <w:basedOn w:val="1021"/>
    <w:uiPriority w:val="99"/>
    <w:qFormat/>
    <w:pPr>
      <w:ind w:firstLine="480"/>
      <w:spacing w:line="360" w:lineRule="auto"/>
    </w:pPr>
    <w:rPr>
      <w:rFonts w:ascii="宋体" w:hAnsi="宋体"/>
      <w:sz w:val="24"/>
    </w:rPr>
  </w:style>
  <w:style w:type="paragraph" w:styleId="1461" w:customStyle="1">
    <w:name w:val="正文文本缩进 31"/>
    <w:basedOn w:val="1021"/>
    <w:uiPriority w:val="99"/>
    <w:qFormat/>
    <w:pPr>
      <w:ind w:firstLine="504"/>
      <w:spacing w:line="360" w:lineRule="auto"/>
      <w:tabs>
        <w:tab w:val="left" w:pos="0" w:leader="none"/>
      </w:tabs>
    </w:pPr>
    <w:rPr>
      <w:rFonts w:ascii="宋体"/>
      <w:b/>
      <w:bCs/>
      <w:sz w:val="24"/>
    </w:rPr>
  </w:style>
  <w:style w:type="paragraph" w:styleId="1462" w:customStyle="1">
    <w:name w:val="标题 41"/>
    <w:basedOn w:val="1021"/>
    <w:uiPriority w:val="99"/>
    <w:qFormat/>
    <w:pPr>
      <w:ind w:left="618"/>
      <w:jc w:val="left"/>
      <w:outlineLvl w:val="4"/>
    </w:pPr>
    <w:rPr>
      <w:rFonts w:ascii="宋体" w:hAnsi="宋体" w:cs="宋体"/>
      <w:b/>
      <w:bCs/>
      <w:sz w:val="24"/>
      <w:lang w:val="zh-CN"/>
    </w:rPr>
  </w:style>
  <w:style w:type="paragraph" w:styleId="1463" w:customStyle="1">
    <w:name w:val="msolistparagraph"/>
    <w:basedOn w:val="1021"/>
    <w:uiPriority w:val="99"/>
    <w:qFormat/>
    <w:pPr>
      <w:ind w:left="420" w:firstLine="420"/>
      <w:spacing w:line="400" w:lineRule="exact"/>
    </w:pPr>
    <w:rPr>
      <w:rFonts w:ascii="Calibri" w:hAnsi="Calibri"/>
    </w:rPr>
  </w:style>
  <w:style w:type="paragraph" w:styleId="1464" w:customStyle="1">
    <w:name w:val="Blockquote"/>
    <w:basedOn w:val="1021"/>
    <w:uiPriority w:val="99"/>
    <w:qFormat/>
    <w:pPr>
      <w:ind w:left="360" w:right="360"/>
      <w:jc w:val="left"/>
      <w:spacing w:before="100" w:after="100"/>
    </w:pPr>
    <w:rPr>
      <w:sz w:val="24"/>
    </w:rPr>
  </w:style>
  <w:style w:type="character" w:styleId="1465" w:customStyle="1">
    <w:name w:val="无"/>
    <w:uiPriority w:val="0"/>
    <w:qFormat/>
  </w:style>
  <w:style w:type="character" w:styleId="1466" w:customStyle="1">
    <w:name w:val="Hyperlink.1"/>
    <w:uiPriority w:val="0"/>
    <w:qFormat/>
    <w:rPr>
      <w:rFonts w:ascii="宋体" w:hAnsi="宋体" w:eastAsia="宋体" w:cs="宋体"/>
      <w:shd w:val="clear" w:color="auto" w:fill="auto"/>
      <w:lang w:val="zh-TW" w:eastAsia="zh-TW"/>
    </w:rPr>
  </w:style>
  <w:style w:type="table" w:styleId="1467"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468" w:customStyle="1">
    <w:name w:val="not([class*=suffix])"/>
    <w:basedOn w:val="1031"/>
    <w:uiPriority w:val="0"/>
    <w:qFormat/>
  </w:style>
  <w:style w:type="character" w:styleId="1469" w:customStyle="1">
    <w:name w:val="not([class*=suffix])1"/>
    <w:basedOn w:val="1031"/>
    <w:uiPriority w:val="0"/>
    <w:qFormat/>
    <w:rPr>
      <w:sz w:val="13"/>
      <w:szCs w:val="13"/>
    </w:rPr>
  </w:style>
  <w:style w:type="paragraph" w:styleId="1470" w:customStyle="1">
    <w:name w:val="Table Paragraph"/>
    <w:basedOn w:val="1021"/>
    <w:uiPriority w:val="1"/>
    <w:qFormat/>
    <w:pPr>
      <w:jc w:val="left"/>
    </w:pPr>
    <w:rPr>
      <w:rFonts w:ascii="宋体" w:hAnsi="宋体" w:cs="宋体"/>
      <w:sz w:val="22"/>
      <w:szCs w:val="22"/>
      <w:lang w:val="zh-CN" w:bidi="zh-CN"/>
    </w:rPr>
  </w:style>
  <w:style w:type="paragraph" w:styleId="1471" w:customStyle="1">
    <w:name w:val="BodyText"/>
    <w:basedOn w:val="1021"/>
    <w:uiPriority w:val="0"/>
    <w:qFormat/>
    <w:pPr>
      <w:spacing w:after="120"/>
    </w:pPr>
    <w:rPr>
      <w:rFonts w:ascii="Calibri"/>
      <w:sz w:val="20"/>
      <w:szCs w:val="20"/>
    </w:rPr>
  </w:style>
  <w:style w:type="character" w:styleId="1472" w:customStyle="1">
    <w:name w:val="样式 仿宋"/>
    <w:uiPriority w:val="0"/>
    <w:qFormat/>
    <w:rPr>
      <w:rFonts w:ascii="仿宋" w:hAnsi="仿宋" w:eastAsia="仿宋"/>
    </w:rPr>
  </w:style>
  <w:style w:type="character" w:styleId="1473" w:customStyle="1">
    <w:name w:val="font51"/>
    <w:basedOn w:val="1031"/>
    <w:uiPriority w:val="0"/>
    <w:qFormat/>
    <w:rPr>
      <w:rFonts w:hint="default" w:ascii="Times New Roman" w:hAnsi="Times New Roman" w:cs="Times New Roman"/>
      <w:color w:val="000000"/>
      <w:sz w:val="20"/>
      <w:szCs w:val="20"/>
      <w:u w:val="none"/>
    </w:rPr>
  </w:style>
  <w:style w:type="character" w:styleId="1474" w:customStyle="1">
    <w:name w:val="NormalCharacter"/>
    <w:uiPriority w:val="0"/>
    <w:qFormat/>
    <w:rPr>
      <w:rFonts w:ascii="KNLe" w:hAnsi="KNLe" w:eastAsia="Ari" w:cs="KNLe"/>
      <w:sz w:val="21"/>
      <w:szCs w:val="22"/>
      <w:lang w:val="en-US" w:eastAsia="zh-CN" w:bidi="ar-SA"/>
    </w:rPr>
  </w:style>
  <w:style w:type="paragraph" w:styleId="1475" w:customStyle="1">
    <w:name w:val="BodyText1I2"/>
    <w:basedOn w:val="1476"/>
    <w:next w:val="1021"/>
    <w:uiPriority w:val="0"/>
    <w:qFormat/>
    <w:pPr>
      <w:ind w:firstLine="420"/>
    </w:pPr>
    <w:rPr>
      <w:rFonts w:ascii="Calibri" w:hAnsi="Calibri"/>
    </w:rPr>
  </w:style>
  <w:style w:type="paragraph" w:styleId="1476" w:customStyle="1">
    <w:name w:val="BodyTextIndent"/>
    <w:basedOn w:val="1021"/>
    <w:next w:val="1477"/>
    <w:uiPriority w:val="0"/>
    <w:qFormat/>
    <w:pPr>
      <w:ind w:firstLine="403"/>
      <w:spacing w:line="440" w:lineRule="exact"/>
    </w:pPr>
    <w:rPr>
      <w:rFonts w:ascii="宋体" w:hAnsi="宋体"/>
      <w:szCs w:val="21"/>
    </w:rPr>
  </w:style>
  <w:style w:type="paragraph" w:styleId="1477" w:customStyle="1">
    <w:name w:val="EnvelopeReturn"/>
    <w:basedOn w:val="1021"/>
    <w:uiPriority w:val="0"/>
    <w:qFormat/>
    <w:rPr>
      <w:rFonts w:ascii="Arial" w:hAnsi="Arial"/>
    </w:rPr>
  </w:style>
  <w:style w:type="paragraph" w:styleId="1478" w:customStyle="1">
    <w:name w:val="二级目录"/>
    <w:next w:val="1021"/>
    <w:uiPriority w:val="99"/>
    <w:qFormat/>
    <w:pPr>
      <w:numPr>
        <w:ilvl w:val="0"/>
        <w:numId w:val="1"/>
      </w:numPr>
      <w:spacing w:after="160" w:line="259" w:lineRule="auto"/>
      <w:outlineLvl w:val="1"/>
    </w:pPr>
    <w:rPr>
      <w:rFonts w:ascii="Calibri" w:hAnsi="Calibri" w:eastAsia="宋体" w:cs="Times New Roman"/>
      <w:b/>
      <w:bCs/>
      <w:sz w:val="28"/>
      <w:szCs w:val="28"/>
      <w:lang w:val="en-US" w:eastAsia="zh-CN" w:bidi="ar-SA"/>
    </w:rPr>
  </w:style>
  <w:style w:type="paragraph" w:styleId="1479" w:customStyle="1">
    <w:name w:val="正文首行缩进 21"/>
    <w:basedOn w:val="1480"/>
    <w:next w:val="1021"/>
    <w:uiPriority w:val="0"/>
    <w:qFormat/>
    <w:pPr>
      <w:ind w:firstLine="420"/>
      <w:spacing w:before="100" w:beforeAutospacing="1" w:after="200" w:line="440" w:lineRule="exact"/>
    </w:pPr>
    <w:rPr>
      <w:rFonts w:ascii="Calibri" w:hAnsi="Calibri" w:cs="Calibri"/>
      <w:szCs w:val="21"/>
    </w:rPr>
  </w:style>
  <w:style w:type="paragraph" w:styleId="1480" w:customStyle="1">
    <w:name w:val="正文文本缩进11"/>
    <w:basedOn w:val="1021"/>
    <w:next w:val="1481"/>
    <w:uiPriority w:val="0"/>
    <w:qFormat/>
    <w:pPr>
      <w:ind w:firstLine="645"/>
    </w:pPr>
    <w:rPr>
      <w:rFonts w:ascii="楷体_GB2312" w:eastAsia="楷体_GB2312"/>
      <w:sz w:val="32"/>
    </w:rPr>
  </w:style>
  <w:style w:type="paragraph" w:styleId="1481" w:customStyle="1">
    <w:name w:val="寄信人地址1"/>
    <w:basedOn w:val="1021"/>
    <w:uiPriority w:val="0"/>
    <w:qFormat/>
    <w:rPr>
      <w:rFonts w:ascii="Arial" w:hAnsi="Arial"/>
    </w:rPr>
  </w:style>
  <w:style w:type="character" w:styleId="1482" w:customStyle="1">
    <w:name w:val="15"/>
    <w:uiPriority w:val="0"/>
    <w:qFormat/>
    <w:rPr>
      <w:rFonts w:hint="default" w:ascii="Times New Roman" w:hAnsi="Times New Roman" w:cs="Times New Roman"/>
    </w:rPr>
  </w:style>
  <w:style w:type="paragraph" w:styleId="1483"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484"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485" w:customStyle="1">
    <w:name w:val="报告正文"/>
    <w:basedOn w:val="1021"/>
    <w:uiPriority w:val="0"/>
    <w:qFormat/>
    <w:pPr>
      <w:ind w:firstLine="560"/>
    </w:pPr>
    <w:rPr>
      <w:szCs w:val="20"/>
      <w:lang w:val="zh-CN"/>
    </w:rPr>
  </w:style>
  <w:style w:type="paragraph" w:styleId="1486" w:customStyle="1">
    <w:name w:val="正文 + 行距: 固定值 20 磅"/>
    <w:basedOn w:val="1021"/>
    <w:uiPriority w:val="0"/>
    <w:qFormat/>
    <w:pPr>
      <w:ind w:firstLine="716"/>
      <w:spacing w:line="400" w:lineRule="exact"/>
    </w:pPr>
    <w:rPr>
      <w:rFonts w:ascii="Calibri" w:hAnsi="Calibri"/>
      <w:szCs w:val="22"/>
    </w:rPr>
  </w:style>
  <w:style w:type="paragraph" w:styleId="1487" w:customStyle="1">
    <w:name w:val="_Style 55"/>
    <w:basedOn w:val="1021"/>
    <w:next w:val="1143"/>
    <w:uiPriority w:val="1"/>
    <w:qFormat/>
    <w:pPr>
      <w:ind w:firstLine="420"/>
    </w:pPr>
    <w:rPr>
      <w:rFonts w:ascii="Calibri" w:hAnsi="Calibri"/>
    </w:rPr>
  </w:style>
  <w:style w:type="numbering" w:styleId="14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李佳蓉</cp:lastModifiedBy>
  <cp:revision>5</cp:revision>
  <dcterms:created xsi:type="dcterms:W3CDTF">2025-11-06T03:38:00Z</dcterms:created>
  <dcterms:modified xsi:type="dcterms:W3CDTF">2026-04-29T07:05:39Z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EC1167B9650B40F09415156054D033F0_13</vt:lpwstr>
  </property>
  <property fmtid="{D5CDD505-2E9C-101B-9397-08002B2CF9AE}" pid="4" name="commondata">
    <vt:lpwstr>eyJoZGlkIjoiMzRjYzhjMjM2MzIwNWZiYjI5ZGZjZjAyNjdmMTc5ZDgifQ==</vt:lpwstr>
  </property>
  <property fmtid="{D5CDD505-2E9C-101B-9397-08002B2CF9AE}" pid="5" name="MSIP_Label_e68a7eba-5507-4be7-87ab-be5a2ad9d7c1_Enabled">
    <vt:lpwstr>true</vt:lpwstr>
  </property>
  <property fmtid="{D5CDD505-2E9C-101B-9397-08002B2CF9AE}" pid="6" name="MSIP_Label_e68a7eba-5507-4be7-87ab-be5a2ad9d7c1_SetDate">
    <vt:lpwstr>2024-04-02T08:41:07Z</vt:lpwstr>
  </property>
  <property fmtid="{D5CDD505-2E9C-101B-9397-08002B2CF9AE}" pid="7" name="MSIP_Label_e68a7eba-5507-4be7-87ab-be5a2ad9d7c1_Method">
    <vt:lpwstr>Standard</vt:lpwstr>
  </property>
  <property fmtid="{D5CDD505-2E9C-101B-9397-08002B2CF9AE}" pid="8" name="MSIP_Label_e68a7eba-5507-4be7-87ab-be5a2ad9d7c1_Name">
    <vt:lpwstr>General</vt:lpwstr>
  </property>
  <property fmtid="{D5CDD505-2E9C-101B-9397-08002B2CF9AE}" pid="9" name="MSIP_Label_e68a7eba-5507-4be7-87ab-be5a2ad9d7c1_SiteId">
    <vt:lpwstr>da758f18-b6d4-4358-942a-60930627c405</vt:lpwstr>
  </property>
  <property fmtid="{D5CDD505-2E9C-101B-9397-08002B2CF9AE}" pid="10" name="MSIP_Label_e68a7eba-5507-4be7-87ab-be5a2ad9d7c1_ActionId">
    <vt:lpwstr>0a0251e7-f409-4f32-99cf-f4f77d48c927</vt:lpwstr>
  </property>
  <property fmtid="{D5CDD505-2E9C-101B-9397-08002B2CF9AE}" pid="11" name="MSIP_Label_e68a7eba-5507-4be7-87ab-be5a2ad9d7c1_ContentBits">
    <vt:lpwstr>0</vt:lpwstr>
  </property>
  <property fmtid="{D5CDD505-2E9C-101B-9397-08002B2CF9AE}" pid="12" name="MSIP_Label_73094ff5-79ca-456b-95f6-d578316a3809_Enabled">
    <vt:lpwstr>true</vt:lpwstr>
  </property>
  <property fmtid="{D5CDD505-2E9C-101B-9397-08002B2CF9AE}" pid="13" name="MSIP_Label_73094ff5-79ca-456b-95f6-d578316a3809_SetDate">
    <vt:lpwstr>2024-08-12T05:53:11Z</vt:lpwstr>
  </property>
  <property fmtid="{D5CDD505-2E9C-101B-9397-08002B2CF9AE}" pid="14" name="MSIP_Label_73094ff5-79ca-456b-95f6-d578316a3809_Method">
    <vt:lpwstr>Privileged</vt:lpwstr>
  </property>
  <property fmtid="{D5CDD505-2E9C-101B-9397-08002B2CF9AE}" pid="15" name="MSIP_Label_73094ff5-79ca-456b-95f6-d578316a3809_Name">
    <vt:lpwstr>Public</vt:lpwstr>
  </property>
  <property fmtid="{D5CDD505-2E9C-101B-9397-08002B2CF9AE}" pid="16" name="MSIP_Label_73094ff5-79ca-456b-95f6-d578316a3809_SiteId">
    <vt:lpwstr>771c9c47-7f24-44dc-958e-34f8713a8394</vt:lpwstr>
  </property>
  <property fmtid="{D5CDD505-2E9C-101B-9397-08002B2CF9AE}" pid="17" name="MSIP_Label_73094ff5-79ca-456b-95f6-d578316a3809_ActionId">
    <vt:lpwstr>937d6e77-aee8-4fad-a372-f6bffb848a7c</vt:lpwstr>
  </property>
  <property fmtid="{D5CDD505-2E9C-101B-9397-08002B2CF9AE}" pid="18" name="MSIP_Label_73094ff5-79ca-456b-95f6-d578316a3809_ContentBits">
    <vt:lpwstr>0</vt:lpwstr>
  </property>
  <property fmtid="{D5CDD505-2E9C-101B-9397-08002B2CF9AE}" pid="19" name="KSOTemplateDocerSaveRecord">
    <vt:lpwstr>eyJoZGlkIjoiMzYwM2E0OTM1MTNmYjdhZDYzZTk0ZmY4ODg5YjlmZWEiLCJ1c2VySWQiOiI0MzkyODMxNDkifQ==</vt:lpwstr>
  </property>
</Properties>
</file>