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37DE73">
      <w:pPr>
        <w:ind w:left="660"/>
        <w:rPr>
          <w:rFonts w:ascii="楷体_GB2312" w:eastAsia="楷体_GB2312"/>
          <w:bCs/>
          <w:color w:val="auto"/>
          <w:sz w:val="30"/>
          <w:highlight w:val="none"/>
        </w:rPr>
      </w:pPr>
    </w:p>
    <w:p w14:paraId="3C5DD679">
      <w:pPr>
        <w:ind w:left="660"/>
        <w:rPr>
          <w:rFonts w:ascii="楷体_GB2312" w:eastAsia="楷体_GB2312"/>
          <w:bCs/>
          <w:color w:val="auto"/>
          <w:sz w:val="30"/>
          <w:highlight w:val="none"/>
        </w:rPr>
      </w:pPr>
    </w:p>
    <w:p w14:paraId="5F80817F">
      <w:pPr>
        <w:jc w:val="center"/>
        <w:rPr>
          <w:rFonts w:ascii="黑体" w:hAnsi="华文中宋" w:eastAsia="黑体"/>
          <w:bCs/>
          <w:color w:val="auto"/>
          <w:spacing w:val="20"/>
          <w:sz w:val="72"/>
          <w:szCs w:val="72"/>
          <w:highlight w:val="none"/>
        </w:rPr>
      </w:pPr>
    </w:p>
    <w:p w14:paraId="302CD2D7">
      <w:pPr>
        <w:jc w:val="center"/>
        <w:rPr>
          <w:rFonts w:ascii="黑体" w:hAnsi="华文中宋" w:eastAsia="黑体"/>
          <w:bCs/>
          <w:color w:val="auto"/>
          <w:spacing w:val="20"/>
          <w:sz w:val="72"/>
          <w:szCs w:val="72"/>
          <w:highlight w:val="none"/>
        </w:rPr>
      </w:pPr>
    </w:p>
    <w:p w14:paraId="01F5DEDE">
      <w:pPr>
        <w:tabs>
          <w:tab w:val="left" w:pos="7022"/>
        </w:tabs>
        <w:jc w:val="left"/>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ab/>
      </w:r>
    </w:p>
    <w:p w14:paraId="5A00A1C6">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6032527D">
      <w:pPr>
        <w:rPr>
          <w:rFonts w:ascii="华文中宋" w:hAnsi="华文中宋" w:eastAsia="华文中宋"/>
          <w:bCs/>
          <w:color w:val="auto"/>
          <w:sz w:val="30"/>
          <w:highlight w:val="none"/>
        </w:rPr>
      </w:pPr>
    </w:p>
    <w:p w14:paraId="31C6C9FB">
      <w:pPr>
        <w:tabs>
          <w:tab w:val="left" w:pos="9921"/>
        </w:tabs>
        <w:jc w:val="cente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001532EF">
      <w:pPr>
        <w:rPr>
          <w:rFonts w:ascii="华文中宋" w:hAnsi="华文中宋" w:eastAsia="华文中宋"/>
          <w:bCs/>
          <w:color w:val="auto"/>
          <w:sz w:val="30"/>
          <w:highlight w:val="none"/>
        </w:rPr>
      </w:pPr>
    </w:p>
    <w:p w14:paraId="46460716">
      <w:pPr>
        <w:rPr>
          <w:rFonts w:ascii="华文中宋" w:hAnsi="华文中宋" w:eastAsia="华文中宋"/>
          <w:bCs/>
          <w:color w:val="auto"/>
          <w:sz w:val="30"/>
          <w:highlight w:val="none"/>
        </w:rPr>
      </w:pPr>
    </w:p>
    <w:p w14:paraId="5C405CB3">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1C32098C">
      <w:pPr>
        <w:jc w:val="center"/>
        <w:rPr>
          <w:rFonts w:ascii="黑体" w:hAnsi="华文中宋" w:eastAsia="黑体"/>
          <w:bCs/>
          <w:color w:val="auto"/>
          <w:spacing w:val="20"/>
          <w:sz w:val="52"/>
          <w:szCs w:val="52"/>
          <w:highlight w:val="none"/>
        </w:rPr>
      </w:pP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4445" r="0" b="5080"/>
                <wp:wrapNone/>
                <wp:docPr id="1" name="直接连接符 1"/>
                <wp:cNvGraphicFramePr/>
                <a:graphic xmlns:a="http://schemas.openxmlformats.org/drawingml/2006/main">
                  <a:graphicData uri="http://schemas.microsoft.com/office/word/2010/wordprocessingShape">
                    <wps:wsp>
                      <wps:cNvCnPr/>
                      <wps:spPr bwMode="auto">
                        <a:xfrm>
                          <a:off x="0" y="0"/>
                          <a:ext cx="1270" cy="0"/>
                        </a:xfrm>
                        <a:prstGeom prst="line">
                          <a:avLst/>
                        </a:prstGeom>
                        <a:solidFill>
                          <a:srgbClr val="FFFFFF"/>
                        </a:solidFill>
                        <a:ln>
                          <a:solidFill>
                            <a:srgbClr val="000000"/>
                          </a:solidFill>
                        </a:ln>
                        <a:effectLst/>
                      </wps:spPr>
                      <wps:bodyPr rot="0">
                        <a:noAutofit/>
                      </wps:bodyPr>
                    </wps:wsp>
                  </a:graphicData>
                </a:graphic>
              </wp:anchor>
            </w:drawing>
          </mc:Choice>
          <mc:Fallback>
            <w:pict>
              <v:line id="_x0000_s1026" o:spid="_x0000_s1026" o:spt="20" style="position:absolute;left:0pt;margin-left:-8.8pt;margin-top:15.6pt;height:0pt;width:0.1pt;z-index:251659264;mso-width-relative:page;mso-height-relative:page;" fillcolor="#FFFFFF" filled="t" stroked="t" coordsize="21600,21600" o:gfxdata="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m5yGC9UAAAAJAQAADwAAAAAAAAABACAAAAAiAAAA&#10;ZHJzL2Rvd25yZXYueG1sUEsBAhQAFAAAAAgAh07iQJm+eTDRAQAAuwMAAA4AAAAAAAAAAQAgAAAA&#10;JAEAAGRycy9lMm9Eb2MueG1sUEsFBgAAAAAGAAYAWQEAAGcFAAAAAA==&#10;">
                <v:fill on="t"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165D688E">
      <w:pPr>
        <w:ind w:firstLine="900"/>
        <w:rPr>
          <w:rFonts w:ascii="黑体" w:hAnsi="华文中宋" w:eastAsia="黑体"/>
          <w:bCs/>
          <w:color w:val="auto"/>
          <w:sz w:val="30"/>
          <w:szCs w:val="30"/>
          <w:highlight w:val="none"/>
        </w:rPr>
      </w:pPr>
    </w:p>
    <w:p w14:paraId="181C9409">
      <w:pPr>
        <w:ind w:firstLine="900"/>
        <w:rPr>
          <w:rFonts w:ascii="黑体" w:hAnsi="华文中宋" w:eastAsia="黑体"/>
          <w:bCs/>
          <w:color w:val="auto"/>
          <w:sz w:val="15"/>
          <w:szCs w:val="15"/>
          <w:highlight w:val="none"/>
        </w:rPr>
      </w:pPr>
    </w:p>
    <w:p w14:paraId="21D7B3B0">
      <w:pPr>
        <w:ind w:firstLine="900"/>
        <w:rPr>
          <w:rFonts w:ascii="黑体" w:hAnsi="华文中宋" w:eastAsia="黑体"/>
          <w:bCs/>
          <w:color w:val="auto"/>
          <w:sz w:val="30"/>
          <w:szCs w:val="30"/>
          <w:highlight w:val="none"/>
        </w:rPr>
      </w:pPr>
    </w:p>
    <w:p w14:paraId="5B30AB78">
      <w:pPr>
        <w:ind w:firstLine="900"/>
        <w:rPr>
          <w:rFonts w:ascii="黑体" w:hAnsi="华文中宋" w:eastAsia="黑体"/>
          <w:bCs/>
          <w:color w:val="auto"/>
          <w:sz w:val="30"/>
          <w:szCs w:val="30"/>
          <w:highlight w:val="none"/>
        </w:rPr>
      </w:pPr>
    </w:p>
    <w:p w14:paraId="2E58AE44">
      <w:pPr>
        <w:ind w:firstLine="900"/>
        <w:rPr>
          <w:rFonts w:ascii="黑体" w:hAnsi="华文中宋" w:eastAsia="黑体"/>
          <w:bCs/>
          <w:color w:val="auto"/>
          <w:sz w:val="30"/>
          <w:szCs w:val="30"/>
          <w:highlight w:val="none"/>
        </w:rPr>
      </w:pPr>
    </w:p>
    <w:p w14:paraId="7EB29197">
      <w:pPr>
        <w:ind w:firstLine="900"/>
        <w:rPr>
          <w:rFonts w:ascii="黑体" w:hAnsi="华文中宋" w:eastAsia="黑体"/>
          <w:bCs/>
          <w:color w:val="auto"/>
          <w:sz w:val="30"/>
          <w:szCs w:val="30"/>
          <w:highlight w:val="none"/>
        </w:rPr>
      </w:pPr>
    </w:p>
    <w:p w14:paraId="055B8927">
      <w:pPr>
        <w:ind w:firstLine="900"/>
        <w:rPr>
          <w:rFonts w:ascii="黑体" w:hAnsi="华文中宋" w:eastAsia="黑体"/>
          <w:bCs/>
          <w:color w:val="auto"/>
          <w:sz w:val="30"/>
          <w:szCs w:val="30"/>
          <w:highlight w:val="none"/>
        </w:rPr>
      </w:pPr>
    </w:p>
    <w:p w14:paraId="2E3682C0">
      <w:pPr>
        <w:ind w:firstLine="900"/>
        <w:rPr>
          <w:rFonts w:ascii="黑体" w:hAnsi="华文中宋" w:eastAsia="黑体"/>
          <w:bCs/>
          <w:color w:val="auto"/>
          <w:sz w:val="30"/>
          <w:szCs w:val="30"/>
          <w:highlight w:val="none"/>
        </w:rPr>
      </w:pPr>
    </w:p>
    <w:p w14:paraId="1DC2FF98">
      <w:pPr>
        <w:ind w:firstLine="900"/>
        <w:rPr>
          <w:rFonts w:ascii="黑体" w:hAnsi="华文中宋" w:eastAsia="黑体"/>
          <w:bCs/>
          <w:color w:val="auto"/>
          <w:sz w:val="30"/>
          <w:szCs w:val="30"/>
          <w:highlight w:val="none"/>
        </w:rPr>
      </w:pPr>
    </w:p>
    <w:p w14:paraId="3D27C8C7">
      <w:pPr>
        <w:tabs>
          <w:tab w:val="left" w:pos="210"/>
        </w:tabs>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JSZC-320214-JSZH-G2026-0023</w:t>
      </w:r>
    </w:p>
    <w:p w14:paraId="6551770F">
      <w:pPr>
        <w:ind w:firstLine="900"/>
        <w:jc w:val="left"/>
        <w:rPr>
          <w:rFonts w:ascii="黑体" w:hAnsi="华文中宋" w:eastAsia="黑体"/>
          <w:bCs/>
          <w:color w:val="auto"/>
          <w:sz w:val="30"/>
          <w:szCs w:val="30"/>
          <w:highlight w:val="none"/>
        </w:rPr>
      </w:pPr>
    </w:p>
    <w:p w14:paraId="643447E0">
      <w:pPr>
        <w:ind w:firstLine="9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特种设备安全、食品安全委托协作管理项目</w:t>
      </w:r>
    </w:p>
    <w:p w14:paraId="0A1212A9">
      <w:pPr>
        <w:ind w:firstLine="900"/>
        <w:jc w:val="left"/>
        <w:rPr>
          <w:rFonts w:ascii="黑体" w:hAnsi="华文中宋" w:eastAsia="黑体"/>
          <w:bCs/>
          <w:color w:val="auto"/>
          <w:sz w:val="30"/>
          <w:szCs w:val="30"/>
          <w:highlight w:val="none"/>
        </w:rPr>
      </w:pPr>
    </w:p>
    <w:p w14:paraId="1D337E0C">
      <w:pPr>
        <w:ind w:firstLine="9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采购代理机构：江苏智汇锡建工程项目管理有限公司</w:t>
      </w:r>
    </w:p>
    <w:p w14:paraId="77E93D84">
      <w:pPr>
        <w:rPr>
          <w:rFonts w:ascii="华文中宋" w:hAnsi="华文中宋" w:eastAsia="华文中宋"/>
          <w:bCs/>
          <w:color w:val="auto"/>
          <w:sz w:val="32"/>
          <w:highlight w:val="none"/>
        </w:rPr>
      </w:pPr>
    </w:p>
    <w:p w14:paraId="3F5D5E66">
      <w:pPr>
        <w:jc w:val="center"/>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二〇二六年</w:t>
      </w:r>
      <w:r>
        <w:rPr>
          <w:rFonts w:hint="eastAsia" w:ascii="黑体" w:hAnsi="华文中宋" w:eastAsia="黑体"/>
          <w:bCs/>
          <w:color w:val="auto"/>
          <w:sz w:val="30"/>
          <w:szCs w:val="30"/>
          <w:highlight w:val="none"/>
          <w:lang w:val="en-US" w:eastAsia="zh-CN"/>
        </w:rPr>
        <w:t>四</w:t>
      </w:r>
      <w:r>
        <w:rPr>
          <w:rFonts w:hint="eastAsia" w:ascii="黑体" w:hAnsi="华文中宋" w:eastAsia="黑体"/>
          <w:bCs/>
          <w:color w:val="auto"/>
          <w:sz w:val="30"/>
          <w:szCs w:val="30"/>
          <w:highlight w:val="none"/>
        </w:rPr>
        <w:t>月</w:t>
      </w:r>
    </w:p>
    <w:p w14:paraId="0CD99E26">
      <w:pPr>
        <w:jc w:val="center"/>
        <w:rPr>
          <w:rStyle w:val="200"/>
          <w:rFonts w:eastAsia="黑体"/>
          <w:bCs/>
          <w:color w:val="auto"/>
          <w:sz w:val="48"/>
          <w:highlight w:val="none"/>
        </w:rPr>
      </w:pPr>
      <w:r>
        <w:rPr>
          <w:rStyle w:val="200"/>
          <w:rFonts w:eastAsia="黑体"/>
          <w:bCs/>
          <w:color w:val="auto"/>
          <w:sz w:val="48"/>
          <w:highlight w:val="none"/>
        </w:rPr>
        <w:br w:type="page" w:clear="all"/>
      </w:r>
      <w:r>
        <w:rPr>
          <w:rStyle w:val="200"/>
          <w:rFonts w:hint="eastAsia" w:eastAsia="黑体"/>
          <w:bCs/>
          <w:color w:val="auto"/>
          <w:sz w:val="48"/>
          <w:highlight w:val="none"/>
        </w:rPr>
        <w:t>目录</w:t>
      </w:r>
    </w:p>
    <w:p w14:paraId="7EFCA125">
      <w:pPr>
        <w:spacing w:line="480" w:lineRule="auto"/>
        <w:jc w:val="center"/>
        <w:rPr>
          <w:rFonts w:hint="eastAsia" w:asciiTheme="minorEastAsia" w:hAnsiTheme="minorEastAsia" w:eastAsiaTheme="minorEastAsia" w:cstheme="minorEastAsia"/>
          <w:b/>
          <w:bCs w:val="0"/>
          <w:color w:val="auto"/>
          <w:sz w:val="28"/>
          <w:szCs w:val="28"/>
          <w:highlight w:val="none"/>
        </w:rPr>
      </w:pPr>
    </w:p>
    <w:p w14:paraId="293A7AD9">
      <w:pPr>
        <w:pStyle w:val="24"/>
        <w:tabs>
          <w:tab w:val="right" w:leader="dot" w:pos="9746"/>
        </w:tabs>
        <w:spacing w:line="480" w:lineRule="auto"/>
        <w:rPr>
          <w:rFonts w:hint="eastAsia" w:asciiTheme="minorEastAsia" w:hAnsiTheme="minorEastAsia" w:eastAsiaTheme="minorEastAsia" w:cstheme="minorEastAsia"/>
          <w:b/>
          <w:bCs w:val="0"/>
          <w:sz w:val="28"/>
          <w:szCs w:val="28"/>
        </w:rPr>
      </w:pPr>
      <w:bookmarkStart w:id="0" w:name="报价方须知前附表"/>
      <w:bookmarkEnd w:id="0"/>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color w:val="auto"/>
          <w:sz w:val="28"/>
          <w:szCs w:val="28"/>
          <w:highlight w:val="none"/>
        </w:rPr>
        <w:instrText xml:space="preserve">TOC \o "1-1" \h \u </w:instrText>
      </w:r>
      <w:r>
        <w:rPr>
          <w:rFonts w:hint="eastAsia" w:asciiTheme="minorEastAsia" w:hAnsiTheme="minorEastAsia" w:eastAsiaTheme="minorEastAsia" w:cstheme="minorEastAsia"/>
          <w:b/>
          <w:bCs w:val="0"/>
          <w:color w:val="auto"/>
          <w:sz w:val="28"/>
          <w:szCs w:val="28"/>
          <w:highlight w:val="none"/>
        </w:rPr>
        <w:fldChar w:fldCharType="separate"/>
      </w: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sz w:val="28"/>
          <w:szCs w:val="28"/>
          <w:highlight w:val="none"/>
        </w:rPr>
        <w:instrText xml:space="preserve"> HYPERLINK \l _Toc10723 </w:instrText>
      </w:r>
      <w:r>
        <w:rPr>
          <w:rFonts w:hint="eastAsia" w:asciiTheme="minorEastAsia" w:hAnsiTheme="minorEastAsia" w:eastAsiaTheme="minorEastAsia" w:cstheme="minorEastAsia"/>
          <w:b/>
          <w:bCs w:val="0"/>
          <w:sz w:val="28"/>
          <w:szCs w:val="28"/>
          <w:highlight w:val="none"/>
        </w:rPr>
        <w:fldChar w:fldCharType="separate"/>
      </w:r>
      <w:r>
        <w:rPr>
          <w:rFonts w:hint="eastAsia" w:asciiTheme="minorEastAsia" w:hAnsiTheme="minorEastAsia" w:eastAsiaTheme="minorEastAsia" w:cstheme="minorEastAsia"/>
          <w:b/>
          <w:bCs w:val="0"/>
          <w:sz w:val="28"/>
          <w:szCs w:val="28"/>
          <w:highlight w:val="none"/>
        </w:rPr>
        <w:t>一.投标邀请函</w:t>
      </w:r>
      <w:r>
        <w:rPr>
          <w:rFonts w:hint="eastAsia" w:asciiTheme="minorEastAsia" w:hAnsiTheme="minorEastAsia" w:eastAsiaTheme="minorEastAsia" w:cstheme="minorEastAsia"/>
          <w:b/>
          <w:bCs w:val="0"/>
          <w:sz w:val="28"/>
          <w:szCs w:val="28"/>
        </w:rPr>
        <w:tab/>
      </w:r>
      <w:r>
        <w:rPr>
          <w:rFonts w:hint="eastAsia" w:asciiTheme="minorEastAsia" w:hAnsiTheme="minorEastAsia" w:eastAsiaTheme="minorEastAsia" w:cstheme="minorEastAsia"/>
          <w:b/>
          <w:bCs w:val="0"/>
          <w:sz w:val="28"/>
          <w:szCs w:val="28"/>
        </w:rPr>
        <w:fldChar w:fldCharType="begin"/>
      </w:r>
      <w:r>
        <w:rPr>
          <w:rFonts w:hint="eastAsia" w:asciiTheme="minorEastAsia" w:hAnsiTheme="minorEastAsia" w:eastAsiaTheme="minorEastAsia" w:cstheme="minorEastAsia"/>
          <w:b/>
          <w:bCs w:val="0"/>
          <w:sz w:val="28"/>
          <w:szCs w:val="28"/>
        </w:rPr>
        <w:instrText xml:space="preserve"> PAGEREF _Toc10723 \h </w:instrText>
      </w:r>
      <w:r>
        <w:rPr>
          <w:rFonts w:hint="eastAsia" w:asciiTheme="minorEastAsia" w:hAnsiTheme="minorEastAsia" w:eastAsiaTheme="minorEastAsia" w:cstheme="minorEastAsia"/>
          <w:b/>
          <w:bCs w:val="0"/>
          <w:sz w:val="28"/>
          <w:szCs w:val="28"/>
        </w:rPr>
        <w:fldChar w:fldCharType="separate"/>
      </w:r>
      <w:r>
        <w:rPr>
          <w:rFonts w:hint="eastAsia" w:asciiTheme="minorEastAsia" w:hAnsiTheme="minorEastAsia" w:eastAsiaTheme="minorEastAsia" w:cstheme="minorEastAsia"/>
          <w:b/>
          <w:bCs w:val="0"/>
          <w:sz w:val="28"/>
          <w:szCs w:val="28"/>
        </w:rPr>
        <w:t>3</w:t>
      </w:r>
      <w:r>
        <w:rPr>
          <w:rFonts w:hint="eastAsia" w:asciiTheme="minorEastAsia" w:hAnsiTheme="minorEastAsia" w:eastAsiaTheme="minorEastAsia" w:cstheme="minorEastAsia"/>
          <w:b/>
          <w:bCs w:val="0"/>
          <w:sz w:val="28"/>
          <w:szCs w:val="28"/>
        </w:rPr>
        <w:fldChar w:fldCharType="end"/>
      </w:r>
      <w:r>
        <w:rPr>
          <w:rFonts w:hint="eastAsia" w:asciiTheme="minorEastAsia" w:hAnsiTheme="minorEastAsia" w:eastAsiaTheme="minorEastAsia" w:cstheme="minorEastAsia"/>
          <w:b/>
          <w:bCs w:val="0"/>
          <w:color w:val="auto"/>
          <w:sz w:val="28"/>
          <w:szCs w:val="28"/>
          <w:highlight w:val="none"/>
        </w:rPr>
        <w:fldChar w:fldCharType="end"/>
      </w:r>
    </w:p>
    <w:p w14:paraId="6B9D7859">
      <w:pPr>
        <w:pStyle w:val="24"/>
        <w:tabs>
          <w:tab w:val="right" w:leader="dot" w:pos="9746"/>
        </w:tabs>
        <w:spacing w:line="480" w:lineRule="auto"/>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sz w:val="28"/>
          <w:szCs w:val="28"/>
          <w:highlight w:val="none"/>
        </w:rPr>
        <w:instrText xml:space="preserve"> HYPERLINK \l _Toc3679 </w:instrText>
      </w:r>
      <w:r>
        <w:rPr>
          <w:rFonts w:hint="eastAsia" w:asciiTheme="minorEastAsia" w:hAnsiTheme="minorEastAsia" w:eastAsiaTheme="minorEastAsia" w:cstheme="minorEastAsia"/>
          <w:b/>
          <w:bCs w:val="0"/>
          <w:sz w:val="28"/>
          <w:szCs w:val="28"/>
          <w:highlight w:val="none"/>
        </w:rPr>
        <w:fldChar w:fldCharType="separate"/>
      </w:r>
      <w:r>
        <w:rPr>
          <w:rFonts w:hint="eastAsia" w:asciiTheme="minorEastAsia" w:hAnsiTheme="minorEastAsia" w:eastAsiaTheme="minorEastAsia" w:cstheme="minorEastAsia"/>
          <w:b/>
          <w:bCs w:val="0"/>
          <w:sz w:val="28"/>
          <w:szCs w:val="28"/>
          <w:highlight w:val="none"/>
        </w:rPr>
        <w:t>二.投标人须知</w:t>
      </w:r>
      <w:r>
        <w:rPr>
          <w:rFonts w:hint="eastAsia" w:asciiTheme="minorEastAsia" w:hAnsiTheme="minorEastAsia" w:eastAsiaTheme="minorEastAsia" w:cstheme="minorEastAsia"/>
          <w:b/>
          <w:bCs w:val="0"/>
          <w:sz w:val="28"/>
          <w:szCs w:val="28"/>
        </w:rPr>
        <w:tab/>
      </w:r>
      <w:r>
        <w:rPr>
          <w:rFonts w:hint="eastAsia" w:asciiTheme="minorEastAsia" w:hAnsiTheme="minorEastAsia" w:eastAsiaTheme="minorEastAsia" w:cstheme="minorEastAsia"/>
          <w:b/>
          <w:bCs w:val="0"/>
          <w:sz w:val="28"/>
          <w:szCs w:val="28"/>
        </w:rPr>
        <w:fldChar w:fldCharType="begin"/>
      </w:r>
      <w:r>
        <w:rPr>
          <w:rFonts w:hint="eastAsia" w:asciiTheme="minorEastAsia" w:hAnsiTheme="minorEastAsia" w:eastAsiaTheme="minorEastAsia" w:cstheme="minorEastAsia"/>
          <w:b/>
          <w:bCs w:val="0"/>
          <w:sz w:val="28"/>
          <w:szCs w:val="28"/>
        </w:rPr>
        <w:instrText xml:space="preserve"> PAGEREF _Toc3679 \h </w:instrText>
      </w:r>
      <w:r>
        <w:rPr>
          <w:rFonts w:hint="eastAsia" w:asciiTheme="minorEastAsia" w:hAnsiTheme="minorEastAsia" w:eastAsiaTheme="minorEastAsia" w:cstheme="minorEastAsia"/>
          <w:b/>
          <w:bCs w:val="0"/>
          <w:sz w:val="28"/>
          <w:szCs w:val="28"/>
        </w:rPr>
        <w:fldChar w:fldCharType="separate"/>
      </w:r>
      <w:r>
        <w:rPr>
          <w:rFonts w:hint="eastAsia" w:asciiTheme="minorEastAsia" w:hAnsiTheme="minorEastAsia" w:eastAsiaTheme="minorEastAsia" w:cstheme="minorEastAsia"/>
          <w:b/>
          <w:bCs w:val="0"/>
          <w:sz w:val="28"/>
          <w:szCs w:val="28"/>
        </w:rPr>
        <w:t>7</w:t>
      </w:r>
      <w:r>
        <w:rPr>
          <w:rFonts w:hint="eastAsia" w:asciiTheme="minorEastAsia" w:hAnsiTheme="minorEastAsia" w:eastAsiaTheme="minorEastAsia" w:cstheme="minorEastAsia"/>
          <w:b/>
          <w:bCs w:val="0"/>
          <w:sz w:val="28"/>
          <w:szCs w:val="28"/>
        </w:rPr>
        <w:fldChar w:fldCharType="end"/>
      </w:r>
      <w:r>
        <w:rPr>
          <w:rFonts w:hint="eastAsia" w:asciiTheme="minorEastAsia" w:hAnsiTheme="minorEastAsia" w:eastAsiaTheme="minorEastAsia" w:cstheme="minorEastAsia"/>
          <w:b/>
          <w:bCs w:val="0"/>
          <w:color w:val="auto"/>
          <w:sz w:val="28"/>
          <w:szCs w:val="28"/>
          <w:highlight w:val="none"/>
        </w:rPr>
        <w:fldChar w:fldCharType="end"/>
      </w:r>
    </w:p>
    <w:p w14:paraId="136D11C8">
      <w:pPr>
        <w:pStyle w:val="24"/>
        <w:tabs>
          <w:tab w:val="right" w:leader="dot" w:pos="9746"/>
        </w:tabs>
        <w:spacing w:line="480" w:lineRule="auto"/>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sz w:val="28"/>
          <w:szCs w:val="28"/>
          <w:highlight w:val="none"/>
        </w:rPr>
        <w:instrText xml:space="preserve"> HYPERLINK \l _Toc10453 </w:instrText>
      </w:r>
      <w:r>
        <w:rPr>
          <w:rFonts w:hint="eastAsia" w:asciiTheme="minorEastAsia" w:hAnsiTheme="minorEastAsia" w:eastAsiaTheme="minorEastAsia" w:cstheme="minorEastAsia"/>
          <w:b/>
          <w:bCs w:val="0"/>
          <w:sz w:val="28"/>
          <w:szCs w:val="28"/>
          <w:highlight w:val="none"/>
        </w:rPr>
        <w:fldChar w:fldCharType="separate"/>
      </w:r>
      <w:r>
        <w:rPr>
          <w:rFonts w:hint="eastAsia" w:asciiTheme="minorEastAsia" w:hAnsiTheme="minorEastAsia" w:eastAsiaTheme="minorEastAsia" w:cstheme="minorEastAsia"/>
          <w:b/>
          <w:bCs w:val="0"/>
          <w:sz w:val="28"/>
          <w:szCs w:val="28"/>
          <w:highlight w:val="none"/>
        </w:rPr>
        <w:t>三.项目技术要求和有关说明</w:t>
      </w:r>
      <w:r>
        <w:rPr>
          <w:rFonts w:hint="eastAsia" w:asciiTheme="minorEastAsia" w:hAnsiTheme="minorEastAsia" w:eastAsiaTheme="minorEastAsia" w:cstheme="minorEastAsia"/>
          <w:b/>
          <w:bCs w:val="0"/>
          <w:sz w:val="28"/>
          <w:szCs w:val="28"/>
        </w:rPr>
        <w:tab/>
      </w:r>
      <w:r>
        <w:rPr>
          <w:rFonts w:hint="eastAsia" w:asciiTheme="minorEastAsia" w:hAnsiTheme="minorEastAsia" w:eastAsiaTheme="minorEastAsia" w:cstheme="minorEastAsia"/>
          <w:b/>
          <w:bCs w:val="0"/>
          <w:sz w:val="28"/>
          <w:szCs w:val="28"/>
        </w:rPr>
        <w:fldChar w:fldCharType="begin"/>
      </w:r>
      <w:r>
        <w:rPr>
          <w:rFonts w:hint="eastAsia" w:asciiTheme="minorEastAsia" w:hAnsiTheme="minorEastAsia" w:eastAsiaTheme="minorEastAsia" w:cstheme="minorEastAsia"/>
          <w:b/>
          <w:bCs w:val="0"/>
          <w:sz w:val="28"/>
          <w:szCs w:val="28"/>
        </w:rPr>
        <w:instrText xml:space="preserve"> PAGEREF _Toc10453 \h </w:instrText>
      </w:r>
      <w:r>
        <w:rPr>
          <w:rFonts w:hint="eastAsia" w:asciiTheme="minorEastAsia" w:hAnsiTheme="minorEastAsia" w:eastAsiaTheme="minorEastAsia" w:cstheme="minorEastAsia"/>
          <w:b/>
          <w:bCs w:val="0"/>
          <w:sz w:val="28"/>
          <w:szCs w:val="28"/>
        </w:rPr>
        <w:fldChar w:fldCharType="separate"/>
      </w:r>
      <w:r>
        <w:rPr>
          <w:rFonts w:hint="eastAsia" w:asciiTheme="minorEastAsia" w:hAnsiTheme="minorEastAsia" w:eastAsiaTheme="minorEastAsia" w:cstheme="minorEastAsia"/>
          <w:b/>
          <w:bCs w:val="0"/>
          <w:sz w:val="28"/>
          <w:szCs w:val="28"/>
        </w:rPr>
        <w:t>18</w:t>
      </w:r>
      <w:r>
        <w:rPr>
          <w:rFonts w:hint="eastAsia" w:asciiTheme="minorEastAsia" w:hAnsiTheme="minorEastAsia" w:eastAsiaTheme="minorEastAsia" w:cstheme="minorEastAsia"/>
          <w:b/>
          <w:bCs w:val="0"/>
          <w:sz w:val="28"/>
          <w:szCs w:val="28"/>
        </w:rPr>
        <w:fldChar w:fldCharType="end"/>
      </w:r>
      <w:r>
        <w:rPr>
          <w:rFonts w:hint="eastAsia" w:asciiTheme="minorEastAsia" w:hAnsiTheme="minorEastAsia" w:eastAsiaTheme="minorEastAsia" w:cstheme="minorEastAsia"/>
          <w:b/>
          <w:bCs w:val="0"/>
          <w:color w:val="auto"/>
          <w:sz w:val="28"/>
          <w:szCs w:val="28"/>
          <w:highlight w:val="none"/>
        </w:rPr>
        <w:fldChar w:fldCharType="end"/>
      </w:r>
    </w:p>
    <w:p w14:paraId="09B73A57">
      <w:pPr>
        <w:pStyle w:val="24"/>
        <w:tabs>
          <w:tab w:val="right" w:leader="dot" w:pos="9746"/>
        </w:tabs>
        <w:spacing w:line="480" w:lineRule="auto"/>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sz w:val="28"/>
          <w:szCs w:val="28"/>
          <w:highlight w:val="none"/>
        </w:rPr>
        <w:instrText xml:space="preserve"> HYPERLINK \l _Toc2016 </w:instrText>
      </w:r>
      <w:r>
        <w:rPr>
          <w:rFonts w:hint="eastAsia" w:asciiTheme="minorEastAsia" w:hAnsiTheme="minorEastAsia" w:eastAsiaTheme="minorEastAsia" w:cstheme="minorEastAsia"/>
          <w:b/>
          <w:bCs w:val="0"/>
          <w:sz w:val="28"/>
          <w:szCs w:val="28"/>
          <w:highlight w:val="none"/>
        </w:rPr>
        <w:fldChar w:fldCharType="separate"/>
      </w:r>
      <w:r>
        <w:rPr>
          <w:rFonts w:hint="eastAsia" w:asciiTheme="minorEastAsia" w:hAnsiTheme="minorEastAsia" w:eastAsiaTheme="minorEastAsia" w:cstheme="minorEastAsia"/>
          <w:b/>
          <w:bCs w:val="0"/>
          <w:sz w:val="28"/>
          <w:szCs w:val="28"/>
          <w:highlight w:val="none"/>
        </w:rPr>
        <w:t>四.合同书（格式文本）</w:t>
      </w:r>
      <w:r>
        <w:rPr>
          <w:rFonts w:hint="eastAsia" w:asciiTheme="minorEastAsia" w:hAnsiTheme="minorEastAsia" w:eastAsiaTheme="minorEastAsia" w:cstheme="minorEastAsia"/>
          <w:b/>
          <w:bCs w:val="0"/>
          <w:sz w:val="28"/>
          <w:szCs w:val="28"/>
        </w:rPr>
        <w:tab/>
      </w:r>
      <w:r>
        <w:rPr>
          <w:rFonts w:hint="eastAsia" w:asciiTheme="minorEastAsia" w:hAnsiTheme="minorEastAsia" w:eastAsiaTheme="minorEastAsia" w:cstheme="minorEastAsia"/>
          <w:b/>
          <w:bCs w:val="0"/>
          <w:sz w:val="28"/>
          <w:szCs w:val="28"/>
        </w:rPr>
        <w:fldChar w:fldCharType="begin"/>
      </w:r>
      <w:r>
        <w:rPr>
          <w:rFonts w:hint="eastAsia" w:asciiTheme="minorEastAsia" w:hAnsiTheme="minorEastAsia" w:eastAsiaTheme="minorEastAsia" w:cstheme="minorEastAsia"/>
          <w:b/>
          <w:bCs w:val="0"/>
          <w:sz w:val="28"/>
          <w:szCs w:val="28"/>
        </w:rPr>
        <w:instrText xml:space="preserve"> PAGEREF _Toc2016 \h </w:instrText>
      </w:r>
      <w:r>
        <w:rPr>
          <w:rFonts w:hint="eastAsia" w:asciiTheme="minorEastAsia" w:hAnsiTheme="minorEastAsia" w:eastAsiaTheme="minorEastAsia" w:cstheme="minorEastAsia"/>
          <w:b/>
          <w:bCs w:val="0"/>
          <w:sz w:val="28"/>
          <w:szCs w:val="28"/>
        </w:rPr>
        <w:fldChar w:fldCharType="separate"/>
      </w:r>
      <w:r>
        <w:rPr>
          <w:rFonts w:hint="eastAsia" w:asciiTheme="minorEastAsia" w:hAnsiTheme="minorEastAsia" w:eastAsiaTheme="minorEastAsia" w:cstheme="minorEastAsia"/>
          <w:b/>
          <w:bCs w:val="0"/>
          <w:sz w:val="28"/>
          <w:szCs w:val="28"/>
        </w:rPr>
        <w:t>25</w:t>
      </w:r>
      <w:r>
        <w:rPr>
          <w:rFonts w:hint="eastAsia" w:asciiTheme="minorEastAsia" w:hAnsiTheme="minorEastAsia" w:eastAsiaTheme="minorEastAsia" w:cstheme="minorEastAsia"/>
          <w:b/>
          <w:bCs w:val="0"/>
          <w:sz w:val="28"/>
          <w:szCs w:val="28"/>
        </w:rPr>
        <w:fldChar w:fldCharType="end"/>
      </w:r>
      <w:r>
        <w:rPr>
          <w:rFonts w:hint="eastAsia" w:asciiTheme="minorEastAsia" w:hAnsiTheme="minorEastAsia" w:eastAsiaTheme="minorEastAsia" w:cstheme="minorEastAsia"/>
          <w:b/>
          <w:bCs w:val="0"/>
          <w:color w:val="auto"/>
          <w:sz w:val="28"/>
          <w:szCs w:val="28"/>
          <w:highlight w:val="none"/>
        </w:rPr>
        <w:fldChar w:fldCharType="end"/>
      </w:r>
    </w:p>
    <w:p w14:paraId="23A810F6">
      <w:pPr>
        <w:pStyle w:val="24"/>
        <w:tabs>
          <w:tab w:val="right" w:leader="dot" w:pos="9746"/>
        </w:tabs>
        <w:spacing w:line="480" w:lineRule="auto"/>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sz w:val="28"/>
          <w:szCs w:val="28"/>
          <w:highlight w:val="none"/>
        </w:rPr>
        <w:instrText xml:space="preserve"> HYPERLINK \l _Toc3307 </w:instrText>
      </w:r>
      <w:r>
        <w:rPr>
          <w:rFonts w:hint="eastAsia" w:asciiTheme="minorEastAsia" w:hAnsiTheme="minorEastAsia" w:eastAsiaTheme="minorEastAsia" w:cstheme="minorEastAsia"/>
          <w:b/>
          <w:bCs w:val="0"/>
          <w:sz w:val="28"/>
          <w:szCs w:val="28"/>
          <w:highlight w:val="none"/>
        </w:rPr>
        <w:fldChar w:fldCharType="separate"/>
      </w:r>
      <w:r>
        <w:rPr>
          <w:rFonts w:hint="eastAsia" w:asciiTheme="minorEastAsia" w:hAnsiTheme="minorEastAsia" w:eastAsiaTheme="minorEastAsia" w:cstheme="minorEastAsia"/>
          <w:b/>
          <w:bCs w:val="0"/>
          <w:sz w:val="28"/>
          <w:szCs w:val="28"/>
          <w:highlight w:val="none"/>
        </w:rPr>
        <w:t>五</w:t>
      </w:r>
      <w:r>
        <w:rPr>
          <w:rFonts w:hint="eastAsia" w:asciiTheme="minorEastAsia" w:hAnsiTheme="minorEastAsia" w:eastAsiaTheme="minorEastAsia" w:cstheme="minorEastAsia"/>
          <w:b/>
          <w:bCs w:val="0"/>
          <w:sz w:val="28"/>
          <w:szCs w:val="28"/>
          <w:highlight w:val="none"/>
          <w:lang w:val="en-US" w:eastAsia="zh-CN"/>
        </w:rPr>
        <w:t>.</w:t>
      </w:r>
      <w:r>
        <w:rPr>
          <w:rFonts w:hint="eastAsia" w:asciiTheme="minorEastAsia" w:hAnsiTheme="minorEastAsia" w:eastAsiaTheme="minorEastAsia" w:cstheme="minorEastAsia"/>
          <w:b/>
          <w:bCs w:val="0"/>
          <w:sz w:val="28"/>
          <w:szCs w:val="28"/>
          <w:highlight w:val="none"/>
        </w:rPr>
        <w:t>合同条款（格式）</w:t>
      </w:r>
      <w:r>
        <w:rPr>
          <w:rFonts w:hint="eastAsia" w:asciiTheme="minorEastAsia" w:hAnsiTheme="minorEastAsia" w:eastAsiaTheme="minorEastAsia" w:cstheme="minorEastAsia"/>
          <w:b/>
          <w:bCs w:val="0"/>
          <w:sz w:val="28"/>
          <w:szCs w:val="28"/>
        </w:rPr>
        <w:tab/>
      </w:r>
      <w:r>
        <w:rPr>
          <w:rFonts w:hint="eastAsia" w:asciiTheme="minorEastAsia" w:hAnsiTheme="minorEastAsia" w:eastAsiaTheme="minorEastAsia" w:cstheme="minorEastAsia"/>
          <w:b/>
          <w:bCs w:val="0"/>
          <w:sz w:val="28"/>
          <w:szCs w:val="28"/>
        </w:rPr>
        <w:fldChar w:fldCharType="begin"/>
      </w:r>
      <w:r>
        <w:rPr>
          <w:rFonts w:hint="eastAsia" w:asciiTheme="minorEastAsia" w:hAnsiTheme="minorEastAsia" w:eastAsiaTheme="minorEastAsia" w:cstheme="minorEastAsia"/>
          <w:b/>
          <w:bCs w:val="0"/>
          <w:sz w:val="28"/>
          <w:szCs w:val="28"/>
        </w:rPr>
        <w:instrText xml:space="preserve"> PAGEREF _Toc3307 \h </w:instrText>
      </w:r>
      <w:r>
        <w:rPr>
          <w:rFonts w:hint="eastAsia" w:asciiTheme="minorEastAsia" w:hAnsiTheme="minorEastAsia" w:eastAsiaTheme="minorEastAsia" w:cstheme="minorEastAsia"/>
          <w:b/>
          <w:bCs w:val="0"/>
          <w:sz w:val="28"/>
          <w:szCs w:val="28"/>
        </w:rPr>
        <w:fldChar w:fldCharType="separate"/>
      </w:r>
      <w:r>
        <w:rPr>
          <w:rFonts w:hint="eastAsia" w:asciiTheme="minorEastAsia" w:hAnsiTheme="minorEastAsia" w:eastAsiaTheme="minorEastAsia" w:cstheme="minorEastAsia"/>
          <w:b/>
          <w:bCs w:val="0"/>
          <w:sz w:val="28"/>
          <w:szCs w:val="28"/>
        </w:rPr>
        <w:t>26</w:t>
      </w:r>
      <w:r>
        <w:rPr>
          <w:rFonts w:hint="eastAsia" w:asciiTheme="minorEastAsia" w:hAnsiTheme="minorEastAsia" w:eastAsiaTheme="minorEastAsia" w:cstheme="minorEastAsia"/>
          <w:b/>
          <w:bCs w:val="0"/>
          <w:sz w:val="28"/>
          <w:szCs w:val="28"/>
        </w:rPr>
        <w:fldChar w:fldCharType="end"/>
      </w:r>
      <w:r>
        <w:rPr>
          <w:rFonts w:hint="eastAsia" w:asciiTheme="minorEastAsia" w:hAnsiTheme="minorEastAsia" w:eastAsiaTheme="minorEastAsia" w:cstheme="minorEastAsia"/>
          <w:b/>
          <w:bCs w:val="0"/>
          <w:color w:val="auto"/>
          <w:sz w:val="28"/>
          <w:szCs w:val="28"/>
          <w:highlight w:val="none"/>
        </w:rPr>
        <w:fldChar w:fldCharType="end"/>
      </w:r>
    </w:p>
    <w:p w14:paraId="76B99CFE">
      <w:pPr>
        <w:pStyle w:val="24"/>
        <w:tabs>
          <w:tab w:val="right" w:leader="dot" w:pos="9746"/>
        </w:tabs>
        <w:spacing w:line="480" w:lineRule="auto"/>
        <w:rPr>
          <w:rFonts w:hint="eastAsia" w:asciiTheme="minorEastAsia" w:hAnsiTheme="minorEastAsia" w:eastAsiaTheme="minorEastAsia" w:cstheme="minorEastAsia"/>
          <w:b/>
          <w:bCs w:val="0"/>
          <w:sz w:val="28"/>
          <w:szCs w:val="28"/>
        </w:rPr>
      </w:pPr>
      <w:r>
        <w:rPr>
          <w:rFonts w:hint="eastAsia" w:asciiTheme="minorEastAsia" w:hAnsiTheme="minorEastAsia" w:eastAsiaTheme="minorEastAsia" w:cstheme="minorEastAsia"/>
          <w:b/>
          <w:bCs w:val="0"/>
          <w:color w:val="auto"/>
          <w:sz w:val="28"/>
          <w:szCs w:val="28"/>
          <w:highlight w:val="none"/>
        </w:rPr>
        <w:fldChar w:fldCharType="begin"/>
      </w:r>
      <w:r>
        <w:rPr>
          <w:rFonts w:hint="eastAsia" w:asciiTheme="minorEastAsia" w:hAnsiTheme="minorEastAsia" w:eastAsiaTheme="minorEastAsia" w:cstheme="minorEastAsia"/>
          <w:b/>
          <w:bCs w:val="0"/>
          <w:sz w:val="28"/>
          <w:szCs w:val="28"/>
          <w:highlight w:val="none"/>
        </w:rPr>
        <w:instrText xml:space="preserve"> HYPERLINK \l _Toc20218 </w:instrText>
      </w:r>
      <w:r>
        <w:rPr>
          <w:rFonts w:hint="eastAsia" w:asciiTheme="minorEastAsia" w:hAnsiTheme="minorEastAsia" w:eastAsiaTheme="minorEastAsia" w:cstheme="minorEastAsia"/>
          <w:b/>
          <w:bCs w:val="0"/>
          <w:sz w:val="28"/>
          <w:szCs w:val="28"/>
          <w:highlight w:val="none"/>
        </w:rPr>
        <w:fldChar w:fldCharType="separate"/>
      </w:r>
      <w:r>
        <w:rPr>
          <w:rFonts w:hint="eastAsia" w:asciiTheme="minorEastAsia" w:hAnsiTheme="minorEastAsia" w:eastAsiaTheme="minorEastAsia" w:cstheme="minorEastAsia"/>
          <w:b/>
          <w:bCs w:val="0"/>
          <w:sz w:val="28"/>
          <w:szCs w:val="28"/>
          <w:highlight w:val="none"/>
        </w:rPr>
        <w:t>六.附件</w:t>
      </w:r>
      <w:r>
        <w:rPr>
          <w:rFonts w:hint="eastAsia" w:asciiTheme="minorEastAsia" w:hAnsiTheme="minorEastAsia" w:eastAsiaTheme="minorEastAsia" w:cstheme="minorEastAsia"/>
          <w:b/>
          <w:bCs w:val="0"/>
          <w:sz w:val="28"/>
          <w:szCs w:val="28"/>
        </w:rPr>
        <w:tab/>
      </w:r>
      <w:r>
        <w:rPr>
          <w:rFonts w:hint="eastAsia" w:asciiTheme="minorEastAsia" w:hAnsiTheme="minorEastAsia" w:eastAsiaTheme="minorEastAsia" w:cstheme="minorEastAsia"/>
          <w:b/>
          <w:bCs w:val="0"/>
          <w:sz w:val="28"/>
          <w:szCs w:val="28"/>
        </w:rPr>
        <w:fldChar w:fldCharType="begin"/>
      </w:r>
      <w:r>
        <w:rPr>
          <w:rFonts w:hint="eastAsia" w:asciiTheme="minorEastAsia" w:hAnsiTheme="minorEastAsia" w:eastAsiaTheme="minorEastAsia" w:cstheme="minorEastAsia"/>
          <w:b/>
          <w:bCs w:val="0"/>
          <w:sz w:val="28"/>
          <w:szCs w:val="28"/>
        </w:rPr>
        <w:instrText xml:space="preserve"> PAGEREF _Toc20218 \h </w:instrText>
      </w:r>
      <w:r>
        <w:rPr>
          <w:rFonts w:hint="eastAsia" w:asciiTheme="minorEastAsia" w:hAnsiTheme="minorEastAsia" w:eastAsiaTheme="minorEastAsia" w:cstheme="minorEastAsia"/>
          <w:b/>
          <w:bCs w:val="0"/>
          <w:sz w:val="28"/>
          <w:szCs w:val="28"/>
        </w:rPr>
        <w:fldChar w:fldCharType="separate"/>
      </w:r>
      <w:r>
        <w:rPr>
          <w:rFonts w:hint="eastAsia" w:asciiTheme="minorEastAsia" w:hAnsiTheme="minorEastAsia" w:eastAsiaTheme="minorEastAsia" w:cstheme="minorEastAsia"/>
          <w:b/>
          <w:bCs w:val="0"/>
          <w:sz w:val="28"/>
          <w:szCs w:val="28"/>
        </w:rPr>
        <w:t>30</w:t>
      </w:r>
      <w:r>
        <w:rPr>
          <w:rFonts w:hint="eastAsia" w:asciiTheme="minorEastAsia" w:hAnsiTheme="minorEastAsia" w:eastAsiaTheme="minorEastAsia" w:cstheme="minorEastAsia"/>
          <w:b/>
          <w:bCs w:val="0"/>
          <w:sz w:val="28"/>
          <w:szCs w:val="28"/>
        </w:rPr>
        <w:fldChar w:fldCharType="end"/>
      </w:r>
      <w:r>
        <w:rPr>
          <w:rFonts w:hint="eastAsia" w:asciiTheme="minorEastAsia" w:hAnsiTheme="minorEastAsia" w:eastAsiaTheme="minorEastAsia" w:cstheme="minorEastAsia"/>
          <w:b/>
          <w:bCs w:val="0"/>
          <w:color w:val="auto"/>
          <w:sz w:val="28"/>
          <w:szCs w:val="28"/>
          <w:highlight w:val="none"/>
        </w:rPr>
        <w:fldChar w:fldCharType="end"/>
      </w:r>
    </w:p>
    <w:p w14:paraId="66720E86">
      <w:pPr>
        <w:spacing w:line="480" w:lineRule="auto"/>
        <w:rPr>
          <w:color w:val="auto"/>
          <w:highlight w:val="none"/>
        </w:rPr>
      </w:pPr>
      <w:r>
        <w:rPr>
          <w:rFonts w:hint="eastAsia" w:asciiTheme="minorEastAsia" w:hAnsiTheme="minorEastAsia" w:eastAsiaTheme="minorEastAsia" w:cstheme="minorEastAsia"/>
          <w:b/>
          <w:bCs w:val="0"/>
          <w:color w:val="auto"/>
          <w:sz w:val="28"/>
          <w:szCs w:val="28"/>
          <w:highlight w:val="none"/>
        </w:rPr>
        <w:fldChar w:fldCharType="end"/>
      </w:r>
    </w:p>
    <w:p w14:paraId="53B0618F">
      <w:pPr>
        <w:spacing w:line="360" w:lineRule="auto"/>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1" w:name="_Toc2656"/>
      <w:bookmarkStart w:id="2" w:name="_Toc10723"/>
      <w:r>
        <w:rPr>
          <w:rFonts w:hint="eastAsia" w:ascii="黑体" w:eastAsia="黑体"/>
          <w:bCs/>
          <w:color w:val="auto"/>
          <w:sz w:val="28"/>
          <w:szCs w:val="28"/>
          <w:highlight w:val="none"/>
        </w:rPr>
        <w:t>一.投标邀请函</w:t>
      </w:r>
      <w:bookmarkEnd w:id="1"/>
      <w:bookmarkEnd w:id="2"/>
    </w:p>
    <w:p w14:paraId="650F4164">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江苏智汇锡建工程项目管理有限公司受无锡市新吴区人民政府旺庄街道办事处委托，对</w:t>
      </w:r>
      <w:r>
        <w:rPr>
          <w:rFonts w:hint="eastAsia" w:ascii="宋体" w:hAnsi="宋体"/>
          <w:bCs/>
          <w:color w:val="auto"/>
          <w:sz w:val="24"/>
          <w:szCs w:val="24"/>
          <w:highlight w:val="none"/>
          <w:lang w:eastAsia="zh-CN"/>
        </w:rPr>
        <w:t>特种设备安全、食品安全委托协作管理项目</w:t>
      </w:r>
      <w:r>
        <w:rPr>
          <w:rFonts w:hint="eastAsia" w:ascii="宋体" w:hAnsi="宋体"/>
          <w:bCs/>
          <w:color w:val="auto"/>
          <w:sz w:val="24"/>
          <w:szCs w:val="24"/>
          <w:highlight w:val="none"/>
        </w:rPr>
        <w:t>进行公开招标采购，欢迎符合相关条件的供应商参加投标并提请注意下列相关事项：</w:t>
      </w:r>
    </w:p>
    <w:p w14:paraId="228D8D45">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1D8C3E93">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特种设备安全、食品安全委托协作管理项目</w:t>
      </w:r>
    </w:p>
    <w:p w14:paraId="289F91B7">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JSZC-320214-JSZH-G2026-0023</w:t>
      </w:r>
    </w:p>
    <w:p w14:paraId="73875642">
      <w:pPr>
        <w:widowControl/>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3.合同履行期限：</w:t>
      </w:r>
      <w:r>
        <w:rPr>
          <w:rFonts w:hint="eastAsia" w:ascii="宋体" w:hAnsi="宋体" w:cs="宋体"/>
          <w:color w:val="auto"/>
          <w:sz w:val="24"/>
          <w:szCs w:val="24"/>
          <w:highlight w:val="none"/>
          <w:lang w:eastAsia="zh-CN"/>
        </w:rPr>
        <w:t>两年（以合同签订日期为准）</w:t>
      </w:r>
    </w:p>
    <w:p w14:paraId="6EE2C55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4.项目预算：</w:t>
      </w:r>
      <w:r>
        <w:rPr>
          <w:rFonts w:hint="eastAsia" w:ascii="宋体" w:hAnsi="宋体" w:cs="宋体"/>
          <w:color w:val="auto"/>
          <w:sz w:val="24"/>
          <w:szCs w:val="24"/>
          <w:highlight w:val="none"/>
          <w:lang w:eastAsia="zh-CN"/>
        </w:rPr>
        <w:t>160.00万元</w:t>
      </w:r>
    </w:p>
    <w:p w14:paraId="7D3A381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5.最高限价：</w:t>
      </w:r>
      <w:r>
        <w:rPr>
          <w:rFonts w:hint="eastAsia" w:ascii="宋体" w:hAnsi="宋体" w:cs="宋体"/>
          <w:color w:val="auto"/>
          <w:sz w:val="24"/>
          <w:szCs w:val="24"/>
          <w:highlight w:val="none"/>
          <w:lang w:eastAsia="zh-CN"/>
        </w:rPr>
        <w:t>160.00万元</w:t>
      </w:r>
    </w:p>
    <w:p w14:paraId="0F642502">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6.采购方式：公开招标</w:t>
      </w:r>
    </w:p>
    <w:p w14:paraId="5AC8BBE9">
      <w:pPr>
        <w:widowControl/>
        <w:tabs>
          <w:tab w:val="left" w:pos="8646"/>
        </w:tabs>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7.采购人：无锡市新吴区人民政府旺庄街道办事处</w:t>
      </w:r>
    </w:p>
    <w:p w14:paraId="614C7A0F">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8.本项目标的所属行业：其他未列明行业</w:t>
      </w:r>
    </w:p>
    <w:p w14:paraId="61ADAFBF">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9.本项目是否专门面向中小企业：是</w:t>
      </w:r>
    </w:p>
    <w:p w14:paraId="4BBD6B02">
      <w:pPr>
        <w:widowControl/>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r>
        <w:rPr>
          <w:rFonts w:hint="eastAsia" w:ascii="宋体" w:hAnsi="宋体"/>
          <w:color w:val="auto"/>
          <w:sz w:val="24"/>
          <w:szCs w:val="24"/>
          <w:highlight w:val="none"/>
        </w:rPr>
        <w:t>本项目不接受联合体投标</w:t>
      </w:r>
    </w:p>
    <w:p w14:paraId="6AE9524D">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352F6ED8">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63F9DA93">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r>
        <w:rPr>
          <w:rFonts w:hint="eastAsia" w:ascii="宋体" w:hAnsi="宋体"/>
          <w:color w:val="auto"/>
          <w:sz w:val="24"/>
          <w:szCs w:val="24"/>
          <w:highlight w:val="none"/>
        </w:rPr>
        <w:t>本项目专门面向中小企业采购（残疾人福利性单位、监狱企业视同小型、微型企业）；</w:t>
      </w:r>
    </w:p>
    <w:p w14:paraId="65E1D1E6">
      <w:pPr>
        <w:widowControl/>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3.具备采购人根据招标项目的特殊要求规定的以下特定资质：未被“信用中国”网站列入失信被执行人、重大税收违法案件当事人名单、政府采购严重违法失信行为记录名单。</w:t>
      </w:r>
    </w:p>
    <w:p w14:paraId="249165C5">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3DE570B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1.请有意参加本项目采购活动的供应商按以下流程进行操作：</w:t>
      </w:r>
    </w:p>
    <w:p w14:paraId="5DFFD4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（1）访问“江苏政府采购网”点击“苏采云”进行账号注册，注册完成后需在系统中填写资质信息并提交审核。也可以直接通过http://jszfcg.jsczt.cn/进入注册界面。</w:t>
      </w:r>
    </w:p>
    <w:p w14:paraId="4F5D7A1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（2）办理“意源”CA数字证书和“方正”电子签章（办理地址：无锡市滨湖区观山路199号12号楼一楼窗口），办理指南链接：http://jsxcmm.com/help/help.html。</w:t>
      </w:r>
    </w:p>
    <w:p w14:paraId="77E4BB3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（3）CA驱动下载：</w:t>
      </w:r>
    </w:p>
    <w:p w14:paraId="62BA46F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在“苏采云”账号登录页面，点击“驱动下载”链接中的“政务CA、方正签章控件驱动安装包及安装说明”可以直接下载驱动安装包，安装包中附有驱动安装手册。</w:t>
      </w:r>
    </w:p>
    <w:p w14:paraId="278D403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技术服务电话：0510-81827781（服务时间：工作日 9:00-11:30，13:00-17:00）</w:t>
      </w:r>
    </w:p>
    <w:p w14:paraId="3A849EA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2.完成苏采云注册的供应商方可在苏采云中进行CA绑定。登录“江苏省政府采购（苏采云）平台”，插入CA后，点击【账号设置】——【绑定CA】。</w:t>
      </w:r>
    </w:p>
    <w:p w14:paraId="0531FB7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3.供应商应按上述要求提供相关材料及注册登记信息，所提供的材料应均是真实的、准确的，若有违背，供应商自行承担由此而产生的一切后果。</w:t>
      </w:r>
    </w:p>
    <w:p w14:paraId="3E0E258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 HYPERLINK "http://cz.wuxi.gov.cn/doc/2023/10/11/4080287.shtml" \t "_blank" </w:instrText>
      </w:r>
      <w:r>
        <w:rPr>
          <w:color w:val="auto"/>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3B60F2E2">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（四）完成项目报名，获取采购文件</w:t>
      </w:r>
    </w:p>
    <w:p w14:paraId="0A11DE5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1.潜在投标供应商可在项目招标公告附件中查看公开招标文件，如确定投标，必须在苏采云平台（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6836EA0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2.招标文件（后缀名为“.kedt”）、“苏采云”系统供应商操作手册及政府采购客户端工具也可通过“苏采云”系统－－已参与项目－－报名详情页面内相应链接进行下载。</w:t>
      </w:r>
    </w:p>
    <w:p w14:paraId="2DECD7E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403593DF">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（五）公开答疑时间、地点</w:t>
      </w:r>
    </w:p>
    <w:p w14:paraId="5045CB8F">
      <w:pPr>
        <w:widowControl/>
        <w:spacing w:line="360" w:lineRule="auto"/>
        <w:ind w:firstLine="480"/>
        <w:jc w:val="left"/>
        <w:rPr>
          <w:rFonts w:ascii="宋体" w:hAnsi="宋体"/>
          <w:color w:val="auto"/>
          <w:sz w:val="24"/>
          <w:szCs w:val="24"/>
          <w:highlight w:val="none"/>
        </w:rPr>
      </w:pPr>
      <w:r>
        <w:rPr>
          <w:rFonts w:hint="eastAsia" w:ascii="宋体" w:hAnsi="宋体"/>
          <w:bCs/>
          <w:color w:val="auto"/>
          <w:sz w:val="24"/>
          <w:szCs w:val="24"/>
          <w:highlight w:val="none"/>
        </w:rPr>
        <w:t>采购人、</w:t>
      </w:r>
      <w:r>
        <w:rPr>
          <w:rFonts w:hint="eastAsia" w:ascii="宋体" w:hAnsi="宋体"/>
          <w:color w:val="auto"/>
          <w:sz w:val="24"/>
          <w:szCs w:val="24"/>
          <w:highlight w:val="none"/>
        </w:rPr>
        <w:t>江苏智汇锡建工程项目管理有限公司</w:t>
      </w:r>
      <w:r>
        <w:rPr>
          <w:rFonts w:hint="eastAsia" w:ascii="宋体" w:hAnsi="宋体"/>
          <w:bCs/>
          <w:color w:val="auto"/>
          <w:sz w:val="24"/>
          <w:szCs w:val="24"/>
          <w:highlight w:val="none"/>
        </w:rPr>
        <w:t>将以线上不见面、电话咨询、传真等方式开展线上答疑服务。截至</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rPr>
        <w:t>日</w:t>
      </w: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:00，</w:t>
      </w:r>
      <w:r>
        <w:rPr>
          <w:rFonts w:hint="eastAsia" w:ascii="宋体" w:hAnsi="宋体"/>
          <w:bCs/>
          <w:color w:val="auto"/>
          <w:sz w:val="24"/>
          <w:szCs w:val="24"/>
          <w:highlight w:val="none"/>
        </w:rPr>
        <w:t>有关单位对于招标文件的相关事项如有疑问可通过上述方式咨询；</w:t>
      </w:r>
      <w:r>
        <w:rPr>
          <w:rFonts w:hint="eastAsia" w:ascii="宋体" w:hAnsi="宋体"/>
          <w:color w:val="auto"/>
          <w:sz w:val="24"/>
          <w:szCs w:val="24"/>
          <w:highlight w:val="none"/>
        </w:rPr>
        <w:t>投标人如有需要对招标文件要求澄清的问题，请以书面形式</w:t>
      </w:r>
      <w:r>
        <w:rPr>
          <w:rFonts w:hint="eastAsia" w:ascii="宋体" w:hAnsi="宋体"/>
          <w:b/>
          <w:bCs/>
          <w:color w:val="auto"/>
          <w:sz w:val="24"/>
          <w:szCs w:val="24"/>
          <w:highlight w:val="none"/>
        </w:rPr>
        <w:t>（必须加盖投标人公章，也请务必留下联系方式，以便回复）</w:t>
      </w:r>
      <w:r>
        <w:rPr>
          <w:rFonts w:hint="eastAsia" w:ascii="宋体" w:hAnsi="宋体"/>
          <w:color w:val="auto"/>
          <w:sz w:val="24"/>
          <w:szCs w:val="24"/>
          <w:highlight w:val="none"/>
        </w:rPr>
        <w:t>提出</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JSZC-320214-JSZH-G2026-0023</w:t>
      </w:r>
      <w:r>
        <w:rPr>
          <w:rFonts w:hint="eastAsia" w:ascii="宋体" w:hAnsi="宋体" w:cs="宋体"/>
          <w:color w:val="auto"/>
          <w:sz w:val="24"/>
          <w:szCs w:val="24"/>
          <w:highlight w:val="none"/>
        </w:rPr>
        <w:t>项目需澄清问题”</w:t>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并于答疑</w:t>
      </w:r>
      <w:r>
        <w:rPr>
          <w:rFonts w:hint="eastAsia" w:ascii="宋体" w:hAnsi="宋体" w:cs="宋体"/>
          <w:bCs/>
          <w:color w:val="auto"/>
          <w:sz w:val="24"/>
          <w:szCs w:val="24"/>
          <w:highlight w:val="none"/>
        </w:rPr>
        <w:t>截止时间前</w:t>
      </w:r>
      <w:r>
        <w:rPr>
          <w:rFonts w:hint="eastAsia" w:ascii="宋体" w:hAnsi="宋体" w:cs="宋体"/>
          <w:color w:val="auto"/>
          <w:sz w:val="24"/>
          <w:szCs w:val="24"/>
          <w:highlight w:val="none"/>
        </w:rPr>
        <w:t>传真给项目联</w:t>
      </w:r>
      <w:r>
        <w:rPr>
          <w:rFonts w:hint="eastAsia" w:ascii="宋体" w:hAnsi="宋体"/>
          <w:color w:val="auto"/>
          <w:sz w:val="24"/>
          <w:szCs w:val="24"/>
          <w:highlight w:val="none"/>
        </w:rPr>
        <w:t>系人</w:t>
      </w:r>
      <w:r>
        <w:rPr>
          <w:rFonts w:hint="eastAsia" w:ascii="宋体" w:hAnsi="宋体"/>
          <w:bCs/>
          <w:color w:val="auto"/>
          <w:sz w:val="24"/>
          <w:szCs w:val="24"/>
          <w:highlight w:val="none"/>
        </w:rPr>
        <w:t>。若未在法定时间内提出澄清，由此造成的损失及风险由投标人自行承担。</w:t>
      </w:r>
    </w:p>
    <w:p w14:paraId="57A4DC83">
      <w:pPr>
        <w:widowControl/>
        <w:spacing w:line="360" w:lineRule="auto"/>
        <w:ind w:firstLine="480"/>
        <w:jc w:val="left"/>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36AD03B5">
      <w:pPr>
        <w:widowControl/>
        <w:spacing w:line="360" w:lineRule="auto"/>
        <w:ind w:firstLine="480"/>
        <w:jc w:val="left"/>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556759E3">
      <w:pPr>
        <w:widowControl/>
        <w:spacing w:line="360" w:lineRule="auto"/>
        <w:ind w:firstLine="480"/>
        <w:jc w:val="left"/>
        <w:rPr>
          <w:rFonts w:ascii="宋体" w:hAnsi="宋体"/>
          <w:color w:val="auto"/>
          <w:sz w:val="24"/>
          <w:szCs w:val="24"/>
          <w:highlight w:val="none"/>
        </w:rPr>
      </w:pPr>
      <w:r>
        <w:rPr>
          <w:rFonts w:hint="eastAsia" w:ascii="宋体" w:hAnsi="宋体" w:cs="宋体"/>
          <w:color w:val="auto"/>
          <w:sz w:val="24"/>
          <w:szCs w:val="24"/>
          <w:highlight w:val="none"/>
        </w:rPr>
        <w:t>网上投标截止时间：</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w:t>
      </w:r>
      <w:r>
        <w:rPr>
          <w:rFonts w:hint="eastAsia" w:ascii="宋体" w:hAnsi="宋体" w:cs="宋体"/>
          <w:color w:val="auto"/>
          <w:sz w:val="24"/>
          <w:szCs w:val="24"/>
          <w:highlight w:val="none"/>
        </w:rPr>
        <w:t>13: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6940EDCC">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网上投标解密时间：</w:t>
      </w:r>
      <w:r>
        <w:rPr>
          <w:rFonts w:hint="eastAsia" w:ascii="宋体" w:hAnsi="宋体" w:cs="宋体"/>
          <w:color w:val="auto"/>
          <w:sz w:val="24"/>
          <w:szCs w:val="24"/>
          <w:highlight w:val="none"/>
        </w:rPr>
        <w:t>2026年</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日</w:t>
      </w:r>
      <w:r>
        <w:rPr>
          <w:rFonts w:hint="eastAsia" w:ascii="宋体" w:hAnsi="宋体" w:cs="宋体"/>
          <w:color w:val="auto"/>
          <w:sz w:val="24"/>
          <w:szCs w:val="24"/>
          <w:highlight w:val="none"/>
        </w:rPr>
        <w:t>开启解密后半小时。</w:t>
      </w:r>
    </w:p>
    <w:p w14:paraId="328E9BBE">
      <w:pPr>
        <w:widowControl/>
        <w:spacing w:line="360" w:lineRule="auto"/>
        <w:ind w:firstLine="480"/>
        <w:jc w:val="left"/>
        <w:rPr>
          <w:rFonts w:ascii="宋体" w:hAnsi="宋体"/>
          <w:bCs/>
          <w:color w:val="auto"/>
          <w:sz w:val="24"/>
          <w:szCs w:val="24"/>
          <w:highlight w:val="none"/>
        </w:rPr>
      </w:pPr>
      <w:r>
        <w:rPr>
          <w:rFonts w:hint="eastAsia" w:ascii="宋体" w:hAnsi="宋体"/>
          <w:color w:val="auto"/>
          <w:sz w:val="24"/>
          <w:szCs w:val="24"/>
          <w:highlight w:val="none"/>
        </w:rPr>
        <w:t>投标及开标地点：</w:t>
      </w:r>
      <w:bookmarkStart w:id="3" w:name="_Toc28359007"/>
      <w:r>
        <w:rPr>
          <w:rFonts w:hint="eastAsia" w:ascii="宋体" w:hAnsi="宋体" w:cs="宋体"/>
          <w:color w:val="auto"/>
          <w:sz w:val="24"/>
          <w:szCs w:val="24"/>
          <w:highlight w:val="none"/>
        </w:rPr>
        <w:t>“苏采云”系统（网址：http://jszfcg.jsczt.cn/）</w:t>
      </w:r>
      <w:bookmarkEnd w:id="3"/>
    </w:p>
    <w:p w14:paraId="269C9A00">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55685461">
      <w:pPr>
        <w:widowControl/>
        <w:spacing w:line="360" w:lineRule="auto"/>
        <w:ind w:firstLine="480"/>
        <w:jc w:val="left"/>
        <w:rPr>
          <w:rFonts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5E16AF1D">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5762DC59">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1B7A1D78">
      <w:pPr>
        <w:spacing w:line="360" w:lineRule="auto"/>
        <w:ind w:firstLine="480"/>
        <w:rPr>
          <w:rFonts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p>
    <w:p w14:paraId="7C550312">
      <w:pPr>
        <w:spacing w:line="360" w:lineRule="auto"/>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（九）其他</w:t>
      </w:r>
    </w:p>
    <w:p w14:paraId="405388F7">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有关本次采购活动程序方面的问题，可来人、来函（传真）或电话联系。</w:t>
      </w:r>
    </w:p>
    <w:p w14:paraId="6A3EC947">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采购人：无锡市新吴区人民政府旺庄街道办事处</w:t>
      </w:r>
    </w:p>
    <w:p w14:paraId="5F088004">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采购人地址：无锡市新吴区机场路55号</w:t>
      </w:r>
    </w:p>
    <w:p w14:paraId="4DAB8218">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联系人：</w:t>
      </w:r>
      <w:r>
        <w:rPr>
          <w:rFonts w:hint="eastAsia" w:cs="宋体"/>
          <w:color w:val="auto"/>
          <w:highlight w:val="none"/>
        </w:rPr>
        <w:t>薛瑾</w:t>
      </w:r>
    </w:p>
    <w:p w14:paraId="45AD9F66">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联系电话：0510-85219029</w:t>
      </w:r>
    </w:p>
    <w:p w14:paraId="689AE9DC">
      <w:pPr>
        <w:pStyle w:val="187"/>
        <w:tabs>
          <w:tab w:val="left" w:pos="0"/>
        </w:tabs>
        <w:spacing w:before="0" w:beforeAutospacing="0" w:after="0" w:afterAutospacing="0" w:line="460" w:lineRule="exact"/>
        <w:ind w:firstLine="480"/>
        <w:rPr>
          <w:rFonts w:cs="宋体"/>
          <w:color w:val="auto"/>
          <w:highlight w:val="none"/>
        </w:rPr>
      </w:pPr>
    </w:p>
    <w:p w14:paraId="5AEEF7AD">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采购代理机构：江苏智汇锡建工程项目管理有限公司</w:t>
      </w:r>
    </w:p>
    <w:p w14:paraId="30E99C0C">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采购代理机构统一</w:t>
      </w:r>
      <w:r>
        <w:rPr>
          <w:rFonts w:hint="eastAsia" w:cs="宋体"/>
          <w:color w:val="auto"/>
          <w:highlight w:val="none"/>
        </w:rPr>
        <w:t>社会</w:t>
      </w:r>
      <w:r>
        <w:rPr>
          <w:rFonts w:hint="eastAsia" w:cs="宋体"/>
          <w:color w:val="auto"/>
          <w:highlight w:val="none"/>
          <w:lang w:val="zh-CN"/>
        </w:rPr>
        <w:t>信用代码：91320214727400523L</w:t>
      </w:r>
    </w:p>
    <w:p w14:paraId="1123B28F">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联系人：徐丽平、吴雨洁</w:t>
      </w:r>
    </w:p>
    <w:p w14:paraId="326885B2">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联系电话：0510-82796055</w:t>
      </w:r>
    </w:p>
    <w:p w14:paraId="055D8635">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联系地址：</w:t>
      </w:r>
      <w:r>
        <w:rPr>
          <w:rFonts w:hint="eastAsia"/>
          <w:bCs/>
          <w:color w:val="auto"/>
          <w:highlight w:val="none"/>
        </w:rPr>
        <w:t>无锡市新吴区和风路19号启迪协信中心6号楼9楼</w:t>
      </w:r>
    </w:p>
    <w:p w14:paraId="5B89F335">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5CDBC1C9">
      <w:pPr>
        <w:pStyle w:val="187"/>
        <w:tabs>
          <w:tab w:val="left" w:pos="0"/>
        </w:tabs>
        <w:spacing w:before="0" w:beforeAutospacing="0" w:after="0" w:afterAutospacing="0" w:line="460" w:lineRule="exact"/>
        <w:ind w:firstLine="480"/>
        <w:rPr>
          <w:rFonts w:cs="宋体"/>
          <w:color w:val="auto"/>
          <w:highlight w:val="none"/>
        </w:rPr>
      </w:pPr>
      <w:r>
        <w:rPr>
          <w:rFonts w:hint="eastAsia" w:cs="宋体"/>
          <w:color w:val="auto"/>
          <w:highlight w:val="none"/>
          <w:lang w:val="zh-CN"/>
        </w:rPr>
        <w:t>电子邮件地址</w:t>
      </w:r>
      <w:r>
        <w:rPr>
          <w:rFonts w:hint="eastAsia" w:cs="宋体"/>
          <w:color w:val="auto"/>
          <w:highlight w:val="none"/>
        </w:rPr>
        <w:t>：jszh009@163.com</w:t>
      </w:r>
    </w:p>
    <w:p w14:paraId="5A7232C7">
      <w:pPr>
        <w:pStyle w:val="187"/>
        <w:tabs>
          <w:tab w:val="left" w:pos="0"/>
        </w:tabs>
        <w:spacing w:before="0" w:beforeAutospacing="0" w:after="0" w:afterAutospacing="0" w:line="460" w:lineRule="exact"/>
        <w:ind w:firstLine="480"/>
        <w:rPr>
          <w:rFonts w:ascii="黑体" w:hAnsi="黑体" w:eastAsia="黑体"/>
          <w:bCs/>
          <w:color w:val="auto"/>
          <w:highlight w:val="none"/>
        </w:rPr>
      </w:pPr>
      <w:r>
        <w:rPr>
          <w:rFonts w:hint="eastAsia" w:ascii="黑体" w:hAnsi="黑体" w:eastAsia="黑体"/>
          <w:bCs/>
          <w:color w:val="auto"/>
          <w:highlight w:val="none"/>
        </w:rPr>
        <w:t>（十）其他</w:t>
      </w:r>
    </w:p>
    <w:p w14:paraId="294ED5E1">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zh-CN"/>
        </w:rPr>
        <w:t>因供应商可能会存在操作不熟练、业务不熟悉等因素，为保证开评标流程顺利，供应商如有问题应及时反馈，供应商在投标文件递交截止时间前网上上传电子投标文件。</w:t>
      </w:r>
    </w:p>
    <w:p w14:paraId="1F52E27B">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本项目为不见面开标，仅需在任意地点登录苏采云平台参加开标会议，供应商无需到达开标现场。</w:t>
      </w:r>
    </w:p>
    <w:p w14:paraId="4ADA0A63">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纸质投标文件：本项目为不见面开标，供应商无需递交纸质投标文件至现场，</w:t>
      </w: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val="zh-CN"/>
        </w:rPr>
        <w:t>后中标供应商向采购代理机构提供与电子投标文件完全一致的纸质投标文件（</w:t>
      </w:r>
      <w:r>
        <w:rPr>
          <w:rFonts w:hint="eastAsia" w:ascii="宋体" w:hAnsi="宋体" w:cs="宋体"/>
          <w:color w:val="auto"/>
          <w:sz w:val="24"/>
          <w:szCs w:val="24"/>
          <w:highlight w:val="none"/>
        </w:rPr>
        <w:t>3</w:t>
      </w:r>
      <w:r>
        <w:rPr>
          <w:rFonts w:hint="eastAsia" w:ascii="宋体" w:hAnsi="宋体" w:cs="宋体"/>
          <w:color w:val="auto"/>
          <w:sz w:val="24"/>
          <w:szCs w:val="24"/>
          <w:highlight w:val="none"/>
          <w:lang w:val="zh-CN"/>
        </w:rPr>
        <w:t>份：一正、</w:t>
      </w:r>
      <w:r>
        <w:rPr>
          <w:rFonts w:hint="eastAsia" w:ascii="宋体" w:hAnsi="宋体" w:cs="宋体"/>
          <w:color w:val="auto"/>
          <w:sz w:val="24"/>
          <w:szCs w:val="24"/>
          <w:highlight w:val="none"/>
        </w:rPr>
        <w:t>二</w:t>
      </w:r>
      <w:r>
        <w:rPr>
          <w:rFonts w:hint="eastAsia" w:ascii="宋体" w:hAnsi="宋体" w:cs="宋体"/>
          <w:color w:val="auto"/>
          <w:sz w:val="24"/>
          <w:szCs w:val="24"/>
          <w:highlight w:val="none"/>
          <w:lang w:val="zh-CN"/>
        </w:rPr>
        <w:t>副）。</w:t>
      </w:r>
    </w:p>
    <w:p w14:paraId="3FB31CAE">
      <w:pPr>
        <w:widowControl/>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val="zh-CN"/>
        </w:rPr>
        <w:t>4</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供应商请仔细阅读供应商注册流程和招标文件中关于电子开评标等相关事项，如有问题可发送邮件或电话咨询。</w:t>
      </w:r>
    </w:p>
    <w:p w14:paraId="4E7364A2">
      <w:pPr>
        <w:pStyle w:val="187"/>
        <w:tabs>
          <w:tab w:val="left" w:pos="0"/>
        </w:tabs>
        <w:spacing w:before="0" w:beforeAutospacing="0" w:after="0" w:afterAutospacing="0" w:line="460" w:lineRule="exact"/>
        <w:ind w:firstLine="560"/>
        <w:jc w:val="both"/>
        <w:rPr>
          <w:rFonts w:ascii="黑体" w:eastAsia="黑体"/>
          <w:bCs/>
          <w:color w:val="auto"/>
          <w:sz w:val="28"/>
          <w:szCs w:val="28"/>
          <w:highlight w:val="none"/>
        </w:rPr>
      </w:pPr>
    </w:p>
    <w:p w14:paraId="1AB84007">
      <w:pPr>
        <w:pStyle w:val="187"/>
        <w:tabs>
          <w:tab w:val="left" w:pos="0"/>
        </w:tabs>
        <w:spacing w:before="0" w:beforeAutospacing="0" w:after="0" w:afterAutospacing="0" w:line="460" w:lineRule="exact"/>
        <w:ind w:firstLine="560"/>
        <w:jc w:val="center"/>
        <w:outlineLvl w:val="0"/>
        <w:rPr>
          <w:rFonts w:ascii="黑体" w:eastAsia="黑体"/>
          <w:bCs/>
          <w:color w:val="auto"/>
          <w:sz w:val="28"/>
          <w:szCs w:val="28"/>
          <w:highlight w:val="none"/>
        </w:rPr>
      </w:pPr>
      <w:r>
        <w:rPr>
          <w:rFonts w:ascii="黑体" w:eastAsia="黑体"/>
          <w:bCs/>
          <w:color w:val="auto"/>
          <w:sz w:val="28"/>
          <w:szCs w:val="28"/>
          <w:highlight w:val="none"/>
        </w:rPr>
        <w:br w:type="page" w:clear="all"/>
      </w:r>
      <w:bookmarkStart w:id="4" w:name="_Toc380"/>
      <w:bookmarkStart w:id="5" w:name="_Toc3679"/>
      <w:bookmarkStart w:id="16" w:name="_GoBack"/>
      <w:bookmarkEnd w:id="16"/>
      <w:r>
        <w:rPr>
          <w:rFonts w:hint="eastAsia" w:ascii="黑体" w:eastAsia="黑体"/>
          <w:bCs/>
          <w:color w:val="auto"/>
          <w:sz w:val="28"/>
          <w:szCs w:val="28"/>
          <w:highlight w:val="none"/>
        </w:rPr>
        <w:t>二.投标人须知</w:t>
      </w:r>
      <w:bookmarkEnd w:id="4"/>
      <w:bookmarkEnd w:id="5"/>
    </w:p>
    <w:p w14:paraId="4EEC5284">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524EDD71">
      <w:pPr>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19ABA3EE">
      <w:pPr>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（二）</w:t>
      </w:r>
      <w:r>
        <w:rPr>
          <w:rFonts w:hint="eastAsia" w:ascii="黑体" w:hAnsi="宋体" w:eastAsia="黑体"/>
          <w:bCs/>
          <w:color w:val="auto"/>
          <w:sz w:val="24"/>
          <w:szCs w:val="24"/>
          <w:highlight w:val="none"/>
        </w:rPr>
        <w:t>招标文件：</w:t>
      </w:r>
    </w:p>
    <w:p w14:paraId="5AAD3E11">
      <w:pPr>
        <w:numPr>
          <w:ilvl w:val="0"/>
          <w:numId w:val="0"/>
        </w:numPr>
        <w:tabs>
          <w:tab w:val="left" w:pos="-1260"/>
          <w:tab w:val="left" w:pos="525"/>
          <w:tab w:val="left" w:pos="945"/>
        </w:tabs>
        <w:spacing w:line="360" w:lineRule="auto"/>
        <w:ind w:left="0" w:leftChars="0" w:firstLine="523" w:firstLineChars="0"/>
        <w:rPr>
          <w:rFonts w:ascii="宋体"/>
          <w:bCs/>
          <w:color w:val="auto"/>
          <w:sz w:val="24"/>
          <w:szCs w:val="24"/>
          <w:highlight w:val="none"/>
        </w:rPr>
      </w:pPr>
      <w:r>
        <w:rPr>
          <w:rFonts w:hint="eastAsia" w:ascii="宋体" w:cs="Times New Roman"/>
          <w:bCs/>
          <w:color w:val="auto"/>
          <w:sz w:val="24"/>
          <w:szCs w:val="24"/>
          <w:highlight w:val="none"/>
          <w:lang w:val="en-US" w:eastAsia="zh-CN" w:bidi="ar-SA"/>
        </w:rPr>
        <w:t>1.</w:t>
      </w:r>
      <w:r>
        <w:rPr>
          <w:rFonts w:hint="eastAsia" w:ascii="宋体" w:hAnsi="宋体"/>
          <w:bCs/>
          <w:color w:val="auto"/>
          <w:sz w:val="24"/>
          <w:szCs w:val="24"/>
          <w:highlight w:val="none"/>
        </w:rPr>
        <w:t>招标文件包括本文件目录所列全部内容，投标人应仔细阅读，并在投标文件中充分响应招标文件的所有要求。</w:t>
      </w:r>
    </w:p>
    <w:p w14:paraId="6798395F">
      <w:pPr>
        <w:numPr>
          <w:ilvl w:val="0"/>
          <w:numId w:val="0"/>
        </w:numPr>
        <w:tabs>
          <w:tab w:val="left" w:pos="0"/>
          <w:tab w:val="left" w:pos="525"/>
          <w:tab w:val="left" w:pos="945"/>
        </w:tabs>
        <w:spacing w:line="360" w:lineRule="auto"/>
        <w:ind w:left="0" w:leftChars="0" w:firstLine="523" w:firstLineChars="0"/>
        <w:rPr>
          <w:rFonts w:ascii="宋体"/>
          <w:bCs/>
          <w:color w:val="auto"/>
          <w:sz w:val="24"/>
          <w:szCs w:val="24"/>
          <w:highlight w:val="none"/>
        </w:rPr>
      </w:pPr>
      <w:r>
        <w:rPr>
          <w:rFonts w:hint="eastAsia" w:ascii="宋体" w:cs="Times New Roman"/>
          <w:bCs/>
          <w:color w:val="auto"/>
          <w:sz w:val="24"/>
          <w:szCs w:val="24"/>
          <w:highlight w:val="none"/>
          <w:lang w:val="en-US" w:eastAsia="zh-CN" w:bidi="ar-SA"/>
        </w:rPr>
        <w:t>2.</w:t>
      </w:r>
      <w:r>
        <w:rPr>
          <w:rFonts w:hint="eastAsia" w:ascii="宋体" w:hAnsi="宋体"/>
          <w:bCs/>
          <w:color w:val="auto"/>
          <w:sz w:val="24"/>
          <w:szCs w:val="24"/>
          <w:highlight w:val="none"/>
        </w:rPr>
        <w:t>招标文件中的“法定代表人”是指投标人的营业执照的“法定代表人”或相关部门的登记证明文件中的“负责人”。</w:t>
      </w:r>
    </w:p>
    <w:p w14:paraId="19E64F65">
      <w:pPr>
        <w:numPr>
          <w:ilvl w:val="0"/>
          <w:numId w:val="0"/>
        </w:numPr>
        <w:tabs>
          <w:tab w:val="left" w:pos="0"/>
          <w:tab w:val="left" w:pos="525"/>
          <w:tab w:val="left" w:pos="945"/>
        </w:tabs>
        <w:spacing w:line="360" w:lineRule="auto"/>
        <w:ind w:left="0" w:leftChars="0" w:firstLine="523" w:firstLineChars="0"/>
        <w:rPr>
          <w:rFonts w:ascii="宋体"/>
          <w:bCs/>
          <w:color w:val="auto"/>
          <w:sz w:val="24"/>
          <w:szCs w:val="24"/>
          <w:highlight w:val="none"/>
        </w:rPr>
      </w:pPr>
      <w:r>
        <w:rPr>
          <w:rFonts w:hint="eastAsia" w:ascii="宋体" w:cs="Times New Roman"/>
          <w:bCs/>
          <w:color w:val="auto"/>
          <w:sz w:val="24"/>
          <w:szCs w:val="24"/>
          <w:highlight w:val="none"/>
          <w:lang w:val="en-US" w:eastAsia="zh-CN" w:bidi="ar-SA"/>
        </w:rPr>
        <w:t>3.</w:t>
      </w:r>
      <w:r>
        <w:rPr>
          <w:rFonts w:hint="eastAsia" w:ascii="宋体" w:hAnsi="宋体"/>
          <w:bCs/>
          <w:color w:val="auto"/>
          <w:sz w:val="24"/>
          <w:szCs w:val="24"/>
          <w:highlight w:val="none"/>
        </w:rPr>
        <w:t>投标供应商应在苏采云平台（</w:t>
      </w:r>
      <w:r>
        <w:rPr>
          <w:rFonts w:hint="eastAsia" w:ascii="宋体" w:hAnsi="宋体"/>
          <w:bCs/>
          <w:color w:val="auto"/>
          <w:sz w:val="24"/>
          <w:szCs w:val="24"/>
          <w:highlight w:val="none"/>
          <w:lang w:eastAsia="zh-CN"/>
        </w:rPr>
        <w:t>http://jszfcg.jsczt.cn/jszc/login</w:t>
      </w:r>
      <w:r>
        <w:rPr>
          <w:rFonts w:hint="eastAsia" w:ascii="宋体" w:hAnsi="宋体"/>
          <w:bCs/>
          <w:color w:val="auto"/>
          <w:sz w:val="24"/>
          <w:szCs w:val="24"/>
          <w:highlight w:val="none"/>
        </w:rPr>
        <w:t>）下载招标文件及有关资料，按要求制作、上传投标文件，对招标文件各项内容做出实质性响应，否则投标无效。</w:t>
      </w:r>
    </w:p>
    <w:p w14:paraId="424B6219">
      <w:pPr>
        <w:numPr>
          <w:ilvl w:val="0"/>
          <w:numId w:val="0"/>
        </w:numPr>
        <w:tabs>
          <w:tab w:val="left" w:pos="0"/>
          <w:tab w:val="left" w:pos="525"/>
          <w:tab w:val="left" w:pos="945"/>
        </w:tabs>
        <w:spacing w:line="360" w:lineRule="auto"/>
        <w:ind w:left="0" w:leftChars="0" w:firstLine="523" w:firstLineChars="0"/>
        <w:rPr>
          <w:rFonts w:ascii="宋体"/>
          <w:bCs/>
          <w:color w:val="auto"/>
          <w:sz w:val="24"/>
          <w:szCs w:val="24"/>
          <w:highlight w:val="none"/>
        </w:rPr>
      </w:pPr>
      <w:r>
        <w:rPr>
          <w:rFonts w:hint="eastAsia" w:ascii="宋体" w:cs="Times New Roman"/>
          <w:bCs/>
          <w:color w:val="auto"/>
          <w:sz w:val="24"/>
          <w:szCs w:val="24"/>
          <w:highlight w:val="none"/>
          <w:lang w:val="en-US" w:eastAsia="zh-CN" w:bidi="ar-SA"/>
        </w:rPr>
        <w:t>4.</w:t>
      </w:r>
      <w:r>
        <w:rPr>
          <w:rFonts w:hint="eastAsia" w:ascii="宋体" w:hAnsi="宋体"/>
          <w:bCs/>
          <w:color w:val="auto"/>
          <w:sz w:val="24"/>
          <w:szCs w:val="24"/>
          <w:highlight w:val="none"/>
        </w:rPr>
        <w:t>招标文件仅作为本次招投标使用。</w:t>
      </w:r>
    </w:p>
    <w:p w14:paraId="01AD62E8">
      <w:pPr>
        <w:tabs>
          <w:tab w:val="left" w:pos="630"/>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08A71FD6">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73478615">
      <w:pPr>
        <w:tabs>
          <w:tab w:val="left" w:pos="945"/>
        </w:tabs>
        <w:spacing w:line="360" w:lineRule="auto"/>
        <w:ind w:left="1200" w:hanging="720"/>
        <w:rPr>
          <w:rFonts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招标文件的补充或修正：</w:t>
      </w:r>
    </w:p>
    <w:p w14:paraId="15177892">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1.江苏智汇锡建工程项目管理有限公司可在投标截止时间十五日前对招标文件进行必要的澄清或者修改，不足15日的，将顺延提交投标文件的截止时间。</w:t>
      </w:r>
    </w:p>
    <w:p w14:paraId="3899C769">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2.如需对招标文件进行澄清或修正，江苏智汇锡建工程项目管理有限公司将在江苏政府采购网</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中国政府采购网</w:t>
      </w:r>
      <w:r>
        <w:rPr>
          <w:rFonts w:hint="eastAsia" w:ascii="宋体" w:hAnsi="宋体"/>
          <w:bCs/>
          <w:color w:val="auto"/>
          <w:sz w:val="24"/>
          <w:szCs w:val="24"/>
          <w:highlight w:val="none"/>
        </w:rPr>
        <w:t>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6AC8D138">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p>
    <w:p w14:paraId="4D4D1E9F">
      <w:pPr>
        <w:tabs>
          <w:tab w:val="left" w:pos="945"/>
        </w:tabs>
        <w:spacing w:line="360" w:lineRule="auto"/>
        <w:ind w:left="1200" w:hanging="720"/>
        <w:rPr>
          <w:rFonts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515EDCF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3C4786D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14:paraId="5F3A24F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6D467E0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2ABD9D4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1E38186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3CA561F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5AE874E0">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2479C4B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609A85DF">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4315AC7F">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65DC83E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7880CC5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7450D25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1ECED11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4B8C2E7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14:paraId="68D3E39C">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3BE8B4C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20BE3D8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458E682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接收单位：江苏智汇锡建工程项目管理有限公司</w:t>
      </w:r>
    </w:p>
    <w:p w14:paraId="117D9CB4">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地址：无锡市新吴区和风路19号启迪协信中心6号楼9楼</w:t>
      </w:r>
    </w:p>
    <w:p w14:paraId="44387F4F">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邮编：214000</w:t>
      </w:r>
    </w:p>
    <w:p w14:paraId="05196E25">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联系人：吴雨洁</w:t>
      </w:r>
    </w:p>
    <w:p w14:paraId="09F68D5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电话：0510-82796055</w:t>
      </w:r>
    </w:p>
    <w:p w14:paraId="0893F857">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5AE4D8C3">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4E43198">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14:paraId="50690070">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3430AE0D">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76C3A06">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1267181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347DC3D9">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296C1608">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61EEE74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55C07E02">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26B7445B">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11C4CEE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760A145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3A275194">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63B9702A">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490DC81B">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09777027">
      <w:pPr>
        <w:tabs>
          <w:tab w:val="left" w:pos="0"/>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5B7E6FE6">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5A5F0FE9">
      <w:pPr>
        <w:tabs>
          <w:tab w:val="left" w:pos="0"/>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76F5740E">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183E4B32">
      <w:pPr>
        <w:numPr>
          <w:ilvl w:val="0"/>
          <w:numId w:val="3"/>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8ED3C38">
      <w:pPr>
        <w:numPr>
          <w:ilvl w:val="0"/>
          <w:numId w:val="3"/>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08E2174C">
      <w:pPr>
        <w:pStyle w:val="357"/>
        <w:numPr>
          <w:ilvl w:val="1"/>
          <w:numId w:val="3"/>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3081B121">
      <w:pPr>
        <w:pStyle w:val="357"/>
        <w:numPr>
          <w:ilvl w:val="1"/>
          <w:numId w:val="3"/>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699F9ADB">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5CB5C3FA">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3B319374">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41F9A365">
      <w:pPr>
        <w:numPr>
          <w:ilvl w:val="1"/>
          <w:numId w:val="3"/>
        </w:numPr>
        <w:tabs>
          <w:tab w:val="left" w:pos="945"/>
          <w:tab w:val="left" w:pos="1276"/>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2E4CD53">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投标人近一年中任意一个月份（不含投标当月）的财务状况报告（资产负债表和利润表）或由会计师事务所出具的近两年（2024年或2025年）中任意一年度的审计报告和所附已审财务报告；</w:t>
      </w:r>
    </w:p>
    <w:p w14:paraId="155808A6">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11258DA9">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74C6AD3C">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承诺书</w:t>
      </w:r>
      <w:r>
        <w:rPr>
          <w:rFonts w:hint="eastAsia" w:ascii="宋体" w:hAnsi="宋体"/>
          <w:bCs/>
          <w:color w:val="auto"/>
          <w:sz w:val="24"/>
          <w:szCs w:val="24"/>
          <w:highlight w:val="none"/>
        </w:rPr>
        <w:t>（</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D230063">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bCs/>
          <w:color w:val="auto"/>
          <w:sz w:val="24"/>
          <w:szCs w:val="24"/>
          <w:highlight w:val="none"/>
        </w:rPr>
        <w:t>中小企业声明函（</w:t>
      </w:r>
      <w:r>
        <w:rPr>
          <w:rFonts w:hint="eastAsia" w:ascii="宋体"/>
          <w:b/>
          <w:color w:val="auto"/>
          <w:sz w:val="24"/>
          <w:szCs w:val="24"/>
          <w:highlight w:val="none"/>
        </w:rPr>
        <w:t>格式见附件</w:t>
      </w:r>
      <w:r>
        <w:rPr>
          <w:rFonts w:hint="eastAsia" w:ascii="宋体"/>
          <w:bCs/>
          <w:color w:val="auto"/>
          <w:sz w:val="24"/>
          <w:szCs w:val="24"/>
          <w:highlight w:val="none"/>
        </w:rPr>
        <w:t>）；</w:t>
      </w:r>
    </w:p>
    <w:p w14:paraId="1908F384">
      <w:pPr>
        <w:numPr>
          <w:ilvl w:val="1"/>
          <w:numId w:val="3"/>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1A2B8572">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60E990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15FA75F2">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2FCBA2F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5.投标偏离表（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6A42CF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6.项目管理机构配备情况表（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657073F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7.投标单位情况表（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16FB4B08">
      <w:pPr>
        <w:spacing w:line="360" w:lineRule="auto"/>
        <w:ind w:firstLine="482"/>
        <w:rPr>
          <w:rFonts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.技术文件</w:t>
      </w:r>
    </w:p>
    <w:p w14:paraId="1C703F09">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lang w:val="en-US" w:eastAsia="zh-CN"/>
        </w:rPr>
        <w:t>9</w:t>
      </w:r>
      <w:r>
        <w:rPr>
          <w:rFonts w:hint="eastAsia" w:ascii="宋体" w:hAnsi="宋体"/>
          <w:bCs/>
          <w:color w:val="auto"/>
          <w:sz w:val="24"/>
          <w:szCs w:val="24"/>
          <w:highlight w:val="none"/>
        </w:rPr>
        <w:t>.评分标准中对应的其他所需证明材料（如有自行添加）</w:t>
      </w:r>
    </w:p>
    <w:p w14:paraId="7945891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0</w:t>
      </w:r>
      <w:r>
        <w:rPr>
          <w:rFonts w:hint="eastAsia" w:ascii="宋体" w:hAnsi="宋体"/>
          <w:bCs/>
          <w:color w:val="auto"/>
          <w:sz w:val="24"/>
          <w:szCs w:val="24"/>
          <w:highlight w:val="none"/>
        </w:rPr>
        <w:t>.要求采购人提供的配合（如有自拟并自行添加）</w:t>
      </w:r>
    </w:p>
    <w:p w14:paraId="231081C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.其他（报价人认为有必要提供的声明和文件，如有自拟并自行添加）</w:t>
      </w:r>
    </w:p>
    <w:p w14:paraId="190DF8A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上述1-</w:t>
      </w: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p>
    <w:p w14:paraId="71B16400">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41CFB434">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所有文件、往来函件均应使用简体中文（规格、型号辅助符号例外）。</w:t>
      </w:r>
    </w:p>
    <w:p w14:paraId="58BD0BB4">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投标文件由投标人按要求如实填写，须有投标人（签章）、法定代表人或法定代表人授权代表签章，方为有效，未尽事宜可自行补充。</w:t>
      </w:r>
    </w:p>
    <w:p w14:paraId="0B489DFF">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color w:val="auto"/>
          <w:sz w:val="24"/>
          <w:szCs w:val="24"/>
          <w:highlight w:val="none"/>
          <w:lang w:val="zh-CN"/>
        </w:rPr>
        <w:t>如无特别说明，</w:t>
      </w:r>
      <w:r>
        <w:rPr>
          <w:rFonts w:hint="eastAsia" w:ascii="宋体" w:hAnsi="宋体"/>
          <w:bCs/>
          <w:color w:val="auto"/>
          <w:sz w:val="24"/>
          <w:szCs w:val="24"/>
          <w:highlight w:val="none"/>
        </w:rPr>
        <w:t>投标人报价一律以人民币为投标结算货币，结算单位为“元”。</w:t>
      </w:r>
    </w:p>
    <w:p w14:paraId="2089AB0D">
      <w:pPr>
        <w:numPr>
          <w:ilvl w:val="0"/>
          <w:numId w:val="4"/>
        </w:numPr>
        <w:tabs>
          <w:tab w:val="left" w:pos="525"/>
          <w:tab w:val="left" w:pos="94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投标费用自理。</w:t>
      </w:r>
    </w:p>
    <w:p w14:paraId="4DF84AEA">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7AB149B4">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投标供应商应由其法定代表人或法定代表人授权代表在规定的网上投标时间内，凭CA数字证书</w:t>
      </w:r>
      <w:r>
        <w:rPr>
          <w:rFonts w:hint="eastAsia" w:ascii="宋体" w:hAnsi="宋体"/>
          <w:bCs/>
          <w:color w:val="auto"/>
          <w:sz w:val="24"/>
          <w:szCs w:val="24"/>
          <w:highlight w:val="none"/>
          <w:lang w:eastAsia="zh-CN"/>
        </w:rPr>
        <w:t>登录</w:t>
      </w:r>
      <w:r>
        <w:rPr>
          <w:rFonts w:hint="eastAsia" w:ascii="宋体" w:hAnsi="宋体"/>
          <w:bCs/>
          <w:color w:val="auto"/>
          <w:sz w:val="24"/>
          <w:szCs w:val="24"/>
          <w:highlight w:val="none"/>
        </w:rPr>
        <w:t>苏采云平台获取招标文件，在投标客户端制作投标文件（电子数据），并在投标截止时间之前上传投标文件。</w:t>
      </w:r>
    </w:p>
    <w:p w14:paraId="5266C2EC">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投标供应商应对CA数字证书妥善保管，如被他人盗用投标，后果自负。</w:t>
      </w:r>
    </w:p>
    <w:p w14:paraId="17AA6672">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投标供应商按招标文件规定的网上解密时间进行解密，如未按时解密后果自负。</w:t>
      </w:r>
    </w:p>
    <w:p w14:paraId="6BD271BC">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投标供应商应当对招标文件提出的要求和条件作出实质性响应，并在电子投标系统逐条应答。</w:t>
      </w:r>
    </w:p>
    <w:p w14:paraId="4CA1CEBF">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投标供应商应对要求提供的资格证明文件（如资质证书、资格证书）、技术资料（如白皮书、彩页、手册、检测报告等）扫描上传至投标系统。</w:t>
      </w:r>
    </w:p>
    <w:p w14:paraId="1CE03B47">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投标供应商进行网上投标请参照《政府采购项目电子交易管理操作指南－供应商》。</w:t>
      </w:r>
    </w:p>
    <w:p w14:paraId="0F2E0592">
      <w:pPr>
        <w:numPr>
          <w:ilvl w:val="0"/>
          <w:numId w:val="5"/>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因投标供应商原因造成投标文件未解密的，视为撤销其投标文件，部分投标文件未解密的，其他投标文件的开标可以继续进行。</w:t>
      </w:r>
    </w:p>
    <w:p w14:paraId="10042DA9">
      <w:pPr>
        <w:numPr>
          <w:ilvl w:val="0"/>
          <w:numId w:val="5"/>
        </w:numPr>
        <w:tabs>
          <w:tab w:val="left" w:pos="525"/>
          <w:tab w:val="left" w:pos="945"/>
        </w:tabs>
        <w:spacing w:line="360" w:lineRule="auto"/>
        <w:ind w:left="1" w:firstLine="523"/>
        <w:rPr>
          <w:rFonts w:ascii="宋体" w:hAnsi="宋体"/>
          <w:b/>
          <w:color w:val="auto"/>
          <w:sz w:val="24"/>
          <w:szCs w:val="24"/>
          <w:highlight w:val="none"/>
        </w:rPr>
      </w:pPr>
      <w:r>
        <w:rPr>
          <w:rFonts w:hint="eastAsia" w:ascii="宋体" w:hAnsi="宋体"/>
          <w:b/>
          <w:color w:val="auto"/>
          <w:sz w:val="24"/>
          <w:szCs w:val="24"/>
          <w:highlight w:val="none"/>
        </w:rPr>
        <w:t>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p>
    <w:p w14:paraId="3EF285A8">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2EE320FC">
      <w:pPr>
        <w:tabs>
          <w:tab w:val="left" w:pos="945"/>
        </w:tabs>
        <w:spacing w:line="360" w:lineRule="auto"/>
        <w:ind w:firstLine="480"/>
        <w:rPr>
          <w:rFonts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17114FFD">
      <w:pPr>
        <w:numPr>
          <w:ilvl w:val="0"/>
          <w:numId w:val="6"/>
        </w:numPr>
        <w:tabs>
          <w:tab w:val="left" w:pos="945"/>
        </w:tabs>
        <w:spacing w:line="360" w:lineRule="auto"/>
        <w:rPr>
          <w:rFonts w:ascii="宋体"/>
          <w:bCs/>
          <w:color w:val="auto"/>
          <w:sz w:val="24"/>
          <w:szCs w:val="24"/>
          <w:highlight w:val="none"/>
        </w:rPr>
      </w:pPr>
      <w:r>
        <w:rPr>
          <w:rFonts w:hint="eastAsia" w:ascii="宋体" w:hAnsi="宋体"/>
          <w:color w:val="auto"/>
          <w:sz w:val="24"/>
          <w:szCs w:val="24"/>
          <w:highlight w:val="none"/>
        </w:rPr>
        <w:t>未按规定在江苏省政府采购（苏采云）平台注册的；</w:t>
      </w:r>
    </w:p>
    <w:p w14:paraId="005D5C1E">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电子投标文件未按规定期限投标的，纸质投标文件（如有）未按规定的期限、地点送达的；</w:t>
      </w:r>
    </w:p>
    <w:p w14:paraId="1E6B2D8D">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电子投标文件未按招标文件要求签章的；</w:t>
      </w:r>
    </w:p>
    <w:p w14:paraId="12991E6C">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投标人未按招标文件要求解密电子投标文件的；</w:t>
      </w:r>
    </w:p>
    <w:p w14:paraId="64EE3A4B">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投标人的法定代表人授权代表，无法定代表人授权委托书的；</w:t>
      </w:r>
    </w:p>
    <w:p w14:paraId="07A1F244">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不具备招标文件中规定的资格要求或未按招标文件规定的要求提供资格、资信证明文件的；</w:t>
      </w:r>
    </w:p>
    <w:p w14:paraId="35180811">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）、中国政府采购网（www.ccgp.gov.cn）列入失信被执行人、重大税收违法案件当事人名单、政府采购严重违法失信行为记录名单的；</w:t>
      </w:r>
    </w:p>
    <w:p w14:paraId="5B97E2AB">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投标文件未按招标文件规定的内容和要求填写的；没有在投标系统指定位置上传对应文件、材料的；</w:t>
      </w:r>
    </w:p>
    <w:p w14:paraId="324FDAC3">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电子投标文件图片、字迹模糊不清、无法辨认的；</w:t>
      </w:r>
    </w:p>
    <w:p w14:paraId="127818E4">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电子投标文件中技术文件暗标部分（如有）中出现该报价供应商单位名称、简称、人员姓名、Logo、商标、电话号码等任何标识标记及其他暗示性标志的；</w:t>
      </w:r>
    </w:p>
    <w:p w14:paraId="0615A8E6">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bCs/>
          <w:color w:val="auto"/>
          <w:sz w:val="24"/>
          <w:szCs w:val="24"/>
          <w:highlight w:val="none"/>
        </w:rPr>
        <w:t>电子投标文件中技术文件未按要求编制，编制粗糙、缺漏项、格式混乱、条理不清的；</w:t>
      </w:r>
    </w:p>
    <w:p w14:paraId="6F65E352">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投标文件中有招标文件未允许提供的选择性内容；</w:t>
      </w:r>
    </w:p>
    <w:p w14:paraId="1CB60CD6">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不同投标人委托同一单位或者个人办理投标事宜的；</w:t>
      </w:r>
    </w:p>
    <w:p w14:paraId="391590D4">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不同投标人的单位负责人为同一人或者存在直接控股、管理关系的；</w:t>
      </w:r>
    </w:p>
    <w:p w14:paraId="4E3A7D25">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不同投标人的投标文件的上传形式、目录序号、排版格式、文字风格等存在明显的相似性或一致性，特征显示由同一单位或者同一个人编制的；</w:t>
      </w:r>
    </w:p>
    <w:p w14:paraId="2434FF3E">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70C45AEE">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不同投标人的投标资料相互混装、不同投标人的委托代理人、项目负责人以及其他相关人员有在同一个单位缴纳社会保险、同一投标文件中单位名称落款与公章不是同一单位的；</w:t>
      </w:r>
    </w:p>
    <w:p w14:paraId="6C6042F4">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项目（标段）投标总价超过本项目（标段）预算或最高限价的；</w:t>
      </w:r>
    </w:p>
    <w:p w14:paraId="3AA79133">
      <w:pPr>
        <w:numPr>
          <w:ilvl w:val="0"/>
          <w:numId w:val="6"/>
        </w:numPr>
        <w:tabs>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提供虚假材料的（包括工商营业执照、财务报表、资格证明文件等）；</w:t>
      </w:r>
    </w:p>
    <w:p w14:paraId="3ABC9D15">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投标文件含有采购人不能接受的附加条件的；</w:t>
      </w:r>
    </w:p>
    <w:p w14:paraId="55CF883D">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6A585A8B">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评标委员会启动异常低价投标（响应）审查的情形和具体要求，包括：</w:t>
      </w:r>
    </w:p>
    <w:p w14:paraId="7B9A291E">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（1）评审过程中出现下列情形之一的，评标委员会应当启动异常低价投标（响应）审查程序：</w:t>
      </w:r>
    </w:p>
    <w:p w14:paraId="21B38E41">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①投标（响应）报价低于采购项目预算50%的，即投标（响应）报价</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采购项目预算×50%；</w:t>
      </w:r>
    </w:p>
    <w:p w14:paraId="0C370303">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②投标（响应）报价低于采购项目最高限价45%的，即投标（响应）报价</w:t>
      </w:r>
      <w:r>
        <w:rPr>
          <w:rFonts w:hint="eastAsia" w:ascii="宋体" w:hAnsi="宋体"/>
          <w:bCs/>
          <w:color w:val="auto"/>
          <w:sz w:val="24"/>
          <w:szCs w:val="24"/>
          <w:highlight w:val="none"/>
          <w:lang w:val="en-US" w:eastAsia="zh-CN"/>
        </w:rPr>
        <w:t>＜</w:t>
      </w:r>
      <w:r>
        <w:rPr>
          <w:rFonts w:hint="eastAsia" w:ascii="宋体" w:hAnsi="宋体"/>
          <w:bCs/>
          <w:color w:val="auto"/>
          <w:sz w:val="24"/>
          <w:szCs w:val="24"/>
          <w:highlight w:val="none"/>
        </w:rPr>
        <w:t>采购项目最高限价×45%；</w:t>
      </w:r>
    </w:p>
    <w:p w14:paraId="2DF42E2F">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③评标委员会认定的供应商报价过低、有可能影响产品质量或者不能诚信履约的其他情形。</w:t>
      </w:r>
    </w:p>
    <w:p w14:paraId="5EF44ADE">
      <w:pPr>
        <w:tabs>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0D0DE832">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除单一来源采购项目外，为采购项目提供整体设计、规范编制或者项目管理、监理、检测等服务的；</w:t>
      </w:r>
    </w:p>
    <w:p w14:paraId="2A058F82">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投标文件内容不全或不符合招标文件中规定的其他实质性要求的；</w:t>
      </w:r>
    </w:p>
    <w:p w14:paraId="2A9C098E">
      <w:pPr>
        <w:numPr>
          <w:ilvl w:val="0"/>
          <w:numId w:val="6"/>
        </w:numPr>
        <w:tabs>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法律法规和招标文件规定的其他无效情形。</w:t>
      </w:r>
    </w:p>
    <w:p w14:paraId="7A0D9210">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78B10C3F">
      <w:pPr>
        <w:numPr>
          <w:ilvl w:val="1"/>
          <w:numId w:val="7"/>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p>
    <w:p w14:paraId="12AA25A9">
      <w:pPr>
        <w:numPr>
          <w:ilvl w:val="1"/>
          <w:numId w:val="7"/>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投标截止时间后参加投标的供应商或解密投标文件的供应商不足三家的，不开标；开标后，所有投标供应商可在线上开标大厅中看到所有投标人的投标报价；</w:t>
      </w:r>
    </w:p>
    <w:p w14:paraId="645E9B7F">
      <w:pPr>
        <w:numPr>
          <w:ilvl w:val="1"/>
          <w:numId w:val="7"/>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55B3D250">
      <w:pPr>
        <w:tabs>
          <w:tab w:val="left" w:pos="630"/>
          <w:tab w:val="left" w:pos="945"/>
          <w:tab w:val="left" w:pos="1155"/>
          <w:tab w:val="left" w:pos="1554"/>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投标文件中开标一览表（报价表）内容与投标文件中相应内容不一致的，以开标一览表（报价表）为准；</w:t>
      </w:r>
    </w:p>
    <w:p w14:paraId="5D00C871">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大写金额和小写金额不一致的，以大写金额为准；</w:t>
      </w:r>
    </w:p>
    <w:p w14:paraId="46C23AB8">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单价金额小数点或者百分比有明显错位的，以开标一览表的总价为准，并修改单价；</w:t>
      </w:r>
    </w:p>
    <w:p w14:paraId="69C94AF4">
      <w:pPr>
        <w:tabs>
          <w:tab w:val="left" w:pos="630"/>
          <w:tab w:val="left" w:pos="945"/>
          <w:tab w:val="left" w:pos="115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总价金额与按单价汇总金额不一致的，以单价金额计算结果为准。</w:t>
      </w:r>
    </w:p>
    <w:p w14:paraId="2074D861">
      <w:pPr>
        <w:tabs>
          <w:tab w:val="left" w:pos="945"/>
        </w:tabs>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同时出现两种以上不一致的，按照前款规定的顺序修正。修正后的报价</w:t>
      </w:r>
      <w:r>
        <w:rPr>
          <w:rFonts w:hint="eastAsia" w:ascii="宋体" w:hAnsi="宋体"/>
          <w:bCs/>
          <w:color w:val="auto"/>
          <w:sz w:val="24"/>
          <w:szCs w:val="24"/>
          <w:highlight w:val="none"/>
        </w:rPr>
        <w:t>评标委员会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经投标人确认后产生约束力，投标人不确认的，其投标无效</w:t>
      </w:r>
      <w:r>
        <w:rPr>
          <w:rFonts w:hint="eastAsia" w:ascii="宋体" w:hAnsi="宋体"/>
          <w:bCs/>
          <w:color w:val="auto"/>
          <w:sz w:val="24"/>
          <w:szCs w:val="24"/>
          <w:highlight w:val="none"/>
        </w:rPr>
        <w:t>。</w:t>
      </w:r>
    </w:p>
    <w:p w14:paraId="2829D09E">
      <w:pPr>
        <w:numPr>
          <w:ilvl w:val="1"/>
          <w:numId w:val="7"/>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电子投标文件与纸质投标文件（如有）不符的，以电子投标文件为准。</w:t>
      </w:r>
    </w:p>
    <w:p w14:paraId="2BEC3F67">
      <w:pPr>
        <w:numPr>
          <w:ilvl w:val="1"/>
          <w:numId w:val="7"/>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3253BA4C">
      <w:pPr>
        <w:numPr>
          <w:ilvl w:val="1"/>
          <w:numId w:val="7"/>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1864E8FE">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评标工作由江苏智汇锡建工程项目管理有限公司负责组织，具体评标事务由依法组建的评标委员会负责。</w:t>
      </w:r>
    </w:p>
    <w:p w14:paraId="7F7A9403">
      <w:pPr>
        <w:numPr>
          <w:ilvl w:val="0"/>
          <w:numId w:val="8"/>
        </w:numPr>
        <w:tabs>
          <w:tab w:val="left" w:pos="630"/>
          <w:tab w:val="left" w:pos="945"/>
          <w:tab w:val="left" w:pos="1155"/>
        </w:tabs>
        <w:spacing w:line="360" w:lineRule="auto"/>
        <w:ind w:left="0" w:firstLine="523"/>
        <w:rPr>
          <w:rFonts w:ascii="宋体" w:hAnsi="宋体" w:cs="宋体"/>
          <w:bCs/>
          <w:color w:val="auto"/>
          <w:sz w:val="24"/>
          <w:szCs w:val="24"/>
          <w:highlight w:val="none"/>
        </w:rPr>
      </w:pPr>
      <w:r>
        <w:rPr>
          <w:rFonts w:hint="eastAsia" w:ascii="宋体" w:hAnsi="宋体" w:cs="宋体"/>
          <w:bCs/>
          <w:color w:val="auto"/>
          <w:sz w:val="24"/>
          <w:szCs w:val="24"/>
          <w:highlight w:val="none"/>
        </w:rPr>
        <w:t>投标文件初审。初审分为资格性检查和符合性检查。</w:t>
      </w:r>
    </w:p>
    <w:p w14:paraId="08A0C2D6">
      <w:pPr>
        <w:numPr>
          <w:ilvl w:val="0"/>
          <w:numId w:val="0"/>
        </w:numPr>
        <w:tabs>
          <w:tab w:val="left" w:pos="525"/>
          <w:tab w:val="left" w:pos="630"/>
          <w:tab w:val="left" w:pos="945"/>
          <w:tab w:val="left" w:pos="1365"/>
        </w:tabs>
        <w:spacing w:line="360" w:lineRule="auto"/>
        <w:ind w:left="0" w:leftChars="0" w:firstLine="523" w:firstLineChars="0"/>
        <w:rPr>
          <w:rFonts w:ascii="宋体" w:hAnsi="宋体" w:cs="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①</w:t>
      </w:r>
      <w:r>
        <w:rPr>
          <w:rFonts w:hint="eastAsia" w:ascii="宋体" w:hAnsi="宋体" w:cs="宋体"/>
          <w:bCs/>
          <w:color w:val="auto"/>
          <w:sz w:val="24"/>
          <w:szCs w:val="24"/>
          <w:highlight w:val="none"/>
        </w:rPr>
        <w:t>资格性检查。采购人依据法律法规和招标文件的规定，对投标文件中的资格证明、投标（报价）承诺函等进行审查；通过“信用中国”网站（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49FECB68">
      <w:pPr>
        <w:numPr>
          <w:ilvl w:val="0"/>
          <w:numId w:val="0"/>
        </w:numPr>
        <w:tabs>
          <w:tab w:val="left" w:pos="525"/>
          <w:tab w:val="left" w:pos="630"/>
          <w:tab w:val="left" w:pos="945"/>
          <w:tab w:val="left" w:pos="1365"/>
        </w:tabs>
        <w:spacing w:line="360" w:lineRule="auto"/>
        <w:ind w:left="0" w:leftChars="0" w:firstLine="523" w:firstLineChars="0"/>
        <w:rPr>
          <w:rFonts w:ascii="宋体" w:hAnsi="宋体" w:cs="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②</w:t>
      </w:r>
      <w:r>
        <w:rPr>
          <w:rFonts w:hint="eastAsia" w:ascii="宋体" w:hAnsi="宋体" w:cs="宋体"/>
          <w:bCs/>
          <w:color w:val="auto"/>
          <w:sz w:val="24"/>
          <w:szCs w:val="24"/>
          <w:highlight w:val="none"/>
        </w:rPr>
        <w:t>符合性检查。评标委员会依据招标文件的规定，从投标文件的有效性、完整性和对招标文件的响应程度进行审查，以确定是否对招标文件的实质性要求作出响应。</w:t>
      </w:r>
    </w:p>
    <w:p w14:paraId="77B910B5">
      <w:pPr>
        <w:numPr>
          <w:ilvl w:val="0"/>
          <w:numId w:val="8"/>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cs="宋体"/>
          <w:bCs/>
          <w:color w:val="auto"/>
          <w:sz w:val="24"/>
          <w:szCs w:val="24"/>
          <w:highlight w:val="none"/>
        </w:rPr>
        <w:t>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2CEB3ADE">
      <w:pPr>
        <w:numPr>
          <w:ilvl w:val="0"/>
          <w:numId w:val="8"/>
        </w:numPr>
        <w:tabs>
          <w:tab w:val="left" w:pos="945"/>
          <w:tab w:val="left" w:pos="1155"/>
          <w:tab w:val="left" w:pos="1365"/>
        </w:tabs>
        <w:spacing w:line="360" w:lineRule="auto"/>
        <w:ind w:left="0" w:firstLine="523"/>
        <w:rPr>
          <w:rFonts w:ascii="宋体"/>
          <w:bCs/>
          <w:color w:val="auto"/>
          <w:sz w:val="24"/>
          <w:szCs w:val="24"/>
          <w:highlight w:val="none"/>
        </w:rPr>
      </w:pPr>
      <w:r>
        <w:rPr>
          <w:rFonts w:hint="eastAsia" w:ascii="宋体" w:hAnsi="宋体"/>
          <w:bCs/>
          <w:color w:val="auto"/>
          <w:sz w:val="24"/>
          <w:highlight w:val="none"/>
        </w:rPr>
        <w:t>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27A1B3A6">
      <w:pPr>
        <w:numPr>
          <w:ilvl w:val="1"/>
          <w:numId w:val="7"/>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25D27DBC">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2446A03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7B34ACC5">
      <w:pPr>
        <w:tabs>
          <w:tab w:val="left" w:pos="945"/>
        </w:tabs>
        <w:spacing w:line="360" w:lineRule="auto"/>
        <w:ind w:firstLine="523"/>
        <w:rPr>
          <w:rFonts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p>
    <w:p w14:paraId="705A01D0">
      <w:pPr>
        <w:numPr>
          <w:ilvl w:val="1"/>
          <w:numId w:val="7"/>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评分标准</w:t>
      </w:r>
    </w:p>
    <w:p w14:paraId="1BA21177">
      <w:pPr>
        <w:tabs>
          <w:tab w:val="left" w:pos="525"/>
          <w:tab w:val="left" w:pos="945"/>
        </w:tabs>
        <w:spacing w:line="360" w:lineRule="auto"/>
        <w:ind w:left="524"/>
        <w:rPr>
          <w:rFonts w:ascii="宋体" w:hAnsi="宋体"/>
          <w:bCs/>
          <w:color w:val="auto"/>
          <w:sz w:val="24"/>
          <w:szCs w:val="24"/>
          <w:highlight w:val="none"/>
        </w:rPr>
      </w:pPr>
      <w:r>
        <w:rPr>
          <w:rFonts w:hint="eastAsia" w:ascii="宋体" w:hAnsi="宋体"/>
          <w:bCs/>
          <w:color w:val="auto"/>
          <w:sz w:val="24"/>
          <w:szCs w:val="24"/>
          <w:highlight w:val="none"/>
        </w:rPr>
        <w:t>详见附件。</w:t>
      </w:r>
    </w:p>
    <w:p w14:paraId="5DFF2DF0">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667E2019">
      <w:pPr>
        <w:numPr>
          <w:ilvl w:val="0"/>
          <w:numId w:val="9"/>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490F5058">
      <w:pPr>
        <w:numPr>
          <w:ilvl w:val="0"/>
          <w:numId w:val="9"/>
        </w:numPr>
        <w:tabs>
          <w:tab w:val="left" w:pos="525"/>
          <w:tab w:val="left" w:pos="945"/>
          <w:tab w:val="left" w:pos="115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江苏智汇锡建工程项目管理有限公司向中标供应商发出中标通知书。</w:t>
      </w:r>
    </w:p>
    <w:p w14:paraId="3A828620">
      <w:pPr>
        <w:numPr>
          <w:ilvl w:val="0"/>
          <w:numId w:val="9"/>
        </w:numPr>
        <w:tabs>
          <w:tab w:val="left" w:pos="52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投标供应商电子投标文件将作为电子档案保存。</w:t>
      </w:r>
    </w:p>
    <w:p w14:paraId="24365178">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33A47CCF">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20C9E9DE">
      <w:pPr>
        <w:numPr>
          <w:ilvl w:val="0"/>
          <w:numId w:val="10"/>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2872398C">
      <w:pPr>
        <w:numPr>
          <w:ilvl w:val="0"/>
          <w:numId w:val="10"/>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04C01A36">
      <w:pPr>
        <w:numPr>
          <w:ilvl w:val="0"/>
          <w:numId w:val="10"/>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6C589FAA">
      <w:pPr>
        <w:numPr>
          <w:ilvl w:val="0"/>
          <w:numId w:val="10"/>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43A6B2A6">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1518E77C">
      <w:pPr>
        <w:numPr>
          <w:ilvl w:val="0"/>
          <w:numId w:val="11"/>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提供虚假材料谋取中标的；</w:t>
      </w:r>
    </w:p>
    <w:p w14:paraId="215BF1B4">
      <w:pPr>
        <w:numPr>
          <w:ilvl w:val="0"/>
          <w:numId w:val="11"/>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采取不正当手段诋毁、排挤其他投标人的；</w:t>
      </w:r>
    </w:p>
    <w:p w14:paraId="4B4ABFBF">
      <w:pPr>
        <w:numPr>
          <w:ilvl w:val="0"/>
          <w:numId w:val="11"/>
        </w:numPr>
        <w:tabs>
          <w:tab w:val="left" w:pos="420"/>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与招标采购单位、其他投标人恶意串通的；</w:t>
      </w:r>
    </w:p>
    <w:p w14:paraId="2B5E1BE4">
      <w:pPr>
        <w:numPr>
          <w:ilvl w:val="2"/>
          <w:numId w:val="7"/>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向招标采购单位行贿或者提供其他不正当利益的；</w:t>
      </w:r>
    </w:p>
    <w:p w14:paraId="055AA90B">
      <w:pPr>
        <w:numPr>
          <w:ilvl w:val="2"/>
          <w:numId w:val="7"/>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25242D82">
      <w:pPr>
        <w:numPr>
          <w:ilvl w:val="2"/>
          <w:numId w:val="7"/>
        </w:numPr>
        <w:tabs>
          <w:tab w:val="left" w:pos="420"/>
          <w:tab w:val="left" w:pos="945"/>
          <w:tab w:val="left" w:pos="1155"/>
          <w:tab w:val="clear" w:pos="1140"/>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拒绝有关部门监督检查或者提供虚假情况的。</w:t>
      </w:r>
    </w:p>
    <w:p w14:paraId="48E1C26C">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投标人有上述（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）项情形之一的，中标无效。有上述（</w:t>
      </w:r>
      <w:r>
        <w:rPr>
          <w:rFonts w:ascii="宋体" w:hAnsi="宋体"/>
          <w:bCs/>
          <w:color w:val="auto"/>
          <w:sz w:val="24"/>
          <w:szCs w:val="24"/>
          <w:highlight w:val="none"/>
        </w:rPr>
        <w:t>1</w:t>
      </w:r>
      <w:r>
        <w:rPr>
          <w:rFonts w:hint="eastAsia" w:ascii="宋体" w:hAnsi="宋体"/>
          <w:bCs/>
          <w:color w:val="auto"/>
          <w:sz w:val="24"/>
          <w:szCs w:val="24"/>
          <w:highlight w:val="none"/>
        </w:rPr>
        <w:t>）至（</w:t>
      </w:r>
      <w:r>
        <w:rPr>
          <w:rFonts w:ascii="宋体" w:hAnsi="宋体"/>
          <w:bCs/>
          <w:color w:val="auto"/>
          <w:sz w:val="24"/>
          <w:szCs w:val="24"/>
          <w:highlight w:val="none"/>
        </w:rPr>
        <w:t>5</w:t>
      </w:r>
      <w:r>
        <w:rPr>
          <w:rFonts w:hint="eastAsia" w:ascii="宋体" w:hAnsi="宋体"/>
          <w:bCs/>
          <w:color w:val="auto"/>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ADFD88F">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1FF8081E">
      <w:pPr>
        <w:numPr>
          <w:ilvl w:val="0"/>
          <w:numId w:val="12"/>
        </w:numPr>
        <w:tabs>
          <w:tab w:val="left" w:pos="525"/>
          <w:tab w:val="left" w:pos="945"/>
          <w:tab w:val="left" w:pos="1050"/>
        </w:tabs>
        <w:spacing w:line="360" w:lineRule="auto"/>
        <w:ind w:left="-105" w:firstLine="525"/>
        <w:rPr>
          <w:rFonts w:ascii="宋体"/>
          <w:bCs/>
          <w:color w:val="auto"/>
          <w:sz w:val="24"/>
          <w:szCs w:val="24"/>
          <w:highlight w:val="none"/>
        </w:rPr>
      </w:pPr>
      <w:r>
        <w:rPr>
          <w:rFonts w:ascii="宋体" w:hAnsi="宋体"/>
          <w:bCs/>
          <w:color w:val="auto"/>
          <w:sz w:val="24"/>
          <w:szCs w:val="24"/>
          <w:highlight w:val="none"/>
        </w:rPr>
        <w:t>采购人应当自中标通知书发出之日起三十日内，按照招标文件和中标供应商投标文件的约定，在</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江苏智汇锡建工程项目管理有限公司</w:t>
      </w:r>
      <w:r>
        <w:rPr>
          <w:rFonts w:ascii="宋体" w:hAnsi="宋体"/>
          <w:bCs/>
          <w:color w:val="auto"/>
          <w:sz w:val="24"/>
          <w:szCs w:val="24"/>
          <w:highlight w:val="none"/>
        </w:rPr>
        <w:t>见证部分详见招标文件合同书（格式</w:t>
      </w:r>
      <w:r>
        <w:rPr>
          <w:rFonts w:hint="eastAsia" w:ascii="宋体" w:hAnsi="宋体"/>
          <w:bCs/>
          <w:color w:val="auto"/>
          <w:sz w:val="24"/>
          <w:szCs w:val="24"/>
          <w:highlight w:val="none"/>
        </w:rPr>
        <w:t>条款</w:t>
      </w:r>
      <w:r>
        <w:rPr>
          <w:rFonts w:ascii="宋体" w:hAnsi="宋体"/>
          <w:bCs/>
          <w:color w:val="auto"/>
          <w:sz w:val="24"/>
          <w:szCs w:val="24"/>
          <w:highlight w:val="none"/>
        </w:rPr>
        <w:t>），见证后的格式</w:t>
      </w:r>
      <w:r>
        <w:rPr>
          <w:rFonts w:hint="eastAsia" w:ascii="宋体" w:hAnsi="宋体"/>
          <w:bCs/>
          <w:color w:val="auto"/>
          <w:sz w:val="24"/>
          <w:szCs w:val="24"/>
          <w:highlight w:val="none"/>
        </w:rPr>
        <w:t>条款</w:t>
      </w:r>
      <w:r>
        <w:rPr>
          <w:rFonts w:ascii="宋体" w:hAnsi="宋体"/>
          <w:bCs/>
          <w:color w:val="auto"/>
          <w:sz w:val="24"/>
          <w:szCs w:val="24"/>
          <w:highlight w:val="none"/>
        </w:rPr>
        <w:t>不得作任何修改。</w:t>
      </w:r>
    </w:p>
    <w:p w14:paraId="2C247BF6">
      <w:pPr>
        <w:numPr>
          <w:ilvl w:val="0"/>
          <w:numId w:val="12"/>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江苏智汇锡建工程项目管理有限公司</w:t>
      </w:r>
      <w:r>
        <w:rPr>
          <w:rFonts w:hint="eastAsia" w:ascii="宋体" w:hAnsi="宋体"/>
          <w:bCs/>
          <w:color w:val="auto"/>
          <w:sz w:val="24"/>
          <w:szCs w:val="24"/>
          <w:highlight w:val="none"/>
        </w:rPr>
        <w:t>将根据具体情况提请政府采购管理部门作出相应处理。</w:t>
      </w:r>
    </w:p>
    <w:p w14:paraId="7E916807">
      <w:pPr>
        <w:tabs>
          <w:tab w:val="left" w:pos="945"/>
        </w:tabs>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2D4AD99F">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36CEA0EA">
      <w:pPr>
        <w:numPr>
          <w:ilvl w:val="3"/>
          <w:numId w:val="7"/>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66FB65ED">
      <w:pPr>
        <w:numPr>
          <w:ilvl w:val="3"/>
          <w:numId w:val="7"/>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74CB10B9">
      <w:pPr>
        <w:numPr>
          <w:ilvl w:val="3"/>
          <w:numId w:val="7"/>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5BB0A31A">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001E2B54">
      <w:pPr>
        <w:tabs>
          <w:tab w:val="left" w:pos="1140"/>
        </w:tabs>
        <w:spacing w:line="360" w:lineRule="auto"/>
        <w:ind w:firstLine="480"/>
        <w:rPr>
          <w:rFonts w:ascii="宋体" w:hAnsi="宋体"/>
          <w:bCs/>
          <w:color w:val="auto"/>
          <w:sz w:val="24"/>
          <w:highlight w:val="none"/>
        </w:rPr>
      </w:pPr>
      <w:r>
        <w:rPr>
          <w:rFonts w:hint="eastAsia" w:ascii="宋体" w:hAnsi="宋体"/>
          <w:color w:val="auto"/>
          <w:sz w:val="24"/>
          <w:highlight w:val="none"/>
        </w:rPr>
        <w:t>1.本项目招标代理服务费以中标金额为计费基础，按差额定率累进法计算：</w:t>
      </w:r>
      <w:r>
        <w:rPr>
          <w:rFonts w:ascii="宋体" w:hAnsi="宋体"/>
          <w:color w:val="auto"/>
          <w:sz w:val="24"/>
          <w:highlight w:val="none"/>
        </w:rPr>
        <w:t>100万以下费率为1.</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w:t>
      </w:r>
      <w:r>
        <w:rPr>
          <w:rFonts w:hint="eastAsia" w:ascii="宋体" w:hAnsi="宋体"/>
          <w:color w:val="auto"/>
          <w:sz w:val="24"/>
          <w:highlight w:val="none"/>
          <w:lang w:eastAsia="zh-CN"/>
        </w:rPr>
        <w:t>100万—500万</w:t>
      </w:r>
      <w:r>
        <w:rPr>
          <w:rFonts w:ascii="宋体" w:hAnsi="宋体"/>
          <w:color w:val="auto"/>
          <w:sz w:val="24"/>
          <w:highlight w:val="none"/>
        </w:rPr>
        <w:t>费率为</w:t>
      </w:r>
      <w:r>
        <w:rPr>
          <w:rFonts w:hint="eastAsia" w:ascii="宋体" w:hAnsi="宋体"/>
          <w:color w:val="auto"/>
          <w:sz w:val="24"/>
          <w:highlight w:val="none"/>
        </w:rPr>
        <w:t>0.8</w:t>
      </w:r>
      <w:r>
        <w:rPr>
          <w:rFonts w:ascii="宋体" w:hAnsi="宋体"/>
          <w:color w:val="auto"/>
          <w:sz w:val="24"/>
          <w:highlight w:val="none"/>
        </w:rPr>
        <w:t>%</w:t>
      </w:r>
      <w:r>
        <w:rPr>
          <w:rFonts w:hint="eastAsia" w:ascii="宋体" w:hAnsi="宋体"/>
          <w:bCs/>
          <w:color w:val="auto"/>
          <w:sz w:val="24"/>
          <w:highlight w:val="none"/>
        </w:rPr>
        <w:t>；在此基础上打七折计取。</w:t>
      </w:r>
    </w:p>
    <w:p w14:paraId="001AB511">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w:t>
      </w:r>
    </w:p>
    <w:p w14:paraId="5FF5CE0A">
      <w:pPr>
        <w:tabs>
          <w:tab w:val="left" w:pos="1140"/>
        </w:tabs>
        <w:spacing w:line="360" w:lineRule="auto"/>
        <w:ind w:firstLine="480"/>
        <w:rPr>
          <w:rFonts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6C87368C">
      <w:pPr>
        <w:spacing w:line="360" w:lineRule="auto"/>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48F66BC8">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0ED5FDA1">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27DF5F38">
      <w:pPr>
        <w:tabs>
          <w:tab w:val="left" w:pos="630"/>
          <w:tab w:val="left" w:pos="735"/>
          <w:tab w:val="left" w:pos="945"/>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p>
    <w:p w14:paraId="6C94F3A3">
      <w:pPr>
        <w:tabs>
          <w:tab w:val="left" w:pos="630"/>
          <w:tab w:val="left" w:pos="735"/>
          <w:tab w:val="left" w:pos="945"/>
        </w:tabs>
        <w:spacing w:line="360" w:lineRule="auto"/>
        <w:jc w:val="center"/>
        <w:outlineLvl w:val="0"/>
        <w:rPr>
          <w:rFonts w:ascii="黑体" w:eastAsia="黑体"/>
          <w:bCs/>
          <w:color w:val="auto"/>
          <w:sz w:val="30"/>
          <w:szCs w:val="30"/>
          <w:highlight w:val="none"/>
        </w:rPr>
      </w:pPr>
      <w:r>
        <w:rPr>
          <w:rFonts w:hint="eastAsia" w:ascii="黑体" w:eastAsia="黑体"/>
          <w:bCs/>
          <w:color w:val="auto"/>
          <w:sz w:val="30"/>
          <w:szCs w:val="30"/>
          <w:highlight w:val="none"/>
        </w:rPr>
        <w:br w:type="page" w:clear="all"/>
      </w:r>
      <w:bookmarkStart w:id="6" w:name="_Toc2291"/>
      <w:bookmarkStart w:id="7" w:name="_Toc10453"/>
      <w:r>
        <w:rPr>
          <w:rFonts w:hint="eastAsia" w:ascii="黑体" w:eastAsia="黑体"/>
          <w:bCs/>
          <w:color w:val="auto"/>
          <w:sz w:val="30"/>
          <w:szCs w:val="30"/>
          <w:highlight w:val="none"/>
        </w:rPr>
        <w:t>三.</w:t>
      </w:r>
      <w:r>
        <w:rPr>
          <w:rFonts w:hint="eastAsia" w:ascii="黑体" w:eastAsia="黑体"/>
          <w:b/>
          <w:color w:val="auto"/>
          <w:sz w:val="30"/>
          <w:szCs w:val="30"/>
          <w:highlight w:val="none"/>
        </w:rPr>
        <w:t>项目技术要求和有关说明</w:t>
      </w:r>
      <w:bookmarkEnd w:id="6"/>
      <w:bookmarkEnd w:id="7"/>
    </w:p>
    <w:p w14:paraId="0F0DA571">
      <w:pPr>
        <w:widowControl w:val="0"/>
        <w:autoSpaceDE w:val="0"/>
        <w:autoSpaceDN w:val="0"/>
        <w:adjustRightInd w:val="0"/>
        <w:spacing w:line="360" w:lineRule="auto"/>
        <w:ind w:firstLine="490"/>
        <w:jc w:val="both"/>
        <w:rPr>
          <w:rFonts w:hint="eastAsia" w:ascii="宋体" w:hAnsi="宋体" w:eastAsia="宋体" w:cs="宋体"/>
          <w:b/>
          <w:bCs/>
          <w:color w:val="auto"/>
          <w:spacing w:val="2"/>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一、项目概况</w:t>
      </w:r>
    </w:p>
    <w:p w14:paraId="0FE7AA09">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根据《特种设备生产单位落实质量安全主体责任监督管理规定》（国家市场监督管理总局令第73号）、《特种设备使用单位落实使用安全主体责任监督管理规定》（国家市场监督管理总局令第74号）等文件要求，为了继续加强街道辖区特种设备安全管理工作，督促特种设备使用单位进一步落实特种设备安全主体责任，提升特种设备安全治理能力，有效解决安全监管力量不足等突出问题，依托外部机构在特种设备安全技术、人才以及服务等方面的资源优势，构建“数据排查、隐患上报、指导调整、问题移交、报告反馈”的工作机制，确定1家服务机构，协助旺庄街道市场监督管理局对特种设备使用单位进行安全风险排查，以及做好新吴区其他特种设备安全排查各项工作。协助旺庄街道对指定范围内的食品经营服务提供者开展日常管理，提升辖区食品安全水平，加快建设和部署食品安全社会共治机制。</w:t>
      </w:r>
    </w:p>
    <w:p w14:paraId="11C01B99">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服务期：两年（以合同签订日期为准）。</w:t>
      </w:r>
    </w:p>
    <w:p w14:paraId="2C97564D">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质量标准：符合国家相关标准要求，满足招标人要求。</w:t>
      </w:r>
    </w:p>
    <w:p w14:paraId="1CBAB9B1">
      <w:pPr>
        <w:widowControl w:val="0"/>
        <w:autoSpaceDE w:val="0"/>
        <w:autoSpaceDN w:val="0"/>
        <w:adjustRightInd w:val="0"/>
        <w:spacing w:line="360" w:lineRule="auto"/>
        <w:ind w:firstLine="49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2"/>
          <w:sz w:val="24"/>
          <w:szCs w:val="24"/>
          <w:highlight w:val="none"/>
          <w:lang w:val="en-US" w:eastAsia="zh-CN" w:bidi="ar-SA"/>
        </w:rPr>
        <w:t>二、服务范围、内容及标准</w:t>
      </w:r>
    </w:p>
    <w:p w14:paraId="3DAB3AC7">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（一）服务区域</w:t>
      </w:r>
    </w:p>
    <w:p w14:paraId="7CD58E27">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旺庄街道管辖区域内的餐饮单位共计1400余家，特种设备使用单位1170家，具体数量和区域根据旺庄街道实际情况确定。</w:t>
      </w:r>
    </w:p>
    <w:p w14:paraId="3B8ED6F3">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（二）服务内容</w:t>
      </w:r>
    </w:p>
    <w:p w14:paraId="46A3E938">
      <w:pPr>
        <w:widowControl w:val="0"/>
        <w:autoSpaceDE w:val="0"/>
        <w:autoSpaceDN w:val="0"/>
        <w:adjustRightInd w:val="0"/>
        <w:spacing w:line="360" w:lineRule="auto"/>
        <w:ind w:firstLine="47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pacing w:val="-3"/>
          <w:sz w:val="24"/>
          <w:szCs w:val="24"/>
          <w:highlight w:val="none"/>
          <w:lang w:val="en-US" w:eastAsia="zh-CN" w:bidi="ar-SA"/>
        </w:rPr>
        <w:t>1.特种设备安全服务内容</w:t>
      </w:r>
    </w:p>
    <w:p w14:paraId="77BF4143">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1）提供旺庄街道范围内特种设备使用单位的安全技术服务工作，在相关部门的指导下制定底数摸排计划，明确区域、单位、时间、地点、人员等信息。根据特种设备底数表单信息，第三方专业技术人员在现场进行基础信息核对，过程中对表单涉及单位进行信息采集，对表单涉及单位的现场情况、资料文件按照法律法规，安全技术规范的要求进行有效性、一致性确认，摸排台账经梳理汇总后，报送相关部门。</w:t>
      </w:r>
    </w:p>
    <w:p w14:paraId="6339CA76">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2）特种设备的安全服务技术标准“清单”化，为监管部门提供技术支持和风险排查服务。对安全技术服务过程中发现的隐患，及时记录汇总，结合监管部门提供的智慧监管平台数据，对前述隐患进行归类、综合分析、出具整改建议，形成书面报告报送监管部门。</w:t>
      </w:r>
    </w:p>
    <w:p w14:paraId="1530BB8A">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（3）协助掌握辖区内的特种设备使用单位及设备的数量、使用状况；现场指导特种设备使用单位落实企业主体责任；</w:t>
      </w:r>
    </w:p>
    <w:p w14:paraId="7C46FD16">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（4）排摸辖区内特种设备使用单位存在的安全隐患，指导企业完成安全隐患闭环；发现隐患及时上报，并协助安全监察人员及时处置；</w:t>
      </w:r>
    </w:p>
    <w:p w14:paraId="39221C34">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（5）宣传特种设备安全，普及安全使用特种设备知识；</w:t>
      </w:r>
    </w:p>
    <w:p w14:paraId="75FC2E44">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（6）协助做好新吴区特种设备安全监管其他各项工作。</w:t>
      </w:r>
    </w:p>
    <w:p w14:paraId="7B94EC26">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（7）协助完成街道赋予的其他临时性任务。</w:t>
      </w:r>
    </w:p>
    <w:p w14:paraId="59BB4E10">
      <w:pPr>
        <w:spacing w:line="360" w:lineRule="auto"/>
        <w:ind w:firstLine="482"/>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2.食品安全服务内容</w:t>
      </w:r>
    </w:p>
    <w:p w14:paraId="48C45D14">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（1）实地开展对旺庄街道</w:t>
      </w:r>
      <w:r>
        <w:rPr>
          <w:rFonts w:hint="eastAsia" w:ascii="宋体" w:hAnsi="宋体" w:eastAsia="宋体" w:cs="宋体"/>
          <w:color w:val="auto"/>
          <w:spacing w:val="-1"/>
          <w:sz w:val="24"/>
          <w:szCs w:val="24"/>
          <w:highlight w:val="none"/>
          <w:lang w:val="en-US" w:eastAsia="zh-CN" w:bidi="ar-SA"/>
        </w:rPr>
        <w:t>餐饮单位1400</w:t>
      </w:r>
      <w:r>
        <w:rPr>
          <w:rFonts w:hint="eastAsia" w:ascii="宋体" w:hAnsi="宋体" w:eastAsia="宋体" w:cs="宋体"/>
          <w:color w:val="auto"/>
          <w:sz w:val="24"/>
          <w:szCs w:val="24"/>
          <w:highlight w:val="none"/>
          <w:lang w:val="en-US" w:eastAsia="zh-CN"/>
        </w:rPr>
        <w:t>余</w:t>
      </w:r>
      <w:r>
        <w:rPr>
          <w:rFonts w:hint="eastAsia" w:ascii="宋体" w:hAnsi="宋体" w:eastAsia="宋体" w:cs="宋体"/>
          <w:color w:val="auto"/>
          <w:sz w:val="24"/>
          <w:szCs w:val="24"/>
          <w:highlight w:val="none"/>
          <w:lang w:eastAsia="zh-CN"/>
        </w:rPr>
        <w:t>家现场排查。对照《餐饮服务日常监督检查要点表》对餐饮服务单位开展日常排查，排查食品安全风险隐患。指导餐饮单位落实主体责任、创新管理方式、规范操作过程和提升服务质量。对照排查中发现的不符合项目，指导餐饮单位现场调整，问题调整率达到80%以上。排查中发现的违法案件线索信息，及时报送辖区市场监督管理局分局，报送率100%。</w:t>
      </w:r>
    </w:p>
    <w:p w14:paraId="73C3A7F7">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建立“一户一档”动态管理档案。充分发挥互联网+大数据等信息化技术作用，本次专业服务机构应结合排查工作及时将餐饮服务单位登记许可、日常排查、风险隐患、问题整改和动态排查等基本信息进行录入，建立“一户一档”动态管理档案，通过数据分析，产生食品安全动态管理等级，对每户餐饮服务单位的食品安全风险隐患数据进行分析，为精准监管、靶向执法提供技术支持。</w:t>
      </w:r>
    </w:p>
    <w:p w14:paraId="2BAC49B7">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实行食品安全分级管控。通过排查结果将餐饮服务单位进行食品安全风险等级划分，不同等级反映排查隐患的数量和风险严重程度，根据食品安全风险等级确定相应的排查频次。根据餐饮服务单位食品安全问题隐患的调整情况，对食品安全风险等级进行动态调整。</w:t>
      </w:r>
    </w:p>
    <w:p w14:paraId="7B32D577">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实行动态信息“双公示”。建立信息平台线下“一户码”和设立食品安全动态信息公示牌等方式，将每户餐饮服务单位和流通单位的基本信息、食品安全动态问题隐患和风险等级等信息向社会公众开放，让社会公众能够实时了解每户餐饮服务单位的食品安全状况，切实维护消费者利益，促使餐饮服务单位主体自觉落实食品安全主体责任。</w:t>
      </w:r>
    </w:p>
    <w:p w14:paraId="3B70904C">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（5）食品安全工作以旺庄街道市场监管局各个阶段食品工作为主，积极配合协助完成相应食品安全专项工作和其他专项工作。</w:t>
      </w:r>
    </w:p>
    <w:p w14:paraId="766B5129">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（三）服务人员</w:t>
      </w:r>
    </w:p>
    <w:p w14:paraId="3301056D">
      <w:pPr>
        <w:widowControl w:val="0"/>
        <w:autoSpaceDE w:val="0"/>
        <w:autoSpaceDN w:val="0"/>
        <w:adjustRightInd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投入本项目总人数不得少于8人。项目负责人要求年龄在60周岁（含）以下，在特种设备领域，对相关法律法规、安全技术规范有一定了解，身体健康，精力充沛，仪表端庄，工作认真负责并定期接受专业培训，中标后依法为所有人员缴纳社保。应急情况下，经双方沟通，可由服务单位临时抽调人员配合，临时抽调人员均符合其他人员相关要求。</w:t>
      </w:r>
    </w:p>
    <w:p w14:paraId="787114E4">
      <w:pPr>
        <w:widowControl w:val="0"/>
        <w:autoSpaceDE w:val="0"/>
        <w:autoSpaceDN w:val="0"/>
        <w:adjustRightInd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所有工作人员作业时需着统一工作服，工作服整洁有所属单位明显标志。工作人员要求相对固定，合同签订之日起15天内中标人需将全部工作人员名册（包括姓名、身份证号码、劳动合同、社保证明、学历证明等信息）报送招标人备案。备案人员必须与实际排查人员一致，否则招标人可单方面解除合同。如工作人员需变更的，需经招标人同意后更换同等资质人员。</w:t>
      </w:r>
    </w:p>
    <w:p w14:paraId="21479CCD">
      <w:pPr>
        <w:widowControl w:val="0"/>
        <w:autoSpaceDE w:val="0"/>
        <w:autoSpaceDN w:val="0"/>
        <w:adjustRightInd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3.人员配置清单</w:t>
      </w:r>
    </w:p>
    <w:p w14:paraId="6CE4513B">
      <w:pPr>
        <w:widowControl w:val="0"/>
        <w:autoSpaceDE w:val="0"/>
        <w:autoSpaceDN w:val="0"/>
        <w:adjustRightInd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（1）配置人员不少于8人，应急情况下，经双方沟通，可由服务单位临时抽调人员配合，临时抽调人员均符合其他人员相关要求；</w:t>
      </w:r>
    </w:p>
    <w:p w14:paraId="67641B57">
      <w:pPr>
        <w:widowControl w:val="0"/>
        <w:autoSpaceDE w:val="0"/>
        <w:autoSpaceDN w:val="0"/>
        <w:adjustRightInd w:val="0"/>
        <w:spacing w:line="360" w:lineRule="auto"/>
        <w:ind w:firstLine="480"/>
        <w:jc w:val="both"/>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（2）人员配置清单</w:t>
      </w:r>
    </w:p>
    <w:tbl>
      <w:tblPr>
        <w:tblStyle w:val="36"/>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3880"/>
        <w:gridCol w:w="1982"/>
      </w:tblGrid>
      <w:tr w14:paraId="5EA73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0" w:hRule="atLeast"/>
          <w:tblHeader/>
          <w:jc w:val="center"/>
        </w:trPr>
        <w:tc>
          <w:tcPr>
            <w:tcW w:w="0" w:type="auto"/>
            <w:noWrap w:val="0"/>
            <w:vAlign w:val="center"/>
          </w:tcPr>
          <w:p w14:paraId="196E3470">
            <w:pPr>
              <w:widowControl w:val="0"/>
              <w:tabs>
                <w:tab w:val="left" w:pos="2100"/>
              </w:tabs>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人员</w:t>
            </w:r>
          </w:p>
        </w:tc>
        <w:tc>
          <w:tcPr>
            <w:tcW w:w="0" w:type="auto"/>
            <w:noWrap w:val="0"/>
            <w:vAlign w:val="center"/>
          </w:tcPr>
          <w:p w14:paraId="04597474">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年龄要求</w:t>
            </w:r>
          </w:p>
        </w:tc>
        <w:tc>
          <w:tcPr>
            <w:tcW w:w="1982" w:type="dxa"/>
            <w:noWrap w:val="0"/>
            <w:vAlign w:val="center"/>
          </w:tcPr>
          <w:p w14:paraId="311ACEAA">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数量</w:t>
            </w:r>
          </w:p>
        </w:tc>
      </w:tr>
      <w:tr w14:paraId="0C0DA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0" w:type="auto"/>
            <w:tcBorders>
              <w:top w:val="single" w:color="auto" w:sz="4" w:space="0"/>
              <w:left w:val="single" w:color="auto" w:sz="4" w:space="0"/>
              <w:right w:val="single" w:color="auto" w:sz="4" w:space="0"/>
            </w:tcBorders>
            <w:noWrap w:val="0"/>
            <w:vAlign w:val="center"/>
          </w:tcPr>
          <w:p w14:paraId="34BB31FF">
            <w:pPr>
              <w:widowControl w:val="0"/>
              <w:tabs>
                <w:tab w:val="left" w:pos="2100"/>
              </w:tabs>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项目经理</w:t>
            </w:r>
          </w:p>
        </w:tc>
        <w:tc>
          <w:tcPr>
            <w:tcW w:w="0" w:type="auto"/>
            <w:tcBorders>
              <w:top w:val="single" w:color="auto" w:sz="4" w:space="0"/>
              <w:left w:val="single" w:color="auto" w:sz="4" w:space="0"/>
              <w:right w:val="single" w:color="auto" w:sz="4" w:space="0"/>
            </w:tcBorders>
            <w:noWrap w:val="0"/>
            <w:vAlign w:val="center"/>
          </w:tcPr>
          <w:p w14:paraId="281D32CA">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60周岁以下</w:t>
            </w:r>
          </w:p>
        </w:tc>
        <w:tc>
          <w:tcPr>
            <w:tcW w:w="1982" w:type="dxa"/>
            <w:tcBorders>
              <w:top w:val="single" w:color="auto" w:sz="4" w:space="0"/>
              <w:left w:val="single" w:color="auto" w:sz="4" w:space="0"/>
              <w:right w:val="single" w:color="auto" w:sz="4" w:space="0"/>
            </w:tcBorders>
            <w:noWrap w:val="0"/>
            <w:vAlign w:val="center"/>
          </w:tcPr>
          <w:p w14:paraId="3A19B298">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r>
      <w:tr w14:paraId="29083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374" w:type="dxa"/>
            <w:tcBorders>
              <w:top w:val="single" w:color="auto" w:sz="4" w:space="0"/>
              <w:left w:val="single" w:color="auto" w:sz="4" w:space="0"/>
              <w:right w:val="single" w:color="auto" w:sz="4" w:space="0"/>
            </w:tcBorders>
            <w:noWrap w:val="0"/>
            <w:vAlign w:val="center"/>
          </w:tcPr>
          <w:p w14:paraId="0D764D82">
            <w:pPr>
              <w:widowControl w:val="0"/>
              <w:tabs>
                <w:tab w:val="left" w:pos="2100"/>
              </w:tabs>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val="en-US" w:eastAsia="zh-CN" w:bidi="ar-SA"/>
              </w:rPr>
            </w:pPr>
            <w:r>
              <w:rPr>
                <w:rFonts w:hint="eastAsia" w:ascii="宋体" w:hAnsi="宋体" w:eastAsia="宋体" w:cs="宋体"/>
                <w:color w:val="auto"/>
                <w:spacing w:val="7"/>
                <w:sz w:val="24"/>
                <w:szCs w:val="24"/>
                <w:highlight w:val="none"/>
                <w:lang w:val="en-US" w:eastAsia="zh-CN" w:bidi="ar-SA"/>
              </w:rPr>
              <w:t>工作人员</w:t>
            </w:r>
          </w:p>
        </w:tc>
        <w:tc>
          <w:tcPr>
            <w:tcW w:w="3880" w:type="dxa"/>
            <w:tcBorders>
              <w:top w:val="single" w:color="auto" w:sz="4" w:space="0"/>
              <w:left w:val="single" w:color="auto" w:sz="4" w:space="0"/>
              <w:right w:val="single" w:color="auto" w:sz="4" w:space="0"/>
            </w:tcBorders>
            <w:noWrap w:val="0"/>
            <w:vAlign w:val="center"/>
          </w:tcPr>
          <w:p w14:paraId="23E0CCC0">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50周岁以下</w:t>
            </w:r>
          </w:p>
        </w:tc>
        <w:tc>
          <w:tcPr>
            <w:tcW w:w="1982" w:type="dxa"/>
            <w:tcBorders>
              <w:top w:val="single" w:color="auto" w:sz="4" w:space="0"/>
              <w:left w:val="single" w:color="auto" w:sz="4" w:space="0"/>
              <w:right w:val="single" w:color="auto" w:sz="4" w:space="0"/>
            </w:tcBorders>
            <w:noWrap w:val="0"/>
            <w:vAlign w:val="center"/>
          </w:tcPr>
          <w:p w14:paraId="68DE3BEA">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r>
    </w:tbl>
    <w:p w14:paraId="12CD3B41">
      <w:pPr>
        <w:widowControl w:val="0"/>
        <w:autoSpaceDE w:val="0"/>
        <w:autoSpaceDN w:val="0"/>
        <w:adjustRightInd w:val="0"/>
        <w:spacing w:line="360" w:lineRule="auto"/>
        <w:ind w:firstLine="482"/>
        <w:jc w:val="both"/>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注：以上人员为本项目最低配置人员及要求，投标人可在投标时承诺中标后完全响应招标文件需求配置到位。提供承诺书（格式见附件），不提供按无效标处理。</w:t>
      </w:r>
    </w:p>
    <w:p w14:paraId="621E7823">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（四）服务辅助设备</w:t>
      </w:r>
    </w:p>
    <w:p w14:paraId="4CBF9331">
      <w:pPr>
        <w:widowControl w:val="0"/>
        <w:autoSpaceDE w:val="0"/>
        <w:autoSpaceDN w:val="0"/>
        <w:adjustRightInd w:val="0"/>
        <w:spacing w:line="360" w:lineRule="auto"/>
        <w:ind w:firstLine="480" w:firstLineChars="20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中标供应商应当具有满足特种设备安全风险排查需要的专业人员、设备、交通工具等。拟配备的设备清单如下，包括且不限于以下清单内容，由投标人自行配备，包含在投标报价中。</w:t>
      </w:r>
    </w:p>
    <w:tbl>
      <w:tblPr>
        <w:tblStyle w:val="36"/>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9"/>
        <w:gridCol w:w="3151"/>
        <w:gridCol w:w="4236"/>
      </w:tblGrid>
      <w:tr w14:paraId="7436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1849" w:type="dxa"/>
            <w:noWrap w:val="0"/>
            <w:vAlign w:val="center"/>
          </w:tcPr>
          <w:p w14:paraId="7BE9D608">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序号</w:t>
            </w:r>
          </w:p>
        </w:tc>
        <w:tc>
          <w:tcPr>
            <w:tcW w:w="3151" w:type="dxa"/>
            <w:noWrap w:val="0"/>
            <w:vAlign w:val="center"/>
          </w:tcPr>
          <w:p w14:paraId="4AA1F833">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设备名称</w:t>
            </w:r>
          </w:p>
        </w:tc>
        <w:tc>
          <w:tcPr>
            <w:tcW w:w="4236" w:type="dxa"/>
            <w:noWrap w:val="0"/>
            <w:vAlign w:val="center"/>
          </w:tcPr>
          <w:p w14:paraId="39CBB7E3">
            <w:pPr>
              <w:widowControl w:val="0"/>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b/>
                <w:color w:val="auto"/>
                <w:spacing w:val="7"/>
                <w:sz w:val="24"/>
                <w:szCs w:val="24"/>
                <w:highlight w:val="none"/>
                <w:lang w:val="en-US" w:eastAsia="zh-CN" w:bidi="ar-SA"/>
              </w:rPr>
            </w:pPr>
            <w:r>
              <w:rPr>
                <w:rFonts w:hint="eastAsia" w:ascii="宋体" w:hAnsi="宋体" w:eastAsia="宋体" w:cs="宋体"/>
                <w:b/>
                <w:color w:val="auto"/>
                <w:spacing w:val="7"/>
                <w:sz w:val="24"/>
                <w:szCs w:val="24"/>
                <w:highlight w:val="none"/>
                <w:lang w:val="en-US" w:eastAsia="zh-CN" w:bidi="ar-SA"/>
              </w:rPr>
              <w:t>数量</w:t>
            </w:r>
          </w:p>
        </w:tc>
      </w:tr>
      <w:tr w14:paraId="57B9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276A3EFE">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1</w:t>
            </w:r>
          </w:p>
        </w:tc>
        <w:tc>
          <w:tcPr>
            <w:tcW w:w="3151" w:type="dxa"/>
            <w:tcBorders>
              <w:top w:val="single" w:color="auto" w:sz="4" w:space="0"/>
              <w:left w:val="single" w:color="auto" w:sz="4" w:space="0"/>
              <w:right w:val="single" w:color="auto" w:sz="4" w:space="0"/>
            </w:tcBorders>
            <w:noWrap w:val="0"/>
            <w:vAlign w:val="center"/>
          </w:tcPr>
          <w:p w14:paraId="1C637216">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工作服</w:t>
            </w:r>
          </w:p>
        </w:tc>
        <w:tc>
          <w:tcPr>
            <w:tcW w:w="4236" w:type="dxa"/>
            <w:tcBorders>
              <w:top w:val="single" w:color="auto" w:sz="4" w:space="0"/>
              <w:left w:val="single" w:color="auto" w:sz="4" w:space="0"/>
              <w:right w:val="single" w:color="auto" w:sz="4" w:space="0"/>
            </w:tcBorders>
            <w:noWrap w:val="0"/>
            <w:vAlign w:val="center"/>
          </w:tcPr>
          <w:p w14:paraId="2B60249E">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2套/人</w:t>
            </w:r>
          </w:p>
        </w:tc>
      </w:tr>
      <w:tr w14:paraId="192CC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1E4B8632">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2</w:t>
            </w:r>
          </w:p>
        </w:tc>
        <w:tc>
          <w:tcPr>
            <w:tcW w:w="3151" w:type="dxa"/>
            <w:tcBorders>
              <w:top w:val="single" w:color="auto" w:sz="4" w:space="0"/>
              <w:left w:val="single" w:color="auto" w:sz="4" w:space="0"/>
              <w:right w:val="single" w:color="auto" w:sz="4" w:space="0"/>
            </w:tcBorders>
            <w:noWrap w:val="0"/>
            <w:vAlign w:val="center"/>
          </w:tcPr>
          <w:p w14:paraId="259E0ADD">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安全帽</w:t>
            </w:r>
          </w:p>
        </w:tc>
        <w:tc>
          <w:tcPr>
            <w:tcW w:w="4236" w:type="dxa"/>
            <w:tcBorders>
              <w:top w:val="single" w:color="auto" w:sz="4" w:space="0"/>
              <w:left w:val="single" w:color="auto" w:sz="4" w:space="0"/>
              <w:right w:val="single" w:color="auto" w:sz="4" w:space="0"/>
            </w:tcBorders>
            <w:noWrap w:val="0"/>
            <w:vAlign w:val="center"/>
          </w:tcPr>
          <w:p w14:paraId="575C84CE">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1个/人</w:t>
            </w:r>
          </w:p>
        </w:tc>
      </w:tr>
      <w:tr w14:paraId="0283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701B3E0C">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3</w:t>
            </w:r>
          </w:p>
        </w:tc>
        <w:tc>
          <w:tcPr>
            <w:tcW w:w="3151" w:type="dxa"/>
            <w:tcBorders>
              <w:top w:val="single" w:color="auto" w:sz="4" w:space="0"/>
              <w:left w:val="single" w:color="auto" w:sz="4" w:space="0"/>
              <w:right w:val="single" w:color="auto" w:sz="4" w:space="0"/>
            </w:tcBorders>
            <w:noWrap w:val="0"/>
            <w:vAlign w:val="center"/>
          </w:tcPr>
          <w:p w14:paraId="68FD492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劳保鞋</w:t>
            </w:r>
          </w:p>
        </w:tc>
        <w:tc>
          <w:tcPr>
            <w:tcW w:w="4236" w:type="dxa"/>
            <w:tcBorders>
              <w:top w:val="single" w:color="auto" w:sz="4" w:space="0"/>
              <w:left w:val="single" w:color="auto" w:sz="4" w:space="0"/>
              <w:right w:val="single" w:color="auto" w:sz="4" w:space="0"/>
            </w:tcBorders>
            <w:noWrap w:val="0"/>
            <w:vAlign w:val="center"/>
          </w:tcPr>
          <w:p w14:paraId="66775D6B">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2双/人</w:t>
            </w:r>
          </w:p>
        </w:tc>
      </w:tr>
      <w:tr w14:paraId="0BDFB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04784985">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4</w:t>
            </w:r>
          </w:p>
        </w:tc>
        <w:tc>
          <w:tcPr>
            <w:tcW w:w="3151" w:type="dxa"/>
            <w:tcBorders>
              <w:top w:val="single" w:color="auto" w:sz="4" w:space="0"/>
              <w:left w:val="single" w:color="auto" w:sz="4" w:space="0"/>
              <w:right w:val="single" w:color="auto" w:sz="4" w:space="0"/>
            </w:tcBorders>
            <w:noWrap w:val="0"/>
            <w:vAlign w:val="center"/>
          </w:tcPr>
          <w:p w14:paraId="7CAB5F64">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执法仪</w:t>
            </w:r>
          </w:p>
        </w:tc>
        <w:tc>
          <w:tcPr>
            <w:tcW w:w="4236" w:type="dxa"/>
            <w:tcBorders>
              <w:top w:val="single" w:color="auto" w:sz="4" w:space="0"/>
              <w:left w:val="single" w:color="auto" w:sz="4" w:space="0"/>
              <w:right w:val="single" w:color="auto" w:sz="4" w:space="0"/>
            </w:tcBorders>
            <w:noWrap w:val="0"/>
            <w:vAlign w:val="center"/>
          </w:tcPr>
          <w:p w14:paraId="2843645E">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1个/人</w:t>
            </w:r>
          </w:p>
        </w:tc>
      </w:tr>
      <w:tr w14:paraId="29B6C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2881B518">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5</w:t>
            </w:r>
          </w:p>
        </w:tc>
        <w:tc>
          <w:tcPr>
            <w:tcW w:w="3151" w:type="dxa"/>
            <w:tcBorders>
              <w:top w:val="single" w:color="auto" w:sz="4" w:space="0"/>
              <w:left w:val="single" w:color="auto" w:sz="4" w:space="0"/>
              <w:right w:val="single" w:color="auto" w:sz="4" w:space="0"/>
            </w:tcBorders>
            <w:noWrap w:val="0"/>
            <w:vAlign w:val="center"/>
          </w:tcPr>
          <w:p w14:paraId="51E48FD4">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巡查车辆</w:t>
            </w:r>
          </w:p>
        </w:tc>
        <w:tc>
          <w:tcPr>
            <w:tcW w:w="4236" w:type="dxa"/>
            <w:tcBorders>
              <w:top w:val="single" w:color="auto" w:sz="4" w:space="0"/>
              <w:left w:val="single" w:color="auto" w:sz="4" w:space="0"/>
              <w:right w:val="single" w:color="auto" w:sz="4" w:space="0"/>
            </w:tcBorders>
            <w:noWrap w:val="0"/>
            <w:vAlign w:val="center"/>
          </w:tcPr>
          <w:p w14:paraId="0ED06B01">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1辆</w:t>
            </w:r>
          </w:p>
        </w:tc>
      </w:tr>
      <w:tr w14:paraId="4A623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5B8570AE">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6</w:t>
            </w:r>
          </w:p>
        </w:tc>
        <w:tc>
          <w:tcPr>
            <w:tcW w:w="3151" w:type="dxa"/>
            <w:tcBorders>
              <w:top w:val="single" w:color="auto" w:sz="4" w:space="0"/>
              <w:left w:val="single" w:color="auto" w:sz="4" w:space="0"/>
              <w:right w:val="single" w:color="auto" w:sz="4" w:space="0"/>
            </w:tcBorders>
            <w:noWrap w:val="0"/>
            <w:vAlign w:val="center"/>
          </w:tcPr>
          <w:p w14:paraId="3C1894FE">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电脑</w:t>
            </w:r>
          </w:p>
        </w:tc>
        <w:tc>
          <w:tcPr>
            <w:tcW w:w="4236" w:type="dxa"/>
            <w:tcBorders>
              <w:top w:val="single" w:color="auto" w:sz="4" w:space="0"/>
              <w:left w:val="single" w:color="auto" w:sz="4" w:space="0"/>
              <w:right w:val="single" w:color="auto" w:sz="4" w:space="0"/>
            </w:tcBorders>
            <w:noWrap w:val="0"/>
            <w:vAlign w:val="center"/>
          </w:tcPr>
          <w:p w14:paraId="38A26C68">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1台/人</w:t>
            </w:r>
          </w:p>
        </w:tc>
      </w:tr>
      <w:tr w14:paraId="7DA01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649373F6">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7</w:t>
            </w:r>
          </w:p>
        </w:tc>
        <w:tc>
          <w:tcPr>
            <w:tcW w:w="3151" w:type="dxa"/>
            <w:tcBorders>
              <w:top w:val="single" w:color="auto" w:sz="4" w:space="0"/>
              <w:left w:val="single" w:color="auto" w:sz="4" w:space="0"/>
              <w:right w:val="single" w:color="auto" w:sz="4" w:space="0"/>
            </w:tcBorders>
            <w:noWrap w:val="0"/>
            <w:vAlign w:val="center"/>
          </w:tcPr>
          <w:p w14:paraId="791EAC20">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打印机</w:t>
            </w:r>
          </w:p>
        </w:tc>
        <w:tc>
          <w:tcPr>
            <w:tcW w:w="4236" w:type="dxa"/>
            <w:tcBorders>
              <w:top w:val="single" w:color="auto" w:sz="4" w:space="0"/>
              <w:left w:val="single" w:color="auto" w:sz="4" w:space="0"/>
              <w:right w:val="single" w:color="auto" w:sz="4" w:space="0"/>
            </w:tcBorders>
            <w:noWrap w:val="0"/>
            <w:vAlign w:val="center"/>
          </w:tcPr>
          <w:p w14:paraId="76AB6DD9">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1台</w:t>
            </w:r>
          </w:p>
        </w:tc>
      </w:tr>
      <w:tr w14:paraId="5E0D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48856FDE">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8</w:t>
            </w:r>
          </w:p>
        </w:tc>
        <w:tc>
          <w:tcPr>
            <w:tcW w:w="3151" w:type="dxa"/>
            <w:tcBorders>
              <w:top w:val="single" w:color="auto" w:sz="4" w:space="0"/>
              <w:left w:val="single" w:color="auto" w:sz="4" w:space="0"/>
              <w:right w:val="single" w:color="auto" w:sz="4" w:space="0"/>
            </w:tcBorders>
            <w:noWrap w:val="0"/>
            <w:vAlign w:val="center"/>
          </w:tcPr>
          <w:p w14:paraId="0BB44EC5">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办公用品</w:t>
            </w:r>
          </w:p>
        </w:tc>
        <w:tc>
          <w:tcPr>
            <w:tcW w:w="4236" w:type="dxa"/>
            <w:tcBorders>
              <w:top w:val="single" w:color="auto" w:sz="4" w:space="0"/>
              <w:left w:val="single" w:color="auto" w:sz="4" w:space="0"/>
              <w:right w:val="single" w:color="auto" w:sz="4" w:space="0"/>
            </w:tcBorders>
            <w:noWrap w:val="0"/>
            <w:vAlign w:val="center"/>
          </w:tcPr>
          <w:p w14:paraId="12680985">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按照需求配置</w:t>
            </w:r>
          </w:p>
        </w:tc>
      </w:tr>
      <w:tr w14:paraId="39041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849" w:type="dxa"/>
            <w:tcBorders>
              <w:top w:val="single" w:color="auto" w:sz="4" w:space="0"/>
              <w:left w:val="single" w:color="auto" w:sz="4" w:space="0"/>
              <w:right w:val="single" w:color="auto" w:sz="4" w:space="0"/>
            </w:tcBorders>
            <w:noWrap w:val="0"/>
            <w:vAlign w:val="center"/>
          </w:tcPr>
          <w:p w14:paraId="0B78A03F">
            <w:pPr>
              <w:snapToGrid w:val="0"/>
              <w:spacing w:line="240" w:lineRule="auto"/>
              <w:ind w:left="0" w:leftChars="0" w:right="0" w:rightChars="0" w:firstLine="0" w:firstLineChars="0"/>
              <w:jc w:val="center"/>
              <w:rPr>
                <w:rFonts w:hint="eastAsia" w:ascii="宋体" w:hAnsi="宋体" w:eastAsia="宋体" w:cs="宋体"/>
                <w:color w:val="auto"/>
                <w:spacing w:val="7"/>
                <w:sz w:val="24"/>
                <w:szCs w:val="24"/>
                <w:highlight w:val="none"/>
                <w:lang w:eastAsia="zh-CN"/>
              </w:rPr>
            </w:pPr>
            <w:r>
              <w:rPr>
                <w:rFonts w:hint="eastAsia" w:ascii="宋体" w:hAnsi="宋体" w:eastAsia="宋体" w:cs="宋体"/>
                <w:color w:val="auto"/>
                <w:sz w:val="24"/>
                <w:szCs w:val="24"/>
                <w:highlight w:val="none"/>
                <w:lang w:eastAsia="zh-CN"/>
              </w:rPr>
              <w:t>9</w:t>
            </w:r>
          </w:p>
        </w:tc>
        <w:tc>
          <w:tcPr>
            <w:tcW w:w="3151" w:type="dxa"/>
            <w:tcBorders>
              <w:top w:val="single" w:color="auto" w:sz="4" w:space="0"/>
              <w:left w:val="single" w:color="auto" w:sz="4" w:space="0"/>
              <w:right w:val="single" w:color="auto" w:sz="4" w:space="0"/>
            </w:tcBorders>
            <w:noWrap w:val="0"/>
            <w:vAlign w:val="center"/>
          </w:tcPr>
          <w:p w14:paraId="175A548A">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w:t>
            </w:r>
          </w:p>
        </w:tc>
        <w:tc>
          <w:tcPr>
            <w:tcW w:w="4236" w:type="dxa"/>
            <w:tcBorders>
              <w:top w:val="single" w:color="auto" w:sz="4" w:space="0"/>
              <w:left w:val="single" w:color="auto" w:sz="4" w:space="0"/>
              <w:right w:val="single" w:color="auto" w:sz="4" w:space="0"/>
            </w:tcBorders>
            <w:noWrap w:val="0"/>
            <w:vAlign w:val="center"/>
          </w:tcPr>
          <w:p w14:paraId="5F40FB68">
            <w:pPr>
              <w:widowControl w:val="0"/>
              <w:snapToGrid w:val="0"/>
              <w:spacing w:line="240" w:lineRule="auto"/>
              <w:ind w:left="0" w:leftChars="0" w:right="0" w:rightChars="0" w:firstLine="0" w:firstLineChars="0"/>
              <w:jc w:val="left"/>
              <w:rPr>
                <w:rFonts w:hint="eastAsia" w:ascii="宋体" w:hAnsi="宋体" w:eastAsia="宋体" w:cs="宋体"/>
                <w:color w:val="auto"/>
                <w:spacing w:val="7"/>
                <w:sz w:val="24"/>
                <w:szCs w:val="24"/>
                <w:highlight w:val="none"/>
                <w:lang w:eastAsia="zh-CN"/>
              </w:rPr>
            </w:pPr>
          </w:p>
        </w:tc>
      </w:tr>
    </w:tbl>
    <w:p w14:paraId="46565962">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（五）服务要求和标准</w:t>
      </w:r>
    </w:p>
    <w:p w14:paraId="0C568370">
      <w:pPr>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1.特种设备安全服务要求</w:t>
      </w:r>
    </w:p>
    <w:p w14:paraId="5E53F971">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1）坚持公平公正、依据充分、绩效量化、过程严谨的原则，交通食宿自理，并严格遵守中央八项规定。投标人工作人员除开展正常工作以外，不得与有关单位发生不正当的利益关系；如发生类似情况，招标人有权单方终止合同并依照合同追究相关法律责任。</w:t>
      </w:r>
    </w:p>
    <w:p w14:paraId="0C449B71">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（2）中标供应商对特种设备使用单位进行特种设备安全技术服务后，须建立工作台账，上传至特种设备安全信息化系统，供</w:t>
      </w:r>
      <w:r>
        <w:rPr>
          <w:rFonts w:hint="eastAsia" w:ascii="宋体" w:hAnsi="宋体" w:eastAsia="宋体" w:cs="宋体"/>
          <w:color w:val="auto"/>
          <w:sz w:val="24"/>
          <w:szCs w:val="24"/>
          <w:highlight w:val="none"/>
          <w:lang w:val="en-US" w:eastAsia="zh-CN" w:bidi="ar-SA"/>
        </w:rPr>
        <w:t>被排查单位</w:t>
      </w:r>
      <w:r>
        <w:rPr>
          <w:rFonts w:hint="eastAsia" w:ascii="宋体" w:hAnsi="宋体" w:eastAsia="宋体" w:cs="宋体"/>
          <w:color w:val="auto"/>
          <w:spacing w:val="-1"/>
          <w:sz w:val="24"/>
          <w:szCs w:val="24"/>
          <w:highlight w:val="none"/>
          <w:lang w:val="en-US" w:eastAsia="zh-CN" w:bidi="ar-SA"/>
        </w:rPr>
        <w:t>及监管部门查阅下载。投标人对特种设备安全隐患问题向监管部门报告100%，并有相关记录，定期向招标人报送分析报告。</w:t>
      </w:r>
    </w:p>
    <w:p w14:paraId="4B9E8917">
      <w:pPr>
        <w:widowControl w:val="0"/>
        <w:autoSpaceDE w:val="0"/>
        <w:autoSpaceDN w:val="0"/>
        <w:adjustRightInd w:val="0"/>
        <w:spacing w:line="360" w:lineRule="auto"/>
        <w:ind w:firstLine="47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（3）对使用特种设备的单位的技术服务要求详见标准《DB33/T 2126-2018特种设备使用安全管理分类评价规范》。</w:t>
      </w:r>
    </w:p>
    <w:p w14:paraId="61BEB895">
      <w:pPr>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2.食品安全服务要求</w:t>
      </w:r>
    </w:p>
    <w:p w14:paraId="2A5383D3">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（1）中标供应商对服务区餐饮服务提供者</w:t>
      </w:r>
      <w:r>
        <w:rPr>
          <w:rFonts w:hint="eastAsia" w:ascii="宋体" w:hAnsi="宋体" w:eastAsia="宋体" w:cs="宋体"/>
          <w:color w:val="auto"/>
          <w:sz w:val="24"/>
          <w:szCs w:val="24"/>
          <w:highlight w:val="none"/>
          <w:lang w:val="en-US" w:eastAsia="zh-CN" w:bidi="ar-SA"/>
        </w:rPr>
        <w:t>季度排查覆盖率</w:t>
      </w:r>
      <w:r>
        <w:rPr>
          <w:rFonts w:hint="eastAsia" w:ascii="宋体" w:hAnsi="宋体" w:eastAsia="宋体" w:cs="宋体"/>
          <w:color w:val="auto"/>
          <w:sz w:val="24"/>
          <w:szCs w:val="24"/>
          <w:highlight w:val="none"/>
          <w:lang w:eastAsia="zh-CN"/>
        </w:rPr>
        <w:t>达到80%以上，发现隐患数及整改率指导调整率80%以上、关键不符合项督促调整率80%以上，关键不符合项线索向辖区市场监督管理局分局报告率100%，并有相关记录，定期向招标人</w:t>
      </w:r>
      <w:r>
        <w:rPr>
          <w:rFonts w:hint="eastAsia" w:ascii="宋体" w:hAnsi="宋体" w:eastAsia="宋体" w:cs="宋体"/>
          <w:color w:val="auto"/>
          <w:sz w:val="24"/>
          <w:szCs w:val="24"/>
          <w:highlight w:val="none"/>
          <w:lang w:val="en-US" w:eastAsia="zh-CN" w:bidi="ar-SA"/>
        </w:rPr>
        <w:t>报送排查</w:t>
      </w:r>
      <w:r>
        <w:rPr>
          <w:rFonts w:hint="eastAsia" w:ascii="宋体" w:hAnsi="宋体" w:eastAsia="宋体" w:cs="宋体"/>
          <w:color w:val="auto"/>
          <w:sz w:val="24"/>
          <w:szCs w:val="24"/>
          <w:highlight w:val="none"/>
          <w:lang w:eastAsia="zh-CN"/>
        </w:rPr>
        <w:t>结果分析报告；</w:t>
      </w:r>
    </w:p>
    <w:p w14:paraId="70285438">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（2）服务期内，服务区域餐饮服务提供者不发生重大群体性食品安全事故，不发生区域性、系统性食品安全风险。调查发现中标供应商</w:t>
      </w:r>
      <w:r>
        <w:rPr>
          <w:rFonts w:hint="eastAsia" w:ascii="宋体" w:hAnsi="宋体" w:eastAsia="宋体" w:cs="宋体"/>
          <w:color w:val="auto"/>
          <w:sz w:val="24"/>
          <w:szCs w:val="24"/>
          <w:highlight w:val="none"/>
          <w:lang w:val="en-US" w:eastAsia="zh-CN" w:bidi="ar-SA"/>
        </w:rPr>
        <w:t>未排查到位</w:t>
      </w:r>
      <w:r>
        <w:rPr>
          <w:rFonts w:hint="eastAsia" w:ascii="宋体" w:hAnsi="宋体" w:eastAsia="宋体" w:cs="宋体"/>
          <w:color w:val="auto"/>
          <w:sz w:val="24"/>
          <w:szCs w:val="24"/>
          <w:highlight w:val="none"/>
          <w:lang w:eastAsia="zh-CN"/>
        </w:rPr>
        <w:t>的，招标人有权立刻终止合同并依照合同追究服务单位相关法律责任；</w:t>
      </w:r>
    </w:p>
    <w:p w14:paraId="1C04183F">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（3）中标供应商应针对实际情</w:t>
      </w:r>
      <w:r>
        <w:rPr>
          <w:rFonts w:hint="eastAsia" w:ascii="宋体" w:hAnsi="宋体" w:eastAsia="宋体" w:cs="宋体"/>
          <w:color w:val="auto"/>
          <w:sz w:val="24"/>
          <w:szCs w:val="24"/>
          <w:highlight w:val="none"/>
          <w:lang w:val="en-US" w:eastAsia="zh-CN" w:bidi="ar-SA"/>
        </w:rPr>
        <w:t>况对排查人</w:t>
      </w:r>
      <w:r>
        <w:rPr>
          <w:rFonts w:hint="eastAsia" w:ascii="宋体" w:hAnsi="宋体" w:eastAsia="宋体" w:cs="宋体"/>
          <w:color w:val="auto"/>
          <w:sz w:val="24"/>
          <w:szCs w:val="24"/>
          <w:highlight w:val="none"/>
          <w:lang w:eastAsia="zh-CN"/>
        </w:rPr>
        <w:t>员巡查区域进行定期调换；中标供应商监督</w:t>
      </w:r>
      <w:r>
        <w:rPr>
          <w:rFonts w:hint="eastAsia" w:ascii="宋体" w:hAnsi="宋体" w:eastAsia="宋体" w:cs="宋体"/>
          <w:color w:val="auto"/>
          <w:sz w:val="24"/>
          <w:szCs w:val="24"/>
          <w:highlight w:val="none"/>
          <w:lang w:val="en-US" w:eastAsia="zh-CN" w:bidi="ar-SA"/>
        </w:rPr>
        <w:t>排查人员除开</w:t>
      </w:r>
      <w:r>
        <w:rPr>
          <w:rFonts w:hint="eastAsia" w:ascii="宋体" w:hAnsi="宋体" w:eastAsia="宋体" w:cs="宋体"/>
          <w:color w:val="auto"/>
          <w:sz w:val="24"/>
          <w:szCs w:val="24"/>
          <w:highlight w:val="none"/>
          <w:lang w:eastAsia="zh-CN"/>
        </w:rPr>
        <w:t>展正常工作以外，不得与餐饮服务单位发生不正当的利益关系；如发生类似情况，招标人有权单方终止合同并依照合同追究相关法律责任。</w:t>
      </w:r>
    </w:p>
    <w:p w14:paraId="0DAB1B57">
      <w:pPr>
        <w:widowControl w:val="0"/>
        <w:spacing w:line="360" w:lineRule="auto"/>
        <w:ind w:firstLine="482"/>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3.其他</w:t>
      </w:r>
    </w:p>
    <w:p w14:paraId="6DF13E38">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（1）为服务项目完成做好基础保障，包括但不限于组建专业团队，建立完善第三方协作管理团队的工作制度（流程管理、内部培训等）及考核标准。</w:t>
      </w:r>
    </w:p>
    <w:p w14:paraId="30F22F75">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（2）中标供应商须无条件服从采购人交办的各项临时应急性任务。</w:t>
      </w:r>
    </w:p>
    <w:p w14:paraId="4C01AF3A">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（3）项目完成后，中标供应商应收集汇总交接所有工作过程中产生的相关资料供采购人验收，包含但不限于现场工作记录、图片、汇总</w:t>
      </w:r>
      <w:r>
        <w:rPr>
          <w:rFonts w:hint="eastAsia" w:ascii="宋体" w:hAnsi="宋体" w:eastAsia="宋体" w:cs="宋体"/>
          <w:color w:val="auto"/>
          <w:sz w:val="24"/>
          <w:szCs w:val="24"/>
          <w:highlight w:val="none"/>
          <w:lang w:val="en-US" w:eastAsia="zh-CN" w:bidi="ar-SA"/>
        </w:rPr>
        <w:t>台账、排查报告</w:t>
      </w:r>
      <w:r>
        <w:rPr>
          <w:rFonts w:hint="eastAsia" w:ascii="宋体" w:hAnsi="宋体" w:eastAsia="宋体" w:cs="宋体"/>
          <w:color w:val="auto"/>
          <w:sz w:val="24"/>
          <w:szCs w:val="24"/>
          <w:highlight w:val="none"/>
          <w:lang w:eastAsia="zh-CN"/>
        </w:rPr>
        <w:t>等，并注意履行保密义务 。</w:t>
      </w:r>
    </w:p>
    <w:p w14:paraId="57D75659">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（4）中标供应商不得将项目分包、转包给其他单位或者人员，一经发现，招标人立即终止合同，任何款项不予支付。</w:t>
      </w:r>
    </w:p>
    <w:p w14:paraId="5741986B">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（5）中标供应商要加强对</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质量的管理，保证</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结果公正、真实，不得弄虚作假，隐瞒真实情况或帮助特种设备使用单位隐瞒事故隐患。被查使用单位安全隐患经闭环确认后如再发现存在重大安全风险隐患的，招标人将中标供应商列入招标人</w:t>
      </w:r>
      <w:r>
        <w:rPr>
          <w:rFonts w:hint="eastAsia" w:ascii="宋体" w:hAnsi="宋体" w:eastAsia="宋体" w:cs="宋体"/>
          <w:color w:val="auto"/>
          <w:sz w:val="24"/>
          <w:szCs w:val="24"/>
          <w:highlight w:val="none"/>
          <w:lang w:val="en-US" w:eastAsia="zh-CN" w:bidi="ar-SA"/>
        </w:rPr>
        <w:t>排查单</w:t>
      </w:r>
      <w:r>
        <w:rPr>
          <w:rFonts w:hint="eastAsia" w:ascii="宋体" w:hAnsi="宋体" w:eastAsia="宋体" w:cs="宋体"/>
          <w:color w:val="auto"/>
          <w:sz w:val="24"/>
          <w:szCs w:val="24"/>
          <w:highlight w:val="none"/>
          <w:lang w:eastAsia="zh-CN"/>
        </w:rPr>
        <w:t>位黑名单（现</w:t>
      </w:r>
      <w:r>
        <w:rPr>
          <w:rFonts w:hint="eastAsia" w:ascii="宋体" w:hAnsi="宋体" w:eastAsia="宋体" w:cs="宋体"/>
          <w:color w:val="auto"/>
          <w:sz w:val="24"/>
          <w:szCs w:val="24"/>
          <w:highlight w:val="none"/>
          <w:lang w:val="en-US" w:eastAsia="zh-CN" w:bidi="ar-SA"/>
        </w:rPr>
        <w:t>场排查后</w:t>
      </w:r>
      <w:r>
        <w:rPr>
          <w:rFonts w:hint="eastAsia" w:ascii="宋体" w:hAnsi="宋体" w:eastAsia="宋体" w:cs="宋体"/>
          <w:color w:val="auto"/>
          <w:sz w:val="24"/>
          <w:szCs w:val="24"/>
          <w:highlight w:val="none"/>
          <w:lang w:eastAsia="zh-CN"/>
        </w:rPr>
        <w:t>新增特种设备隐患除外）。</w:t>
      </w:r>
    </w:p>
    <w:p w14:paraId="6DF06566">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（6）中标供应商要加强对</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人员的管理，中标供应商安排的</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人员现场</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时应主动出示授权委托书、工作证，说明来意，不得以</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为名，向被</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单位收取财物或者其他好处；不得在</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过程中向相关单位推销产品和服务或强迫企业接受相关产品和服务；不得泄露相关单位的技术和商业秘密。</w:t>
      </w:r>
    </w:p>
    <w:p w14:paraId="6408D57B">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（7）中标供应商要加强对所属</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人员的安全教育和管理，确保</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过程中</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人员的人身安全，建议为</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人员购买人身意外保险。</w:t>
      </w:r>
    </w:p>
    <w:p w14:paraId="6E085BD3">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（8）中标供应商应在规定时间内完成</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任务，并向采购方提供现场</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记录、整改见证资料、</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总结以及《</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情况汇总表》。</w:t>
      </w:r>
    </w:p>
    <w:p w14:paraId="6A009FC1">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（9）中标供应商须拥有信息分析汇总人员，能够完成特种设备使用单位安全状况分析工作。</w:t>
      </w:r>
      <w:r>
        <w:rPr>
          <w:rFonts w:hint="eastAsia" w:ascii="宋体" w:hAnsi="宋体" w:eastAsia="宋体" w:cs="宋体"/>
          <w:color w:val="auto"/>
          <w:sz w:val="24"/>
          <w:szCs w:val="24"/>
          <w:highlight w:val="none"/>
          <w:lang w:val="en-US" w:eastAsia="zh-CN"/>
        </w:rPr>
        <w:t>风险排查</w:t>
      </w:r>
      <w:r>
        <w:rPr>
          <w:rFonts w:hint="eastAsia" w:ascii="宋体" w:hAnsi="宋体" w:eastAsia="宋体" w:cs="宋体"/>
          <w:color w:val="auto"/>
          <w:sz w:val="24"/>
          <w:szCs w:val="24"/>
          <w:highlight w:val="none"/>
          <w:lang w:eastAsia="zh-CN"/>
        </w:rPr>
        <w:t>工作结束后，中标供应商应向采购方提交总结分析报告（书</w:t>
      </w:r>
      <w:r>
        <w:rPr>
          <w:rFonts w:hint="eastAsia" w:ascii="宋体" w:hAnsi="宋体" w:eastAsia="宋体" w:cs="宋体"/>
          <w:color w:val="auto"/>
          <w:sz w:val="24"/>
          <w:szCs w:val="24"/>
          <w:highlight w:val="none"/>
          <w:lang w:val="en-US" w:eastAsia="zh-CN"/>
        </w:rPr>
        <w:t>面</w:t>
      </w:r>
      <w:r>
        <w:rPr>
          <w:rFonts w:hint="eastAsia" w:ascii="宋体" w:hAnsi="宋体" w:eastAsia="宋体" w:cs="宋体"/>
          <w:color w:val="auto"/>
          <w:sz w:val="24"/>
          <w:szCs w:val="24"/>
          <w:highlight w:val="none"/>
          <w:lang w:eastAsia="zh-CN"/>
        </w:rPr>
        <w:t>两份，电子版本一份）。</w:t>
      </w:r>
    </w:p>
    <w:p w14:paraId="24732C33">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（10）中标供应商必须自觉接受招标人的监督、检查和指导。</w:t>
      </w:r>
    </w:p>
    <w:p w14:paraId="6859AAC7">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（11）中标供应商有保密义务，不得向除招标人外的任何单位与个人透露</w:t>
      </w:r>
      <w:r>
        <w:rPr>
          <w:rFonts w:hint="eastAsia" w:ascii="宋体" w:hAnsi="宋体" w:eastAsia="宋体" w:cs="宋体"/>
          <w:color w:val="auto"/>
          <w:sz w:val="24"/>
          <w:szCs w:val="24"/>
          <w:highlight w:val="none"/>
          <w:lang w:val="en-US" w:eastAsia="zh-CN" w:bidi="ar-SA"/>
        </w:rPr>
        <w:t>与排查</w:t>
      </w:r>
      <w:r>
        <w:rPr>
          <w:rFonts w:hint="eastAsia" w:ascii="宋体" w:hAnsi="宋体" w:eastAsia="宋体" w:cs="宋体"/>
          <w:color w:val="auto"/>
          <w:sz w:val="24"/>
          <w:szCs w:val="24"/>
          <w:highlight w:val="none"/>
          <w:lang w:eastAsia="zh-CN"/>
        </w:rPr>
        <w:t>相关的信息，否则取消其</w:t>
      </w:r>
      <w:r>
        <w:rPr>
          <w:rFonts w:hint="eastAsia" w:ascii="宋体" w:hAnsi="宋体" w:eastAsia="宋体" w:cs="宋体"/>
          <w:color w:val="auto"/>
          <w:sz w:val="24"/>
          <w:szCs w:val="24"/>
          <w:highlight w:val="none"/>
          <w:lang w:val="en-US" w:eastAsia="zh-CN" w:bidi="ar-SA"/>
        </w:rPr>
        <w:t>排查</w:t>
      </w:r>
      <w:r>
        <w:rPr>
          <w:rFonts w:hint="eastAsia" w:ascii="宋体" w:hAnsi="宋体" w:eastAsia="宋体" w:cs="宋体"/>
          <w:color w:val="auto"/>
          <w:sz w:val="24"/>
          <w:szCs w:val="24"/>
          <w:highlight w:val="none"/>
          <w:lang w:eastAsia="zh-CN"/>
        </w:rPr>
        <w:t>资格；如造成经济损失及不良影响的，追究其经济赔偿责任和法律责任。</w:t>
      </w:r>
    </w:p>
    <w:p w14:paraId="57BB4A23">
      <w:pPr>
        <w:widowControl w:val="0"/>
        <w:autoSpaceDE w:val="0"/>
        <w:autoSpaceDN w:val="0"/>
        <w:adjustRightInd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（六）考核标准</w:t>
      </w:r>
    </w:p>
    <w:p w14:paraId="625B9E23">
      <w:pPr>
        <w:widowControl w:val="0"/>
        <w:autoSpaceDE w:val="0"/>
        <w:autoSpaceDN w:val="0"/>
        <w:adjustRightInd w:val="0"/>
        <w:spacing w:line="360" w:lineRule="auto"/>
        <w:ind w:right="488" w:firstLine="516"/>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1.考核标准一：</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138"/>
        <w:gridCol w:w="1509"/>
        <w:gridCol w:w="3251"/>
        <w:gridCol w:w="1905"/>
        <w:gridCol w:w="1155"/>
      </w:tblGrid>
      <w:tr w14:paraId="0DBF9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661" w:type="dxa"/>
            <w:noWrap w:val="0"/>
            <w:vAlign w:val="center"/>
          </w:tcPr>
          <w:p w14:paraId="615A9819">
            <w:pPr>
              <w:widowControl w:val="0"/>
              <w:autoSpaceDE w:val="0"/>
              <w:autoSpaceDN w:val="0"/>
              <w:adjustRightInd w:val="0"/>
              <w:spacing w:before="188" w:line="240" w:lineRule="auto"/>
              <w:ind w:right="486"/>
              <w:jc w:val="both"/>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类别</w:t>
            </w:r>
          </w:p>
        </w:tc>
        <w:tc>
          <w:tcPr>
            <w:tcW w:w="1138" w:type="dxa"/>
            <w:noWrap w:val="0"/>
            <w:vAlign w:val="center"/>
          </w:tcPr>
          <w:p w14:paraId="1BBFF0FA">
            <w:pPr>
              <w:widowControl w:val="0"/>
              <w:autoSpaceDE w:val="0"/>
              <w:autoSpaceDN w:val="0"/>
              <w:adjustRightInd w:val="0"/>
              <w:spacing w:before="188" w:line="240" w:lineRule="auto"/>
              <w:ind w:right="486"/>
              <w:jc w:val="center"/>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项目</w:t>
            </w:r>
          </w:p>
        </w:tc>
        <w:tc>
          <w:tcPr>
            <w:tcW w:w="1509" w:type="dxa"/>
            <w:noWrap w:val="0"/>
            <w:vAlign w:val="center"/>
          </w:tcPr>
          <w:p w14:paraId="5F18A432">
            <w:pPr>
              <w:widowControl w:val="0"/>
              <w:autoSpaceDE w:val="0"/>
              <w:autoSpaceDN w:val="0"/>
              <w:adjustRightInd w:val="0"/>
              <w:spacing w:before="188" w:line="240" w:lineRule="auto"/>
              <w:ind w:right="136"/>
              <w:jc w:val="center"/>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目标</w:t>
            </w:r>
          </w:p>
        </w:tc>
        <w:tc>
          <w:tcPr>
            <w:tcW w:w="3251" w:type="dxa"/>
            <w:noWrap w:val="0"/>
            <w:vAlign w:val="center"/>
          </w:tcPr>
          <w:p w14:paraId="042C2C70">
            <w:pPr>
              <w:widowControl w:val="0"/>
              <w:autoSpaceDE w:val="0"/>
              <w:autoSpaceDN w:val="0"/>
              <w:adjustRightInd w:val="0"/>
              <w:spacing w:before="188" w:line="240" w:lineRule="auto"/>
              <w:ind w:right="486"/>
              <w:jc w:val="center"/>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KPI指标</w:t>
            </w:r>
          </w:p>
        </w:tc>
        <w:tc>
          <w:tcPr>
            <w:tcW w:w="1905" w:type="dxa"/>
            <w:noWrap w:val="0"/>
            <w:vAlign w:val="center"/>
          </w:tcPr>
          <w:p w14:paraId="44C79AF1">
            <w:pPr>
              <w:widowControl w:val="0"/>
              <w:autoSpaceDE w:val="0"/>
              <w:autoSpaceDN w:val="0"/>
              <w:adjustRightInd w:val="0"/>
              <w:spacing w:before="188" w:line="240" w:lineRule="auto"/>
              <w:ind w:right="486"/>
              <w:jc w:val="center"/>
              <w:rPr>
                <w:rFonts w:hint="eastAsia" w:ascii="宋体" w:hAnsi="宋体" w:eastAsia="宋体" w:cs="宋体"/>
                <w:b/>
                <w:bCs/>
                <w:color w:val="auto"/>
                <w:spacing w:val="1"/>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考核细则</w:t>
            </w:r>
          </w:p>
        </w:tc>
        <w:tc>
          <w:tcPr>
            <w:tcW w:w="1155" w:type="dxa"/>
            <w:noWrap w:val="0"/>
            <w:vAlign w:val="center"/>
          </w:tcPr>
          <w:p w14:paraId="7B6ECF1A">
            <w:pPr>
              <w:widowControl w:val="0"/>
              <w:tabs>
                <w:tab w:val="left" w:pos="840"/>
                <w:tab w:val="left" w:pos="1060"/>
              </w:tabs>
              <w:autoSpaceDE w:val="0"/>
              <w:autoSpaceDN w:val="0"/>
              <w:adjustRightInd w:val="0"/>
              <w:spacing w:before="188" w:line="240" w:lineRule="auto"/>
              <w:ind w:right="99"/>
              <w:jc w:val="center"/>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9"/>
                <w:sz w:val="24"/>
                <w:szCs w:val="24"/>
                <w:highlight w:val="none"/>
                <w:lang w:val="en-US" w:eastAsia="zh-CN" w:bidi="ar-SA"/>
              </w:rPr>
              <w:t>备注</w:t>
            </w:r>
          </w:p>
        </w:tc>
      </w:tr>
      <w:tr w14:paraId="178F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61" w:type="dxa"/>
            <w:vMerge w:val="restart"/>
            <w:tcBorders>
              <w:top w:val="single" w:color="auto" w:sz="4" w:space="0"/>
              <w:left w:val="single" w:color="auto" w:sz="4" w:space="0"/>
              <w:right w:val="single" w:color="auto" w:sz="4" w:space="0"/>
            </w:tcBorders>
            <w:noWrap w:val="0"/>
            <w:vAlign w:val="center"/>
          </w:tcPr>
          <w:p w14:paraId="34DF0069">
            <w:pPr>
              <w:widowControl w:val="0"/>
              <w:autoSpaceDE w:val="0"/>
              <w:autoSpaceDN w:val="0"/>
              <w:adjustRightInd w:val="0"/>
              <w:spacing w:before="188" w:line="240" w:lineRule="auto"/>
              <w:ind w:right="486"/>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业务</w:t>
            </w:r>
            <w:r>
              <w:rPr>
                <w:rFonts w:hint="eastAsia" w:ascii="宋体" w:hAnsi="宋体" w:eastAsia="宋体" w:cs="宋体"/>
                <w:color w:val="auto"/>
                <w:spacing w:val="8"/>
                <w:sz w:val="24"/>
                <w:szCs w:val="24"/>
                <w:highlight w:val="none"/>
                <w:lang w:val="en-US" w:eastAsia="zh-CN" w:bidi="ar-SA"/>
              </w:rPr>
              <w:t>工作</w:t>
            </w:r>
          </w:p>
        </w:tc>
        <w:tc>
          <w:tcPr>
            <w:tcW w:w="1138" w:type="dxa"/>
            <w:vMerge w:val="restart"/>
            <w:tcBorders>
              <w:top w:val="single" w:color="auto" w:sz="4" w:space="0"/>
              <w:left w:val="single" w:color="auto" w:sz="4" w:space="0"/>
              <w:right w:val="single" w:color="auto" w:sz="4" w:space="0"/>
            </w:tcBorders>
            <w:noWrap w:val="0"/>
            <w:vAlign w:val="center"/>
          </w:tcPr>
          <w:p w14:paraId="3AF5E171">
            <w:pPr>
              <w:widowControl w:val="0"/>
              <w:tabs>
                <w:tab w:val="left" w:pos="1060"/>
              </w:tabs>
              <w:autoSpaceDE w:val="0"/>
              <w:autoSpaceDN w:val="0"/>
              <w:adjustRightInd w:val="0"/>
              <w:spacing w:before="188" w:line="240" w:lineRule="auto"/>
              <w:ind w:right="-38"/>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特种设备安全服务</w:t>
            </w:r>
          </w:p>
        </w:tc>
        <w:tc>
          <w:tcPr>
            <w:tcW w:w="1509" w:type="dxa"/>
            <w:tcBorders>
              <w:top w:val="single" w:color="auto" w:sz="4" w:space="0"/>
              <w:left w:val="single" w:color="auto" w:sz="4" w:space="0"/>
              <w:right w:val="single" w:color="auto" w:sz="4" w:space="0"/>
            </w:tcBorders>
            <w:noWrap w:val="0"/>
            <w:vAlign w:val="center"/>
          </w:tcPr>
          <w:p w14:paraId="6E3F6A8F">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辖区全覆盖20分）</w:t>
            </w:r>
          </w:p>
        </w:tc>
        <w:tc>
          <w:tcPr>
            <w:tcW w:w="3251" w:type="dxa"/>
            <w:tcBorders>
              <w:top w:val="single" w:color="auto" w:sz="4" w:space="0"/>
              <w:left w:val="single" w:color="auto" w:sz="4" w:space="0"/>
              <w:right w:val="single" w:color="auto" w:sz="4" w:space="0"/>
            </w:tcBorders>
            <w:noWrap w:val="0"/>
            <w:vAlign w:val="center"/>
          </w:tcPr>
          <w:p w14:paraId="2070317E">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掌握辖区内的特种设备使用单位及设备的数量、使用状况；现场指导特种设备使用单位落实企业主体责任。</w:t>
            </w:r>
          </w:p>
        </w:tc>
        <w:tc>
          <w:tcPr>
            <w:tcW w:w="1905" w:type="dxa"/>
            <w:tcBorders>
              <w:top w:val="single" w:color="auto" w:sz="4" w:space="0"/>
              <w:left w:val="single" w:color="auto" w:sz="4" w:space="0"/>
              <w:right w:val="single" w:color="auto" w:sz="4" w:space="0"/>
            </w:tcBorders>
            <w:noWrap w:val="0"/>
            <w:vAlign w:val="center"/>
          </w:tcPr>
          <w:p w14:paraId="5EE43377">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涉及单位每少一家扣除0.2分</w:t>
            </w:r>
          </w:p>
        </w:tc>
        <w:tc>
          <w:tcPr>
            <w:tcW w:w="1155" w:type="dxa"/>
            <w:tcBorders>
              <w:top w:val="single" w:color="auto" w:sz="4" w:space="0"/>
              <w:left w:val="single" w:color="auto" w:sz="4" w:space="0"/>
              <w:right w:val="single" w:color="auto" w:sz="4" w:space="0"/>
            </w:tcBorders>
            <w:noWrap w:val="0"/>
            <w:vAlign w:val="center"/>
          </w:tcPr>
          <w:p w14:paraId="37F60BCA">
            <w:pPr>
              <w:widowControl w:val="0"/>
              <w:autoSpaceDE w:val="0"/>
              <w:autoSpaceDN w:val="0"/>
              <w:adjustRightInd w:val="0"/>
              <w:spacing w:before="188" w:line="240" w:lineRule="auto"/>
              <w:ind w:right="486"/>
              <w:jc w:val="both"/>
              <w:rPr>
                <w:rFonts w:hint="eastAsia" w:ascii="宋体" w:hAnsi="宋体" w:eastAsia="宋体" w:cs="宋体"/>
                <w:color w:val="auto"/>
                <w:spacing w:val="9"/>
                <w:sz w:val="24"/>
                <w:szCs w:val="24"/>
                <w:highlight w:val="none"/>
                <w:lang w:val="en-US" w:eastAsia="zh-CN" w:bidi="ar-SA"/>
              </w:rPr>
            </w:pPr>
          </w:p>
        </w:tc>
      </w:tr>
      <w:tr w14:paraId="3D950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single" w:color="auto" w:sz="4" w:space="0"/>
              <w:left w:val="single" w:color="auto" w:sz="4" w:space="0"/>
              <w:right w:val="single" w:color="auto" w:sz="4" w:space="0"/>
            </w:tcBorders>
            <w:noWrap w:val="0"/>
            <w:vAlign w:val="center"/>
          </w:tcPr>
          <w:p w14:paraId="64377B24">
            <w:pPr>
              <w:spacing w:line="240" w:lineRule="auto"/>
              <w:rPr>
                <w:rFonts w:hint="eastAsia" w:ascii="宋体" w:hAnsi="宋体" w:eastAsia="宋体" w:cs="宋体"/>
                <w:color w:val="auto"/>
                <w:sz w:val="24"/>
                <w:szCs w:val="24"/>
                <w:highlight w:val="none"/>
              </w:rPr>
            </w:pPr>
          </w:p>
        </w:tc>
        <w:tc>
          <w:tcPr>
            <w:tcW w:w="1138" w:type="dxa"/>
            <w:vMerge w:val="continue"/>
            <w:tcBorders>
              <w:top w:val="single" w:color="auto" w:sz="4" w:space="0"/>
              <w:left w:val="single" w:color="auto" w:sz="4" w:space="0"/>
              <w:right w:val="single" w:color="auto" w:sz="4" w:space="0"/>
            </w:tcBorders>
            <w:noWrap w:val="0"/>
            <w:vAlign w:val="center"/>
          </w:tcPr>
          <w:p w14:paraId="167C7506">
            <w:pPr>
              <w:spacing w:line="240" w:lineRule="auto"/>
              <w:rPr>
                <w:rFonts w:hint="eastAsia" w:ascii="宋体" w:hAnsi="宋体" w:eastAsia="宋体" w:cs="宋体"/>
                <w:color w:val="auto"/>
                <w:sz w:val="24"/>
                <w:szCs w:val="24"/>
                <w:highlight w:val="none"/>
              </w:rPr>
            </w:pPr>
          </w:p>
        </w:tc>
        <w:tc>
          <w:tcPr>
            <w:tcW w:w="1509" w:type="dxa"/>
            <w:tcBorders>
              <w:top w:val="single" w:color="auto" w:sz="4" w:space="0"/>
              <w:left w:val="single" w:color="auto" w:sz="4" w:space="0"/>
              <w:right w:val="single" w:color="auto" w:sz="4" w:space="0"/>
            </w:tcBorders>
            <w:noWrap w:val="0"/>
            <w:vAlign w:val="center"/>
          </w:tcPr>
          <w:p w14:paraId="58A7FC0A">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常规风险排查30分）</w:t>
            </w:r>
          </w:p>
        </w:tc>
        <w:tc>
          <w:tcPr>
            <w:tcW w:w="3251" w:type="dxa"/>
            <w:tcBorders>
              <w:top w:val="single" w:color="auto" w:sz="4" w:space="0"/>
              <w:left w:val="single" w:color="auto" w:sz="4" w:space="0"/>
              <w:right w:val="single" w:color="auto" w:sz="4" w:space="0"/>
            </w:tcBorders>
            <w:noWrap w:val="0"/>
            <w:vAlign w:val="center"/>
          </w:tcPr>
          <w:p w14:paraId="5EF84829">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对表单涉及单位的现场情况、资料文件按照法律法规，安全技术规范的要求进行有效性、一致性确认，摸排台账经梳理汇总后，报送监管部门。</w:t>
            </w:r>
          </w:p>
        </w:tc>
        <w:tc>
          <w:tcPr>
            <w:tcW w:w="1905" w:type="dxa"/>
            <w:tcBorders>
              <w:top w:val="single" w:color="auto" w:sz="4" w:space="0"/>
              <w:left w:val="single" w:color="auto" w:sz="4" w:space="0"/>
              <w:right w:val="single" w:color="auto" w:sz="4" w:space="0"/>
            </w:tcBorders>
            <w:noWrap w:val="0"/>
            <w:vAlign w:val="center"/>
          </w:tcPr>
          <w:p w14:paraId="0B4AE05E">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每一项闭环，有不完整项扣除0.2分</w:t>
            </w:r>
          </w:p>
        </w:tc>
        <w:tc>
          <w:tcPr>
            <w:tcW w:w="1155" w:type="dxa"/>
            <w:tcBorders>
              <w:top w:val="single" w:color="auto" w:sz="4" w:space="0"/>
              <w:left w:val="single" w:color="auto" w:sz="4" w:space="0"/>
              <w:right w:val="single" w:color="auto" w:sz="4" w:space="0"/>
            </w:tcBorders>
            <w:noWrap w:val="0"/>
            <w:vAlign w:val="center"/>
          </w:tcPr>
          <w:p w14:paraId="57F68D13">
            <w:pPr>
              <w:widowControl w:val="0"/>
              <w:autoSpaceDE w:val="0"/>
              <w:autoSpaceDN w:val="0"/>
              <w:adjustRightInd w:val="0"/>
              <w:spacing w:before="188" w:line="240" w:lineRule="auto"/>
              <w:ind w:right="486"/>
              <w:jc w:val="both"/>
              <w:rPr>
                <w:rFonts w:hint="eastAsia" w:ascii="宋体" w:hAnsi="宋体" w:eastAsia="宋体" w:cs="宋体"/>
                <w:color w:val="auto"/>
                <w:spacing w:val="9"/>
                <w:sz w:val="24"/>
                <w:szCs w:val="24"/>
                <w:highlight w:val="none"/>
                <w:lang w:val="en-US" w:eastAsia="zh-CN" w:bidi="ar-SA"/>
              </w:rPr>
            </w:pPr>
          </w:p>
        </w:tc>
      </w:tr>
      <w:tr w14:paraId="57C1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single" w:color="auto" w:sz="4" w:space="0"/>
              <w:left w:val="single" w:color="auto" w:sz="4" w:space="0"/>
              <w:right w:val="single" w:color="auto" w:sz="4" w:space="0"/>
            </w:tcBorders>
            <w:noWrap w:val="0"/>
            <w:vAlign w:val="center"/>
          </w:tcPr>
          <w:p w14:paraId="31043EE7">
            <w:pPr>
              <w:spacing w:line="240" w:lineRule="auto"/>
              <w:rPr>
                <w:rFonts w:hint="eastAsia" w:ascii="宋体" w:hAnsi="宋体" w:eastAsia="宋体" w:cs="宋体"/>
                <w:color w:val="auto"/>
                <w:sz w:val="24"/>
                <w:szCs w:val="24"/>
                <w:highlight w:val="none"/>
              </w:rPr>
            </w:pPr>
          </w:p>
        </w:tc>
        <w:tc>
          <w:tcPr>
            <w:tcW w:w="1138" w:type="dxa"/>
            <w:vMerge w:val="continue"/>
            <w:tcBorders>
              <w:top w:val="single" w:color="auto" w:sz="4" w:space="0"/>
              <w:left w:val="single" w:color="auto" w:sz="4" w:space="0"/>
              <w:right w:val="single" w:color="auto" w:sz="4" w:space="0"/>
            </w:tcBorders>
            <w:noWrap w:val="0"/>
            <w:vAlign w:val="center"/>
          </w:tcPr>
          <w:p w14:paraId="0165A17E">
            <w:pPr>
              <w:spacing w:line="240" w:lineRule="auto"/>
              <w:rPr>
                <w:rFonts w:hint="eastAsia" w:ascii="宋体" w:hAnsi="宋体" w:eastAsia="宋体" w:cs="宋体"/>
                <w:color w:val="auto"/>
                <w:sz w:val="24"/>
                <w:szCs w:val="24"/>
                <w:highlight w:val="none"/>
              </w:rPr>
            </w:pPr>
          </w:p>
        </w:tc>
        <w:tc>
          <w:tcPr>
            <w:tcW w:w="1509" w:type="dxa"/>
            <w:tcBorders>
              <w:top w:val="single" w:color="auto" w:sz="4" w:space="0"/>
              <w:left w:val="single" w:color="auto" w:sz="4" w:space="0"/>
              <w:right w:val="single" w:color="auto" w:sz="4" w:space="0"/>
            </w:tcBorders>
            <w:noWrap w:val="0"/>
            <w:vAlign w:val="center"/>
          </w:tcPr>
          <w:p w14:paraId="697D30AC">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专项整治工作35分）</w:t>
            </w:r>
          </w:p>
        </w:tc>
        <w:tc>
          <w:tcPr>
            <w:tcW w:w="3251" w:type="dxa"/>
            <w:tcBorders>
              <w:top w:val="single" w:color="auto" w:sz="4" w:space="0"/>
              <w:left w:val="single" w:color="auto" w:sz="4" w:space="0"/>
              <w:right w:val="single" w:color="auto" w:sz="4" w:space="0"/>
            </w:tcBorders>
            <w:noWrap w:val="0"/>
            <w:vAlign w:val="center"/>
          </w:tcPr>
          <w:p w14:paraId="30205069">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根据专项整治任务完成各项工作</w:t>
            </w:r>
          </w:p>
        </w:tc>
        <w:tc>
          <w:tcPr>
            <w:tcW w:w="1905" w:type="dxa"/>
            <w:tcBorders>
              <w:top w:val="single" w:color="auto" w:sz="4" w:space="0"/>
              <w:left w:val="single" w:color="auto" w:sz="4" w:space="0"/>
              <w:right w:val="single" w:color="auto" w:sz="4" w:space="0"/>
            </w:tcBorders>
            <w:noWrap w:val="0"/>
            <w:vAlign w:val="center"/>
          </w:tcPr>
          <w:p w14:paraId="33416A9B">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未完成扣除0.5分</w:t>
            </w:r>
          </w:p>
        </w:tc>
        <w:tc>
          <w:tcPr>
            <w:tcW w:w="1155" w:type="dxa"/>
            <w:tcBorders>
              <w:top w:val="single" w:color="auto" w:sz="4" w:space="0"/>
              <w:left w:val="single" w:color="auto" w:sz="4" w:space="0"/>
              <w:right w:val="single" w:color="auto" w:sz="4" w:space="0"/>
            </w:tcBorders>
            <w:noWrap w:val="0"/>
            <w:vAlign w:val="center"/>
          </w:tcPr>
          <w:p w14:paraId="690EDE97">
            <w:pPr>
              <w:widowControl w:val="0"/>
              <w:autoSpaceDE w:val="0"/>
              <w:autoSpaceDN w:val="0"/>
              <w:adjustRightInd w:val="0"/>
              <w:spacing w:before="188" w:line="240" w:lineRule="auto"/>
              <w:ind w:right="486"/>
              <w:jc w:val="both"/>
              <w:rPr>
                <w:rFonts w:hint="eastAsia" w:ascii="宋体" w:hAnsi="宋体" w:eastAsia="宋体" w:cs="宋体"/>
                <w:color w:val="auto"/>
                <w:spacing w:val="9"/>
                <w:sz w:val="24"/>
                <w:szCs w:val="24"/>
                <w:highlight w:val="none"/>
                <w:lang w:val="en-US" w:eastAsia="zh-CN" w:bidi="ar-SA"/>
              </w:rPr>
            </w:pPr>
          </w:p>
        </w:tc>
      </w:tr>
      <w:tr w14:paraId="4D1E4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single" w:color="auto" w:sz="4" w:space="0"/>
              <w:left w:val="single" w:color="auto" w:sz="4" w:space="0"/>
              <w:right w:val="single" w:color="auto" w:sz="4" w:space="0"/>
            </w:tcBorders>
            <w:noWrap w:val="0"/>
            <w:vAlign w:val="center"/>
          </w:tcPr>
          <w:p w14:paraId="1D2BEC64">
            <w:pPr>
              <w:spacing w:line="240" w:lineRule="auto"/>
              <w:rPr>
                <w:rFonts w:hint="eastAsia" w:ascii="宋体" w:hAnsi="宋体" w:eastAsia="宋体" w:cs="宋体"/>
                <w:color w:val="auto"/>
                <w:sz w:val="24"/>
                <w:szCs w:val="24"/>
                <w:highlight w:val="none"/>
              </w:rPr>
            </w:pPr>
          </w:p>
        </w:tc>
        <w:tc>
          <w:tcPr>
            <w:tcW w:w="1138" w:type="dxa"/>
            <w:vMerge w:val="continue"/>
            <w:tcBorders>
              <w:top w:val="single" w:color="auto" w:sz="4" w:space="0"/>
              <w:left w:val="single" w:color="auto" w:sz="4" w:space="0"/>
              <w:right w:val="single" w:color="auto" w:sz="4" w:space="0"/>
            </w:tcBorders>
            <w:noWrap w:val="0"/>
            <w:vAlign w:val="center"/>
          </w:tcPr>
          <w:p w14:paraId="25250FAC">
            <w:pPr>
              <w:spacing w:line="240" w:lineRule="auto"/>
              <w:rPr>
                <w:rFonts w:hint="eastAsia" w:ascii="宋体" w:hAnsi="宋体" w:eastAsia="宋体" w:cs="宋体"/>
                <w:color w:val="auto"/>
                <w:sz w:val="24"/>
                <w:szCs w:val="24"/>
                <w:highlight w:val="none"/>
              </w:rPr>
            </w:pPr>
          </w:p>
        </w:tc>
        <w:tc>
          <w:tcPr>
            <w:tcW w:w="1509" w:type="dxa"/>
            <w:tcBorders>
              <w:top w:val="single" w:color="auto" w:sz="4" w:space="0"/>
              <w:left w:val="single" w:color="auto" w:sz="4" w:space="0"/>
              <w:right w:val="single" w:color="auto" w:sz="4" w:space="0"/>
            </w:tcBorders>
            <w:noWrap w:val="0"/>
            <w:vAlign w:val="center"/>
          </w:tcPr>
          <w:p w14:paraId="1F13E4E7">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排查隐患协助整改（15分）</w:t>
            </w:r>
          </w:p>
        </w:tc>
        <w:tc>
          <w:tcPr>
            <w:tcW w:w="3251" w:type="dxa"/>
            <w:tcBorders>
              <w:top w:val="single" w:color="auto" w:sz="4" w:space="0"/>
              <w:left w:val="single" w:color="auto" w:sz="4" w:space="0"/>
              <w:right w:val="single" w:color="auto" w:sz="4" w:space="0"/>
            </w:tcBorders>
            <w:noWrap w:val="0"/>
            <w:vAlign w:val="center"/>
          </w:tcPr>
          <w:p w14:paraId="1C58A78A">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辖区内特种设备使用单位存在的安全隐患，指导企业完成安全隐患闭环；发现隐患及时上报，并协助监察人员及时处置。</w:t>
            </w:r>
          </w:p>
        </w:tc>
        <w:tc>
          <w:tcPr>
            <w:tcW w:w="1905" w:type="dxa"/>
            <w:tcBorders>
              <w:top w:val="single" w:color="auto" w:sz="4" w:space="0"/>
              <w:left w:val="single" w:color="auto" w:sz="4" w:space="0"/>
              <w:right w:val="single" w:color="auto" w:sz="4" w:space="0"/>
            </w:tcBorders>
            <w:noWrap w:val="0"/>
            <w:vAlign w:val="center"/>
          </w:tcPr>
          <w:p w14:paraId="5F3372AD">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针对安全隐患企业指导整改闭环，未完成一家企业扣0.1分</w:t>
            </w:r>
          </w:p>
        </w:tc>
        <w:tc>
          <w:tcPr>
            <w:tcW w:w="1155" w:type="dxa"/>
            <w:tcBorders>
              <w:top w:val="single" w:color="auto" w:sz="4" w:space="0"/>
              <w:left w:val="single" w:color="auto" w:sz="4" w:space="0"/>
              <w:right w:val="single" w:color="auto" w:sz="4" w:space="0"/>
            </w:tcBorders>
            <w:noWrap w:val="0"/>
            <w:vAlign w:val="center"/>
          </w:tcPr>
          <w:p w14:paraId="011B7CA3">
            <w:pPr>
              <w:widowControl w:val="0"/>
              <w:autoSpaceDE w:val="0"/>
              <w:autoSpaceDN w:val="0"/>
              <w:adjustRightInd w:val="0"/>
              <w:spacing w:before="188" w:line="240" w:lineRule="auto"/>
              <w:ind w:right="486"/>
              <w:jc w:val="both"/>
              <w:rPr>
                <w:rFonts w:hint="eastAsia" w:ascii="宋体" w:hAnsi="宋体" w:eastAsia="宋体" w:cs="宋体"/>
                <w:color w:val="auto"/>
                <w:spacing w:val="9"/>
                <w:sz w:val="24"/>
                <w:szCs w:val="24"/>
                <w:highlight w:val="none"/>
                <w:lang w:val="en-US" w:eastAsia="zh-CN" w:bidi="ar-SA"/>
              </w:rPr>
            </w:pPr>
          </w:p>
        </w:tc>
      </w:tr>
      <w:tr w14:paraId="4D604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1" w:type="dxa"/>
            <w:vMerge w:val="continue"/>
            <w:tcBorders>
              <w:top w:val="single" w:color="auto" w:sz="4" w:space="0"/>
              <w:left w:val="single" w:color="auto" w:sz="4" w:space="0"/>
              <w:right w:val="single" w:color="auto" w:sz="4" w:space="0"/>
            </w:tcBorders>
            <w:noWrap w:val="0"/>
            <w:vAlign w:val="center"/>
          </w:tcPr>
          <w:p w14:paraId="6EBD5DC7">
            <w:pPr>
              <w:spacing w:line="240" w:lineRule="auto"/>
              <w:rPr>
                <w:rFonts w:hint="eastAsia" w:ascii="宋体" w:hAnsi="宋体" w:eastAsia="宋体" w:cs="宋体"/>
                <w:color w:val="auto"/>
                <w:sz w:val="24"/>
                <w:szCs w:val="24"/>
                <w:highlight w:val="none"/>
              </w:rPr>
            </w:pPr>
          </w:p>
        </w:tc>
        <w:tc>
          <w:tcPr>
            <w:tcW w:w="1138" w:type="dxa"/>
            <w:vMerge w:val="continue"/>
            <w:tcBorders>
              <w:top w:val="single" w:color="auto" w:sz="4" w:space="0"/>
              <w:left w:val="single" w:color="auto" w:sz="4" w:space="0"/>
              <w:right w:val="single" w:color="auto" w:sz="4" w:space="0"/>
            </w:tcBorders>
            <w:noWrap w:val="0"/>
            <w:vAlign w:val="center"/>
          </w:tcPr>
          <w:p w14:paraId="7DAF35CA">
            <w:pPr>
              <w:spacing w:line="240" w:lineRule="auto"/>
              <w:rPr>
                <w:rFonts w:hint="eastAsia" w:ascii="宋体" w:hAnsi="宋体" w:eastAsia="宋体" w:cs="宋体"/>
                <w:color w:val="auto"/>
                <w:sz w:val="24"/>
                <w:szCs w:val="24"/>
                <w:highlight w:val="none"/>
              </w:rPr>
            </w:pPr>
          </w:p>
        </w:tc>
        <w:tc>
          <w:tcPr>
            <w:tcW w:w="1509" w:type="dxa"/>
            <w:tcBorders>
              <w:top w:val="single" w:color="auto" w:sz="4" w:space="0"/>
              <w:left w:val="single" w:color="auto" w:sz="4" w:space="0"/>
              <w:right w:val="single" w:color="auto" w:sz="4" w:space="0"/>
            </w:tcBorders>
            <w:noWrap w:val="0"/>
            <w:vAlign w:val="center"/>
          </w:tcPr>
          <w:p w14:paraId="398E8B57">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专项活动</w:t>
            </w:r>
          </w:p>
        </w:tc>
        <w:tc>
          <w:tcPr>
            <w:tcW w:w="3251" w:type="dxa"/>
            <w:tcBorders>
              <w:top w:val="single" w:color="auto" w:sz="4" w:space="0"/>
              <w:left w:val="single" w:color="auto" w:sz="4" w:space="0"/>
              <w:right w:val="single" w:color="auto" w:sz="4" w:space="0"/>
            </w:tcBorders>
            <w:noWrap w:val="0"/>
            <w:vAlign w:val="center"/>
          </w:tcPr>
          <w:p w14:paraId="554DE0CC">
            <w:pPr>
              <w:widowControl w:val="0"/>
              <w:autoSpaceDE w:val="0"/>
              <w:autoSpaceDN w:val="0"/>
              <w:adjustRightInd w:val="0"/>
              <w:spacing w:line="240" w:lineRule="auto"/>
              <w:jc w:val="both"/>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宣传特种设备安全，普及安全使用特种设备知识</w:t>
            </w:r>
          </w:p>
        </w:tc>
        <w:tc>
          <w:tcPr>
            <w:tcW w:w="1905" w:type="dxa"/>
            <w:tcBorders>
              <w:top w:val="single" w:color="auto" w:sz="4" w:space="0"/>
              <w:left w:val="single" w:color="auto" w:sz="4" w:space="0"/>
              <w:right w:val="single" w:color="auto" w:sz="4" w:space="0"/>
            </w:tcBorders>
            <w:noWrap w:val="0"/>
            <w:vAlign w:val="center"/>
          </w:tcPr>
          <w:p w14:paraId="0FA60CDA">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未完成扣除0.5分</w:t>
            </w:r>
          </w:p>
        </w:tc>
        <w:tc>
          <w:tcPr>
            <w:tcW w:w="1155" w:type="dxa"/>
            <w:tcBorders>
              <w:top w:val="single" w:color="auto" w:sz="4" w:space="0"/>
              <w:left w:val="single" w:color="auto" w:sz="4" w:space="0"/>
              <w:right w:val="single" w:color="auto" w:sz="4" w:space="0"/>
            </w:tcBorders>
            <w:noWrap w:val="0"/>
            <w:vAlign w:val="center"/>
          </w:tcPr>
          <w:p w14:paraId="3A3379D7">
            <w:pPr>
              <w:widowControl w:val="0"/>
              <w:autoSpaceDE w:val="0"/>
              <w:autoSpaceDN w:val="0"/>
              <w:adjustRightInd w:val="0"/>
              <w:spacing w:before="188" w:line="240" w:lineRule="auto"/>
              <w:ind w:right="486"/>
              <w:jc w:val="both"/>
              <w:rPr>
                <w:rFonts w:hint="eastAsia" w:ascii="宋体" w:hAnsi="宋体" w:eastAsia="宋体" w:cs="宋体"/>
                <w:color w:val="auto"/>
                <w:spacing w:val="9"/>
                <w:sz w:val="24"/>
                <w:szCs w:val="24"/>
                <w:highlight w:val="none"/>
                <w:lang w:val="en-US" w:eastAsia="zh-CN" w:bidi="ar-SA"/>
              </w:rPr>
            </w:pPr>
          </w:p>
        </w:tc>
      </w:tr>
    </w:tbl>
    <w:p w14:paraId="425692B5">
      <w:pPr>
        <w:widowControl w:val="0"/>
        <w:autoSpaceDE w:val="0"/>
        <w:autoSpaceDN w:val="0"/>
        <w:adjustRightInd w:val="0"/>
        <w:spacing w:before="188" w:line="360" w:lineRule="auto"/>
        <w:ind w:right="486" w:firstLine="258"/>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2.考核标准二：</w:t>
      </w:r>
    </w:p>
    <w:tbl>
      <w:tblPr>
        <w:tblStyle w:val="36"/>
        <w:tblW w:w="0" w:type="auto"/>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680"/>
        <w:gridCol w:w="2676"/>
        <w:gridCol w:w="2159"/>
        <w:gridCol w:w="1978"/>
      </w:tblGrid>
      <w:tr w14:paraId="390FC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720" w:type="dxa"/>
            <w:noWrap w:val="0"/>
            <w:vAlign w:val="top"/>
          </w:tcPr>
          <w:p w14:paraId="33A22D70">
            <w:pPr>
              <w:widowControl w:val="0"/>
              <w:autoSpaceDE w:val="0"/>
              <w:autoSpaceDN w:val="0"/>
              <w:adjustRightInd w:val="0"/>
              <w:spacing w:line="240" w:lineRule="auto"/>
              <w:jc w:val="center"/>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9"/>
                <w:sz w:val="24"/>
                <w:szCs w:val="24"/>
                <w:highlight w:val="none"/>
                <w:lang w:val="en-US" w:eastAsia="zh-CN" w:bidi="ar-SA"/>
              </w:rPr>
              <w:t>类别</w:t>
            </w:r>
          </w:p>
        </w:tc>
        <w:tc>
          <w:tcPr>
            <w:tcW w:w="1680" w:type="dxa"/>
            <w:noWrap w:val="0"/>
            <w:vAlign w:val="top"/>
          </w:tcPr>
          <w:p w14:paraId="1C78CBBA">
            <w:pPr>
              <w:widowControl w:val="0"/>
              <w:autoSpaceDE w:val="0"/>
              <w:autoSpaceDN w:val="0"/>
              <w:adjustRightInd w:val="0"/>
              <w:spacing w:line="240" w:lineRule="auto"/>
              <w:jc w:val="center"/>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9"/>
                <w:sz w:val="24"/>
                <w:szCs w:val="24"/>
                <w:highlight w:val="none"/>
                <w:lang w:val="en-US" w:eastAsia="zh-CN" w:bidi="ar-SA"/>
              </w:rPr>
              <w:t>项目</w:t>
            </w:r>
          </w:p>
        </w:tc>
        <w:tc>
          <w:tcPr>
            <w:tcW w:w="2676" w:type="dxa"/>
            <w:noWrap w:val="0"/>
            <w:vAlign w:val="top"/>
          </w:tcPr>
          <w:p w14:paraId="22137E75">
            <w:pPr>
              <w:widowControl w:val="0"/>
              <w:autoSpaceDE w:val="0"/>
              <w:autoSpaceDN w:val="0"/>
              <w:adjustRightInd w:val="0"/>
              <w:spacing w:line="240" w:lineRule="auto"/>
              <w:jc w:val="center"/>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9"/>
                <w:sz w:val="24"/>
                <w:szCs w:val="24"/>
                <w:highlight w:val="none"/>
                <w:lang w:val="en-US" w:eastAsia="zh-CN" w:bidi="ar-SA"/>
              </w:rPr>
              <w:t>目标</w:t>
            </w:r>
          </w:p>
        </w:tc>
        <w:tc>
          <w:tcPr>
            <w:tcW w:w="2159" w:type="dxa"/>
            <w:noWrap w:val="0"/>
            <w:vAlign w:val="top"/>
          </w:tcPr>
          <w:p w14:paraId="13019F2F">
            <w:pPr>
              <w:widowControl w:val="0"/>
              <w:autoSpaceDE w:val="0"/>
              <w:autoSpaceDN w:val="0"/>
              <w:adjustRightInd w:val="0"/>
              <w:spacing w:line="240" w:lineRule="auto"/>
              <w:jc w:val="center"/>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KPI指标</w:t>
            </w:r>
          </w:p>
        </w:tc>
        <w:tc>
          <w:tcPr>
            <w:tcW w:w="1978" w:type="dxa"/>
            <w:noWrap w:val="0"/>
            <w:vAlign w:val="top"/>
          </w:tcPr>
          <w:p w14:paraId="432D1814">
            <w:pPr>
              <w:widowControl w:val="0"/>
              <w:autoSpaceDE w:val="0"/>
              <w:autoSpaceDN w:val="0"/>
              <w:adjustRightInd w:val="0"/>
              <w:spacing w:line="240" w:lineRule="auto"/>
              <w:jc w:val="center"/>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1"/>
                <w:sz w:val="24"/>
                <w:szCs w:val="24"/>
                <w:highlight w:val="none"/>
                <w:lang w:val="en-US" w:eastAsia="zh-CN" w:bidi="ar-SA"/>
              </w:rPr>
              <w:t>考核细则</w:t>
            </w:r>
          </w:p>
        </w:tc>
      </w:tr>
      <w:tr w14:paraId="74694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720" w:type="dxa"/>
            <w:vMerge w:val="restart"/>
            <w:tcBorders>
              <w:top w:val="single" w:color="auto" w:sz="4" w:space="0"/>
              <w:left w:val="single" w:color="auto" w:sz="4" w:space="0"/>
              <w:right w:val="single" w:color="auto" w:sz="4" w:space="0"/>
            </w:tcBorders>
            <w:noWrap w:val="0"/>
            <w:vAlign w:val="center"/>
          </w:tcPr>
          <w:p w14:paraId="0BC60655">
            <w:pPr>
              <w:widowControl w:val="0"/>
              <w:autoSpaceDE w:val="0"/>
              <w:autoSpaceDN w:val="0"/>
              <w:adjustRightInd w:val="0"/>
              <w:spacing w:line="240" w:lineRule="auto"/>
              <w:jc w:val="center"/>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行政规范</w:t>
            </w:r>
          </w:p>
        </w:tc>
        <w:tc>
          <w:tcPr>
            <w:tcW w:w="1680" w:type="dxa"/>
            <w:tcBorders>
              <w:top w:val="single" w:color="auto" w:sz="4" w:space="0"/>
              <w:left w:val="single" w:color="auto" w:sz="4" w:space="0"/>
              <w:right w:val="single" w:color="auto" w:sz="4" w:space="0"/>
            </w:tcBorders>
            <w:noWrap w:val="0"/>
            <w:vAlign w:val="center"/>
          </w:tcPr>
          <w:p w14:paraId="0A5FEC48">
            <w:pPr>
              <w:widowControl w:val="0"/>
              <w:autoSpaceDE w:val="0"/>
              <w:autoSpaceDN w:val="0"/>
              <w:adjustRightInd w:val="0"/>
              <w:spacing w:line="240" w:lineRule="auto"/>
              <w:jc w:val="center"/>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意识形态</w:t>
            </w:r>
          </w:p>
        </w:tc>
        <w:tc>
          <w:tcPr>
            <w:tcW w:w="2676" w:type="dxa"/>
            <w:tcBorders>
              <w:top w:val="single" w:color="auto" w:sz="4" w:space="0"/>
              <w:left w:val="single" w:color="auto" w:sz="4" w:space="0"/>
              <w:right w:val="single" w:color="auto" w:sz="4" w:space="0"/>
            </w:tcBorders>
            <w:noWrap w:val="0"/>
            <w:vAlign w:val="center"/>
          </w:tcPr>
          <w:p w14:paraId="73C007AE">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特种设备安全服务意识</w:t>
            </w:r>
          </w:p>
        </w:tc>
        <w:tc>
          <w:tcPr>
            <w:tcW w:w="2159" w:type="dxa"/>
            <w:tcBorders>
              <w:top w:val="single" w:color="auto" w:sz="4" w:space="0"/>
              <w:left w:val="single" w:color="auto" w:sz="4" w:space="0"/>
              <w:right w:val="single" w:color="auto" w:sz="4" w:space="0"/>
            </w:tcBorders>
            <w:noWrap w:val="0"/>
            <w:vAlign w:val="center"/>
          </w:tcPr>
          <w:p w14:paraId="39CB060D">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加强理论知识学习，及时了解掌握最新政策要求及相关规定。</w:t>
            </w:r>
          </w:p>
        </w:tc>
        <w:tc>
          <w:tcPr>
            <w:tcW w:w="1978" w:type="dxa"/>
            <w:tcBorders>
              <w:top w:val="single" w:color="auto" w:sz="4" w:space="0"/>
              <w:left w:val="single" w:color="auto" w:sz="4" w:space="0"/>
              <w:right w:val="single" w:color="auto" w:sz="4" w:space="0"/>
            </w:tcBorders>
            <w:noWrap w:val="0"/>
            <w:vAlign w:val="center"/>
          </w:tcPr>
          <w:p w14:paraId="169EEC66">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排查</w:t>
            </w:r>
            <w:r>
              <w:rPr>
                <w:rFonts w:hint="eastAsia" w:ascii="宋体" w:hAnsi="宋体" w:eastAsia="宋体" w:cs="宋体"/>
                <w:color w:val="auto"/>
                <w:spacing w:val="9"/>
                <w:sz w:val="24"/>
                <w:szCs w:val="24"/>
                <w:highlight w:val="none"/>
                <w:lang w:val="en-US" w:eastAsia="zh-CN" w:bidi="ar-SA"/>
              </w:rPr>
              <w:t>不及格予以处罚</w:t>
            </w:r>
          </w:p>
        </w:tc>
      </w:tr>
      <w:tr w14:paraId="1E3CC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trPr>
        <w:tc>
          <w:tcPr>
            <w:tcW w:w="720" w:type="dxa"/>
            <w:vMerge w:val="continue"/>
            <w:tcBorders>
              <w:top w:val="single" w:color="auto" w:sz="4" w:space="0"/>
              <w:left w:val="single" w:color="auto" w:sz="4" w:space="0"/>
              <w:right w:val="single" w:color="auto" w:sz="4" w:space="0"/>
            </w:tcBorders>
            <w:noWrap w:val="0"/>
            <w:vAlign w:val="center"/>
          </w:tcPr>
          <w:p w14:paraId="29688714">
            <w:pPr>
              <w:spacing w:line="240" w:lineRule="auto"/>
              <w:rPr>
                <w:rFonts w:hint="eastAsia" w:ascii="宋体" w:hAnsi="宋体" w:eastAsia="宋体" w:cs="宋体"/>
                <w:color w:val="auto"/>
                <w:sz w:val="24"/>
                <w:szCs w:val="24"/>
                <w:highlight w:val="none"/>
              </w:rPr>
            </w:pPr>
          </w:p>
        </w:tc>
        <w:tc>
          <w:tcPr>
            <w:tcW w:w="1680" w:type="dxa"/>
            <w:tcBorders>
              <w:top w:val="single" w:color="auto" w:sz="4" w:space="0"/>
              <w:left w:val="single" w:color="auto" w:sz="4" w:space="0"/>
              <w:right w:val="single" w:color="auto" w:sz="4" w:space="0"/>
            </w:tcBorders>
            <w:noWrap w:val="0"/>
            <w:vAlign w:val="center"/>
          </w:tcPr>
          <w:p w14:paraId="0648CF47">
            <w:pPr>
              <w:widowControl w:val="0"/>
              <w:autoSpaceDE w:val="0"/>
              <w:autoSpaceDN w:val="0"/>
              <w:adjustRightInd w:val="0"/>
              <w:spacing w:line="240" w:lineRule="auto"/>
              <w:jc w:val="center"/>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行为规范</w:t>
            </w:r>
          </w:p>
        </w:tc>
        <w:tc>
          <w:tcPr>
            <w:tcW w:w="2676" w:type="dxa"/>
            <w:tcBorders>
              <w:top w:val="single" w:color="auto" w:sz="4" w:space="0"/>
              <w:left w:val="single" w:color="auto" w:sz="4" w:space="0"/>
              <w:right w:val="single" w:color="auto" w:sz="4" w:space="0"/>
            </w:tcBorders>
            <w:noWrap w:val="0"/>
            <w:vAlign w:val="center"/>
          </w:tcPr>
          <w:p w14:paraId="40F02B81">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加强工作作风建设，不发生履职不力、作风不实、效能不高、纪律不严等行风事项投诉；根据实际情况，按照要</w:t>
            </w:r>
            <w:r>
              <w:rPr>
                <w:rFonts w:hint="eastAsia" w:ascii="宋体" w:hAnsi="宋体" w:eastAsia="宋体" w:cs="宋体"/>
                <w:color w:val="auto"/>
                <w:spacing w:val="8"/>
                <w:sz w:val="24"/>
                <w:szCs w:val="24"/>
                <w:highlight w:val="none"/>
                <w:lang w:val="en-US" w:eastAsia="zh-CN" w:bidi="ar-SA"/>
              </w:rPr>
              <w:t>求做好行风事项投诉反馈。</w:t>
            </w:r>
          </w:p>
        </w:tc>
        <w:tc>
          <w:tcPr>
            <w:tcW w:w="2159" w:type="dxa"/>
            <w:tcBorders>
              <w:top w:val="single" w:color="auto" w:sz="4" w:space="0"/>
              <w:left w:val="single" w:color="auto" w:sz="4" w:space="0"/>
              <w:right w:val="single" w:color="auto" w:sz="4" w:space="0"/>
            </w:tcBorders>
            <w:noWrap w:val="0"/>
            <w:vAlign w:val="center"/>
          </w:tcPr>
          <w:p w14:paraId="3BF53465">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加强作风建设、纪律要求、提高效能。</w:t>
            </w:r>
          </w:p>
        </w:tc>
        <w:tc>
          <w:tcPr>
            <w:tcW w:w="1978" w:type="dxa"/>
            <w:tcBorders>
              <w:top w:val="single" w:color="auto" w:sz="4" w:space="0"/>
              <w:left w:val="single" w:color="auto" w:sz="4" w:space="0"/>
              <w:right w:val="single" w:color="auto" w:sz="4" w:space="0"/>
            </w:tcBorders>
            <w:noWrap w:val="0"/>
            <w:vAlign w:val="center"/>
          </w:tcPr>
          <w:p w14:paraId="422123FB">
            <w:pPr>
              <w:widowControl w:val="0"/>
              <w:autoSpaceDE w:val="0"/>
              <w:autoSpaceDN w:val="0"/>
              <w:adjustRightInd w:val="0"/>
              <w:spacing w:line="240" w:lineRule="auto"/>
              <w:jc w:val="both"/>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pacing w:val="9"/>
                <w:sz w:val="24"/>
                <w:szCs w:val="24"/>
                <w:highlight w:val="none"/>
                <w:lang w:val="en-US" w:eastAsia="zh-CN" w:bidi="ar-SA"/>
              </w:rPr>
              <w:t>行政监督抽查发现按相关规定处罚或开除。</w:t>
            </w:r>
          </w:p>
        </w:tc>
      </w:tr>
    </w:tbl>
    <w:p w14:paraId="15C6EE1B">
      <w:pPr>
        <w:spacing w:line="360" w:lineRule="auto"/>
        <w:ind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3.管理考核办法</w:t>
      </w:r>
    </w:p>
    <w:p w14:paraId="4777F5D6">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排查人</w:t>
      </w:r>
      <w:r>
        <w:rPr>
          <w:rFonts w:hint="eastAsia" w:ascii="宋体" w:hAnsi="宋体" w:eastAsia="宋体" w:cs="宋体"/>
          <w:color w:val="auto"/>
          <w:sz w:val="24"/>
          <w:szCs w:val="24"/>
          <w:highlight w:val="none"/>
          <w:lang w:eastAsia="zh-CN"/>
        </w:rPr>
        <w:t>员管理要求：</w:t>
      </w:r>
    </w:p>
    <w:p w14:paraId="1506E1B9">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①人员不得迟到早退，准时上下班，如有特殊情况需向招标人提前说明</w:t>
      </w:r>
    </w:p>
    <w:p w14:paraId="29895969">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②着装整洁，言谈举止规范，待人接物文明有礼</w:t>
      </w:r>
    </w:p>
    <w:p w14:paraId="6AA7D5B0">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③按时完成用人方布置的工作任务</w:t>
      </w:r>
    </w:p>
    <w:p w14:paraId="6A98465E">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（2）业务考核要求，见考核表一，每次付款前考核，按百分制，90分为合格，低于90分，每低0.1分扣除100元，在当期付款中扣除。</w:t>
      </w:r>
    </w:p>
    <w:p w14:paraId="3C5A94DA">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（3）日常质量考核，见考核表二，由招标人随机抽查，发现一次不合格罚款500元。</w:t>
      </w:r>
    </w:p>
    <w:p w14:paraId="46639216">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（4）其他扣分项：</w:t>
      </w:r>
    </w:p>
    <w:p w14:paraId="060FCF46">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①违反上款（1）项的，发现一次扣除100元。</w:t>
      </w:r>
    </w:p>
    <w:p w14:paraId="74B5B837">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②对</w:t>
      </w:r>
      <w:r>
        <w:rPr>
          <w:rFonts w:hint="eastAsia" w:ascii="宋体" w:hAnsi="宋体" w:eastAsia="宋体" w:cs="宋体"/>
          <w:color w:val="auto"/>
          <w:sz w:val="24"/>
          <w:szCs w:val="24"/>
          <w:highlight w:val="none"/>
          <w:lang w:val="en-US" w:eastAsia="zh-CN"/>
        </w:rPr>
        <w:t>排查过</w:t>
      </w:r>
      <w:r>
        <w:rPr>
          <w:rFonts w:hint="eastAsia" w:ascii="宋体" w:hAnsi="宋体" w:eastAsia="宋体" w:cs="宋体"/>
          <w:color w:val="auto"/>
          <w:sz w:val="24"/>
          <w:szCs w:val="24"/>
          <w:highlight w:val="none"/>
          <w:lang w:eastAsia="zh-CN"/>
        </w:rPr>
        <w:t>的企业单位，针对省、市、区县各级督查发现重大隐患通报的问题，按照1000元/项进行扣除。</w:t>
      </w:r>
    </w:p>
    <w:p w14:paraId="3BB047D9">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③每季度提交季度工作报告，未能及时提交的，按照每组500元扣除（报告每月25日之前提交）。</w:t>
      </w:r>
    </w:p>
    <w:p w14:paraId="78717DCB">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④对季度报告中，发现排查不仔细，有遗漏问题未查出的，每发现一项扣100元，5000封顶。</w:t>
      </w:r>
    </w:p>
    <w:p w14:paraId="0244BD1F">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⑤不能按时完成区局布置的排查任务，每发现一次扣除1000元。</w:t>
      </w:r>
    </w:p>
    <w:p w14:paraId="6772D4A4">
      <w:pPr>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⑥人员未按照用人方要求到位的，按人次扣除服务费3000元。若一年内人员流动性超过总人数的20%，则扣除服务费5000元。</w:t>
      </w:r>
    </w:p>
    <w:p w14:paraId="2DE3A467">
      <w:pPr>
        <w:widowControl w:val="0"/>
        <w:autoSpaceDE w:val="0"/>
        <w:autoSpaceDN w:val="0"/>
        <w:adjustRightInd w:val="0"/>
        <w:spacing w:line="360" w:lineRule="auto"/>
        <w:ind w:firstLine="518"/>
        <w:jc w:val="both"/>
        <w:rPr>
          <w:rFonts w:hint="eastAsia" w:ascii="宋体" w:hAnsi="宋体" w:eastAsia="宋体" w:cs="宋体"/>
          <w:b/>
          <w:bCs/>
          <w:color w:val="auto"/>
          <w:spacing w:val="9"/>
          <w:sz w:val="24"/>
          <w:szCs w:val="24"/>
          <w:highlight w:val="none"/>
          <w:lang w:val="en-US" w:eastAsia="zh-CN" w:bidi="ar-SA"/>
        </w:rPr>
      </w:pPr>
      <w:r>
        <w:rPr>
          <w:rFonts w:hint="eastAsia" w:ascii="宋体" w:hAnsi="宋体" w:eastAsia="宋体" w:cs="宋体"/>
          <w:b/>
          <w:bCs/>
          <w:color w:val="auto"/>
          <w:spacing w:val="9"/>
          <w:sz w:val="24"/>
          <w:szCs w:val="24"/>
          <w:highlight w:val="none"/>
          <w:lang w:val="en-US" w:eastAsia="zh-CN" w:bidi="ar-SA"/>
        </w:rPr>
        <w:t>三、其他</w:t>
      </w:r>
    </w:p>
    <w:p w14:paraId="6D56E0B7">
      <w:pPr>
        <w:spacing w:line="360" w:lineRule="auto"/>
        <w:ind w:firstLine="516"/>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eastAsia="zh-CN"/>
        </w:rPr>
        <w:t>1.服务期：两年（</w:t>
      </w:r>
      <w:r>
        <w:rPr>
          <w:rFonts w:hint="eastAsia" w:ascii="宋体" w:hAnsi="宋体" w:eastAsia="宋体" w:cs="宋体"/>
          <w:color w:val="auto"/>
          <w:spacing w:val="9"/>
          <w:sz w:val="24"/>
          <w:szCs w:val="24"/>
          <w:highlight w:val="none"/>
          <w:lang w:val="en-US" w:eastAsia="zh-CN"/>
        </w:rPr>
        <w:t>以合同签订日期为准</w:t>
      </w:r>
      <w:r>
        <w:rPr>
          <w:rFonts w:hint="eastAsia" w:ascii="宋体" w:hAnsi="宋体" w:eastAsia="宋体" w:cs="宋体"/>
          <w:color w:val="auto"/>
          <w:spacing w:val="9"/>
          <w:sz w:val="24"/>
          <w:szCs w:val="24"/>
          <w:highlight w:val="none"/>
          <w:lang w:eastAsia="zh-CN"/>
        </w:rPr>
        <w:t>）</w:t>
      </w:r>
    </w:p>
    <w:p w14:paraId="1D5DA39E">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val="en-US" w:eastAsia="zh-CN"/>
        </w:rPr>
        <w:t>2</w:t>
      </w:r>
      <w:r>
        <w:rPr>
          <w:rFonts w:hint="eastAsia" w:ascii="宋体" w:hAnsi="宋体" w:eastAsia="宋体" w:cs="宋体"/>
          <w:color w:val="auto"/>
          <w:spacing w:val="9"/>
          <w:sz w:val="24"/>
          <w:szCs w:val="24"/>
          <w:highlight w:val="none"/>
          <w:lang w:eastAsia="zh-CN"/>
        </w:rPr>
        <w:t>.投标报价相关要求：</w:t>
      </w:r>
    </w:p>
    <w:p w14:paraId="78C7405F">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1）投标报价中应考虑本项目实施过程中所产生的一切费用。报价范围包括完成本项目所有服务产生的所有费用、所有服务人员的工勤费用（包括工资、福利、交通、食宿、通讯等费用）等各项费用、各种税费、利润、税金、政策性文件规定及合同包含的所有风险、责任等各项应有的一切费用。</w:t>
      </w:r>
    </w:p>
    <w:p w14:paraId="6C6070F1">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（2）投标人必须在满足采购文件要求的基础上进行报价。</w:t>
      </w:r>
    </w:p>
    <w:p w14:paraId="39971794">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（3）投标人应仔细阅读招标文件的所有内容，按招标文件的要求提供投标文件，并保证所提供的全部资料的真实性，以使其投标对招标文件作出实质性响应，否则，其投标可能被拒绝。</w:t>
      </w:r>
    </w:p>
    <w:p w14:paraId="7D676A5C">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（4）投标人报价时应充分考虑服务期内所有可能影响到报价的因素（包括最低工资标准和社保基数的政策性调整），如出现投标人故意低价竞争，以谋取中标，作废标处理。</w:t>
      </w:r>
    </w:p>
    <w:p w14:paraId="511FF342">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4.本项目合同价各部分结算方式如下：</w:t>
      </w:r>
    </w:p>
    <w:p w14:paraId="612A5AEE">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cs="宋体"/>
          <w:color w:val="auto"/>
          <w:spacing w:val="9"/>
          <w:sz w:val="24"/>
          <w:szCs w:val="24"/>
          <w:highlight w:val="none"/>
          <w:lang w:val="en-US" w:eastAsia="zh-CN"/>
        </w:rPr>
        <w:t>服务费每三个月凭考核结果结算一次，于次季度首月5日前将上季度发票送交甲方，甲方在收到发票后30天内将上季度服务费扣除考核罚款费用后汇入乙方指定银行账户。</w:t>
      </w:r>
    </w:p>
    <w:p w14:paraId="45A46520">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注：</w:t>
      </w:r>
    </w:p>
    <w:p w14:paraId="3525CB04">
      <w:pPr>
        <w:spacing w:line="360" w:lineRule="auto"/>
        <w:ind w:firstLine="516"/>
        <w:rPr>
          <w:rFonts w:hint="eastAsia" w:ascii="宋体" w:hAnsi="宋体" w:eastAsia="宋体" w:cs="宋体"/>
          <w:color w:val="auto"/>
          <w:spacing w:val="9"/>
          <w:sz w:val="24"/>
          <w:szCs w:val="24"/>
          <w:highlight w:val="none"/>
          <w:lang w:eastAsia="zh-CN"/>
        </w:rPr>
      </w:pPr>
      <w:r>
        <w:rPr>
          <w:rFonts w:hint="eastAsia" w:ascii="宋体" w:hAnsi="宋体" w:eastAsia="宋体" w:cs="宋体"/>
          <w:color w:val="auto"/>
          <w:spacing w:val="9"/>
          <w:sz w:val="24"/>
          <w:szCs w:val="24"/>
          <w:highlight w:val="none"/>
          <w:lang w:eastAsia="zh-CN"/>
        </w:rPr>
        <w:t>（1）供应商必须在应付价款的使用时，保证支付人员工资，招标人有监督的权利。如实际供应商未及时支付人员工资，招标人有权直接从应付价款中扣除该费用，用于直接支付人员工资。</w:t>
      </w:r>
    </w:p>
    <w:p w14:paraId="47DFEBBD">
      <w:pPr>
        <w:keepNext w:val="0"/>
        <w:keepLines w:val="0"/>
        <w:pageBreakBefore w:val="0"/>
        <w:numPr>
          <w:ilvl w:val="0"/>
          <w:numId w:val="0"/>
        </w:numPr>
        <w:spacing w:line="360" w:lineRule="auto"/>
        <w:ind w:firstLine="482" w:firstLineChars="0"/>
        <w:jc w:val="left"/>
        <w:rPr>
          <w:color w:val="auto"/>
          <w:highlight w:val="none"/>
        </w:rPr>
      </w:pPr>
      <w:r>
        <w:rPr>
          <w:rFonts w:hint="eastAsia" w:ascii="宋体" w:hAnsi="宋体" w:eastAsia="宋体" w:cs="宋体"/>
          <w:color w:val="auto"/>
          <w:spacing w:val="9"/>
          <w:sz w:val="24"/>
          <w:szCs w:val="24"/>
          <w:highlight w:val="none"/>
          <w:lang w:eastAsia="zh-CN"/>
        </w:rPr>
        <w:t>（2）服务区域范围发生变动，需经招标人同意，应付价款由双方协商后确定。</w:t>
      </w:r>
      <w:r>
        <w:rPr>
          <w:rFonts w:hint="eastAsia" w:ascii="宋体" w:hAnsi="宋体"/>
          <w:bCs/>
          <w:color w:val="auto"/>
          <w:sz w:val="24"/>
          <w:highlight w:val="none"/>
        </w:rPr>
        <w:br w:type="page" w:clear="all"/>
      </w:r>
    </w:p>
    <w:p w14:paraId="18311F2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0"/>
        <w:rPr>
          <w:rFonts w:ascii="黑体" w:hAnsi="宋体" w:eastAsia="黑体"/>
          <w:b/>
          <w:color w:val="auto"/>
          <w:sz w:val="30"/>
          <w:szCs w:val="30"/>
          <w:highlight w:val="none"/>
        </w:rPr>
      </w:pPr>
      <w:bookmarkStart w:id="8" w:name="_Toc5531"/>
      <w:bookmarkStart w:id="9" w:name="_Toc2016"/>
      <w:bookmarkStart w:id="10" w:name="_Toc251268363"/>
      <w:r>
        <w:rPr>
          <w:rFonts w:hint="eastAsia" w:ascii="黑体" w:eastAsia="黑体"/>
          <w:bCs/>
          <w:color w:val="auto"/>
          <w:sz w:val="30"/>
          <w:szCs w:val="30"/>
          <w:highlight w:val="none"/>
        </w:rPr>
        <w:t>四.</w:t>
      </w:r>
      <w:r>
        <w:rPr>
          <w:rFonts w:hint="eastAsia" w:ascii="黑体" w:hAnsi="宋体" w:eastAsia="黑体"/>
          <w:b/>
          <w:color w:val="auto"/>
          <w:sz w:val="30"/>
          <w:szCs w:val="30"/>
          <w:highlight w:val="none"/>
        </w:rPr>
        <w:t>合同书（</w:t>
      </w:r>
      <w:r>
        <w:rPr>
          <w:rFonts w:hint="eastAsia" w:ascii="黑体" w:hAnsi="宋体" w:eastAsia="黑体"/>
          <w:color w:val="auto"/>
          <w:sz w:val="30"/>
          <w:szCs w:val="30"/>
          <w:highlight w:val="none"/>
        </w:rPr>
        <w:t>格式文本</w:t>
      </w:r>
      <w:r>
        <w:rPr>
          <w:rFonts w:hint="eastAsia" w:ascii="黑体" w:hAnsi="宋体" w:eastAsia="黑体"/>
          <w:b/>
          <w:color w:val="auto"/>
          <w:sz w:val="30"/>
          <w:szCs w:val="30"/>
          <w:highlight w:val="none"/>
        </w:rPr>
        <w:t>）</w:t>
      </w:r>
      <w:bookmarkEnd w:id="8"/>
      <w:bookmarkEnd w:id="9"/>
    </w:p>
    <w:p w14:paraId="2052B71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b/>
          <w:bCs w:val="0"/>
          <w:color w:val="auto"/>
          <w:sz w:val="24"/>
          <w:highlight w:val="none"/>
        </w:rPr>
      </w:pPr>
      <w:r>
        <w:rPr>
          <w:rFonts w:hint="eastAsia" w:ascii="宋体" w:hAnsi="宋体"/>
          <w:b/>
          <w:bCs w:val="0"/>
          <w:color w:val="auto"/>
          <w:sz w:val="24"/>
          <w:highlight w:val="none"/>
        </w:rPr>
        <w:t>根据《中华人民共和国政府采购法》及相关法规、《中华人民共和国民法典》，遵循平等、自愿、公平和诚实信用的原则，供需双方就</w:t>
      </w:r>
      <w:r>
        <w:rPr>
          <w:rFonts w:hint="eastAsia" w:ascii="宋体" w:hAnsi="宋体"/>
          <w:b/>
          <w:bCs w:val="0"/>
          <w:color w:val="auto"/>
          <w:sz w:val="24"/>
          <w:highlight w:val="none"/>
          <w:u w:val="single"/>
        </w:rPr>
        <w:t xml:space="preserve">       </w:t>
      </w:r>
      <w:r>
        <w:rPr>
          <w:rFonts w:hint="eastAsia" w:ascii="宋体" w:hAnsi="宋体"/>
          <w:b/>
          <w:bCs w:val="0"/>
          <w:color w:val="auto"/>
          <w:sz w:val="24"/>
          <w:highlight w:val="none"/>
        </w:rPr>
        <w:t>项目（项目编号：        ）实施及有关事项协商一致，共同达成如下协议：</w:t>
      </w:r>
    </w:p>
    <w:p w14:paraId="4A9FBF8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u w:val="single"/>
          <w:lang w:eastAsia="zh-CN"/>
        </w:rPr>
      </w:pPr>
      <w:r>
        <w:rPr>
          <w:rFonts w:hint="eastAsia" w:ascii="宋体" w:hAnsi="宋体"/>
          <w:bCs/>
          <w:color w:val="auto"/>
          <w:sz w:val="24"/>
          <w:highlight w:val="none"/>
        </w:rPr>
        <w:t>甲方（采购人）：</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07333A7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u w:val="single"/>
          <w:lang w:eastAsia="zh-CN"/>
        </w:rPr>
      </w:pPr>
      <w:r>
        <w:rPr>
          <w:rFonts w:hint="eastAsia" w:ascii="宋体" w:hAnsi="宋体"/>
          <w:bCs/>
          <w:color w:val="auto"/>
          <w:sz w:val="24"/>
          <w:highlight w:val="none"/>
        </w:rPr>
        <w:t>乙方（中标</w:t>
      </w:r>
      <w:r>
        <w:rPr>
          <w:rFonts w:hint="eastAsia" w:ascii="宋体" w:hAnsi="宋体"/>
          <w:bCs/>
          <w:color w:val="auto"/>
          <w:sz w:val="24"/>
          <w:highlight w:val="none"/>
          <w:lang w:val="en-US" w:eastAsia="zh-CN"/>
        </w:rPr>
        <w:t>方</w:t>
      </w:r>
      <w:r>
        <w:rPr>
          <w:rFonts w:hint="eastAsia" w:ascii="宋体" w:hAnsi="宋体"/>
          <w:bCs/>
          <w:color w:val="auto"/>
          <w:sz w:val="24"/>
          <w:highlight w:val="none"/>
        </w:rPr>
        <w:t>）：</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2BB0DF02">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一、政府采购编号：</w:t>
      </w:r>
      <w:r>
        <w:rPr>
          <w:rFonts w:hint="eastAsia" w:ascii="宋体" w:hAnsi="宋体"/>
          <w:bCs/>
          <w:color w:val="auto"/>
          <w:sz w:val="24"/>
          <w:highlight w:val="none"/>
          <w:u w:val="single"/>
          <w:lang w:eastAsia="zh-CN"/>
        </w:rPr>
        <w:t xml:space="preserve">               </w:t>
      </w:r>
    </w:p>
    <w:p w14:paraId="372114A0">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二、采购内容：</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7CE78D46">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三、中标总金额：（大写）</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；（小写）</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w:t>
      </w:r>
    </w:p>
    <w:p w14:paraId="47222058">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四、质量要求及验收标准：</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6F21A565">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五、</w:t>
      </w:r>
      <w:r>
        <w:rPr>
          <w:rFonts w:hint="eastAsia" w:ascii="宋体" w:hAnsi="宋体" w:cs="宋体"/>
          <w:bCs/>
          <w:color w:val="auto"/>
          <w:sz w:val="24"/>
          <w:szCs w:val="24"/>
          <w:highlight w:val="none"/>
          <w:lang w:bidi="ar"/>
        </w:rPr>
        <w:t>服务期</w:t>
      </w:r>
      <w:r>
        <w:rPr>
          <w:rFonts w:hint="eastAsia" w:ascii="宋体" w:hAnsi="宋体"/>
          <w:bCs/>
          <w:color w:val="auto"/>
          <w:sz w:val="24"/>
          <w:highlight w:val="none"/>
        </w:rPr>
        <w:t>：</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p>
    <w:p w14:paraId="04154EDA">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六、服务地点和方式：</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6F3E7C9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七、货款支付步骤和办法：</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762ED460">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八</w:t>
      </w:r>
      <w:r>
        <w:rPr>
          <w:rFonts w:hint="eastAsia" w:ascii="宋体" w:hAnsi="宋体"/>
          <w:bCs/>
          <w:color w:val="auto"/>
          <w:sz w:val="24"/>
          <w:highlight w:val="none"/>
        </w:rPr>
        <w:t>、违约责任：</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00DF953A">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color w:val="auto"/>
          <w:sz w:val="24"/>
          <w:highlight w:val="none"/>
          <w:lang w:val="en-US" w:eastAsia="zh-CN"/>
        </w:rPr>
        <w:t>九</w:t>
      </w:r>
      <w:r>
        <w:rPr>
          <w:rFonts w:hint="eastAsia" w:ascii="宋体" w:hAnsi="宋体"/>
          <w:color w:val="auto"/>
          <w:sz w:val="24"/>
          <w:highlight w:val="none"/>
        </w:rPr>
        <w:t>、解决争议的方式：</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2E25479E">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bCs/>
          <w:color w:val="auto"/>
          <w:sz w:val="24"/>
          <w:highlight w:val="none"/>
          <w:lang w:eastAsia="zh-CN"/>
        </w:rPr>
      </w:pPr>
      <w:r>
        <w:rPr>
          <w:rFonts w:hint="eastAsia" w:ascii="宋体" w:hAnsi="宋体"/>
          <w:bCs/>
          <w:color w:val="auto"/>
          <w:sz w:val="24"/>
          <w:highlight w:val="none"/>
        </w:rPr>
        <w:t>十、</w:t>
      </w:r>
      <w:r>
        <w:rPr>
          <w:rFonts w:hint="eastAsia" w:ascii="宋体" w:hAnsi="宋体"/>
          <w:bCs/>
          <w:color w:val="auto"/>
          <w:sz w:val="24"/>
          <w:highlight w:val="none"/>
          <w:lang w:eastAsia="zh-CN"/>
        </w:rPr>
        <w:t>其他</w:t>
      </w:r>
      <w:r>
        <w:rPr>
          <w:rFonts w:hint="eastAsia" w:ascii="宋体" w:hAnsi="宋体"/>
          <w:bCs/>
          <w:color w:val="auto"/>
          <w:sz w:val="24"/>
          <w:highlight w:val="none"/>
        </w:rPr>
        <w:t>事项：</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    </w:t>
      </w:r>
    </w:p>
    <w:p w14:paraId="01528A3F">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十</w:t>
      </w:r>
      <w:r>
        <w:rPr>
          <w:rFonts w:hint="eastAsia" w:ascii="宋体" w:hAnsi="宋体"/>
          <w:bCs/>
          <w:color w:val="auto"/>
          <w:sz w:val="24"/>
          <w:highlight w:val="none"/>
          <w:lang w:val="en-US" w:eastAsia="zh-CN"/>
        </w:rPr>
        <w:t>一</w:t>
      </w:r>
      <w:r>
        <w:rPr>
          <w:rFonts w:hint="eastAsia" w:ascii="宋体" w:hAnsi="宋体"/>
          <w:bCs/>
          <w:color w:val="auto"/>
          <w:sz w:val="24"/>
          <w:highlight w:val="none"/>
        </w:rPr>
        <w:t>、合同不可分割部分：</w:t>
      </w:r>
    </w:p>
    <w:p w14:paraId="07620334">
      <w:pPr>
        <w:keepNext w:val="0"/>
        <w:keepLines w:val="0"/>
        <w:pageBreakBefore w:val="0"/>
        <w:widowControl w:val="0"/>
        <w:tabs>
          <w:tab w:val="left" w:pos="210"/>
          <w:tab w:val="left" w:pos="42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招标文件、投标文件、合同条款及中标通知书，中标人在投标、评标过程中所作其它有关承诺、声明、书面澄清等均为合同不可分割的部分，与主合同具有同等法律效力。</w:t>
      </w:r>
    </w:p>
    <w:p w14:paraId="2543DE65">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十三、合同备案：合同一式</w:t>
      </w:r>
      <w:r>
        <w:rPr>
          <w:rFonts w:hint="eastAsia" w:ascii="宋体" w:hAnsi="宋体"/>
          <w:bCs/>
          <w:color w:val="auto"/>
          <w:sz w:val="24"/>
          <w:highlight w:val="none"/>
          <w:lang w:val="en-US" w:eastAsia="zh-CN"/>
        </w:rPr>
        <w:t>五</w:t>
      </w:r>
      <w:r>
        <w:rPr>
          <w:rFonts w:hint="eastAsia" w:ascii="宋体" w:hAnsi="宋体"/>
          <w:bCs/>
          <w:color w:val="auto"/>
          <w:sz w:val="24"/>
          <w:highlight w:val="none"/>
        </w:rPr>
        <w:t>份，甲乙双方各执</w:t>
      </w:r>
      <w:r>
        <w:rPr>
          <w:rFonts w:hint="eastAsia" w:ascii="宋体" w:hAnsi="宋体"/>
          <w:bCs/>
          <w:color w:val="auto"/>
          <w:sz w:val="24"/>
          <w:highlight w:val="none"/>
          <w:lang w:val="en-US" w:eastAsia="zh-CN"/>
        </w:rPr>
        <w:t>两</w:t>
      </w:r>
      <w:r>
        <w:rPr>
          <w:rFonts w:hint="eastAsia" w:ascii="宋体" w:hAnsi="宋体"/>
          <w:bCs/>
          <w:color w:val="auto"/>
          <w:sz w:val="24"/>
          <w:highlight w:val="none"/>
        </w:rPr>
        <w:t>份</w:t>
      </w:r>
      <w:r>
        <w:rPr>
          <w:rFonts w:hint="eastAsia" w:ascii="宋体" w:hAnsi="宋体"/>
          <w:bCs/>
          <w:color w:val="auto"/>
          <w:sz w:val="24"/>
          <w:highlight w:val="none"/>
          <w:lang w:eastAsia="zh-CN"/>
        </w:rPr>
        <w:t>，</w:t>
      </w:r>
      <w:r>
        <w:rPr>
          <w:rFonts w:hint="eastAsia" w:ascii="宋体" w:hAnsi="宋体"/>
          <w:bCs/>
          <w:color w:val="auto"/>
          <w:sz w:val="24"/>
          <w:highlight w:val="none"/>
        </w:rPr>
        <w:t>采购代理机构执一份。</w:t>
      </w:r>
    </w:p>
    <w:p w14:paraId="535B6715">
      <w:pPr>
        <w:keepNext w:val="0"/>
        <w:keepLines w:val="0"/>
        <w:pageBreakBefore w:val="0"/>
        <w:widowControl w:val="0"/>
        <w:tabs>
          <w:tab w:val="left" w:pos="210"/>
          <w:tab w:val="left" w:pos="840"/>
          <w:tab w:val="left" w:pos="1155"/>
        </w:tabs>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rPr>
        <w:t>十四、合同生效：本合同由甲乙双方签字、盖章，并经采购代理机构见证。</w:t>
      </w:r>
    </w:p>
    <w:p w14:paraId="3B00F3BE">
      <w:pPr>
        <w:keepNext w:val="0"/>
        <w:keepLines w:val="0"/>
        <w:pageBreakBefore w:val="0"/>
        <w:widowControl w:val="0"/>
        <w:spacing w:line="440" w:lineRule="exact"/>
        <w:rPr>
          <w:rFonts w:ascii="宋体" w:hAnsi="宋体"/>
          <w:bCs/>
          <w:color w:val="auto"/>
          <w:sz w:val="24"/>
          <w:highlight w:val="none"/>
        </w:rPr>
      </w:pPr>
    </w:p>
    <w:tbl>
      <w:tblPr>
        <w:tblStyle w:val="36"/>
        <w:tblW w:w="9360" w:type="dxa"/>
        <w:jc w:val="center"/>
        <w:tblLayout w:type="fixed"/>
        <w:tblCellMar>
          <w:top w:w="0" w:type="dxa"/>
          <w:left w:w="108" w:type="dxa"/>
          <w:bottom w:w="0" w:type="dxa"/>
          <w:right w:w="108" w:type="dxa"/>
        </w:tblCellMar>
      </w:tblPr>
      <w:tblGrid>
        <w:gridCol w:w="4538"/>
        <w:gridCol w:w="284"/>
        <w:gridCol w:w="4538"/>
      </w:tblGrid>
      <w:tr w14:paraId="1A49C554">
        <w:tblPrEx>
          <w:tblCellMar>
            <w:top w:w="0" w:type="dxa"/>
            <w:left w:w="108" w:type="dxa"/>
            <w:bottom w:w="0" w:type="dxa"/>
            <w:right w:w="108" w:type="dxa"/>
          </w:tblCellMar>
        </w:tblPrEx>
        <w:trPr>
          <w:trHeight w:val="283" w:hRule="atLeast"/>
          <w:jc w:val="center"/>
        </w:trPr>
        <w:tc>
          <w:tcPr>
            <w:tcW w:w="4538" w:type="dxa"/>
            <w:noWrap w:val="0"/>
            <w:vAlign w:val="top"/>
          </w:tcPr>
          <w:p w14:paraId="086D28F8">
            <w:pPr>
              <w:keepNext w:val="0"/>
              <w:keepLines w:val="0"/>
              <w:pageBreakBefore w:val="0"/>
              <w:widowControl w:val="0"/>
              <w:spacing w:line="440" w:lineRule="exact"/>
              <w:rPr>
                <w:rFonts w:ascii="宋体" w:hAnsi="宋体"/>
                <w:bCs/>
                <w:color w:val="auto"/>
                <w:sz w:val="24"/>
                <w:highlight w:val="none"/>
                <w:u w:val="single"/>
              </w:rPr>
            </w:pPr>
            <w:r>
              <w:rPr>
                <w:rFonts w:hint="eastAsia" w:ascii="宋体" w:hAnsi="宋体"/>
                <w:bCs/>
                <w:color w:val="auto"/>
                <w:sz w:val="24"/>
                <w:highlight w:val="none"/>
              </w:rPr>
              <w:t>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c>
          <w:tcPr>
            <w:tcW w:w="284" w:type="dxa"/>
            <w:noWrap w:val="0"/>
            <w:vAlign w:val="top"/>
          </w:tcPr>
          <w:p w14:paraId="7DC6D23D">
            <w:pPr>
              <w:keepNext w:val="0"/>
              <w:keepLines w:val="0"/>
              <w:pageBreakBefore w:val="0"/>
              <w:widowControl w:val="0"/>
              <w:spacing w:line="440" w:lineRule="exact"/>
              <w:rPr>
                <w:rFonts w:ascii="宋体" w:hAnsi="宋体"/>
                <w:color w:val="auto"/>
                <w:sz w:val="24"/>
                <w:highlight w:val="none"/>
              </w:rPr>
            </w:pPr>
          </w:p>
        </w:tc>
        <w:tc>
          <w:tcPr>
            <w:tcW w:w="4538" w:type="dxa"/>
            <w:noWrap w:val="0"/>
            <w:vAlign w:val="top"/>
          </w:tcPr>
          <w:p w14:paraId="1130C2DA">
            <w:pPr>
              <w:keepNext w:val="0"/>
              <w:keepLines w:val="0"/>
              <w:pageBreakBefore w:val="0"/>
              <w:widowControl w:val="0"/>
              <w:spacing w:line="440" w:lineRule="exact"/>
              <w:rPr>
                <w:rFonts w:ascii="宋体" w:hAnsi="宋体"/>
                <w:color w:val="auto"/>
                <w:sz w:val="24"/>
                <w:highlight w:val="none"/>
              </w:rPr>
            </w:pPr>
            <w:r>
              <w:rPr>
                <w:rFonts w:hint="eastAsia" w:ascii="宋体" w:hAnsi="宋体"/>
                <w:bCs/>
                <w:color w:val="auto"/>
                <w:sz w:val="24"/>
                <w:highlight w:val="none"/>
              </w:rPr>
              <w:t>乙方（中标单位）：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（盖章）</w:t>
            </w:r>
          </w:p>
        </w:tc>
      </w:tr>
      <w:tr w14:paraId="3B69E3DF">
        <w:tblPrEx>
          <w:tblCellMar>
            <w:top w:w="0" w:type="dxa"/>
            <w:left w:w="108" w:type="dxa"/>
            <w:bottom w:w="0" w:type="dxa"/>
            <w:right w:w="108" w:type="dxa"/>
          </w:tblCellMar>
        </w:tblPrEx>
        <w:trPr>
          <w:trHeight w:val="283" w:hRule="atLeast"/>
          <w:jc w:val="center"/>
        </w:trPr>
        <w:tc>
          <w:tcPr>
            <w:tcW w:w="4538" w:type="dxa"/>
            <w:noWrap w:val="0"/>
            <w:vAlign w:val="top"/>
          </w:tcPr>
          <w:p w14:paraId="344C49DC">
            <w:pPr>
              <w:keepNext w:val="0"/>
              <w:keepLines w:val="0"/>
              <w:pageBreakBefore w:val="0"/>
              <w:widowControl w:val="0"/>
              <w:spacing w:line="440" w:lineRule="exact"/>
              <w:rPr>
                <w:rFonts w:hint="eastAsia" w:ascii="宋体" w:hAnsi="宋体" w:eastAsia="宋体"/>
                <w:color w:val="auto"/>
                <w:sz w:val="24"/>
                <w:highlight w:val="none"/>
                <w:lang w:eastAsia="zh-CN"/>
              </w:rPr>
            </w:pPr>
            <w:r>
              <w:rPr>
                <w:rFonts w:hint="eastAsia" w:ascii="宋体" w:hAnsi="宋体"/>
                <w:bCs/>
                <w:color w:val="auto"/>
                <w:sz w:val="24"/>
                <w:highlight w:val="none"/>
              </w:rPr>
              <w:t>地址：</w:t>
            </w:r>
            <w:r>
              <w:rPr>
                <w:rFonts w:hint="eastAsia" w:ascii="宋体" w:hAnsi="宋体"/>
                <w:bCs/>
                <w:color w:val="auto"/>
                <w:sz w:val="24"/>
                <w:highlight w:val="none"/>
                <w:u w:val="single"/>
                <w:lang w:eastAsia="zh-CN"/>
              </w:rPr>
              <w:t xml:space="preserve">               </w:t>
            </w:r>
          </w:p>
        </w:tc>
        <w:tc>
          <w:tcPr>
            <w:tcW w:w="284" w:type="dxa"/>
            <w:noWrap w:val="0"/>
            <w:vAlign w:val="top"/>
          </w:tcPr>
          <w:p w14:paraId="4EBFD292">
            <w:pPr>
              <w:keepNext w:val="0"/>
              <w:keepLines w:val="0"/>
              <w:pageBreakBefore w:val="0"/>
              <w:widowControl w:val="0"/>
              <w:spacing w:line="440" w:lineRule="exact"/>
              <w:rPr>
                <w:rFonts w:ascii="宋体" w:hAnsi="宋体"/>
                <w:color w:val="auto"/>
                <w:sz w:val="24"/>
                <w:highlight w:val="none"/>
              </w:rPr>
            </w:pPr>
          </w:p>
        </w:tc>
        <w:tc>
          <w:tcPr>
            <w:tcW w:w="4538" w:type="dxa"/>
            <w:noWrap w:val="0"/>
            <w:vAlign w:val="top"/>
          </w:tcPr>
          <w:p w14:paraId="7B44181A">
            <w:pPr>
              <w:keepNext w:val="0"/>
              <w:keepLines w:val="0"/>
              <w:pageBreakBefore w:val="0"/>
              <w:widowControl w:val="0"/>
              <w:spacing w:line="440" w:lineRule="exact"/>
              <w:rPr>
                <w:rFonts w:hint="eastAsia" w:ascii="宋体" w:hAnsi="宋体" w:eastAsia="宋体"/>
                <w:color w:val="auto"/>
                <w:sz w:val="24"/>
                <w:highlight w:val="none"/>
                <w:lang w:eastAsia="zh-CN"/>
              </w:rPr>
            </w:pPr>
            <w:r>
              <w:rPr>
                <w:rFonts w:hint="eastAsia" w:ascii="宋体" w:hAnsi="宋体"/>
                <w:bCs/>
                <w:color w:val="auto"/>
                <w:sz w:val="24"/>
                <w:highlight w:val="none"/>
              </w:rPr>
              <w:t>地址：</w:t>
            </w:r>
            <w:r>
              <w:rPr>
                <w:rFonts w:hint="eastAsia" w:ascii="宋体" w:hAnsi="宋体"/>
                <w:bCs/>
                <w:color w:val="auto"/>
                <w:sz w:val="24"/>
                <w:highlight w:val="none"/>
                <w:u w:val="single"/>
                <w:lang w:eastAsia="zh-CN"/>
              </w:rPr>
              <w:t xml:space="preserve">               </w:t>
            </w:r>
          </w:p>
        </w:tc>
      </w:tr>
      <w:tr w14:paraId="40FC5C46">
        <w:tblPrEx>
          <w:tblCellMar>
            <w:top w:w="0" w:type="dxa"/>
            <w:left w:w="108" w:type="dxa"/>
            <w:bottom w:w="0" w:type="dxa"/>
            <w:right w:w="108" w:type="dxa"/>
          </w:tblCellMar>
        </w:tblPrEx>
        <w:trPr>
          <w:trHeight w:val="283" w:hRule="atLeast"/>
          <w:jc w:val="center"/>
        </w:trPr>
        <w:tc>
          <w:tcPr>
            <w:tcW w:w="4538" w:type="dxa"/>
            <w:noWrap w:val="0"/>
            <w:vAlign w:val="top"/>
          </w:tcPr>
          <w:p w14:paraId="42A72223">
            <w:pPr>
              <w:keepNext w:val="0"/>
              <w:keepLines w:val="0"/>
              <w:pageBreakBefore w:val="0"/>
              <w:widowControl w:val="0"/>
              <w:spacing w:line="440" w:lineRule="exact"/>
              <w:rPr>
                <w:rFonts w:ascii="宋体" w:hAnsi="宋体"/>
                <w:color w:val="auto"/>
                <w:sz w:val="24"/>
                <w:highlight w:val="none"/>
              </w:rPr>
            </w:pPr>
            <w:r>
              <w:rPr>
                <w:rFonts w:hint="eastAsia" w:ascii="宋体" w:hAnsi="宋体"/>
                <w:bCs/>
                <w:color w:val="auto"/>
                <w:sz w:val="24"/>
                <w:highlight w:val="none"/>
              </w:rPr>
              <w:t>法定（授权）代表人：</w:t>
            </w:r>
          </w:p>
        </w:tc>
        <w:tc>
          <w:tcPr>
            <w:tcW w:w="284" w:type="dxa"/>
            <w:noWrap w:val="0"/>
            <w:vAlign w:val="top"/>
          </w:tcPr>
          <w:p w14:paraId="5A636F99">
            <w:pPr>
              <w:keepNext w:val="0"/>
              <w:keepLines w:val="0"/>
              <w:pageBreakBefore w:val="0"/>
              <w:widowControl w:val="0"/>
              <w:spacing w:line="440" w:lineRule="exact"/>
              <w:rPr>
                <w:rFonts w:ascii="宋体" w:hAnsi="宋体"/>
                <w:color w:val="auto"/>
                <w:sz w:val="24"/>
                <w:highlight w:val="none"/>
              </w:rPr>
            </w:pPr>
          </w:p>
        </w:tc>
        <w:tc>
          <w:tcPr>
            <w:tcW w:w="4538" w:type="dxa"/>
            <w:noWrap w:val="0"/>
            <w:vAlign w:val="top"/>
          </w:tcPr>
          <w:p w14:paraId="05841FC2">
            <w:pPr>
              <w:keepNext w:val="0"/>
              <w:keepLines w:val="0"/>
              <w:pageBreakBefore w:val="0"/>
              <w:widowControl w:val="0"/>
              <w:spacing w:line="440" w:lineRule="exact"/>
              <w:rPr>
                <w:rFonts w:ascii="宋体" w:hAnsi="宋体"/>
                <w:color w:val="auto"/>
                <w:sz w:val="24"/>
                <w:highlight w:val="none"/>
              </w:rPr>
            </w:pPr>
            <w:r>
              <w:rPr>
                <w:rFonts w:hint="eastAsia" w:ascii="宋体" w:hAnsi="宋体"/>
                <w:bCs/>
                <w:color w:val="auto"/>
                <w:sz w:val="24"/>
                <w:highlight w:val="none"/>
              </w:rPr>
              <w:t>法定（授权）代表人：</w:t>
            </w:r>
          </w:p>
        </w:tc>
      </w:tr>
      <w:tr w14:paraId="6200B93B">
        <w:tblPrEx>
          <w:tblCellMar>
            <w:top w:w="0" w:type="dxa"/>
            <w:left w:w="108" w:type="dxa"/>
            <w:bottom w:w="0" w:type="dxa"/>
            <w:right w:w="108" w:type="dxa"/>
          </w:tblCellMar>
        </w:tblPrEx>
        <w:trPr>
          <w:trHeight w:val="283" w:hRule="atLeast"/>
          <w:jc w:val="center"/>
        </w:trPr>
        <w:tc>
          <w:tcPr>
            <w:tcW w:w="4538" w:type="dxa"/>
            <w:noWrap w:val="0"/>
            <w:vAlign w:val="top"/>
          </w:tcPr>
          <w:p w14:paraId="5488F3FA">
            <w:pPr>
              <w:keepNext w:val="0"/>
              <w:keepLines w:val="0"/>
              <w:pageBreakBefore w:val="0"/>
              <w:widowControl w:val="0"/>
              <w:spacing w:line="440" w:lineRule="exact"/>
              <w:jc w:val="right"/>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日</w:t>
            </w:r>
          </w:p>
        </w:tc>
        <w:tc>
          <w:tcPr>
            <w:tcW w:w="284" w:type="dxa"/>
            <w:noWrap w:val="0"/>
            <w:vAlign w:val="top"/>
          </w:tcPr>
          <w:p w14:paraId="149C44BE">
            <w:pPr>
              <w:keepNext w:val="0"/>
              <w:keepLines w:val="0"/>
              <w:pageBreakBefore w:val="0"/>
              <w:widowControl w:val="0"/>
              <w:spacing w:line="440" w:lineRule="exact"/>
              <w:rPr>
                <w:rFonts w:ascii="宋体" w:hAnsi="宋体"/>
                <w:color w:val="auto"/>
                <w:sz w:val="24"/>
                <w:highlight w:val="none"/>
              </w:rPr>
            </w:pPr>
          </w:p>
        </w:tc>
        <w:tc>
          <w:tcPr>
            <w:tcW w:w="4538" w:type="dxa"/>
            <w:noWrap w:val="0"/>
            <w:vAlign w:val="top"/>
          </w:tcPr>
          <w:p w14:paraId="29B7FFA3">
            <w:pPr>
              <w:keepNext w:val="0"/>
              <w:keepLines w:val="0"/>
              <w:pageBreakBefore w:val="0"/>
              <w:widowControl w:val="0"/>
              <w:spacing w:line="440" w:lineRule="exact"/>
              <w:jc w:val="right"/>
              <w:rPr>
                <w:rFonts w:ascii="宋体" w:hAnsi="宋体"/>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日</w:t>
            </w:r>
          </w:p>
        </w:tc>
      </w:tr>
      <w:tr w14:paraId="2CC7C95E">
        <w:tblPrEx>
          <w:tblCellMar>
            <w:top w:w="0" w:type="dxa"/>
            <w:left w:w="108" w:type="dxa"/>
            <w:bottom w:w="0" w:type="dxa"/>
            <w:right w:w="108" w:type="dxa"/>
          </w:tblCellMar>
        </w:tblPrEx>
        <w:trPr>
          <w:trHeight w:val="283" w:hRule="atLeast"/>
          <w:jc w:val="center"/>
        </w:trPr>
        <w:tc>
          <w:tcPr>
            <w:tcW w:w="4538" w:type="dxa"/>
            <w:noWrap w:val="0"/>
            <w:vAlign w:val="top"/>
          </w:tcPr>
          <w:p w14:paraId="0FAE6A4C">
            <w:pPr>
              <w:keepNext w:val="0"/>
              <w:keepLines w:val="0"/>
              <w:pageBreakBefore w:val="0"/>
              <w:widowControl w:val="0"/>
              <w:spacing w:line="440" w:lineRule="exact"/>
              <w:rPr>
                <w:rFonts w:ascii="宋体" w:hAnsi="宋体"/>
                <w:bCs/>
                <w:color w:val="auto"/>
                <w:sz w:val="24"/>
                <w:highlight w:val="none"/>
              </w:rPr>
            </w:pPr>
            <w:r>
              <w:rPr>
                <w:rFonts w:hint="eastAsia" w:ascii="宋体" w:hAnsi="宋体"/>
                <w:bCs/>
                <w:color w:val="auto"/>
                <w:sz w:val="24"/>
                <w:highlight w:val="none"/>
              </w:rPr>
              <w:t>见证方：（盖章）</w:t>
            </w:r>
          </w:p>
        </w:tc>
        <w:tc>
          <w:tcPr>
            <w:tcW w:w="284" w:type="dxa"/>
            <w:noWrap w:val="0"/>
            <w:vAlign w:val="top"/>
          </w:tcPr>
          <w:p w14:paraId="6CF62DB4">
            <w:pPr>
              <w:keepNext w:val="0"/>
              <w:keepLines w:val="0"/>
              <w:pageBreakBefore w:val="0"/>
              <w:widowControl w:val="0"/>
              <w:spacing w:line="440" w:lineRule="exact"/>
              <w:rPr>
                <w:rFonts w:ascii="宋体" w:hAnsi="宋体"/>
                <w:color w:val="auto"/>
                <w:sz w:val="24"/>
                <w:highlight w:val="none"/>
              </w:rPr>
            </w:pPr>
          </w:p>
        </w:tc>
        <w:tc>
          <w:tcPr>
            <w:tcW w:w="4538" w:type="dxa"/>
            <w:noWrap w:val="0"/>
            <w:vAlign w:val="top"/>
          </w:tcPr>
          <w:p w14:paraId="19F6F83C">
            <w:pPr>
              <w:keepNext w:val="0"/>
              <w:keepLines w:val="0"/>
              <w:pageBreakBefore w:val="0"/>
              <w:widowControl w:val="0"/>
              <w:spacing w:line="440" w:lineRule="exact"/>
              <w:rPr>
                <w:rFonts w:ascii="宋体" w:hAnsi="宋体"/>
                <w:color w:val="auto"/>
                <w:sz w:val="24"/>
                <w:highlight w:val="none"/>
              </w:rPr>
            </w:pPr>
          </w:p>
        </w:tc>
      </w:tr>
      <w:tr w14:paraId="70E28FB3">
        <w:tblPrEx>
          <w:tblCellMar>
            <w:top w:w="0" w:type="dxa"/>
            <w:left w:w="108" w:type="dxa"/>
            <w:bottom w:w="0" w:type="dxa"/>
            <w:right w:w="108" w:type="dxa"/>
          </w:tblCellMar>
        </w:tblPrEx>
        <w:trPr>
          <w:trHeight w:val="283" w:hRule="atLeast"/>
          <w:jc w:val="center"/>
        </w:trPr>
        <w:tc>
          <w:tcPr>
            <w:tcW w:w="4538" w:type="dxa"/>
            <w:noWrap w:val="0"/>
            <w:vAlign w:val="top"/>
          </w:tcPr>
          <w:p w14:paraId="42661994">
            <w:pPr>
              <w:keepNext w:val="0"/>
              <w:keepLines w:val="0"/>
              <w:pageBreakBefore w:val="0"/>
              <w:widowControl w:val="0"/>
              <w:spacing w:line="440" w:lineRule="exact"/>
              <w:jc w:val="right"/>
              <w:rPr>
                <w:rFonts w:ascii="宋体" w:hAnsi="宋体"/>
                <w:bCs/>
                <w:color w:val="auto"/>
                <w:sz w:val="24"/>
                <w:highlight w:val="none"/>
              </w:rPr>
            </w:pP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年</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月</w:t>
            </w:r>
            <w:r>
              <w:rPr>
                <w:rFonts w:hint="eastAsia" w:ascii="宋体" w:hAnsi="宋体"/>
                <w:bCs/>
                <w:color w:val="auto"/>
                <w:sz w:val="24"/>
                <w:highlight w:val="none"/>
                <w:u w:val="single"/>
                <w:lang w:eastAsia="zh-CN"/>
              </w:rPr>
              <w:t xml:space="preserve">   </w:t>
            </w:r>
            <w:r>
              <w:rPr>
                <w:rFonts w:hint="eastAsia" w:ascii="宋体" w:hAnsi="宋体"/>
                <w:bCs/>
                <w:color w:val="auto"/>
                <w:sz w:val="24"/>
                <w:highlight w:val="none"/>
              </w:rPr>
              <w:t>日</w:t>
            </w:r>
          </w:p>
        </w:tc>
        <w:tc>
          <w:tcPr>
            <w:tcW w:w="284" w:type="dxa"/>
            <w:noWrap w:val="0"/>
            <w:vAlign w:val="top"/>
          </w:tcPr>
          <w:p w14:paraId="5695DB19">
            <w:pPr>
              <w:keepNext w:val="0"/>
              <w:keepLines w:val="0"/>
              <w:pageBreakBefore w:val="0"/>
              <w:widowControl w:val="0"/>
              <w:spacing w:line="440" w:lineRule="exact"/>
              <w:rPr>
                <w:rFonts w:ascii="宋体" w:hAnsi="宋体"/>
                <w:color w:val="auto"/>
                <w:sz w:val="24"/>
                <w:highlight w:val="none"/>
              </w:rPr>
            </w:pPr>
          </w:p>
        </w:tc>
        <w:tc>
          <w:tcPr>
            <w:tcW w:w="4538" w:type="dxa"/>
            <w:noWrap w:val="0"/>
            <w:vAlign w:val="top"/>
          </w:tcPr>
          <w:p w14:paraId="4AC20F30">
            <w:pPr>
              <w:keepNext w:val="0"/>
              <w:keepLines w:val="0"/>
              <w:pageBreakBefore w:val="0"/>
              <w:widowControl w:val="0"/>
              <w:spacing w:line="440" w:lineRule="exact"/>
              <w:rPr>
                <w:rFonts w:ascii="宋体" w:hAnsi="宋体"/>
                <w:color w:val="auto"/>
                <w:sz w:val="24"/>
                <w:highlight w:val="none"/>
              </w:rPr>
            </w:pPr>
          </w:p>
        </w:tc>
      </w:tr>
    </w:tbl>
    <w:p w14:paraId="4506D5D7">
      <w:pPr>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br w:type="page"/>
      </w:r>
    </w:p>
    <w:p w14:paraId="24B5805A">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黑体" w:hAnsi="黑体" w:eastAsia="黑体" w:cs="黑体"/>
          <w:color w:val="auto"/>
          <w:sz w:val="30"/>
          <w:szCs w:val="30"/>
          <w:highlight w:val="none"/>
        </w:rPr>
      </w:pPr>
      <w:bookmarkStart w:id="11" w:name="_Toc3307"/>
      <w:r>
        <w:rPr>
          <w:rFonts w:hint="eastAsia" w:ascii="黑体" w:hAnsi="黑体" w:eastAsia="黑体" w:cs="黑体"/>
          <w:color w:val="auto"/>
          <w:sz w:val="30"/>
          <w:szCs w:val="30"/>
          <w:highlight w:val="none"/>
        </w:rPr>
        <w:t>五</w:t>
      </w:r>
      <w:r>
        <w:rPr>
          <w:rFonts w:hint="eastAsia" w:ascii="黑体" w:hAnsi="黑体" w:eastAsia="黑体" w:cs="黑体"/>
          <w:color w:val="auto"/>
          <w:sz w:val="30"/>
          <w:szCs w:val="30"/>
          <w:highlight w:val="none"/>
          <w:lang w:val="en-US" w:eastAsia="zh-CN"/>
        </w:rPr>
        <w:t>.</w:t>
      </w:r>
      <w:r>
        <w:rPr>
          <w:rFonts w:hint="eastAsia" w:ascii="黑体" w:hAnsi="黑体" w:eastAsia="黑体" w:cs="黑体"/>
          <w:color w:val="auto"/>
          <w:sz w:val="30"/>
          <w:szCs w:val="30"/>
          <w:highlight w:val="none"/>
        </w:rPr>
        <w:t>合同条款（格式）</w:t>
      </w:r>
      <w:bookmarkEnd w:id="10"/>
      <w:bookmarkEnd w:id="11"/>
    </w:p>
    <w:p w14:paraId="3697B55E">
      <w:pPr>
        <w:keepNext w:val="0"/>
        <w:keepLines w:val="0"/>
        <w:pageBreakBefore w:val="0"/>
        <w:widowControl w:val="0"/>
        <w:spacing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（根据相关法律规定以及采购文件确定事项订立）</w:t>
      </w:r>
    </w:p>
    <w:p w14:paraId="2515D351">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b/>
          <w:color w:val="auto"/>
          <w:sz w:val="24"/>
          <w:szCs w:val="24"/>
          <w:highlight w:val="none"/>
          <w:u w:val="single"/>
          <w:lang w:eastAsia="zh-CN"/>
        </w:rPr>
        <w:t>特种设备安全、食品安全委托协作管理项目</w:t>
      </w:r>
      <w:r>
        <w:rPr>
          <w:rFonts w:hint="eastAsia"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r>
        <w:rPr>
          <w:rFonts w:hint="eastAsia"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结果和</w:t>
      </w:r>
      <w:r>
        <w:rPr>
          <w:rFonts w:hint="eastAsia"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通知书，甲、乙双方就</w:t>
      </w:r>
      <w:r>
        <w:rPr>
          <w:rFonts w:hint="eastAsia" w:hAnsi="宋体" w:eastAsia="宋体" w:cs="宋体"/>
          <w:color w:val="auto"/>
          <w:sz w:val="24"/>
          <w:szCs w:val="24"/>
          <w:highlight w:val="none"/>
          <w:lang w:eastAsia="zh-CN"/>
        </w:rPr>
        <w:t>特种设备安全、食品安全委托协作管理项目</w:t>
      </w:r>
      <w:r>
        <w:rPr>
          <w:rFonts w:hint="eastAsia" w:ascii="宋体" w:hAnsi="宋体" w:eastAsia="宋体" w:cs="宋体"/>
          <w:color w:val="auto"/>
          <w:sz w:val="24"/>
          <w:szCs w:val="24"/>
          <w:highlight w:val="none"/>
        </w:rPr>
        <w:t>的采购事宜，签订本协议。</w:t>
      </w:r>
    </w:p>
    <w:p w14:paraId="68B7088C">
      <w:pPr>
        <w:pStyle w:val="18"/>
        <w:keepNext w:val="0"/>
        <w:keepLines w:val="0"/>
        <w:pageBreakBefore w:val="0"/>
        <w:spacing w:line="360" w:lineRule="auto"/>
        <w:ind w:left="0" w:right="0"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一、乙方通过招投标获得</w:t>
      </w:r>
      <w:r>
        <w:rPr>
          <w:rFonts w:hint="eastAsia" w:hAnsi="宋体" w:eastAsia="宋体" w:cs="宋体"/>
          <w:color w:val="auto"/>
          <w:sz w:val="24"/>
          <w:szCs w:val="24"/>
          <w:highlight w:val="none"/>
          <w:u w:val="single"/>
          <w:lang w:eastAsia="zh-CN"/>
        </w:rPr>
        <w:t>特种设备安全、食品安全委托协作管理项目</w:t>
      </w:r>
      <w:r>
        <w:rPr>
          <w:rFonts w:hint="eastAsia" w:ascii="宋体" w:hAnsi="宋体" w:eastAsia="宋体" w:cs="宋体"/>
          <w:bCs/>
          <w:color w:val="auto"/>
          <w:sz w:val="24"/>
          <w:szCs w:val="24"/>
          <w:highlight w:val="none"/>
        </w:rPr>
        <w:t>服务资格。</w:t>
      </w:r>
    </w:p>
    <w:p w14:paraId="0D244E31">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二、协议有效期为：</w:t>
      </w:r>
      <w:r>
        <w:rPr>
          <w:rFonts w:hint="eastAsia" w:ascii="宋体" w:hAnsi="宋体" w:eastAsia="宋体" w:cs="宋体"/>
          <w:color w:val="auto"/>
          <w:sz w:val="24"/>
          <w:szCs w:val="24"/>
          <w:highlight w:val="none"/>
          <w:u w:val="single"/>
        </w:rPr>
        <w:t xml:space="preserve">                </w:t>
      </w:r>
    </w:p>
    <w:p w14:paraId="1EEB72F0">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三、业务费支付：</w:t>
      </w:r>
    </w:p>
    <w:p w14:paraId="2763476D">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服务费每三个月凭考核结果结算一次，于次季度首月5日前将上季度发票送交甲方，甲方在收到发票后30天内将上季度服务费扣除考核罚款费用后汇入乙方指定银行账户。</w:t>
      </w:r>
    </w:p>
    <w:p w14:paraId="62F58104">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w:t>
      </w:r>
    </w:p>
    <w:p w14:paraId="01CFA3D1">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（1）供应商必须在应付价款的使用时，保证支付人员工资，招标人有监督的权利。如实际供应商未及时支付人员工资，招标人有权直接从应付价款中扣除该费用，用于直接支付人员工资。</w:t>
      </w:r>
    </w:p>
    <w:p w14:paraId="0A997D9C">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（2）服务区域范围发生变动，需经招标人同意，应付价款由双方协商后确定。</w:t>
      </w:r>
    </w:p>
    <w:p w14:paraId="016736C7">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四、下列文件应视为构成并作为阅读和理解本协议的组成部分，即：</w:t>
      </w:r>
    </w:p>
    <w:p w14:paraId="5E416EA0">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本协议书；</w:t>
      </w:r>
    </w:p>
    <w:p w14:paraId="28FE3C24">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w:t>
      </w:r>
    </w:p>
    <w:p w14:paraId="617B7241">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3.</w:t>
      </w:r>
      <w:r>
        <w:rPr>
          <w:rFonts w:hint="eastAsia"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文件及其附件（含投标</w:t>
      </w:r>
      <w:r>
        <w:rPr>
          <w:rFonts w:hint="eastAsia"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在评标期间递交和确认并经招标人同意的对有关问题的补充资料和澄清文件等）；</w:t>
      </w:r>
    </w:p>
    <w:p w14:paraId="21BD6C8D">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4.</w:t>
      </w:r>
      <w:r>
        <w:rPr>
          <w:rFonts w:hint="eastAsia"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通知书。</w:t>
      </w:r>
    </w:p>
    <w:p w14:paraId="1CBA787D">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五、违约责任</w:t>
      </w:r>
    </w:p>
    <w:p w14:paraId="7DDA52B1">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当事人一方如不履行本合同义务或履行本合同义务不符合约定而给对方造成损失的，应对损失进行赔偿（包括各种因之产生的费用、开支、额外责任，以及合同履行后所可以获得的直接利益）；但遭受损失方必须提供相关损失的证明，且不得超过违约方订立合同时预见到或应当预见到的因违约行为所可能造成的损失。</w:t>
      </w:r>
    </w:p>
    <w:p w14:paraId="2C17EF0B">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2.甲方对乙方承诺的服务质量执行情况进行监督检查，累计一次违反规定的，甲方向乙方发出书面警告并责令限期整改。累计二次违反规定的，甲方有权解除合同并取消乙方的服务单位资格。</w:t>
      </w:r>
    </w:p>
    <w:p w14:paraId="47BB99FF">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3.乙方如有下列违约行为之一的，甲方有权立即解除合同，取消乙方的服务单位资格：</w:t>
      </w:r>
    </w:p>
    <w:p w14:paraId="1CEFCF77">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（1）乙方办公场所不符合招标相关要求或未实际开展办公活动；</w:t>
      </w:r>
    </w:p>
    <w:p w14:paraId="4869D742">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（2）项目组成员同时受聘于两家技术服务机构或以其他单位名义编制和出具评价报告等技术文件；</w:t>
      </w:r>
    </w:p>
    <w:p w14:paraId="402304C2">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（3）合同期内项目组成员变动未提前书面告知甲方并取得甲方同意；</w:t>
      </w:r>
    </w:p>
    <w:p w14:paraId="453F501F">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（4）遭服务企业对其提供的服务提出投诉5次以上，经甲方核查属有效投诉；</w:t>
      </w:r>
    </w:p>
    <w:p w14:paraId="7F52777F">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（5）乙方在合同执行期间被安监系统通报有不良行为记录的；</w:t>
      </w:r>
    </w:p>
    <w:p w14:paraId="6B659123">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（6）其他违约情形。</w:t>
      </w:r>
    </w:p>
    <w:p w14:paraId="12A22296">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4.乙方有下列情况之一时，甲方有权调整乙方的工作内容或者解除本合同：</w:t>
      </w:r>
    </w:p>
    <w:p w14:paraId="235922F4">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（1）乙方在招投标过程中所提供的材料不客观真实；</w:t>
      </w:r>
    </w:p>
    <w:p w14:paraId="2D37B43C">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（2）乙方在中标前有被安监系统通报有不良行为记录的；</w:t>
      </w:r>
    </w:p>
    <w:p w14:paraId="08A2818E">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（3）乙方在排查中走过场，弄虚作假，隐瞒真实情况；或帮助企业隐瞒重大事故隐患并造成严重后果；</w:t>
      </w:r>
    </w:p>
    <w:p w14:paraId="7A6EE9FC">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（4）不严格执行各级关于对技术服务机构的管理规定，不主动接受甲方的监督、检查和指导，不配合区镇两级监督部门及其工作人员依法实施的监督检查；</w:t>
      </w:r>
    </w:p>
    <w:p w14:paraId="74DF32B4">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（5）以服务为名，向服务企业收取财物或者其他好处的；</w:t>
      </w:r>
    </w:p>
    <w:p w14:paraId="6B8A8705">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（6）在服务企业过程中向相关企业推销产品和服务或以政府及乙方名义强迫企业接受相关产品和服务；</w:t>
      </w:r>
    </w:p>
    <w:p w14:paraId="4CEE5307">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（7）由非项目组成员代替项目组成员进行现场排查，由项目组成员在相关文书上签字确认；</w:t>
      </w:r>
    </w:p>
    <w:p w14:paraId="7FAC37F4">
      <w:pPr>
        <w:pStyle w:val="12"/>
        <w:keepNext w:val="0"/>
        <w:keepLines w:val="0"/>
        <w:pageBreakBefore w:val="0"/>
        <w:spacing w:line="360" w:lineRule="auto"/>
        <w:ind w:left="0" w:right="0" w:firstLine="480"/>
        <w:jc w:val="lef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（8）乙方连续两个月未能向甲方提供排查工作活动视频、照片资料。</w:t>
      </w:r>
    </w:p>
    <w:p w14:paraId="3C8BBDC5">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5.因乙方原因导致合同解除或终止，或者乙方经考核不合格且整改后再行考核仍不合格，乙方应承担由此造成的一切损失。详细评分标准见“考核标准”。</w:t>
      </w:r>
    </w:p>
    <w:p w14:paraId="0E01F6E6">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六、不可抗力</w:t>
      </w:r>
    </w:p>
    <w:p w14:paraId="546B5E1C">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甲、乙双方如果因不可抗力而导致协议义务的延误或不能履行，不承担误期赔偿或终止协议的责任。</w:t>
      </w:r>
    </w:p>
    <w:p w14:paraId="61421611">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本条所述的“不可抗力”系指下列甲、乙双方无法控制、不可预见的事件，但不包括甲、乙双方的违约或疏忽。这些事件包括：战争、严重火灾、洪水、台风、地震以及其他甲、乙双方商定的事件。</w:t>
      </w:r>
    </w:p>
    <w:p w14:paraId="6073B60F">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的协议。</w:t>
      </w:r>
    </w:p>
    <w:p w14:paraId="604FC5F8">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七、协议的解除：</w:t>
      </w:r>
    </w:p>
    <w:p w14:paraId="7D111B08">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甲、乙双方协商一致，可以解除协议。</w:t>
      </w:r>
    </w:p>
    <w:p w14:paraId="7141B717">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解除协议的一方，应当在对方违约事实或不可抗力发生之后三十天内书面通知对方提出解除协议，协议在书面通知到达对方时解除。</w:t>
      </w:r>
    </w:p>
    <w:p w14:paraId="27758D1D">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协议的部分和全部都不得擅自转让。</w:t>
      </w:r>
    </w:p>
    <w:p w14:paraId="7CF39EE9">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当乙方出现下列情况之一，甲方可以</w:t>
      </w:r>
      <w:r>
        <w:rPr>
          <w:rFonts w:hint="eastAsia" w:ascii="宋体" w:hAnsi="宋体" w:eastAsia="宋体" w:cs="宋体"/>
          <w:color w:val="auto"/>
          <w:sz w:val="24"/>
          <w:szCs w:val="24"/>
          <w:highlight w:val="none"/>
          <w:lang w:val="en-US" w:eastAsia="zh-CN"/>
        </w:rPr>
        <w:t>单方</w:t>
      </w:r>
      <w:r>
        <w:rPr>
          <w:rFonts w:hint="eastAsia" w:ascii="宋体" w:hAnsi="宋体" w:eastAsia="宋体" w:cs="宋体"/>
          <w:color w:val="auto"/>
          <w:sz w:val="24"/>
          <w:szCs w:val="24"/>
          <w:highlight w:val="none"/>
        </w:rPr>
        <w:t>解除协议</w:t>
      </w:r>
      <w:r>
        <w:rPr>
          <w:rFonts w:hint="eastAsia" w:ascii="宋体" w:hAnsi="宋体" w:eastAsia="宋体" w:cs="宋体"/>
          <w:color w:val="auto"/>
          <w:sz w:val="24"/>
          <w:szCs w:val="24"/>
          <w:highlight w:val="none"/>
          <w:lang w:val="en-US" w:eastAsia="zh-CN"/>
        </w:rPr>
        <w:t>而不承担任何责任</w:t>
      </w:r>
      <w:r>
        <w:rPr>
          <w:rFonts w:hint="eastAsia" w:ascii="宋体" w:hAnsi="宋体" w:eastAsia="宋体" w:cs="宋体"/>
          <w:color w:val="auto"/>
          <w:sz w:val="24"/>
          <w:szCs w:val="24"/>
          <w:highlight w:val="none"/>
        </w:rPr>
        <w:t>：</w:t>
      </w:r>
    </w:p>
    <w:p w14:paraId="2259B707">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在协议有效期内，被行业主管部门警告或取消经营资格的；</w:t>
      </w:r>
    </w:p>
    <w:p w14:paraId="16C6AE56">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）在协议有效期内，乙方擅自变更、转让、租借定点资格的；</w:t>
      </w:r>
    </w:p>
    <w:p w14:paraId="7C7CEFE2">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）未如实反映情况，提供虚假材料的；</w:t>
      </w:r>
    </w:p>
    <w:p w14:paraId="341268F4">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）未按承诺的价格提供服务的；</w:t>
      </w:r>
    </w:p>
    <w:p w14:paraId="2C38EE19">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）报告作假一次的；</w:t>
      </w:r>
    </w:p>
    <w:p w14:paraId="2B626BBC">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）有行为作风问题，行贿一次的。</w:t>
      </w:r>
    </w:p>
    <w:p w14:paraId="7733617C">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八、争议处置</w:t>
      </w:r>
    </w:p>
    <w:p w14:paraId="3DF087B4">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在执行本协议中所发生的一切争议，甲、乙双方应通过友好协商的方式进行解决，如协商不能解决的，有关当事方可提请</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所在地人民法院按司法程序解决。各方因解决争议所产生的各项费用（包括但不限于：诉讼费、律师费、保全保险费、公证费、鉴定费等）均由责任方承担。</w:t>
      </w:r>
    </w:p>
    <w:p w14:paraId="38A1F6DB">
      <w:pPr>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九、协议生效及其它：</w:t>
      </w:r>
    </w:p>
    <w:p w14:paraId="730798DC">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本协议经甲、乙双方签字</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盖章后方正式生效。</w:t>
      </w:r>
    </w:p>
    <w:p w14:paraId="20F29476">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协议在执行过程中出现的未尽事宜，甲、乙双方在不违背本协议的原则下协商解决，协商结果以书面形式记录在案，作为本协议附件，与本协议具有同等效力。</w:t>
      </w:r>
    </w:p>
    <w:p w14:paraId="1D6BDFF8">
      <w:pPr>
        <w:pStyle w:val="18"/>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十、本协议一式五份，甲乙双方各执两份，采购代理机构执一份。</w:t>
      </w:r>
    </w:p>
    <w:p w14:paraId="08C55544">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13FBE2A5">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p>
    <w:p w14:paraId="51607B50">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甲方代表：               职务：                 电话：</w:t>
      </w:r>
    </w:p>
    <w:p w14:paraId="5C9ED712">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r>
        <w:rPr>
          <w:rFonts w:hint="eastAsia" w:ascii="宋体" w:hAnsi="宋体" w:eastAsia="宋体" w:cs="宋体"/>
          <w:color w:val="auto"/>
          <w:sz w:val="24"/>
          <w:szCs w:val="24"/>
          <w:highlight w:val="none"/>
        </w:rPr>
        <w:tab/>
      </w:r>
    </w:p>
    <w:p w14:paraId="4547CD15">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1BF989FC">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75311ABC">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                         </w:t>
      </w:r>
    </w:p>
    <w:p w14:paraId="4747CDF1">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乙方代表：                  职务：                 电话：</w:t>
      </w:r>
    </w:p>
    <w:p w14:paraId="19DD5F45">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r>
        <w:rPr>
          <w:rFonts w:hint="eastAsia" w:ascii="宋体" w:hAnsi="宋体" w:eastAsia="宋体" w:cs="宋体"/>
          <w:color w:val="auto"/>
          <w:sz w:val="24"/>
          <w:szCs w:val="24"/>
          <w:highlight w:val="none"/>
        </w:rPr>
        <w:tab/>
      </w:r>
    </w:p>
    <w:p w14:paraId="39620759">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3D97BF21">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p>
    <w:p w14:paraId="3063EE37">
      <w:pPr>
        <w:pStyle w:val="12"/>
        <w:keepNext w:val="0"/>
        <w:keepLines w:val="0"/>
        <w:pageBreakBefore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见证方（盖章）：                         </w:t>
      </w:r>
    </w:p>
    <w:p w14:paraId="324BBD0C">
      <w:pPr>
        <w:keepNext w:val="0"/>
        <w:keepLines w:val="0"/>
        <w:pageBreakBefore w:val="0"/>
        <w:widowControl/>
        <w:spacing w:line="360" w:lineRule="auto"/>
        <w:ind w:left="0" w:right="0"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日期：      年    月    日</w:t>
      </w:r>
      <w:r>
        <w:rPr>
          <w:rFonts w:hint="eastAsia" w:ascii="宋体" w:hAnsi="宋体" w:eastAsia="宋体" w:cs="宋体"/>
          <w:color w:val="auto"/>
          <w:sz w:val="24"/>
          <w:szCs w:val="24"/>
          <w:highlight w:val="none"/>
        </w:rPr>
        <w:tab/>
      </w:r>
    </w:p>
    <w:p w14:paraId="1253DE67">
      <w:pPr>
        <w:rPr>
          <w:rFonts w:hint="eastAsia" w:ascii="宋体" w:hAnsi="宋体"/>
          <w:b/>
          <w:bCs/>
          <w:color w:val="auto"/>
          <w:sz w:val="28"/>
          <w:szCs w:val="28"/>
          <w:highlight w:val="none"/>
        </w:rPr>
      </w:pPr>
      <w:r>
        <w:rPr>
          <w:rFonts w:hint="eastAsia" w:ascii="宋体" w:hAnsi="宋体"/>
          <w:b/>
          <w:bCs/>
          <w:color w:val="auto"/>
          <w:sz w:val="28"/>
          <w:szCs w:val="28"/>
          <w:highlight w:val="none"/>
        </w:rPr>
        <w:br w:type="page" w:clear="all"/>
      </w:r>
    </w:p>
    <w:p w14:paraId="16005751">
      <w:pPr>
        <w:jc w:val="center"/>
        <w:outlineLvl w:val="0"/>
        <w:rPr>
          <w:rFonts w:ascii="黑体" w:eastAsia="黑体"/>
          <w:bCs/>
          <w:color w:val="auto"/>
          <w:sz w:val="28"/>
          <w:szCs w:val="28"/>
          <w:highlight w:val="none"/>
        </w:rPr>
      </w:pPr>
      <w:bookmarkStart w:id="12" w:name="_Toc4558"/>
      <w:bookmarkStart w:id="13" w:name="_Toc20218"/>
      <w:r>
        <w:rPr>
          <w:rFonts w:hint="eastAsia" w:ascii="黑体" w:eastAsia="黑体"/>
          <w:bCs/>
          <w:color w:val="auto"/>
          <w:sz w:val="28"/>
          <w:szCs w:val="28"/>
          <w:highlight w:val="none"/>
        </w:rPr>
        <w:t>六.附件</w:t>
      </w:r>
      <w:bookmarkEnd w:id="12"/>
      <w:bookmarkEnd w:id="13"/>
    </w:p>
    <w:p w14:paraId="178366D6">
      <w:pPr>
        <w:spacing w:line="360" w:lineRule="auto"/>
        <w:ind w:firstLine="480"/>
        <w:jc w:val="left"/>
        <w:rPr>
          <w:rFonts w:ascii="黑体" w:eastAsia="黑体"/>
          <w:bCs/>
          <w:color w:val="auto"/>
          <w:sz w:val="24"/>
          <w:szCs w:val="24"/>
          <w:highlight w:val="none"/>
        </w:rPr>
      </w:pPr>
      <w:r>
        <w:rPr>
          <w:rFonts w:hint="eastAsia" w:ascii="黑体" w:eastAsia="黑体"/>
          <w:bCs/>
          <w:color w:val="auto"/>
          <w:sz w:val="24"/>
          <w:szCs w:val="24"/>
          <w:highlight w:val="none"/>
        </w:rPr>
        <w:t>附件一：评分标准</w:t>
      </w:r>
    </w:p>
    <w:p w14:paraId="0918240F">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评分标准：</w:t>
      </w:r>
    </w:p>
    <w:p w14:paraId="612F249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（一）评分项目及分值（总分100分）</w:t>
      </w:r>
    </w:p>
    <w:p w14:paraId="478E6C86">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1.投标报价                                     30分</w:t>
      </w:r>
    </w:p>
    <w:p w14:paraId="1C18105C">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2.投标供应商评价                               </w:t>
      </w:r>
      <w:r>
        <w:rPr>
          <w:rFonts w:hint="eastAsia" w:ascii="宋体" w:hAnsi="宋体" w:cs="宋体"/>
          <w:b/>
          <w:color w:val="auto"/>
          <w:sz w:val="24"/>
          <w:highlight w:val="none"/>
          <w:lang w:val="en-US" w:eastAsia="zh-CN"/>
        </w:rPr>
        <w:t>18</w:t>
      </w:r>
      <w:r>
        <w:rPr>
          <w:rFonts w:hint="eastAsia" w:ascii="宋体" w:hAnsi="宋体" w:cs="宋体"/>
          <w:b/>
          <w:color w:val="auto"/>
          <w:sz w:val="24"/>
          <w:highlight w:val="none"/>
        </w:rPr>
        <w:t>分</w:t>
      </w:r>
    </w:p>
    <w:p w14:paraId="7E0FC24D">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 xml:space="preserve">3.技术文件                                     </w:t>
      </w:r>
      <w:r>
        <w:rPr>
          <w:rFonts w:hint="eastAsia" w:ascii="宋体" w:hAnsi="宋体" w:cs="宋体"/>
          <w:b/>
          <w:color w:val="auto"/>
          <w:sz w:val="24"/>
          <w:highlight w:val="none"/>
          <w:lang w:val="en-US" w:eastAsia="zh-CN"/>
        </w:rPr>
        <w:t>52</w:t>
      </w:r>
      <w:r>
        <w:rPr>
          <w:rFonts w:hint="eastAsia" w:ascii="宋体" w:hAnsi="宋体" w:cs="宋体"/>
          <w:b/>
          <w:color w:val="auto"/>
          <w:sz w:val="24"/>
          <w:highlight w:val="none"/>
        </w:rPr>
        <w:t>分</w:t>
      </w:r>
    </w:p>
    <w:p w14:paraId="4104912B">
      <w:pPr>
        <w:keepNext w:val="0"/>
        <w:keepLines w:val="0"/>
        <w:pageBreakBefore w:val="0"/>
        <w:widowControl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eastAsia="zh-CN"/>
        </w:rPr>
        <w:t>）</w:t>
      </w:r>
      <w:r>
        <w:rPr>
          <w:rFonts w:hint="eastAsia" w:ascii="宋体" w:hAnsi="宋体" w:cs="宋体"/>
          <w:color w:val="auto"/>
          <w:sz w:val="24"/>
          <w:highlight w:val="none"/>
        </w:rPr>
        <w:t>各项目评分标准</w:t>
      </w:r>
    </w:p>
    <w:p w14:paraId="7D5A8E75">
      <w:pPr>
        <w:keepNext w:val="0"/>
        <w:keepLines w:val="0"/>
        <w:pageBreakBefore w:val="0"/>
        <w:widowControl w:val="0"/>
        <w:spacing w:line="360" w:lineRule="auto"/>
        <w:ind w:firstLine="48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1.投标报价（</w:t>
      </w:r>
      <w:r>
        <w:rPr>
          <w:rFonts w:hint="eastAsia" w:ascii="宋体" w:hAnsi="宋体" w:eastAsia="宋体" w:cs="宋体"/>
          <w:b/>
          <w:bCs w:val="0"/>
          <w:color w:val="auto"/>
          <w:sz w:val="24"/>
          <w:szCs w:val="24"/>
          <w:highlight w:val="none"/>
          <w:lang w:val="en-US" w:eastAsia="zh-CN"/>
        </w:rPr>
        <w:t>30</w:t>
      </w:r>
      <w:r>
        <w:rPr>
          <w:rFonts w:hint="eastAsia" w:ascii="宋体" w:hAnsi="宋体" w:eastAsia="宋体" w:cs="宋体"/>
          <w:b/>
          <w:bCs w:val="0"/>
          <w:color w:val="auto"/>
          <w:sz w:val="24"/>
          <w:szCs w:val="24"/>
          <w:highlight w:val="none"/>
        </w:rPr>
        <w:t>分）</w:t>
      </w:r>
    </w:p>
    <w:p w14:paraId="706CFC18">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采用低价优先法计算，即满足招标文件要求且投标价格最低的投标报价为评标基准价，其价格分为满分。其他投标供应商的价格分统一按照下列公式计算：</w:t>
      </w:r>
    </w:p>
    <w:p w14:paraId="4A7C4FE9">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×价格权值×100。</w:t>
      </w:r>
    </w:p>
    <w:p w14:paraId="2AD9C59D">
      <w:pPr>
        <w:keepNext w:val="0"/>
        <w:keepLines w:val="0"/>
        <w:pageBreakBefore w:val="0"/>
        <w:widowControl w:val="0"/>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投标供应商评价（</w:t>
      </w:r>
      <w:r>
        <w:rPr>
          <w:rFonts w:hint="eastAsia" w:ascii="宋体" w:hAnsi="宋体" w:cs="宋体"/>
          <w:b/>
          <w:bCs w:val="0"/>
          <w:color w:val="auto"/>
          <w:sz w:val="24"/>
          <w:szCs w:val="24"/>
          <w:highlight w:val="none"/>
          <w:lang w:val="en-US" w:eastAsia="zh-CN"/>
        </w:rPr>
        <w:t>18</w:t>
      </w:r>
      <w:r>
        <w:rPr>
          <w:rFonts w:hint="eastAsia" w:ascii="宋体" w:hAnsi="宋体" w:eastAsia="宋体" w:cs="宋体"/>
          <w:b/>
          <w:bCs w:val="0"/>
          <w:color w:val="auto"/>
          <w:sz w:val="24"/>
          <w:szCs w:val="24"/>
          <w:highlight w:val="none"/>
        </w:rPr>
        <w:t>分）</w:t>
      </w:r>
    </w:p>
    <w:p w14:paraId="586D3BF9">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供应商具有质量管理体系认证证书、环境管理体系认证证书、职业健康安全管理体系认证证书</w:t>
      </w:r>
      <w:r>
        <w:rPr>
          <w:rFonts w:hint="eastAsia" w:ascii="宋体" w:hAnsi="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，每提供一个得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分，本项最高得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分【提供相关证明材料扫描件</w:t>
      </w:r>
      <w:r>
        <w:rPr>
          <w:rFonts w:hint="eastAsia" w:ascii="宋体" w:hAnsi="宋体" w:eastAsia="宋体" w:cs="宋体"/>
          <w:b w:val="0"/>
          <w:bCs w:val="0"/>
          <w:color w:val="auto"/>
          <w:sz w:val="24"/>
          <w:szCs w:val="24"/>
          <w:highlight w:val="none"/>
        </w:rPr>
        <w:t>加盖投标供应商电子公章</w:t>
      </w:r>
      <w:r>
        <w:rPr>
          <w:rFonts w:hint="eastAsia" w:ascii="宋体" w:hAnsi="宋体" w:eastAsia="宋体" w:cs="宋体"/>
          <w:bCs/>
          <w:color w:val="auto"/>
          <w:sz w:val="24"/>
          <w:szCs w:val="24"/>
          <w:highlight w:val="none"/>
        </w:rPr>
        <w:t>上传至电子投标文件，未按要求提供不得分】</w:t>
      </w:r>
    </w:p>
    <w:p w14:paraId="05D6CB8F">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供应商提供自202</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年1月1日以来承接过同类项目的，有一个得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分，本项最高得</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r>
        <w:rPr>
          <w:rFonts w:hint="eastAsia" w:ascii="宋体" w:hAnsi="宋体" w:eastAsia="宋体" w:cs="宋体"/>
          <w:b w:val="0"/>
          <w:bCs w:val="0"/>
          <w:color w:val="auto"/>
          <w:sz w:val="24"/>
          <w:szCs w:val="24"/>
          <w:highlight w:val="none"/>
        </w:rPr>
        <w:t>业绩时间以合同签订时间为准，</w:t>
      </w:r>
      <w:r>
        <w:rPr>
          <w:rFonts w:hint="eastAsia" w:ascii="宋体" w:hAnsi="宋体" w:eastAsia="宋体" w:cs="宋体"/>
          <w:bCs/>
          <w:color w:val="auto"/>
          <w:sz w:val="24"/>
          <w:szCs w:val="24"/>
          <w:highlight w:val="none"/>
        </w:rPr>
        <w:t>提供</w:t>
      </w:r>
      <w:r>
        <w:rPr>
          <w:rFonts w:hint="eastAsia" w:ascii="宋体" w:hAnsi="宋体" w:cs="宋体"/>
          <w:bCs/>
          <w:color w:val="auto"/>
          <w:sz w:val="24"/>
          <w:szCs w:val="24"/>
          <w:highlight w:val="none"/>
          <w:lang w:val="en-US" w:eastAsia="zh-CN"/>
        </w:rPr>
        <w:t>合同原件</w:t>
      </w:r>
      <w:r>
        <w:rPr>
          <w:rFonts w:hint="eastAsia" w:ascii="宋体" w:hAnsi="宋体" w:eastAsia="宋体" w:cs="宋体"/>
          <w:b w:val="0"/>
          <w:bCs w:val="0"/>
          <w:color w:val="auto"/>
          <w:sz w:val="24"/>
          <w:szCs w:val="24"/>
          <w:highlight w:val="none"/>
        </w:rPr>
        <w:t>彩色</w:t>
      </w:r>
      <w:r>
        <w:rPr>
          <w:rFonts w:hint="eastAsia" w:ascii="宋体" w:hAnsi="宋体" w:cs="宋体"/>
          <w:bCs/>
          <w:color w:val="auto"/>
          <w:sz w:val="24"/>
          <w:szCs w:val="24"/>
          <w:highlight w:val="none"/>
          <w:lang w:val="en-US" w:eastAsia="zh-CN"/>
        </w:rPr>
        <w:t>扫描件</w:t>
      </w:r>
      <w:r>
        <w:rPr>
          <w:rFonts w:hint="eastAsia" w:ascii="宋体" w:hAnsi="宋体" w:eastAsia="宋体" w:cs="宋体"/>
          <w:b w:val="0"/>
          <w:bCs w:val="0"/>
          <w:color w:val="auto"/>
          <w:sz w:val="24"/>
          <w:szCs w:val="24"/>
          <w:highlight w:val="none"/>
        </w:rPr>
        <w:t>加盖投标供应商电子公章</w:t>
      </w:r>
      <w:r>
        <w:rPr>
          <w:rFonts w:hint="eastAsia" w:ascii="宋体" w:hAnsi="宋体" w:eastAsia="宋体" w:cs="宋体"/>
          <w:bCs/>
          <w:color w:val="auto"/>
          <w:sz w:val="24"/>
          <w:szCs w:val="24"/>
          <w:highlight w:val="none"/>
        </w:rPr>
        <w:t>上传至电子投标文件，未按要求提供不得分】</w:t>
      </w:r>
    </w:p>
    <w:p w14:paraId="4227389E">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lang w:eastAsia="zh-CN"/>
        </w:rPr>
        <w:t>）</w:t>
      </w:r>
      <w:r>
        <w:rPr>
          <w:rFonts w:hint="eastAsia" w:ascii="宋体" w:hAnsi="宋体" w:eastAsia="宋体" w:cs="宋体"/>
          <w:b w:val="0"/>
          <w:bCs w:val="0"/>
          <w:color w:val="auto"/>
          <w:sz w:val="24"/>
          <w:szCs w:val="24"/>
          <w:highlight w:val="none"/>
        </w:rPr>
        <w:t>项目组人员配备（10分）</w:t>
      </w:r>
    </w:p>
    <w:p w14:paraId="242E83E6">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1）拟派项目负责人（4分）：具有行政主管部门颁发的注册安全工程师证书的得2分，具有行政主管部门颁发的特种设备安全管理和作业人员证得2分，本项最高得4分。</w:t>
      </w:r>
    </w:p>
    <w:p w14:paraId="6F28F488">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2）拟派除项目负责人以外的其他人员（6分）：具有行政主管部门颁发的特种设备安全管理和作业人员证，有一名得1分，本项最高得6分。</w:t>
      </w:r>
    </w:p>
    <w:p w14:paraId="6E5032F0">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w:t>
      </w:r>
      <w:r>
        <w:rPr>
          <w:rFonts w:hint="eastAsia" w:ascii="宋体" w:hAnsi="宋体" w:eastAsia="宋体" w:cs="宋体"/>
          <w:b w:val="0"/>
          <w:bCs w:val="0"/>
          <w:color w:val="auto"/>
          <w:sz w:val="24"/>
          <w:szCs w:val="24"/>
          <w:highlight w:val="none"/>
        </w:rPr>
        <w:t>提供上述人员有效证书扫描件</w:t>
      </w:r>
      <w:r>
        <w:rPr>
          <w:rFonts w:hint="eastAsia" w:ascii="宋体" w:hAnsi="宋体" w:eastAsia="宋体" w:cs="宋体"/>
          <w:b w:val="0"/>
          <w:bCs w:val="0"/>
          <w:color w:val="auto"/>
          <w:sz w:val="24"/>
          <w:szCs w:val="24"/>
          <w:highlight w:val="none"/>
          <w:lang w:val="en-US" w:eastAsia="zh-CN"/>
        </w:rPr>
        <w:t>及投标供应商</w:t>
      </w:r>
      <w:r>
        <w:rPr>
          <w:rFonts w:hint="eastAsia" w:ascii="宋体" w:hAnsi="宋体" w:eastAsia="宋体" w:cs="宋体"/>
          <w:b w:val="0"/>
          <w:bCs w:val="0"/>
          <w:color w:val="auto"/>
          <w:sz w:val="24"/>
          <w:szCs w:val="24"/>
          <w:highlight w:val="none"/>
          <w:lang w:val="en-US" w:eastAsia="zh-CN"/>
        </w:rPr>
        <w:t>近三个月中任意一个月（不含投标当月）为其缴纳社保的证明材料</w:t>
      </w:r>
      <w:r>
        <w:rPr>
          <w:rFonts w:hint="eastAsia" w:ascii="宋体" w:hAnsi="宋体" w:eastAsia="宋体" w:cs="宋体"/>
          <w:b w:val="0"/>
          <w:bCs w:val="0"/>
          <w:color w:val="auto"/>
          <w:sz w:val="24"/>
          <w:szCs w:val="24"/>
          <w:highlight w:val="none"/>
        </w:rPr>
        <w:t>加盖投标供应商电子公章上传至投标文件中</w:t>
      </w:r>
      <w:r>
        <w:rPr>
          <w:rFonts w:hint="eastAsia" w:ascii="宋体" w:hAnsi="宋体" w:eastAsia="宋体" w:cs="宋体"/>
          <w:bCs/>
          <w:color w:val="auto"/>
          <w:sz w:val="24"/>
          <w:szCs w:val="24"/>
          <w:highlight w:val="none"/>
        </w:rPr>
        <w:t>，未按要求提供不得分】</w:t>
      </w:r>
    </w:p>
    <w:p w14:paraId="49A83E79">
      <w:pPr>
        <w:keepNext w:val="0"/>
        <w:keepLines w:val="0"/>
        <w:pageBreakBefore w:val="0"/>
        <w:widowControl w:val="0"/>
        <w:spacing w:line="360" w:lineRule="auto"/>
        <w:ind w:firstLine="480"/>
        <w:jc w:val="lef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供应商须提供本项目的服务保障承诺：①在接到采购方电话通知后0.5小时内到达现场，一般问题1小时内解决，最长不超过12小时解决问题的得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分；在接到采购方电话通知后3小时内到达现场，一般问题2小时内解决，最长不超过12小时解决问题的得</w:t>
      </w:r>
      <w:r>
        <w:rPr>
          <w:rFonts w:hint="eastAsia" w:ascii="宋体" w:hAnsi="宋体" w:cs="宋体"/>
          <w:bCs/>
          <w:color w:val="auto"/>
          <w:sz w:val="24"/>
          <w:szCs w:val="24"/>
          <w:highlight w:val="none"/>
          <w:lang w:val="en-US" w:eastAsia="zh-CN"/>
        </w:rPr>
        <w:t>2</w:t>
      </w:r>
      <w:r>
        <w:rPr>
          <w:rFonts w:hint="eastAsia" w:ascii="宋体" w:hAnsi="宋体" w:eastAsia="宋体" w:cs="宋体"/>
          <w:bCs/>
          <w:color w:val="auto"/>
          <w:sz w:val="24"/>
          <w:szCs w:val="24"/>
          <w:highlight w:val="none"/>
          <w:lang w:val="en-US" w:eastAsia="zh-CN"/>
        </w:rPr>
        <w:t>分；在接到采购方电话通知后6小时内到达现场，一般问题4小时内解决，最长不超过12小时解决问题的得</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lang w:val="en-US" w:eastAsia="zh-CN"/>
        </w:rPr>
        <w:t>分；本项最高得</w:t>
      </w: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分</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提供承诺书（格式自拟）扫描件上传至响应文件中</w:t>
      </w:r>
      <w:r>
        <w:rPr>
          <w:rFonts w:hint="eastAsia" w:ascii="宋体" w:hAnsi="宋体" w:eastAsia="宋体" w:cs="宋体"/>
          <w:bCs/>
          <w:color w:val="auto"/>
          <w:sz w:val="24"/>
          <w:szCs w:val="24"/>
          <w:highlight w:val="none"/>
        </w:rPr>
        <w:t>至电子投标文件，未按要求提供不得分】</w:t>
      </w:r>
    </w:p>
    <w:p w14:paraId="3E35F804">
      <w:pPr>
        <w:keepNext w:val="0"/>
        <w:keepLines w:val="0"/>
        <w:pageBreakBefore w:val="0"/>
        <w:widowControl w:val="0"/>
        <w:spacing w:line="360" w:lineRule="auto"/>
        <w:ind w:firstLine="482"/>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3.技术文件</w:t>
      </w:r>
      <w:r>
        <w:rPr>
          <w:rFonts w:hint="eastAsia" w:ascii="宋体" w:hAnsi="宋体" w:eastAsia="宋体" w:cs="宋体"/>
          <w:b/>
          <w:bCs w:val="0"/>
          <w:color w:val="auto"/>
          <w:sz w:val="24"/>
          <w:szCs w:val="24"/>
          <w:highlight w:val="none"/>
        </w:rPr>
        <w:t>（</w:t>
      </w:r>
      <w:r>
        <w:rPr>
          <w:rFonts w:hint="eastAsia" w:ascii="宋体" w:hAnsi="宋体" w:eastAsia="宋体" w:cs="宋体"/>
          <w:b/>
          <w:bCs w:val="0"/>
          <w:color w:val="auto"/>
          <w:sz w:val="24"/>
          <w:szCs w:val="24"/>
          <w:highlight w:val="none"/>
          <w:lang w:val="en-US" w:eastAsia="zh-CN"/>
        </w:rPr>
        <w:t>5</w:t>
      </w:r>
      <w:r>
        <w:rPr>
          <w:rFonts w:hint="eastAsia" w:ascii="宋体" w:hAnsi="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分）</w:t>
      </w:r>
    </w:p>
    <w:p w14:paraId="6CBBA7D6">
      <w:pPr>
        <w:keepNext w:val="0"/>
        <w:keepLines w:val="0"/>
        <w:widowControl w:val="0"/>
        <w:suppressLineNumbers w:val="0"/>
        <w:spacing w:before="0" w:beforeAutospacing="0" w:after="0" w:afterAutospacing="0" w:line="360" w:lineRule="auto"/>
        <w:ind w:left="0" w:right="0" w:firstLine="482" w:firstLineChars="20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（1）根据本项目的需求，提供详细的服务开展计划书（10分）</w:t>
      </w:r>
    </w:p>
    <w:p w14:paraId="06FB0278">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lang w:val="en-US" w:eastAsia="zh-CN" w:bidi="ar"/>
        </w:rPr>
        <w:t>内容包括：①项目实施状况分析；②服务开展的目标和整体设想③项目实施过程中重点难点分析；④日常巡查制度措施；⑤其他相关制度措施。</w:t>
      </w:r>
    </w:p>
    <w:p w14:paraId="30544537">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5项全部方案的，得10分；方案相对完整，科学合理性相对较强，设计相对清晰详细，能够符合本项目需求，能够提供上述4-5项方案的，得8分；方案完整性一般，科学合理性一般，设计清晰详细程度一般，能够符合本项目需求，能够提供上述3-5项方案的，得6分；方案完整性、科学合理性、设计的清晰详细程度等只能基本满足要求，能够提供上述2-5项方案的，得4分；提供方案不足2项或无方案的，不得分。</w:t>
      </w:r>
    </w:p>
    <w:p w14:paraId="20E322D8">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（2）针对日常监管、特种设备风险隐患、“一户一档”的动态管理（9分）</w:t>
      </w:r>
    </w:p>
    <w:p w14:paraId="57328DA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内容包括：①日常监管；②特种设备风险隐患及相关方案；③“一户一档”的动态管理。</w:t>
      </w:r>
    </w:p>
    <w:p w14:paraId="2E877D0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9分；方案相对完整，科学合理性相对较强，设计相对清晰，能够符合本项目需求，能够提供上述3项方案的，得7分；方案完整性一般，科学合理性一般，设计清晰详细程度一般，能够符合本项目需求，能够提供上述2-3项方案的，得5分；方案完整性、科学合理性、设计的清晰详细程度等只能基本满足要求，能够提供上述2-3项方案的，得3分；提供方案不足2项或无方案的，不得分。</w:t>
      </w:r>
    </w:p>
    <w:p w14:paraId="047A69E7">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（3）特种设备监管分级管控、线上线下联动管控、服务环境等制定切实可行的实施方案（9分）</w:t>
      </w:r>
    </w:p>
    <w:p w14:paraId="5805A31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内容包括：①特种设备监管分级管控实施方案；②线上线下联动管控实施方案；③服务环境实施方案。</w:t>
      </w:r>
    </w:p>
    <w:p w14:paraId="4ACD56F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9分；方案相对完整，科学合理性相对较强，设计相对清晰，能够符合本项目需求，能够提供上述3项方案的，得7分；方案完整性一般，科学合理性一般，设计清晰详细程度一般，能够符合本项目需求，能够提供上述2-3项方案的，得5分；方案完整性、科学合理性、设计的清晰详细程度等只能基本满足要求，能够提供上述2-3项方案的，得3分；提供方案不足2项或无方案的，不得分。</w:t>
      </w:r>
    </w:p>
    <w:p w14:paraId="6A349C78">
      <w:pPr>
        <w:keepNext w:val="0"/>
        <w:keepLines w:val="0"/>
        <w:widowControl w:val="0"/>
        <w:numPr>
          <w:ilvl w:val="0"/>
          <w:numId w:val="0"/>
        </w:numPr>
        <w:suppressLineNumbers w:val="0"/>
        <w:tabs>
          <w:tab w:val="left" w:pos="525"/>
          <w:tab w:val="left" w:pos="1155"/>
          <w:tab w:val="left" w:pos="1260"/>
          <w:tab w:val="left" w:pos="1680"/>
        </w:tabs>
        <w:spacing w:before="0" w:beforeAutospacing="0" w:after="0" w:afterAutospacing="0" w:line="360" w:lineRule="auto"/>
        <w:ind w:left="0" w:leftChars="0" w:right="0" w:rightChars="0" w:firstLine="482" w:firstLineChars="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（4）</w:t>
      </w:r>
      <w:r>
        <w:rPr>
          <w:rFonts w:hint="eastAsia" w:ascii="宋体" w:hAnsi="宋体" w:eastAsia="宋体" w:cs="宋体"/>
          <w:b/>
          <w:bCs w:val="0"/>
          <w:color w:val="auto"/>
          <w:kern w:val="0"/>
          <w:sz w:val="24"/>
          <w:szCs w:val="24"/>
          <w:highlight w:val="none"/>
          <w:lang w:val="en-US" w:eastAsia="zh-CN" w:bidi="ar"/>
        </w:rPr>
        <w:t>宣传方案（6分）</w:t>
      </w:r>
    </w:p>
    <w:p w14:paraId="5C71629D">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内容包括：①结合本区实际情况提出的宣传推广；②结合本区实际情况提出的方案运行；③结合本区实际情况提出的投入培训表述。</w:t>
      </w:r>
    </w:p>
    <w:p w14:paraId="275E84F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方案相对完整，科学合理性相对较强，设计相对清晰，能够符合本项目需求，能够提供上述3项方案的，得4分；方案完整性一般，科学合理性一般，设计清晰详细程度一般，能够符合本项目需求，能够提供上述2-3项方案的，得2分；方案完整性、科学合理性、设计的清晰详细程度等只能基本满足要求，能够提供上述2-3项方案的，得1分；提供方案不足2项或无方案的，不得分。</w:t>
      </w:r>
    </w:p>
    <w:p w14:paraId="26919B43">
      <w:pPr>
        <w:keepNext w:val="0"/>
        <w:keepLines w:val="0"/>
        <w:widowControl w:val="0"/>
        <w:numPr>
          <w:ilvl w:val="0"/>
          <w:numId w:val="0"/>
        </w:numPr>
        <w:suppressLineNumbers w:val="0"/>
        <w:tabs>
          <w:tab w:val="left" w:pos="525"/>
          <w:tab w:val="left" w:pos="1155"/>
          <w:tab w:val="left" w:pos="1260"/>
          <w:tab w:val="left" w:pos="1680"/>
        </w:tabs>
        <w:spacing w:before="0" w:beforeAutospacing="0" w:after="0" w:afterAutospacing="0" w:line="360" w:lineRule="auto"/>
        <w:ind w:left="0" w:leftChars="0" w:right="0" w:rightChars="0" w:firstLine="482" w:firstLineChars="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（5）</w:t>
      </w:r>
      <w:r>
        <w:rPr>
          <w:rFonts w:hint="eastAsia" w:ascii="宋体" w:hAnsi="宋体" w:eastAsia="宋体" w:cs="宋体"/>
          <w:b/>
          <w:bCs w:val="0"/>
          <w:color w:val="auto"/>
          <w:kern w:val="0"/>
          <w:sz w:val="24"/>
          <w:szCs w:val="24"/>
          <w:highlight w:val="none"/>
          <w:lang w:val="en-US" w:eastAsia="zh-CN" w:bidi="ar"/>
        </w:rPr>
        <w:t>食品安全及特种设备监管（6分）</w:t>
      </w:r>
    </w:p>
    <w:p w14:paraId="6CFA162F">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482" w:leftChars="0" w:right="0"/>
        <w:jc w:val="both"/>
        <w:rPr>
          <w:rFonts w:hint="eastAsia" w:ascii="宋体" w:hAnsi="宋体" w:eastAsia="宋体" w:cs="宋体"/>
          <w:b/>
          <w:bCs w:val="0"/>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内容包括：①分级管控实施方案；②线上线下联动管控实施方案；③服务环境实施方案。</w:t>
      </w:r>
    </w:p>
    <w:p w14:paraId="6ED0437B">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方案相对完整，科学合理性相对较强，设计相对清晰，能够符合本项目需求，能够提供上述3项方案的，得4分；方案完整性一般，科学合理性一般，设计清晰详细程度一般，能够符合本项目需求，能够提供上述2-3项方案的，得2分；方案完整性、科学合理性、设计的清晰详细程度等只能基本满足要求，能够提供上述2-3项方案的，得1分；提供方案不足2项或无方案的，不得分。</w:t>
      </w:r>
    </w:p>
    <w:p w14:paraId="20282C08">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（6）服务质量承诺及保证措施（6分）：</w:t>
      </w:r>
    </w:p>
    <w:p w14:paraId="6276531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内容包括：①服务质量承诺；②服务质量保证措施；③其他保证措施。</w:t>
      </w:r>
    </w:p>
    <w:p w14:paraId="527B998E">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方案相对完整，科学合理性相对较强，设计相对清晰，能够符合本项目需求，能够提供上述3项方案的，得4分；方案完整性一般，科学合理性一般，设计清晰详细程度一般，能够符合本项目需求，能够提供上述2-3项方案的，得2分；方案完整性、科学合理性、设计的清晰详细程度等只能基本满足要求，能够提供上述2-3项方案的，得1分；提供方案不足2项或无方案的，不得分。</w:t>
      </w:r>
    </w:p>
    <w:p w14:paraId="2E0A5645">
      <w:pPr>
        <w:keepNext w:val="0"/>
        <w:keepLines w:val="0"/>
        <w:widowControl w:val="0"/>
        <w:numPr>
          <w:ilvl w:val="0"/>
          <w:numId w:val="0"/>
        </w:numPr>
        <w:suppressLineNumbers w:val="0"/>
        <w:tabs>
          <w:tab w:val="left" w:pos="525"/>
          <w:tab w:val="left" w:pos="1155"/>
          <w:tab w:val="left" w:pos="1260"/>
          <w:tab w:val="left" w:pos="1680"/>
        </w:tabs>
        <w:spacing w:before="0" w:beforeAutospacing="0" w:after="0" w:afterAutospacing="0" w:line="360" w:lineRule="auto"/>
        <w:ind w:left="0" w:leftChars="0" w:right="0" w:rightChars="0" w:firstLine="482" w:firstLineChars="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bidi="ar-SA"/>
        </w:rPr>
        <w:t>（7）</w:t>
      </w:r>
      <w:r>
        <w:rPr>
          <w:rFonts w:hint="eastAsia" w:ascii="宋体" w:hAnsi="宋体" w:eastAsia="宋体" w:cs="宋体"/>
          <w:b/>
          <w:bCs w:val="0"/>
          <w:color w:val="auto"/>
          <w:kern w:val="0"/>
          <w:sz w:val="24"/>
          <w:szCs w:val="24"/>
          <w:highlight w:val="none"/>
          <w:lang w:val="en-US" w:eastAsia="zh-CN" w:bidi="ar"/>
        </w:rPr>
        <w:t>合理化建议（6分）：</w:t>
      </w:r>
    </w:p>
    <w:p w14:paraId="44528FD1">
      <w:pPr>
        <w:keepNext w:val="0"/>
        <w:keepLines w:val="0"/>
        <w:widowControl w:val="0"/>
        <w:suppressLineNumbers w:val="0"/>
        <w:tabs>
          <w:tab w:val="left" w:pos="525"/>
          <w:tab w:val="left" w:pos="1155"/>
          <w:tab w:val="left" w:pos="1260"/>
          <w:tab w:val="left" w:pos="1680"/>
        </w:tabs>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内容包括：①从项目的实际情况出发提出相关建议；②自然灾害、事故灾害、公共卫生安全事件等突发事件的相关建议；③可能存在的与其他单位、部门的协调难点调研及分析。</w:t>
      </w:r>
    </w:p>
    <w:p w14:paraId="18C54F82">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lang w:val="en-US" w:eastAsia="zh-CN" w:bidi="ar"/>
        </w:rPr>
        <w:t>方案完整、科学合理，设计清晰详细，完全符合本项目需求，且能够提供上述3项全部方案的，得6分；方案相对完整，科学合理性相对较强，设计相对清晰，能够符合本项目需求，能够提供上述3项方案的，得4分；方案完整性一般，科学合理性一般，设计清晰详细程度一般，能够符合本项目需求，能够提供上述2-3项方案的，得2分；方案完整性、科学合理性、设计的清晰详细程度等只能基本满足要求，能够提供上述2-3项方案的，得1分；提供方案不足2项或无方案的，不得分</w:t>
      </w:r>
      <w:r>
        <w:rPr>
          <w:rFonts w:hint="eastAsia" w:ascii="宋体" w:hAnsi="宋体" w:eastAsia="宋体" w:cs="宋体"/>
          <w:bCs/>
          <w:color w:val="auto"/>
          <w:sz w:val="24"/>
          <w:szCs w:val="24"/>
          <w:highlight w:val="none"/>
        </w:rPr>
        <w:t>。</w:t>
      </w:r>
    </w:p>
    <w:p w14:paraId="54B281A3">
      <w:pPr>
        <w:keepNext w:val="0"/>
        <w:keepLines w:val="0"/>
        <w:pageBreakBefore w:val="0"/>
        <w:widowControl w:val="0"/>
        <w:numPr>
          <w:ilvl w:val="0"/>
          <w:numId w:val="0"/>
        </w:num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评委为5人以上的单数（含5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ascii="宋体" w:hAnsi="宋体" w:eastAsia="宋体" w:cs="宋体"/>
          <w:bCs/>
          <w:color w:val="auto"/>
          <w:sz w:val="24"/>
          <w:highlight w:val="none"/>
          <w:lang w:eastAsia="zh-CN"/>
        </w:rPr>
        <w:t>，由</w:t>
      </w:r>
      <w:r>
        <w:rPr>
          <w:rFonts w:hint="eastAsia" w:ascii="宋体" w:hAnsi="宋体" w:eastAsia="宋体" w:cs="宋体"/>
          <w:bCs/>
          <w:color w:val="auto"/>
          <w:sz w:val="24"/>
          <w:highlight w:val="none"/>
        </w:rPr>
        <w:t>评委独立评分。所有评委打分的平均值为各供应商最终得分。最终得分前三名为推荐中标候选人。评分办法及评分细则的解释权</w:t>
      </w:r>
      <w:r>
        <w:rPr>
          <w:rFonts w:hint="eastAsia" w:ascii="宋体" w:hAnsi="宋体" w:eastAsia="宋体" w:cs="宋体"/>
          <w:bCs/>
          <w:color w:val="auto"/>
          <w:sz w:val="24"/>
          <w:highlight w:val="none"/>
          <w:lang w:eastAsia="zh-CN"/>
        </w:rPr>
        <w:t>属于</w:t>
      </w:r>
      <w:r>
        <w:rPr>
          <w:rFonts w:hint="eastAsia" w:ascii="宋体" w:hAnsi="宋体" w:eastAsia="宋体" w:cs="宋体"/>
          <w:bCs/>
          <w:color w:val="auto"/>
          <w:sz w:val="24"/>
          <w:highlight w:val="none"/>
        </w:rPr>
        <w:t>采购人。</w:t>
      </w:r>
    </w:p>
    <w:p w14:paraId="0BFB8590">
      <w:pPr>
        <w:keepNext w:val="0"/>
        <w:keepLines w:val="0"/>
        <w:pageBreakBefore w:val="0"/>
        <w:tabs>
          <w:tab w:val="left" w:pos="1401"/>
        </w:tabs>
        <w:spacing w:line="440" w:lineRule="exact"/>
        <w:ind w:left="239" w:firstLine="241"/>
        <w:jc w:val="left"/>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未列入本评分细则的其他条件不作为评分内容。</w:t>
      </w:r>
    </w:p>
    <w:p w14:paraId="591C7FAA">
      <w:pPr>
        <w:tabs>
          <w:tab w:val="left" w:pos="1401"/>
        </w:tabs>
        <w:spacing w:line="360" w:lineRule="auto"/>
        <w:ind w:firstLine="482"/>
        <w:jc w:val="left"/>
        <w:rPr>
          <w:rFonts w:ascii="黑体" w:eastAsia="黑体"/>
          <w:bCs/>
          <w:color w:val="auto"/>
          <w:sz w:val="24"/>
          <w:szCs w:val="24"/>
          <w:highlight w:val="none"/>
        </w:rPr>
      </w:pPr>
      <w:r>
        <w:rPr>
          <w:rFonts w:hint="eastAsia" w:ascii="黑体" w:eastAsia="黑体"/>
          <w:bCs/>
          <w:color w:val="auto"/>
          <w:sz w:val="24"/>
          <w:szCs w:val="24"/>
          <w:highlight w:val="none"/>
        </w:rPr>
        <w:br w:type="page" w:clear="all"/>
      </w:r>
      <w:r>
        <w:rPr>
          <w:rFonts w:hint="eastAsia" w:ascii="黑体" w:eastAsia="黑体"/>
          <w:bCs/>
          <w:color w:val="auto"/>
          <w:sz w:val="24"/>
          <w:szCs w:val="24"/>
          <w:highlight w:val="none"/>
        </w:rPr>
        <w:t>附件二：投标文件格式</w:t>
      </w:r>
    </w:p>
    <w:p w14:paraId="7CFB6699">
      <w:pPr>
        <w:rPr>
          <w:rFonts w:ascii="黑体" w:eastAsia="黑体"/>
          <w:bCs/>
          <w:color w:val="auto"/>
          <w:sz w:val="32"/>
          <w:highlight w:val="none"/>
        </w:rPr>
      </w:pPr>
    </w:p>
    <w:p w14:paraId="5E70F17C">
      <w:pPr>
        <w:pStyle w:val="211"/>
        <w:rPr>
          <w:rFonts w:ascii="黑体" w:eastAsia="黑体"/>
          <w:color w:val="auto"/>
          <w:sz w:val="32"/>
          <w:highlight w:val="none"/>
        </w:rPr>
      </w:pPr>
    </w:p>
    <w:p w14:paraId="294FE084">
      <w:pPr>
        <w:pStyle w:val="211"/>
        <w:rPr>
          <w:rFonts w:ascii="黑体" w:eastAsia="黑体"/>
          <w:color w:val="auto"/>
          <w:sz w:val="32"/>
          <w:highlight w:val="none"/>
        </w:rPr>
      </w:pPr>
    </w:p>
    <w:p w14:paraId="434EEAD3">
      <w:pPr>
        <w:pStyle w:val="211"/>
        <w:rPr>
          <w:rFonts w:ascii="黑体" w:eastAsia="黑体"/>
          <w:color w:val="auto"/>
          <w:sz w:val="32"/>
          <w:highlight w:val="none"/>
        </w:rPr>
      </w:pPr>
    </w:p>
    <w:p w14:paraId="429CBFA1">
      <w:pPr>
        <w:pStyle w:val="211"/>
        <w:rPr>
          <w:rFonts w:ascii="黑体" w:eastAsia="黑体"/>
          <w:color w:val="auto"/>
          <w:sz w:val="32"/>
          <w:highlight w:val="none"/>
        </w:rPr>
      </w:pPr>
    </w:p>
    <w:p w14:paraId="5BDAB748">
      <w:pPr>
        <w:pStyle w:val="211"/>
        <w:rPr>
          <w:rFonts w:ascii="黑体" w:eastAsia="黑体"/>
          <w:color w:val="auto"/>
          <w:sz w:val="32"/>
          <w:highlight w:val="none"/>
        </w:rPr>
      </w:pPr>
    </w:p>
    <w:p w14:paraId="350D356C">
      <w:pPr>
        <w:pStyle w:val="211"/>
        <w:rPr>
          <w:rFonts w:ascii="黑体" w:eastAsia="黑体"/>
          <w:color w:val="auto"/>
          <w:sz w:val="32"/>
          <w:highlight w:val="none"/>
        </w:rPr>
      </w:pPr>
    </w:p>
    <w:p w14:paraId="18D13006">
      <w:pPr>
        <w:rPr>
          <w:rFonts w:ascii="黑体" w:eastAsia="黑体"/>
          <w:bCs/>
          <w:color w:val="auto"/>
          <w:sz w:val="32"/>
          <w:highlight w:val="none"/>
        </w:rPr>
      </w:pPr>
    </w:p>
    <w:p w14:paraId="2B91FB9D">
      <w:pPr>
        <w:jc w:val="center"/>
        <w:rPr>
          <w:rFonts w:ascii="黑体" w:eastAsia="黑体"/>
          <w:bCs/>
          <w:color w:val="auto"/>
          <w:sz w:val="52"/>
          <w:szCs w:val="52"/>
          <w:highlight w:val="none"/>
        </w:rPr>
      </w:pPr>
      <w:r>
        <w:rPr>
          <w:rFonts w:hint="eastAsia" w:ascii="黑体" w:eastAsia="黑体"/>
          <w:bCs/>
          <w:color w:val="auto"/>
          <w:sz w:val="52"/>
          <w:szCs w:val="52"/>
          <w:highlight w:val="none"/>
        </w:rPr>
        <w:t>投</w:t>
      </w:r>
    </w:p>
    <w:p w14:paraId="20E58D8E">
      <w:pPr>
        <w:jc w:val="center"/>
        <w:rPr>
          <w:rFonts w:ascii="黑体" w:eastAsia="黑体"/>
          <w:bCs/>
          <w:color w:val="auto"/>
          <w:sz w:val="72"/>
          <w:highlight w:val="none"/>
        </w:rPr>
      </w:pPr>
    </w:p>
    <w:p w14:paraId="10A2227F">
      <w:pPr>
        <w:jc w:val="center"/>
        <w:rPr>
          <w:rFonts w:ascii="黑体" w:eastAsia="黑体"/>
          <w:bCs/>
          <w:color w:val="auto"/>
          <w:sz w:val="52"/>
          <w:szCs w:val="52"/>
          <w:highlight w:val="none"/>
        </w:rPr>
      </w:pPr>
      <w:r>
        <w:rPr>
          <w:rFonts w:hint="eastAsia" w:ascii="黑体" w:eastAsia="黑体"/>
          <w:bCs/>
          <w:color w:val="auto"/>
          <w:sz w:val="52"/>
          <w:szCs w:val="52"/>
          <w:highlight w:val="none"/>
        </w:rPr>
        <w:t>标</w:t>
      </w:r>
    </w:p>
    <w:p w14:paraId="5E194BFF">
      <w:pPr>
        <w:jc w:val="center"/>
        <w:rPr>
          <w:rFonts w:ascii="黑体" w:eastAsia="黑体"/>
          <w:bCs/>
          <w:color w:val="auto"/>
          <w:sz w:val="72"/>
          <w:highlight w:val="none"/>
        </w:rPr>
      </w:pPr>
    </w:p>
    <w:p w14:paraId="1314417C">
      <w:pPr>
        <w:jc w:val="center"/>
        <w:rPr>
          <w:rFonts w:ascii="黑体" w:eastAsia="黑体"/>
          <w:bCs/>
          <w:color w:val="auto"/>
          <w:sz w:val="52"/>
          <w:szCs w:val="52"/>
          <w:highlight w:val="none"/>
        </w:rPr>
      </w:pPr>
      <w:r>
        <w:rPr>
          <w:rFonts w:hint="eastAsia" w:ascii="黑体" w:eastAsia="黑体"/>
          <w:bCs/>
          <w:color w:val="auto"/>
          <w:sz w:val="52"/>
          <w:szCs w:val="52"/>
          <w:highlight w:val="none"/>
        </w:rPr>
        <w:t>文</w:t>
      </w:r>
    </w:p>
    <w:p w14:paraId="6E25EE42">
      <w:pPr>
        <w:jc w:val="center"/>
        <w:rPr>
          <w:rFonts w:ascii="黑体" w:eastAsia="黑体"/>
          <w:bCs/>
          <w:color w:val="auto"/>
          <w:sz w:val="52"/>
          <w:szCs w:val="52"/>
          <w:highlight w:val="none"/>
        </w:rPr>
      </w:pPr>
    </w:p>
    <w:p w14:paraId="5C968F3C">
      <w:pPr>
        <w:jc w:val="center"/>
        <w:rPr>
          <w:rFonts w:ascii="黑体" w:eastAsia="黑体"/>
          <w:bCs/>
          <w:color w:val="auto"/>
          <w:sz w:val="52"/>
          <w:szCs w:val="52"/>
          <w:highlight w:val="none"/>
        </w:rPr>
      </w:pPr>
      <w:r>
        <w:rPr>
          <w:rFonts w:hint="eastAsia" w:ascii="黑体" w:eastAsia="黑体"/>
          <w:bCs/>
          <w:color w:val="auto"/>
          <w:sz w:val="52"/>
          <w:szCs w:val="52"/>
          <w:highlight w:val="none"/>
        </w:rPr>
        <w:t>件</w:t>
      </w:r>
    </w:p>
    <w:p w14:paraId="7B42AA1C">
      <w:pPr>
        <w:rPr>
          <w:rFonts w:ascii="楷体_GB2312" w:eastAsia="楷体_GB2312"/>
          <w:bCs/>
          <w:color w:val="auto"/>
          <w:sz w:val="72"/>
          <w:highlight w:val="none"/>
        </w:rPr>
      </w:pPr>
    </w:p>
    <w:p w14:paraId="755E161F">
      <w:pPr>
        <w:rPr>
          <w:rFonts w:ascii="楷体_GB2312" w:eastAsia="楷体_GB2312"/>
          <w:bCs/>
          <w:color w:val="auto"/>
          <w:sz w:val="28"/>
          <w:highlight w:val="none"/>
        </w:rPr>
      </w:pPr>
    </w:p>
    <w:p w14:paraId="6FBE7068">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采购项目编号：</w:t>
      </w:r>
      <w:r>
        <w:rPr>
          <w:rFonts w:hint="eastAsia" w:ascii="黑体" w:eastAsia="黑体"/>
          <w:bCs/>
          <w:color w:val="auto"/>
          <w:sz w:val="28"/>
          <w:szCs w:val="28"/>
          <w:highlight w:val="none"/>
          <w:lang w:eastAsia="zh-CN"/>
        </w:rPr>
        <w:t>JSZC-320214-JSZH-G2026-0023</w:t>
      </w:r>
    </w:p>
    <w:p w14:paraId="626B597C">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采购项目名称：</w:t>
      </w:r>
      <w:r>
        <w:rPr>
          <w:rFonts w:hint="eastAsia" w:ascii="黑体" w:eastAsia="黑体"/>
          <w:bCs/>
          <w:color w:val="auto"/>
          <w:sz w:val="28"/>
          <w:szCs w:val="28"/>
          <w:highlight w:val="none"/>
          <w:lang w:eastAsia="zh-CN"/>
        </w:rPr>
        <w:t>特种设备安全、食品安全委托协作管理项目</w:t>
      </w:r>
    </w:p>
    <w:p w14:paraId="5B0F2437">
      <w:pPr>
        <w:ind w:firstLine="560"/>
        <w:rPr>
          <w:rFonts w:ascii="黑体" w:eastAsia="黑体"/>
          <w:bCs/>
          <w:color w:val="auto"/>
          <w:sz w:val="28"/>
          <w:szCs w:val="28"/>
          <w:highlight w:val="none"/>
        </w:rPr>
      </w:pPr>
      <w:r>
        <w:rPr>
          <w:rFonts w:hint="eastAsia" w:ascii="黑体" w:eastAsia="黑体"/>
          <w:bCs/>
          <w:color w:val="auto"/>
          <w:sz w:val="28"/>
          <w:szCs w:val="28"/>
          <w:highlight w:val="none"/>
        </w:rPr>
        <w:t>投标人：</w:t>
      </w:r>
    </w:p>
    <w:p w14:paraId="2BBA15A1">
      <w:pPr>
        <w:rPr>
          <w:rFonts w:ascii="黑体" w:eastAsia="黑体"/>
          <w:bCs/>
          <w:color w:val="auto"/>
          <w:sz w:val="32"/>
          <w:highlight w:val="none"/>
        </w:rPr>
      </w:pPr>
    </w:p>
    <w:p w14:paraId="7FD355D2">
      <w:pPr>
        <w:jc w:val="center"/>
        <w:rPr>
          <w:rFonts w:ascii="黑体" w:eastAsia="黑体"/>
          <w:bCs/>
          <w:color w:val="auto"/>
          <w:sz w:val="36"/>
          <w:szCs w:val="36"/>
          <w:highlight w:val="none"/>
        </w:rPr>
      </w:pPr>
      <w:r>
        <w:rPr>
          <w:rFonts w:hint="eastAsia" w:ascii="黑体" w:eastAsia="黑体"/>
          <w:bCs/>
          <w:color w:val="auto"/>
          <w:sz w:val="36"/>
          <w:szCs w:val="36"/>
          <w:highlight w:val="none"/>
        </w:rPr>
        <w:t>二〇二六年  月  日</w:t>
      </w:r>
    </w:p>
    <w:p w14:paraId="3DD30272">
      <w:pPr>
        <w:rPr>
          <w:rFonts w:ascii="黑体" w:hAnsi="宋体" w:eastAsia="黑体"/>
          <w:bCs/>
          <w:color w:val="auto"/>
          <w:sz w:val="24"/>
          <w:szCs w:val="24"/>
          <w:highlight w:val="none"/>
        </w:rPr>
      </w:pPr>
      <w:bookmarkStart w:id="14" w:name="一．报价函（格式）"/>
      <w:bookmarkEnd w:id="1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（一）投标函（格式）：</w:t>
      </w:r>
    </w:p>
    <w:p w14:paraId="515405F6">
      <w:pPr>
        <w:spacing w:line="360" w:lineRule="auto"/>
        <w:jc w:val="center"/>
        <w:rPr>
          <w:rFonts w:ascii="宋体"/>
          <w:bCs/>
          <w:color w:val="auto"/>
          <w:sz w:val="24"/>
          <w:szCs w:val="24"/>
          <w:highlight w:val="none"/>
        </w:rPr>
      </w:pPr>
      <w:r>
        <w:rPr>
          <w:rFonts w:hint="eastAsia" w:ascii="黑体" w:eastAsia="黑体"/>
          <w:bCs/>
          <w:color w:val="auto"/>
          <w:sz w:val="28"/>
          <w:szCs w:val="28"/>
          <w:highlight w:val="none"/>
        </w:rPr>
        <w:t>投标函</w:t>
      </w:r>
    </w:p>
    <w:p w14:paraId="27FDC868">
      <w:pPr>
        <w:spacing w:line="360" w:lineRule="auto"/>
        <w:rPr>
          <w:rFonts w:ascii="宋体"/>
          <w:bCs/>
          <w:color w:val="auto"/>
          <w:sz w:val="24"/>
          <w:szCs w:val="24"/>
          <w:highlight w:val="none"/>
        </w:rPr>
      </w:pPr>
      <w:r>
        <w:rPr>
          <w:rFonts w:hint="eastAsia" w:ascii="宋体" w:hAnsi="宋体"/>
          <w:bCs/>
          <w:color w:val="auto"/>
          <w:sz w:val="24"/>
          <w:szCs w:val="24"/>
          <w:highlight w:val="none"/>
        </w:rPr>
        <w:t>致无锡市新吴区人民政府旺庄街道办事处：</w:t>
      </w:r>
    </w:p>
    <w:p w14:paraId="2836CEE9">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我方收到贵方编号</w:t>
      </w:r>
      <w:r>
        <w:rPr>
          <w:rFonts w:hint="eastAsia" w:ascii="宋体" w:hAnsi="宋体"/>
          <w:bCs/>
          <w:color w:val="auto"/>
          <w:sz w:val="24"/>
          <w:szCs w:val="24"/>
          <w:highlight w:val="none"/>
          <w:lang w:eastAsia="zh-CN"/>
        </w:rPr>
        <w:t>JSZC-320214-JSZH-G2026-0023</w:t>
      </w:r>
      <w:r>
        <w:rPr>
          <w:rFonts w:hint="eastAsia" w:ascii="宋体" w:hAnsi="宋体"/>
          <w:bCs/>
          <w:color w:val="auto"/>
          <w:sz w:val="24"/>
          <w:szCs w:val="24"/>
          <w:highlight w:val="none"/>
        </w:rPr>
        <w:t>招标文件，经仔细阅读和研究，我方决定参加此项目的投标。</w:t>
      </w:r>
    </w:p>
    <w:p w14:paraId="0570DA2F">
      <w:pPr>
        <w:numPr>
          <w:ilvl w:val="0"/>
          <w:numId w:val="0"/>
        </w:numPr>
        <w:tabs>
          <w:tab w:val="left" w:pos="315"/>
          <w:tab w:val="left" w:pos="840"/>
          <w:tab w:val="left" w:pos="945"/>
          <w:tab w:val="left" w:pos="1050"/>
          <w:tab w:val="left" w:pos="1260"/>
        </w:tabs>
        <w:spacing w:line="360" w:lineRule="auto"/>
        <w:ind w:left="0" w:leftChars="0" w:firstLine="525"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一、</w:t>
      </w:r>
      <w:r>
        <w:rPr>
          <w:rFonts w:hint="eastAsia" w:ascii="宋体" w:hAnsi="宋体"/>
          <w:bCs/>
          <w:color w:val="auto"/>
          <w:sz w:val="24"/>
          <w:szCs w:val="24"/>
          <w:highlight w:val="none"/>
        </w:rPr>
        <w:t>我方愿意按照招标文件的一切要求，提供本项目的投标，投标总价见《开标一览表》。</w:t>
      </w:r>
    </w:p>
    <w:p w14:paraId="3EFC7925">
      <w:pPr>
        <w:numPr>
          <w:ilvl w:val="0"/>
          <w:numId w:val="0"/>
        </w:numPr>
        <w:tabs>
          <w:tab w:val="left" w:pos="0"/>
          <w:tab w:val="left" w:pos="315"/>
          <w:tab w:val="left" w:pos="525"/>
          <w:tab w:val="left" w:pos="840"/>
          <w:tab w:val="left" w:pos="945"/>
          <w:tab w:val="left" w:pos="1050"/>
        </w:tabs>
        <w:spacing w:line="360" w:lineRule="auto"/>
        <w:ind w:left="0" w:leftChars="0" w:firstLine="523" w:firstLineChars="0"/>
        <w:rPr>
          <w:rStyle w:val="201"/>
          <w:bCs/>
          <w:color w:val="auto"/>
          <w:highlight w:val="none"/>
        </w:rPr>
      </w:pPr>
      <w:r>
        <w:rPr>
          <w:rFonts w:hint="default" w:ascii="Times New Roman" w:hAnsi="Times New Roman" w:eastAsia="Times New Roman" w:cs="Times New Roman"/>
          <w:bCs/>
          <w:color w:val="auto"/>
          <w:sz w:val="24"/>
          <w:szCs w:val="24"/>
          <w:highlight w:val="none"/>
          <w:lang w:val="en-US" w:eastAsia="zh-CN" w:bidi="ar-SA"/>
        </w:rPr>
        <w:t>二、</w:t>
      </w:r>
      <w:r>
        <w:rPr>
          <w:rFonts w:hint="eastAsia" w:ascii="宋体" w:hAnsi="宋体"/>
          <w:bCs/>
          <w:color w:val="auto"/>
          <w:sz w:val="24"/>
          <w:szCs w:val="24"/>
          <w:highlight w:val="none"/>
        </w:rPr>
        <w:t>我方愿意提供江苏智汇锡建工程项目管理有限公司在招标文件中要求的文件、资料。</w:t>
      </w:r>
    </w:p>
    <w:p w14:paraId="6D49BFFD">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三、</w:t>
      </w:r>
      <w:r>
        <w:rPr>
          <w:rFonts w:hint="eastAsia" w:ascii="宋体" w:hAnsi="宋体"/>
          <w:bCs/>
          <w:color w:val="auto"/>
          <w:sz w:val="24"/>
          <w:szCs w:val="24"/>
          <w:highlight w:val="none"/>
        </w:rPr>
        <w:t>我方同意按招标文件中的规定，本投标文件投标的有效期限为开标之日起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1EB905EA">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四、</w:t>
      </w:r>
      <w:r>
        <w:rPr>
          <w:rFonts w:hint="eastAsia" w:ascii="宋体" w:hAnsi="宋体"/>
          <w:bCs/>
          <w:color w:val="auto"/>
          <w:sz w:val="24"/>
          <w:szCs w:val="24"/>
          <w:highlight w:val="none"/>
        </w:rPr>
        <w:t>如果我方的投标文件被接受，我方将履行招标文件中规定的每一项要求，按期、按质、按量，完成交货任务。</w:t>
      </w:r>
    </w:p>
    <w:p w14:paraId="088D2F03">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五、</w:t>
      </w:r>
      <w:r>
        <w:rPr>
          <w:rFonts w:hint="eastAsia" w:ascii="宋体" w:hAnsi="宋体"/>
          <w:bCs/>
          <w:color w:val="auto"/>
          <w:sz w:val="24"/>
          <w:szCs w:val="24"/>
          <w:highlight w:val="none"/>
        </w:rPr>
        <w:t>我方认为贵局有权决定中标者。</w:t>
      </w:r>
    </w:p>
    <w:p w14:paraId="76ACE3C2">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六、</w:t>
      </w: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5CDCB824">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七、</w:t>
      </w:r>
      <w:r>
        <w:rPr>
          <w:rFonts w:hint="eastAsia" w:ascii="宋体" w:hAnsi="宋体"/>
          <w:bCs/>
          <w:color w:val="auto"/>
          <w:sz w:val="24"/>
          <w:szCs w:val="24"/>
          <w:highlight w:val="none"/>
        </w:rPr>
        <w:t>我方认可并遵守招标文件的所有规定，放弃对招标文件提出质疑的权利。</w:t>
      </w:r>
    </w:p>
    <w:p w14:paraId="43656E6A">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八、</w:t>
      </w:r>
      <w:r>
        <w:rPr>
          <w:rFonts w:hint="eastAsia" w:ascii="宋体" w:hAnsi="宋体"/>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DF4AFFB">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九、</w:t>
      </w:r>
      <w:r>
        <w:rPr>
          <w:rFonts w:hint="eastAsia" w:ascii="宋体" w:hAnsi="宋体"/>
          <w:bCs/>
          <w:color w:val="auto"/>
          <w:sz w:val="24"/>
          <w:szCs w:val="24"/>
          <w:highlight w:val="none"/>
        </w:rPr>
        <w:t>如果我方被确定为中标供应商，我方愿意</w:t>
      </w:r>
      <w:r>
        <w:rPr>
          <w:rFonts w:hint="eastAsia" w:ascii="宋体" w:hAnsi="宋体"/>
          <w:color w:val="auto"/>
          <w:sz w:val="24"/>
          <w:szCs w:val="24"/>
          <w:highlight w:val="none"/>
        </w:rPr>
        <w:t>向</w:t>
      </w:r>
      <w:r>
        <w:rPr>
          <w:rFonts w:hint="eastAsia" w:ascii="宋体" w:hAnsi="宋体"/>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1AC34510">
      <w:pPr>
        <w:numPr>
          <w:ilvl w:val="0"/>
          <w:numId w:val="0"/>
        </w:numPr>
        <w:tabs>
          <w:tab w:val="left" w:pos="0"/>
          <w:tab w:val="left" w:pos="315"/>
          <w:tab w:val="left" w:pos="525"/>
          <w:tab w:val="left" w:pos="945"/>
          <w:tab w:val="left" w:pos="1050"/>
        </w:tabs>
        <w:spacing w:line="360" w:lineRule="auto"/>
        <w:ind w:left="0" w:leftChars="0" w:firstLine="523" w:firstLineChars="0"/>
        <w:rPr>
          <w:rFonts w:ascii="宋体"/>
          <w:bCs/>
          <w:color w:val="auto"/>
          <w:sz w:val="24"/>
          <w:szCs w:val="24"/>
          <w:highlight w:val="none"/>
        </w:rPr>
      </w:pPr>
      <w:r>
        <w:rPr>
          <w:rFonts w:hint="default" w:ascii="Times New Roman" w:hAnsi="Times New Roman" w:eastAsia="Times New Roman" w:cs="Times New Roman"/>
          <w:bCs/>
          <w:color w:val="auto"/>
          <w:sz w:val="24"/>
          <w:szCs w:val="24"/>
          <w:highlight w:val="none"/>
          <w:lang w:val="en-US" w:eastAsia="zh-CN" w:bidi="ar-SA"/>
        </w:rPr>
        <w:t>十、</w:t>
      </w:r>
      <w:r>
        <w:rPr>
          <w:rFonts w:hint="eastAsia" w:ascii="宋体" w:hAnsi="宋体"/>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165EB711">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投标人（盖章）：</w:t>
      </w:r>
    </w:p>
    <w:p w14:paraId="1709650F">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785A784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                              传真：</w:t>
      </w:r>
    </w:p>
    <w:p w14:paraId="67FD08C0">
      <w:pPr>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14:paraId="51985DA9">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（二）（投标人）关于资格的声明函（格式）：</w:t>
      </w:r>
    </w:p>
    <w:p w14:paraId="3760EAE9">
      <w:pPr>
        <w:spacing w:line="360" w:lineRule="auto"/>
        <w:rPr>
          <w:rFonts w:ascii="黑体" w:eastAsia="黑体"/>
          <w:bCs/>
          <w:color w:val="auto"/>
          <w:sz w:val="36"/>
          <w:highlight w:val="none"/>
        </w:rPr>
      </w:pPr>
    </w:p>
    <w:p w14:paraId="2C79FE38">
      <w:pPr>
        <w:jc w:val="center"/>
        <w:rPr>
          <w:rFonts w:ascii="黑体" w:eastAsia="黑体"/>
          <w:bCs/>
          <w:color w:val="auto"/>
          <w:sz w:val="28"/>
          <w:szCs w:val="28"/>
          <w:highlight w:val="none"/>
        </w:rPr>
      </w:pPr>
      <w:bookmarkStart w:id="15" w:name="报价方关于资格的声明函（格式）"/>
      <w:bookmarkEnd w:id="15"/>
      <w:r>
        <w:rPr>
          <w:rFonts w:hint="eastAsia" w:ascii="黑体" w:eastAsia="黑体"/>
          <w:bCs/>
          <w:color w:val="auto"/>
          <w:sz w:val="28"/>
          <w:szCs w:val="28"/>
          <w:highlight w:val="none"/>
        </w:rPr>
        <w:t>关于资格的声明函</w:t>
      </w:r>
    </w:p>
    <w:p w14:paraId="4B50D749">
      <w:pPr>
        <w:jc w:val="center"/>
        <w:rPr>
          <w:rFonts w:ascii="黑体" w:eastAsia="黑体"/>
          <w:bCs/>
          <w:color w:val="auto"/>
          <w:sz w:val="32"/>
          <w:highlight w:val="none"/>
        </w:rPr>
      </w:pPr>
    </w:p>
    <w:p w14:paraId="4DBFF844">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13081989">
      <w:pPr>
        <w:tabs>
          <w:tab w:val="left" w:pos="6300"/>
        </w:tabs>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4DAF3597">
      <w:pPr>
        <w:spacing w:line="480" w:lineRule="auto"/>
        <w:rPr>
          <w:rFonts w:ascii="宋体"/>
          <w:bCs/>
          <w:color w:val="auto"/>
          <w:sz w:val="24"/>
          <w:szCs w:val="24"/>
          <w:highlight w:val="none"/>
        </w:rPr>
      </w:pPr>
      <w:r>
        <w:rPr>
          <w:rFonts w:hint="eastAsia" w:ascii="宋体" w:hAnsi="宋体"/>
          <w:bCs/>
          <w:color w:val="auto"/>
          <w:sz w:val="24"/>
          <w:szCs w:val="24"/>
          <w:highlight w:val="none"/>
        </w:rPr>
        <w:t>无锡市新吴区人民政府旺庄街道办事处：</w:t>
      </w:r>
    </w:p>
    <w:p w14:paraId="70A9EA45">
      <w:pPr>
        <w:spacing w:line="480" w:lineRule="auto"/>
        <w:rPr>
          <w:rFonts w:ascii="宋体"/>
          <w:bCs/>
          <w:color w:val="auto"/>
          <w:sz w:val="24"/>
          <w:szCs w:val="24"/>
          <w:highlight w:val="none"/>
        </w:rPr>
      </w:pPr>
    </w:p>
    <w:p w14:paraId="1B1AC842">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w:t>
      </w:r>
      <w:r>
        <w:rPr>
          <w:rFonts w:hint="eastAsia" w:ascii="宋体" w:hAnsi="宋体"/>
          <w:bCs/>
          <w:color w:val="auto"/>
          <w:sz w:val="24"/>
          <w:szCs w:val="24"/>
          <w:highlight w:val="none"/>
          <w:lang w:eastAsia="zh-CN"/>
        </w:rPr>
        <w:t>JSZC-320214-JSZH-G2026-0023</w:t>
      </w:r>
      <w:r>
        <w:rPr>
          <w:rFonts w:hint="eastAsia" w:ascii="宋体" w:hAnsi="宋体"/>
          <w:bCs/>
          <w:color w:val="auto"/>
          <w:sz w:val="24"/>
          <w:szCs w:val="24"/>
          <w:highlight w:val="none"/>
        </w:rPr>
        <w:t>）政府采购活动前三年内，在经营活动中没有重大违法记录，我公司（单位）愿针对本次项目（</w:t>
      </w:r>
      <w:r>
        <w:rPr>
          <w:rFonts w:hint="eastAsia" w:ascii="宋体" w:hAnsi="宋体"/>
          <w:bCs/>
          <w:color w:val="auto"/>
          <w:sz w:val="24"/>
          <w:szCs w:val="24"/>
          <w:highlight w:val="none"/>
          <w:lang w:eastAsia="zh-CN"/>
        </w:rPr>
        <w:t>JSZC-320214-JSZH-G2026-0023</w:t>
      </w:r>
      <w:r>
        <w:rPr>
          <w:rFonts w:hint="eastAsia" w:ascii="宋体" w:hAnsi="宋体"/>
          <w:bCs/>
          <w:color w:val="auto"/>
          <w:sz w:val="24"/>
          <w:szCs w:val="24"/>
          <w:highlight w:val="none"/>
        </w:rPr>
        <w:t>）进行投标，投标文件中所有关于投标资格的文件、证明、陈述均是真实的、准确的。若有违背，我公司（单位）愿意承担由此而产生的一切后果。</w:t>
      </w:r>
    </w:p>
    <w:p w14:paraId="3E71BEEC">
      <w:pPr>
        <w:spacing w:line="480" w:lineRule="auto"/>
        <w:rPr>
          <w:rFonts w:ascii="宋体"/>
          <w:bCs/>
          <w:color w:val="auto"/>
          <w:sz w:val="24"/>
          <w:szCs w:val="24"/>
          <w:highlight w:val="none"/>
        </w:rPr>
      </w:pPr>
    </w:p>
    <w:p w14:paraId="529D25B2">
      <w:pPr>
        <w:spacing w:line="480" w:lineRule="auto"/>
        <w:rPr>
          <w:rFonts w:ascii="宋体"/>
          <w:bCs/>
          <w:color w:val="auto"/>
          <w:sz w:val="24"/>
          <w:szCs w:val="24"/>
          <w:highlight w:val="none"/>
        </w:rPr>
      </w:pPr>
      <w:r>
        <w:rPr>
          <w:rFonts w:hint="eastAsia" w:ascii="宋体" w:hAnsi="宋体"/>
          <w:bCs/>
          <w:color w:val="auto"/>
          <w:sz w:val="24"/>
          <w:szCs w:val="24"/>
          <w:highlight w:val="none"/>
        </w:rPr>
        <w:t>投标人（盖章）：</w:t>
      </w:r>
    </w:p>
    <w:p w14:paraId="056A19EB">
      <w:pPr>
        <w:spacing w:line="480" w:lineRule="auto"/>
        <w:rPr>
          <w:rFonts w:asci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03B4C401">
      <w:pPr>
        <w:ind w:firstLine="480"/>
        <w:rPr>
          <w:rFonts w:ascii="黑体" w:hAnsi="宋体" w:eastAsia="黑体"/>
          <w:bCs/>
          <w:color w:val="auto"/>
          <w:sz w:val="24"/>
          <w:szCs w:val="24"/>
          <w:highlight w:val="none"/>
        </w:rPr>
      </w:pPr>
    </w:p>
    <w:p w14:paraId="262EC49C">
      <w:pPr>
        <w:ind w:firstLine="480"/>
        <w:rPr>
          <w:rFonts w:ascii="黑体" w:hAnsi="宋体" w:eastAsia="黑体"/>
          <w:bCs/>
          <w:color w:val="auto"/>
          <w:sz w:val="24"/>
          <w:szCs w:val="24"/>
          <w:highlight w:val="none"/>
        </w:rPr>
      </w:pPr>
    </w:p>
    <w:p w14:paraId="38FFC1B9">
      <w:pPr>
        <w:ind w:firstLine="480"/>
        <w:rPr>
          <w:rFonts w:ascii="黑体" w:hAnsi="宋体" w:eastAsia="黑体"/>
          <w:bCs/>
          <w:color w:val="auto"/>
          <w:sz w:val="24"/>
          <w:szCs w:val="24"/>
          <w:highlight w:val="none"/>
        </w:rPr>
      </w:pPr>
    </w:p>
    <w:p w14:paraId="60DB1C59">
      <w:pPr>
        <w:ind w:firstLine="480"/>
        <w:rPr>
          <w:rFonts w:ascii="黑体" w:hAnsi="宋体" w:eastAsia="黑体"/>
          <w:bCs/>
          <w:color w:val="auto"/>
          <w:sz w:val="24"/>
          <w:szCs w:val="24"/>
          <w:highlight w:val="none"/>
        </w:rPr>
      </w:pPr>
    </w:p>
    <w:p w14:paraId="0A54EE09">
      <w:pPr>
        <w:ind w:firstLine="420"/>
        <w:rPr>
          <w:rFonts w:ascii="黑体" w:hAnsi="宋体" w:eastAsia="黑体"/>
          <w:bCs/>
          <w:color w:val="auto"/>
          <w:sz w:val="24"/>
          <w:szCs w:val="24"/>
          <w:highlight w:val="none"/>
        </w:rPr>
      </w:pPr>
      <w:r>
        <w:rPr>
          <w:rFonts w:hint="eastAsia"/>
          <w:color w:val="auto"/>
          <w:highlight w:val="none"/>
        </w:rPr>
        <w:t>备注：上述所称“重大违法记录”，是指供应商因违法经营受到刑事处罚或者责令停产停业、吊销许可证或者执照、较大数额罚款等行政处罚。</w:t>
      </w:r>
    </w:p>
    <w:p w14:paraId="24E35A43">
      <w:pPr>
        <w:ind w:firstLine="480"/>
        <w:rPr>
          <w:rFonts w:ascii="黑体" w:hAnsi="宋体" w:eastAsia="黑体"/>
          <w:bCs/>
          <w:color w:val="auto"/>
          <w:sz w:val="24"/>
          <w:szCs w:val="24"/>
          <w:highlight w:val="none"/>
        </w:rPr>
      </w:pPr>
    </w:p>
    <w:p w14:paraId="7FB5C0F0">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（三）（投标人）法定代表人授权委托书（格式）：</w:t>
      </w:r>
    </w:p>
    <w:p w14:paraId="75784778">
      <w:pPr>
        <w:rPr>
          <w:rFonts w:ascii="黑体" w:eastAsia="黑体"/>
          <w:bCs/>
          <w:color w:val="auto"/>
          <w:sz w:val="28"/>
          <w:szCs w:val="28"/>
          <w:highlight w:val="none"/>
        </w:rPr>
      </w:pPr>
    </w:p>
    <w:p w14:paraId="19BFC435">
      <w:pPr>
        <w:jc w:val="center"/>
        <w:rPr>
          <w:rFonts w:ascii="黑体" w:eastAsia="黑体"/>
          <w:bCs/>
          <w:color w:val="auto"/>
          <w:sz w:val="28"/>
          <w:szCs w:val="28"/>
          <w:highlight w:val="none"/>
        </w:rPr>
      </w:pPr>
      <w:r>
        <w:rPr>
          <w:rFonts w:hint="eastAsia" w:ascii="黑体" w:eastAsia="黑体"/>
          <w:bCs/>
          <w:color w:val="auto"/>
          <w:sz w:val="28"/>
          <w:szCs w:val="28"/>
          <w:highlight w:val="none"/>
        </w:rPr>
        <w:t>法定代表人授权委托书</w:t>
      </w:r>
    </w:p>
    <w:p w14:paraId="052C8C78">
      <w:pPr>
        <w:spacing w:line="360" w:lineRule="auto"/>
        <w:jc w:val="center"/>
        <w:rPr>
          <w:rFonts w:ascii="楷体_GB2312" w:eastAsia="楷体_GB2312"/>
          <w:bCs/>
          <w:color w:val="auto"/>
          <w:sz w:val="36"/>
          <w:highlight w:val="none"/>
        </w:rPr>
      </w:pPr>
    </w:p>
    <w:p w14:paraId="0140ED43">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采购项目编号：</w:t>
      </w:r>
    </w:p>
    <w:p w14:paraId="7491D38D">
      <w:pPr>
        <w:spacing w:line="480" w:lineRule="auto"/>
        <w:jc w:val="center"/>
        <w:rPr>
          <w:rFonts w:ascii="宋体"/>
          <w:bCs/>
          <w:color w:val="auto"/>
          <w:sz w:val="24"/>
          <w:szCs w:val="24"/>
          <w:highlight w:val="none"/>
        </w:rPr>
      </w:pPr>
      <w:r>
        <w:rPr>
          <w:rFonts w:hint="eastAsia" w:ascii="宋体" w:hAnsi="宋体"/>
          <w:bCs/>
          <w:color w:val="auto"/>
          <w:sz w:val="24"/>
          <w:szCs w:val="24"/>
          <w:highlight w:val="none"/>
        </w:rPr>
        <w:t>日期：</w:t>
      </w:r>
    </w:p>
    <w:p w14:paraId="63447393">
      <w:pPr>
        <w:spacing w:line="600" w:lineRule="exact"/>
        <w:rPr>
          <w:rFonts w:ascii="宋体"/>
          <w:bCs/>
          <w:color w:val="auto"/>
          <w:sz w:val="24"/>
          <w:szCs w:val="24"/>
          <w:highlight w:val="none"/>
        </w:rPr>
      </w:pPr>
      <w:r>
        <w:rPr>
          <w:rFonts w:hint="eastAsia" w:ascii="宋体" w:hAnsi="宋体"/>
          <w:bCs/>
          <w:color w:val="auto"/>
          <w:sz w:val="24"/>
          <w:szCs w:val="24"/>
          <w:highlight w:val="none"/>
        </w:rPr>
        <w:t>无锡市新吴区人民政府旺庄街道办事处：</w:t>
      </w:r>
    </w:p>
    <w:p w14:paraId="6C3E145C">
      <w:pPr>
        <w:spacing w:line="600" w:lineRule="exact"/>
        <w:ind w:firstLine="480"/>
        <w:rPr>
          <w:rFonts w:ascii="宋体" w:hAnsi="宋体"/>
          <w:bCs/>
          <w:color w:val="auto"/>
          <w:sz w:val="24"/>
          <w:szCs w:val="24"/>
          <w:highlight w:val="none"/>
        </w:rPr>
      </w:pPr>
      <w:r>
        <w:rPr>
          <w:rFonts w:hint="eastAsia" w:ascii="宋体" w:hAnsi="宋体"/>
          <w:bCs/>
          <w:color w:val="auto"/>
          <w:sz w:val="24"/>
          <w:szCs w:val="24"/>
          <w:highlight w:val="none"/>
        </w:rPr>
        <w:t>系中华人民共和国合法公司（单位），特授权代表我公司（单位）全权办理针对本项目（</w:t>
      </w:r>
      <w:r>
        <w:rPr>
          <w:rFonts w:hint="eastAsia" w:ascii="宋体" w:hAnsi="宋体"/>
          <w:bCs/>
          <w:color w:val="auto"/>
          <w:sz w:val="24"/>
          <w:szCs w:val="24"/>
          <w:highlight w:val="none"/>
          <w:lang w:eastAsia="zh-CN"/>
        </w:rPr>
        <w:t>JSZC-320214-JSZH-G2026-0023</w:t>
      </w:r>
      <w:r>
        <w:rPr>
          <w:rFonts w:hint="eastAsia" w:ascii="宋体" w:hAnsi="宋体"/>
          <w:bCs/>
          <w:color w:val="auto"/>
          <w:sz w:val="24"/>
          <w:szCs w:val="24"/>
          <w:highlight w:val="none"/>
        </w:rPr>
        <w:t>）的投标、参与开标、评标、签约等具体工作，并签署全部有关的文件、协议及合同。</w:t>
      </w:r>
    </w:p>
    <w:p w14:paraId="15F1438D">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14:paraId="3A8A23D8">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14:paraId="5D55C74B">
      <w:pPr>
        <w:spacing w:line="580" w:lineRule="exact"/>
        <w:ind w:firstLine="480"/>
        <w:rPr>
          <w:rFonts w:ascii="宋体"/>
          <w:bCs/>
          <w:color w:val="auto"/>
          <w:sz w:val="24"/>
          <w:szCs w:val="24"/>
          <w:highlight w:val="none"/>
        </w:rPr>
      </w:pPr>
      <w:r>
        <w:rPr>
          <w:rFonts w:hint="eastAsia" w:ascii="宋体" w:hAnsi="宋体"/>
          <w:bCs/>
          <w:color w:val="auto"/>
          <w:sz w:val="24"/>
          <w:szCs w:val="24"/>
          <w:highlight w:val="none"/>
        </w:rPr>
        <w:t>被授权代表情况：</w:t>
      </w:r>
    </w:p>
    <w:p w14:paraId="024B241A">
      <w:pPr>
        <w:spacing w:line="580" w:lineRule="exact"/>
        <w:ind w:firstLine="525"/>
        <w:rPr>
          <w:rFonts w:ascii="宋体"/>
          <w:bCs/>
          <w:color w:val="auto"/>
          <w:sz w:val="24"/>
          <w:szCs w:val="24"/>
          <w:highlight w:val="none"/>
        </w:rPr>
      </w:pPr>
      <w:r>
        <w:rPr>
          <w:rFonts w:hint="eastAsia" w:ascii="宋体" w:hAnsi="宋体"/>
          <w:bCs/>
          <w:color w:val="auto"/>
          <w:sz w:val="24"/>
          <w:szCs w:val="24"/>
          <w:highlight w:val="none"/>
        </w:rPr>
        <w:t>姓名：          性别：           电话：</w:t>
      </w:r>
    </w:p>
    <w:p w14:paraId="1920CE59">
      <w:pPr>
        <w:spacing w:line="580" w:lineRule="exact"/>
        <w:ind w:firstLine="3240"/>
        <w:rPr>
          <w:rFonts w:ascii="宋体"/>
          <w:bCs/>
          <w:color w:val="auto"/>
          <w:sz w:val="24"/>
          <w:szCs w:val="24"/>
          <w:highlight w:val="none"/>
        </w:rPr>
      </w:pPr>
    </w:p>
    <w:p w14:paraId="2A38CAD5">
      <w:pPr>
        <w:spacing w:line="580" w:lineRule="exact"/>
        <w:ind w:firstLine="3240"/>
        <w:rPr>
          <w:rFonts w:ascii="宋体"/>
          <w:bCs/>
          <w:color w:val="auto"/>
          <w:sz w:val="24"/>
          <w:szCs w:val="24"/>
          <w:highlight w:val="none"/>
        </w:rPr>
      </w:pPr>
    </w:p>
    <w:p w14:paraId="0939317E">
      <w:pPr>
        <w:spacing w:line="580" w:lineRule="exact"/>
        <w:ind w:firstLine="4180"/>
        <w:rPr>
          <w:rFonts w:ascii="宋体"/>
          <w:bCs/>
          <w:color w:val="auto"/>
          <w:sz w:val="24"/>
          <w:szCs w:val="24"/>
          <w:highlight w:val="none"/>
        </w:rPr>
      </w:pPr>
      <w:r>
        <w:rPr>
          <w:rFonts w:hint="eastAsia" w:ascii="宋体" w:hAnsi="宋体"/>
          <w:bCs/>
          <w:color w:val="auto"/>
          <w:sz w:val="24"/>
          <w:szCs w:val="24"/>
          <w:highlight w:val="none"/>
        </w:rPr>
        <w:t>单位名称（盖章）：</w:t>
      </w:r>
    </w:p>
    <w:p w14:paraId="78FA29FB">
      <w:pPr>
        <w:spacing w:line="580" w:lineRule="exact"/>
        <w:ind w:firstLine="4080"/>
        <w:rPr>
          <w:rFonts w:ascii="宋体"/>
          <w:bCs/>
          <w:color w:val="auto"/>
          <w:sz w:val="24"/>
          <w:szCs w:val="24"/>
          <w:highlight w:val="none"/>
        </w:rPr>
      </w:pPr>
      <w:r>
        <w:rPr>
          <w:rFonts w:hint="eastAsia" w:ascii="宋体" w:hAnsi="宋体"/>
          <w:bCs/>
          <w:color w:val="auto"/>
          <w:sz w:val="24"/>
          <w:szCs w:val="24"/>
          <w:highlight w:val="none"/>
        </w:rPr>
        <w:t>法定代表人（签字或盖章）：</w:t>
      </w:r>
    </w:p>
    <w:p w14:paraId="30A064E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（四）（投标人）中小企业声明函（格式）：</w:t>
      </w:r>
    </w:p>
    <w:p w14:paraId="13563199">
      <w:pPr>
        <w:keepNext w:val="0"/>
        <w:keepLines w:val="0"/>
        <w:pageBreakBefore w:val="0"/>
        <w:widowControl w:val="0"/>
        <w:kinsoku/>
        <w:wordWrap/>
        <w:overflowPunct/>
        <w:topLinePunct w:val="0"/>
        <w:autoSpaceDE/>
        <w:autoSpaceDN/>
        <w:bidi w:val="0"/>
        <w:adjustRightInd/>
        <w:snapToGrid/>
        <w:spacing w:line="480" w:lineRule="auto"/>
        <w:ind w:firstLine="560" w:firstLineChars="200"/>
        <w:jc w:val="center"/>
        <w:textAlignment w:val="auto"/>
        <w:rPr>
          <w:rFonts w:ascii="黑体" w:eastAsia="黑体"/>
          <w:bCs/>
          <w:color w:val="auto"/>
          <w:sz w:val="28"/>
          <w:szCs w:val="28"/>
          <w:highlight w:val="none"/>
        </w:rPr>
      </w:pPr>
      <w:r>
        <w:rPr>
          <w:rFonts w:ascii="黑体" w:eastAsia="黑体"/>
          <w:bCs/>
          <w:color w:val="auto"/>
          <w:sz w:val="28"/>
          <w:szCs w:val="28"/>
          <w:highlight w:val="none"/>
        </w:rPr>
        <w:t>中小企业声明函（服务）</w:t>
      </w:r>
    </w:p>
    <w:p w14:paraId="27C57A8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采购活动，服务全部由符合政策要求的中小企业承接。相关企业（含联合体中的中小企业、签订分包意向协议的中小企业）的具体情况如下：</w:t>
      </w:r>
    </w:p>
    <w:p w14:paraId="42F5144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，从业人员人，营业收入为万元，资产总额为万元，属于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4C02B0FF">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（采购文件中明确的所属行业）</w:t>
      </w:r>
      <w:r>
        <w:rPr>
          <w:rFonts w:ascii="宋体" w:hAnsi="宋体"/>
          <w:bCs/>
          <w:color w:val="auto"/>
          <w:sz w:val="24"/>
          <w:szCs w:val="24"/>
          <w:highlight w:val="none"/>
        </w:rPr>
        <w:t>； 承建（承接）企业为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，从业人员人，营业收入为万元，资产总额为万元，属于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14:paraId="5486ED8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w:t>
      </w:r>
    </w:p>
    <w:p w14:paraId="53DB0ED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5381BC63">
      <w:pPr>
        <w:rPr>
          <w:rFonts w:ascii="黑体" w:hAnsi="宋体" w:eastAsia="黑体"/>
          <w:bCs/>
          <w:color w:val="auto"/>
          <w:sz w:val="24"/>
          <w:szCs w:val="24"/>
          <w:highlight w:val="none"/>
        </w:rPr>
      </w:pPr>
    </w:p>
    <w:p w14:paraId="3D3830F0">
      <w:pPr>
        <w:rPr>
          <w:rFonts w:ascii="黑体" w:hAnsi="宋体" w:eastAsia="黑体"/>
          <w:bCs/>
          <w:color w:val="auto"/>
          <w:sz w:val="24"/>
          <w:szCs w:val="24"/>
          <w:highlight w:val="none"/>
        </w:rPr>
      </w:pPr>
    </w:p>
    <w:p w14:paraId="58F81F32">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1496B44D">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w:t>
      </w:r>
      <w:r>
        <w:rPr>
          <w:rFonts w:hint="eastAsia" w:ascii="宋体" w:hAnsi="宋体"/>
          <w:bCs/>
          <w:color w:val="auto"/>
          <w:sz w:val="24"/>
          <w:szCs w:val="24"/>
          <w:highlight w:val="none"/>
          <w:lang w:eastAsia="zh-CN"/>
        </w:rPr>
        <w:t xml:space="preserve">      </w:t>
      </w:r>
      <w:r>
        <w:rPr>
          <w:rFonts w:hint="eastAsia" w:ascii="宋体" w:hAnsi="宋体"/>
          <w:bCs/>
          <w:color w:val="auto"/>
          <w:sz w:val="24"/>
          <w:szCs w:val="24"/>
          <w:highlight w:val="none"/>
        </w:rPr>
        <w:t>期：</w:t>
      </w:r>
    </w:p>
    <w:p w14:paraId="629DD1F6">
      <w:pPr>
        <w:spacing w:line="360" w:lineRule="auto"/>
        <w:rPr>
          <w:rFonts w:ascii="宋体" w:hAnsi="宋体"/>
          <w:bCs/>
          <w:color w:val="auto"/>
          <w:sz w:val="24"/>
          <w:szCs w:val="24"/>
          <w:highlight w:val="none"/>
        </w:rPr>
      </w:pPr>
    </w:p>
    <w:p w14:paraId="08A929C6">
      <w:pPr>
        <w:rPr>
          <w:color w:val="auto"/>
          <w:highlight w:val="none"/>
        </w:rPr>
      </w:pPr>
      <w:r>
        <w:rPr>
          <w:rFonts w:hint="eastAsia"/>
          <w:color w:val="auto"/>
          <w:highlight w:val="none"/>
        </w:rPr>
        <w:t>注：1.</w:t>
      </w:r>
      <w:r>
        <w:rPr>
          <w:color w:val="auto"/>
          <w:highlight w:val="none"/>
        </w:rPr>
        <w:t>从业人员、营业收入、资产总额填报上一年度数据，无上一年度数据的新成立企业可不填报。</w:t>
      </w:r>
    </w:p>
    <w:p w14:paraId="1F51DCB9">
      <w:pPr>
        <w:ind w:firstLine="420"/>
        <w:rPr>
          <w:color w:val="auto"/>
          <w:highlight w:val="none"/>
        </w:rPr>
      </w:pPr>
      <w:r>
        <w:rPr>
          <w:rFonts w:hint="eastAsia"/>
          <w:color w:val="auto"/>
          <w:highlight w:val="none"/>
        </w:rPr>
        <w:t>2.中标供应商的《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138D3CDD">
      <w:pPr>
        <w:keepNext w:val="0"/>
        <w:keepLines w:val="0"/>
        <w:pageBreakBefore w:val="0"/>
        <w:widowControl w:val="0"/>
        <w:kinsoku/>
        <w:wordWrap/>
        <w:overflowPunct/>
        <w:topLinePunct w:val="0"/>
        <w:autoSpaceDE/>
        <w:autoSpaceDN/>
        <w:bidi w:val="0"/>
        <w:adjustRightInd/>
        <w:snapToGrid/>
        <w:spacing w:line="480" w:lineRule="auto"/>
        <w:ind w:firstLine="420"/>
        <w:jc w:val="left"/>
        <w:textAlignment w:val="auto"/>
        <w:rPr>
          <w:rFonts w:ascii="黑体" w:hAnsi="宋体" w:eastAsia="黑体"/>
          <w:bCs/>
          <w:color w:val="auto"/>
          <w:sz w:val="24"/>
          <w:szCs w:val="24"/>
          <w:highlight w:val="none"/>
        </w:rPr>
      </w:pPr>
      <w:r>
        <w:rPr>
          <w:rFonts w:hint="eastAsia"/>
          <w:color w:val="auto"/>
          <w:highlight w:val="none"/>
        </w:rPr>
        <w:t>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（五）（投标人）残疾人福利性单位声明函（格式）：</w:t>
      </w:r>
    </w:p>
    <w:p w14:paraId="6AC5B34B">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315B97B2">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5605EC">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39A0FBFC">
      <w:pPr>
        <w:spacing w:line="580" w:lineRule="exact"/>
        <w:ind w:firstLine="480"/>
        <w:rPr>
          <w:rFonts w:ascii="宋体" w:hAnsi="宋体"/>
          <w:bCs/>
          <w:color w:val="auto"/>
          <w:sz w:val="24"/>
          <w:szCs w:val="24"/>
          <w:highlight w:val="none"/>
        </w:rPr>
      </w:pPr>
    </w:p>
    <w:p w14:paraId="11310D7E">
      <w:pPr>
        <w:spacing w:line="580" w:lineRule="exact"/>
        <w:ind w:firstLine="480"/>
        <w:rPr>
          <w:rFonts w:ascii="宋体" w:hAnsi="宋体"/>
          <w:bCs/>
          <w:color w:val="auto"/>
          <w:sz w:val="24"/>
          <w:szCs w:val="24"/>
          <w:highlight w:val="none"/>
        </w:rPr>
      </w:pPr>
    </w:p>
    <w:p w14:paraId="4ED08755">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3FEBFD04">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14:paraId="6AF505B9">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（六）承诺书（格式）：</w:t>
      </w:r>
    </w:p>
    <w:p w14:paraId="7E6D4A82">
      <w:pPr>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3B7B257D">
      <w:pPr>
        <w:jc w:val="center"/>
        <w:rPr>
          <w:rFonts w:ascii="黑体" w:eastAsia="黑体"/>
          <w:bCs/>
          <w:color w:val="auto"/>
          <w:sz w:val="28"/>
          <w:szCs w:val="28"/>
          <w:highlight w:val="none"/>
        </w:rPr>
      </w:pPr>
    </w:p>
    <w:p w14:paraId="220CCC2E">
      <w:pPr>
        <w:spacing w:line="480" w:lineRule="auto"/>
        <w:rPr>
          <w:rFonts w:ascii="宋体" w:hAnsi="宋体"/>
          <w:color w:val="auto"/>
          <w:sz w:val="24"/>
          <w:szCs w:val="24"/>
          <w:highlight w:val="none"/>
        </w:rPr>
      </w:pPr>
      <w:r>
        <w:rPr>
          <w:rFonts w:hint="eastAsia" w:ascii="宋体" w:hAnsi="宋体"/>
          <w:color w:val="auto"/>
          <w:sz w:val="24"/>
          <w:szCs w:val="24"/>
          <w:highlight w:val="none"/>
        </w:rPr>
        <w:t>（投标人名称）针</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JSZC-320214-JSZH-G2026-0023</w:t>
      </w:r>
      <w:r>
        <w:rPr>
          <w:rFonts w:hint="eastAsia" w:ascii="宋体" w:hAnsi="宋体"/>
          <w:bCs/>
          <w:color w:val="auto"/>
          <w:sz w:val="24"/>
          <w:szCs w:val="24"/>
          <w:highlight w:val="none"/>
        </w:rPr>
        <w:t>）</w:t>
      </w:r>
      <w:r>
        <w:rPr>
          <w:rFonts w:hint="eastAsia" w:ascii="宋体" w:hAnsi="宋体"/>
          <w:color w:val="auto"/>
          <w:sz w:val="24"/>
          <w:szCs w:val="24"/>
          <w:highlight w:val="none"/>
        </w:rPr>
        <w:t>在此承诺：</w:t>
      </w:r>
    </w:p>
    <w:p w14:paraId="5CFDD4BD">
      <w:pPr>
        <w:spacing w:line="480" w:lineRule="auto"/>
        <w:rPr>
          <w:rFonts w:ascii="宋体" w:hAnsi="宋体"/>
          <w:color w:val="auto"/>
          <w:sz w:val="24"/>
          <w:szCs w:val="24"/>
          <w:highlight w:val="none"/>
        </w:rPr>
      </w:pPr>
    </w:p>
    <w:p w14:paraId="51249A8D">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olor w:val="auto"/>
          <w:sz w:val="24"/>
          <w:szCs w:val="24"/>
          <w:highlight w:val="none"/>
        </w:rPr>
        <w:t>本公司（单位）</w:t>
      </w:r>
      <w:r>
        <w:rPr>
          <w:rFonts w:hint="eastAsia" w:ascii="宋体" w:hAnsi="宋体"/>
          <w:bCs/>
          <w:color w:val="auto"/>
          <w:sz w:val="24"/>
          <w:szCs w:val="24"/>
          <w:highlight w:val="none"/>
        </w:rPr>
        <w:t>对本项目（</w:t>
      </w:r>
      <w:r>
        <w:rPr>
          <w:rFonts w:hint="eastAsia" w:ascii="宋体" w:hAnsi="宋体"/>
          <w:bCs/>
          <w:color w:val="auto"/>
          <w:sz w:val="24"/>
          <w:szCs w:val="24"/>
          <w:highlight w:val="none"/>
          <w:lang w:eastAsia="zh-CN"/>
        </w:rPr>
        <w:t>JSZC-320214-JSZH-G2026-0023</w:t>
      </w:r>
      <w:r>
        <w:rPr>
          <w:rFonts w:hint="eastAsia" w:ascii="宋体" w:hAnsi="宋体"/>
          <w:bCs/>
          <w:color w:val="auto"/>
          <w:sz w:val="24"/>
          <w:szCs w:val="24"/>
          <w:highlight w:val="none"/>
        </w:rPr>
        <w:t>）所提供的服务符合招标文件要求；</w:t>
      </w:r>
    </w:p>
    <w:p w14:paraId="633BAE26">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具备履行合同所必需的人员、设备和专业技术能力；</w:t>
      </w:r>
    </w:p>
    <w:p w14:paraId="27FC686B">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202"/>
          <w:rFonts w:hint="eastAsia" w:ascii="宋体" w:hAnsi="宋体"/>
          <w:bCs/>
          <w:color w:val="auto"/>
          <w:sz w:val="24"/>
          <w:szCs w:val="24"/>
          <w:highlight w:val="none"/>
        </w:rPr>
        <w:t>www.creditchina.gov.cn</w:t>
      </w:r>
      <w:r>
        <w:rPr>
          <w:rStyle w:val="202"/>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r>
        <w:rPr>
          <w:rFonts w:hint="eastAsia" w:ascii="宋体" w:hAnsi="宋体"/>
          <w:bCs/>
          <w:color w:val="auto"/>
          <w:sz w:val="24"/>
          <w:szCs w:val="24"/>
          <w:highlight w:val="none"/>
        </w:rPr>
        <w:t>；</w:t>
      </w:r>
    </w:p>
    <w:p w14:paraId="2F35EE6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4.本公司（单位）保证中标后合同签订前，将按招标文件要求及所投投标文件中做出的相应承诺将相关人员及时配置到位。</w:t>
      </w:r>
    </w:p>
    <w:p w14:paraId="5D30553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w:t>
      </w:r>
    </w:p>
    <w:p w14:paraId="12325C8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6.</w:t>
      </w:r>
    </w:p>
    <w:p w14:paraId="2CB6B48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7.</w:t>
      </w:r>
    </w:p>
    <w:p w14:paraId="64B1EB5E">
      <w:pPr>
        <w:tabs>
          <w:tab w:val="left" w:pos="945"/>
        </w:tabs>
        <w:spacing w:line="360" w:lineRule="auto"/>
        <w:ind w:firstLine="465"/>
        <w:rPr>
          <w:rFonts w:ascii="宋体" w:hAnsi="宋体" w:cs="宋体"/>
          <w:color w:val="auto"/>
          <w:sz w:val="24"/>
          <w:szCs w:val="24"/>
          <w:highlight w:val="none"/>
        </w:rPr>
      </w:pPr>
      <w:r>
        <w:rPr>
          <w:rFonts w:hint="eastAsia" w:ascii="宋体" w:hAnsi="宋体" w:cs="宋体"/>
          <w:color w:val="auto"/>
          <w:sz w:val="24"/>
          <w:szCs w:val="24"/>
          <w:highlight w:val="none"/>
        </w:rPr>
        <w:t>8.</w:t>
      </w:r>
    </w:p>
    <w:p w14:paraId="0C9BCF83">
      <w:pPr>
        <w:spacing w:line="480" w:lineRule="auto"/>
        <w:ind w:firstLine="960"/>
        <w:rPr>
          <w:rFonts w:ascii="宋体" w:hAnsi="宋体"/>
          <w:bCs/>
          <w:color w:val="auto"/>
          <w:sz w:val="24"/>
          <w:szCs w:val="24"/>
          <w:highlight w:val="none"/>
        </w:rPr>
      </w:pPr>
      <w:r>
        <w:rPr>
          <w:rFonts w:ascii="宋体" w:hAnsi="宋体"/>
          <w:bCs/>
          <w:color w:val="auto"/>
          <w:sz w:val="24"/>
          <w:szCs w:val="24"/>
          <w:highlight w:val="none"/>
        </w:rPr>
        <w:t>…………………</w:t>
      </w:r>
    </w:p>
    <w:p w14:paraId="0AA0889A">
      <w:pPr>
        <w:spacing w:line="48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04BADC0A">
      <w:pPr>
        <w:spacing w:line="480" w:lineRule="auto"/>
        <w:rPr>
          <w:rFonts w:ascii="宋体" w:hAnsi="宋体"/>
          <w:bCs/>
          <w:color w:val="auto"/>
          <w:sz w:val="24"/>
          <w:szCs w:val="24"/>
          <w:highlight w:val="none"/>
        </w:rPr>
      </w:pPr>
    </w:p>
    <w:p w14:paraId="2AD2FA44">
      <w:pPr>
        <w:spacing w:line="480" w:lineRule="auto"/>
        <w:ind w:firstLine="3720"/>
        <w:rPr>
          <w:rFonts w:ascii="宋体" w:hAnsi="宋体"/>
          <w:bCs/>
          <w:color w:val="auto"/>
          <w:sz w:val="24"/>
          <w:szCs w:val="24"/>
          <w:highlight w:val="none"/>
        </w:rPr>
      </w:pPr>
      <w:r>
        <w:rPr>
          <w:rFonts w:hint="eastAsia" w:ascii="宋体" w:hAnsi="宋体"/>
          <w:color w:val="auto"/>
          <w:sz w:val="24"/>
          <w:szCs w:val="24"/>
          <w:highlight w:val="none"/>
        </w:rPr>
        <w:t>投标人</w:t>
      </w:r>
      <w:r>
        <w:rPr>
          <w:rFonts w:hint="eastAsia" w:ascii="宋体" w:hAnsi="宋体"/>
          <w:bCs/>
          <w:color w:val="auto"/>
          <w:sz w:val="24"/>
          <w:szCs w:val="24"/>
          <w:highlight w:val="none"/>
        </w:rPr>
        <w:t>（盖章）：</w:t>
      </w:r>
    </w:p>
    <w:p w14:paraId="70E18850">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14:paraId="4E0FA35B">
      <w:pPr>
        <w:spacing w:line="480" w:lineRule="auto"/>
        <w:ind w:firstLine="480"/>
        <w:rPr>
          <w:rFonts w:ascii="宋体" w:hAnsi="宋体"/>
          <w:bCs/>
          <w:color w:val="auto"/>
          <w:sz w:val="24"/>
          <w:szCs w:val="24"/>
          <w:highlight w:val="none"/>
        </w:rPr>
      </w:pPr>
    </w:p>
    <w:p w14:paraId="2046D3ED">
      <w:pPr>
        <w:spacing w:line="480" w:lineRule="auto"/>
        <w:ind w:firstLine="420"/>
        <w:rPr>
          <w:rFonts w:ascii="宋体"/>
          <w:bCs/>
          <w:color w:val="auto"/>
          <w:sz w:val="24"/>
          <w:szCs w:val="24"/>
          <w:highlight w:val="none"/>
        </w:rPr>
      </w:pPr>
      <w:r>
        <w:rPr>
          <w:rFonts w:hint="eastAsia" w:ascii="宋体" w:hAnsi="宋体"/>
          <w:bCs/>
          <w:color w:val="auto"/>
          <w:szCs w:val="21"/>
          <w:highlight w:val="none"/>
        </w:rPr>
        <w:t>注：以上内容由投标单位根据采购要求可自行完善。</w:t>
      </w:r>
    </w:p>
    <w:p w14:paraId="588F2D5C">
      <w:pPr>
        <w:ind w:firstLine="480"/>
        <w:rPr>
          <w:rFonts w:ascii="黑体" w:hAnsi="宋体" w:eastAsia="黑体"/>
          <w:bCs/>
          <w:color w:val="auto"/>
          <w:sz w:val="24"/>
          <w:szCs w:val="24"/>
          <w:highlight w:val="none"/>
        </w:rPr>
      </w:pPr>
    </w:p>
    <w:p w14:paraId="05F22C8F">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（七）开标一览表（格式）：</w:t>
      </w:r>
    </w:p>
    <w:p w14:paraId="4E874D48">
      <w:pPr>
        <w:jc w:val="center"/>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17349B2C">
      <w:pPr>
        <w:spacing w:line="300" w:lineRule="auto"/>
        <w:rPr>
          <w:rFonts w:ascii="宋体" w:hAnsi="宋体" w:cs="宋体"/>
          <w:color w:val="auto"/>
          <w:highlight w:val="none"/>
        </w:rPr>
      </w:pPr>
    </w:p>
    <w:p w14:paraId="48ACFC2E">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JSZC-320214-JSZH-G2026-0023</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82"/>
        <w:gridCol w:w="4798"/>
      </w:tblGrid>
      <w:tr w14:paraId="06831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282" w:type="dxa"/>
            <w:noWrap/>
            <w:vAlign w:val="center"/>
          </w:tcPr>
          <w:p w14:paraId="3F055011">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4798" w:type="dxa"/>
            <w:noWrap/>
            <w:vAlign w:val="center"/>
          </w:tcPr>
          <w:p w14:paraId="782C468E">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14:paraId="602D8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29" w:hRule="atLeast"/>
          <w:jc w:val="center"/>
        </w:trPr>
        <w:tc>
          <w:tcPr>
            <w:tcW w:w="5282" w:type="dxa"/>
            <w:noWrap/>
            <w:vAlign w:val="center"/>
          </w:tcPr>
          <w:p w14:paraId="744762CA">
            <w:pPr>
              <w:pStyle w:val="358"/>
              <w:spacing w:line="400" w:lineRule="exact"/>
              <w:jc w:val="center"/>
              <w:rPr>
                <w:rFonts w:hint="eastAsia" w:hAnsi="宋体" w:eastAsia="宋体"/>
                <w:bCs/>
                <w:color w:val="auto"/>
                <w:szCs w:val="24"/>
                <w:highlight w:val="none"/>
                <w:lang w:eastAsia="zh-CN"/>
              </w:rPr>
            </w:pPr>
            <w:r>
              <w:rPr>
                <w:rFonts w:hint="eastAsia" w:hAnsi="宋体"/>
                <w:bCs/>
                <w:color w:val="auto"/>
                <w:szCs w:val="24"/>
                <w:highlight w:val="none"/>
                <w:lang w:eastAsia="zh-CN"/>
              </w:rPr>
              <w:t>特种设备安全、食品安全委托协作管理项目</w:t>
            </w:r>
          </w:p>
        </w:tc>
        <w:tc>
          <w:tcPr>
            <w:tcW w:w="4798" w:type="dxa"/>
            <w:noWrap/>
            <w:vAlign w:val="center"/>
          </w:tcPr>
          <w:p w14:paraId="7EE5BB7B">
            <w:pPr>
              <w:pStyle w:val="358"/>
              <w:spacing w:line="360" w:lineRule="auto"/>
              <w:rPr>
                <w:rFonts w:hAnsi="宋体"/>
                <w:bCs/>
                <w:color w:val="auto"/>
                <w:szCs w:val="24"/>
                <w:highlight w:val="none"/>
              </w:rPr>
            </w:pPr>
            <w:r>
              <w:rPr>
                <w:rFonts w:hint="eastAsia" w:hAnsi="宋体"/>
                <w:bCs/>
                <w:color w:val="auto"/>
                <w:szCs w:val="24"/>
                <w:highlight w:val="none"/>
              </w:rPr>
              <w:t>投标报价（小写）：</w:t>
            </w:r>
            <w:r>
              <w:rPr>
                <w:rFonts w:hint="eastAsia" w:hAnsi="宋体"/>
                <w:bCs/>
                <w:color w:val="auto"/>
                <w:szCs w:val="24"/>
                <w:highlight w:val="none"/>
                <w:lang w:eastAsia="zh-CN"/>
              </w:rPr>
              <w:t xml:space="preserve">   </w:t>
            </w:r>
            <w:r>
              <w:rPr>
                <w:rFonts w:hint="eastAsia" w:hAnsi="宋体"/>
                <w:bCs/>
                <w:color w:val="auto"/>
                <w:szCs w:val="24"/>
                <w:highlight w:val="none"/>
              </w:rPr>
              <w:t xml:space="preserve">      元</w:t>
            </w:r>
          </w:p>
          <w:p w14:paraId="6505C6AC">
            <w:pPr>
              <w:pStyle w:val="358"/>
              <w:spacing w:line="360" w:lineRule="auto"/>
              <w:rPr>
                <w:bCs/>
                <w:color w:val="auto"/>
                <w:highlight w:val="none"/>
              </w:rPr>
            </w:pPr>
            <w:r>
              <w:rPr>
                <w:rFonts w:hint="eastAsia" w:hAnsi="宋体"/>
                <w:bCs/>
                <w:color w:val="auto"/>
                <w:szCs w:val="24"/>
                <w:highlight w:val="none"/>
              </w:rPr>
              <w:t>投标报价（大写）：</w:t>
            </w:r>
            <w:r>
              <w:rPr>
                <w:rFonts w:hint="eastAsia" w:hAnsi="宋体"/>
                <w:bCs/>
                <w:color w:val="auto"/>
                <w:szCs w:val="24"/>
                <w:highlight w:val="none"/>
                <w:u w:val="single"/>
              </w:rPr>
              <w:t xml:space="preserve"> </w:t>
            </w:r>
            <w:r>
              <w:rPr>
                <w:rFonts w:hint="eastAsia" w:hAnsi="宋体"/>
                <w:bCs/>
                <w:color w:val="auto"/>
                <w:szCs w:val="24"/>
                <w:highlight w:val="none"/>
                <w:u w:val="single"/>
                <w:lang w:eastAsia="zh-CN"/>
              </w:rPr>
              <w:t xml:space="preserve"> </w:t>
            </w:r>
            <w:r>
              <w:rPr>
                <w:rFonts w:hint="eastAsia"/>
                <w:bCs/>
                <w:color w:val="auto"/>
                <w:highlight w:val="none"/>
                <w:u w:val="single"/>
                <w:lang w:eastAsia="zh-CN"/>
              </w:rPr>
              <w:t xml:space="preserve">  </w:t>
            </w:r>
            <w:r>
              <w:rPr>
                <w:rFonts w:hint="eastAsia"/>
                <w:bCs/>
                <w:color w:val="auto"/>
                <w:highlight w:val="none"/>
                <w:u w:val="single"/>
              </w:rPr>
              <w:t xml:space="preserve">     </w:t>
            </w:r>
          </w:p>
        </w:tc>
      </w:tr>
      <w:tr w14:paraId="26B31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10080" w:type="dxa"/>
            <w:gridSpan w:val="2"/>
            <w:noWrap/>
            <w:vAlign w:val="center"/>
          </w:tcPr>
          <w:p w14:paraId="0D5167B8">
            <w:pPr>
              <w:spacing w:line="300" w:lineRule="auto"/>
              <w:jc w:val="left"/>
              <w:rPr>
                <w:rFonts w:ascii="宋体" w:hAnsi="宋体" w:cs="宋体"/>
                <w:color w:val="auto"/>
                <w:sz w:val="24"/>
                <w:highlight w:val="none"/>
              </w:rPr>
            </w:pPr>
            <w:r>
              <w:rPr>
                <w:rFonts w:hint="eastAsia" w:ascii="宋体" w:hAnsi="宋体"/>
                <w:color w:val="auto"/>
                <w:sz w:val="24"/>
                <w:highlight w:val="none"/>
              </w:rPr>
              <w:t>服务期：</w:t>
            </w:r>
          </w:p>
        </w:tc>
      </w:tr>
      <w:tr w14:paraId="73C50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26" w:hRule="atLeast"/>
          <w:jc w:val="center"/>
        </w:trPr>
        <w:tc>
          <w:tcPr>
            <w:tcW w:w="10080" w:type="dxa"/>
            <w:gridSpan w:val="2"/>
            <w:noWrap/>
            <w:vAlign w:val="center"/>
          </w:tcPr>
          <w:p w14:paraId="4D721E01">
            <w:pPr>
              <w:spacing w:line="300" w:lineRule="auto"/>
              <w:jc w:val="left"/>
              <w:rPr>
                <w:rFonts w:ascii="宋体" w:hAnsi="宋体" w:cs="宋体"/>
                <w:color w:val="auto"/>
                <w:sz w:val="24"/>
                <w:highlight w:val="none"/>
              </w:rPr>
            </w:pPr>
            <w:r>
              <w:rPr>
                <w:rFonts w:hint="eastAsia" w:ascii="宋体" w:hAnsi="宋体" w:cs="宋体"/>
                <w:color w:val="auto"/>
                <w:sz w:val="24"/>
                <w:highlight w:val="none"/>
              </w:rPr>
              <w:t>服务质量：</w:t>
            </w:r>
          </w:p>
        </w:tc>
      </w:tr>
      <w:tr w14:paraId="00EDE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8" w:hRule="atLeast"/>
          <w:jc w:val="center"/>
        </w:trPr>
        <w:tc>
          <w:tcPr>
            <w:tcW w:w="10080" w:type="dxa"/>
            <w:gridSpan w:val="2"/>
            <w:noWrap/>
            <w:vAlign w:val="center"/>
          </w:tcPr>
          <w:p w14:paraId="4493A590">
            <w:pPr>
              <w:spacing w:line="300" w:lineRule="auto"/>
              <w:jc w:val="left"/>
              <w:rPr>
                <w:rFonts w:ascii="宋体" w:hAnsi="宋体" w:cs="宋体"/>
                <w:color w:val="auto"/>
                <w:sz w:val="24"/>
                <w:highlight w:val="none"/>
              </w:rPr>
            </w:pPr>
            <w:r>
              <w:rPr>
                <w:rFonts w:hint="eastAsia" w:ascii="宋体" w:hAnsi="宋体" w:cs="宋体"/>
                <w:color w:val="auto"/>
                <w:sz w:val="24"/>
                <w:highlight w:val="none"/>
              </w:rPr>
              <w:t>项目负责人：</w:t>
            </w:r>
          </w:p>
        </w:tc>
      </w:tr>
    </w:tbl>
    <w:p w14:paraId="07D78DAB">
      <w:pPr>
        <w:spacing w:before="5"/>
        <w:rPr>
          <w:b/>
          <w:bCs/>
          <w:color w:val="auto"/>
          <w:sz w:val="24"/>
          <w:szCs w:val="24"/>
          <w:highlight w:val="none"/>
        </w:rPr>
      </w:pPr>
    </w:p>
    <w:p w14:paraId="15DA965C">
      <w:pPr>
        <w:spacing w:before="5"/>
        <w:rPr>
          <w:b/>
          <w:bCs/>
          <w:color w:val="auto"/>
          <w:sz w:val="24"/>
          <w:szCs w:val="24"/>
          <w:highlight w:val="none"/>
        </w:rPr>
      </w:pPr>
      <w:r>
        <w:rPr>
          <w:rFonts w:hint="eastAsia"/>
          <w:b/>
          <w:bCs/>
          <w:color w:val="auto"/>
          <w:sz w:val="24"/>
          <w:szCs w:val="24"/>
          <w:highlight w:val="none"/>
        </w:rPr>
        <w:t>法定代表人或法定代表人授权代表签字或盖章：</w:t>
      </w:r>
    </w:p>
    <w:p w14:paraId="1DE3FCAA">
      <w:pPr>
        <w:spacing w:line="400" w:lineRule="exact"/>
        <w:rPr>
          <w:rFonts w:ascii="黑体" w:eastAsia="黑体"/>
          <w:bCs/>
          <w:color w:val="auto"/>
          <w:sz w:val="32"/>
          <w:highlight w:val="none"/>
        </w:rPr>
      </w:pPr>
    </w:p>
    <w:p w14:paraId="5F2AC211">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填写说明：</w:t>
      </w:r>
    </w:p>
    <w:p w14:paraId="58A50C26">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1.评标时一律按开标一览表中内容为准，开标一览表中必须盖章或签字。</w:t>
      </w:r>
    </w:p>
    <w:p w14:paraId="4432782D">
      <w:pPr>
        <w:spacing w:line="500" w:lineRule="exact"/>
        <w:rPr>
          <w:rFonts w:ascii="宋体" w:hAnsi="宋体" w:cs="宋体"/>
          <w:b/>
          <w:color w:val="auto"/>
          <w:sz w:val="24"/>
          <w:highlight w:val="none"/>
        </w:rPr>
      </w:pPr>
      <w:r>
        <w:rPr>
          <w:rFonts w:hint="eastAsia" w:ascii="宋体" w:hAnsi="宋体" w:cs="宋体"/>
          <w:b/>
          <w:bCs/>
          <w:color w:val="auto"/>
          <w:sz w:val="24"/>
          <w:highlight w:val="none"/>
        </w:rPr>
        <w:t>2.供应商的投标报价的总额应是供应商在报价文件中提出的各项支付金额的总和，也应是完成投标文件所列采购需求的全部费用。</w:t>
      </w:r>
    </w:p>
    <w:p w14:paraId="2CC72C04">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（八）报价明细表（格式）：</w:t>
      </w:r>
    </w:p>
    <w:p w14:paraId="1450FB5C">
      <w:pPr>
        <w:spacing w:line="480" w:lineRule="auto"/>
        <w:jc w:val="center"/>
        <w:rPr>
          <w:rFonts w:hint="eastAsia" w:ascii="宋体" w:hAnsi="宋体"/>
          <w:bCs/>
          <w:color w:val="auto"/>
          <w:sz w:val="28"/>
          <w:szCs w:val="28"/>
          <w:highlight w:val="none"/>
        </w:rPr>
      </w:pPr>
      <w:r>
        <w:rPr>
          <w:rFonts w:hint="eastAsia" w:ascii="宋体" w:hAnsi="宋体"/>
          <w:bCs/>
          <w:color w:val="auto"/>
          <w:sz w:val="28"/>
          <w:szCs w:val="28"/>
          <w:highlight w:val="none"/>
        </w:rPr>
        <w:t>报价明细表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1"/>
        <w:gridCol w:w="1642"/>
        <w:gridCol w:w="1642"/>
        <w:gridCol w:w="1642"/>
        <w:gridCol w:w="1642"/>
        <w:gridCol w:w="1642"/>
      </w:tblGrid>
      <w:tr w14:paraId="108B1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1" w:type="dxa"/>
            <w:vAlign w:val="center"/>
          </w:tcPr>
          <w:p w14:paraId="5D0A97DC">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序号</w:t>
            </w:r>
          </w:p>
        </w:tc>
        <w:tc>
          <w:tcPr>
            <w:tcW w:w="1642" w:type="dxa"/>
            <w:vAlign w:val="center"/>
          </w:tcPr>
          <w:p w14:paraId="7A52D9C8">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内容</w:t>
            </w:r>
          </w:p>
        </w:tc>
        <w:tc>
          <w:tcPr>
            <w:tcW w:w="1642" w:type="dxa"/>
            <w:vAlign w:val="center"/>
          </w:tcPr>
          <w:p w14:paraId="48C40801">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数量</w:t>
            </w:r>
          </w:p>
        </w:tc>
        <w:tc>
          <w:tcPr>
            <w:tcW w:w="1642" w:type="dxa"/>
            <w:vAlign w:val="center"/>
          </w:tcPr>
          <w:p w14:paraId="140BE2A9">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单价</w:t>
            </w:r>
          </w:p>
        </w:tc>
        <w:tc>
          <w:tcPr>
            <w:tcW w:w="1642" w:type="dxa"/>
            <w:vAlign w:val="center"/>
          </w:tcPr>
          <w:p w14:paraId="54E055DA">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总价</w:t>
            </w:r>
          </w:p>
        </w:tc>
        <w:tc>
          <w:tcPr>
            <w:tcW w:w="1642" w:type="dxa"/>
            <w:vAlign w:val="center"/>
          </w:tcPr>
          <w:p w14:paraId="0279239B">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t>备注</w:t>
            </w:r>
          </w:p>
        </w:tc>
      </w:tr>
      <w:tr w14:paraId="12DE9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1" w:type="dxa"/>
            <w:vAlign w:val="center"/>
          </w:tcPr>
          <w:p w14:paraId="3D5FB0FF">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1329E7C3">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25D7B494">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24BA60D5">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33EF64C0">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0673BF2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r>
      <w:tr w14:paraId="058B2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1" w:type="dxa"/>
            <w:vAlign w:val="center"/>
          </w:tcPr>
          <w:p w14:paraId="669A37EA">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6006BFD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1333FAAE">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19FF2AB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44D59C6B">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55C426F7">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r>
      <w:tr w14:paraId="666A8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1" w:type="dxa"/>
            <w:vAlign w:val="center"/>
          </w:tcPr>
          <w:p w14:paraId="1466DFD9">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082BC1D4">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262D5BCB">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304546C5">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7427A6D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7D2363E7">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r>
      <w:tr w14:paraId="3E19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41" w:type="dxa"/>
            <w:vAlign w:val="center"/>
          </w:tcPr>
          <w:p w14:paraId="7D19EF91">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52AB3E5F">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24715F57">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13C13727">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39C23220">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c>
          <w:tcPr>
            <w:tcW w:w="1642" w:type="dxa"/>
            <w:vAlign w:val="center"/>
          </w:tcPr>
          <w:p w14:paraId="6A9E74CC">
            <w:pPr>
              <w:keepNext w:val="0"/>
              <w:keepLines w:val="0"/>
              <w:pageBreakBefore w:val="0"/>
              <w:widowControl w:val="0"/>
              <w:kinsoku/>
              <w:wordWrap/>
              <w:overflowPunct/>
              <w:topLinePunct w:val="0"/>
              <w:autoSpaceDE/>
              <w:autoSpaceDN/>
              <w:bidi w:val="0"/>
              <w:adjustRightInd/>
              <w:snapToGrid/>
              <w:ind w:firstLine="0"/>
              <w:jc w:val="center"/>
              <w:textAlignment w:val="auto"/>
              <w:rPr>
                <w:rFonts w:hint="eastAsia" w:ascii="宋体" w:hAnsi="宋体" w:eastAsia="宋体" w:cs="宋体"/>
                <w:color w:val="auto"/>
                <w:sz w:val="24"/>
                <w:szCs w:val="24"/>
                <w:highlight w:val="none"/>
                <w:vertAlign w:val="baseline"/>
                <w:lang w:val="en-US" w:eastAsia="zh-CN" w:bidi="ar-SA"/>
              </w:rPr>
            </w:pPr>
          </w:p>
        </w:tc>
      </w:tr>
    </w:tbl>
    <w:p w14:paraId="0669D65F">
      <w:pPr>
        <w:spacing w:line="480" w:lineRule="auto"/>
        <w:rPr>
          <w:rFonts w:ascii="宋体" w:hAnsi="宋体"/>
          <w:bCs/>
          <w:color w:val="auto"/>
          <w:sz w:val="24"/>
          <w:highlight w:val="none"/>
        </w:rPr>
      </w:pPr>
    </w:p>
    <w:p w14:paraId="7E35EFE0">
      <w:pPr>
        <w:spacing w:line="480" w:lineRule="auto"/>
        <w:rPr>
          <w:rFonts w:ascii="宋体" w:hAnsi="宋体"/>
          <w:bCs/>
          <w:color w:val="auto"/>
          <w:sz w:val="24"/>
          <w:highlight w:val="none"/>
        </w:rPr>
      </w:pPr>
      <w:r>
        <w:rPr>
          <w:rFonts w:hint="eastAsia" w:ascii="宋体" w:hAnsi="宋体"/>
          <w:bCs/>
          <w:color w:val="auto"/>
          <w:sz w:val="24"/>
          <w:highlight w:val="none"/>
        </w:rPr>
        <w:t>供应商（盖章）：</w:t>
      </w:r>
    </w:p>
    <w:p w14:paraId="69345E36">
      <w:pPr>
        <w:spacing w:line="480" w:lineRule="auto"/>
        <w:rPr>
          <w:rFonts w:ascii="宋体" w:hAnsi="宋体"/>
          <w:color w:val="auto"/>
          <w:sz w:val="24"/>
          <w:szCs w:val="24"/>
          <w:highlight w:val="none"/>
        </w:rPr>
      </w:pPr>
      <w:r>
        <w:rPr>
          <w:rFonts w:hint="eastAsia" w:ascii="宋体" w:hAnsi="宋体"/>
          <w:bCs/>
          <w:color w:val="auto"/>
          <w:sz w:val="24"/>
          <w:highlight w:val="none"/>
        </w:rPr>
        <w:t>法定代表人或授权代表签字或盖章：</w:t>
      </w:r>
    </w:p>
    <w:p w14:paraId="2058E6A7">
      <w:pPr>
        <w:spacing w:line="480" w:lineRule="auto"/>
        <w:jc w:val="left"/>
        <w:rPr>
          <w:rFonts w:hint="eastAsia" w:ascii="宋体" w:hAnsi="宋体"/>
          <w:bCs/>
          <w:color w:val="auto"/>
          <w:sz w:val="24"/>
          <w:highlight w:val="none"/>
        </w:rPr>
      </w:pPr>
      <w:r>
        <w:rPr>
          <w:rFonts w:hint="eastAsia" w:ascii="宋体" w:hAnsi="宋体"/>
          <w:bCs/>
          <w:color w:val="auto"/>
          <w:sz w:val="24"/>
          <w:highlight w:val="none"/>
        </w:rPr>
        <w:t>日期：</w:t>
      </w:r>
    </w:p>
    <w:p w14:paraId="3C1ACEC9">
      <w:pPr>
        <w:spacing w:line="480" w:lineRule="auto"/>
        <w:jc w:val="left"/>
        <w:rPr>
          <w:rFonts w:hint="eastAsia" w:ascii="宋体" w:hAnsi="宋体"/>
          <w:bCs/>
          <w:color w:val="auto"/>
          <w:sz w:val="24"/>
          <w:highlight w:val="none"/>
        </w:rPr>
      </w:pPr>
    </w:p>
    <w:p w14:paraId="2004C794">
      <w:pPr>
        <w:spacing w:line="40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lang w:val="en-US" w:eastAsia="zh-CN"/>
        </w:rPr>
        <w:t>注：</w:t>
      </w:r>
      <w:r>
        <w:rPr>
          <w:rFonts w:hint="eastAsia" w:ascii="宋体" w:hAnsi="宋体" w:cs="宋体"/>
          <w:color w:val="auto"/>
          <w:sz w:val="24"/>
          <w:highlight w:val="none"/>
        </w:rPr>
        <w:t>（1）投标人应当根据“采购需求”的内容在上表中详细填写；</w:t>
      </w:r>
    </w:p>
    <w:p w14:paraId="6A674D1B">
      <w:pPr>
        <w:spacing w:line="400" w:lineRule="exact"/>
        <w:ind w:firstLine="360" w:firstLineChars="150"/>
        <w:rPr>
          <w:rFonts w:hint="eastAsia" w:ascii="宋体" w:hAnsi="宋体" w:eastAsia="宋体" w:cs="宋体"/>
          <w:color w:val="auto"/>
          <w:sz w:val="24"/>
          <w:highlight w:val="none"/>
          <w:lang w:eastAsia="zh-CN"/>
        </w:rPr>
      </w:pPr>
      <w:r>
        <w:rPr>
          <w:rFonts w:hint="eastAsia" w:ascii="宋体" w:hAnsi="宋体" w:cs="宋体"/>
          <w:color w:val="auto"/>
          <w:sz w:val="24"/>
          <w:highlight w:val="none"/>
        </w:rPr>
        <w:t>（2）上述表格如有不尽之处，投标人必须自行添加相应内容并填写完善</w:t>
      </w:r>
      <w:r>
        <w:rPr>
          <w:rFonts w:hint="eastAsia" w:ascii="宋体" w:hAnsi="宋体" w:cs="宋体"/>
          <w:color w:val="auto"/>
          <w:sz w:val="24"/>
          <w:highlight w:val="none"/>
          <w:lang w:eastAsia="zh-CN"/>
        </w:rPr>
        <w:t>；</w:t>
      </w:r>
    </w:p>
    <w:p w14:paraId="22F4F47B">
      <w:pPr>
        <w:spacing w:line="400" w:lineRule="exact"/>
        <w:ind w:firstLine="360" w:firstLineChars="150"/>
        <w:rPr>
          <w:rFonts w:hint="eastAsia"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投标供应商报价时应充分考虑服务期内所有可能影响报价的因素，一旦投标结束最终中标，总价将包定，不予调整。如发生漏、缺、少项，都将被认为是中标供应商的报价让利行为，损失自负。</w:t>
      </w:r>
    </w:p>
    <w:p w14:paraId="0781484B">
      <w:pPr>
        <w:spacing w:line="400" w:lineRule="exact"/>
        <w:ind w:firstLine="360" w:firstLineChars="150"/>
        <w:rPr>
          <w:rFonts w:hint="eastAsia" w:ascii="宋体" w:hAnsi="宋体" w:cs="Times New Roman"/>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表格格式可自行改变、延长</w:t>
      </w:r>
      <w:r>
        <w:rPr>
          <w:rFonts w:hint="eastAsia" w:ascii="宋体" w:hAnsi="宋体" w:cs="宋体"/>
          <w:color w:val="auto"/>
          <w:sz w:val="24"/>
          <w:highlight w:val="none"/>
        </w:rPr>
        <w:t>。</w:t>
      </w:r>
    </w:p>
    <w:p w14:paraId="3CAE7852">
      <w:pPr>
        <w:spacing w:line="480" w:lineRule="auto"/>
        <w:jc w:val="left"/>
        <w:rPr>
          <w:rFonts w:ascii="宋体" w:hAnsi="宋体"/>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（九）投标偏离表（格式）：</w:t>
      </w:r>
    </w:p>
    <w:p w14:paraId="0ACD8DF3">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266DD872">
      <w:pPr>
        <w:spacing w:line="400" w:lineRule="exact"/>
        <w:jc w:val="center"/>
        <w:rPr>
          <w:rFonts w:ascii="黑体" w:eastAsia="黑体"/>
          <w:bCs/>
          <w:color w:val="auto"/>
          <w:sz w:val="28"/>
          <w:szCs w:val="28"/>
          <w:highlight w:val="none"/>
        </w:rPr>
      </w:pPr>
    </w:p>
    <w:p w14:paraId="0630B08D">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投标人名称（盖章）         采购项目编号：</w:t>
      </w:r>
      <w:r>
        <w:rPr>
          <w:rFonts w:hint="eastAsia" w:ascii="黑体" w:eastAsia="黑体"/>
          <w:bCs/>
          <w:color w:val="auto"/>
          <w:sz w:val="24"/>
          <w:szCs w:val="24"/>
          <w:highlight w:val="none"/>
          <w:lang w:eastAsia="zh-CN"/>
        </w:rPr>
        <w:t>JSZC-320214-JSZH-G2026-0023</w:t>
      </w:r>
    </w:p>
    <w:tbl>
      <w:tblPr>
        <w:tblStyle w:val="36"/>
        <w:tblW w:w="0" w:type="auto"/>
        <w:tblInd w:w="-60" w:type="dxa"/>
        <w:tblLayout w:type="fixed"/>
        <w:tblCellMar>
          <w:top w:w="15" w:type="dxa"/>
          <w:left w:w="15" w:type="dxa"/>
          <w:bottom w:w="0" w:type="dxa"/>
          <w:right w:w="15" w:type="dxa"/>
        </w:tblCellMar>
      </w:tblPr>
      <w:tblGrid>
        <w:gridCol w:w="1905"/>
        <w:gridCol w:w="2835"/>
        <w:gridCol w:w="2835"/>
        <w:gridCol w:w="2310"/>
      </w:tblGrid>
      <w:tr w14:paraId="294F5EA4">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E0A09BA">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A8B347D">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3617506">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26D5D8C">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CCAE079">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49C449E">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B805860">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CD8E6D6">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AF82B5E">
            <w:pPr>
              <w:jc w:val="center"/>
              <w:rPr>
                <w:rFonts w:ascii="宋体"/>
                <w:bCs/>
                <w:color w:val="auto"/>
                <w:highlight w:val="none"/>
              </w:rPr>
            </w:pPr>
          </w:p>
        </w:tc>
      </w:tr>
      <w:tr w14:paraId="03FEC87E">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5060FC0">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BA10E1">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7B16EA40">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761DB9E">
            <w:pPr>
              <w:jc w:val="center"/>
              <w:rPr>
                <w:rFonts w:ascii="宋体"/>
                <w:bCs/>
                <w:color w:val="auto"/>
                <w:highlight w:val="none"/>
              </w:rPr>
            </w:pPr>
          </w:p>
        </w:tc>
      </w:tr>
      <w:tr w14:paraId="73F49EB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90B057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2407E5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318ADA0">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D5D59AE">
            <w:pPr>
              <w:jc w:val="center"/>
              <w:rPr>
                <w:rFonts w:ascii="宋体"/>
                <w:bCs/>
                <w:color w:val="auto"/>
                <w:highlight w:val="none"/>
              </w:rPr>
            </w:pPr>
          </w:p>
        </w:tc>
      </w:tr>
      <w:tr w14:paraId="2F1F8A1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D3ACA7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A3B0238">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137CC31">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686CF8EB">
            <w:pPr>
              <w:jc w:val="center"/>
              <w:rPr>
                <w:rFonts w:ascii="宋体"/>
                <w:bCs/>
                <w:color w:val="auto"/>
                <w:highlight w:val="none"/>
              </w:rPr>
            </w:pPr>
          </w:p>
        </w:tc>
      </w:tr>
      <w:tr w14:paraId="6BFA6387">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344BEEE">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5EE32DA">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D47798F">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B47BF7D">
            <w:pPr>
              <w:jc w:val="center"/>
              <w:rPr>
                <w:rFonts w:ascii="宋体"/>
                <w:bCs/>
                <w:color w:val="auto"/>
                <w:highlight w:val="none"/>
              </w:rPr>
            </w:pPr>
          </w:p>
        </w:tc>
      </w:tr>
      <w:tr w14:paraId="4B2B0485">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A19C0D">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06510A4">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98811D0">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4CB7167E">
            <w:pPr>
              <w:jc w:val="center"/>
              <w:rPr>
                <w:rFonts w:ascii="宋体"/>
                <w:bCs/>
                <w:color w:val="auto"/>
                <w:highlight w:val="none"/>
              </w:rPr>
            </w:pPr>
          </w:p>
        </w:tc>
      </w:tr>
      <w:tr w14:paraId="59E3653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AF9C9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DEEF06F">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03A4A49">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4FA9596">
            <w:pPr>
              <w:jc w:val="center"/>
              <w:rPr>
                <w:rFonts w:ascii="宋体"/>
                <w:bCs/>
                <w:color w:val="auto"/>
                <w:highlight w:val="none"/>
              </w:rPr>
            </w:pPr>
          </w:p>
        </w:tc>
      </w:tr>
    </w:tbl>
    <w:p w14:paraId="2C83CA5A">
      <w:pPr>
        <w:rPr>
          <w:rFonts w:ascii="宋体"/>
          <w:b/>
          <w:color w:val="auto"/>
          <w:sz w:val="24"/>
          <w:szCs w:val="24"/>
          <w:highlight w:val="none"/>
        </w:rPr>
      </w:pPr>
    </w:p>
    <w:p w14:paraId="2BF7580E">
      <w:pPr>
        <w:rPr>
          <w:b/>
          <w:bCs/>
          <w:color w:val="auto"/>
          <w:sz w:val="24"/>
          <w:szCs w:val="24"/>
          <w:highlight w:val="none"/>
        </w:rPr>
      </w:pPr>
      <w:r>
        <w:rPr>
          <w:rFonts w:hint="eastAsia"/>
          <w:b/>
          <w:bCs/>
          <w:color w:val="auto"/>
          <w:sz w:val="24"/>
          <w:szCs w:val="24"/>
          <w:highlight w:val="none"/>
        </w:rPr>
        <w:t>法定代表人或法定代表人授权代表签字或盖章：</w:t>
      </w:r>
    </w:p>
    <w:p w14:paraId="6A3C21D1">
      <w:pPr>
        <w:rPr>
          <w:rFonts w:ascii="宋体"/>
          <w:bCs/>
          <w:color w:val="auto"/>
          <w:sz w:val="30"/>
          <w:highlight w:val="none"/>
        </w:rPr>
      </w:pPr>
    </w:p>
    <w:p w14:paraId="1413BDB4">
      <w:pPr>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32B839A7">
      <w:pPr>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）如无任何服务偏离，请于本表“偏离说明”中注明“无偏离”；</w:t>
      </w:r>
    </w:p>
    <w:p w14:paraId="59F223BC">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w:t>
      </w:r>
      <w:r>
        <w:rPr>
          <w:rFonts w:hint="eastAsia" w:ascii="宋体" w:hAnsi="宋体"/>
          <w:bCs/>
          <w:color w:val="auto"/>
          <w:sz w:val="24"/>
          <w:szCs w:val="24"/>
          <w:highlight w:val="none"/>
          <w:lang w:eastAsia="zh-CN"/>
        </w:rPr>
        <w:t>无需</w:t>
      </w:r>
      <w:r>
        <w:rPr>
          <w:rFonts w:hint="eastAsia" w:ascii="宋体" w:hAnsi="宋体"/>
          <w:bCs/>
          <w:color w:val="auto"/>
          <w:sz w:val="24"/>
          <w:szCs w:val="24"/>
          <w:highlight w:val="none"/>
        </w:rPr>
        <w:t>赘述。</w:t>
      </w:r>
    </w:p>
    <w:p w14:paraId="0ED3CFBB">
      <w:pPr>
        <w:ind w:firstLine="420"/>
        <w:rPr>
          <w:rFonts w:ascii="黑体" w:hAnsi="宋体" w:eastAsia="黑体"/>
          <w:bCs/>
          <w:color w:val="auto"/>
          <w:sz w:val="24"/>
          <w:szCs w:val="24"/>
          <w:highlight w:val="none"/>
        </w:rPr>
      </w:pPr>
    </w:p>
    <w:p w14:paraId="77989E24">
      <w:pPr>
        <w:ind w:firstLine="420"/>
        <w:rPr>
          <w:rFonts w:ascii="黑体" w:hAnsi="宋体" w:eastAsia="黑体"/>
          <w:bCs/>
          <w:color w:val="auto"/>
          <w:sz w:val="24"/>
          <w:szCs w:val="24"/>
          <w:highlight w:val="none"/>
        </w:rPr>
      </w:pPr>
    </w:p>
    <w:p w14:paraId="45CEEB50">
      <w:pPr>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（十）项目管理机构配备情况表（格式）</w:t>
      </w:r>
    </w:p>
    <w:p w14:paraId="48AEDBD0">
      <w:pPr>
        <w:jc w:val="center"/>
        <w:rPr>
          <w:rFonts w:ascii="宋体" w:hAnsi="宋体"/>
          <w:bCs/>
          <w:color w:val="auto"/>
          <w:sz w:val="24"/>
          <w:szCs w:val="24"/>
          <w:highlight w:val="none"/>
        </w:rPr>
      </w:pPr>
    </w:p>
    <w:p w14:paraId="4BA164BD">
      <w:pPr>
        <w:jc w:val="center"/>
        <w:rPr>
          <w:rFonts w:ascii="宋体" w:hAnsi="宋体"/>
          <w:bCs/>
          <w:color w:val="auto"/>
          <w:sz w:val="24"/>
          <w:szCs w:val="24"/>
          <w:highlight w:val="none"/>
        </w:rPr>
      </w:pPr>
      <w:r>
        <w:rPr>
          <w:rFonts w:hint="eastAsia" w:ascii="宋体" w:hAnsi="宋体"/>
          <w:bCs/>
          <w:color w:val="auto"/>
          <w:sz w:val="24"/>
          <w:szCs w:val="24"/>
          <w:highlight w:val="none"/>
        </w:rPr>
        <w:t>项目管理机构配备情况表</w:t>
      </w:r>
    </w:p>
    <w:p w14:paraId="1E1B3CC6">
      <w:pPr>
        <w:pStyle w:val="193"/>
        <w:ind w:firstLine="210"/>
        <w:rPr>
          <w:rFonts w:ascii="宋体" w:hAnsi="宋体" w:cs="宋体"/>
          <w:color w:val="auto"/>
          <w:highlight w:val="none"/>
        </w:rPr>
      </w:pPr>
    </w:p>
    <w:p w14:paraId="7BE15C0A">
      <w:pPr>
        <w:spacing w:line="360" w:lineRule="auto"/>
        <w:rPr>
          <w:rFonts w:ascii="宋体" w:hAnsi="宋体" w:cs="宋体"/>
          <w:bCs/>
          <w:color w:val="auto"/>
          <w:szCs w:val="21"/>
          <w:highlight w:val="none"/>
        </w:rPr>
      </w:pPr>
      <w:r>
        <w:rPr>
          <w:rFonts w:hint="eastAsia" w:ascii="宋体" w:hAnsi="宋体" w:cs="宋体"/>
          <w:bCs/>
          <w:color w:val="auto"/>
          <w:sz w:val="24"/>
          <w:szCs w:val="24"/>
          <w:highlight w:val="none"/>
        </w:rPr>
        <w:t xml:space="preserve">供应商名称（盖章）                                       项目编号： </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0" w:type="dxa"/>
          <w:left w:w="108" w:type="dxa"/>
          <w:bottom w:w="0" w:type="dxa"/>
          <w:right w:w="108" w:type="dxa"/>
        </w:tblCellMar>
      </w:tblPr>
      <w:tblGrid>
        <w:gridCol w:w="1006"/>
        <w:gridCol w:w="2235"/>
        <w:gridCol w:w="1320"/>
        <w:gridCol w:w="1410"/>
        <w:gridCol w:w="1339"/>
        <w:gridCol w:w="2113"/>
      </w:tblGrid>
      <w:tr w14:paraId="132BC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2EF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序 号</w:t>
            </w: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D28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24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姓 名</w:t>
            </w: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27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年 龄</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C6C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性 别</w:t>
            </w: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968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学 历</w:t>
            </w: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FF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在本项目拟任</w:t>
            </w:r>
          </w:p>
          <w:p w14:paraId="273C4E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kern w:val="0"/>
                <w:sz w:val="24"/>
                <w:szCs w:val="24"/>
                <w:highlight w:val="none"/>
                <w:lang w:val="en-US" w:eastAsia="zh-CN" w:bidi="ar"/>
              </w:rPr>
              <w:t>职务</w:t>
            </w:r>
          </w:p>
        </w:tc>
      </w:tr>
      <w:tr w14:paraId="5C32C0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FC7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C6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40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F1F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CC1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E16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52938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E35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83B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FC9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D9F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4AD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73E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44BDD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E2A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C3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E99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962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D18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0E8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093FF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DC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8A6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03E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443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6A7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404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4783A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79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B71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9B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FC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EE5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35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041DB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320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42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F7C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FAD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EF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795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29BFD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rPr>
          <w:trHeight w:val="786"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A23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ED7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E7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CD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FC4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05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r w14:paraId="20FF6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1" w:hRule="atLeast"/>
          <w:jc w:val="center"/>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39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2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83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11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68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13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DB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c>
          <w:tcPr>
            <w:tcW w:w="2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C34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color w:val="auto"/>
                <w:sz w:val="24"/>
                <w:szCs w:val="24"/>
                <w:highlight w:val="none"/>
              </w:rPr>
            </w:pPr>
          </w:p>
        </w:tc>
      </w:tr>
    </w:tbl>
    <w:p w14:paraId="1875B25E">
      <w:pPr>
        <w:spacing w:line="480" w:lineRule="auto"/>
        <w:rPr>
          <w:rFonts w:ascii="宋体" w:hAnsi="宋体"/>
          <w:bCs/>
          <w:color w:val="auto"/>
          <w:sz w:val="24"/>
          <w:highlight w:val="none"/>
        </w:rPr>
      </w:pPr>
    </w:p>
    <w:p w14:paraId="12232A81">
      <w:pPr>
        <w:spacing w:line="48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27371880">
      <w:pPr>
        <w:spacing w:line="480" w:lineRule="auto"/>
        <w:rPr>
          <w:rFonts w:ascii="宋体" w:hAnsi="宋体"/>
          <w:bCs/>
          <w:color w:val="auto"/>
          <w:sz w:val="24"/>
          <w:highlight w:val="none"/>
        </w:rPr>
      </w:pPr>
    </w:p>
    <w:p w14:paraId="05D2EE62">
      <w:pPr>
        <w:spacing w:line="480" w:lineRule="auto"/>
        <w:rPr>
          <w:rFonts w:ascii="宋体" w:hAnsi="宋体"/>
          <w:bCs/>
          <w:color w:val="auto"/>
          <w:szCs w:val="21"/>
          <w:highlight w:val="none"/>
        </w:rPr>
      </w:pPr>
      <w:r>
        <w:rPr>
          <w:rFonts w:hint="eastAsia" w:ascii="宋体" w:hAnsi="宋体"/>
          <w:bCs/>
          <w:color w:val="auto"/>
          <w:szCs w:val="21"/>
          <w:highlight w:val="none"/>
        </w:rPr>
        <w:t>注：1、上表可自行延长。</w:t>
      </w:r>
    </w:p>
    <w:p w14:paraId="6FE88915">
      <w:pPr>
        <w:spacing w:line="480" w:lineRule="auto"/>
        <w:rPr>
          <w:rFonts w:ascii="宋体" w:hAnsi="宋体"/>
          <w:bCs/>
          <w:color w:val="auto"/>
          <w:szCs w:val="21"/>
          <w:highlight w:val="none"/>
        </w:rPr>
      </w:pPr>
      <w:r>
        <w:rPr>
          <w:rFonts w:hint="eastAsia" w:ascii="宋体" w:hAnsi="宋体"/>
          <w:bCs/>
          <w:color w:val="auto"/>
          <w:szCs w:val="21"/>
          <w:highlight w:val="none"/>
        </w:rPr>
        <w:t>2.请附相关资格证明（如有）扫描件</w:t>
      </w:r>
    </w:p>
    <w:p w14:paraId="0D89ADAF">
      <w:pPr>
        <w:spacing w:line="460" w:lineRule="exact"/>
        <w:jc w:val="left"/>
        <w:rPr>
          <w:rFonts w:ascii="黑体" w:hAnsi="宋体" w:eastAsia="黑体"/>
          <w:bCs/>
          <w:color w:val="auto"/>
          <w:sz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（十一）投标人基本情况声明</w:t>
      </w:r>
    </w:p>
    <w:p w14:paraId="65A8217C">
      <w:pPr>
        <w:spacing w:line="460" w:lineRule="exact"/>
        <w:jc w:val="center"/>
        <w:rPr>
          <w:rFonts w:ascii="宋体" w:hAnsi="宋体"/>
          <w:color w:val="auto"/>
          <w:sz w:val="24"/>
          <w:highlight w:val="none"/>
        </w:rPr>
      </w:pPr>
      <w:r>
        <w:rPr>
          <w:rFonts w:hint="eastAsia" w:ascii="宋体" w:hAnsi="宋体"/>
          <w:color w:val="auto"/>
          <w:sz w:val="24"/>
          <w:highlight w:val="none"/>
        </w:rPr>
        <w:t>（内容写不完的栏目可相应扩展）</w:t>
      </w:r>
    </w:p>
    <w:p w14:paraId="4016DDF3">
      <w:pPr>
        <w:pStyle w:val="130"/>
        <w:ind w:firstLine="480"/>
        <w:rPr>
          <w:rFonts w:ascii="宋体" w:hAnsi="宋体"/>
          <w:color w:val="auto"/>
          <w:sz w:val="24"/>
          <w:highlight w:val="none"/>
        </w:rPr>
      </w:pPr>
      <w:r>
        <w:rPr>
          <w:rFonts w:hint="eastAsia" w:ascii="宋体" w:hAnsi="宋体"/>
          <w:color w:val="auto"/>
          <w:sz w:val="24"/>
          <w:highlight w:val="none"/>
        </w:rPr>
        <w:t>投标人情况表1</w:t>
      </w:r>
    </w:p>
    <w:p w14:paraId="6CE1230D">
      <w:pPr>
        <w:pStyle w:val="130"/>
        <w:ind w:firstLine="480"/>
        <w:rPr>
          <w:rFonts w:ascii="宋体" w:hAnsi="宋体"/>
          <w:color w:val="auto"/>
          <w:sz w:val="24"/>
          <w:highlight w:val="none"/>
        </w:rPr>
      </w:pPr>
      <w:r>
        <w:rPr>
          <w:rFonts w:hint="eastAsia" w:ascii="宋体" w:hAnsi="宋体"/>
          <w:color w:val="auto"/>
          <w:sz w:val="24"/>
          <w:highlight w:val="none"/>
        </w:rPr>
        <w:t>单位名称（盖章）</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10"/>
        <w:gridCol w:w="2110"/>
        <w:gridCol w:w="149"/>
        <w:gridCol w:w="1757"/>
        <w:gridCol w:w="2601"/>
      </w:tblGrid>
      <w:tr w14:paraId="783CE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34B229D1">
            <w:pPr>
              <w:pStyle w:val="130"/>
              <w:spacing w:line="400" w:lineRule="exact"/>
              <w:ind w:firstLine="0"/>
              <w:rPr>
                <w:rFonts w:ascii="宋体" w:hAnsi="宋体"/>
                <w:color w:val="auto"/>
                <w:sz w:val="24"/>
                <w:highlight w:val="none"/>
              </w:rPr>
            </w:pPr>
            <w:r>
              <w:rPr>
                <w:rFonts w:hint="eastAsia" w:ascii="宋体" w:hAnsi="宋体"/>
                <w:color w:val="auto"/>
                <w:sz w:val="24"/>
                <w:highlight w:val="none"/>
              </w:rPr>
              <w:t>法定代表人</w:t>
            </w:r>
          </w:p>
        </w:tc>
        <w:tc>
          <w:tcPr>
            <w:tcW w:w="2259" w:type="dxa"/>
            <w:gridSpan w:val="2"/>
            <w:noWrap/>
          </w:tcPr>
          <w:p w14:paraId="03EE30C7">
            <w:pPr>
              <w:pStyle w:val="130"/>
              <w:spacing w:line="400" w:lineRule="exact"/>
              <w:ind w:firstLine="0"/>
              <w:rPr>
                <w:rFonts w:ascii="宋体" w:hAnsi="宋体"/>
                <w:color w:val="auto"/>
                <w:sz w:val="24"/>
                <w:highlight w:val="none"/>
              </w:rPr>
            </w:pPr>
          </w:p>
        </w:tc>
        <w:tc>
          <w:tcPr>
            <w:tcW w:w="1757" w:type="dxa"/>
            <w:noWrap/>
          </w:tcPr>
          <w:p w14:paraId="50FD982B">
            <w:pPr>
              <w:pStyle w:val="130"/>
              <w:spacing w:line="400" w:lineRule="exact"/>
              <w:ind w:firstLine="0"/>
              <w:rPr>
                <w:rFonts w:ascii="宋体" w:hAnsi="宋体"/>
                <w:color w:val="auto"/>
                <w:sz w:val="24"/>
                <w:highlight w:val="none"/>
              </w:rPr>
            </w:pPr>
            <w:r>
              <w:rPr>
                <w:rFonts w:hint="eastAsia" w:ascii="宋体" w:hAnsi="宋体"/>
                <w:color w:val="auto"/>
                <w:sz w:val="24"/>
                <w:highlight w:val="none"/>
              </w:rPr>
              <w:t>成立日期</w:t>
            </w:r>
          </w:p>
        </w:tc>
        <w:tc>
          <w:tcPr>
            <w:tcW w:w="2601" w:type="dxa"/>
            <w:noWrap/>
          </w:tcPr>
          <w:p w14:paraId="420F1F73">
            <w:pPr>
              <w:pStyle w:val="130"/>
              <w:spacing w:line="400" w:lineRule="exact"/>
              <w:ind w:firstLine="0"/>
              <w:rPr>
                <w:rFonts w:ascii="宋体" w:hAnsi="宋体"/>
                <w:color w:val="auto"/>
                <w:sz w:val="24"/>
                <w:highlight w:val="none"/>
              </w:rPr>
            </w:pPr>
          </w:p>
        </w:tc>
      </w:tr>
      <w:tr w14:paraId="14A46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0D77990C">
            <w:pPr>
              <w:pStyle w:val="130"/>
              <w:spacing w:line="400" w:lineRule="exact"/>
              <w:ind w:firstLine="0"/>
              <w:rPr>
                <w:rFonts w:ascii="宋体" w:hAnsi="宋体"/>
                <w:color w:val="auto"/>
                <w:sz w:val="24"/>
                <w:highlight w:val="none"/>
              </w:rPr>
            </w:pPr>
            <w:r>
              <w:rPr>
                <w:rFonts w:hint="eastAsia" w:ascii="宋体" w:hAnsi="宋体"/>
                <w:color w:val="auto"/>
                <w:sz w:val="24"/>
                <w:highlight w:val="none"/>
              </w:rPr>
              <w:t>企业地址</w:t>
            </w:r>
          </w:p>
        </w:tc>
        <w:tc>
          <w:tcPr>
            <w:tcW w:w="2259" w:type="dxa"/>
            <w:gridSpan w:val="2"/>
            <w:noWrap/>
          </w:tcPr>
          <w:p w14:paraId="1FF192C3">
            <w:pPr>
              <w:pStyle w:val="130"/>
              <w:spacing w:line="400" w:lineRule="exact"/>
              <w:ind w:firstLine="0"/>
              <w:rPr>
                <w:rFonts w:ascii="宋体" w:hAnsi="宋体"/>
                <w:color w:val="auto"/>
                <w:sz w:val="24"/>
                <w:highlight w:val="none"/>
              </w:rPr>
            </w:pPr>
          </w:p>
        </w:tc>
        <w:tc>
          <w:tcPr>
            <w:tcW w:w="1757" w:type="dxa"/>
            <w:noWrap/>
          </w:tcPr>
          <w:p w14:paraId="6DEAA398">
            <w:pPr>
              <w:pStyle w:val="130"/>
              <w:spacing w:line="400" w:lineRule="exact"/>
              <w:ind w:firstLine="0"/>
              <w:rPr>
                <w:rFonts w:ascii="宋体" w:hAnsi="宋体"/>
                <w:color w:val="auto"/>
                <w:sz w:val="24"/>
                <w:highlight w:val="none"/>
              </w:rPr>
            </w:pPr>
            <w:r>
              <w:rPr>
                <w:rFonts w:hint="eastAsia" w:ascii="宋体" w:hAnsi="宋体"/>
                <w:color w:val="auto"/>
                <w:sz w:val="24"/>
                <w:highlight w:val="none"/>
              </w:rPr>
              <w:t>注册资本</w:t>
            </w:r>
          </w:p>
        </w:tc>
        <w:tc>
          <w:tcPr>
            <w:tcW w:w="2601" w:type="dxa"/>
            <w:noWrap/>
          </w:tcPr>
          <w:p w14:paraId="57E34170">
            <w:pPr>
              <w:pStyle w:val="130"/>
              <w:spacing w:line="400" w:lineRule="exact"/>
              <w:ind w:firstLine="0"/>
              <w:rPr>
                <w:rFonts w:ascii="宋体" w:hAnsi="宋体"/>
                <w:color w:val="auto"/>
                <w:sz w:val="24"/>
                <w:highlight w:val="none"/>
              </w:rPr>
            </w:pPr>
            <w:r>
              <w:rPr>
                <w:rFonts w:hint="eastAsia" w:ascii="宋体" w:hAnsi="宋体"/>
                <w:color w:val="auto"/>
                <w:sz w:val="24"/>
                <w:highlight w:val="none"/>
              </w:rPr>
              <w:t>万元</w:t>
            </w:r>
          </w:p>
        </w:tc>
      </w:tr>
      <w:tr w14:paraId="58E8F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33C4D3AF">
            <w:pPr>
              <w:pStyle w:val="130"/>
              <w:spacing w:line="400" w:lineRule="exact"/>
              <w:ind w:firstLine="0"/>
              <w:rPr>
                <w:rFonts w:ascii="宋体" w:hAnsi="宋体"/>
                <w:color w:val="auto"/>
                <w:sz w:val="24"/>
                <w:highlight w:val="none"/>
              </w:rPr>
            </w:pPr>
            <w:r>
              <w:rPr>
                <w:rFonts w:hint="eastAsia" w:ascii="宋体" w:hAnsi="宋体"/>
                <w:color w:val="auto"/>
                <w:sz w:val="24"/>
                <w:highlight w:val="none"/>
              </w:rPr>
              <w:t>经营范围</w:t>
            </w:r>
          </w:p>
        </w:tc>
        <w:tc>
          <w:tcPr>
            <w:tcW w:w="6617" w:type="dxa"/>
            <w:gridSpan w:val="4"/>
            <w:noWrap/>
          </w:tcPr>
          <w:p w14:paraId="503B6454">
            <w:pPr>
              <w:pStyle w:val="130"/>
              <w:spacing w:line="400" w:lineRule="exact"/>
              <w:ind w:firstLine="0"/>
              <w:rPr>
                <w:rFonts w:ascii="宋体" w:hAnsi="宋体"/>
                <w:color w:val="auto"/>
                <w:sz w:val="24"/>
                <w:highlight w:val="none"/>
              </w:rPr>
            </w:pPr>
          </w:p>
        </w:tc>
      </w:tr>
      <w:tr w14:paraId="30D87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3C55D168">
            <w:pPr>
              <w:pStyle w:val="130"/>
              <w:spacing w:line="400" w:lineRule="exact"/>
              <w:ind w:firstLine="0"/>
              <w:rPr>
                <w:rFonts w:ascii="宋体" w:hAnsi="宋体"/>
                <w:color w:val="auto"/>
                <w:sz w:val="24"/>
                <w:highlight w:val="none"/>
              </w:rPr>
            </w:pPr>
            <w:r>
              <w:rPr>
                <w:rFonts w:hint="eastAsia" w:ascii="宋体" w:hAnsi="宋体"/>
                <w:color w:val="auto"/>
                <w:sz w:val="24"/>
                <w:highlight w:val="none"/>
              </w:rPr>
              <w:t>职工人数</w:t>
            </w:r>
          </w:p>
        </w:tc>
        <w:tc>
          <w:tcPr>
            <w:tcW w:w="2110" w:type="dxa"/>
            <w:noWrap/>
          </w:tcPr>
          <w:p w14:paraId="0970B08C">
            <w:pPr>
              <w:pStyle w:val="130"/>
              <w:spacing w:line="400" w:lineRule="exact"/>
              <w:ind w:firstLine="0"/>
              <w:rPr>
                <w:rFonts w:ascii="宋体" w:hAnsi="宋体"/>
                <w:color w:val="auto"/>
                <w:sz w:val="24"/>
                <w:highlight w:val="none"/>
              </w:rPr>
            </w:pPr>
          </w:p>
        </w:tc>
        <w:tc>
          <w:tcPr>
            <w:tcW w:w="4507" w:type="dxa"/>
            <w:gridSpan w:val="3"/>
            <w:noWrap/>
          </w:tcPr>
          <w:p w14:paraId="0BD76363">
            <w:pPr>
              <w:pStyle w:val="130"/>
              <w:spacing w:line="400" w:lineRule="exact"/>
              <w:ind w:firstLine="0"/>
              <w:rPr>
                <w:rFonts w:ascii="宋体" w:hAnsi="宋体"/>
                <w:color w:val="auto"/>
                <w:sz w:val="24"/>
                <w:highlight w:val="none"/>
              </w:rPr>
            </w:pPr>
            <w:r>
              <w:rPr>
                <w:rFonts w:hint="eastAsia" w:ascii="宋体" w:hAnsi="宋体"/>
                <w:color w:val="auto"/>
                <w:sz w:val="24"/>
                <w:highlight w:val="none"/>
              </w:rPr>
              <w:t>其中：</w:t>
            </w:r>
          </w:p>
          <w:p w14:paraId="6744C197">
            <w:pPr>
              <w:pStyle w:val="130"/>
              <w:spacing w:line="400" w:lineRule="exact"/>
              <w:ind w:left="478" w:firstLine="0"/>
              <w:rPr>
                <w:rFonts w:ascii="宋体" w:hAnsi="宋体"/>
                <w:color w:val="auto"/>
                <w:sz w:val="24"/>
                <w:highlight w:val="none"/>
              </w:rPr>
            </w:pPr>
            <w:r>
              <w:rPr>
                <w:rFonts w:hint="eastAsia" w:ascii="宋体" w:hAnsi="宋体"/>
                <w:color w:val="auto"/>
                <w:sz w:val="24"/>
                <w:highlight w:val="none"/>
              </w:rPr>
              <w:t>中级职称人数、</w:t>
            </w:r>
          </w:p>
          <w:p w14:paraId="7EA87EDC">
            <w:pPr>
              <w:pStyle w:val="130"/>
              <w:spacing w:line="400" w:lineRule="exact"/>
              <w:ind w:left="478" w:firstLine="0"/>
              <w:rPr>
                <w:rFonts w:ascii="宋体" w:hAnsi="宋体"/>
                <w:color w:val="auto"/>
                <w:sz w:val="24"/>
                <w:highlight w:val="none"/>
              </w:rPr>
            </w:pPr>
            <w:r>
              <w:rPr>
                <w:rFonts w:hint="eastAsia" w:ascii="宋体" w:hAnsi="宋体"/>
                <w:color w:val="auto"/>
                <w:sz w:val="24"/>
                <w:highlight w:val="none"/>
              </w:rPr>
              <w:t>高级职称人数</w:t>
            </w:r>
          </w:p>
        </w:tc>
      </w:tr>
      <w:tr w14:paraId="2ED395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628A2405">
            <w:pPr>
              <w:pStyle w:val="130"/>
              <w:spacing w:line="400" w:lineRule="exact"/>
              <w:ind w:firstLine="0"/>
              <w:rPr>
                <w:rFonts w:ascii="宋体" w:hAnsi="宋体"/>
                <w:color w:val="auto"/>
                <w:sz w:val="24"/>
                <w:highlight w:val="none"/>
              </w:rPr>
            </w:pPr>
            <w:r>
              <w:rPr>
                <w:rFonts w:hint="eastAsia" w:ascii="宋体" w:hAnsi="宋体"/>
                <w:color w:val="auto"/>
                <w:sz w:val="24"/>
                <w:highlight w:val="none"/>
              </w:rPr>
              <w:t>2025年12月资产总额</w:t>
            </w:r>
          </w:p>
        </w:tc>
        <w:tc>
          <w:tcPr>
            <w:tcW w:w="2110" w:type="dxa"/>
            <w:noWrap/>
          </w:tcPr>
          <w:p w14:paraId="49309F0F">
            <w:pPr>
              <w:pStyle w:val="130"/>
              <w:spacing w:line="400" w:lineRule="exact"/>
              <w:ind w:firstLine="0"/>
              <w:rPr>
                <w:rFonts w:ascii="宋体" w:hAnsi="宋体"/>
                <w:color w:val="auto"/>
                <w:sz w:val="24"/>
                <w:highlight w:val="none"/>
              </w:rPr>
            </w:pPr>
            <w:r>
              <w:rPr>
                <w:rFonts w:hint="eastAsia" w:ascii="宋体" w:hAnsi="宋体"/>
                <w:color w:val="auto"/>
                <w:sz w:val="24"/>
                <w:highlight w:val="none"/>
              </w:rPr>
              <w:t xml:space="preserve">  万元</w:t>
            </w:r>
          </w:p>
        </w:tc>
        <w:tc>
          <w:tcPr>
            <w:tcW w:w="1906" w:type="dxa"/>
            <w:gridSpan w:val="2"/>
            <w:noWrap/>
          </w:tcPr>
          <w:p w14:paraId="43AC5C70">
            <w:pPr>
              <w:pStyle w:val="130"/>
              <w:spacing w:line="400" w:lineRule="exact"/>
              <w:ind w:firstLine="0"/>
              <w:rPr>
                <w:rFonts w:ascii="宋体" w:hAnsi="宋体"/>
                <w:color w:val="auto"/>
                <w:sz w:val="24"/>
                <w:highlight w:val="none"/>
              </w:rPr>
            </w:pPr>
            <w:r>
              <w:rPr>
                <w:rFonts w:hint="eastAsia" w:ascii="宋体" w:hAnsi="宋体"/>
                <w:color w:val="auto"/>
                <w:sz w:val="24"/>
                <w:highlight w:val="none"/>
              </w:rPr>
              <w:t>净资产</w:t>
            </w:r>
          </w:p>
        </w:tc>
        <w:tc>
          <w:tcPr>
            <w:tcW w:w="2601" w:type="dxa"/>
            <w:noWrap/>
          </w:tcPr>
          <w:p w14:paraId="149F86A5">
            <w:pPr>
              <w:pStyle w:val="130"/>
              <w:spacing w:line="400" w:lineRule="exact"/>
              <w:ind w:firstLine="0"/>
              <w:rPr>
                <w:rFonts w:ascii="宋体" w:hAnsi="宋体"/>
                <w:color w:val="auto"/>
                <w:sz w:val="24"/>
                <w:highlight w:val="none"/>
              </w:rPr>
            </w:pPr>
            <w:r>
              <w:rPr>
                <w:rFonts w:hint="eastAsia" w:ascii="宋体" w:hAnsi="宋体"/>
                <w:color w:val="auto"/>
                <w:sz w:val="24"/>
                <w:highlight w:val="none"/>
              </w:rPr>
              <w:t>万元</w:t>
            </w:r>
          </w:p>
        </w:tc>
      </w:tr>
      <w:tr w14:paraId="188FB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4C07A737">
            <w:pPr>
              <w:pStyle w:val="130"/>
              <w:spacing w:line="400" w:lineRule="exact"/>
              <w:ind w:firstLine="0"/>
              <w:rPr>
                <w:rFonts w:ascii="宋体" w:hAnsi="宋体"/>
                <w:color w:val="auto"/>
                <w:sz w:val="24"/>
                <w:highlight w:val="none"/>
              </w:rPr>
            </w:pPr>
            <w:r>
              <w:rPr>
                <w:rFonts w:hint="eastAsia" w:ascii="宋体" w:hAnsi="宋体"/>
                <w:color w:val="auto"/>
                <w:sz w:val="24"/>
                <w:highlight w:val="none"/>
              </w:rPr>
              <w:t>2025年12月股东权益</w:t>
            </w:r>
          </w:p>
        </w:tc>
        <w:tc>
          <w:tcPr>
            <w:tcW w:w="2110" w:type="dxa"/>
            <w:noWrap/>
          </w:tcPr>
          <w:p w14:paraId="08FD6C70">
            <w:pPr>
              <w:pStyle w:val="130"/>
              <w:spacing w:line="400" w:lineRule="exact"/>
              <w:ind w:firstLine="0"/>
              <w:rPr>
                <w:rFonts w:ascii="宋体" w:hAnsi="宋体"/>
                <w:color w:val="auto"/>
                <w:sz w:val="24"/>
                <w:highlight w:val="none"/>
              </w:rPr>
            </w:pPr>
            <w:r>
              <w:rPr>
                <w:rFonts w:hint="eastAsia" w:ascii="宋体" w:hAnsi="宋体"/>
                <w:color w:val="auto"/>
                <w:sz w:val="24"/>
                <w:highlight w:val="none"/>
              </w:rPr>
              <w:t xml:space="preserve"> 万元</w:t>
            </w:r>
          </w:p>
        </w:tc>
        <w:tc>
          <w:tcPr>
            <w:tcW w:w="1906" w:type="dxa"/>
            <w:gridSpan w:val="2"/>
            <w:noWrap/>
          </w:tcPr>
          <w:p w14:paraId="4BF9DCE2">
            <w:pPr>
              <w:pStyle w:val="130"/>
              <w:spacing w:line="400" w:lineRule="exact"/>
              <w:ind w:firstLine="0"/>
              <w:rPr>
                <w:rFonts w:ascii="宋体" w:hAnsi="宋体"/>
                <w:color w:val="auto"/>
                <w:sz w:val="24"/>
                <w:highlight w:val="none"/>
              </w:rPr>
            </w:pPr>
            <w:r>
              <w:rPr>
                <w:rFonts w:hint="eastAsia" w:ascii="宋体" w:hAnsi="宋体"/>
                <w:color w:val="auto"/>
                <w:sz w:val="24"/>
                <w:highlight w:val="none"/>
              </w:rPr>
              <w:t>2025</w:t>
            </w:r>
            <w:r>
              <w:rPr>
                <w:rFonts w:ascii="宋体" w:hAnsi="宋体"/>
                <w:color w:val="auto"/>
                <w:sz w:val="24"/>
                <w:highlight w:val="none"/>
              </w:rPr>
              <w:t>年</w:t>
            </w:r>
            <w:r>
              <w:rPr>
                <w:rFonts w:hint="eastAsia" w:ascii="宋体" w:hAnsi="宋体"/>
                <w:color w:val="auto"/>
                <w:sz w:val="24"/>
                <w:highlight w:val="none"/>
              </w:rPr>
              <w:t>业务收入</w:t>
            </w:r>
          </w:p>
        </w:tc>
        <w:tc>
          <w:tcPr>
            <w:tcW w:w="2601" w:type="dxa"/>
            <w:noWrap/>
          </w:tcPr>
          <w:p w14:paraId="081C3F75">
            <w:pPr>
              <w:pStyle w:val="130"/>
              <w:spacing w:line="400" w:lineRule="exact"/>
              <w:ind w:firstLine="0"/>
              <w:rPr>
                <w:rFonts w:ascii="宋体" w:hAnsi="宋体"/>
                <w:color w:val="auto"/>
                <w:sz w:val="24"/>
                <w:highlight w:val="none"/>
              </w:rPr>
            </w:pPr>
            <w:r>
              <w:rPr>
                <w:rFonts w:hint="eastAsia" w:ascii="宋体" w:hAnsi="宋体"/>
                <w:color w:val="auto"/>
                <w:sz w:val="24"/>
                <w:highlight w:val="none"/>
              </w:rPr>
              <w:t>万元</w:t>
            </w:r>
          </w:p>
        </w:tc>
      </w:tr>
      <w:tr w14:paraId="7A4BF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4D3FADDA">
            <w:pPr>
              <w:pStyle w:val="130"/>
              <w:spacing w:line="400" w:lineRule="exact"/>
              <w:ind w:firstLine="0"/>
              <w:rPr>
                <w:rFonts w:ascii="宋体" w:hAnsi="宋体"/>
                <w:color w:val="auto"/>
                <w:sz w:val="24"/>
                <w:highlight w:val="none"/>
              </w:rPr>
            </w:pPr>
            <w:r>
              <w:rPr>
                <w:rFonts w:hint="eastAsia" w:ascii="宋体" w:hAnsi="宋体"/>
                <w:color w:val="auto"/>
                <w:sz w:val="24"/>
                <w:highlight w:val="none"/>
              </w:rPr>
              <w:t>2025年实现利润</w:t>
            </w:r>
          </w:p>
        </w:tc>
        <w:tc>
          <w:tcPr>
            <w:tcW w:w="2110" w:type="dxa"/>
            <w:noWrap/>
          </w:tcPr>
          <w:p w14:paraId="119FBB79">
            <w:pPr>
              <w:pStyle w:val="130"/>
              <w:spacing w:line="400" w:lineRule="exact"/>
              <w:ind w:firstLine="0"/>
              <w:rPr>
                <w:rFonts w:ascii="宋体" w:hAnsi="宋体"/>
                <w:color w:val="auto"/>
                <w:sz w:val="24"/>
                <w:highlight w:val="none"/>
              </w:rPr>
            </w:pPr>
            <w:r>
              <w:rPr>
                <w:rFonts w:hint="eastAsia" w:ascii="宋体" w:hAnsi="宋体"/>
                <w:color w:val="auto"/>
                <w:sz w:val="24"/>
                <w:highlight w:val="none"/>
              </w:rPr>
              <w:t>万元</w:t>
            </w:r>
          </w:p>
        </w:tc>
        <w:tc>
          <w:tcPr>
            <w:tcW w:w="1906" w:type="dxa"/>
            <w:gridSpan w:val="2"/>
            <w:noWrap/>
          </w:tcPr>
          <w:p w14:paraId="7C48DD1C">
            <w:pPr>
              <w:pStyle w:val="130"/>
              <w:spacing w:line="400" w:lineRule="exact"/>
              <w:ind w:firstLine="0"/>
              <w:rPr>
                <w:rFonts w:ascii="宋体" w:hAnsi="宋体"/>
                <w:color w:val="auto"/>
                <w:sz w:val="24"/>
                <w:highlight w:val="none"/>
              </w:rPr>
            </w:pPr>
          </w:p>
        </w:tc>
        <w:tc>
          <w:tcPr>
            <w:tcW w:w="2601" w:type="dxa"/>
            <w:noWrap/>
          </w:tcPr>
          <w:p w14:paraId="186D20C8">
            <w:pPr>
              <w:pStyle w:val="130"/>
              <w:spacing w:line="400" w:lineRule="exact"/>
              <w:ind w:firstLine="0"/>
              <w:rPr>
                <w:rFonts w:ascii="宋体" w:hAnsi="宋体"/>
                <w:color w:val="auto"/>
                <w:sz w:val="24"/>
                <w:highlight w:val="none"/>
              </w:rPr>
            </w:pPr>
          </w:p>
        </w:tc>
      </w:tr>
      <w:tr w14:paraId="2BFB3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2510" w:type="dxa"/>
            <w:noWrap/>
          </w:tcPr>
          <w:p w14:paraId="559EC430">
            <w:pPr>
              <w:pStyle w:val="130"/>
              <w:spacing w:line="400" w:lineRule="exact"/>
              <w:ind w:firstLine="0"/>
              <w:rPr>
                <w:rFonts w:ascii="宋体" w:hAnsi="宋体"/>
                <w:color w:val="auto"/>
                <w:sz w:val="24"/>
                <w:highlight w:val="none"/>
              </w:rPr>
            </w:pPr>
            <w:r>
              <w:rPr>
                <w:rFonts w:hint="eastAsia" w:ascii="宋体" w:hAnsi="宋体"/>
                <w:color w:val="auto"/>
                <w:sz w:val="24"/>
                <w:highlight w:val="none"/>
              </w:rPr>
              <w:t>办公面积</w:t>
            </w:r>
          </w:p>
          <w:p w14:paraId="6A5095AE">
            <w:pPr>
              <w:pStyle w:val="130"/>
              <w:spacing w:line="400" w:lineRule="exact"/>
              <w:ind w:firstLine="0"/>
              <w:rPr>
                <w:rFonts w:ascii="宋体" w:hAnsi="宋体"/>
                <w:color w:val="auto"/>
                <w:sz w:val="24"/>
                <w:highlight w:val="none"/>
              </w:rPr>
            </w:pPr>
          </w:p>
        </w:tc>
        <w:tc>
          <w:tcPr>
            <w:tcW w:w="2110" w:type="dxa"/>
            <w:noWrap/>
          </w:tcPr>
          <w:p w14:paraId="050AAECB">
            <w:pPr>
              <w:pStyle w:val="130"/>
              <w:spacing w:line="400" w:lineRule="exact"/>
              <w:ind w:firstLine="0"/>
              <w:rPr>
                <w:rFonts w:ascii="宋体" w:hAnsi="宋体"/>
                <w:color w:val="auto"/>
                <w:sz w:val="24"/>
                <w:highlight w:val="none"/>
              </w:rPr>
            </w:pPr>
            <w:r>
              <w:rPr>
                <w:rFonts w:hint="eastAsia" w:ascii="宋体" w:hAnsi="宋体"/>
                <w:color w:val="auto"/>
                <w:sz w:val="24"/>
                <w:highlight w:val="none"/>
              </w:rPr>
              <w:t>平方米</w:t>
            </w:r>
          </w:p>
        </w:tc>
        <w:tc>
          <w:tcPr>
            <w:tcW w:w="1906" w:type="dxa"/>
            <w:gridSpan w:val="2"/>
            <w:noWrap/>
          </w:tcPr>
          <w:p w14:paraId="2E8777DC">
            <w:pPr>
              <w:pStyle w:val="130"/>
              <w:spacing w:line="400" w:lineRule="exact"/>
              <w:ind w:firstLine="0"/>
              <w:rPr>
                <w:rFonts w:ascii="宋体" w:hAnsi="宋体"/>
                <w:color w:val="auto"/>
                <w:sz w:val="24"/>
                <w:highlight w:val="none"/>
              </w:rPr>
            </w:pPr>
            <w:r>
              <w:rPr>
                <w:rFonts w:hint="eastAsia" w:ascii="宋体" w:hAnsi="宋体"/>
                <w:color w:val="auto"/>
                <w:sz w:val="24"/>
                <w:highlight w:val="none"/>
              </w:rPr>
              <w:t>其中：</w:t>
            </w:r>
          </w:p>
        </w:tc>
        <w:tc>
          <w:tcPr>
            <w:tcW w:w="2601" w:type="dxa"/>
            <w:noWrap/>
          </w:tcPr>
          <w:p w14:paraId="227ABC24">
            <w:pPr>
              <w:pStyle w:val="130"/>
              <w:spacing w:line="400" w:lineRule="exact"/>
              <w:ind w:firstLine="0"/>
              <w:rPr>
                <w:rFonts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6A6689CC">
            <w:pPr>
              <w:pStyle w:val="130"/>
              <w:spacing w:line="400" w:lineRule="exact"/>
              <w:ind w:firstLine="0"/>
              <w:rPr>
                <w:rFonts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1D9D0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6ACFCEAF">
            <w:pPr>
              <w:pStyle w:val="130"/>
              <w:spacing w:line="400" w:lineRule="exact"/>
              <w:ind w:firstLine="0"/>
              <w:rPr>
                <w:rFonts w:ascii="宋体" w:hAnsi="宋体"/>
                <w:color w:val="auto"/>
                <w:sz w:val="24"/>
                <w:highlight w:val="none"/>
              </w:rPr>
            </w:pPr>
            <w:r>
              <w:rPr>
                <w:rFonts w:hint="eastAsia" w:ascii="宋体" w:hAnsi="宋体"/>
                <w:color w:val="auto"/>
                <w:sz w:val="24"/>
                <w:highlight w:val="none"/>
              </w:rPr>
              <w:t>单位简历及内设机构情况</w:t>
            </w:r>
          </w:p>
        </w:tc>
        <w:tc>
          <w:tcPr>
            <w:tcW w:w="4507" w:type="dxa"/>
            <w:gridSpan w:val="3"/>
            <w:noWrap/>
          </w:tcPr>
          <w:p w14:paraId="1FC8DC3E">
            <w:pPr>
              <w:pStyle w:val="130"/>
              <w:spacing w:line="400" w:lineRule="exact"/>
              <w:ind w:firstLine="0"/>
              <w:rPr>
                <w:rFonts w:ascii="宋体" w:hAnsi="宋体"/>
                <w:color w:val="auto"/>
                <w:sz w:val="24"/>
                <w:highlight w:val="none"/>
              </w:rPr>
            </w:pPr>
          </w:p>
        </w:tc>
      </w:tr>
      <w:tr w14:paraId="45183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72618549">
            <w:pPr>
              <w:pStyle w:val="130"/>
              <w:spacing w:line="400" w:lineRule="exact"/>
              <w:ind w:firstLine="0"/>
              <w:rPr>
                <w:rFonts w:ascii="宋体" w:hAnsi="宋体"/>
                <w:color w:val="auto"/>
                <w:sz w:val="24"/>
                <w:highlight w:val="none"/>
              </w:rPr>
            </w:pPr>
            <w:r>
              <w:rPr>
                <w:rFonts w:hint="eastAsia" w:ascii="宋体" w:hAnsi="宋体"/>
                <w:color w:val="auto"/>
                <w:sz w:val="24"/>
                <w:highlight w:val="none"/>
              </w:rPr>
              <w:t>单位优势及特长</w:t>
            </w:r>
          </w:p>
        </w:tc>
        <w:tc>
          <w:tcPr>
            <w:tcW w:w="4507" w:type="dxa"/>
            <w:gridSpan w:val="3"/>
            <w:noWrap/>
          </w:tcPr>
          <w:p w14:paraId="6D9AA707">
            <w:pPr>
              <w:pStyle w:val="130"/>
              <w:spacing w:line="400" w:lineRule="exact"/>
              <w:ind w:firstLine="0"/>
              <w:rPr>
                <w:rFonts w:ascii="宋体" w:hAnsi="宋体"/>
                <w:color w:val="auto"/>
                <w:sz w:val="24"/>
                <w:highlight w:val="none"/>
              </w:rPr>
            </w:pPr>
          </w:p>
        </w:tc>
      </w:tr>
      <w:tr w14:paraId="0F3EA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6A706588">
            <w:pPr>
              <w:pStyle w:val="130"/>
              <w:spacing w:line="400" w:lineRule="exact"/>
              <w:ind w:firstLine="0"/>
              <w:rPr>
                <w:rFonts w:ascii="宋体" w:hAnsi="宋体"/>
                <w:color w:val="auto"/>
                <w:sz w:val="24"/>
                <w:highlight w:val="none"/>
              </w:rPr>
            </w:pPr>
            <w:r>
              <w:rPr>
                <w:rFonts w:hint="eastAsia" w:ascii="宋体" w:hAnsi="宋体"/>
                <w:color w:val="auto"/>
                <w:sz w:val="24"/>
                <w:highlight w:val="none"/>
              </w:rPr>
              <w:t>近三年来完成或正在履行的重大合同情况</w:t>
            </w:r>
          </w:p>
        </w:tc>
        <w:tc>
          <w:tcPr>
            <w:tcW w:w="4507" w:type="dxa"/>
            <w:gridSpan w:val="3"/>
            <w:noWrap/>
          </w:tcPr>
          <w:p w14:paraId="7DB81B75">
            <w:pPr>
              <w:pStyle w:val="130"/>
              <w:spacing w:line="400" w:lineRule="exact"/>
              <w:ind w:firstLine="0"/>
              <w:rPr>
                <w:rFonts w:ascii="宋体" w:hAnsi="宋体"/>
                <w:color w:val="auto"/>
                <w:sz w:val="24"/>
                <w:highlight w:val="none"/>
              </w:rPr>
            </w:pPr>
          </w:p>
        </w:tc>
      </w:tr>
      <w:tr w14:paraId="2A98A9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7F6F9798">
            <w:pPr>
              <w:pStyle w:val="130"/>
              <w:spacing w:line="400" w:lineRule="exact"/>
              <w:ind w:firstLine="0"/>
              <w:rPr>
                <w:rFonts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4507" w:type="dxa"/>
            <w:gridSpan w:val="3"/>
            <w:noWrap/>
          </w:tcPr>
          <w:p w14:paraId="73482ACA">
            <w:pPr>
              <w:pStyle w:val="130"/>
              <w:spacing w:line="400" w:lineRule="exact"/>
              <w:ind w:firstLine="0"/>
              <w:rPr>
                <w:rFonts w:ascii="宋体" w:hAnsi="宋体"/>
                <w:color w:val="auto"/>
                <w:sz w:val="24"/>
                <w:highlight w:val="none"/>
              </w:rPr>
            </w:pPr>
          </w:p>
        </w:tc>
      </w:tr>
      <w:tr w14:paraId="65252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17F9E797">
            <w:pPr>
              <w:pStyle w:val="130"/>
              <w:spacing w:line="400" w:lineRule="exact"/>
              <w:ind w:firstLine="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违纪或</w:t>
            </w:r>
            <w:r>
              <w:rPr>
                <w:rFonts w:ascii="宋体" w:hAnsi="宋体"/>
                <w:color w:val="auto"/>
                <w:sz w:val="24"/>
                <w:highlight w:val="none"/>
              </w:rPr>
              <w:t>其他原因被投诉或起诉的情况及说明</w:t>
            </w:r>
          </w:p>
        </w:tc>
        <w:tc>
          <w:tcPr>
            <w:tcW w:w="4507" w:type="dxa"/>
            <w:gridSpan w:val="3"/>
            <w:noWrap/>
          </w:tcPr>
          <w:p w14:paraId="2BB10382">
            <w:pPr>
              <w:pStyle w:val="130"/>
              <w:spacing w:line="400" w:lineRule="exact"/>
              <w:ind w:firstLine="0"/>
              <w:rPr>
                <w:rFonts w:ascii="宋体" w:hAnsi="宋体"/>
                <w:color w:val="auto"/>
                <w:sz w:val="24"/>
                <w:highlight w:val="none"/>
              </w:rPr>
            </w:pPr>
            <w:r>
              <w:rPr>
                <w:rFonts w:hint="eastAsia" w:ascii="宋体" w:hAnsi="宋体"/>
                <w:color w:val="auto"/>
                <w:sz w:val="24"/>
                <w:highlight w:val="none"/>
              </w:rPr>
              <w:t>（包括解决方式和结果）</w:t>
            </w:r>
          </w:p>
        </w:tc>
      </w:tr>
      <w:tr w14:paraId="2A86C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3B3F432F">
            <w:pPr>
              <w:pStyle w:val="130"/>
              <w:spacing w:line="400" w:lineRule="exact"/>
              <w:ind w:firstLine="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4507" w:type="dxa"/>
            <w:gridSpan w:val="3"/>
            <w:noWrap/>
          </w:tcPr>
          <w:p w14:paraId="43796D25">
            <w:pPr>
              <w:spacing w:line="360" w:lineRule="auto"/>
              <w:rPr>
                <w:rFonts w:ascii="宋体" w:hAnsi="宋体"/>
                <w:color w:val="auto"/>
                <w:sz w:val="24"/>
                <w:highlight w:val="none"/>
              </w:rPr>
            </w:pPr>
          </w:p>
        </w:tc>
      </w:tr>
      <w:tr w14:paraId="69219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4620" w:type="dxa"/>
            <w:gridSpan w:val="2"/>
            <w:noWrap/>
            <w:vAlign w:val="center"/>
          </w:tcPr>
          <w:p w14:paraId="2C1E8B8E">
            <w:pPr>
              <w:pStyle w:val="130"/>
              <w:spacing w:line="400" w:lineRule="exact"/>
              <w:ind w:firstLine="0"/>
              <w:rPr>
                <w:rFonts w:ascii="宋体" w:hAnsi="宋体"/>
                <w:color w:val="auto"/>
                <w:sz w:val="24"/>
                <w:highlight w:val="none"/>
              </w:rPr>
            </w:pPr>
            <w:r>
              <w:rPr>
                <w:rFonts w:hint="eastAsia" w:ascii="宋体" w:hAnsi="宋体"/>
                <w:color w:val="auto"/>
                <w:sz w:val="24"/>
                <w:highlight w:val="none"/>
              </w:rPr>
              <w:t>其他需要说明的情况</w:t>
            </w:r>
          </w:p>
        </w:tc>
        <w:tc>
          <w:tcPr>
            <w:tcW w:w="4507" w:type="dxa"/>
            <w:gridSpan w:val="3"/>
            <w:noWrap/>
          </w:tcPr>
          <w:p w14:paraId="43DBD6F6">
            <w:pPr>
              <w:pStyle w:val="130"/>
              <w:spacing w:line="400" w:lineRule="exact"/>
              <w:ind w:firstLine="0"/>
              <w:rPr>
                <w:rFonts w:ascii="宋体" w:hAnsi="宋体"/>
                <w:color w:val="auto"/>
                <w:sz w:val="24"/>
                <w:highlight w:val="none"/>
              </w:rPr>
            </w:pPr>
          </w:p>
        </w:tc>
      </w:tr>
    </w:tbl>
    <w:p w14:paraId="1F94BDC1">
      <w:pPr>
        <w:pStyle w:val="130"/>
        <w:ind w:firstLine="480"/>
        <w:rPr>
          <w:rFonts w:ascii="宋体" w:hAnsi="宋体"/>
          <w:color w:val="auto"/>
          <w:sz w:val="24"/>
          <w:highlight w:val="none"/>
        </w:rPr>
      </w:pPr>
    </w:p>
    <w:p w14:paraId="66A46D15">
      <w:pPr>
        <w:pStyle w:val="130"/>
        <w:ind w:firstLine="480"/>
        <w:rPr>
          <w:rFonts w:ascii="宋体" w:hAnsi="宋体"/>
          <w:color w:val="auto"/>
          <w:sz w:val="24"/>
          <w:highlight w:val="none"/>
        </w:rPr>
      </w:pPr>
      <w:r>
        <w:rPr>
          <w:rFonts w:hint="eastAsia" w:ascii="宋体" w:hAnsi="宋体"/>
          <w:color w:val="auto"/>
          <w:sz w:val="24"/>
          <w:highlight w:val="none"/>
        </w:rPr>
        <w:t>注：本表可以扩展。</w:t>
      </w:r>
    </w:p>
    <w:p w14:paraId="0D756790">
      <w:pPr>
        <w:spacing w:line="360" w:lineRule="auto"/>
        <w:ind w:firstLine="480"/>
        <w:rPr>
          <w:rFonts w:ascii="宋体" w:hAnsi="宋体"/>
          <w:color w:val="auto"/>
          <w:sz w:val="24"/>
          <w:szCs w:val="24"/>
          <w:highlight w:val="none"/>
        </w:rPr>
      </w:pPr>
      <w:r>
        <w:rPr>
          <w:rFonts w:hint="eastAsia" w:ascii="宋体" w:hAnsi="宋体"/>
          <w:color w:val="auto"/>
          <w:sz w:val="24"/>
          <w:highlight w:val="none"/>
        </w:rPr>
        <w:t>法定代表人或授权代表签字或盖章：</w:t>
      </w:r>
    </w:p>
    <w:p w14:paraId="6FE15D7D">
      <w:pPr>
        <w:spacing w:line="360" w:lineRule="auto"/>
        <w:ind w:firstLine="480"/>
        <w:rPr>
          <w:rFonts w:ascii="黑体" w:hAnsi="宋体" w:eastAsia="黑体"/>
          <w:color w:val="auto"/>
          <w:sz w:val="24"/>
          <w:szCs w:val="24"/>
          <w:highlight w:val="none"/>
        </w:rPr>
      </w:pPr>
      <w:r>
        <w:rPr>
          <w:rFonts w:ascii="宋体" w:hAnsi="宋体"/>
          <w:bCs/>
          <w:color w:val="auto"/>
          <w:szCs w:val="21"/>
          <w:highlight w:val="none"/>
        </w:rPr>
        <w:br w:type="page" w:clear="all"/>
      </w:r>
      <w:r>
        <w:rPr>
          <w:rFonts w:hint="eastAsia" w:ascii="黑体" w:hAnsi="宋体" w:eastAsia="黑体"/>
          <w:bCs/>
          <w:color w:val="auto"/>
          <w:sz w:val="24"/>
          <w:szCs w:val="24"/>
          <w:highlight w:val="none"/>
        </w:rPr>
        <w:t>（十</w:t>
      </w:r>
      <w:r>
        <w:rPr>
          <w:rFonts w:hint="eastAsia" w:ascii="黑体" w:hAnsi="宋体" w:eastAsia="黑体"/>
          <w:bCs/>
          <w:color w:val="auto"/>
          <w:sz w:val="24"/>
          <w:szCs w:val="24"/>
          <w:highlight w:val="none"/>
          <w:lang w:val="en-US" w:eastAsia="zh-CN"/>
        </w:rPr>
        <w:t>二</w:t>
      </w:r>
      <w:r>
        <w:rPr>
          <w:rFonts w:hint="eastAsia" w:ascii="黑体" w:hAnsi="宋体" w:eastAsia="黑体"/>
          <w:bCs/>
          <w:color w:val="auto"/>
          <w:sz w:val="24"/>
          <w:szCs w:val="24"/>
          <w:highlight w:val="none"/>
        </w:rPr>
        <w:t>）技术方案（格式自拟）</w:t>
      </w:r>
    </w:p>
    <w:p w14:paraId="220B1DE0">
      <w:pPr>
        <w:spacing w:line="360" w:lineRule="auto"/>
        <w:ind w:firstLine="480"/>
        <w:jc w:val="center"/>
        <w:rPr>
          <w:rFonts w:ascii="宋体" w:hAnsi="宋体"/>
          <w:b/>
          <w:bCs/>
          <w:color w:val="auto"/>
          <w:sz w:val="24"/>
          <w:szCs w:val="24"/>
          <w:highlight w:val="none"/>
        </w:rPr>
      </w:pPr>
      <w:r>
        <w:rPr>
          <w:rFonts w:hint="eastAsia" w:ascii="宋体" w:hAnsi="宋体"/>
          <w:b/>
          <w:bCs/>
          <w:color w:val="auto"/>
          <w:sz w:val="24"/>
          <w:szCs w:val="24"/>
          <w:highlight w:val="none"/>
        </w:rPr>
        <w:t>技术方案</w:t>
      </w:r>
    </w:p>
    <w:p w14:paraId="76B36EB5">
      <w:pPr>
        <w:pStyle w:val="357"/>
        <w:spacing w:line="360" w:lineRule="auto"/>
        <w:ind w:firstLine="0"/>
        <w:rPr>
          <w:color w:val="auto"/>
          <w:sz w:val="24"/>
          <w:highlight w:val="none"/>
        </w:rPr>
      </w:pPr>
      <w:r>
        <w:rPr>
          <w:rFonts w:hint="eastAsia"/>
          <w:color w:val="auto"/>
          <w:sz w:val="24"/>
          <w:highlight w:val="none"/>
        </w:rPr>
        <w:t>投标供应商应按评分点编制完整的服务方案，</w:t>
      </w:r>
      <w:r>
        <w:rPr>
          <w:color w:val="auto"/>
          <w:sz w:val="24"/>
          <w:highlight w:val="none"/>
        </w:rPr>
        <w:t>以便评审。</w:t>
      </w:r>
    </w:p>
    <w:sectPr>
      <w:headerReference r:id="rId4" w:type="first"/>
      <w:headerReference r:id="rId3" w:type="default"/>
      <w:footerReference r:id="rId5" w:type="default"/>
      <w:pgSz w:w="11906" w:h="16838"/>
      <w:pgMar w:top="1440" w:right="1080" w:bottom="1440" w:left="1080" w:header="624"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方正仿宋_GBK">
    <w:panose1 w:val="02000000000000000000"/>
    <w:charset w:val="86"/>
    <w:family w:val="auto"/>
    <w:pitch w:val="default"/>
    <w:sig w:usb0="A00002BF" w:usb1="38CF7CFA" w:usb2="00082016" w:usb3="00000000" w:csb0="00040001" w:csb1="00000000"/>
  </w:font>
  <w:font w:name="等线">
    <w:panose1 w:val="02010600030101010101"/>
    <w:charset w:val="86"/>
    <w:family w:val="auto"/>
    <w:pitch w:val="default"/>
    <w:sig w:usb0="A00002BF" w:usb1="38CF7CFA" w:usb2="00000016" w:usb3="00000000" w:csb0="0004000F" w:csb1="00000000"/>
  </w:font>
  <w:font w:name="方正黑体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FB820">
    <w:pPr>
      <w:pStyle w:val="168"/>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29</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06442E">
    <w:pPr>
      <w:pStyle w:val="170"/>
    </w:pPr>
    <w:r>
      <w:rPr>
        <w:rFonts w:hint="eastAsia" w:ascii="宋体" w:hAnsi="宋体"/>
        <w:lang w:eastAsia="zh-CN"/>
      </w:rPr>
      <w:t>JSZC-320214-JSZH-G2026-0023</w:t>
    </w:r>
    <w:r>
      <w:rPr>
        <w:rFonts w:hint="eastAsia" w:ascii="宋体" w:hAnsi="宋体"/>
        <w:lang w:val="en-US" w:eastAsia="zh-CN"/>
      </w:rPr>
      <w:t xml:space="preserve">                          </w:t>
    </w:r>
    <w:r>
      <w:rPr>
        <w:rFonts w:hint="eastAsia" w:ascii="宋体" w:hAnsi="宋体"/>
        <w:lang w:eastAsia="zh-CN"/>
      </w:rPr>
      <w:t>特种设备安全、食品安全委托协作管理项目</w:t>
    </w:r>
    <w:r>
      <w:rPr>
        <w:rFonts w:hint="eastAsia" w:ascii="宋体" w:hAnsi="宋体"/>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C7EC2">
    <w:pPr>
      <w:pStyle w:val="170"/>
    </w:pPr>
    <w:r>
      <w:rPr>
        <w:rFonts w:hint="eastAsia" w:ascii="宋体" w:hAnsi="宋体"/>
        <w:lang w:eastAsia="zh-CN"/>
      </w:rPr>
      <w:t>JSZC-320214-JSZH-G2026-0023特种设备安全、食品安全委托协作管理项目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898"/>
        </w:tabs>
        <w:ind w:left="898" w:hanging="720"/>
      </w:pPr>
      <w:rPr>
        <w:rFonts w:hint="eastAsia"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
    <w:nsid w:val="BF205925"/>
    <w:multiLevelType w:val="multilevel"/>
    <w:tmpl w:val="BF205925"/>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C8879AEF"/>
    <w:multiLevelType w:val="multilevel"/>
    <w:tmpl w:val="C8879AEF"/>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3">
    <w:nsid w:val="CF092B84"/>
    <w:multiLevelType w:val="multilevel"/>
    <w:tmpl w:val="CF092B84"/>
    <w:lvl w:ilvl="0" w:tentative="0">
      <w:start w:val="1"/>
      <w:numFmt w:val="bullet"/>
      <w:pStyle w:val="151"/>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4">
    <w:nsid w:val="0053208E"/>
    <w:multiLevelType w:val="multilevel"/>
    <w:tmpl w:val="0053208E"/>
    <w:lvl w:ilvl="0" w:tentative="0">
      <w:start w:val="1"/>
      <w:numFmt w:val="upperLetter"/>
      <w:pStyle w:val="2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1104"/>
        </w:tabs>
        <w:ind w:left="1104" w:hanging="696"/>
      </w:pPr>
      <w:rPr>
        <w:rFonts w:ascii="Times New Roman" w:hAnsi="Times New Roman" w:eastAsia="Times New Roman"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3D62ECE"/>
    <w:multiLevelType w:val="multilevel"/>
    <w:tmpl w:val="03D62ECE"/>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7">
    <w:nsid w:val="25B654F3"/>
    <w:multiLevelType w:val="multilevel"/>
    <w:tmpl w:val="25B654F3"/>
    <w:lvl w:ilvl="0" w:tentative="0">
      <w:start w:val="1"/>
      <w:numFmt w:val="decimal"/>
      <w:lvlText w:val="%1."/>
      <w:lvlJc w:val="left"/>
      <w:pPr>
        <w:tabs>
          <w:tab w:val="left" w:pos="762"/>
        </w:tabs>
        <w:ind w:left="762" w:hanging="21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A8F537B"/>
    <w:multiLevelType w:val="multilevel"/>
    <w:tmpl w:val="2A8F537B"/>
    <w:lvl w:ilvl="0" w:tentative="0">
      <w:start w:val="1"/>
      <w:numFmt w:val="decimal"/>
      <w:lvlText w:val="%1．"/>
      <w:lvlJc w:val="left"/>
      <w:pPr>
        <w:tabs>
          <w:tab w:val="left" w:pos="552"/>
        </w:tabs>
        <w:ind w:left="552"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4D4DC07F"/>
    <w:multiLevelType w:val="multilevel"/>
    <w:tmpl w:val="4D4DC07F"/>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5A241D34"/>
    <w:multiLevelType w:val="multilevel"/>
    <w:tmpl w:val="5A241D34"/>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4"/>
  </w:num>
  <w:num w:numId="2">
    <w:abstractNumId w:val="3"/>
  </w:num>
  <w:num w:numId="3">
    <w:abstractNumId w:val="1"/>
  </w:num>
  <w:num w:numId="4">
    <w:abstractNumId w:val="0"/>
  </w:num>
  <w:num w:numId="5">
    <w:abstractNumId w:val="6"/>
  </w:num>
  <w:num w:numId="6">
    <w:abstractNumId w:val="7"/>
  </w:num>
  <w:num w:numId="7">
    <w:abstractNumId w:val="11"/>
  </w:num>
  <w:num w:numId="8">
    <w:abstractNumId w:val="5"/>
  </w:num>
  <w:num w:numId="9">
    <w:abstractNumId w:val="8"/>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870D5"/>
    <w:rsid w:val="090137FA"/>
    <w:rsid w:val="12D419ED"/>
    <w:rsid w:val="1811738D"/>
    <w:rsid w:val="18965F28"/>
    <w:rsid w:val="1AA825BE"/>
    <w:rsid w:val="1E126746"/>
    <w:rsid w:val="1FD011AD"/>
    <w:rsid w:val="24214CA6"/>
    <w:rsid w:val="2670658E"/>
    <w:rsid w:val="2B490B4A"/>
    <w:rsid w:val="2C5D6089"/>
    <w:rsid w:val="2CE66F5D"/>
    <w:rsid w:val="32270449"/>
    <w:rsid w:val="391C69ED"/>
    <w:rsid w:val="3B6A1EEA"/>
    <w:rsid w:val="3D7B7D6F"/>
    <w:rsid w:val="4A3C326A"/>
    <w:rsid w:val="4ABE526B"/>
    <w:rsid w:val="4AC7411F"/>
    <w:rsid w:val="4BC30D8B"/>
    <w:rsid w:val="4CA41CD0"/>
    <w:rsid w:val="4F5055D0"/>
    <w:rsid w:val="51736DAF"/>
    <w:rsid w:val="52652A8B"/>
    <w:rsid w:val="57EA2131"/>
    <w:rsid w:val="61803709"/>
    <w:rsid w:val="66722211"/>
    <w:rsid w:val="6C8225DA"/>
    <w:rsid w:val="700A7F09"/>
    <w:rsid w:val="712A3D98"/>
    <w:rsid w:val="723F4D5F"/>
    <w:rsid w:val="7984213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2">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0"/>
    <w:pPr>
      <w:ind w:firstLine="420"/>
    </w:pPr>
    <w:rPr>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5"/>
    <w:qFormat/>
    <w:uiPriority w:val="99"/>
    <w:rPr>
      <w:rFonts w:ascii="华文中宋" w:eastAsia="华文中宋"/>
      <w:bCs/>
      <w:sz w:val="28"/>
    </w:rPr>
  </w:style>
  <w:style w:type="paragraph" w:customStyle="1" w:styleId="1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pPr>
      <w:widowControl w:val="0"/>
      <w:jc w:val="both"/>
    </w:pPr>
    <w:rPr>
      <w:rFonts w:hint="default" w:ascii="宋体" w:hAnsi="Courier New" w:eastAsia="楷体_GB2312" w:cs="Times New Roman"/>
      <w:sz w:val="26"/>
      <w:lang w:val="en-US" w:eastAsia="zh-CN" w:bidi="ar-SA"/>
    </w:rPr>
  </w:style>
  <w:style w:type="paragraph" w:styleId="19">
    <w:name w:val="toc 8"/>
    <w:basedOn w:val="1"/>
    <w:next w:val="1"/>
    <w:unhideWhenUsed/>
    <w:qFormat/>
    <w:uiPriority w:val="39"/>
    <w:pPr>
      <w:spacing w:after="57"/>
      <w:ind w:left="1984"/>
    </w:pPr>
  </w:style>
  <w:style w:type="paragraph" w:styleId="20">
    <w:name w:val="endnote text"/>
    <w:basedOn w:val="1"/>
    <w:semiHidden/>
    <w:unhideWhenUsed/>
    <w:qFormat/>
    <w:uiPriority w:val="99"/>
    <w:rPr>
      <w:sz w:val="20"/>
    </w:rPr>
  </w:style>
  <w:style w:type="paragraph" w:styleId="21">
    <w:name w:val="footer"/>
    <w:basedOn w:val="1"/>
    <w:next w:val="22"/>
    <w:unhideWhenUsed/>
    <w:qFormat/>
    <w:uiPriority w:val="99"/>
    <w:pPr>
      <w:tabs>
        <w:tab w:val="center" w:pos="7143"/>
        <w:tab w:val="right" w:pos="14287"/>
      </w:tabs>
    </w:pPr>
  </w:style>
  <w:style w:type="paragraph" w:customStyle="1" w:styleId="22">
    <w:name w:val="TOC Heading1"/>
    <w:next w:val="1"/>
    <w:qFormat/>
    <w:uiPriority w:val="0"/>
    <w:rPr>
      <w:rFonts w:hint="default" w:ascii="Times New Roman" w:hAnsi="Times New Roman" w:eastAsia="宋体" w:cs="Times New Roman"/>
      <w:sz w:val="32"/>
      <w:lang w:val="en-US" w:eastAsia="zh-CN" w:bidi="ar-SA"/>
    </w:r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qFormat/>
    <w:uiPriority w:val="11"/>
    <w:pPr>
      <w:spacing w:before="200" w:after="200"/>
    </w:pPr>
    <w:rPr>
      <w:sz w:val="24"/>
      <w:szCs w:val="24"/>
    </w:rPr>
  </w:style>
  <w:style w:type="paragraph" w:styleId="27">
    <w:name w:val="List"/>
    <w:basedOn w:val="1"/>
    <w:qFormat/>
    <w:uiPriority w:val="0"/>
    <w:pPr>
      <w:numPr>
        <w:ilvl w:val="0"/>
        <w:numId w:val="1"/>
      </w:numPr>
      <w:spacing w:after="20" w:line="288" w:lineRule="auto"/>
    </w:pPr>
    <w:rPr>
      <w:rFonts w:ascii="Times New Roman" w:hAnsi="Times New Roman" w:eastAsia="宋体" w:cs="Times New Roman"/>
      <w:szCs w:val="20"/>
      <w:lang w:val="en-GB"/>
    </w:rPr>
  </w:style>
  <w:style w:type="paragraph" w:styleId="28">
    <w:name w:val="footnote text"/>
    <w:basedOn w:val="1"/>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spacing w:before="100" w:beforeAutospacing="1" w:after="100" w:afterAutospacing="1"/>
      <w:ind w:left="0" w:right="0"/>
      <w:jc w:val="left"/>
    </w:pPr>
    <w:rPr>
      <w:rFonts w:ascii="Times New Roman" w:hAnsi="Times New Roman" w:eastAsia="宋体" w:cs="Times New Roman"/>
      <w:sz w:val="24"/>
      <w:lang w:val="en-US" w:eastAsia="zh-CN" w:bidi="ar"/>
    </w:rPr>
  </w:style>
  <w:style w:type="paragraph" w:styleId="34">
    <w:name w:val="Title"/>
    <w:basedOn w:val="1"/>
    <w:next w:val="1"/>
    <w:qFormat/>
    <w:uiPriority w:val="10"/>
    <w:pPr>
      <w:spacing w:before="300" w:after="200"/>
      <w:contextualSpacing/>
    </w:pPr>
    <w:rPr>
      <w:sz w:val="48"/>
      <w:szCs w:val="48"/>
    </w:rPr>
  </w:style>
  <w:style w:type="paragraph" w:styleId="35">
    <w:name w:val="Body Text First Indent"/>
    <w:basedOn w:val="14"/>
    <w:unhideWhenUsed/>
    <w:qFormat/>
    <w:uiPriority w:val="0"/>
    <w:pPr>
      <w:spacing w:after="120"/>
      <w:ind w:firstLine="420"/>
    </w:pPr>
    <w:rPr>
      <w:rFonts w:ascii="Times New Roman" w:eastAsia="宋体"/>
      <w:bCs w:val="0"/>
      <w:sz w:val="20"/>
      <w:lang w:val="en-US" w:eastAsia="zh-CN" w:bidi="mn-Mong-CN"/>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TOC Heading"/>
    <w:unhideWhenUsed/>
    <w:qFormat/>
    <w:uiPriority w:val="39"/>
    <w:rPr>
      <w:rFonts w:hint="default" w:ascii="Times New Roman" w:hAnsi="Times New Roman" w:eastAsia="宋体" w:cs="Times New Roman"/>
    </w:rPr>
  </w:style>
  <w:style w:type="paragraph" w:customStyle="1" w:styleId="43">
    <w:name w:val="标题 112"/>
    <w:basedOn w:val="1"/>
    <w:next w:val="1"/>
    <w:link w:val="54"/>
    <w:qFormat/>
    <w:uiPriority w:val="9"/>
    <w:pPr>
      <w:keepNext/>
      <w:keepLines/>
      <w:spacing w:before="480" w:after="200"/>
      <w:outlineLvl w:val="0"/>
    </w:pPr>
    <w:rPr>
      <w:rFonts w:ascii="Arial" w:hAnsi="Arial" w:eastAsia="Arial" w:cs="Arial"/>
      <w:sz w:val="40"/>
      <w:szCs w:val="40"/>
    </w:rPr>
  </w:style>
  <w:style w:type="paragraph" w:customStyle="1" w:styleId="44">
    <w:name w:val="标题 212"/>
    <w:basedOn w:val="1"/>
    <w:next w:val="1"/>
    <w:link w:val="55"/>
    <w:unhideWhenUsed/>
    <w:qFormat/>
    <w:uiPriority w:val="9"/>
    <w:pPr>
      <w:keepNext/>
      <w:keepLines/>
      <w:spacing w:before="360" w:after="200"/>
      <w:outlineLvl w:val="1"/>
    </w:pPr>
    <w:rPr>
      <w:rFonts w:ascii="Arial" w:hAnsi="Arial" w:eastAsia="Arial" w:cs="Arial"/>
      <w:sz w:val="34"/>
    </w:rPr>
  </w:style>
  <w:style w:type="paragraph" w:customStyle="1" w:styleId="45">
    <w:name w:val="标题 312"/>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customStyle="1" w:styleId="46">
    <w:name w:val="标题 412"/>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customStyle="1" w:styleId="47">
    <w:name w:val="标题 512"/>
    <w:basedOn w:val="1"/>
    <w:next w:val="1"/>
    <w:link w:val="58"/>
    <w:unhideWhenUsed/>
    <w:qFormat/>
    <w:uiPriority w:val="9"/>
    <w:pPr>
      <w:keepNext/>
      <w:keepLines/>
      <w:spacing w:before="320" w:after="200"/>
      <w:outlineLvl w:val="4"/>
    </w:pPr>
    <w:rPr>
      <w:rFonts w:ascii="Arial" w:hAnsi="Arial" w:eastAsia="Arial" w:cs="Arial"/>
      <w:b/>
      <w:bCs/>
      <w:sz w:val="24"/>
      <w:szCs w:val="24"/>
    </w:rPr>
  </w:style>
  <w:style w:type="paragraph" w:customStyle="1" w:styleId="48">
    <w:name w:val="标题 611"/>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customStyle="1" w:styleId="49">
    <w:name w:val="标题 711"/>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50">
    <w:name w:val="标题 811"/>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customStyle="1" w:styleId="51">
    <w:name w:val="标题 911"/>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customStyle="1" w:styleId="52">
    <w:name w:val="默认段落字体12"/>
    <w:unhideWhenUsed/>
    <w:qFormat/>
    <w:uiPriority w:val="1"/>
  </w:style>
  <w:style w:type="table" w:customStyle="1" w:styleId="53">
    <w:name w:val="普通表格12"/>
    <w:unhideWhenUsed/>
    <w:qFormat/>
    <w:uiPriority w:val="99"/>
    <w:tblPr>
      <w:tblCellMar>
        <w:top w:w="0" w:type="dxa"/>
        <w:left w:w="0" w:type="dxa"/>
        <w:bottom w:w="0" w:type="dxa"/>
        <w:right w:w="0" w:type="dxa"/>
      </w:tblCellMar>
    </w:tblPr>
  </w:style>
  <w:style w:type="character" w:customStyle="1" w:styleId="54">
    <w:name w:val="Heading 1 Char"/>
    <w:link w:val="43"/>
    <w:qFormat/>
    <w:uiPriority w:val="9"/>
    <w:rPr>
      <w:rFonts w:ascii="Arial" w:hAnsi="Arial" w:eastAsia="Arial" w:cs="Arial"/>
      <w:sz w:val="40"/>
      <w:szCs w:val="40"/>
    </w:rPr>
  </w:style>
  <w:style w:type="character" w:customStyle="1" w:styleId="55">
    <w:name w:val="Heading 2 Char"/>
    <w:link w:val="44"/>
    <w:qFormat/>
    <w:uiPriority w:val="9"/>
    <w:rPr>
      <w:rFonts w:ascii="Arial" w:hAnsi="Arial" w:eastAsia="Arial" w:cs="Arial"/>
      <w:sz w:val="34"/>
    </w:rPr>
  </w:style>
  <w:style w:type="character" w:customStyle="1" w:styleId="56">
    <w:name w:val="Heading 3 Char"/>
    <w:link w:val="45"/>
    <w:qFormat/>
    <w:uiPriority w:val="9"/>
    <w:rPr>
      <w:rFonts w:ascii="Arial" w:hAnsi="Arial" w:eastAsia="Arial" w:cs="Arial"/>
      <w:sz w:val="30"/>
      <w:szCs w:val="30"/>
    </w:rPr>
  </w:style>
  <w:style w:type="character" w:customStyle="1" w:styleId="57">
    <w:name w:val="Heading 4 Char"/>
    <w:link w:val="46"/>
    <w:qFormat/>
    <w:uiPriority w:val="9"/>
    <w:rPr>
      <w:rFonts w:ascii="Arial" w:hAnsi="Arial" w:eastAsia="Arial" w:cs="Arial"/>
      <w:b/>
      <w:bCs/>
      <w:sz w:val="26"/>
      <w:szCs w:val="26"/>
    </w:rPr>
  </w:style>
  <w:style w:type="character" w:customStyle="1" w:styleId="58">
    <w:name w:val="Heading 5 Char"/>
    <w:link w:val="47"/>
    <w:qFormat/>
    <w:uiPriority w:val="9"/>
    <w:rPr>
      <w:rFonts w:ascii="Arial" w:hAnsi="Arial" w:eastAsia="Arial" w:cs="Arial"/>
      <w:b/>
      <w:bCs/>
      <w:sz w:val="24"/>
      <w:szCs w:val="24"/>
    </w:rPr>
  </w:style>
  <w:style w:type="character" w:customStyle="1" w:styleId="59">
    <w:name w:val="Heading 6 Char"/>
    <w:link w:val="48"/>
    <w:qFormat/>
    <w:uiPriority w:val="9"/>
    <w:rPr>
      <w:rFonts w:ascii="Arial" w:hAnsi="Arial" w:eastAsia="Arial" w:cs="Arial"/>
      <w:b/>
      <w:bCs/>
      <w:sz w:val="22"/>
      <w:szCs w:val="22"/>
    </w:rPr>
  </w:style>
  <w:style w:type="character" w:customStyle="1" w:styleId="60">
    <w:name w:val="Heading 7 Char"/>
    <w:link w:val="49"/>
    <w:qFormat/>
    <w:uiPriority w:val="9"/>
    <w:rPr>
      <w:rFonts w:ascii="Arial" w:hAnsi="Arial" w:eastAsia="Arial" w:cs="Arial"/>
      <w:b/>
      <w:bCs/>
      <w:i/>
      <w:iCs/>
      <w:sz w:val="22"/>
      <w:szCs w:val="22"/>
    </w:rPr>
  </w:style>
  <w:style w:type="character" w:customStyle="1" w:styleId="61">
    <w:name w:val="Heading 8 Char"/>
    <w:link w:val="50"/>
    <w:qFormat/>
    <w:uiPriority w:val="9"/>
    <w:rPr>
      <w:rFonts w:ascii="Arial" w:hAnsi="Arial" w:eastAsia="Arial" w:cs="Arial"/>
      <w:i/>
      <w:iCs/>
      <w:sz w:val="22"/>
      <w:szCs w:val="22"/>
    </w:rPr>
  </w:style>
  <w:style w:type="character" w:customStyle="1" w:styleId="62">
    <w:name w:val="Heading 9 Char"/>
    <w:link w:val="51"/>
    <w:qFormat/>
    <w:uiPriority w:val="9"/>
    <w:rPr>
      <w:rFonts w:ascii="Arial" w:hAnsi="Arial" w:eastAsia="Arial" w:cs="Arial"/>
      <w:i/>
      <w:iCs/>
      <w:sz w:val="21"/>
      <w:szCs w:val="21"/>
    </w:rPr>
  </w:style>
  <w:style w:type="paragraph" w:customStyle="1" w:styleId="63">
    <w:name w:val="目录 712"/>
    <w:basedOn w:val="1"/>
    <w:next w:val="1"/>
    <w:unhideWhenUsed/>
    <w:qFormat/>
    <w:uiPriority w:val="39"/>
    <w:pPr>
      <w:spacing w:after="57"/>
      <w:ind w:left="1701"/>
    </w:pPr>
  </w:style>
  <w:style w:type="paragraph" w:customStyle="1" w:styleId="64">
    <w:name w:val="题注11"/>
    <w:basedOn w:val="1"/>
    <w:next w:val="1"/>
    <w:unhideWhenUsed/>
    <w:qFormat/>
    <w:uiPriority w:val="35"/>
    <w:pPr>
      <w:spacing w:line="276" w:lineRule="auto"/>
    </w:pPr>
    <w:rPr>
      <w:b/>
      <w:bCs/>
      <w:color w:val="4F81BD"/>
      <w:sz w:val="18"/>
      <w:szCs w:val="18"/>
    </w:rPr>
  </w:style>
  <w:style w:type="paragraph" w:customStyle="1" w:styleId="65">
    <w:name w:val="目录 512"/>
    <w:basedOn w:val="1"/>
    <w:next w:val="1"/>
    <w:unhideWhenUsed/>
    <w:qFormat/>
    <w:uiPriority w:val="39"/>
    <w:pPr>
      <w:spacing w:after="57"/>
      <w:ind w:left="1134"/>
    </w:pPr>
  </w:style>
  <w:style w:type="paragraph" w:customStyle="1" w:styleId="66">
    <w:name w:val="目录 312"/>
    <w:basedOn w:val="1"/>
    <w:next w:val="1"/>
    <w:unhideWhenUsed/>
    <w:qFormat/>
    <w:uiPriority w:val="39"/>
    <w:pPr>
      <w:spacing w:after="57"/>
      <w:ind w:left="567"/>
    </w:pPr>
  </w:style>
  <w:style w:type="paragraph" w:customStyle="1" w:styleId="67">
    <w:name w:val="目录 812"/>
    <w:basedOn w:val="1"/>
    <w:next w:val="1"/>
    <w:unhideWhenUsed/>
    <w:qFormat/>
    <w:uiPriority w:val="39"/>
    <w:pPr>
      <w:spacing w:after="57"/>
      <w:ind w:left="1984"/>
    </w:pPr>
  </w:style>
  <w:style w:type="paragraph" w:customStyle="1" w:styleId="68">
    <w:name w:val="尾注文本12"/>
    <w:basedOn w:val="1"/>
    <w:unhideWhenUsed/>
    <w:qFormat/>
    <w:uiPriority w:val="99"/>
    <w:rPr>
      <w:sz w:val="20"/>
    </w:rPr>
  </w:style>
  <w:style w:type="paragraph" w:customStyle="1" w:styleId="69">
    <w:name w:val="页脚13"/>
    <w:basedOn w:val="1"/>
    <w:unhideWhenUsed/>
    <w:qFormat/>
    <w:uiPriority w:val="99"/>
    <w:pPr>
      <w:tabs>
        <w:tab w:val="center" w:pos="7143"/>
        <w:tab w:val="right" w:pos="14287"/>
      </w:tabs>
    </w:pPr>
  </w:style>
  <w:style w:type="paragraph" w:customStyle="1" w:styleId="70">
    <w:name w:val="页眉12"/>
    <w:basedOn w:val="1"/>
    <w:unhideWhenUsed/>
    <w:qFormat/>
    <w:uiPriority w:val="99"/>
    <w:pPr>
      <w:tabs>
        <w:tab w:val="center" w:pos="7143"/>
        <w:tab w:val="right" w:pos="14287"/>
      </w:tabs>
    </w:pPr>
  </w:style>
  <w:style w:type="paragraph" w:customStyle="1" w:styleId="71">
    <w:name w:val="目录 112"/>
    <w:basedOn w:val="1"/>
    <w:next w:val="1"/>
    <w:unhideWhenUsed/>
    <w:qFormat/>
    <w:uiPriority w:val="39"/>
    <w:pPr>
      <w:spacing w:after="57"/>
    </w:pPr>
  </w:style>
  <w:style w:type="paragraph" w:customStyle="1" w:styleId="72">
    <w:name w:val="目录 412"/>
    <w:basedOn w:val="1"/>
    <w:next w:val="1"/>
    <w:unhideWhenUsed/>
    <w:qFormat/>
    <w:uiPriority w:val="39"/>
    <w:pPr>
      <w:spacing w:after="57"/>
      <w:ind w:left="850"/>
    </w:pPr>
  </w:style>
  <w:style w:type="paragraph" w:customStyle="1" w:styleId="73">
    <w:name w:val="副标题12"/>
    <w:basedOn w:val="1"/>
    <w:next w:val="1"/>
    <w:qFormat/>
    <w:uiPriority w:val="11"/>
    <w:pPr>
      <w:spacing w:before="200" w:after="200"/>
    </w:pPr>
    <w:rPr>
      <w:sz w:val="24"/>
      <w:szCs w:val="24"/>
    </w:rPr>
  </w:style>
  <w:style w:type="paragraph" w:customStyle="1" w:styleId="74">
    <w:name w:val="脚注文本12"/>
    <w:basedOn w:val="1"/>
    <w:unhideWhenUsed/>
    <w:qFormat/>
    <w:uiPriority w:val="99"/>
    <w:pPr>
      <w:spacing w:after="40"/>
    </w:pPr>
    <w:rPr>
      <w:sz w:val="18"/>
    </w:rPr>
  </w:style>
  <w:style w:type="paragraph" w:customStyle="1" w:styleId="75">
    <w:name w:val="目录 612"/>
    <w:basedOn w:val="1"/>
    <w:next w:val="1"/>
    <w:unhideWhenUsed/>
    <w:qFormat/>
    <w:uiPriority w:val="39"/>
    <w:pPr>
      <w:spacing w:after="57"/>
      <w:ind w:left="1417"/>
    </w:pPr>
  </w:style>
  <w:style w:type="paragraph" w:customStyle="1" w:styleId="76">
    <w:name w:val="图表目录12"/>
    <w:basedOn w:val="1"/>
    <w:next w:val="1"/>
    <w:unhideWhenUsed/>
    <w:qFormat/>
    <w:uiPriority w:val="99"/>
  </w:style>
  <w:style w:type="paragraph" w:customStyle="1" w:styleId="77">
    <w:name w:val="目录 212"/>
    <w:basedOn w:val="1"/>
    <w:next w:val="1"/>
    <w:unhideWhenUsed/>
    <w:qFormat/>
    <w:uiPriority w:val="39"/>
    <w:pPr>
      <w:spacing w:after="57"/>
      <w:ind w:left="283"/>
    </w:pPr>
  </w:style>
  <w:style w:type="paragraph" w:customStyle="1" w:styleId="78">
    <w:name w:val="目录 912"/>
    <w:basedOn w:val="1"/>
    <w:next w:val="1"/>
    <w:unhideWhenUsed/>
    <w:qFormat/>
    <w:uiPriority w:val="39"/>
    <w:pPr>
      <w:spacing w:after="57"/>
      <w:ind w:left="2268"/>
    </w:pPr>
  </w:style>
  <w:style w:type="paragraph" w:customStyle="1" w:styleId="79">
    <w:name w:val="标题12"/>
    <w:basedOn w:val="1"/>
    <w:next w:val="1"/>
    <w:qFormat/>
    <w:uiPriority w:val="10"/>
    <w:pPr>
      <w:spacing w:before="300" w:after="200"/>
      <w:contextualSpacing/>
    </w:pPr>
    <w:rPr>
      <w:sz w:val="48"/>
      <w:szCs w:val="48"/>
    </w:rPr>
  </w:style>
  <w:style w:type="table" w:customStyle="1" w:styleId="80">
    <w:name w:val="网格型12"/>
    <w:qFormat/>
    <w:uiPriority w:val="59"/>
    <w:tblPr>
      <w:tblCellMar>
        <w:top w:w="0" w:type="dxa"/>
        <w:left w:w="0" w:type="dxa"/>
        <w:bottom w:w="0" w:type="dxa"/>
        <w:right w:w="0" w:type="dxa"/>
      </w:tblCellMar>
    </w:tblPr>
  </w:style>
  <w:style w:type="character" w:customStyle="1" w:styleId="81">
    <w:name w:val="尾注引用12"/>
    <w:unhideWhenUsed/>
    <w:qFormat/>
    <w:uiPriority w:val="99"/>
    <w:rPr>
      <w:vertAlign w:val="superscript"/>
    </w:rPr>
  </w:style>
  <w:style w:type="character" w:customStyle="1" w:styleId="82">
    <w:name w:val="超链接12"/>
    <w:unhideWhenUsed/>
    <w:qFormat/>
    <w:uiPriority w:val="99"/>
    <w:rPr>
      <w:color w:val="0000FF"/>
      <w:u w:val="single"/>
    </w:rPr>
  </w:style>
  <w:style w:type="character" w:customStyle="1" w:styleId="83">
    <w:name w:val="脚注引用12"/>
    <w:unhideWhenUsed/>
    <w:qFormat/>
    <w:uiPriority w:val="99"/>
    <w:rPr>
      <w:vertAlign w:val="superscript"/>
    </w:rPr>
  </w:style>
  <w:style w:type="character" w:customStyle="1" w:styleId="84">
    <w:name w:val="font01"/>
    <w:qFormat/>
    <w:uiPriority w:val="0"/>
    <w:rPr>
      <w:rFonts w:ascii="Tahoma" w:hAnsi="Tahoma" w:eastAsia="Tahoma" w:cs="Tahoma"/>
      <w:color w:val="333333"/>
      <w:sz w:val="20"/>
      <w:szCs w:val="20"/>
      <w:u w:val="none"/>
    </w:rPr>
  </w:style>
  <w:style w:type="paragraph" w:customStyle="1" w:styleId="85">
    <w:name w:val="TOC 标题1"/>
    <w:unhideWhenUsed/>
    <w:qFormat/>
    <w:uiPriority w:val="39"/>
    <w:rPr>
      <w:rFonts w:hint="default" w:ascii="Times New Roman" w:hAnsi="Times New Roman" w:eastAsia="宋体" w:cs="Times New Roman"/>
      <w:lang w:val="en-US" w:eastAsia="zh-CN" w:bidi="ar-SA"/>
    </w:rPr>
  </w:style>
  <w:style w:type="paragraph" w:customStyle="1" w:styleId="86">
    <w:name w:val="标题 111"/>
    <w:basedOn w:val="1"/>
    <w:next w:val="1"/>
    <w:link w:val="87"/>
    <w:qFormat/>
    <w:uiPriority w:val="9"/>
    <w:pPr>
      <w:keepNext/>
      <w:keepLines/>
      <w:spacing w:before="480" w:after="200"/>
      <w:outlineLvl w:val="0"/>
    </w:pPr>
    <w:rPr>
      <w:rFonts w:ascii="Arial" w:hAnsi="Arial" w:eastAsia="Arial" w:cs="Arial"/>
      <w:sz w:val="40"/>
      <w:szCs w:val="40"/>
    </w:rPr>
  </w:style>
  <w:style w:type="character" w:customStyle="1" w:styleId="87">
    <w:name w:val="标题 1 Char1"/>
    <w:link w:val="86"/>
    <w:qFormat/>
    <w:uiPriority w:val="9"/>
    <w:rPr>
      <w:rFonts w:ascii="Arial" w:hAnsi="Arial" w:eastAsia="Arial" w:cs="Arial"/>
      <w:sz w:val="40"/>
      <w:szCs w:val="40"/>
    </w:rPr>
  </w:style>
  <w:style w:type="paragraph" w:customStyle="1" w:styleId="88">
    <w:name w:val="标题 211"/>
    <w:basedOn w:val="1"/>
    <w:next w:val="1"/>
    <w:link w:val="89"/>
    <w:unhideWhenUsed/>
    <w:qFormat/>
    <w:uiPriority w:val="9"/>
    <w:pPr>
      <w:keepNext/>
      <w:keepLines/>
      <w:spacing w:before="360" w:after="200"/>
      <w:outlineLvl w:val="1"/>
    </w:pPr>
    <w:rPr>
      <w:rFonts w:ascii="Arial" w:hAnsi="Arial" w:eastAsia="Arial" w:cs="Arial"/>
      <w:sz w:val="34"/>
    </w:rPr>
  </w:style>
  <w:style w:type="character" w:customStyle="1" w:styleId="89">
    <w:name w:val="标题 2 Char1"/>
    <w:link w:val="88"/>
    <w:qFormat/>
    <w:uiPriority w:val="9"/>
    <w:rPr>
      <w:rFonts w:ascii="Arial" w:hAnsi="Arial" w:eastAsia="Arial" w:cs="Arial"/>
      <w:sz w:val="34"/>
    </w:rPr>
  </w:style>
  <w:style w:type="paragraph" w:customStyle="1" w:styleId="90">
    <w:name w:val="标题 311"/>
    <w:basedOn w:val="1"/>
    <w:next w:val="1"/>
    <w:link w:val="91"/>
    <w:unhideWhenUsed/>
    <w:qFormat/>
    <w:uiPriority w:val="9"/>
    <w:pPr>
      <w:keepNext/>
      <w:keepLines/>
      <w:spacing w:before="320" w:after="200"/>
      <w:outlineLvl w:val="2"/>
    </w:pPr>
    <w:rPr>
      <w:rFonts w:ascii="Arial" w:hAnsi="Arial" w:eastAsia="Arial" w:cs="Arial"/>
      <w:sz w:val="30"/>
      <w:szCs w:val="30"/>
    </w:rPr>
  </w:style>
  <w:style w:type="character" w:customStyle="1" w:styleId="91">
    <w:name w:val="标题 3 Char1"/>
    <w:link w:val="90"/>
    <w:qFormat/>
    <w:uiPriority w:val="9"/>
    <w:rPr>
      <w:rFonts w:ascii="Arial" w:hAnsi="Arial" w:eastAsia="Arial" w:cs="Arial"/>
      <w:sz w:val="30"/>
      <w:szCs w:val="30"/>
    </w:rPr>
  </w:style>
  <w:style w:type="paragraph" w:customStyle="1" w:styleId="92">
    <w:name w:val="标题 411"/>
    <w:basedOn w:val="1"/>
    <w:next w:val="1"/>
    <w:link w:val="93"/>
    <w:unhideWhenUsed/>
    <w:qFormat/>
    <w:uiPriority w:val="9"/>
    <w:pPr>
      <w:keepNext/>
      <w:keepLines/>
      <w:spacing w:before="320" w:after="200"/>
      <w:outlineLvl w:val="3"/>
    </w:pPr>
    <w:rPr>
      <w:rFonts w:ascii="Arial" w:hAnsi="Arial" w:eastAsia="Arial" w:cs="Arial"/>
      <w:b/>
      <w:bCs/>
      <w:sz w:val="26"/>
      <w:szCs w:val="26"/>
    </w:rPr>
  </w:style>
  <w:style w:type="character" w:customStyle="1" w:styleId="93">
    <w:name w:val="标题 4 Char1"/>
    <w:link w:val="92"/>
    <w:qFormat/>
    <w:uiPriority w:val="9"/>
    <w:rPr>
      <w:rFonts w:ascii="Arial" w:hAnsi="Arial" w:eastAsia="Arial" w:cs="Arial"/>
      <w:b/>
      <w:bCs/>
      <w:sz w:val="26"/>
      <w:szCs w:val="26"/>
    </w:rPr>
  </w:style>
  <w:style w:type="paragraph" w:customStyle="1" w:styleId="94">
    <w:name w:val="标题 511"/>
    <w:basedOn w:val="1"/>
    <w:next w:val="1"/>
    <w:link w:val="95"/>
    <w:unhideWhenUsed/>
    <w:qFormat/>
    <w:uiPriority w:val="9"/>
    <w:pPr>
      <w:keepNext/>
      <w:keepLines/>
      <w:spacing w:before="320" w:after="200"/>
      <w:outlineLvl w:val="4"/>
    </w:pPr>
    <w:rPr>
      <w:rFonts w:ascii="Arial" w:hAnsi="Arial" w:eastAsia="Arial" w:cs="Arial"/>
      <w:b/>
      <w:bCs/>
      <w:sz w:val="24"/>
      <w:szCs w:val="24"/>
    </w:rPr>
  </w:style>
  <w:style w:type="character" w:customStyle="1" w:styleId="95">
    <w:name w:val="标题 5 Char1"/>
    <w:link w:val="94"/>
    <w:qFormat/>
    <w:uiPriority w:val="9"/>
    <w:rPr>
      <w:rFonts w:ascii="Arial" w:hAnsi="Arial" w:eastAsia="Arial" w:cs="Arial"/>
      <w:b/>
      <w:bCs/>
      <w:sz w:val="24"/>
      <w:szCs w:val="24"/>
    </w:rPr>
  </w:style>
  <w:style w:type="paragraph" w:customStyle="1" w:styleId="96">
    <w:name w:val="标题 61"/>
    <w:basedOn w:val="1"/>
    <w:next w:val="1"/>
    <w:link w:val="97"/>
    <w:unhideWhenUsed/>
    <w:qFormat/>
    <w:uiPriority w:val="9"/>
    <w:pPr>
      <w:keepNext/>
      <w:keepLines/>
      <w:spacing w:before="320" w:after="200"/>
      <w:outlineLvl w:val="5"/>
    </w:pPr>
    <w:rPr>
      <w:rFonts w:ascii="Arial" w:hAnsi="Arial" w:eastAsia="Arial" w:cs="Arial"/>
      <w:b/>
      <w:bCs/>
      <w:sz w:val="22"/>
      <w:szCs w:val="22"/>
    </w:rPr>
  </w:style>
  <w:style w:type="character" w:customStyle="1" w:styleId="97">
    <w:name w:val="标题 6 Char"/>
    <w:link w:val="96"/>
    <w:qFormat/>
    <w:uiPriority w:val="9"/>
    <w:rPr>
      <w:rFonts w:ascii="Arial" w:hAnsi="Arial" w:eastAsia="Arial" w:cs="Arial"/>
      <w:b/>
      <w:bCs/>
      <w:sz w:val="22"/>
      <w:szCs w:val="22"/>
    </w:rPr>
  </w:style>
  <w:style w:type="paragraph" w:customStyle="1" w:styleId="98">
    <w:name w:val="标题 71"/>
    <w:basedOn w:val="1"/>
    <w:next w:val="1"/>
    <w:link w:val="99"/>
    <w:unhideWhenUsed/>
    <w:qFormat/>
    <w:uiPriority w:val="9"/>
    <w:pPr>
      <w:keepNext/>
      <w:keepLines/>
      <w:spacing w:before="320" w:after="200"/>
      <w:outlineLvl w:val="6"/>
    </w:pPr>
    <w:rPr>
      <w:rFonts w:ascii="Arial" w:hAnsi="Arial" w:eastAsia="Arial" w:cs="Arial"/>
      <w:b/>
      <w:bCs/>
      <w:i/>
      <w:iCs/>
      <w:sz w:val="22"/>
      <w:szCs w:val="22"/>
    </w:rPr>
  </w:style>
  <w:style w:type="character" w:customStyle="1" w:styleId="99">
    <w:name w:val="标题 7 Char"/>
    <w:link w:val="98"/>
    <w:qFormat/>
    <w:uiPriority w:val="9"/>
    <w:rPr>
      <w:rFonts w:ascii="Arial" w:hAnsi="Arial" w:eastAsia="Arial" w:cs="Arial"/>
      <w:b/>
      <w:bCs/>
      <w:i/>
      <w:iCs/>
      <w:sz w:val="22"/>
      <w:szCs w:val="22"/>
    </w:rPr>
  </w:style>
  <w:style w:type="paragraph" w:customStyle="1" w:styleId="100">
    <w:name w:val="标题 81"/>
    <w:basedOn w:val="1"/>
    <w:next w:val="1"/>
    <w:link w:val="101"/>
    <w:unhideWhenUsed/>
    <w:qFormat/>
    <w:uiPriority w:val="9"/>
    <w:pPr>
      <w:keepNext/>
      <w:keepLines/>
      <w:spacing w:before="320" w:after="200"/>
      <w:outlineLvl w:val="7"/>
    </w:pPr>
    <w:rPr>
      <w:rFonts w:ascii="Arial" w:hAnsi="Arial" w:eastAsia="Arial" w:cs="Arial"/>
      <w:i/>
      <w:iCs/>
      <w:sz w:val="22"/>
      <w:szCs w:val="22"/>
    </w:rPr>
  </w:style>
  <w:style w:type="character" w:customStyle="1" w:styleId="101">
    <w:name w:val="标题 8 Char"/>
    <w:link w:val="100"/>
    <w:qFormat/>
    <w:uiPriority w:val="9"/>
    <w:rPr>
      <w:rFonts w:ascii="Arial" w:hAnsi="Arial" w:eastAsia="Arial" w:cs="Arial"/>
      <w:i/>
      <w:iCs/>
      <w:sz w:val="22"/>
      <w:szCs w:val="22"/>
    </w:rPr>
  </w:style>
  <w:style w:type="paragraph" w:customStyle="1" w:styleId="102">
    <w:name w:val="标题 91"/>
    <w:basedOn w:val="1"/>
    <w:next w:val="1"/>
    <w:link w:val="103"/>
    <w:unhideWhenUsed/>
    <w:qFormat/>
    <w:uiPriority w:val="9"/>
    <w:pPr>
      <w:keepNext/>
      <w:keepLines/>
      <w:spacing w:before="320" w:after="200"/>
      <w:outlineLvl w:val="8"/>
    </w:pPr>
    <w:rPr>
      <w:rFonts w:ascii="Arial" w:hAnsi="Arial" w:eastAsia="Arial" w:cs="Arial"/>
      <w:i/>
      <w:iCs/>
      <w:szCs w:val="21"/>
    </w:rPr>
  </w:style>
  <w:style w:type="character" w:customStyle="1" w:styleId="103">
    <w:name w:val="标题 9 Char"/>
    <w:link w:val="102"/>
    <w:qFormat/>
    <w:uiPriority w:val="9"/>
    <w:rPr>
      <w:rFonts w:ascii="Arial" w:hAnsi="Arial" w:eastAsia="Arial" w:cs="Arial"/>
      <w:i/>
      <w:iCs/>
      <w:sz w:val="21"/>
      <w:szCs w:val="21"/>
    </w:rPr>
  </w:style>
  <w:style w:type="character" w:customStyle="1" w:styleId="104">
    <w:name w:val="默认段落字体11"/>
    <w:unhideWhenUsed/>
    <w:qFormat/>
    <w:uiPriority w:val="1"/>
  </w:style>
  <w:style w:type="table" w:customStyle="1" w:styleId="105">
    <w:name w:val="普通表格11"/>
    <w:unhideWhenUsed/>
    <w:qFormat/>
    <w:uiPriority w:val="99"/>
    <w:tblPr>
      <w:tblCellMar>
        <w:top w:w="0" w:type="dxa"/>
        <w:left w:w="0" w:type="dxa"/>
        <w:bottom w:w="0" w:type="dxa"/>
        <w:right w:w="0" w:type="dxa"/>
      </w:tblCellMar>
    </w:tblPr>
  </w:style>
  <w:style w:type="paragraph" w:customStyle="1" w:styleId="106">
    <w:name w:val="目录 711"/>
    <w:basedOn w:val="1"/>
    <w:next w:val="1"/>
    <w:unhideWhenUsed/>
    <w:qFormat/>
    <w:uiPriority w:val="39"/>
    <w:pPr>
      <w:spacing w:after="57"/>
      <w:ind w:left="1701"/>
    </w:pPr>
  </w:style>
  <w:style w:type="paragraph" w:customStyle="1" w:styleId="107">
    <w:name w:val="正文缩进111"/>
    <w:basedOn w:val="1"/>
    <w:qFormat/>
    <w:uiPriority w:val="0"/>
    <w:pPr>
      <w:widowControl/>
      <w:ind w:firstLine="420"/>
      <w:jc w:val="left"/>
    </w:pPr>
    <w:rPr>
      <w:sz w:val="20"/>
    </w:rPr>
  </w:style>
  <w:style w:type="paragraph" w:customStyle="1" w:styleId="108">
    <w:name w:val="题注1"/>
    <w:basedOn w:val="1"/>
    <w:next w:val="1"/>
    <w:unhideWhenUsed/>
    <w:qFormat/>
    <w:uiPriority w:val="35"/>
    <w:pPr>
      <w:spacing w:line="276" w:lineRule="auto"/>
    </w:pPr>
    <w:rPr>
      <w:b/>
      <w:bCs/>
      <w:color w:val="4F81BD"/>
      <w:sz w:val="18"/>
      <w:szCs w:val="18"/>
    </w:rPr>
  </w:style>
  <w:style w:type="paragraph" w:customStyle="1" w:styleId="109">
    <w:name w:val="目录 511"/>
    <w:basedOn w:val="1"/>
    <w:next w:val="1"/>
    <w:unhideWhenUsed/>
    <w:qFormat/>
    <w:uiPriority w:val="39"/>
    <w:pPr>
      <w:spacing w:after="57"/>
      <w:ind w:left="1134"/>
    </w:pPr>
  </w:style>
  <w:style w:type="paragraph" w:customStyle="1" w:styleId="110">
    <w:name w:val="目录 311"/>
    <w:basedOn w:val="1"/>
    <w:next w:val="1"/>
    <w:unhideWhenUsed/>
    <w:qFormat/>
    <w:uiPriority w:val="39"/>
    <w:pPr>
      <w:spacing w:after="57"/>
      <w:ind w:left="567"/>
    </w:pPr>
  </w:style>
  <w:style w:type="paragraph" w:customStyle="1" w:styleId="111">
    <w:name w:val="纯文本12"/>
    <w:basedOn w:val="1"/>
    <w:qFormat/>
    <w:uiPriority w:val="0"/>
    <w:rPr>
      <w:rFonts w:hint="eastAsia" w:ascii="宋体" w:hAnsi="Courier New"/>
      <w:szCs w:val="21"/>
    </w:rPr>
  </w:style>
  <w:style w:type="paragraph" w:customStyle="1" w:styleId="112">
    <w:name w:val="目录 811"/>
    <w:basedOn w:val="1"/>
    <w:next w:val="1"/>
    <w:unhideWhenUsed/>
    <w:qFormat/>
    <w:uiPriority w:val="39"/>
    <w:pPr>
      <w:spacing w:after="57"/>
      <w:ind w:left="1984"/>
    </w:pPr>
  </w:style>
  <w:style w:type="paragraph" w:customStyle="1" w:styleId="113">
    <w:name w:val="尾注文本11"/>
    <w:basedOn w:val="1"/>
    <w:unhideWhenUsed/>
    <w:qFormat/>
    <w:uiPriority w:val="99"/>
    <w:rPr>
      <w:sz w:val="20"/>
    </w:rPr>
  </w:style>
  <w:style w:type="paragraph" w:customStyle="1" w:styleId="114">
    <w:name w:val="页脚12"/>
    <w:basedOn w:val="1"/>
    <w:unhideWhenUsed/>
    <w:qFormat/>
    <w:uiPriority w:val="99"/>
    <w:pPr>
      <w:tabs>
        <w:tab w:val="center" w:pos="7143"/>
        <w:tab w:val="right" w:pos="14287"/>
      </w:tabs>
    </w:pPr>
  </w:style>
  <w:style w:type="paragraph" w:customStyle="1" w:styleId="115">
    <w:name w:val="页眉11"/>
    <w:basedOn w:val="1"/>
    <w:unhideWhenUsed/>
    <w:qFormat/>
    <w:uiPriority w:val="99"/>
    <w:pPr>
      <w:tabs>
        <w:tab w:val="center" w:pos="7143"/>
        <w:tab w:val="right" w:pos="14287"/>
      </w:tabs>
    </w:pPr>
  </w:style>
  <w:style w:type="paragraph" w:customStyle="1" w:styleId="116">
    <w:name w:val="目录 111"/>
    <w:basedOn w:val="1"/>
    <w:next w:val="1"/>
    <w:unhideWhenUsed/>
    <w:qFormat/>
    <w:uiPriority w:val="39"/>
    <w:pPr>
      <w:spacing w:after="57"/>
    </w:pPr>
  </w:style>
  <w:style w:type="paragraph" w:customStyle="1" w:styleId="117">
    <w:name w:val="目录 411"/>
    <w:basedOn w:val="1"/>
    <w:next w:val="1"/>
    <w:unhideWhenUsed/>
    <w:qFormat/>
    <w:uiPriority w:val="39"/>
    <w:pPr>
      <w:spacing w:after="57"/>
      <w:ind w:left="850"/>
    </w:pPr>
  </w:style>
  <w:style w:type="paragraph" w:customStyle="1" w:styleId="118">
    <w:name w:val="副标题11"/>
    <w:basedOn w:val="1"/>
    <w:next w:val="1"/>
    <w:qFormat/>
    <w:uiPriority w:val="11"/>
    <w:pPr>
      <w:spacing w:before="200" w:after="200"/>
    </w:pPr>
    <w:rPr>
      <w:sz w:val="24"/>
      <w:szCs w:val="24"/>
    </w:rPr>
  </w:style>
  <w:style w:type="paragraph" w:customStyle="1" w:styleId="119">
    <w:name w:val="脚注文本11"/>
    <w:basedOn w:val="1"/>
    <w:unhideWhenUsed/>
    <w:qFormat/>
    <w:uiPriority w:val="99"/>
    <w:pPr>
      <w:spacing w:after="40"/>
    </w:pPr>
    <w:rPr>
      <w:sz w:val="18"/>
    </w:rPr>
  </w:style>
  <w:style w:type="paragraph" w:customStyle="1" w:styleId="120">
    <w:name w:val="目录 611"/>
    <w:basedOn w:val="1"/>
    <w:next w:val="1"/>
    <w:unhideWhenUsed/>
    <w:qFormat/>
    <w:uiPriority w:val="39"/>
    <w:pPr>
      <w:spacing w:after="57"/>
      <w:ind w:left="1417"/>
    </w:pPr>
  </w:style>
  <w:style w:type="paragraph" w:customStyle="1" w:styleId="121">
    <w:name w:val="图表目录11"/>
    <w:basedOn w:val="1"/>
    <w:next w:val="1"/>
    <w:unhideWhenUsed/>
    <w:qFormat/>
    <w:uiPriority w:val="99"/>
  </w:style>
  <w:style w:type="paragraph" w:customStyle="1" w:styleId="122">
    <w:name w:val="目录 211"/>
    <w:basedOn w:val="1"/>
    <w:next w:val="1"/>
    <w:unhideWhenUsed/>
    <w:qFormat/>
    <w:uiPriority w:val="39"/>
    <w:pPr>
      <w:spacing w:after="57"/>
      <w:ind w:left="283"/>
    </w:pPr>
  </w:style>
  <w:style w:type="paragraph" w:customStyle="1" w:styleId="123">
    <w:name w:val="目录 911"/>
    <w:basedOn w:val="1"/>
    <w:next w:val="1"/>
    <w:unhideWhenUsed/>
    <w:qFormat/>
    <w:uiPriority w:val="39"/>
    <w:pPr>
      <w:spacing w:after="57"/>
      <w:ind w:left="2268"/>
    </w:pPr>
  </w:style>
  <w:style w:type="paragraph" w:customStyle="1" w:styleId="124">
    <w:name w:val="普通(网站)11"/>
    <w:basedOn w:val="1"/>
    <w:unhideWhenUsed/>
    <w:qFormat/>
    <w:uiPriority w:val="99"/>
    <w:rPr>
      <w:sz w:val="24"/>
    </w:rPr>
  </w:style>
  <w:style w:type="paragraph" w:customStyle="1" w:styleId="125">
    <w:name w:val="标题11"/>
    <w:basedOn w:val="1"/>
    <w:next w:val="1"/>
    <w:qFormat/>
    <w:uiPriority w:val="10"/>
    <w:pPr>
      <w:spacing w:before="300" w:after="200"/>
      <w:contextualSpacing/>
    </w:pPr>
    <w:rPr>
      <w:sz w:val="48"/>
      <w:szCs w:val="48"/>
    </w:rPr>
  </w:style>
  <w:style w:type="table" w:customStyle="1" w:styleId="126">
    <w:name w:val="网格型11"/>
    <w:qFormat/>
    <w:uiPriority w:val="59"/>
    <w:tblPr>
      <w:tblCellMar>
        <w:top w:w="0" w:type="dxa"/>
        <w:left w:w="0" w:type="dxa"/>
        <w:bottom w:w="0" w:type="dxa"/>
        <w:right w:w="0" w:type="dxa"/>
      </w:tblCellMar>
    </w:tblPr>
  </w:style>
  <w:style w:type="character" w:customStyle="1" w:styleId="127">
    <w:name w:val="尾注引用11"/>
    <w:unhideWhenUsed/>
    <w:qFormat/>
    <w:uiPriority w:val="99"/>
    <w:rPr>
      <w:vertAlign w:val="superscript"/>
    </w:rPr>
  </w:style>
  <w:style w:type="character" w:customStyle="1" w:styleId="128">
    <w:name w:val="超链接11"/>
    <w:unhideWhenUsed/>
    <w:qFormat/>
    <w:uiPriority w:val="99"/>
    <w:rPr>
      <w:color w:val="0000FF"/>
      <w:u w:val="single"/>
    </w:rPr>
  </w:style>
  <w:style w:type="character" w:customStyle="1" w:styleId="129">
    <w:name w:val="脚注引用11"/>
    <w:unhideWhenUsed/>
    <w:qFormat/>
    <w:uiPriority w:val="99"/>
    <w:rPr>
      <w:vertAlign w:val="superscript"/>
    </w:rPr>
  </w:style>
  <w:style w:type="paragraph" w:customStyle="1" w:styleId="130">
    <w:name w:val="正文缩进1"/>
    <w:basedOn w:val="1"/>
    <w:link w:val="131"/>
    <w:unhideWhenUsed/>
    <w:qFormat/>
    <w:uiPriority w:val="0"/>
    <w:pPr>
      <w:ind w:firstLine="420"/>
    </w:pPr>
    <w:rPr>
      <w:szCs w:val="24"/>
    </w:rPr>
  </w:style>
  <w:style w:type="character" w:customStyle="1" w:styleId="131">
    <w:name w:val="正文缩进 Char"/>
    <w:link w:val="130"/>
    <w:qFormat/>
    <w:uiPriority w:val="0"/>
    <w:rPr>
      <w:rFonts w:ascii="Times New Roman" w:hAnsi="Times New Roman"/>
      <w:sz w:val="21"/>
      <w:szCs w:val="24"/>
    </w:rPr>
  </w:style>
  <w:style w:type="paragraph" w:customStyle="1" w:styleId="132">
    <w:name w:val="标题 11"/>
    <w:basedOn w:val="1"/>
    <w:next w:val="1"/>
    <w:link w:val="133"/>
    <w:qFormat/>
    <w:uiPriority w:val="99"/>
    <w:pPr>
      <w:keepNext/>
      <w:jc w:val="center"/>
      <w:outlineLvl w:val="0"/>
    </w:pPr>
    <w:rPr>
      <w:rFonts w:ascii="楷体_GB2312" w:eastAsia="楷体_GB2312"/>
      <w:b/>
      <w:sz w:val="28"/>
    </w:rPr>
  </w:style>
  <w:style w:type="character" w:customStyle="1" w:styleId="133">
    <w:name w:val="标题 1 Char"/>
    <w:link w:val="132"/>
    <w:qFormat/>
    <w:uiPriority w:val="99"/>
    <w:rPr>
      <w:rFonts w:ascii="楷体_GB2312" w:hAnsi="Times New Roman" w:eastAsia="楷体_GB2312" w:cs="Times New Roman"/>
      <w:b/>
      <w:sz w:val="28"/>
      <w:szCs w:val="20"/>
    </w:rPr>
  </w:style>
  <w:style w:type="paragraph" w:customStyle="1" w:styleId="134">
    <w:name w:val="标题 21"/>
    <w:basedOn w:val="1"/>
    <w:next w:val="1"/>
    <w:link w:val="135"/>
    <w:qFormat/>
    <w:uiPriority w:val="99"/>
    <w:pPr>
      <w:keepNext/>
      <w:jc w:val="center"/>
      <w:outlineLvl w:val="1"/>
    </w:pPr>
    <w:rPr>
      <w:rFonts w:ascii="楷体_GB2312" w:eastAsia="楷体_GB2312"/>
      <w:b/>
      <w:bCs/>
      <w:sz w:val="18"/>
    </w:rPr>
  </w:style>
  <w:style w:type="character" w:customStyle="1" w:styleId="135">
    <w:name w:val="标题 2 Char"/>
    <w:link w:val="134"/>
    <w:qFormat/>
    <w:uiPriority w:val="99"/>
    <w:rPr>
      <w:rFonts w:ascii="楷体_GB2312" w:hAnsi="Times New Roman" w:eastAsia="楷体_GB2312" w:cs="Times New Roman"/>
      <w:b/>
      <w:bCs/>
      <w:sz w:val="18"/>
      <w:szCs w:val="20"/>
    </w:rPr>
  </w:style>
  <w:style w:type="paragraph" w:customStyle="1" w:styleId="136">
    <w:name w:val="标题 31"/>
    <w:basedOn w:val="1"/>
    <w:next w:val="1"/>
    <w:link w:val="137"/>
    <w:qFormat/>
    <w:uiPriority w:val="99"/>
    <w:pPr>
      <w:keepNext/>
      <w:jc w:val="center"/>
      <w:outlineLvl w:val="2"/>
    </w:pPr>
    <w:rPr>
      <w:rFonts w:eastAsia="楷体_GB2312"/>
      <w:b/>
      <w:bCs/>
      <w:sz w:val="15"/>
    </w:rPr>
  </w:style>
  <w:style w:type="character" w:customStyle="1" w:styleId="137">
    <w:name w:val="标题 3 Char"/>
    <w:link w:val="136"/>
    <w:qFormat/>
    <w:uiPriority w:val="99"/>
    <w:rPr>
      <w:rFonts w:ascii="Times New Roman" w:hAnsi="Times New Roman" w:eastAsia="楷体_GB2312" w:cs="Times New Roman"/>
      <w:b/>
      <w:bCs/>
      <w:sz w:val="15"/>
      <w:szCs w:val="20"/>
    </w:rPr>
  </w:style>
  <w:style w:type="paragraph" w:customStyle="1" w:styleId="138">
    <w:name w:val="标题 41"/>
    <w:basedOn w:val="1"/>
    <w:next w:val="1"/>
    <w:link w:val="139"/>
    <w:qFormat/>
    <w:uiPriority w:val="99"/>
    <w:pPr>
      <w:keepNext/>
      <w:jc w:val="center"/>
      <w:outlineLvl w:val="3"/>
    </w:pPr>
    <w:rPr>
      <w:rFonts w:eastAsia="楷体_GB2312"/>
      <w:b/>
      <w:bCs/>
      <w:sz w:val="13"/>
    </w:rPr>
  </w:style>
  <w:style w:type="character" w:customStyle="1" w:styleId="139">
    <w:name w:val="标题 4 Char"/>
    <w:link w:val="138"/>
    <w:qFormat/>
    <w:uiPriority w:val="99"/>
    <w:rPr>
      <w:rFonts w:ascii="Times New Roman" w:hAnsi="Times New Roman" w:eastAsia="楷体_GB2312" w:cs="Times New Roman"/>
      <w:b/>
      <w:bCs/>
      <w:sz w:val="13"/>
      <w:szCs w:val="20"/>
    </w:rPr>
  </w:style>
  <w:style w:type="paragraph" w:customStyle="1" w:styleId="140">
    <w:name w:val="标题 51"/>
    <w:basedOn w:val="1"/>
    <w:next w:val="1"/>
    <w:link w:val="141"/>
    <w:qFormat/>
    <w:uiPriority w:val="99"/>
    <w:pPr>
      <w:keepNext/>
      <w:numPr>
        <w:ilvl w:val="0"/>
        <w:numId w:val="1"/>
      </w:numPr>
      <w:outlineLvl w:val="4"/>
    </w:pPr>
    <w:rPr>
      <w:rFonts w:ascii="楷体_GB2312" w:eastAsia="楷体_GB2312"/>
      <w:bCs/>
      <w:sz w:val="28"/>
    </w:rPr>
  </w:style>
  <w:style w:type="character" w:customStyle="1" w:styleId="141">
    <w:name w:val="标题 5 Char"/>
    <w:link w:val="140"/>
    <w:qFormat/>
    <w:uiPriority w:val="99"/>
    <w:rPr>
      <w:rFonts w:ascii="楷体_GB2312" w:hAnsi="Times New Roman" w:eastAsia="楷体_GB2312" w:cs="Times New Roman"/>
      <w:bCs/>
      <w:sz w:val="28"/>
      <w:szCs w:val="20"/>
    </w:rPr>
  </w:style>
  <w:style w:type="character" w:customStyle="1" w:styleId="142">
    <w:name w:val="默认段落字体1"/>
    <w:unhideWhenUsed/>
    <w:qFormat/>
    <w:uiPriority w:val="1"/>
  </w:style>
  <w:style w:type="table" w:customStyle="1" w:styleId="143">
    <w:name w:val="普通表格1"/>
    <w:unhideWhenUsed/>
    <w:qFormat/>
    <w:uiPriority w:val="99"/>
    <w:tblPr>
      <w:tblCellMar>
        <w:top w:w="0" w:type="dxa"/>
        <w:left w:w="0" w:type="dxa"/>
        <w:bottom w:w="0" w:type="dxa"/>
        <w:right w:w="0" w:type="dxa"/>
      </w:tblCellMar>
    </w:tblPr>
  </w:style>
  <w:style w:type="paragraph" w:customStyle="1" w:styleId="144">
    <w:name w:val="目录 71"/>
    <w:basedOn w:val="1"/>
    <w:next w:val="1"/>
    <w:unhideWhenUsed/>
    <w:qFormat/>
    <w:uiPriority w:val="39"/>
    <w:pPr>
      <w:spacing w:after="57"/>
      <w:ind w:left="1701"/>
    </w:pPr>
  </w:style>
  <w:style w:type="paragraph" w:customStyle="1" w:styleId="145">
    <w:name w:val="索引 51"/>
    <w:basedOn w:val="1"/>
    <w:next w:val="1"/>
    <w:unhideWhenUsed/>
    <w:qFormat/>
    <w:uiPriority w:val="99"/>
    <w:pPr>
      <w:ind w:left="800"/>
    </w:pPr>
  </w:style>
  <w:style w:type="paragraph" w:customStyle="1" w:styleId="146">
    <w:name w:val="文档结构图1"/>
    <w:basedOn w:val="1"/>
    <w:next w:val="1"/>
    <w:link w:val="147"/>
    <w:semiHidden/>
    <w:qFormat/>
    <w:uiPriority w:val="99"/>
    <w:pPr>
      <w:shd w:val="clear" w:color="auto" w:fill="000080"/>
    </w:pPr>
    <w:rPr>
      <w:sz w:val="20"/>
    </w:rPr>
  </w:style>
  <w:style w:type="character" w:customStyle="1" w:styleId="147">
    <w:name w:val="文档结构图 Char"/>
    <w:link w:val="146"/>
    <w:semiHidden/>
    <w:qFormat/>
    <w:uiPriority w:val="99"/>
    <w:rPr>
      <w:rFonts w:ascii="Times New Roman" w:hAnsi="Times New Roman" w:eastAsia="宋体" w:cs="Times New Roman"/>
      <w:szCs w:val="20"/>
      <w:shd w:val="clear" w:color="auto" w:fill="000080"/>
    </w:rPr>
  </w:style>
  <w:style w:type="paragraph" w:customStyle="1" w:styleId="148">
    <w:name w:val="批注文字1"/>
    <w:basedOn w:val="1"/>
    <w:link w:val="149"/>
    <w:semiHidden/>
    <w:qFormat/>
    <w:uiPriority w:val="0"/>
    <w:pPr>
      <w:jc w:val="left"/>
    </w:pPr>
    <w:rPr>
      <w:sz w:val="20"/>
      <w:szCs w:val="24"/>
    </w:rPr>
  </w:style>
  <w:style w:type="character" w:customStyle="1" w:styleId="149">
    <w:name w:val="批注文字 Char"/>
    <w:link w:val="148"/>
    <w:semiHidden/>
    <w:qFormat/>
    <w:uiPriority w:val="0"/>
    <w:rPr>
      <w:rFonts w:ascii="Times New Roman" w:hAnsi="Times New Roman" w:eastAsia="宋体" w:cs="Times New Roman"/>
      <w:szCs w:val="24"/>
    </w:rPr>
  </w:style>
  <w:style w:type="paragraph" w:customStyle="1" w:styleId="150">
    <w:name w:val="正文文本11"/>
    <w:basedOn w:val="1"/>
    <w:next w:val="151"/>
    <w:link w:val="152"/>
    <w:qFormat/>
    <w:uiPriority w:val="99"/>
    <w:rPr>
      <w:rFonts w:ascii="华文中宋" w:eastAsia="华文中宋"/>
      <w:bCs/>
      <w:sz w:val="28"/>
    </w:rPr>
  </w:style>
  <w:style w:type="paragraph" w:customStyle="1" w:styleId="151">
    <w:name w:val="列表1"/>
    <w:basedOn w:val="1"/>
    <w:qFormat/>
    <w:uiPriority w:val="0"/>
    <w:pPr>
      <w:numPr>
        <w:ilvl w:val="0"/>
        <w:numId w:val="2"/>
      </w:numPr>
      <w:spacing w:after="20" w:line="288" w:lineRule="auto"/>
    </w:pPr>
    <w:rPr>
      <w:lang w:val="en-GB"/>
    </w:rPr>
  </w:style>
  <w:style w:type="character" w:customStyle="1" w:styleId="152">
    <w:name w:val="正文文本 Char"/>
    <w:link w:val="150"/>
    <w:qFormat/>
    <w:uiPriority w:val="99"/>
    <w:rPr>
      <w:rFonts w:ascii="华文中宋" w:hAnsi="Times New Roman" w:eastAsia="华文中宋" w:cs="Times New Roman"/>
      <w:bCs/>
      <w:sz w:val="28"/>
      <w:szCs w:val="20"/>
    </w:rPr>
  </w:style>
  <w:style w:type="paragraph" w:customStyle="1" w:styleId="153">
    <w:name w:val="正文文本缩进1"/>
    <w:basedOn w:val="1"/>
    <w:next w:val="1"/>
    <w:link w:val="154"/>
    <w:qFormat/>
    <w:uiPriority w:val="0"/>
    <w:pPr>
      <w:ind w:firstLine="576"/>
    </w:pPr>
    <w:rPr>
      <w:b/>
      <w:sz w:val="30"/>
    </w:rPr>
  </w:style>
  <w:style w:type="character" w:customStyle="1" w:styleId="154">
    <w:name w:val="正文文本缩进 Char"/>
    <w:link w:val="153"/>
    <w:qFormat/>
    <w:uiPriority w:val="0"/>
    <w:rPr>
      <w:rFonts w:ascii="Times New Roman" w:hAnsi="Times New Roman" w:eastAsia="宋体" w:cs="Times New Roman"/>
      <w:b/>
      <w:sz w:val="30"/>
      <w:szCs w:val="20"/>
    </w:rPr>
  </w:style>
  <w:style w:type="paragraph" w:customStyle="1" w:styleId="155">
    <w:name w:val="目录 51"/>
    <w:basedOn w:val="1"/>
    <w:next w:val="1"/>
    <w:unhideWhenUsed/>
    <w:qFormat/>
    <w:uiPriority w:val="39"/>
    <w:pPr>
      <w:spacing w:after="57"/>
      <w:ind w:left="1134"/>
    </w:pPr>
  </w:style>
  <w:style w:type="paragraph" w:customStyle="1" w:styleId="156">
    <w:name w:val="目录 31"/>
    <w:basedOn w:val="1"/>
    <w:next w:val="1"/>
    <w:unhideWhenUsed/>
    <w:qFormat/>
    <w:uiPriority w:val="39"/>
    <w:pPr>
      <w:spacing w:after="57"/>
      <w:ind w:left="567"/>
    </w:pPr>
  </w:style>
  <w:style w:type="paragraph" w:customStyle="1" w:styleId="157">
    <w:name w:val="纯文本11"/>
    <w:basedOn w:val="1"/>
    <w:link w:val="158"/>
    <w:qFormat/>
    <w:uiPriority w:val="0"/>
    <w:rPr>
      <w:rFonts w:ascii="宋体" w:hAnsi="Courier New"/>
      <w:szCs w:val="21"/>
    </w:rPr>
  </w:style>
  <w:style w:type="character" w:customStyle="1" w:styleId="158">
    <w:name w:val="纯文本 Char"/>
    <w:link w:val="157"/>
    <w:qFormat/>
    <w:uiPriority w:val="0"/>
    <w:rPr>
      <w:rFonts w:ascii="宋体" w:hAnsi="Courier New"/>
      <w:sz w:val="21"/>
      <w:szCs w:val="21"/>
    </w:rPr>
  </w:style>
  <w:style w:type="paragraph" w:customStyle="1" w:styleId="159">
    <w:name w:val="目录 81"/>
    <w:basedOn w:val="1"/>
    <w:next w:val="1"/>
    <w:unhideWhenUsed/>
    <w:qFormat/>
    <w:uiPriority w:val="39"/>
    <w:pPr>
      <w:spacing w:after="57"/>
      <w:ind w:left="1984"/>
    </w:pPr>
  </w:style>
  <w:style w:type="paragraph" w:customStyle="1" w:styleId="160">
    <w:name w:val="日期1"/>
    <w:basedOn w:val="1"/>
    <w:next w:val="1"/>
    <w:link w:val="161"/>
    <w:qFormat/>
    <w:uiPriority w:val="99"/>
    <w:rPr>
      <w:rFonts w:eastAsia="黑体"/>
      <w:b/>
      <w:sz w:val="36"/>
    </w:rPr>
  </w:style>
  <w:style w:type="character" w:customStyle="1" w:styleId="161">
    <w:name w:val="日期 Char"/>
    <w:link w:val="160"/>
    <w:qFormat/>
    <w:uiPriority w:val="99"/>
    <w:rPr>
      <w:rFonts w:ascii="Times New Roman" w:hAnsi="Times New Roman" w:eastAsia="黑体" w:cs="Times New Roman"/>
      <w:b/>
      <w:sz w:val="36"/>
      <w:szCs w:val="20"/>
    </w:rPr>
  </w:style>
  <w:style w:type="paragraph" w:customStyle="1" w:styleId="162">
    <w:name w:val="正文文本缩进 21"/>
    <w:basedOn w:val="1"/>
    <w:link w:val="163"/>
    <w:qFormat/>
    <w:uiPriority w:val="99"/>
    <w:pPr>
      <w:ind w:left="900"/>
    </w:pPr>
    <w:rPr>
      <w:rFonts w:ascii="楷体_GB2312" w:eastAsia="楷体_GB2312"/>
      <w:b/>
      <w:sz w:val="28"/>
    </w:rPr>
  </w:style>
  <w:style w:type="character" w:customStyle="1" w:styleId="163">
    <w:name w:val="正文文本缩进 2 Char"/>
    <w:link w:val="162"/>
    <w:qFormat/>
    <w:uiPriority w:val="99"/>
    <w:rPr>
      <w:rFonts w:ascii="楷体_GB2312" w:hAnsi="Times New Roman" w:eastAsia="楷体_GB2312" w:cs="Times New Roman"/>
      <w:b/>
      <w:sz w:val="28"/>
      <w:szCs w:val="20"/>
    </w:rPr>
  </w:style>
  <w:style w:type="paragraph" w:customStyle="1" w:styleId="164">
    <w:name w:val="尾注文本1"/>
    <w:basedOn w:val="1"/>
    <w:link w:val="165"/>
    <w:unhideWhenUsed/>
    <w:qFormat/>
    <w:uiPriority w:val="99"/>
    <w:rPr>
      <w:sz w:val="20"/>
    </w:rPr>
  </w:style>
  <w:style w:type="character" w:customStyle="1" w:styleId="165">
    <w:name w:val="尾注文本 Char"/>
    <w:link w:val="164"/>
    <w:qFormat/>
    <w:uiPriority w:val="99"/>
    <w:rPr>
      <w:sz w:val="20"/>
    </w:rPr>
  </w:style>
  <w:style w:type="paragraph" w:customStyle="1" w:styleId="166">
    <w:name w:val="批注框文本1"/>
    <w:basedOn w:val="1"/>
    <w:link w:val="167"/>
    <w:unhideWhenUsed/>
    <w:qFormat/>
    <w:uiPriority w:val="99"/>
    <w:rPr>
      <w:sz w:val="18"/>
      <w:szCs w:val="18"/>
    </w:rPr>
  </w:style>
  <w:style w:type="character" w:customStyle="1" w:styleId="167">
    <w:name w:val="批注框文本 Char"/>
    <w:link w:val="166"/>
    <w:semiHidden/>
    <w:qFormat/>
    <w:uiPriority w:val="99"/>
    <w:rPr>
      <w:rFonts w:ascii="Times New Roman" w:hAnsi="Times New Roman" w:eastAsia="宋体" w:cs="Times New Roman"/>
      <w:sz w:val="18"/>
      <w:szCs w:val="18"/>
    </w:rPr>
  </w:style>
  <w:style w:type="paragraph" w:customStyle="1" w:styleId="168">
    <w:name w:val="页脚11"/>
    <w:basedOn w:val="1"/>
    <w:link w:val="169"/>
    <w:unhideWhenUsed/>
    <w:qFormat/>
    <w:uiPriority w:val="99"/>
    <w:pPr>
      <w:tabs>
        <w:tab w:val="center" w:pos="4153"/>
        <w:tab w:val="right" w:pos="8306"/>
      </w:tabs>
      <w:jc w:val="left"/>
    </w:pPr>
    <w:rPr>
      <w:sz w:val="18"/>
      <w:szCs w:val="18"/>
    </w:rPr>
  </w:style>
  <w:style w:type="character" w:customStyle="1" w:styleId="169">
    <w:name w:val="页脚 Char"/>
    <w:link w:val="168"/>
    <w:qFormat/>
    <w:uiPriority w:val="99"/>
    <w:rPr>
      <w:sz w:val="18"/>
      <w:szCs w:val="18"/>
    </w:rPr>
  </w:style>
  <w:style w:type="paragraph" w:customStyle="1" w:styleId="170">
    <w:name w:val="页眉1"/>
    <w:basedOn w:val="1"/>
    <w:link w:val="171"/>
    <w:unhideWhenUsed/>
    <w:qFormat/>
    <w:uiPriority w:val="0"/>
    <w:pPr>
      <w:pBdr>
        <w:bottom w:val="single" w:color="000000" w:sz="6" w:space="1"/>
      </w:pBdr>
      <w:tabs>
        <w:tab w:val="center" w:pos="4153"/>
        <w:tab w:val="right" w:pos="8306"/>
      </w:tabs>
      <w:jc w:val="center"/>
    </w:pPr>
    <w:rPr>
      <w:sz w:val="18"/>
      <w:szCs w:val="18"/>
    </w:rPr>
  </w:style>
  <w:style w:type="character" w:customStyle="1" w:styleId="171">
    <w:name w:val="页眉 Char"/>
    <w:link w:val="170"/>
    <w:qFormat/>
    <w:uiPriority w:val="0"/>
    <w:rPr>
      <w:sz w:val="18"/>
      <w:szCs w:val="18"/>
    </w:rPr>
  </w:style>
  <w:style w:type="paragraph" w:customStyle="1" w:styleId="172">
    <w:name w:val="目录 11"/>
    <w:basedOn w:val="1"/>
    <w:next w:val="1"/>
    <w:unhideWhenUsed/>
    <w:qFormat/>
    <w:uiPriority w:val="39"/>
    <w:pPr>
      <w:spacing w:after="57"/>
    </w:pPr>
  </w:style>
  <w:style w:type="paragraph" w:customStyle="1" w:styleId="173">
    <w:name w:val="目录 41"/>
    <w:basedOn w:val="1"/>
    <w:next w:val="1"/>
    <w:unhideWhenUsed/>
    <w:qFormat/>
    <w:uiPriority w:val="39"/>
    <w:pPr>
      <w:spacing w:after="57"/>
      <w:ind w:left="850"/>
    </w:pPr>
  </w:style>
  <w:style w:type="paragraph" w:customStyle="1" w:styleId="174">
    <w:name w:val="副标题1"/>
    <w:basedOn w:val="1"/>
    <w:next w:val="1"/>
    <w:link w:val="175"/>
    <w:qFormat/>
    <w:uiPriority w:val="11"/>
    <w:pPr>
      <w:spacing w:before="200" w:after="200"/>
    </w:pPr>
    <w:rPr>
      <w:sz w:val="24"/>
      <w:szCs w:val="24"/>
    </w:rPr>
  </w:style>
  <w:style w:type="character" w:customStyle="1" w:styleId="175">
    <w:name w:val="副标题 Char"/>
    <w:link w:val="174"/>
    <w:qFormat/>
    <w:uiPriority w:val="11"/>
    <w:rPr>
      <w:sz w:val="24"/>
      <w:szCs w:val="24"/>
    </w:rPr>
  </w:style>
  <w:style w:type="paragraph" w:customStyle="1" w:styleId="176">
    <w:name w:val="脚注文本1"/>
    <w:basedOn w:val="1"/>
    <w:next w:val="145"/>
    <w:link w:val="177"/>
    <w:qFormat/>
    <w:uiPriority w:val="0"/>
    <w:pPr>
      <w:spacing w:before="120" w:line="360" w:lineRule="auto"/>
      <w:ind w:firstLine="425"/>
      <w:jc w:val="left"/>
    </w:pPr>
    <w:rPr>
      <w:sz w:val="18"/>
    </w:rPr>
  </w:style>
  <w:style w:type="character" w:customStyle="1" w:styleId="177">
    <w:name w:val="脚注文本 Char"/>
    <w:link w:val="176"/>
    <w:qFormat/>
    <w:uiPriority w:val="0"/>
    <w:rPr>
      <w:rFonts w:ascii="Times New Roman" w:hAnsi="Times New Roman"/>
      <w:sz w:val="18"/>
    </w:rPr>
  </w:style>
  <w:style w:type="character" w:customStyle="1" w:styleId="178">
    <w:name w:val="Footnote Text Char"/>
    <w:qFormat/>
    <w:uiPriority w:val="99"/>
    <w:rPr>
      <w:sz w:val="18"/>
    </w:rPr>
  </w:style>
  <w:style w:type="paragraph" w:customStyle="1" w:styleId="179">
    <w:name w:val="目录 61"/>
    <w:basedOn w:val="1"/>
    <w:next w:val="1"/>
    <w:unhideWhenUsed/>
    <w:qFormat/>
    <w:uiPriority w:val="39"/>
    <w:pPr>
      <w:spacing w:after="57"/>
      <w:ind w:left="1417"/>
    </w:pPr>
  </w:style>
  <w:style w:type="paragraph" w:customStyle="1" w:styleId="180">
    <w:name w:val="正文文本缩进 31"/>
    <w:basedOn w:val="1"/>
    <w:link w:val="181"/>
    <w:qFormat/>
    <w:uiPriority w:val="99"/>
    <w:pPr>
      <w:ind w:left="359" w:firstLine="359"/>
    </w:pPr>
    <w:rPr>
      <w:sz w:val="20"/>
    </w:rPr>
  </w:style>
  <w:style w:type="character" w:customStyle="1" w:styleId="181">
    <w:name w:val="正文文本缩进 3 Char"/>
    <w:link w:val="180"/>
    <w:qFormat/>
    <w:uiPriority w:val="99"/>
    <w:rPr>
      <w:rFonts w:ascii="Times New Roman" w:hAnsi="Times New Roman" w:eastAsia="宋体" w:cs="Times New Roman"/>
      <w:szCs w:val="20"/>
    </w:rPr>
  </w:style>
  <w:style w:type="paragraph" w:customStyle="1" w:styleId="182">
    <w:name w:val="图表目录1"/>
    <w:basedOn w:val="1"/>
    <w:next w:val="1"/>
    <w:unhideWhenUsed/>
    <w:qFormat/>
    <w:uiPriority w:val="99"/>
  </w:style>
  <w:style w:type="paragraph" w:customStyle="1" w:styleId="183">
    <w:name w:val="目录 21"/>
    <w:basedOn w:val="1"/>
    <w:next w:val="1"/>
    <w:unhideWhenUsed/>
    <w:qFormat/>
    <w:uiPriority w:val="39"/>
    <w:pPr>
      <w:spacing w:after="57"/>
      <w:ind w:left="283"/>
    </w:pPr>
  </w:style>
  <w:style w:type="paragraph" w:customStyle="1" w:styleId="184">
    <w:name w:val="目录 91"/>
    <w:basedOn w:val="1"/>
    <w:next w:val="1"/>
    <w:unhideWhenUsed/>
    <w:qFormat/>
    <w:uiPriority w:val="39"/>
    <w:pPr>
      <w:spacing w:after="57"/>
      <w:ind w:left="2268"/>
    </w:pPr>
  </w:style>
  <w:style w:type="paragraph" w:customStyle="1" w:styleId="185">
    <w:name w:val="正文文本 21"/>
    <w:basedOn w:val="1"/>
    <w:link w:val="186"/>
    <w:qFormat/>
    <w:uiPriority w:val="99"/>
    <w:pPr>
      <w:spacing w:after="120" w:line="480" w:lineRule="auto"/>
    </w:pPr>
    <w:rPr>
      <w:sz w:val="20"/>
    </w:rPr>
  </w:style>
  <w:style w:type="character" w:customStyle="1" w:styleId="186">
    <w:name w:val="正文文本 2 Char"/>
    <w:link w:val="185"/>
    <w:qFormat/>
    <w:uiPriority w:val="99"/>
    <w:rPr>
      <w:rFonts w:ascii="Times New Roman" w:hAnsi="Times New Roman" w:eastAsia="宋体" w:cs="Times New Roman"/>
      <w:szCs w:val="20"/>
    </w:rPr>
  </w:style>
  <w:style w:type="paragraph" w:customStyle="1" w:styleId="187">
    <w:name w:val="普通(网站)1"/>
    <w:basedOn w:val="1"/>
    <w:link w:val="188"/>
    <w:qFormat/>
    <w:uiPriority w:val="0"/>
    <w:pPr>
      <w:widowControl/>
      <w:spacing w:before="100" w:beforeAutospacing="1" w:after="100" w:afterAutospacing="1" w:line="288" w:lineRule="auto"/>
      <w:ind w:firstLine="420"/>
      <w:jc w:val="left"/>
    </w:pPr>
    <w:rPr>
      <w:rFonts w:ascii="宋体" w:hAnsi="宋体"/>
      <w:sz w:val="24"/>
      <w:szCs w:val="24"/>
    </w:rPr>
  </w:style>
  <w:style w:type="character" w:customStyle="1" w:styleId="188">
    <w:name w:val="普通(网站) Char"/>
    <w:link w:val="187"/>
    <w:qFormat/>
    <w:uiPriority w:val="0"/>
    <w:rPr>
      <w:rFonts w:ascii="宋体" w:hAnsi="宋体"/>
      <w:sz w:val="24"/>
      <w:szCs w:val="24"/>
    </w:rPr>
  </w:style>
  <w:style w:type="paragraph" w:customStyle="1" w:styleId="189">
    <w:name w:val="标题1"/>
    <w:basedOn w:val="1"/>
    <w:next w:val="1"/>
    <w:link w:val="190"/>
    <w:qFormat/>
    <w:uiPriority w:val="10"/>
    <w:pPr>
      <w:spacing w:before="300" w:after="200"/>
      <w:contextualSpacing/>
    </w:pPr>
    <w:rPr>
      <w:sz w:val="48"/>
      <w:szCs w:val="48"/>
    </w:rPr>
  </w:style>
  <w:style w:type="character" w:customStyle="1" w:styleId="190">
    <w:name w:val="标题 Char"/>
    <w:link w:val="189"/>
    <w:qFormat/>
    <w:uiPriority w:val="10"/>
    <w:rPr>
      <w:sz w:val="48"/>
      <w:szCs w:val="48"/>
    </w:rPr>
  </w:style>
  <w:style w:type="paragraph" w:customStyle="1" w:styleId="191">
    <w:name w:val="批注主题1"/>
    <w:basedOn w:val="148"/>
    <w:next w:val="148"/>
    <w:link w:val="192"/>
    <w:semiHidden/>
    <w:qFormat/>
    <w:uiPriority w:val="0"/>
    <w:rPr>
      <w:b/>
      <w:bCs/>
    </w:rPr>
  </w:style>
  <w:style w:type="character" w:customStyle="1" w:styleId="192">
    <w:name w:val="批注主题 Char"/>
    <w:link w:val="191"/>
    <w:semiHidden/>
    <w:qFormat/>
    <w:uiPriority w:val="0"/>
    <w:rPr>
      <w:rFonts w:ascii="Times New Roman" w:hAnsi="Times New Roman" w:eastAsia="宋体" w:cs="Times New Roman"/>
      <w:b/>
      <w:bCs/>
      <w:szCs w:val="24"/>
    </w:rPr>
  </w:style>
  <w:style w:type="paragraph" w:customStyle="1" w:styleId="193">
    <w:name w:val="正文首行缩进1"/>
    <w:basedOn w:val="1"/>
    <w:link w:val="194"/>
    <w:unhideWhenUsed/>
    <w:qFormat/>
    <w:uiPriority w:val="99"/>
    <w:pPr>
      <w:spacing w:after="120"/>
      <w:ind w:firstLine="420"/>
    </w:pPr>
    <w:rPr>
      <w:rFonts w:eastAsia="华文中宋"/>
    </w:rPr>
  </w:style>
  <w:style w:type="character" w:customStyle="1" w:styleId="194">
    <w:name w:val="正文首行缩进 Char"/>
    <w:link w:val="193"/>
    <w:semiHidden/>
    <w:qFormat/>
    <w:uiPriority w:val="99"/>
    <w:rPr>
      <w:rFonts w:ascii="Times New Roman" w:hAnsi="Times New Roman" w:eastAsia="华文中宋" w:cs="Times New Roman"/>
      <w:sz w:val="21"/>
      <w:szCs w:val="20"/>
    </w:rPr>
  </w:style>
  <w:style w:type="paragraph" w:customStyle="1" w:styleId="195">
    <w:name w:val="正文首行缩进 21"/>
    <w:basedOn w:val="153"/>
    <w:qFormat/>
    <w:uiPriority w:val="0"/>
    <w:pPr>
      <w:spacing w:after="120"/>
      <w:ind w:left="420" w:firstLine="420"/>
    </w:pPr>
    <w:rPr>
      <w:rFonts w:ascii="Cambria" w:hAnsi="Cambria" w:eastAsia="华文细黑"/>
      <w:sz w:val="21"/>
    </w:rPr>
  </w:style>
  <w:style w:type="table" w:customStyle="1" w:styleId="196">
    <w:name w:val="网格型1"/>
    <w:qFormat/>
    <w:uiPriority w:val="59"/>
    <w:tblPr>
      <w:tblCellMar>
        <w:top w:w="0" w:type="dxa"/>
        <w:left w:w="0" w:type="dxa"/>
        <w:bottom w:w="0" w:type="dxa"/>
        <w:right w:w="0" w:type="dxa"/>
      </w:tblCellMar>
    </w:tblPr>
  </w:style>
  <w:style w:type="character" w:customStyle="1" w:styleId="197">
    <w:name w:val="要点1"/>
    <w:qFormat/>
    <w:uiPriority w:val="99"/>
    <w:rPr>
      <w:rFonts w:cs="Times New Roman"/>
      <w:b/>
      <w:bCs/>
    </w:rPr>
  </w:style>
  <w:style w:type="character" w:customStyle="1" w:styleId="198">
    <w:name w:val="尾注引用1"/>
    <w:unhideWhenUsed/>
    <w:qFormat/>
    <w:uiPriority w:val="99"/>
    <w:rPr>
      <w:vertAlign w:val="superscript"/>
    </w:rPr>
  </w:style>
  <w:style w:type="character" w:customStyle="1" w:styleId="199">
    <w:name w:val="页码1"/>
    <w:qFormat/>
    <w:uiPriority w:val="0"/>
    <w:rPr>
      <w:rFonts w:cs="Times New Roman"/>
    </w:rPr>
  </w:style>
  <w:style w:type="character" w:customStyle="1" w:styleId="200">
    <w:name w:val="已访问的超链接1"/>
    <w:qFormat/>
    <w:uiPriority w:val="99"/>
    <w:rPr>
      <w:rFonts w:cs="Times New Roman"/>
      <w:color w:val="000000"/>
      <w:u w:val="none"/>
    </w:rPr>
  </w:style>
  <w:style w:type="character" w:customStyle="1" w:styleId="201">
    <w:name w:val="HTML 打字机1"/>
    <w:qFormat/>
    <w:uiPriority w:val="99"/>
    <w:rPr>
      <w:rFonts w:ascii="宋体" w:hAnsi="宋体" w:eastAsia="宋体" w:cs="宋体"/>
      <w:sz w:val="24"/>
      <w:szCs w:val="24"/>
    </w:rPr>
  </w:style>
  <w:style w:type="character" w:customStyle="1" w:styleId="202">
    <w:name w:val="超链接1"/>
    <w:qFormat/>
    <w:uiPriority w:val="0"/>
    <w:rPr>
      <w:color w:val="000000"/>
      <w:u w:val="none"/>
    </w:rPr>
  </w:style>
  <w:style w:type="character" w:customStyle="1" w:styleId="203">
    <w:name w:val="批注引用1"/>
    <w:unhideWhenUsed/>
    <w:qFormat/>
    <w:uiPriority w:val="0"/>
    <w:rPr>
      <w:sz w:val="21"/>
      <w:szCs w:val="21"/>
    </w:rPr>
  </w:style>
  <w:style w:type="character" w:customStyle="1" w:styleId="204">
    <w:name w:val="脚注引用1"/>
    <w:unhideWhenUsed/>
    <w:qFormat/>
    <w:uiPriority w:val="99"/>
    <w:rPr>
      <w:vertAlign w:val="superscript"/>
    </w:rPr>
  </w:style>
  <w:style w:type="character" w:customStyle="1" w:styleId="205">
    <w:name w:val="Title Char"/>
    <w:basedOn w:val="142"/>
    <w:qFormat/>
    <w:uiPriority w:val="10"/>
    <w:rPr>
      <w:sz w:val="48"/>
      <w:szCs w:val="48"/>
    </w:rPr>
  </w:style>
  <w:style w:type="character" w:customStyle="1" w:styleId="206">
    <w:name w:val="Subtitle Char"/>
    <w:basedOn w:val="142"/>
    <w:qFormat/>
    <w:uiPriority w:val="11"/>
    <w:rPr>
      <w:sz w:val="24"/>
      <w:szCs w:val="24"/>
    </w:rPr>
  </w:style>
  <w:style w:type="character" w:customStyle="1" w:styleId="207">
    <w:name w:val="Quote Char"/>
    <w:qFormat/>
    <w:uiPriority w:val="29"/>
    <w:rPr>
      <w:i/>
    </w:rPr>
  </w:style>
  <w:style w:type="character" w:customStyle="1" w:styleId="208">
    <w:name w:val="Intense Quote Char"/>
    <w:qFormat/>
    <w:uiPriority w:val="30"/>
    <w:rPr>
      <w:i/>
    </w:rPr>
  </w:style>
  <w:style w:type="character" w:customStyle="1" w:styleId="209">
    <w:name w:val="Endnote Text Char"/>
    <w:qFormat/>
    <w:uiPriority w:val="99"/>
    <w:rPr>
      <w:sz w:val="20"/>
    </w:rPr>
  </w:style>
  <w:style w:type="paragraph" w:customStyle="1" w:styleId="210">
    <w:name w:val="TOC 标题111"/>
    <w:unhideWhenUsed/>
    <w:qFormat/>
    <w:uiPriority w:val="39"/>
    <w:rPr>
      <w:rFonts w:hint="default" w:ascii="Times New Roman" w:hAnsi="Times New Roman" w:eastAsia="宋体" w:cs="Times New Roman"/>
      <w:lang w:val="en-US" w:eastAsia="zh-CN" w:bidi="ar-SA"/>
    </w:rPr>
  </w:style>
  <w:style w:type="paragraph" w:customStyle="1" w:styleId="211">
    <w:name w:val="正文文本1"/>
    <w:basedOn w:val="1"/>
    <w:qFormat/>
    <w:uiPriority w:val="0"/>
    <w:rPr>
      <w:rFonts w:ascii="华文中宋" w:eastAsia="华文中宋"/>
      <w:bCs/>
      <w:sz w:val="28"/>
    </w:rPr>
  </w:style>
  <w:style w:type="paragraph" w:styleId="212">
    <w:name w:val="No Spacing"/>
    <w:qFormat/>
    <w:uiPriority w:val="1"/>
    <w:rPr>
      <w:rFonts w:hint="default" w:ascii="Times New Roman" w:hAnsi="Times New Roman" w:eastAsia="宋体" w:cs="Times New Roman"/>
      <w:lang w:val="en-US" w:eastAsia="zh-CN" w:bidi="ar-SA"/>
    </w:rPr>
  </w:style>
  <w:style w:type="paragraph" w:styleId="213">
    <w:name w:val="Quote"/>
    <w:basedOn w:val="1"/>
    <w:next w:val="1"/>
    <w:link w:val="214"/>
    <w:qFormat/>
    <w:uiPriority w:val="29"/>
    <w:pPr>
      <w:ind w:left="720" w:right="720"/>
    </w:pPr>
    <w:rPr>
      <w:i/>
    </w:rPr>
  </w:style>
  <w:style w:type="character" w:customStyle="1" w:styleId="214">
    <w:name w:val="引用 Char"/>
    <w:link w:val="213"/>
    <w:qFormat/>
    <w:uiPriority w:val="29"/>
    <w:rPr>
      <w:i/>
    </w:rPr>
  </w:style>
  <w:style w:type="paragraph" w:styleId="215">
    <w:name w:val="Intense Quote"/>
    <w:basedOn w:val="1"/>
    <w:next w:val="1"/>
    <w:link w:val="21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16">
    <w:name w:val="明显引用 Char"/>
    <w:link w:val="215"/>
    <w:qFormat/>
    <w:uiPriority w:val="30"/>
    <w:rPr>
      <w:i/>
    </w:rPr>
  </w:style>
  <w:style w:type="paragraph" w:customStyle="1" w:styleId="217">
    <w:name w:val="Header1"/>
    <w:basedOn w:val="1"/>
    <w:link w:val="218"/>
    <w:unhideWhenUsed/>
    <w:qFormat/>
    <w:uiPriority w:val="99"/>
    <w:pPr>
      <w:tabs>
        <w:tab w:val="center" w:pos="7143"/>
        <w:tab w:val="right" w:pos="14287"/>
      </w:tabs>
    </w:pPr>
  </w:style>
  <w:style w:type="character" w:customStyle="1" w:styleId="218">
    <w:name w:val="Header Char"/>
    <w:link w:val="217"/>
    <w:qFormat/>
    <w:uiPriority w:val="99"/>
  </w:style>
  <w:style w:type="paragraph" w:customStyle="1" w:styleId="219">
    <w:name w:val="Footer1"/>
    <w:basedOn w:val="1"/>
    <w:link w:val="220"/>
    <w:unhideWhenUsed/>
    <w:qFormat/>
    <w:uiPriority w:val="99"/>
    <w:pPr>
      <w:tabs>
        <w:tab w:val="center" w:pos="7143"/>
        <w:tab w:val="right" w:pos="14287"/>
      </w:tabs>
    </w:pPr>
  </w:style>
  <w:style w:type="character" w:customStyle="1" w:styleId="220">
    <w:name w:val="Caption Char"/>
    <w:link w:val="219"/>
    <w:qFormat/>
    <w:uiPriority w:val="99"/>
  </w:style>
  <w:style w:type="character" w:customStyle="1" w:styleId="221">
    <w:name w:val="Footer Char"/>
    <w:qFormat/>
    <w:uiPriority w:val="99"/>
  </w:style>
  <w:style w:type="paragraph" w:customStyle="1" w:styleId="222">
    <w:name w:val="Caption1"/>
    <w:basedOn w:val="1"/>
    <w:next w:val="1"/>
    <w:unhideWhenUsed/>
    <w:qFormat/>
    <w:uiPriority w:val="35"/>
    <w:pPr>
      <w:spacing w:line="276" w:lineRule="auto"/>
    </w:pPr>
    <w:rPr>
      <w:b/>
      <w:bCs/>
      <w:color w:val="4F81BD"/>
      <w:sz w:val="18"/>
      <w:szCs w:val="18"/>
    </w:rPr>
  </w:style>
  <w:style w:type="table" w:customStyle="1" w:styleId="223">
    <w:name w:val="Table Grid Light"/>
    <w:qFormat/>
    <w:uiPriority w:val="59"/>
    <w:tblPr>
      <w:tblCellMar>
        <w:top w:w="0" w:type="dxa"/>
        <w:left w:w="0" w:type="dxa"/>
        <w:bottom w:w="0" w:type="dxa"/>
        <w:right w:w="0" w:type="dxa"/>
      </w:tblCellMar>
    </w:tblPr>
  </w:style>
  <w:style w:type="table" w:customStyle="1" w:styleId="224">
    <w:name w:val="Plain Table 1"/>
    <w:qFormat/>
    <w:uiPriority w:val="59"/>
    <w:tblPr>
      <w:tblCellMar>
        <w:top w:w="0" w:type="dxa"/>
        <w:left w:w="0" w:type="dxa"/>
        <w:bottom w:w="0" w:type="dxa"/>
        <w:right w:w="0" w:type="dxa"/>
      </w:tblCellMar>
    </w:tblPr>
  </w:style>
  <w:style w:type="table" w:customStyle="1" w:styleId="225">
    <w:name w:val="Plain Table 2"/>
    <w:qFormat/>
    <w:uiPriority w:val="59"/>
    <w:tblPr>
      <w:tblCellMar>
        <w:top w:w="0" w:type="dxa"/>
        <w:left w:w="0" w:type="dxa"/>
        <w:bottom w:w="0" w:type="dxa"/>
        <w:right w:w="0" w:type="dxa"/>
      </w:tblCellMar>
    </w:tblPr>
  </w:style>
  <w:style w:type="table" w:customStyle="1" w:styleId="226">
    <w:name w:val="Plain Table 3"/>
    <w:qFormat/>
    <w:uiPriority w:val="99"/>
    <w:tblPr>
      <w:tblCellMar>
        <w:top w:w="0" w:type="dxa"/>
        <w:left w:w="0" w:type="dxa"/>
        <w:bottom w:w="0" w:type="dxa"/>
        <w:right w:w="0" w:type="dxa"/>
      </w:tblCellMar>
    </w:tblPr>
  </w:style>
  <w:style w:type="table" w:customStyle="1" w:styleId="227">
    <w:name w:val="Plain Table 4"/>
    <w:qFormat/>
    <w:uiPriority w:val="99"/>
    <w:tblPr>
      <w:tblCellMar>
        <w:top w:w="0" w:type="dxa"/>
        <w:left w:w="0" w:type="dxa"/>
        <w:bottom w:w="0" w:type="dxa"/>
        <w:right w:w="0" w:type="dxa"/>
      </w:tblCellMar>
    </w:tblPr>
  </w:style>
  <w:style w:type="table" w:customStyle="1" w:styleId="228">
    <w:name w:val="Plain Table 5"/>
    <w:qFormat/>
    <w:uiPriority w:val="99"/>
    <w:tblPr>
      <w:tblCellMar>
        <w:top w:w="0" w:type="dxa"/>
        <w:left w:w="0" w:type="dxa"/>
        <w:bottom w:w="0" w:type="dxa"/>
        <w:right w:w="0" w:type="dxa"/>
      </w:tblCellMar>
    </w:tblPr>
  </w:style>
  <w:style w:type="table" w:customStyle="1" w:styleId="229">
    <w:name w:val="Grid Table 1 Light"/>
    <w:qFormat/>
    <w:uiPriority w:val="99"/>
    <w:tblPr>
      <w:tblCellMar>
        <w:top w:w="0" w:type="dxa"/>
        <w:left w:w="0" w:type="dxa"/>
        <w:bottom w:w="0" w:type="dxa"/>
        <w:right w:w="0" w:type="dxa"/>
      </w:tblCellMar>
    </w:tblPr>
  </w:style>
  <w:style w:type="table" w:customStyle="1" w:styleId="230">
    <w:name w:val="Grid Table 1 Light - Accent 1"/>
    <w:qFormat/>
    <w:uiPriority w:val="99"/>
    <w:tblPr>
      <w:tblCellMar>
        <w:top w:w="0" w:type="dxa"/>
        <w:left w:w="0" w:type="dxa"/>
        <w:bottom w:w="0" w:type="dxa"/>
        <w:right w:w="0" w:type="dxa"/>
      </w:tblCellMar>
    </w:tblPr>
  </w:style>
  <w:style w:type="table" w:customStyle="1" w:styleId="231">
    <w:name w:val="Grid Table 1 Light - Accent 2"/>
    <w:qFormat/>
    <w:uiPriority w:val="99"/>
    <w:tblPr>
      <w:tblCellMar>
        <w:top w:w="0" w:type="dxa"/>
        <w:left w:w="0" w:type="dxa"/>
        <w:bottom w:w="0" w:type="dxa"/>
        <w:right w:w="0" w:type="dxa"/>
      </w:tblCellMar>
    </w:tblPr>
  </w:style>
  <w:style w:type="table" w:customStyle="1" w:styleId="232">
    <w:name w:val="Grid Table 1 Light - Accent 3"/>
    <w:qFormat/>
    <w:uiPriority w:val="99"/>
    <w:tblPr>
      <w:tblCellMar>
        <w:top w:w="0" w:type="dxa"/>
        <w:left w:w="0" w:type="dxa"/>
        <w:bottom w:w="0" w:type="dxa"/>
        <w:right w:w="0" w:type="dxa"/>
      </w:tblCellMar>
    </w:tblPr>
  </w:style>
  <w:style w:type="table" w:customStyle="1" w:styleId="233">
    <w:name w:val="Grid Table 1 Light - Accent 4"/>
    <w:qFormat/>
    <w:uiPriority w:val="99"/>
    <w:tblPr>
      <w:tblCellMar>
        <w:top w:w="0" w:type="dxa"/>
        <w:left w:w="0" w:type="dxa"/>
        <w:bottom w:w="0" w:type="dxa"/>
        <w:right w:w="0" w:type="dxa"/>
      </w:tblCellMar>
    </w:tblPr>
  </w:style>
  <w:style w:type="table" w:customStyle="1" w:styleId="234">
    <w:name w:val="Grid Table 1 Light - Accent 5"/>
    <w:qFormat/>
    <w:uiPriority w:val="99"/>
    <w:tblPr>
      <w:tblCellMar>
        <w:top w:w="0" w:type="dxa"/>
        <w:left w:w="0" w:type="dxa"/>
        <w:bottom w:w="0" w:type="dxa"/>
        <w:right w:w="0" w:type="dxa"/>
      </w:tblCellMar>
    </w:tblPr>
  </w:style>
  <w:style w:type="table" w:customStyle="1" w:styleId="235">
    <w:name w:val="Grid Table 1 Light - Accent 6"/>
    <w:qFormat/>
    <w:uiPriority w:val="99"/>
    <w:tblPr>
      <w:tblCellMar>
        <w:top w:w="0" w:type="dxa"/>
        <w:left w:w="0" w:type="dxa"/>
        <w:bottom w:w="0" w:type="dxa"/>
        <w:right w:w="0" w:type="dxa"/>
      </w:tblCellMar>
    </w:tblPr>
  </w:style>
  <w:style w:type="table" w:customStyle="1" w:styleId="236">
    <w:name w:val="Grid Table 2"/>
    <w:qFormat/>
    <w:uiPriority w:val="99"/>
    <w:tblPr>
      <w:tblCellMar>
        <w:top w:w="0" w:type="dxa"/>
        <w:left w:w="0" w:type="dxa"/>
        <w:bottom w:w="0" w:type="dxa"/>
        <w:right w:w="0" w:type="dxa"/>
      </w:tblCellMar>
    </w:tblPr>
  </w:style>
  <w:style w:type="table" w:customStyle="1" w:styleId="237">
    <w:name w:val="Grid Table 2 - Accent 1"/>
    <w:qFormat/>
    <w:uiPriority w:val="99"/>
    <w:tblPr>
      <w:tblCellMar>
        <w:top w:w="0" w:type="dxa"/>
        <w:left w:w="0" w:type="dxa"/>
        <w:bottom w:w="0" w:type="dxa"/>
        <w:right w:w="0" w:type="dxa"/>
      </w:tblCellMar>
    </w:tblPr>
  </w:style>
  <w:style w:type="table" w:customStyle="1" w:styleId="238">
    <w:name w:val="Grid Table 2 - Accent 2"/>
    <w:qFormat/>
    <w:uiPriority w:val="99"/>
    <w:tblPr>
      <w:tblCellMar>
        <w:top w:w="0" w:type="dxa"/>
        <w:left w:w="0" w:type="dxa"/>
        <w:bottom w:w="0" w:type="dxa"/>
        <w:right w:w="0" w:type="dxa"/>
      </w:tblCellMar>
    </w:tblPr>
  </w:style>
  <w:style w:type="table" w:customStyle="1" w:styleId="239">
    <w:name w:val="Grid Table 2 - Accent 3"/>
    <w:qFormat/>
    <w:uiPriority w:val="99"/>
    <w:tblPr>
      <w:tblCellMar>
        <w:top w:w="0" w:type="dxa"/>
        <w:left w:w="0" w:type="dxa"/>
        <w:bottom w:w="0" w:type="dxa"/>
        <w:right w:w="0" w:type="dxa"/>
      </w:tblCellMar>
    </w:tblPr>
  </w:style>
  <w:style w:type="table" w:customStyle="1" w:styleId="240">
    <w:name w:val="Grid Table 2 - Accent 4"/>
    <w:qFormat/>
    <w:uiPriority w:val="99"/>
    <w:tblPr>
      <w:tblCellMar>
        <w:top w:w="0" w:type="dxa"/>
        <w:left w:w="0" w:type="dxa"/>
        <w:bottom w:w="0" w:type="dxa"/>
        <w:right w:w="0" w:type="dxa"/>
      </w:tblCellMar>
    </w:tblPr>
  </w:style>
  <w:style w:type="table" w:customStyle="1" w:styleId="241">
    <w:name w:val="Grid Table 2 - Accent 5"/>
    <w:qFormat/>
    <w:uiPriority w:val="99"/>
    <w:tblPr>
      <w:tblCellMar>
        <w:top w:w="0" w:type="dxa"/>
        <w:left w:w="0" w:type="dxa"/>
        <w:bottom w:w="0" w:type="dxa"/>
        <w:right w:w="0" w:type="dxa"/>
      </w:tblCellMar>
    </w:tblPr>
  </w:style>
  <w:style w:type="table" w:customStyle="1" w:styleId="242">
    <w:name w:val="Grid Table 2 - Accent 6"/>
    <w:qFormat/>
    <w:uiPriority w:val="99"/>
    <w:tblPr>
      <w:tblCellMar>
        <w:top w:w="0" w:type="dxa"/>
        <w:left w:w="0" w:type="dxa"/>
        <w:bottom w:w="0" w:type="dxa"/>
        <w:right w:w="0" w:type="dxa"/>
      </w:tblCellMar>
    </w:tblPr>
  </w:style>
  <w:style w:type="table" w:customStyle="1" w:styleId="243">
    <w:name w:val="Grid Table 3"/>
    <w:qFormat/>
    <w:uiPriority w:val="99"/>
    <w:tblPr>
      <w:tblCellMar>
        <w:top w:w="0" w:type="dxa"/>
        <w:left w:w="0" w:type="dxa"/>
        <w:bottom w:w="0" w:type="dxa"/>
        <w:right w:w="0" w:type="dxa"/>
      </w:tblCellMar>
    </w:tblPr>
  </w:style>
  <w:style w:type="table" w:customStyle="1" w:styleId="244">
    <w:name w:val="Grid Table 3 - Accent 1"/>
    <w:qFormat/>
    <w:uiPriority w:val="99"/>
    <w:tblPr>
      <w:tblCellMar>
        <w:top w:w="0" w:type="dxa"/>
        <w:left w:w="0" w:type="dxa"/>
        <w:bottom w:w="0" w:type="dxa"/>
        <w:right w:w="0" w:type="dxa"/>
      </w:tblCellMar>
    </w:tblPr>
  </w:style>
  <w:style w:type="table" w:customStyle="1" w:styleId="245">
    <w:name w:val="Grid Table 3 - Accent 2"/>
    <w:qFormat/>
    <w:uiPriority w:val="99"/>
    <w:tblPr>
      <w:tblCellMar>
        <w:top w:w="0" w:type="dxa"/>
        <w:left w:w="0" w:type="dxa"/>
        <w:bottom w:w="0" w:type="dxa"/>
        <w:right w:w="0" w:type="dxa"/>
      </w:tblCellMar>
    </w:tblPr>
  </w:style>
  <w:style w:type="table" w:customStyle="1" w:styleId="246">
    <w:name w:val="Grid Table 3 - Accent 3"/>
    <w:qFormat/>
    <w:uiPriority w:val="99"/>
    <w:tblPr>
      <w:tblCellMar>
        <w:top w:w="0" w:type="dxa"/>
        <w:left w:w="0" w:type="dxa"/>
        <w:bottom w:w="0" w:type="dxa"/>
        <w:right w:w="0" w:type="dxa"/>
      </w:tblCellMar>
    </w:tblPr>
  </w:style>
  <w:style w:type="table" w:customStyle="1" w:styleId="247">
    <w:name w:val="Grid Table 3 - Accent 4"/>
    <w:qFormat/>
    <w:uiPriority w:val="99"/>
    <w:tblPr>
      <w:tblCellMar>
        <w:top w:w="0" w:type="dxa"/>
        <w:left w:w="0" w:type="dxa"/>
        <w:bottom w:w="0" w:type="dxa"/>
        <w:right w:w="0" w:type="dxa"/>
      </w:tblCellMar>
    </w:tblPr>
  </w:style>
  <w:style w:type="table" w:customStyle="1" w:styleId="248">
    <w:name w:val="Grid Table 3 - Accent 5"/>
    <w:qFormat/>
    <w:uiPriority w:val="99"/>
    <w:tblPr>
      <w:tblCellMar>
        <w:top w:w="0" w:type="dxa"/>
        <w:left w:w="0" w:type="dxa"/>
        <w:bottom w:w="0" w:type="dxa"/>
        <w:right w:w="0" w:type="dxa"/>
      </w:tblCellMar>
    </w:tblPr>
  </w:style>
  <w:style w:type="table" w:customStyle="1" w:styleId="249">
    <w:name w:val="Grid Table 3 - Accent 6"/>
    <w:qFormat/>
    <w:uiPriority w:val="99"/>
    <w:tblPr>
      <w:tblCellMar>
        <w:top w:w="0" w:type="dxa"/>
        <w:left w:w="0" w:type="dxa"/>
        <w:bottom w:w="0" w:type="dxa"/>
        <w:right w:w="0" w:type="dxa"/>
      </w:tblCellMar>
    </w:tblPr>
  </w:style>
  <w:style w:type="table" w:customStyle="1" w:styleId="250">
    <w:name w:val="Grid Table 4"/>
    <w:qFormat/>
    <w:uiPriority w:val="59"/>
    <w:tblPr>
      <w:tblCellMar>
        <w:top w:w="0" w:type="dxa"/>
        <w:left w:w="0" w:type="dxa"/>
        <w:bottom w:w="0" w:type="dxa"/>
        <w:right w:w="0" w:type="dxa"/>
      </w:tblCellMar>
    </w:tblPr>
  </w:style>
  <w:style w:type="table" w:customStyle="1" w:styleId="251">
    <w:name w:val="Grid Table 4 - Accent 1"/>
    <w:qFormat/>
    <w:uiPriority w:val="59"/>
    <w:tblPr>
      <w:tblCellMar>
        <w:top w:w="0" w:type="dxa"/>
        <w:left w:w="0" w:type="dxa"/>
        <w:bottom w:w="0" w:type="dxa"/>
        <w:right w:w="0" w:type="dxa"/>
      </w:tblCellMar>
    </w:tblPr>
  </w:style>
  <w:style w:type="table" w:customStyle="1" w:styleId="252">
    <w:name w:val="Grid Table 4 - Accent 2"/>
    <w:qFormat/>
    <w:uiPriority w:val="59"/>
    <w:tblPr>
      <w:tblCellMar>
        <w:top w:w="0" w:type="dxa"/>
        <w:left w:w="0" w:type="dxa"/>
        <w:bottom w:w="0" w:type="dxa"/>
        <w:right w:w="0" w:type="dxa"/>
      </w:tblCellMar>
    </w:tblPr>
  </w:style>
  <w:style w:type="table" w:customStyle="1" w:styleId="253">
    <w:name w:val="Grid Table 4 - Accent 3"/>
    <w:qFormat/>
    <w:uiPriority w:val="59"/>
    <w:tblPr>
      <w:tblCellMar>
        <w:top w:w="0" w:type="dxa"/>
        <w:left w:w="0" w:type="dxa"/>
        <w:bottom w:w="0" w:type="dxa"/>
        <w:right w:w="0" w:type="dxa"/>
      </w:tblCellMar>
    </w:tblPr>
  </w:style>
  <w:style w:type="table" w:customStyle="1" w:styleId="254">
    <w:name w:val="Grid Table 4 - Accent 4"/>
    <w:qFormat/>
    <w:uiPriority w:val="59"/>
    <w:tblPr>
      <w:tblCellMar>
        <w:top w:w="0" w:type="dxa"/>
        <w:left w:w="0" w:type="dxa"/>
        <w:bottom w:w="0" w:type="dxa"/>
        <w:right w:w="0" w:type="dxa"/>
      </w:tblCellMar>
    </w:tblPr>
  </w:style>
  <w:style w:type="table" w:customStyle="1" w:styleId="255">
    <w:name w:val="Grid Table 4 - Accent 5"/>
    <w:qFormat/>
    <w:uiPriority w:val="59"/>
    <w:tblPr>
      <w:tblCellMar>
        <w:top w:w="0" w:type="dxa"/>
        <w:left w:w="0" w:type="dxa"/>
        <w:bottom w:w="0" w:type="dxa"/>
        <w:right w:w="0" w:type="dxa"/>
      </w:tblCellMar>
    </w:tblPr>
  </w:style>
  <w:style w:type="table" w:customStyle="1" w:styleId="256">
    <w:name w:val="Grid Table 4 - Accent 6"/>
    <w:qFormat/>
    <w:uiPriority w:val="59"/>
    <w:tblPr>
      <w:tblCellMar>
        <w:top w:w="0" w:type="dxa"/>
        <w:left w:w="0" w:type="dxa"/>
        <w:bottom w:w="0" w:type="dxa"/>
        <w:right w:w="0" w:type="dxa"/>
      </w:tblCellMar>
    </w:tblPr>
  </w:style>
  <w:style w:type="table" w:customStyle="1" w:styleId="257">
    <w:name w:val="Grid Table 5 Dark"/>
    <w:qFormat/>
    <w:uiPriority w:val="99"/>
    <w:tblPr>
      <w:tblCellMar>
        <w:top w:w="0" w:type="dxa"/>
        <w:left w:w="0" w:type="dxa"/>
        <w:bottom w:w="0" w:type="dxa"/>
        <w:right w:w="0" w:type="dxa"/>
      </w:tblCellMar>
    </w:tblPr>
  </w:style>
  <w:style w:type="table" w:customStyle="1" w:styleId="258">
    <w:name w:val="Grid Table 5 Dark- Accent 1"/>
    <w:qFormat/>
    <w:uiPriority w:val="99"/>
    <w:tblPr>
      <w:tblCellMar>
        <w:top w:w="0" w:type="dxa"/>
        <w:left w:w="0" w:type="dxa"/>
        <w:bottom w:w="0" w:type="dxa"/>
        <w:right w:w="0" w:type="dxa"/>
      </w:tblCellMar>
    </w:tblPr>
  </w:style>
  <w:style w:type="table" w:customStyle="1" w:styleId="259">
    <w:name w:val="Grid Table 5 Dark - Accent 2"/>
    <w:qFormat/>
    <w:uiPriority w:val="99"/>
    <w:tblPr>
      <w:tblCellMar>
        <w:top w:w="0" w:type="dxa"/>
        <w:left w:w="0" w:type="dxa"/>
        <w:bottom w:w="0" w:type="dxa"/>
        <w:right w:w="0" w:type="dxa"/>
      </w:tblCellMar>
    </w:tblPr>
  </w:style>
  <w:style w:type="table" w:customStyle="1" w:styleId="260">
    <w:name w:val="Grid Table 5 Dark - Accent 3"/>
    <w:qFormat/>
    <w:uiPriority w:val="99"/>
    <w:tblPr>
      <w:tblCellMar>
        <w:top w:w="0" w:type="dxa"/>
        <w:left w:w="0" w:type="dxa"/>
        <w:bottom w:w="0" w:type="dxa"/>
        <w:right w:w="0" w:type="dxa"/>
      </w:tblCellMar>
    </w:tblPr>
  </w:style>
  <w:style w:type="table" w:customStyle="1" w:styleId="261">
    <w:name w:val="Grid Table 5 Dark- Accent 4"/>
    <w:qFormat/>
    <w:uiPriority w:val="99"/>
    <w:tblPr>
      <w:tblCellMar>
        <w:top w:w="0" w:type="dxa"/>
        <w:left w:w="0" w:type="dxa"/>
        <w:bottom w:w="0" w:type="dxa"/>
        <w:right w:w="0" w:type="dxa"/>
      </w:tblCellMar>
    </w:tblPr>
  </w:style>
  <w:style w:type="table" w:customStyle="1" w:styleId="262">
    <w:name w:val="Grid Table 5 Dark - Accent 5"/>
    <w:qFormat/>
    <w:uiPriority w:val="99"/>
    <w:tblPr>
      <w:tblCellMar>
        <w:top w:w="0" w:type="dxa"/>
        <w:left w:w="0" w:type="dxa"/>
        <w:bottom w:w="0" w:type="dxa"/>
        <w:right w:w="0" w:type="dxa"/>
      </w:tblCellMar>
    </w:tblPr>
  </w:style>
  <w:style w:type="table" w:customStyle="1" w:styleId="263">
    <w:name w:val="Grid Table 5 Dark - Accent 6"/>
    <w:qFormat/>
    <w:uiPriority w:val="99"/>
    <w:tblPr>
      <w:tblCellMar>
        <w:top w:w="0" w:type="dxa"/>
        <w:left w:w="0" w:type="dxa"/>
        <w:bottom w:w="0" w:type="dxa"/>
        <w:right w:w="0" w:type="dxa"/>
      </w:tblCellMar>
    </w:tblPr>
  </w:style>
  <w:style w:type="table" w:customStyle="1" w:styleId="264">
    <w:name w:val="Grid Table 6 Colorful"/>
    <w:qFormat/>
    <w:uiPriority w:val="99"/>
    <w:tblPr>
      <w:tblCellMar>
        <w:top w:w="0" w:type="dxa"/>
        <w:left w:w="0" w:type="dxa"/>
        <w:bottom w:w="0" w:type="dxa"/>
        <w:right w:w="0" w:type="dxa"/>
      </w:tblCellMar>
    </w:tblPr>
  </w:style>
  <w:style w:type="table" w:customStyle="1" w:styleId="265">
    <w:name w:val="Grid Table 6 Colorful - Accent 1"/>
    <w:qFormat/>
    <w:uiPriority w:val="99"/>
    <w:tblPr>
      <w:tblCellMar>
        <w:top w:w="0" w:type="dxa"/>
        <w:left w:w="0" w:type="dxa"/>
        <w:bottom w:w="0" w:type="dxa"/>
        <w:right w:w="0" w:type="dxa"/>
      </w:tblCellMar>
    </w:tblPr>
  </w:style>
  <w:style w:type="table" w:customStyle="1" w:styleId="266">
    <w:name w:val="Grid Table 6 Colorful - Accent 2"/>
    <w:qFormat/>
    <w:uiPriority w:val="99"/>
    <w:tblPr>
      <w:tblCellMar>
        <w:top w:w="0" w:type="dxa"/>
        <w:left w:w="0" w:type="dxa"/>
        <w:bottom w:w="0" w:type="dxa"/>
        <w:right w:w="0" w:type="dxa"/>
      </w:tblCellMar>
    </w:tblPr>
  </w:style>
  <w:style w:type="table" w:customStyle="1" w:styleId="267">
    <w:name w:val="Grid Table 6 Colorful - Accent 3"/>
    <w:qFormat/>
    <w:uiPriority w:val="99"/>
    <w:tblPr>
      <w:tblCellMar>
        <w:top w:w="0" w:type="dxa"/>
        <w:left w:w="0" w:type="dxa"/>
        <w:bottom w:w="0" w:type="dxa"/>
        <w:right w:w="0" w:type="dxa"/>
      </w:tblCellMar>
    </w:tblPr>
  </w:style>
  <w:style w:type="table" w:customStyle="1" w:styleId="268">
    <w:name w:val="Grid Table 6 Colorful - Accent 4"/>
    <w:qFormat/>
    <w:uiPriority w:val="99"/>
    <w:tblPr>
      <w:tblCellMar>
        <w:top w:w="0" w:type="dxa"/>
        <w:left w:w="0" w:type="dxa"/>
        <w:bottom w:w="0" w:type="dxa"/>
        <w:right w:w="0" w:type="dxa"/>
      </w:tblCellMar>
    </w:tblPr>
  </w:style>
  <w:style w:type="table" w:customStyle="1" w:styleId="269">
    <w:name w:val="Grid Table 6 Colorful - Accent 5"/>
    <w:qFormat/>
    <w:uiPriority w:val="99"/>
    <w:tblPr>
      <w:tblCellMar>
        <w:top w:w="0" w:type="dxa"/>
        <w:left w:w="0" w:type="dxa"/>
        <w:bottom w:w="0" w:type="dxa"/>
        <w:right w:w="0" w:type="dxa"/>
      </w:tblCellMar>
    </w:tblPr>
  </w:style>
  <w:style w:type="table" w:customStyle="1" w:styleId="270">
    <w:name w:val="Grid Table 6 Colorful - Accent 6"/>
    <w:qFormat/>
    <w:uiPriority w:val="99"/>
    <w:tblPr>
      <w:tblCellMar>
        <w:top w:w="0" w:type="dxa"/>
        <w:left w:w="0" w:type="dxa"/>
        <w:bottom w:w="0" w:type="dxa"/>
        <w:right w:w="0" w:type="dxa"/>
      </w:tblCellMar>
    </w:tblPr>
  </w:style>
  <w:style w:type="table" w:customStyle="1" w:styleId="271">
    <w:name w:val="Grid Table 7 Colorful"/>
    <w:qFormat/>
    <w:uiPriority w:val="99"/>
    <w:tblPr>
      <w:tblCellMar>
        <w:top w:w="0" w:type="dxa"/>
        <w:left w:w="0" w:type="dxa"/>
        <w:bottom w:w="0" w:type="dxa"/>
        <w:right w:w="0" w:type="dxa"/>
      </w:tblCellMar>
    </w:tblPr>
  </w:style>
  <w:style w:type="table" w:customStyle="1" w:styleId="272">
    <w:name w:val="Grid Table 7 Colorful - Accent 1"/>
    <w:qFormat/>
    <w:uiPriority w:val="99"/>
    <w:tblPr>
      <w:tblCellMar>
        <w:top w:w="0" w:type="dxa"/>
        <w:left w:w="0" w:type="dxa"/>
        <w:bottom w:w="0" w:type="dxa"/>
        <w:right w:w="0" w:type="dxa"/>
      </w:tblCellMar>
    </w:tblPr>
  </w:style>
  <w:style w:type="table" w:customStyle="1" w:styleId="273">
    <w:name w:val="Grid Table 7 Colorful - Accent 2"/>
    <w:qFormat/>
    <w:uiPriority w:val="99"/>
    <w:tblPr>
      <w:tblCellMar>
        <w:top w:w="0" w:type="dxa"/>
        <w:left w:w="0" w:type="dxa"/>
        <w:bottom w:w="0" w:type="dxa"/>
        <w:right w:w="0" w:type="dxa"/>
      </w:tblCellMar>
    </w:tblPr>
  </w:style>
  <w:style w:type="table" w:customStyle="1" w:styleId="274">
    <w:name w:val="Grid Table 7 Colorful - Accent 3"/>
    <w:qFormat/>
    <w:uiPriority w:val="99"/>
    <w:tblPr>
      <w:tblCellMar>
        <w:top w:w="0" w:type="dxa"/>
        <w:left w:w="0" w:type="dxa"/>
        <w:bottom w:w="0" w:type="dxa"/>
        <w:right w:w="0" w:type="dxa"/>
      </w:tblCellMar>
    </w:tblPr>
  </w:style>
  <w:style w:type="table" w:customStyle="1" w:styleId="275">
    <w:name w:val="Grid Table 7 Colorful - Accent 4"/>
    <w:qFormat/>
    <w:uiPriority w:val="99"/>
    <w:tblPr>
      <w:tblCellMar>
        <w:top w:w="0" w:type="dxa"/>
        <w:left w:w="0" w:type="dxa"/>
        <w:bottom w:w="0" w:type="dxa"/>
        <w:right w:w="0" w:type="dxa"/>
      </w:tblCellMar>
    </w:tblPr>
  </w:style>
  <w:style w:type="table" w:customStyle="1" w:styleId="276">
    <w:name w:val="Grid Table 7 Colorful - Accent 5"/>
    <w:qFormat/>
    <w:uiPriority w:val="99"/>
    <w:tblPr>
      <w:tblCellMar>
        <w:top w:w="0" w:type="dxa"/>
        <w:left w:w="0" w:type="dxa"/>
        <w:bottom w:w="0" w:type="dxa"/>
        <w:right w:w="0" w:type="dxa"/>
      </w:tblCellMar>
    </w:tblPr>
  </w:style>
  <w:style w:type="table" w:customStyle="1" w:styleId="277">
    <w:name w:val="Grid Table 7 Colorful - Accent 6"/>
    <w:qFormat/>
    <w:uiPriority w:val="99"/>
    <w:tblPr>
      <w:tblCellMar>
        <w:top w:w="0" w:type="dxa"/>
        <w:left w:w="0" w:type="dxa"/>
        <w:bottom w:w="0" w:type="dxa"/>
        <w:right w:w="0" w:type="dxa"/>
      </w:tblCellMar>
    </w:tblPr>
  </w:style>
  <w:style w:type="table" w:customStyle="1" w:styleId="278">
    <w:name w:val="List Table 1 Light"/>
    <w:qFormat/>
    <w:uiPriority w:val="99"/>
    <w:tblPr>
      <w:tblCellMar>
        <w:top w:w="0" w:type="dxa"/>
        <w:left w:w="0" w:type="dxa"/>
        <w:bottom w:w="0" w:type="dxa"/>
        <w:right w:w="0" w:type="dxa"/>
      </w:tblCellMar>
    </w:tblPr>
  </w:style>
  <w:style w:type="table" w:customStyle="1" w:styleId="279">
    <w:name w:val="List Table 1 Light - Accent 1"/>
    <w:qFormat/>
    <w:uiPriority w:val="99"/>
    <w:tblPr>
      <w:tblCellMar>
        <w:top w:w="0" w:type="dxa"/>
        <w:left w:w="0" w:type="dxa"/>
        <w:bottom w:w="0" w:type="dxa"/>
        <w:right w:w="0" w:type="dxa"/>
      </w:tblCellMar>
    </w:tblPr>
  </w:style>
  <w:style w:type="table" w:customStyle="1" w:styleId="280">
    <w:name w:val="List Table 1 Light - Accent 2"/>
    <w:qFormat/>
    <w:uiPriority w:val="99"/>
    <w:tblPr>
      <w:tblCellMar>
        <w:top w:w="0" w:type="dxa"/>
        <w:left w:w="0" w:type="dxa"/>
        <w:bottom w:w="0" w:type="dxa"/>
        <w:right w:w="0" w:type="dxa"/>
      </w:tblCellMar>
    </w:tblPr>
  </w:style>
  <w:style w:type="table" w:customStyle="1" w:styleId="281">
    <w:name w:val="List Table 1 Light - Accent 3"/>
    <w:qFormat/>
    <w:uiPriority w:val="99"/>
    <w:tblPr>
      <w:tblCellMar>
        <w:top w:w="0" w:type="dxa"/>
        <w:left w:w="0" w:type="dxa"/>
        <w:bottom w:w="0" w:type="dxa"/>
        <w:right w:w="0" w:type="dxa"/>
      </w:tblCellMar>
    </w:tblPr>
  </w:style>
  <w:style w:type="table" w:customStyle="1" w:styleId="282">
    <w:name w:val="List Table 1 Light - Accent 4"/>
    <w:qFormat/>
    <w:uiPriority w:val="99"/>
    <w:tblPr>
      <w:tblCellMar>
        <w:top w:w="0" w:type="dxa"/>
        <w:left w:w="0" w:type="dxa"/>
        <w:bottom w:w="0" w:type="dxa"/>
        <w:right w:w="0" w:type="dxa"/>
      </w:tblCellMar>
    </w:tblPr>
  </w:style>
  <w:style w:type="table" w:customStyle="1" w:styleId="283">
    <w:name w:val="List Table 1 Light - Accent 5"/>
    <w:qFormat/>
    <w:uiPriority w:val="99"/>
    <w:tblPr>
      <w:tblCellMar>
        <w:top w:w="0" w:type="dxa"/>
        <w:left w:w="0" w:type="dxa"/>
        <w:bottom w:w="0" w:type="dxa"/>
        <w:right w:w="0" w:type="dxa"/>
      </w:tblCellMar>
    </w:tblPr>
  </w:style>
  <w:style w:type="table" w:customStyle="1" w:styleId="284">
    <w:name w:val="List Table 1 Light - Accent 6"/>
    <w:qFormat/>
    <w:uiPriority w:val="99"/>
    <w:tblPr>
      <w:tblCellMar>
        <w:top w:w="0" w:type="dxa"/>
        <w:left w:w="0" w:type="dxa"/>
        <w:bottom w:w="0" w:type="dxa"/>
        <w:right w:w="0" w:type="dxa"/>
      </w:tblCellMar>
    </w:tblPr>
  </w:style>
  <w:style w:type="table" w:customStyle="1" w:styleId="285">
    <w:name w:val="List Table 2"/>
    <w:qFormat/>
    <w:uiPriority w:val="99"/>
    <w:tblPr>
      <w:tblCellMar>
        <w:top w:w="0" w:type="dxa"/>
        <w:left w:w="0" w:type="dxa"/>
        <w:bottom w:w="0" w:type="dxa"/>
        <w:right w:w="0" w:type="dxa"/>
      </w:tblCellMar>
    </w:tblPr>
  </w:style>
  <w:style w:type="table" w:customStyle="1" w:styleId="286">
    <w:name w:val="List Table 2 - Accent 1"/>
    <w:qFormat/>
    <w:uiPriority w:val="99"/>
    <w:tblPr>
      <w:tblCellMar>
        <w:top w:w="0" w:type="dxa"/>
        <w:left w:w="0" w:type="dxa"/>
        <w:bottom w:w="0" w:type="dxa"/>
        <w:right w:w="0" w:type="dxa"/>
      </w:tblCellMar>
    </w:tblPr>
  </w:style>
  <w:style w:type="table" w:customStyle="1" w:styleId="287">
    <w:name w:val="List Table 2 - Accent 2"/>
    <w:qFormat/>
    <w:uiPriority w:val="99"/>
    <w:tblPr>
      <w:tblCellMar>
        <w:top w:w="0" w:type="dxa"/>
        <w:left w:w="0" w:type="dxa"/>
        <w:bottom w:w="0" w:type="dxa"/>
        <w:right w:w="0" w:type="dxa"/>
      </w:tblCellMar>
    </w:tblPr>
  </w:style>
  <w:style w:type="table" w:customStyle="1" w:styleId="288">
    <w:name w:val="List Table 2 - Accent 3"/>
    <w:qFormat/>
    <w:uiPriority w:val="99"/>
    <w:tblPr>
      <w:tblCellMar>
        <w:top w:w="0" w:type="dxa"/>
        <w:left w:w="0" w:type="dxa"/>
        <w:bottom w:w="0" w:type="dxa"/>
        <w:right w:w="0" w:type="dxa"/>
      </w:tblCellMar>
    </w:tblPr>
  </w:style>
  <w:style w:type="table" w:customStyle="1" w:styleId="289">
    <w:name w:val="List Table 2 - Accent 4"/>
    <w:qFormat/>
    <w:uiPriority w:val="99"/>
    <w:tblPr>
      <w:tblCellMar>
        <w:top w:w="0" w:type="dxa"/>
        <w:left w:w="0" w:type="dxa"/>
        <w:bottom w:w="0" w:type="dxa"/>
        <w:right w:w="0" w:type="dxa"/>
      </w:tblCellMar>
    </w:tblPr>
  </w:style>
  <w:style w:type="table" w:customStyle="1" w:styleId="290">
    <w:name w:val="List Table 2 - Accent 5"/>
    <w:qFormat/>
    <w:uiPriority w:val="99"/>
    <w:tblPr>
      <w:tblCellMar>
        <w:top w:w="0" w:type="dxa"/>
        <w:left w:w="0" w:type="dxa"/>
        <w:bottom w:w="0" w:type="dxa"/>
        <w:right w:w="0" w:type="dxa"/>
      </w:tblCellMar>
    </w:tblPr>
  </w:style>
  <w:style w:type="table" w:customStyle="1" w:styleId="291">
    <w:name w:val="List Table 2 - Accent 6"/>
    <w:qFormat/>
    <w:uiPriority w:val="99"/>
    <w:tblPr>
      <w:tblCellMar>
        <w:top w:w="0" w:type="dxa"/>
        <w:left w:w="0" w:type="dxa"/>
        <w:bottom w:w="0" w:type="dxa"/>
        <w:right w:w="0" w:type="dxa"/>
      </w:tblCellMar>
    </w:tblPr>
  </w:style>
  <w:style w:type="table" w:customStyle="1" w:styleId="292">
    <w:name w:val="List Table 3"/>
    <w:qFormat/>
    <w:uiPriority w:val="99"/>
    <w:tblPr>
      <w:tblCellMar>
        <w:top w:w="0" w:type="dxa"/>
        <w:left w:w="0" w:type="dxa"/>
        <w:bottom w:w="0" w:type="dxa"/>
        <w:right w:w="0" w:type="dxa"/>
      </w:tblCellMar>
    </w:tblPr>
  </w:style>
  <w:style w:type="table" w:customStyle="1" w:styleId="293">
    <w:name w:val="List Table 3 - Accent 1"/>
    <w:qFormat/>
    <w:uiPriority w:val="99"/>
    <w:tblPr>
      <w:tblCellMar>
        <w:top w:w="0" w:type="dxa"/>
        <w:left w:w="0" w:type="dxa"/>
        <w:bottom w:w="0" w:type="dxa"/>
        <w:right w:w="0" w:type="dxa"/>
      </w:tblCellMar>
    </w:tblPr>
  </w:style>
  <w:style w:type="table" w:customStyle="1" w:styleId="294">
    <w:name w:val="List Table 3 - Accent 2"/>
    <w:qFormat/>
    <w:uiPriority w:val="99"/>
    <w:tblPr>
      <w:tblCellMar>
        <w:top w:w="0" w:type="dxa"/>
        <w:left w:w="0" w:type="dxa"/>
        <w:bottom w:w="0" w:type="dxa"/>
        <w:right w:w="0" w:type="dxa"/>
      </w:tblCellMar>
    </w:tblPr>
  </w:style>
  <w:style w:type="table" w:customStyle="1" w:styleId="295">
    <w:name w:val="List Table 3 - Accent 3"/>
    <w:qFormat/>
    <w:uiPriority w:val="99"/>
    <w:tblPr>
      <w:tblCellMar>
        <w:top w:w="0" w:type="dxa"/>
        <w:left w:w="0" w:type="dxa"/>
        <w:bottom w:w="0" w:type="dxa"/>
        <w:right w:w="0" w:type="dxa"/>
      </w:tblCellMar>
    </w:tblPr>
  </w:style>
  <w:style w:type="table" w:customStyle="1" w:styleId="296">
    <w:name w:val="List Table 3 - Accent 4"/>
    <w:qFormat/>
    <w:uiPriority w:val="99"/>
    <w:tblPr>
      <w:tblCellMar>
        <w:top w:w="0" w:type="dxa"/>
        <w:left w:w="0" w:type="dxa"/>
        <w:bottom w:w="0" w:type="dxa"/>
        <w:right w:w="0" w:type="dxa"/>
      </w:tblCellMar>
    </w:tblPr>
  </w:style>
  <w:style w:type="table" w:customStyle="1" w:styleId="297">
    <w:name w:val="List Table 3 - Accent 5"/>
    <w:qFormat/>
    <w:uiPriority w:val="99"/>
    <w:tblPr>
      <w:tblCellMar>
        <w:top w:w="0" w:type="dxa"/>
        <w:left w:w="0" w:type="dxa"/>
        <w:bottom w:w="0" w:type="dxa"/>
        <w:right w:w="0" w:type="dxa"/>
      </w:tblCellMar>
    </w:tblPr>
  </w:style>
  <w:style w:type="table" w:customStyle="1" w:styleId="298">
    <w:name w:val="List Table 3 - Accent 6"/>
    <w:qFormat/>
    <w:uiPriority w:val="99"/>
    <w:tblPr>
      <w:tblCellMar>
        <w:top w:w="0" w:type="dxa"/>
        <w:left w:w="0" w:type="dxa"/>
        <w:bottom w:w="0" w:type="dxa"/>
        <w:right w:w="0" w:type="dxa"/>
      </w:tblCellMar>
    </w:tblPr>
  </w:style>
  <w:style w:type="table" w:customStyle="1" w:styleId="299">
    <w:name w:val="List Table 4"/>
    <w:qFormat/>
    <w:uiPriority w:val="99"/>
    <w:tblPr>
      <w:tblCellMar>
        <w:top w:w="0" w:type="dxa"/>
        <w:left w:w="0" w:type="dxa"/>
        <w:bottom w:w="0" w:type="dxa"/>
        <w:right w:w="0" w:type="dxa"/>
      </w:tblCellMar>
    </w:tblPr>
  </w:style>
  <w:style w:type="table" w:customStyle="1" w:styleId="300">
    <w:name w:val="List Table 4 - Accent 1"/>
    <w:qFormat/>
    <w:uiPriority w:val="99"/>
    <w:tblPr>
      <w:tblCellMar>
        <w:top w:w="0" w:type="dxa"/>
        <w:left w:w="0" w:type="dxa"/>
        <w:bottom w:w="0" w:type="dxa"/>
        <w:right w:w="0" w:type="dxa"/>
      </w:tblCellMar>
    </w:tblPr>
  </w:style>
  <w:style w:type="table" w:customStyle="1" w:styleId="301">
    <w:name w:val="List Table 4 - Accent 2"/>
    <w:qFormat/>
    <w:uiPriority w:val="99"/>
    <w:tblPr>
      <w:tblCellMar>
        <w:top w:w="0" w:type="dxa"/>
        <w:left w:w="0" w:type="dxa"/>
        <w:bottom w:w="0" w:type="dxa"/>
        <w:right w:w="0" w:type="dxa"/>
      </w:tblCellMar>
    </w:tblPr>
  </w:style>
  <w:style w:type="table" w:customStyle="1" w:styleId="302">
    <w:name w:val="List Table 4 - Accent 3"/>
    <w:qFormat/>
    <w:uiPriority w:val="99"/>
    <w:tblPr>
      <w:tblCellMar>
        <w:top w:w="0" w:type="dxa"/>
        <w:left w:w="0" w:type="dxa"/>
        <w:bottom w:w="0" w:type="dxa"/>
        <w:right w:w="0" w:type="dxa"/>
      </w:tblCellMar>
    </w:tblPr>
  </w:style>
  <w:style w:type="table" w:customStyle="1" w:styleId="303">
    <w:name w:val="List Table 4 - Accent 4"/>
    <w:qFormat/>
    <w:uiPriority w:val="99"/>
    <w:tblPr>
      <w:tblCellMar>
        <w:top w:w="0" w:type="dxa"/>
        <w:left w:w="0" w:type="dxa"/>
        <w:bottom w:w="0" w:type="dxa"/>
        <w:right w:w="0" w:type="dxa"/>
      </w:tblCellMar>
    </w:tblPr>
  </w:style>
  <w:style w:type="table" w:customStyle="1" w:styleId="304">
    <w:name w:val="List Table 4 - Accent 5"/>
    <w:qFormat/>
    <w:uiPriority w:val="99"/>
    <w:tblPr>
      <w:tblCellMar>
        <w:top w:w="0" w:type="dxa"/>
        <w:left w:w="0" w:type="dxa"/>
        <w:bottom w:w="0" w:type="dxa"/>
        <w:right w:w="0" w:type="dxa"/>
      </w:tblCellMar>
    </w:tblPr>
  </w:style>
  <w:style w:type="table" w:customStyle="1" w:styleId="305">
    <w:name w:val="List Table 4 - Accent 6"/>
    <w:qFormat/>
    <w:uiPriority w:val="99"/>
    <w:tblPr>
      <w:tblCellMar>
        <w:top w:w="0" w:type="dxa"/>
        <w:left w:w="0" w:type="dxa"/>
        <w:bottom w:w="0" w:type="dxa"/>
        <w:right w:w="0" w:type="dxa"/>
      </w:tblCellMar>
    </w:tblPr>
  </w:style>
  <w:style w:type="table" w:customStyle="1" w:styleId="306">
    <w:name w:val="List Table 5 Dark"/>
    <w:qFormat/>
    <w:uiPriority w:val="99"/>
    <w:tblPr>
      <w:tblCellMar>
        <w:top w:w="0" w:type="dxa"/>
        <w:left w:w="0" w:type="dxa"/>
        <w:bottom w:w="0" w:type="dxa"/>
        <w:right w:w="0" w:type="dxa"/>
      </w:tblCellMar>
    </w:tblPr>
  </w:style>
  <w:style w:type="table" w:customStyle="1" w:styleId="307">
    <w:name w:val="List Table 5 Dark - Accent 1"/>
    <w:qFormat/>
    <w:uiPriority w:val="99"/>
    <w:tblPr>
      <w:tblCellMar>
        <w:top w:w="0" w:type="dxa"/>
        <w:left w:w="0" w:type="dxa"/>
        <w:bottom w:w="0" w:type="dxa"/>
        <w:right w:w="0" w:type="dxa"/>
      </w:tblCellMar>
    </w:tblPr>
  </w:style>
  <w:style w:type="table" w:customStyle="1" w:styleId="308">
    <w:name w:val="List Table 5 Dark - Accent 2"/>
    <w:qFormat/>
    <w:uiPriority w:val="99"/>
    <w:tblPr>
      <w:tblCellMar>
        <w:top w:w="0" w:type="dxa"/>
        <w:left w:w="0" w:type="dxa"/>
        <w:bottom w:w="0" w:type="dxa"/>
        <w:right w:w="0" w:type="dxa"/>
      </w:tblCellMar>
    </w:tblPr>
  </w:style>
  <w:style w:type="table" w:customStyle="1" w:styleId="309">
    <w:name w:val="List Table 5 Dark - Accent 3"/>
    <w:qFormat/>
    <w:uiPriority w:val="99"/>
    <w:tblPr>
      <w:tblCellMar>
        <w:top w:w="0" w:type="dxa"/>
        <w:left w:w="0" w:type="dxa"/>
        <w:bottom w:w="0" w:type="dxa"/>
        <w:right w:w="0" w:type="dxa"/>
      </w:tblCellMar>
    </w:tblPr>
  </w:style>
  <w:style w:type="table" w:customStyle="1" w:styleId="310">
    <w:name w:val="List Table 5 Dark - Accent 4"/>
    <w:qFormat/>
    <w:uiPriority w:val="99"/>
    <w:tblPr>
      <w:tblCellMar>
        <w:top w:w="0" w:type="dxa"/>
        <w:left w:w="0" w:type="dxa"/>
        <w:bottom w:w="0" w:type="dxa"/>
        <w:right w:w="0" w:type="dxa"/>
      </w:tblCellMar>
    </w:tblPr>
  </w:style>
  <w:style w:type="table" w:customStyle="1" w:styleId="311">
    <w:name w:val="List Table 5 Dark - Accent 5"/>
    <w:qFormat/>
    <w:uiPriority w:val="99"/>
    <w:tblPr>
      <w:tblCellMar>
        <w:top w:w="0" w:type="dxa"/>
        <w:left w:w="0" w:type="dxa"/>
        <w:bottom w:w="0" w:type="dxa"/>
        <w:right w:w="0" w:type="dxa"/>
      </w:tblCellMar>
    </w:tblPr>
  </w:style>
  <w:style w:type="table" w:customStyle="1" w:styleId="312">
    <w:name w:val="List Table 5 Dark - Accent 6"/>
    <w:qFormat/>
    <w:uiPriority w:val="99"/>
    <w:tblPr>
      <w:tblCellMar>
        <w:top w:w="0" w:type="dxa"/>
        <w:left w:w="0" w:type="dxa"/>
        <w:bottom w:w="0" w:type="dxa"/>
        <w:right w:w="0" w:type="dxa"/>
      </w:tblCellMar>
    </w:tblPr>
  </w:style>
  <w:style w:type="table" w:customStyle="1" w:styleId="313">
    <w:name w:val="List Table 6 Colorful"/>
    <w:qFormat/>
    <w:uiPriority w:val="99"/>
    <w:tblPr>
      <w:tblCellMar>
        <w:top w:w="0" w:type="dxa"/>
        <w:left w:w="0" w:type="dxa"/>
        <w:bottom w:w="0" w:type="dxa"/>
        <w:right w:w="0" w:type="dxa"/>
      </w:tblCellMar>
    </w:tblPr>
  </w:style>
  <w:style w:type="table" w:customStyle="1" w:styleId="314">
    <w:name w:val="List Table 6 Colorful - Accent 1"/>
    <w:qFormat/>
    <w:uiPriority w:val="99"/>
    <w:tblPr>
      <w:tblCellMar>
        <w:top w:w="0" w:type="dxa"/>
        <w:left w:w="0" w:type="dxa"/>
        <w:bottom w:w="0" w:type="dxa"/>
        <w:right w:w="0" w:type="dxa"/>
      </w:tblCellMar>
    </w:tblPr>
  </w:style>
  <w:style w:type="table" w:customStyle="1" w:styleId="315">
    <w:name w:val="List Table 6 Colorful - Accent 2"/>
    <w:qFormat/>
    <w:uiPriority w:val="99"/>
    <w:tblPr>
      <w:tblCellMar>
        <w:top w:w="0" w:type="dxa"/>
        <w:left w:w="0" w:type="dxa"/>
        <w:bottom w:w="0" w:type="dxa"/>
        <w:right w:w="0" w:type="dxa"/>
      </w:tblCellMar>
    </w:tblPr>
  </w:style>
  <w:style w:type="table" w:customStyle="1" w:styleId="316">
    <w:name w:val="List Table 6 Colorful - Accent 3"/>
    <w:qFormat/>
    <w:uiPriority w:val="99"/>
    <w:tblPr>
      <w:tblCellMar>
        <w:top w:w="0" w:type="dxa"/>
        <w:left w:w="0" w:type="dxa"/>
        <w:bottom w:w="0" w:type="dxa"/>
        <w:right w:w="0" w:type="dxa"/>
      </w:tblCellMar>
    </w:tblPr>
  </w:style>
  <w:style w:type="table" w:customStyle="1" w:styleId="317">
    <w:name w:val="List Table 6 Colorful - Accent 4"/>
    <w:qFormat/>
    <w:uiPriority w:val="99"/>
    <w:tblPr>
      <w:tblCellMar>
        <w:top w:w="0" w:type="dxa"/>
        <w:left w:w="0" w:type="dxa"/>
        <w:bottom w:w="0" w:type="dxa"/>
        <w:right w:w="0" w:type="dxa"/>
      </w:tblCellMar>
    </w:tblPr>
  </w:style>
  <w:style w:type="table" w:customStyle="1" w:styleId="318">
    <w:name w:val="List Table 6 Colorful - Accent 5"/>
    <w:qFormat/>
    <w:uiPriority w:val="99"/>
    <w:tblPr>
      <w:tblCellMar>
        <w:top w:w="0" w:type="dxa"/>
        <w:left w:w="0" w:type="dxa"/>
        <w:bottom w:w="0" w:type="dxa"/>
        <w:right w:w="0" w:type="dxa"/>
      </w:tblCellMar>
    </w:tblPr>
  </w:style>
  <w:style w:type="table" w:customStyle="1" w:styleId="319">
    <w:name w:val="List Table 6 Colorful - Accent 6"/>
    <w:qFormat/>
    <w:uiPriority w:val="99"/>
    <w:tblPr>
      <w:tblCellMar>
        <w:top w:w="0" w:type="dxa"/>
        <w:left w:w="0" w:type="dxa"/>
        <w:bottom w:w="0" w:type="dxa"/>
        <w:right w:w="0" w:type="dxa"/>
      </w:tblCellMar>
    </w:tblPr>
  </w:style>
  <w:style w:type="table" w:customStyle="1" w:styleId="320">
    <w:name w:val="List Table 7 Colorful"/>
    <w:qFormat/>
    <w:uiPriority w:val="99"/>
    <w:tblPr>
      <w:tblCellMar>
        <w:top w:w="0" w:type="dxa"/>
        <w:left w:w="0" w:type="dxa"/>
        <w:bottom w:w="0" w:type="dxa"/>
        <w:right w:w="0" w:type="dxa"/>
      </w:tblCellMar>
    </w:tblPr>
  </w:style>
  <w:style w:type="table" w:customStyle="1" w:styleId="321">
    <w:name w:val="List Table 7 Colorful - Accent 1"/>
    <w:qFormat/>
    <w:uiPriority w:val="99"/>
    <w:tblPr>
      <w:tblCellMar>
        <w:top w:w="0" w:type="dxa"/>
        <w:left w:w="0" w:type="dxa"/>
        <w:bottom w:w="0" w:type="dxa"/>
        <w:right w:w="0" w:type="dxa"/>
      </w:tblCellMar>
    </w:tblPr>
  </w:style>
  <w:style w:type="table" w:customStyle="1" w:styleId="322">
    <w:name w:val="List Table 7 Colorful - Accent 2"/>
    <w:qFormat/>
    <w:uiPriority w:val="99"/>
    <w:tblPr>
      <w:tblCellMar>
        <w:top w:w="0" w:type="dxa"/>
        <w:left w:w="0" w:type="dxa"/>
        <w:bottom w:w="0" w:type="dxa"/>
        <w:right w:w="0" w:type="dxa"/>
      </w:tblCellMar>
    </w:tblPr>
  </w:style>
  <w:style w:type="table" w:customStyle="1" w:styleId="323">
    <w:name w:val="List Table 7 Colorful - Accent 3"/>
    <w:qFormat/>
    <w:uiPriority w:val="99"/>
    <w:tblPr>
      <w:tblCellMar>
        <w:top w:w="0" w:type="dxa"/>
        <w:left w:w="0" w:type="dxa"/>
        <w:bottom w:w="0" w:type="dxa"/>
        <w:right w:w="0" w:type="dxa"/>
      </w:tblCellMar>
    </w:tblPr>
  </w:style>
  <w:style w:type="table" w:customStyle="1" w:styleId="324">
    <w:name w:val="List Table 7 Colorful - Accent 4"/>
    <w:qFormat/>
    <w:uiPriority w:val="99"/>
    <w:tblPr>
      <w:tblCellMar>
        <w:top w:w="0" w:type="dxa"/>
        <w:left w:w="0" w:type="dxa"/>
        <w:bottom w:w="0" w:type="dxa"/>
        <w:right w:w="0" w:type="dxa"/>
      </w:tblCellMar>
    </w:tblPr>
  </w:style>
  <w:style w:type="table" w:customStyle="1" w:styleId="325">
    <w:name w:val="List Table 7 Colorful - Accent 5"/>
    <w:qFormat/>
    <w:uiPriority w:val="99"/>
    <w:tblPr>
      <w:tblCellMar>
        <w:top w:w="0" w:type="dxa"/>
        <w:left w:w="0" w:type="dxa"/>
        <w:bottom w:w="0" w:type="dxa"/>
        <w:right w:w="0" w:type="dxa"/>
      </w:tblCellMar>
    </w:tblPr>
  </w:style>
  <w:style w:type="table" w:customStyle="1" w:styleId="326">
    <w:name w:val="List Table 7 Colorful - Accent 6"/>
    <w:qFormat/>
    <w:uiPriority w:val="99"/>
    <w:tblPr>
      <w:tblCellMar>
        <w:top w:w="0" w:type="dxa"/>
        <w:left w:w="0" w:type="dxa"/>
        <w:bottom w:w="0" w:type="dxa"/>
        <w:right w:w="0" w:type="dxa"/>
      </w:tblCellMar>
    </w:tblPr>
  </w:style>
  <w:style w:type="table" w:customStyle="1" w:styleId="327">
    <w:name w:val="Lined - Accent"/>
    <w:qFormat/>
    <w:uiPriority w:val="99"/>
    <w:rPr>
      <w:color w:val="404040"/>
    </w:rPr>
    <w:tblPr>
      <w:tblCellMar>
        <w:top w:w="0" w:type="dxa"/>
        <w:left w:w="0" w:type="dxa"/>
        <w:bottom w:w="0" w:type="dxa"/>
        <w:right w:w="0" w:type="dxa"/>
      </w:tblCellMar>
    </w:tblPr>
  </w:style>
  <w:style w:type="table" w:customStyle="1" w:styleId="328">
    <w:name w:val="Lined - Accent 1"/>
    <w:qFormat/>
    <w:uiPriority w:val="99"/>
    <w:rPr>
      <w:color w:val="404040"/>
    </w:rPr>
    <w:tblPr>
      <w:tblCellMar>
        <w:top w:w="0" w:type="dxa"/>
        <w:left w:w="0" w:type="dxa"/>
        <w:bottom w:w="0" w:type="dxa"/>
        <w:right w:w="0" w:type="dxa"/>
      </w:tblCellMar>
    </w:tblPr>
  </w:style>
  <w:style w:type="table" w:customStyle="1" w:styleId="329">
    <w:name w:val="Lined - Accent 2"/>
    <w:qFormat/>
    <w:uiPriority w:val="99"/>
    <w:rPr>
      <w:color w:val="404040"/>
    </w:rPr>
    <w:tblPr>
      <w:tblCellMar>
        <w:top w:w="0" w:type="dxa"/>
        <w:left w:w="0" w:type="dxa"/>
        <w:bottom w:w="0" w:type="dxa"/>
        <w:right w:w="0" w:type="dxa"/>
      </w:tblCellMar>
    </w:tblPr>
  </w:style>
  <w:style w:type="table" w:customStyle="1" w:styleId="330">
    <w:name w:val="Lined - Accent 3"/>
    <w:qFormat/>
    <w:uiPriority w:val="99"/>
    <w:rPr>
      <w:color w:val="404040"/>
    </w:rPr>
    <w:tblPr>
      <w:tblCellMar>
        <w:top w:w="0" w:type="dxa"/>
        <w:left w:w="0" w:type="dxa"/>
        <w:bottom w:w="0" w:type="dxa"/>
        <w:right w:w="0" w:type="dxa"/>
      </w:tblCellMar>
    </w:tblPr>
  </w:style>
  <w:style w:type="table" w:customStyle="1" w:styleId="331">
    <w:name w:val="Lined - Accent 4"/>
    <w:qFormat/>
    <w:uiPriority w:val="99"/>
    <w:rPr>
      <w:color w:val="404040"/>
    </w:rPr>
    <w:tblPr>
      <w:tblCellMar>
        <w:top w:w="0" w:type="dxa"/>
        <w:left w:w="0" w:type="dxa"/>
        <w:bottom w:w="0" w:type="dxa"/>
        <w:right w:w="0" w:type="dxa"/>
      </w:tblCellMar>
    </w:tblPr>
  </w:style>
  <w:style w:type="table" w:customStyle="1" w:styleId="332">
    <w:name w:val="Lined - Accent 5"/>
    <w:qFormat/>
    <w:uiPriority w:val="99"/>
    <w:rPr>
      <w:color w:val="404040"/>
    </w:rPr>
    <w:tblPr>
      <w:tblCellMar>
        <w:top w:w="0" w:type="dxa"/>
        <w:left w:w="0" w:type="dxa"/>
        <w:bottom w:w="0" w:type="dxa"/>
        <w:right w:w="0" w:type="dxa"/>
      </w:tblCellMar>
    </w:tblPr>
  </w:style>
  <w:style w:type="table" w:customStyle="1" w:styleId="333">
    <w:name w:val="Lined - Accent 6"/>
    <w:qFormat/>
    <w:uiPriority w:val="99"/>
    <w:rPr>
      <w:color w:val="404040"/>
    </w:rPr>
    <w:tblPr>
      <w:tblCellMar>
        <w:top w:w="0" w:type="dxa"/>
        <w:left w:w="0" w:type="dxa"/>
        <w:bottom w:w="0" w:type="dxa"/>
        <w:right w:w="0" w:type="dxa"/>
      </w:tblCellMar>
    </w:tblPr>
  </w:style>
  <w:style w:type="table" w:customStyle="1" w:styleId="334">
    <w:name w:val="Bordered &amp; Lined - Accent"/>
    <w:qFormat/>
    <w:uiPriority w:val="99"/>
    <w:rPr>
      <w:color w:val="404040"/>
    </w:rPr>
    <w:tblPr>
      <w:tblCellMar>
        <w:top w:w="0" w:type="dxa"/>
        <w:left w:w="0" w:type="dxa"/>
        <w:bottom w:w="0" w:type="dxa"/>
        <w:right w:w="0" w:type="dxa"/>
      </w:tblCellMar>
    </w:tblPr>
  </w:style>
  <w:style w:type="table" w:customStyle="1" w:styleId="335">
    <w:name w:val="Bordered &amp; Lined - Accent 1"/>
    <w:qFormat/>
    <w:uiPriority w:val="99"/>
    <w:rPr>
      <w:color w:val="404040"/>
    </w:rPr>
    <w:tblPr>
      <w:tblCellMar>
        <w:top w:w="0" w:type="dxa"/>
        <w:left w:w="0" w:type="dxa"/>
        <w:bottom w:w="0" w:type="dxa"/>
        <w:right w:w="0" w:type="dxa"/>
      </w:tblCellMar>
    </w:tblPr>
  </w:style>
  <w:style w:type="table" w:customStyle="1" w:styleId="336">
    <w:name w:val="Bordered &amp; Lined - Accent 2"/>
    <w:qFormat/>
    <w:uiPriority w:val="99"/>
    <w:rPr>
      <w:color w:val="404040"/>
    </w:rPr>
    <w:tblPr>
      <w:tblCellMar>
        <w:top w:w="0" w:type="dxa"/>
        <w:left w:w="0" w:type="dxa"/>
        <w:bottom w:w="0" w:type="dxa"/>
        <w:right w:w="0" w:type="dxa"/>
      </w:tblCellMar>
    </w:tblPr>
  </w:style>
  <w:style w:type="table" w:customStyle="1" w:styleId="337">
    <w:name w:val="Bordered &amp; Lined - Accent 3"/>
    <w:qFormat/>
    <w:uiPriority w:val="99"/>
    <w:rPr>
      <w:color w:val="404040"/>
    </w:rPr>
    <w:tblPr>
      <w:tblCellMar>
        <w:top w:w="0" w:type="dxa"/>
        <w:left w:w="0" w:type="dxa"/>
        <w:bottom w:w="0" w:type="dxa"/>
        <w:right w:w="0" w:type="dxa"/>
      </w:tblCellMar>
    </w:tblPr>
  </w:style>
  <w:style w:type="table" w:customStyle="1" w:styleId="338">
    <w:name w:val="Bordered &amp; Lined - Accent 4"/>
    <w:qFormat/>
    <w:uiPriority w:val="99"/>
    <w:rPr>
      <w:color w:val="404040"/>
    </w:rPr>
    <w:tblPr>
      <w:tblCellMar>
        <w:top w:w="0" w:type="dxa"/>
        <w:left w:w="0" w:type="dxa"/>
        <w:bottom w:w="0" w:type="dxa"/>
        <w:right w:w="0" w:type="dxa"/>
      </w:tblCellMar>
    </w:tblPr>
  </w:style>
  <w:style w:type="table" w:customStyle="1" w:styleId="339">
    <w:name w:val="Bordered &amp; Lined - Accent 5"/>
    <w:qFormat/>
    <w:uiPriority w:val="99"/>
    <w:rPr>
      <w:color w:val="404040"/>
    </w:rPr>
    <w:tblPr>
      <w:tblCellMar>
        <w:top w:w="0" w:type="dxa"/>
        <w:left w:w="0" w:type="dxa"/>
        <w:bottom w:w="0" w:type="dxa"/>
        <w:right w:w="0" w:type="dxa"/>
      </w:tblCellMar>
    </w:tblPr>
  </w:style>
  <w:style w:type="table" w:customStyle="1" w:styleId="340">
    <w:name w:val="Bordered &amp; Lined - Accent 6"/>
    <w:qFormat/>
    <w:uiPriority w:val="99"/>
    <w:rPr>
      <w:color w:val="404040"/>
    </w:rPr>
    <w:tblPr>
      <w:tblCellMar>
        <w:top w:w="0" w:type="dxa"/>
        <w:left w:w="0" w:type="dxa"/>
        <w:bottom w:w="0" w:type="dxa"/>
        <w:right w:w="0" w:type="dxa"/>
      </w:tblCellMar>
    </w:tblPr>
  </w:style>
  <w:style w:type="table" w:customStyle="1" w:styleId="341">
    <w:name w:val="Bordered"/>
    <w:qFormat/>
    <w:uiPriority w:val="99"/>
    <w:tblPr>
      <w:tblCellMar>
        <w:top w:w="0" w:type="dxa"/>
        <w:left w:w="0" w:type="dxa"/>
        <w:bottom w:w="0" w:type="dxa"/>
        <w:right w:w="0" w:type="dxa"/>
      </w:tblCellMar>
    </w:tblPr>
  </w:style>
  <w:style w:type="table" w:customStyle="1" w:styleId="342">
    <w:name w:val="Bordered - Accent 1"/>
    <w:qFormat/>
    <w:uiPriority w:val="99"/>
    <w:tblPr>
      <w:tblCellMar>
        <w:top w:w="0" w:type="dxa"/>
        <w:left w:w="0" w:type="dxa"/>
        <w:bottom w:w="0" w:type="dxa"/>
        <w:right w:w="0" w:type="dxa"/>
      </w:tblCellMar>
    </w:tblPr>
  </w:style>
  <w:style w:type="table" w:customStyle="1" w:styleId="343">
    <w:name w:val="Bordered - Accent 2"/>
    <w:qFormat/>
    <w:uiPriority w:val="99"/>
    <w:tblPr>
      <w:tblCellMar>
        <w:top w:w="0" w:type="dxa"/>
        <w:left w:w="0" w:type="dxa"/>
        <w:bottom w:w="0" w:type="dxa"/>
        <w:right w:w="0" w:type="dxa"/>
      </w:tblCellMar>
    </w:tblPr>
  </w:style>
  <w:style w:type="table" w:customStyle="1" w:styleId="344">
    <w:name w:val="Bordered - Accent 3"/>
    <w:qFormat/>
    <w:uiPriority w:val="99"/>
    <w:tblPr>
      <w:tblCellMar>
        <w:top w:w="0" w:type="dxa"/>
        <w:left w:w="0" w:type="dxa"/>
        <w:bottom w:w="0" w:type="dxa"/>
        <w:right w:w="0" w:type="dxa"/>
      </w:tblCellMar>
    </w:tblPr>
  </w:style>
  <w:style w:type="table" w:customStyle="1" w:styleId="345">
    <w:name w:val="Bordered - Accent 4"/>
    <w:qFormat/>
    <w:uiPriority w:val="99"/>
    <w:tblPr>
      <w:tblCellMar>
        <w:top w:w="0" w:type="dxa"/>
        <w:left w:w="0" w:type="dxa"/>
        <w:bottom w:w="0" w:type="dxa"/>
        <w:right w:w="0" w:type="dxa"/>
      </w:tblCellMar>
    </w:tblPr>
  </w:style>
  <w:style w:type="table" w:customStyle="1" w:styleId="346">
    <w:name w:val="Bordered - Accent 5"/>
    <w:qFormat/>
    <w:uiPriority w:val="99"/>
    <w:tblPr>
      <w:tblCellMar>
        <w:top w:w="0" w:type="dxa"/>
        <w:left w:w="0" w:type="dxa"/>
        <w:bottom w:w="0" w:type="dxa"/>
        <w:right w:w="0" w:type="dxa"/>
      </w:tblCellMar>
    </w:tblPr>
  </w:style>
  <w:style w:type="table" w:customStyle="1" w:styleId="347">
    <w:name w:val="Bordered - Accent 6"/>
    <w:qFormat/>
    <w:uiPriority w:val="99"/>
    <w:tblPr>
      <w:tblCellMar>
        <w:top w:w="0" w:type="dxa"/>
        <w:left w:w="0" w:type="dxa"/>
        <w:bottom w:w="0" w:type="dxa"/>
        <w:right w:w="0" w:type="dxa"/>
      </w:tblCellMar>
    </w:tblPr>
  </w:style>
  <w:style w:type="paragraph" w:customStyle="1" w:styleId="348">
    <w:name w:val="TOC 标题11"/>
    <w:unhideWhenUsed/>
    <w:qFormat/>
    <w:uiPriority w:val="39"/>
    <w:rPr>
      <w:rFonts w:hint="default" w:ascii="Times New Roman" w:hAnsi="Times New Roman" w:eastAsia="宋体" w:cs="Times New Roman"/>
      <w:lang w:val="en-US" w:eastAsia="zh-CN" w:bidi="ar-SA"/>
    </w:rPr>
  </w:style>
  <w:style w:type="character" w:customStyle="1" w:styleId="349">
    <w:name w:val="批注框文本 Char1"/>
    <w:semiHidden/>
    <w:qFormat/>
    <w:uiPriority w:val="99"/>
    <w:rPr>
      <w:rFonts w:ascii="Times New Roman" w:hAnsi="Times New Roman" w:eastAsia="宋体" w:cs="Times New Roman"/>
      <w:sz w:val="18"/>
      <w:szCs w:val="18"/>
    </w:rPr>
  </w:style>
  <w:style w:type="character" w:customStyle="1" w:styleId="350">
    <w:name w:val="正文文本 2 Char1"/>
    <w:semiHidden/>
    <w:qFormat/>
    <w:uiPriority w:val="99"/>
    <w:rPr>
      <w:rFonts w:ascii="Times New Roman" w:hAnsi="Times New Roman" w:eastAsia="宋体" w:cs="Times New Roman"/>
      <w:szCs w:val="20"/>
    </w:rPr>
  </w:style>
  <w:style w:type="character" w:customStyle="1" w:styleId="351">
    <w:name w:val="文档结构图 Char1"/>
    <w:semiHidden/>
    <w:qFormat/>
    <w:uiPriority w:val="99"/>
    <w:rPr>
      <w:rFonts w:ascii="宋体" w:hAnsi="Times New Roman" w:eastAsia="宋体" w:cs="Times New Roman"/>
      <w:sz w:val="18"/>
      <w:szCs w:val="18"/>
    </w:rPr>
  </w:style>
  <w:style w:type="character" w:customStyle="1" w:styleId="352">
    <w:name w:val="正文文本缩进 Char1"/>
    <w:semiHidden/>
    <w:qFormat/>
    <w:uiPriority w:val="99"/>
    <w:rPr>
      <w:rFonts w:ascii="Times New Roman" w:hAnsi="Times New Roman" w:eastAsia="宋体" w:cs="Times New Roman"/>
      <w:szCs w:val="20"/>
    </w:rPr>
  </w:style>
  <w:style w:type="character" w:customStyle="1" w:styleId="353">
    <w:name w:val="15"/>
    <w:qFormat/>
    <w:uiPriority w:val="0"/>
    <w:rPr>
      <w:rFonts w:ascii="Times New Roman" w:hAnsi="Times New Roman" w:cs="Times New Roman"/>
    </w:rPr>
  </w:style>
  <w:style w:type="character" w:customStyle="1" w:styleId="354">
    <w:name w:val="正文文本缩进 2 Char1"/>
    <w:semiHidden/>
    <w:qFormat/>
    <w:uiPriority w:val="99"/>
    <w:rPr>
      <w:rFonts w:ascii="Times New Roman" w:hAnsi="Times New Roman" w:eastAsia="宋体" w:cs="Times New Roman"/>
      <w:szCs w:val="20"/>
    </w:rPr>
  </w:style>
  <w:style w:type="character" w:customStyle="1" w:styleId="355">
    <w:name w:val="日期 Char1"/>
    <w:semiHidden/>
    <w:qFormat/>
    <w:uiPriority w:val="99"/>
    <w:rPr>
      <w:rFonts w:ascii="Times New Roman" w:hAnsi="Times New Roman" w:eastAsia="宋体" w:cs="Times New Roman"/>
      <w:szCs w:val="20"/>
    </w:rPr>
  </w:style>
  <w:style w:type="character" w:customStyle="1" w:styleId="356">
    <w:name w:val="正文文本缩进 3 Char1"/>
    <w:semiHidden/>
    <w:qFormat/>
    <w:uiPriority w:val="99"/>
    <w:rPr>
      <w:rFonts w:ascii="Times New Roman" w:hAnsi="Times New Roman" w:eastAsia="宋体" w:cs="Times New Roman"/>
      <w:sz w:val="16"/>
      <w:szCs w:val="16"/>
    </w:rPr>
  </w:style>
  <w:style w:type="paragraph" w:styleId="357">
    <w:name w:val="List Paragraph"/>
    <w:basedOn w:val="1"/>
    <w:qFormat/>
    <w:uiPriority w:val="0"/>
    <w:pPr>
      <w:ind w:firstLine="420"/>
    </w:pPr>
    <w:rPr>
      <w:szCs w:val="21"/>
    </w:rPr>
  </w:style>
  <w:style w:type="paragraph" w:customStyle="1" w:styleId="358">
    <w:name w:val="普通文字"/>
    <w:basedOn w:val="1"/>
    <w:next w:val="1"/>
    <w:qFormat/>
    <w:uiPriority w:val="0"/>
    <w:rPr>
      <w:rFonts w:ascii="宋体"/>
      <w:sz w:val="24"/>
    </w:rPr>
  </w:style>
  <w:style w:type="paragraph" w:customStyle="1" w:styleId="359">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360">
    <w:name w:val="列出段落1"/>
    <w:basedOn w:val="1"/>
    <w:qFormat/>
    <w:uiPriority w:val="0"/>
    <w:pPr>
      <w:ind w:firstLine="420"/>
    </w:pPr>
    <w:rPr>
      <w:szCs w:val="24"/>
    </w:rPr>
  </w:style>
  <w:style w:type="paragraph" w:customStyle="1" w:styleId="361">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62">
    <w:name w:val="首行缩进"/>
    <w:qFormat/>
    <w:uiPriority w:val="0"/>
    <w:pPr>
      <w:widowControl w:val="0"/>
      <w:ind w:firstLine="480"/>
      <w:jc w:val="both"/>
    </w:pPr>
    <w:rPr>
      <w:rFonts w:hint="default" w:ascii="Times New Roman" w:hAnsi="Times New Roman" w:eastAsia="宋体" w:cs="Times New Roman"/>
      <w:sz w:val="21"/>
      <w:lang w:val="zh-CN" w:eastAsia="zh-CN" w:bidi="ar-SA"/>
    </w:rPr>
  </w:style>
  <w:style w:type="paragraph" w:customStyle="1" w:styleId="363">
    <w:name w:val="Other|1"/>
    <w:basedOn w:val="1"/>
    <w:qFormat/>
    <w:uiPriority w:val="0"/>
    <w:pPr>
      <w:ind w:firstLine="220"/>
    </w:pPr>
    <w:rPr>
      <w:rFonts w:ascii="宋体" w:hAnsi="宋体" w:cs="宋体"/>
      <w:sz w:val="20"/>
      <w:lang w:val="zh-TW" w:eastAsia="zh-TW" w:bidi="zh-TW"/>
    </w:rPr>
  </w:style>
  <w:style w:type="character" w:customStyle="1" w:styleId="364">
    <w:name w:val="font11"/>
    <w:qFormat/>
    <w:uiPriority w:val="0"/>
    <w:rPr>
      <w:rFonts w:hint="eastAsia" w:ascii="宋体" w:hAnsi="宋体" w:eastAsia="宋体" w:cs="宋体"/>
      <w:color w:val="333333"/>
      <w:sz w:val="20"/>
      <w:szCs w:val="20"/>
      <w:u w:val="none"/>
    </w:rPr>
  </w:style>
  <w:style w:type="paragraph" w:customStyle="1" w:styleId="365">
    <w:name w:val="纯文本1"/>
    <w:basedOn w:val="1"/>
    <w:qFormat/>
    <w:uiPriority w:val="0"/>
    <w:rPr>
      <w:rFonts w:ascii="宋体" w:hAnsi="Courier New" w:eastAsia="楷体_GB2312"/>
      <w:sz w:val="26"/>
    </w:rPr>
  </w:style>
  <w:style w:type="character" w:customStyle="1" w:styleId="366">
    <w:name w:val="font21"/>
    <w:qFormat/>
    <w:uiPriority w:val="0"/>
    <w:rPr>
      <w:rFonts w:hint="eastAsia" w:ascii="宋体" w:hAnsi="宋体" w:eastAsia="宋体" w:cs="宋体"/>
      <w:color w:val="000000"/>
      <w:sz w:val="20"/>
      <w:szCs w:val="20"/>
      <w:u w:val="none"/>
    </w:rPr>
  </w:style>
  <w:style w:type="paragraph" w:customStyle="1" w:styleId="367">
    <w:name w:val="列出段落2"/>
    <w:basedOn w:val="1"/>
    <w:qFormat/>
    <w:uiPriority w:val="34"/>
    <w:pPr>
      <w:ind w:firstLine="420"/>
    </w:pPr>
  </w:style>
  <w:style w:type="paragraph" w:customStyle="1" w:styleId="368">
    <w:name w:val="正文文本2"/>
    <w:basedOn w:val="1"/>
    <w:next w:val="369"/>
    <w:qFormat/>
    <w:uiPriority w:val="0"/>
    <w:rPr>
      <w:rFonts w:ascii="华文中宋" w:eastAsia="华文中宋"/>
      <w:bCs/>
      <w:sz w:val="28"/>
    </w:rPr>
  </w:style>
  <w:style w:type="paragraph" w:customStyle="1" w:styleId="369">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370">
    <w:name w:val="页脚1"/>
    <w:basedOn w:val="1"/>
    <w:next w:val="1"/>
    <w:unhideWhenUsed/>
    <w:qFormat/>
    <w:uiPriority w:val="99"/>
    <w:pPr>
      <w:tabs>
        <w:tab w:val="center" w:pos="4153"/>
        <w:tab w:val="right" w:pos="8306"/>
      </w:tabs>
      <w:jc w:val="left"/>
    </w:pPr>
    <w:rPr>
      <w:sz w:val="18"/>
      <w:szCs w:val="18"/>
    </w:rPr>
  </w:style>
  <w:style w:type="paragraph" w:customStyle="1" w:styleId="371">
    <w:name w:val="正文缩进11"/>
    <w:basedOn w:val="1"/>
    <w:qFormat/>
    <w:uiPriority w:val="0"/>
    <w:pPr>
      <w:ind w:firstLine="420"/>
    </w:pPr>
    <w:rPr>
      <w:szCs w:val="21"/>
    </w:rPr>
  </w:style>
  <w:style w:type="paragraph" w:customStyle="1" w:styleId="372">
    <w:name w:val="列出段落3"/>
    <w:basedOn w:val="1"/>
    <w:qFormat/>
    <w:uiPriority w:val="34"/>
    <w:pPr>
      <w:ind w:firstLine="420"/>
    </w:pPr>
  </w:style>
  <w:style w:type="character" w:customStyle="1" w:styleId="373">
    <w:name w:val="font151"/>
    <w:basedOn w:val="38"/>
    <w:qFormat/>
    <w:uiPriority w:val="0"/>
    <w:rPr>
      <w:rFonts w:ascii="方正仿宋_GBK" w:hAnsi="方正仿宋_GBK" w:eastAsia="方正仿宋_GBK" w:cs="方正仿宋_GBK"/>
      <w:b/>
      <w:bCs/>
      <w:color w:val="000000"/>
      <w:sz w:val="56"/>
      <w:szCs w:val="56"/>
      <w:u w:val="none"/>
    </w:rPr>
  </w:style>
  <w:style w:type="character" w:customStyle="1" w:styleId="374">
    <w:name w:val="font51"/>
    <w:basedOn w:val="38"/>
    <w:qFormat/>
    <w:uiPriority w:val="0"/>
    <w:rPr>
      <w:rFonts w:hint="eastAsia" w:ascii="等线" w:hAnsi="等线" w:eastAsia="等线" w:cs="等线"/>
      <w:color w:val="000000"/>
      <w:sz w:val="44"/>
      <w:szCs w:val="44"/>
      <w:u w:val="none"/>
    </w:rPr>
  </w:style>
  <w:style w:type="character" w:customStyle="1" w:styleId="375">
    <w:name w:val="font161"/>
    <w:basedOn w:val="38"/>
    <w:qFormat/>
    <w:uiPriority w:val="0"/>
    <w:rPr>
      <w:rFonts w:hint="eastAsia" w:ascii="等线" w:hAnsi="等线" w:eastAsia="等线" w:cs="等线"/>
      <w:b/>
      <w:bCs/>
      <w:color w:val="000000"/>
      <w:sz w:val="44"/>
      <w:szCs w:val="44"/>
      <w:u w:val="none"/>
    </w:rPr>
  </w:style>
  <w:style w:type="character" w:customStyle="1" w:styleId="376">
    <w:name w:val="font61"/>
    <w:basedOn w:val="38"/>
    <w:qFormat/>
    <w:uiPriority w:val="0"/>
    <w:rPr>
      <w:rFonts w:hint="default" w:ascii="Times New Roman" w:hAnsi="Times New Roman" w:cs="Times New Roman"/>
      <w:color w:val="000000"/>
      <w:sz w:val="56"/>
      <w:szCs w:val="56"/>
      <w:u w:val="none"/>
    </w:rPr>
  </w:style>
  <w:style w:type="character" w:customStyle="1" w:styleId="377">
    <w:name w:val="font171"/>
    <w:basedOn w:val="38"/>
    <w:qFormat/>
    <w:uiPriority w:val="0"/>
    <w:rPr>
      <w:rFonts w:hint="eastAsia" w:ascii="方正仿宋_GBK" w:hAnsi="方正仿宋_GBK" w:eastAsia="方正仿宋_GBK" w:cs="方正仿宋_GBK"/>
      <w:color w:val="000000"/>
      <w:sz w:val="56"/>
      <w:szCs w:val="56"/>
      <w:u w:val="none"/>
    </w:rPr>
  </w:style>
  <w:style w:type="character" w:customStyle="1" w:styleId="378">
    <w:name w:val="font81"/>
    <w:basedOn w:val="38"/>
    <w:qFormat/>
    <w:uiPriority w:val="0"/>
    <w:rPr>
      <w:rFonts w:hint="eastAsia" w:ascii="等线" w:hAnsi="等线" w:eastAsia="等线" w:cs="等线"/>
      <w:b/>
      <w:bCs/>
      <w:color w:val="000000"/>
      <w:sz w:val="44"/>
      <w:szCs w:val="44"/>
      <w:u w:val="none"/>
    </w:rPr>
  </w:style>
  <w:style w:type="character" w:customStyle="1" w:styleId="379">
    <w:name w:val="font91"/>
    <w:basedOn w:val="38"/>
    <w:qFormat/>
    <w:uiPriority w:val="0"/>
    <w:rPr>
      <w:rFonts w:hint="eastAsia" w:ascii="等线" w:hAnsi="等线" w:eastAsia="等线" w:cs="等线"/>
      <w:color w:val="000000"/>
      <w:sz w:val="44"/>
      <w:szCs w:val="44"/>
      <w:u w:val="none"/>
    </w:rPr>
  </w:style>
  <w:style w:type="character" w:customStyle="1" w:styleId="380">
    <w:name w:val="font101"/>
    <w:basedOn w:val="38"/>
    <w:qFormat/>
    <w:uiPriority w:val="0"/>
    <w:rPr>
      <w:rFonts w:hint="eastAsia" w:ascii="等线" w:hAnsi="等线" w:eastAsia="等线" w:cs="等线"/>
      <w:color w:val="000000"/>
      <w:sz w:val="44"/>
      <w:szCs w:val="44"/>
      <w:u w:val="none"/>
    </w:rPr>
  </w:style>
  <w:style w:type="character" w:customStyle="1" w:styleId="381">
    <w:name w:val="font181"/>
    <w:basedOn w:val="38"/>
    <w:qFormat/>
    <w:uiPriority w:val="0"/>
    <w:rPr>
      <w:rFonts w:hint="eastAsia" w:ascii="等线" w:hAnsi="等线" w:eastAsia="等线" w:cs="等线"/>
      <w:color w:val="000000"/>
      <w:sz w:val="44"/>
      <w:szCs w:val="44"/>
      <w:u w:val="none"/>
      <w:vertAlign w:val="subscript"/>
    </w:rPr>
  </w:style>
  <w:style w:type="character" w:customStyle="1" w:styleId="382">
    <w:name w:val="font121"/>
    <w:basedOn w:val="38"/>
    <w:qFormat/>
    <w:uiPriority w:val="0"/>
    <w:rPr>
      <w:rFonts w:hint="default" w:ascii="Times New Roman" w:hAnsi="Times New Roman" w:cs="Times New Roman"/>
      <w:color w:val="000000"/>
      <w:sz w:val="56"/>
      <w:szCs w:val="56"/>
      <w:u w:val="none"/>
    </w:rPr>
  </w:style>
  <w:style w:type="character" w:customStyle="1" w:styleId="383">
    <w:name w:val="font191"/>
    <w:basedOn w:val="38"/>
    <w:qFormat/>
    <w:uiPriority w:val="0"/>
    <w:rPr>
      <w:rFonts w:hint="eastAsia" w:ascii="方正仿宋_GBK" w:hAnsi="方正仿宋_GBK" w:eastAsia="方正仿宋_GBK" w:cs="方正仿宋_GBK"/>
      <w:color w:val="000000"/>
      <w:sz w:val="56"/>
      <w:szCs w:val="56"/>
      <w:u w:val="none"/>
    </w:rPr>
  </w:style>
  <w:style w:type="character" w:customStyle="1" w:styleId="384">
    <w:name w:val="font112"/>
    <w:basedOn w:val="38"/>
    <w:qFormat/>
    <w:uiPriority w:val="0"/>
    <w:rPr>
      <w:rFonts w:hint="eastAsia" w:ascii="宋体" w:hAnsi="宋体" w:eastAsia="宋体" w:cs="宋体"/>
      <w:color w:val="000000"/>
      <w:sz w:val="56"/>
      <w:szCs w:val="56"/>
      <w:u w:val="none"/>
    </w:rPr>
  </w:style>
  <w:style w:type="character" w:customStyle="1" w:styleId="385">
    <w:name w:val="font41"/>
    <w:basedOn w:val="38"/>
    <w:qFormat/>
    <w:uiPriority w:val="0"/>
    <w:rPr>
      <w:rFonts w:hint="default" w:ascii="方正黑体_GBK" w:hAnsi="方正黑体_GBK" w:eastAsia="方正黑体_GBK" w:cs="方正黑体_GBK"/>
      <w:color w:val="000000"/>
      <w:sz w:val="48"/>
      <w:szCs w:val="48"/>
      <w:u w:val="none"/>
    </w:rPr>
  </w:style>
  <w:style w:type="character" w:customStyle="1" w:styleId="386">
    <w:name w:val="font201"/>
    <w:basedOn w:val="38"/>
    <w:qFormat/>
    <w:uiPriority w:val="0"/>
    <w:rPr>
      <w:rFonts w:hint="default" w:ascii="方正黑体_GBK" w:hAnsi="方正黑体_GBK" w:eastAsia="方正黑体_GBK" w:cs="方正黑体_GBK"/>
      <w:color w:val="000000"/>
      <w:sz w:val="48"/>
      <w:szCs w:val="48"/>
      <w:u w:val="none"/>
      <w:vertAlign w:val="subscript"/>
    </w:rPr>
  </w:style>
  <w:style w:type="character" w:customStyle="1" w:styleId="387">
    <w:name w:val="font211"/>
    <w:basedOn w:val="38"/>
    <w:qFormat/>
    <w:uiPriority w:val="0"/>
    <w:rPr>
      <w:rFonts w:hint="default" w:ascii="方正黑体_GBK" w:hAnsi="方正黑体_GBK" w:eastAsia="方正黑体_GBK" w:cs="方正黑体_GBK"/>
      <w:color w:val="000000"/>
      <w:sz w:val="48"/>
      <w:szCs w:val="48"/>
      <w:u w:val="none"/>
    </w:rPr>
  </w:style>
  <w:style w:type="character" w:customStyle="1" w:styleId="388">
    <w:name w:val="font131"/>
    <w:basedOn w:val="38"/>
    <w:qFormat/>
    <w:uiPriority w:val="0"/>
    <w:rPr>
      <w:rFonts w:hint="eastAsia" w:ascii="等线" w:hAnsi="等线" w:eastAsia="等线" w:cs="等线"/>
      <w:b/>
      <w:bCs/>
      <w:color w:val="000000"/>
      <w:sz w:val="44"/>
      <w:szCs w:val="44"/>
      <w:u w:val="none"/>
    </w:rPr>
  </w:style>
  <w:style w:type="character" w:customStyle="1" w:styleId="389">
    <w:name w:val="font141"/>
    <w:basedOn w:val="38"/>
    <w:qFormat/>
    <w:uiPriority w:val="0"/>
    <w:rPr>
      <w:rFonts w:hint="default" w:ascii="Times New Roman" w:hAnsi="Times New Roman" w:cs="Times New Roman"/>
      <w:color w:val="0D0D0D"/>
      <w:sz w:val="56"/>
      <w:szCs w:val="56"/>
      <w:u w:val="none"/>
    </w:rPr>
  </w:style>
  <w:style w:type="character" w:customStyle="1" w:styleId="390">
    <w:name w:val="font222"/>
    <w:basedOn w:val="38"/>
    <w:qFormat/>
    <w:uiPriority w:val="0"/>
    <w:rPr>
      <w:rFonts w:hint="eastAsia" w:ascii="方正仿宋_GBK" w:hAnsi="方正仿宋_GBK" w:eastAsia="方正仿宋_GBK" w:cs="方正仿宋_GBK"/>
      <w:color w:val="0D0D0D"/>
      <w:sz w:val="56"/>
      <w:szCs w:val="56"/>
      <w:u w:val="none"/>
    </w:rPr>
  </w:style>
  <w:style w:type="character" w:customStyle="1" w:styleId="391">
    <w:name w:val="font231"/>
    <w:basedOn w:val="38"/>
    <w:qFormat/>
    <w:uiPriority w:val="0"/>
    <w:rPr>
      <w:rFonts w:hint="eastAsia" w:ascii="宋体" w:hAnsi="宋体" w:eastAsia="宋体" w:cs="宋体"/>
      <w:color w:val="000000"/>
      <w:sz w:val="56"/>
      <w:szCs w:val="56"/>
      <w:u w:val="none"/>
    </w:rPr>
  </w:style>
  <w:style w:type="paragraph" w:customStyle="1" w:styleId="392">
    <w:name w:val="Plain Text"/>
    <w:qFormat/>
    <w:uiPriority w:val="0"/>
    <w:pPr>
      <w:widowControl w:val="0"/>
      <w:jc w:val="both"/>
    </w:pPr>
    <w:rPr>
      <w:rFonts w:hint="default" w:ascii="宋体" w:hAnsi="Courier New" w:eastAsia="楷体_GB2312" w:cs="Times New Roman"/>
      <w:sz w:val="26"/>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f9f77185-ab86-4b49-9017-bd0992518abe</errorID>
      <errorWord>（</errorWord>
      <group>L1_Punc</group>
      <groupName>标点问题</groupName>
      <ability>L2_Punc</ability>
      <abilityName>标点符号检查</abilityName>
      <candidateList/>
      <explain>同一形式括号套用。</explain>
      <paraID> A11DE5F</paraID>
      <start>139</start>
      <end>140</end>
      <status>unmodified</status>
      <modifiedWord/>
      <trackRevisions>false</trackRevisions>
    </reviewItem>
    <reviewItem>
      <errorID>c4458b57-a0eb-4187-aaca-ce81376c0ab9</errorID>
      <errorWord>）</errorWord>
      <group>L1_Punc</group>
      <groupName>标点问题</groupName>
      <ability>L2_Punc</ability>
      <abilityName>标点符号检查</abilityName>
      <candidateList/>
      <explain>同一形式括号套用。</explain>
      <paraID> A11DE5F</paraID>
      <start>143</start>
      <end>144</end>
      <status>unmodified</status>
      <modifiedWord/>
      <trackRevisions>false</trackRevisions>
    </reviewItem>
    <reviewItem>
      <errorID>33a116eb-3850-4b91-a188-3f38a7228567</errorID>
      <errorWord>（</errorWord>
      <group>L1_Punc</group>
      <groupName>标点问题</groupName>
      <ability>L2_Punc</ability>
      <abilityName>标点符号检查</abilityName>
      <candidateList/>
      <explain>同一形式括号套用。</explain>
      <paraID> A11DE5F</paraID>
      <start>152</start>
      <end>153</end>
      <status>unmodified</status>
      <modifiedWord/>
      <trackRevisions>false</trackRevisions>
    </reviewItem>
    <reviewItem>
      <errorID>5a8bd91f-3ec2-4c80-82f0-ba4b5efb7c27</errorID>
      <errorWord>）</errorWord>
      <group>L1_Punc</group>
      <groupName>标点问题</groupName>
      <ability>L2_Punc</ability>
      <abilityName>标点符号检查</abilityName>
      <candidateList/>
      <explain>同一形式括号套用。</explain>
      <paraID> A11DE5F</paraID>
      <start>199</start>
      <end>200</end>
      <status>unmodified</status>
      <modifiedWord/>
      <trackRevisions>false</trackRevisions>
    </reviewItem>
    <reviewItem>
      <errorID>5a4e6f23-8ae0-4c15-9372-42a22a0f5958</errorID>
      <errorWord>导入到</errorWord>
      <group>L1_Word</group>
      <groupName>字词问题</groupName>
      <ability>L2_Typo</ability>
      <abilityName>字词错误</abilityName>
      <candidateList>
        <item>导入</item>
      </candidateList>
      <explain/>
      <paraID> A11DE5F</paraID>
      <start>236</start>
      <end>239</end>
      <status>unmodified</status>
      <modifiedWord/>
      <trackRevisions>false</trackRevisions>
    </reviewItem>
    <reviewItem>
      <errorID>406cf785-c29e-49be-8f8c-3e9a38c80424</errorID>
      <errorWord>员</errorWord>
      <group>L1_Word</group>
      <groupName>字词问题</groupName>
      <ability>L2_Typo</ability>
      <abilityName>字词错误</abilityName>
      <candidateList>
        <item>员在</item>
      </candidateList>
      <explain/>
      <paraID>6DF06566</paraID>
      <start>35</start>
      <end>36</end>
      <status>unmodified</status>
      <modifiedWord/>
      <trackRevisions>false</trackRevisions>
    </reviewItem>
    <reviewItem>
      <errorID>d18334af-a96a-4ae3-a748-c53c498caad2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6E3F6A8F</paraID>
      <start>8</start>
      <end>9</end>
      <status>unmodified</status>
      <modifiedWord/>
      <trackRevisions>false</trackRevisions>
    </reviewItem>
    <reviewItem>
      <errorID>f4eacedb-aed5-42ab-af5f-5d454f6791c9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58A7FC0A</paraID>
      <start>9</start>
      <end>10</end>
      <status>unmodified</status>
      <modifiedWord/>
      <trackRevisions>false</trackRevisions>
    </reviewItem>
    <reviewItem>
      <errorID>bbb07ef0-fa52-417f-8783-e48100a72afa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697D30AC</paraID>
      <start>9</start>
      <end>10</end>
      <status>unmodified</status>
      <modifiedWord/>
      <trackRevisions>false</trackRevisions>
    </reviewItem>
    <reviewItem>
      <errorID>800bb6d6-e10f-464a-80b5-ac260a645028</errorID>
      <errorWord>做出</errorWord>
      <group>L1_Word</group>
      <groupName>字词问题</groupName>
      <ability>L2_Typo</ability>
      <abilityName>字词错误</abilityName>
      <candidateList>
        <item>作出</item>
      </candidateList>
      <explain/>
      <paraID>2F35EE6A</paraID>
      <start>36</start>
      <end>38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330520-0492-4917-93DE-17F54EDAFCB2}">
  <ds:schemaRefs/>
</ds:datastoreItem>
</file>

<file path=customXml/itemProps3.xml><?xml version="1.0" encoding="utf-8"?>
<ds:datastoreItem xmlns:ds="http://schemas.openxmlformats.org/officeDocument/2006/customXml" ds:itemID="{91507c00-8c65-4247-af0b-a2cb6230ace0}">
  <ds:schemaRefs/>
</ds:datastoreItem>
</file>

<file path=docProps/app.xml><?xml version="1.0" encoding="utf-8"?>
<Properties xmlns="http://schemas.openxmlformats.org/officeDocument/2006/extended-properties" xmlns:vt="http://schemas.openxmlformats.org/officeDocument/2006/docPropsVTypes">
  <Template>Normal</Template>
  <Company>M</Company>
  <Pages>46</Pages>
  <Words>9128</Words>
  <Characters>9738</Characters>
  <TotalTime>17</TotalTime>
  <ScaleCrop>false</ScaleCrop>
  <LinksUpToDate>false</LinksUpToDate>
  <CharactersWithSpaces>9758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2024-06-03T00:57:00Z</dcterms:created>
  <dc:creator>时</dc:creator>
  <cp:lastModifiedBy>工作</cp:lastModifiedBy>
  <dcterms:modified xsi:type="dcterms:W3CDTF">2026-04-09T07:33:49Z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eyJoZGlkIjoiZGRiZWYzNTkzYmEwYTZmYjk3ZGQ3OGQwNTA0ZmI1YWIiLCJ1c2VySWQiOiIxMDI1MzcwNjcwIn0=</vt:lpwstr>
  </property>
  <property fmtid="{D5CDD505-2E9C-101B-9397-08002B2CF9AE}" pid="3" name="KSOProductBuildVer">
    <vt:lpwstr>2052-12.1.0.25225</vt:lpwstr>
  </property>
  <property fmtid="{D5CDD505-2E9C-101B-9397-08002B2CF9AE}" pid="4" name="ICV">
    <vt:lpwstr>AAF0839812704D5A9FC3F0950A3DDE52_13</vt:lpwstr>
  </property>
</Properties>
</file>