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b/>
          <w:color w:val="000000" w:themeColor="text1"/>
          <w:sz w:val="56"/>
          <w:szCs w:val="56"/>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mc:AlternateContent>
          <mc:Choice Requires="wpg">
            <w:drawing>
              <wp:inline xmlns:wp="http://schemas.openxmlformats.org/drawingml/2006/wordprocessingDrawing" distT="0" distB="0" distL="0" distR="0">
                <wp:extent cx="1153160" cy="1375410"/>
                <wp:effectExtent l="0" t="0" r="2540" b="8890"/>
                <wp:docPr id="3"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14"/>
                        <a:stretch/>
                      </pic:blipFill>
                      <pic:spPr bwMode="auto">
                        <a:xfrm>
                          <a:off x="0" y="0"/>
                          <a:ext cx="1153160" cy="137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0.8pt;height:108.3pt;mso-wrap-distance-left:0.0pt;mso-wrap-distance-top:0.0pt;mso-wrap-distance-right:0.0pt;mso-wrap-distance-bottom:0.0pt;" stroked="f">
                <v:path textboxrect="0,0,0,0"/>
                <v:imagedata r:id="rId14" o:title=""/>
              </v:shape>
            </w:pict>
          </mc:Fallback>
        </mc:AlternateContent>
      </w:r>
      <w:r/>
    </w:p>
    <w:p>
      <w:pPr>
        <w:jc w:val="center"/>
        <w:rPr>
          <w:rFonts w:hint="eastAsia" w:ascii="仿宋" w:hAnsi="仿宋" w:eastAsia="仿宋" w:cs="仿宋"/>
          <w:b/>
          <w:color w:val="000000" w:themeColor="text1"/>
          <w:sz w:val="56"/>
          <w:szCs w:val="56"/>
          <w:highlight w:val="none"/>
          <w:shd w:val="clear" w:color="auto" w:fill="auto"/>
          <w:lang w:eastAsia="zh-CN"/>
          <w14:textFill>
            <w14:solidFill>
              <w14:schemeClr w14:val="tx1"/>
            </w14:solidFill>
          </w14:textFill>
        </w:rPr>
      </w:pPr>
      <w:r>
        <w:rPr>
          <w:rFonts w:hint="eastAsia" w:ascii="仿宋" w:hAnsi="仿宋" w:eastAsia="仿宋" w:cs="仿宋"/>
          <w:b/>
          <w:color w:val="000000" w:themeColor="text1"/>
          <w:sz w:val="56"/>
          <w:szCs w:val="56"/>
          <w:highlight w:val="none"/>
          <w:shd w:val="clear" w:color="auto" w:fill="auto"/>
          <w:lang w:eastAsia="zh-CN"/>
          <w14:textFill>
            <w14:solidFill>
              <w14:schemeClr w14:val="tx1"/>
            </w14:solidFill>
          </w14:textFill>
        </w:rPr>
        <w:t xml:space="preserve">南京市医疗保险管理中心</w:t>
      </w:r>
      <w:r/>
    </w:p>
    <w:p>
      <w:pPr>
        <w:jc w:val="center"/>
        <w:rPr>
          <w:rFonts w:hint="eastAsia" w:ascii="仿宋" w:hAnsi="仿宋" w:eastAsia="仿宋" w:cs="仿宋"/>
          <w:b/>
          <w:color w:val="000000" w:themeColor="text1"/>
          <w:sz w:val="56"/>
          <w:szCs w:val="56"/>
          <w:highlight w:val="none"/>
          <w:shd w:val="clear" w:color="auto" w:fill="auto"/>
          <w14:textFill>
            <w14:solidFill>
              <w14:schemeClr w14:val="tx1"/>
            </w14:solidFill>
          </w14:textFill>
        </w:rPr>
      </w:pPr>
      <w:r>
        <w:rPr>
          <w:rFonts w:hint="eastAsia" w:ascii="仿宋" w:hAnsi="仿宋" w:eastAsia="仿宋" w:cs="仿宋"/>
          <w:b/>
          <w:color w:val="000000" w:themeColor="text1"/>
          <w:sz w:val="56"/>
          <w:szCs w:val="56"/>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color w:val="000000" w:themeColor="text1"/>
          <w:sz w:val="56"/>
          <w:szCs w:val="56"/>
          <w:highlight w:val="none"/>
          <w:shd w:val="clear" w:color="auto" w:fill="auto"/>
          <w14:textFill>
            <w14:solidFill>
              <w14:schemeClr w14:val="tx1"/>
            </w14:solidFill>
          </w14:textFill>
        </w:rPr>
        <w:t xml:space="preserve">文件</w:t>
      </w:r>
      <w:r/>
    </w:p>
    <w:p>
      <w:pPr>
        <w:ind w:firstLine="1080"/>
        <w:spacing w:line="460" w:lineRule="exact"/>
        <w:rPr>
          <w:rFonts w:hint="eastAsia" w:ascii="仿宋" w:hAnsi="仿宋" w:eastAsia="仿宋" w:cs="仿宋"/>
          <w:color w:val="000000" w:themeColor="text1"/>
          <w:sz w:val="30"/>
          <w:szCs w:val="30"/>
          <w:highlight w:val="none"/>
          <w:shd w:val="clear" w:color="auto" w:fill="auto"/>
          <w14:textFill>
            <w14:solidFill>
              <w14:schemeClr w14:val="tx1"/>
            </w14:solidFill>
          </w14:textFill>
        </w:rPr>
      </w:pPr>
      <w:r>
        <w:rPr>
          <w:rFonts w:hint="eastAsia" w:ascii="仿宋" w:hAnsi="仿宋" w:eastAsia="仿宋" w:cs="仿宋"/>
          <w:color w:val="000000" w:themeColor="text1"/>
          <w:sz w:val="30"/>
          <w:szCs w:val="30"/>
          <w:highlight w:val="none"/>
          <w:shd w:val="clear" w:color="auto" w:fill="auto"/>
          <w14:textFill>
            <w14:solidFill>
              <w14:schemeClr w14:val="tx1"/>
            </w14:solidFill>
          </w14:textFill>
        </w:rPr>
      </w:r>
      <w:r/>
    </w:p>
    <w:p>
      <w:pPr>
        <w:ind w:firstLine="1080"/>
        <w:spacing w:line="460" w:lineRule="exact"/>
        <w:rPr>
          <w:rFonts w:hint="eastAsia" w:ascii="仿宋" w:hAnsi="仿宋" w:eastAsia="仿宋" w:cs="仿宋"/>
          <w:color w:val="000000" w:themeColor="text1"/>
          <w:sz w:val="30"/>
          <w:szCs w:val="30"/>
          <w:highlight w:val="none"/>
          <w:shd w:val="clear" w:color="auto" w:fill="auto"/>
          <w14:textFill>
            <w14:solidFill>
              <w14:schemeClr w14:val="tx1"/>
            </w14:solidFill>
          </w14:textFill>
        </w:rPr>
      </w:pPr>
      <w:r>
        <w:rPr>
          <w:rFonts w:hint="eastAsia" w:ascii="仿宋" w:hAnsi="仿宋" w:eastAsia="仿宋" w:cs="仿宋"/>
          <w:color w:val="000000" w:themeColor="text1"/>
          <w:sz w:val="30"/>
          <w:szCs w:val="30"/>
          <w:highlight w:val="none"/>
          <w:shd w:val="clear" w:color="auto" w:fill="auto"/>
          <w14:textFill>
            <w14:solidFill>
              <w14:schemeClr w14:val="tx1"/>
            </w14:solidFill>
          </w14:textFill>
        </w:rPr>
      </w:r>
      <w:r/>
    </w:p>
    <w:p>
      <w:pPr>
        <w:ind w:firstLine="1080"/>
        <w:spacing w:line="460" w:lineRule="exact"/>
        <w:rPr>
          <w:rFonts w:hint="eastAsia" w:ascii="仿宋" w:hAnsi="仿宋" w:eastAsia="仿宋" w:cs="仿宋"/>
          <w:color w:val="000000" w:themeColor="text1"/>
          <w:sz w:val="30"/>
          <w:szCs w:val="30"/>
          <w:highlight w:val="none"/>
          <w:shd w:val="clear" w:color="auto" w:fill="auto"/>
          <w14:textFill>
            <w14:solidFill>
              <w14:schemeClr w14:val="tx1"/>
            </w14:solidFill>
          </w14:textFill>
        </w:rPr>
      </w:pPr>
      <w:r>
        <w:rPr>
          <w:rFonts w:hint="eastAsia" w:ascii="仿宋" w:hAnsi="仿宋" w:eastAsia="仿宋" w:cs="仿宋"/>
          <w:color w:val="000000" w:themeColor="text1"/>
          <w:sz w:val="30"/>
          <w:szCs w:val="30"/>
          <w:highlight w:val="none"/>
          <w:shd w:val="clear" w:color="auto" w:fill="auto"/>
          <w14:textFill>
            <w14:solidFill>
              <w14:schemeClr w14:val="tx1"/>
            </w14:solidFill>
          </w14:textFill>
        </w:rPr>
      </w:r>
      <w:r/>
    </w:p>
    <w:p>
      <w:pPr>
        <w:ind w:firstLine="1080"/>
        <w:spacing w:line="460" w:lineRule="exact"/>
        <w:rPr>
          <w:rFonts w:hint="eastAsia" w:ascii="仿宋" w:hAnsi="仿宋" w:eastAsia="仿宋" w:cs="仿宋"/>
          <w:color w:val="000000" w:themeColor="text1"/>
          <w:sz w:val="30"/>
          <w:szCs w:val="30"/>
          <w:highlight w:val="none"/>
          <w:shd w:val="clear" w:color="auto" w:fill="auto"/>
          <w14:textFill>
            <w14:solidFill>
              <w14:schemeClr w14:val="tx1"/>
            </w14:solidFill>
          </w14:textFill>
        </w:rPr>
      </w:pPr>
      <w:r>
        <w:rPr>
          <w:rFonts w:hint="eastAsia" w:ascii="仿宋" w:hAnsi="仿宋" w:eastAsia="仿宋" w:cs="仿宋"/>
          <w:color w:val="000000" w:themeColor="text1"/>
          <w:sz w:val="30"/>
          <w:szCs w:val="30"/>
          <w:highlight w:val="none"/>
          <w:shd w:val="clear" w:color="auto" w:fill="auto"/>
          <w14:textFill>
            <w14:solidFill>
              <w14:schemeClr w14:val="tx1"/>
            </w14:solidFill>
          </w14:textFill>
        </w:rPr>
      </w:r>
      <w:r/>
    </w:p>
    <w:p>
      <w:pPr>
        <w:ind w:left="1560" w:hanging="1560"/>
        <w:spacing w:line="360" w:lineRule="auto"/>
        <w:rPr>
          <w:rFonts w:hint="eastAsia" w:ascii="仿宋" w:hAnsi="仿宋" w:eastAsia="仿宋" w:cs="仿宋"/>
          <w:b/>
          <w:color w:val="000000" w:themeColor="text1"/>
          <w:sz w:val="30"/>
          <w:szCs w:val="30"/>
          <w:highlight w:val="none"/>
          <w:shd w:val="clear" w:color="auto" w:fill="auto"/>
          <w:lang w:eastAsia="zh-CN"/>
          <w14:textFill>
            <w14:solidFill>
              <w14:schemeClr w14:val="tx1"/>
            </w14:solidFill>
          </w14:textFill>
        </w:rPr>
      </w:pPr>
      <w:r>
        <w:rPr>
          <w:rFonts w:hint="eastAsia" w:ascii="仿宋" w:hAnsi="仿宋" w:eastAsia="仿宋" w:cs="仿宋"/>
          <w:b/>
          <w:color w:val="000000" w:themeColor="text1"/>
          <w:sz w:val="30"/>
          <w:szCs w:val="30"/>
          <w:highlight w:val="none"/>
          <w:shd w:val="clear" w:color="auto" w:fill="auto"/>
          <w14:textFill>
            <w14:solidFill>
              <w14:schemeClr w14:val="tx1"/>
            </w14:solidFill>
          </w14:textFill>
        </w:rPr>
        <w:t xml:space="preserve">项目编号：</w:t>
      </w:r>
      <w:r>
        <w:rPr>
          <w:rFonts w:hint="eastAsia" w:ascii="仿宋" w:hAnsi="仿宋" w:eastAsia="仿宋" w:cs="仿宋"/>
          <w:b/>
          <w:color w:val="000000" w:themeColor="text1"/>
          <w:sz w:val="30"/>
          <w:szCs w:val="30"/>
          <w:highlight w:val="none"/>
          <w:shd w:val="clear" w:color="auto" w:fill="auto"/>
          <w:lang w:eastAsia="zh-CN"/>
          <w14:textFill>
            <w14:solidFill>
              <w14:schemeClr w14:val="tx1"/>
            </w14:solidFill>
          </w14:textFill>
        </w:rPr>
        <w:t xml:space="preserve">JSZC-320100-SJGC-D2026-0006</w:t>
      </w:r>
      <w:r/>
    </w:p>
    <w:p>
      <w:pPr>
        <w:ind w:left="1560" w:hanging="1560"/>
        <w:spacing w:line="360" w:lineRule="auto"/>
        <w:rPr>
          <w:rFonts w:hint="default" w:ascii="仿宋" w:hAnsi="仿宋" w:eastAsia="仿宋" w:cs="仿宋"/>
          <w:b/>
          <w:color w:val="000000" w:themeColor="text1"/>
          <w:sz w:val="30"/>
          <w:szCs w:val="30"/>
          <w:highlight w:val="none"/>
          <w:shd w:val="clear" w:color="auto" w:fill="auto"/>
          <w:lang w:val="en-US" w:eastAsia="zh-CN"/>
          <w14:textFill>
            <w14:solidFill>
              <w14:schemeClr w14:val="tx1"/>
            </w14:solidFill>
          </w14:textFill>
        </w:rPr>
      </w:pPr>
      <w:r>
        <w:rPr>
          <w:rFonts w:hint="eastAsia" w:ascii="仿宋" w:hAnsi="仿宋" w:eastAsia="仿宋" w:cs="仿宋"/>
          <w:b/>
          <w:color w:val="000000" w:themeColor="text1"/>
          <w:sz w:val="30"/>
          <w:szCs w:val="30"/>
          <w:highlight w:val="none"/>
          <w:shd w:val="clear" w:color="auto" w:fill="auto"/>
          <w14:textFill>
            <w14:solidFill>
              <w14:schemeClr w14:val="tx1"/>
            </w14:solidFill>
          </w14:textFill>
        </w:rPr>
        <w:t xml:space="preserve">项目名称：南京市建邺区水西门大街69号房屋租赁服务项目</w:t>
      </w:r>
      <w:r>
        <w:rPr>
          <w:rFonts w:hint="eastAsia" w:ascii="仿宋" w:hAnsi="仿宋" w:eastAsia="仿宋" w:cs="仿宋"/>
          <w:b/>
          <w:color w:val="000000" w:themeColor="text1"/>
          <w:sz w:val="30"/>
          <w:szCs w:val="30"/>
          <w:highlight w:val="none"/>
          <w:shd w:val="clear" w:color="auto" w:fill="auto"/>
          <w:lang w:val="en-US" w:eastAsia="zh-CN"/>
          <w14:textFill>
            <w14:solidFill>
              <w14:schemeClr w14:val="tx1"/>
            </w14:solidFill>
          </w14:textFill>
        </w:rPr>
        <w:t xml:space="preserve">  </w:t>
      </w:r>
      <w:r/>
    </w:p>
    <w:p>
      <w:pPr>
        <w:ind w:firstLine="3960"/>
        <w:rPr>
          <w:rFonts w:hint="eastAsia" w:ascii="仿宋" w:hAnsi="仿宋" w:eastAsia="仿宋" w:cs="仿宋"/>
          <w:color w:val="000000" w:themeColor="text1"/>
          <w:spacing w:val="40"/>
          <w:sz w:val="28"/>
          <w:highlight w:val="none"/>
          <w:shd w:val="clear" w:color="auto" w:fill="auto"/>
          <w14:textFill>
            <w14:solidFill>
              <w14:schemeClr w14:val="tx1"/>
            </w14:solidFill>
          </w14:textFill>
        </w:rPr>
      </w:pPr>
      <w:r>
        <w:rPr>
          <w:rFonts w:hint="eastAsia" w:ascii="仿宋" w:hAnsi="仿宋" w:eastAsia="仿宋" w:cs="仿宋"/>
          <w:color w:val="000000" w:themeColor="text1"/>
          <w:spacing w:val="40"/>
          <w:sz w:val="28"/>
          <w:highlight w:val="none"/>
          <w:shd w:val="clear" w:color="auto" w:fill="auto"/>
          <w14:textFill>
            <w14:solidFill>
              <w14:schemeClr w14:val="tx1"/>
            </w14:solidFill>
          </w14:textFill>
        </w:rPr>
      </w:r>
      <w:r/>
    </w:p>
    <w:p>
      <w:pPr>
        <w:ind w:firstLine="3960"/>
        <w:rPr>
          <w:rFonts w:hint="eastAsia" w:ascii="仿宋" w:hAnsi="仿宋" w:eastAsia="仿宋" w:cs="仿宋"/>
          <w:color w:val="000000" w:themeColor="text1"/>
          <w:spacing w:val="40"/>
          <w:sz w:val="28"/>
          <w:highlight w:val="none"/>
          <w:shd w:val="clear" w:color="auto" w:fill="auto"/>
          <w14:textFill>
            <w14:solidFill>
              <w14:schemeClr w14:val="tx1"/>
            </w14:solidFill>
          </w14:textFill>
        </w:rPr>
      </w:pPr>
      <w:r>
        <w:rPr>
          <w:rFonts w:hint="eastAsia" w:ascii="仿宋" w:hAnsi="仿宋" w:eastAsia="仿宋" w:cs="仿宋"/>
          <w:color w:val="000000" w:themeColor="text1"/>
          <w:spacing w:val="40"/>
          <w:sz w:val="28"/>
          <w:highlight w:val="none"/>
          <w:shd w:val="clear" w:color="auto" w:fill="auto"/>
          <w14:textFill>
            <w14:solidFill>
              <w14:schemeClr w14:val="tx1"/>
            </w14:solidFill>
          </w14:textFill>
        </w:rPr>
      </w:r>
      <w:r/>
    </w:p>
    <w:p>
      <w:pPr>
        <w:ind w:firstLine="3960"/>
        <w:rPr>
          <w:rFonts w:hint="eastAsia" w:ascii="仿宋" w:hAnsi="仿宋" w:eastAsia="仿宋" w:cs="仿宋"/>
          <w:color w:val="000000" w:themeColor="text1"/>
          <w:spacing w:val="40"/>
          <w:sz w:val="28"/>
          <w:highlight w:val="none"/>
          <w:shd w:val="clear" w:color="auto" w:fill="auto"/>
          <w14:textFill>
            <w14:solidFill>
              <w14:schemeClr w14:val="tx1"/>
            </w14:solidFill>
          </w14:textFill>
        </w:rPr>
      </w:pPr>
      <w:r>
        <w:rPr>
          <w:rFonts w:hint="eastAsia" w:ascii="仿宋" w:hAnsi="仿宋" w:eastAsia="仿宋" w:cs="仿宋"/>
          <w:color w:val="000000" w:themeColor="text1"/>
          <w:spacing w:val="40"/>
          <w:sz w:val="28"/>
          <w:highlight w:val="none"/>
          <w:shd w:val="clear" w:color="auto" w:fill="auto"/>
          <w14:textFill>
            <w14:solidFill>
              <w14:schemeClr w14:val="tx1"/>
            </w14:solidFill>
          </w14:textFill>
        </w:rPr>
      </w:r>
      <w:r/>
    </w:p>
    <w:p>
      <w:pPr>
        <w:ind w:firstLine="3960"/>
        <w:rPr>
          <w:rFonts w:hint="eastAsia" w:ascii="仿宋" w:hAnsi="仿宋" w:eastAsia="仿宋" w:cs="仿宋"/>
          <w:color w:val="000000" w:themeColor="text1"/>
          <w:spacing w:val="40"/>
          <w:sz w:val="28"/>
          <w:highlight w:val="none"/>
          <w:shd w:val="clear" w:color="auto" w:fill="auto"/>
          <w14:textFill>
            <w14:solidFill>
              <w14:schemeClr w14:val="tx1"/>
            </w14:solidFill>
          </w14:textFill>
        </w:rPr>
      </w:pPr>
      <w:r>
        <w:rPr>
          <w:rFonts w:hint="eastAsia" w:ascii="仿宋" w:hAnsi="仿宋" w:eastAsia="仿宋" w:cs="仿宋"/>
          <w:color w:val="000000" w:themeColor="text1"/>
          <w:spacing w:val="40"/>
          <w:sz w:val="28"/>
          <w:highlight w:val="none"/>
          <w:shd w:val="clear" w:color="auto" w:fill="auto"/>
          <w14:textFill>
            <w14:solidFill>
              <w14:schemeClr w14:val="tx1"/>
            </w14:solidFill>
          </w14:textFill>
        </w:rPr>
      </w:r>
      <w:r/>
    </w:p>
    <w:p>
      <w:pPr>
        <w:jc w:val="center"/>
        <w:spacing w:line="360" w:lineRule="auto"/>
        <w:rPr>
          <w:rFonts w:hint="eastAsia" w:ascii="仿宋" w:hAnsi="仿宋" w:eastAsia="仿宋" w:cs="仿宋"/>
          <w:b/>
          <w:color w:val="000000" w:themeColor="text1"/>
          <w:sz w:val="30"/>
          <w:szCs w:val="30"/>
          <w:highlight w:val="none"/>
          <w:shd w:val="clear" w:color="auto" w:fill="auto"/>
          <w:lang w:eastAsia="zh-CN"/>
          <w14:textFill>
            <w14:solidFill>
              <w14:schemeClr w14:val="tx1"/>
            </w14:solidFill>
          </w14:textFill>
        </w:rPr>
      </w:pPr>
      <w:r>
        <w:rPr>
          <w:rFonts w:hint="eastAsia" w:ascii="仿宋" w:hAnsi="仿宋" w:eastAsia="仿宋" w:cs="仿宋"/>
          <w:b/>
          <w:color w:val="000000" w:themeColor="text1"/>
          <w:sz w:val="30"/>
          <w:szCs w:val="30"/>
          <w:highlight w:val="none"/>
          <w:shd w:val="clear" w:color="auto" w:fill="auto"/>
          <w:lang w:eastAsia="zh-CN"/>
          <w14:textFill>
            <w14:solidFill>
              <w14:schemeClr w14:val="tx1"/>
            </w14:solidFill>
          </w14:textFill>
        </w:rPr>
        <w:t xml:space="preserve">江苏苏建工程项目管理咨询有限公司</w:t>
      </w:r>
      <w:r/>
    </w:p>
    <w:p>
      <w:pPr>
        <w:jc w:val="center"/>
        <w:spacing w:line="360" w:lineRule="auto"/>
        <w:rPr>
          <w:rFonts w:hint="eastAsia" w:ascii="仿宋" w:hAnsi="仿宋" w:eastAsia="仿宋" w:cs="仿宋"/>
          <w:b/>
          <w:color w:val="000000" w:themeColor="text1"/>
          <w:sz w:val="30"/>
          <w:szCs w:val="30"/>
          <w:highlight w:val="none"/>
          <w:shd w:val="clear" w:color="auto" w:fill="auto"/>
          <w14:textFill>
            <w14:solidFill>
              <w14:schemeClr w14:val="tx1"/>
            </w14:solidFill>
          </w14:textFill>
        </w:rPr>
      </w:pPr>
      <w:r>
        <w:rPr>
          <w:rFonts w:hint="eastAsia" w:ascii="仿宋" w:hAnsi="仿宋" w:eastAsia="仿宋" w:cs="仿宋"/>
          <w:b/>
          <w:color w:val="000000" w:themeColor="text1"/>
          <w:sz w:val="30"/>
          <w:szCs w:val="30"/>
          <w:highlight w:val="none"/>
          <w:shd w:val="clear" w:color="auto" w:fill="auto"/>
          <w14:textFill>
            <w14:solidFill>
              <w14:schemeClr w14:val="tx1"/>
            </w14:solidFill>
          </w14:textFill>
        </w:rPr>
        <w:t xml:space="preserve">二〇二</w:t>
      </w:r>
      <w:r>
        <w:rPr>
          <w:rFonts w:hint="eastAsia" w:ascii="仿宋" w:hAnsi="仿宋" w:eastAsia="仿宋" w:cs="仿宋"/>
          <w:b/>
          <w:color w:val="000000" w:themeColor="text1"/>
          <w:sz w:val="30"/>
          <w:szCs w:val="30"/>
          <w:highlight w:val="none"/>
          <w:shd w:val="clear" w:color="auto" w:fill="auto"/>
          <w:lang w:val="en-US" w:eastAsia="zh-CN"/>
          <w14:textFill>
            <w14:solidFill>
              <w14:schemeClr w14:val="tx1"/>
            </w14:solidFill>
          </w14:textFill>
        </w:rPr>
        <w:t xml:space="preserve">六</w:t>
      </w:r>
      <w:r>
        <w:rPr>
          <w:rFonts w:hint="eastAsia" w:ascii="仿宋" w:hAnsi="仿宋" w:eastAsia="仿宋" w:cs="仿宋"/>
          <w:b/>
          <w:color w:val="000000" w:themeColor="text1"/>
          <w:sz w:val="30"/>
          <w:szCs w:val="30"/>
          <w:highlight w:val="none"/>
          <w:shd w:val="clear" w:color="auto" w:fill="auto"/>
          <w14:textFill>
            <w14:solidFill>
              <w14:schemeClr w14:val="tx1"/>
            </w14:solidFill>
          </w14:textFill>
        </w:rPr>
        <w:t xml:space="preserve">年</w:t>
      </w:r>
      <w:r>
        <w:rPr>
          <w:rFonts w:hint="eastAsia" w:ascii="仿宋" w:hAnsi="仿宋" w:eastAsia="仿宋" w:cs="仿宋"/>
          <w:b/>
          <w:color w:val="000000" w:themeColor="text1"/>
          <w:sz w:val="30"/>
          <w:szCs w:val="30"/>
          <w:highlight w:val="none"/>
          <w:shd w:val="clear" w:color="auto" w:fill="auto"/>
          <w:lang w:val="en-US" w:eastAsia="zh-CN"/>
          <w14:textFill>
            <w14:solidFill>
              <w14:schemeClr w14:val="tx1"/>
            </w14:solidFill>
          </w14:textFill>
        </w:rPr>
        <w:t xml:space="preserve">五</w:t>
      </w:r>
      <w:r>
        <w:rPr>
          <w:rFonts w:hint="eastAsia" w:ascii="仿宋" w:hAnsi="仿宋" w:eastAsia="仿宋" w:cs="仿宋"/>
          <w:b/>
          <w:color w:val="000000" w:themeColor="text1"/>
          <w:sz w:val="30"/>
          <w:szCs w:val="30"/>
          <w:highlight w:val="none"/>
          <w:shd w:val="clear" w:color="auto" w:fill="auto"/>
          <w14:textFill>
            <w14:solidFill>
              <w14:schemeClr w14:val="tx1"/>
            </w14:solidFill>
          </w14:textFill>
        </w:rPr>
        <w:t xml:space="preserve">月</w:t>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pStyle w:val="712"/>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pStyle w:val="750"/>
        <w:jc w:val="center"/>
        <w:rPr>
          <w:rFonts w:hint="eastAsia" w:ascii="仿宋" w:hAnsi="仿宋" w:eastAsia="仿宋" w:cs="仿宋"/>
          <w:color w:val="000000" w:themeColor="text1"/>
          <w:sz w:val="48"/>
          <w:szCs w:val="48"/>
          <w:highlight w:val="none"/>
          <w:shd w:val="clear" w:color="auto" w:fill="auto"/>
          <w:lang w:val="zh-CN"/>
          <w14:textFill>
            <w14:solidFill>
              <w14:schemeClr w14:val="tx1"/>
            </w14:solidFill>
          </w14:textFill>
        </w:rPr>
        <w:sectPr>
          <w:headerReference w:type="default" r:id="rId8"/>
          <w:headerReference w:type="first" r:id="rId9"/>
          <w:footnotePr/>
          <w:endnotePr/>
          <w:type w:val="nextPage"/>
          <w:pgSz w:w="11906" w:h="16838" w:orient="portrait"/>
          <w:pgMar w:top="1440" w:right="1800" w:bottom="1440" w:left="1843" w:header="851" w:footer="992" w:gutter="0"/>
          <w:cols w:num="1" w:sep="0" w:space="425" w:equalWidth="1"/>
          <w:docGrid w:linePitch="360"/>
          <w:titlePg/>
        </w:sectPr>
      </w:pPr>
      <w:r>
        <w:rPr>
          <w:rFonts w:hint="eastAsia" w:ascii="仿宋" w:hAnsi="仿宋" w:eastAsia="仿宋" w:cs="仿宋"/>
          <w:color w:val="000000" w:themeColor="text1"/>
          <w:sz w:val="48"/>
          <w:szCs w:val="48"/>
          <w:highlight w:val="none"/>
          <w:shd w:val="clear" w:color="auto" w:fill="auto"/>
          <w:lang w:val="zh-CN"/>
          <w14:textFill>
            <w14:solidFill>
              <w14:schemeClr w14:val="tx1"/>
            </w14:solidFill>
          </w14:textFill>
        </w:rPr>
      </w:r>
      <w:r/>
    </w:p>
    <w:p>
      <w:pPr>
        <w:pStyle w:val="750"/>
        <w:jc w:val="cente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sz w:val="48"/>
          <w:szCs w:val="48"/>
          <w:highlight w:val="none"/>
          <w:shd w:val="clear" w:color="auto" w:fill="auto"/>
          <w:lang w:val="zh-CN"/>
          <w14:textFill>
            <w14:solidFill>
              <w14:schemeClr w14:val="tx1"/>
            </w14:solidFill>
          </w14:textFill>
        </w:rPr>
        <w:t xml:space="preserve">目 录</w:t>
      </w:r>
      <w:r/>
    </w:p>
    <w:p>
      <w:pPr>
        <w:pStyle w:val="728"/>
        <w:spacing w:line="560" w:lineRule="exact"/>
        <w:tabs>
          <w:tab w:val="right" w:pos="8253" w:leader="dot"/>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instrText xml:space="preserve"> TOC \o "1-3" \h \z \u </w:instrTex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separate"/>
      </w:r>
      <w:r>
        <w:rPr>
          <w:rStyle w:val="735"/>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begin"/>
      </w:r>
      <w:r>
        <w:rPr>
          <w:rStyle w:val="735"/>
          <w:rFonts w:hint="eastAsia" w:ascii="仿宋" w:hAnsi="仿宋" w:eastAsia="仿宋" w:cs="仿宋"/>
          <w:color w:val="000000" w:themeColor="text1"/>
          <w:sz w:val="28"/>
          <w:szCs w:val="28"/>
          <w:highlight w:val="none"/>
          <w:shd w:val="clear" w:color="auto" w:fill="auto"/>
          <w14:textFill>
            <w14:solidFill>
              <w14:schemeClr w14:val="tx1"/>
            </w14:solidFill>
          </w14:textFill>
        </w:rPr>
        <w:instrText xml:space="preserve"> HYPERLINK \l "_Toc102655454" </w:instrText>
      </w:r>
      <w:r>
        <w:rPr>
          <w:rStyle w:val="735"/>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separate"/>
      </w:r>
      <w:r>
        <w:rPr>
          <w:rStyle w:val="735"/>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第一章、参加</w:t>
      </w:r>
      <w:r>
        <w:rPr>
          <w:rStyle w:val="735"/>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单一来源采购</w:t>
      </w:r>
      <w:r>
        <w:rPr>
          <w:rStyle w:val="735"/>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供应商须知前附表</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ab/>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instrText xml:space="preserve"> PAGEREF _Toc102655454 \h </w:instrTex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separate"/>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3</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p>
    <w:p>
      <w:pPr>
        <w:pStyle w:val="728"/>
        <w:spacing w:line="560" w:lineRule="exact"/>
        <w:tabs>
          <w:tab w:val="right" w:pos="8253" w:leader="dot"/>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highlight w:val="none"/>
          <w:shd w:val="clear" w:color="auto" w:fill="auto"/>
          <w14:textFill>
            <w14:solidFill>
              <w14:schemeClr w14:val="tx1"/>
            </w14:solidFill>
          </w14:textFill>
        </w:rPr>
        <w:instrText xml:space="preserve"> HYPERLINK \l "_Toc102655455" </w:instrText>
      </w:r>
      <w:r>
        <w:rPr>
          <w:rFonts w:hint="eastAsia" w:ascii="仿宋" w:hAnsi="仿宋" w:eastAsia="仿宋" w:cs="仿宋"/>
          <w:color w:val="000000" w:themeColor="text1"/>
          <w:highlight w:val="none"/>
          <w:shd w:val="clear" w:color="auto" w:fill="auto"/>
          <w14:textFill>
            <w14:solidFill>
              <w14:schemeClr w14:val="tx1"/>
            </w14:solidFill>
          </w14:textFill>
        </w:rPr>
        <w:fldChar w:fldCharType="separate"/>
      </w:r>
      <w:r>
        <w:rPr>
          <w:rStyle w:val="735"/>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第二章、参加</w:t>
      </w:r>
      <w:r>
        <w:rPr>
          <w:rStyle w:val="735"/>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单一来源采购</w:t>
      </w:r>
      <w:r>
        <w:rPr>
          <w:rStyle w:val="735"/>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供应商须知</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ab/>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instrText xml:space="preserve"> PAGEREF _Toc102655455 \h </w:instrTex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separate"/>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7</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p>
    <w:p>
      <w:pPr>
        <w:pStyle w:val="728"/>
        <w:spacing w:line="560" w:lineRule="exact"/>
        <w:tabs>
          <w:tab w:val="right" w:pos="8253" w:leader="dot"/>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highlight w:val="none"/>
          <w:shd w:val="clear" w:color="auto" w:fill="auto"/>
          <w14:textFill>
            <w14:solidFill>
              <w14:schemeClr w14:val="tx1"/>
            </w14:solidFill>
          </w14:textFill>
        </w:rPr>
        <w:instrText xml:space="preserve"> HYPERLINK \l "_Toc102655456" </w:instrText>
      </w:r>
      <w:r>
        <w:rPr>
          <w:rFonts w:hint="eastAsia" w:ascii="仿宋" w:hAnsi="仿宋" w:eastAsia="仿宋" w:cs="仿宋"/>
          <w:color w:val="000000" w:themeColor="text1"/>
          <w:highlight w:val="none"/>
          <w:shd w:val="clear" w:color="auto" w:fill="auto"/>
          <w14:textFill>
            <w14:solidFill>
              <w14:schemeClr w14:val="tx1"/>
            </w14:solidFill>
          </w14:textFill>
        </w:rPr>
        <w:fldChar w:fldCharType="separate"/>
      </w:r>
      <w:r>
        <w:rPr>
          <w:rStyle w:val="735"/>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第三章、项目需求</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ab/>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instrText xml:space="preserve"> PAGEREF _Toc102655456 \h </w:instrTex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separate"/>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14</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p>
    <w:p>
      <w:pPr>
        <w:pStyle w:val="728"/>
        <w:spacing w:line="560" w:lineRule="exact"/>
        <w:tabs>
          <w:tab w:val="right" w:pos="8253" w:leader="dot"/>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highlight w:val="none"/>
          <w:shd w:val="clear" w:color="auto" w:fill="auto"/>
          <w14:textFill>
            <w14:solidFill>
              <w14:schemeClr w14:val="tx1"/>
            </w14:solidFill>
          </w14:textFill>
        </w:rPr>
        <w:instrText xml:space="preserve"> HYPERLINK \l "_Toc102655457" </w:instrText>
      </w:r>
      <w:r>
        <w:rPr>
          <w:rFonts w:hint="eastAsia" w:ascii="仿宋" w:hAnsi="仿宋" w:eastAsia="仿宋" w:cs="仿宋"/>
          <w:color w:val="000000" w:themeColor="text1"/>
          <w:highlight w:val="none"/>
          <w:shd w:val="clear" w:color="auto" w:fill="auto"/>
          <w14:textFill>
            <w14:solidFill>
              <w14:schemeClr w14:val="tx1"/>
            </w14:solidFill>
          </w14:textFill>
        </w:rPr>
        <w:fldChar w:fldCharType="separate"/>
      </w:r>
      <w:r>
        <w:rPr>
          <w:rStyle w:val="735"/>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第四章、合同条款前附表</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ab/>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instrText xml:space="preserve"> PAGEREF _Toc102655457 \h </w:instrTex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separate"/>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17</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p>
    <w:p>
      <w:pPr>
        <w:pStyle w:val="728"/>
        <w:spacing w:line="560" w:lineRule="exact"/>
        <w:tabs>
          <w:tab w:val="right" w:pos="8253" w:leader="dot"/>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highlight w:val="none"/>
          <w:shd w:val="clear" w:color="auto" w:fill="auto"/>
          <w14:textFill>
            <w14:solidFill>
              <w14:schemeClr w14:val="tx1"/>
            </w14:solidFill>
          </w14:textFill>
        </w:rPr>
        <w:instrText xml:space="preserve"> HYPERLINK \l "_Toc102655458" </w:instrText>
      </w:r>
      <w:r>
        <w:rPr>
          <w:rFonts w:hint="eastAsia" w:ascii="仿宋" w:hAnsi="仿宋" w:eastAsia="仿宋" w:cs="仿宋"/>
          <w:color w:val="000000" w:themeColor="text1"/>
          <w:highlight w:val="none"/>
          <w:shd w:val="clear" w:color="auto" w:fill="auto"/>
          <w14:textFill>
            <w14:solidFill>
              <w14:schemeClr w14:val="tx1"/>
            </w14:solidFill>
          </w14:textFill>
        </w:rPr>
        <w:fldChar w:fldCharType="separate"/>
      </w:r>
      <w:r>
        <w:rPr>
          <w:rStyle w:val="735"/>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第五章、合同格式</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ab/>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instrText xml:space="preserve"> PAGEREF _Toc102655458 \h </w:instrTex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separate"/>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18</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p>
    <w:p>
      <w:pPr>
        <w:pStyle w:val="728"/>
        <w:spacing w:line="560" w:lineRule="exact"/>
        <w:tabs>
          <w:tab w:val="right" w:pos="8253" w:leader="dot"/>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highlight w:val="none"/>
          <w:shd w:val="clear" w:color="auto" w:fill="auto"/>
          <w14:textFill>
            <w14:solidFill>
              <w14:schemeClr w14:val="tx1"/>
            </w14:solidFill>
          </w14:textFill>
        </w:rPr>
        <w:instrText xml:space="preserve"> HYPERLINK \l "_Toc102655459" </w:instrText>
      </w:r>
      <w:r>
        <w:rPr>
          <w:rFonts w:hint="eastAsia" w:ascii="仿宋" w:hAnsi="仿宋" w:eastAsia="仿宋" w:cs="仿宋"/>
          <w:color w:val="000000" w:themeColor="text1"/>
          <w:highlight w:val="none"/>
          <w:shd w:val="clear" w:color="auto" w:fill="auto"/>
          <w14:textFill>
            <w14:solidFill>
              <w14:schemeClr w14:val="tx1"/>
            </w14:solidFill>
          </w14:textFill>
        </w:rPr>
        <w:fldChar w:fldCharType="separate"/>
      </w:r>
      <w:r>
        <w:rPr>
          <w:rStyle w:val="735"/>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第六章、</w:t>
      </w:r>
      <w:r>
        <w:rPr>
          <w:rStyle w:val="735"/>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单一来源采购</w:t>
      </w:r>
      <w:r>
        <w:rPr>
          <w:rStyle w:val="735"/>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响应文件的组成</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ab/>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instrText xml:space="preserve"> PAGEREF _Toc102655459 \h </w:instrTex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separate"/>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25</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p>
    <w:p>
      <w:pPr>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left"/>
        <w:widowControl/>
        <w:rPr>
          <w:rFonts w:hint="eastAsia" w:ascii="仿宋" w:hAnsi="仿宋" w:eastAsia="仿宋" w:cs="仿宋"/>
          <w:b/>
          <w:color w:val="000000" w:themeColor="text1"/>
          <w:sz w:val="44"/>
          <w:szCs w:val="20"/>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br w:type="page" w:clear="all"/>
      </w:r>
      <w:r/>
    </w:p>
    <w:p>
      <w:pPr>
        <w:pStyle w:val="710"/>
        <w:rPr>
          <w:rFonts w:hint="eastAsia" w:ascii="仿宋" w:hAnsi="仿宋" w:eastAsia="仿宋" w:cs="仿宋"/>
          <w:color w:val="000000" w:themeColor="text1"/>
          <w:highlight w:val="none"/>
          <w:shd w:val="clear" w:color="auto" w:fill="auto"/>
          <w14:textFill>
            <w14:solidFill>
              <w14:schemeClr w14:val="tx1"/>
            </w14:solidFill>
          </w14:textFill>
        </w:rPr>
      </w:pPr>
      <w:r/>
      <w:bookmarkStart w:id="0" w:name="_Toc102655454"/>
      <w:r>
        <w:rPr>
          <w:rFonts w:hint="eastAsia" w:ascii="仿宋" w:hAnsi="仿宋" w:eastAsia="仿宋" w:cs="仿宋"/>
          <w:color w:val="000000" w:themeColor="text1"/>
          <w:highlight w:val="none"/>
          <w:shd w:val="clear" w:color="auto" w:fill="auto"/>
          <w14:textFill>
            <w14:solidFill>
              <w14:schemeClr w14:val="tx1"/>
            </w14:solidFill>
          </w14:textFill>
        </w:rPr>
        <w:t xml:space="preserve">第一章、参加</w:t>
      </w:r>
      <w:r>
        <w:rPr>
          <w:rFonts w:hint="eastAsia" w:ascii="仿宋" w:hAnsi="仿宋" w:eastAsia="仿宋" w:cs="仿宋"/>
          <w:color w:val="000000" w:themeColor="text1"/>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highlight w:val="none"/>
          <w:shd w:val="clear" w:color="auto" w:fill="auto"/>
          <w14:textFill>
            <w14:solidFill>
              <w14:schemeClr w14:val="tx1"/>
            </w14:solidFill>
          </w14:textFill>
        </w:rPr>
        <w:t xml:space="preserve">供应商须知前附表</w:t>
      </w:r>
      <w:bookmarkEnd w:id="0"/>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tbl>
      <w:tblPr>
        <w:tblStyle w:val="714"/>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088"/>
      </w:tblGrid>
      <w:tr>
        <w:trPr>
          <w:trHeight w:val="90"/>
        </w:trPr>
        <w:tc>
          <w:tcPr>
            <w:shd w:val="pct10" w:color="auto" w:fill="ffffff"/>
            <w:tcW w:w="1134" w:type="dxa"/>
            <w:vAlign w:val="center"/>
            <w:textDirection w:val="lrTb"/>
            <w:noWrap w:val="false"/>
          </w:tcPr>
          <w:p>
            <w:pPr>
              <w:jc w:val="center"/>
              <w:rPr>
                <w:rFonts w:hint="eastAsia" w:ascii="仿宋" w:hAnsi="仿宋" w:eastAsia="仿宋" w:cs="仿宋"/>
                <w:b/>
                <w:color w:val="000000" w:themeColor="text1"/>
                <w:highlight w:val="none"/>
                <w:shd w:val="clear" w:color="auto" w:fill="auto"/>
                <w14:textFill>
                  <w14:solidFill>
                    <w14:schemeClr w14:val="tx1"/>
                  </w14:solidFill>
                </w14:textFill>
              </w:rPr>
            </w:pPr>
            <w:r>
              <w:rPr>
                <w:rFonts w:hint="eastAsia" w:ascii="仿宋" w:hAnsi="仿宋" w:eastAsia="仿宋" w:cs="仿宋"/>
                <w:b/>
                <w:color w:val="000000" w:themeColor="text1"/>
                <w:highlight w:val="none"/>
                <w:shd w:val="clear" w:color="auto" w:fill="auto"/>
                <w14:textFill>
                  <w14:solidFill>
                    <w14:schemeClr w14:val="tx1"/>
                  </w14:solidFill>
                </w14:textFill>
              </w:rPr>
              <w:t xml:space="preserve">序号</w:t>
            </w:r>
            <w:r/>
          </w:p>
        </w:tc>
        <w:tc>
          <w:tcPr>
            <w:shd w:val="pct10" w:color="auto" w:fill="ffffff"/>
            <w:tcW w:w="7088" w:type="dxa"/>
            <w:vAlign w:val="center"/>
            <w:textDirection w:val="lrTb"/>
            <w:noWrap w:val="false"/>
          </w:tcPr>
          <w:p>
            <w:pPr>
              <w:jc w:val="center"/>
              <w:rPr>
                <w:rFonts w:hint="eastAsia" w:ascii="仿宋" w:hAnsi="仿宋" w:eastAsia="仿宋" w:cs="仿宋"/>
                <w:b/>
                <w:color w:val="000000" w:themeColor="text1"/>
                <w:highlight w:val="none"/>
                <w:shd w:val="clear" w:color="auto" w:fill="auto"/>
                <w14:textFill>
                  <w14:solidFill>
                    <w14:schemeClr w14:val="tx1"/>
                  </w14:solidFill>
                </w14:textFill>
              </w:rPr>
            </w:pPr>
            <w:r>
              <w:rPr>
                <w:rFonts w:hint="eastAsia" w:ascii="仿宋" w:hAnsi="仿宋" w:eastAsia="仿宋" w:cs="仿宋"/>
                <w:b/>
                <w:color w:val="000000" w:themeColor="text1"/>
                <w:highlight w:val="none"/>
                <w:shd w:val="clear" w:color="auto" w:fill="auto"/>
                <w14:textFill>
                  <w14:solidFill>
                    <w14:schemeClr w14:val="tx1"/>
                  </w14:solidFill>
                </w14:textFill>
              </w:rPr>
              <w:t xml:space="preserve">内  容</w:t>
            </w:r>
            <w:r/>
          </w:p>
        </w:tc>
      </w:tr>
      <w:tr>
        <w:trPr>
          <w:trHeight w:val="645"/>
        </w:trPr>
        <w:tc>
          <w:tcPr>
            <w:tcW w:w="1134" w:type="dxa"/>
            <w:vAlign w:val="center"/>
            <w:textDirection w:val="lrTb"/>
            <w:noWrap w:val="false"/>
          </w:tcPr>
          <w:p>
            <w:pPr>
              <w:jc w:val="cente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w:t>
            </w:r>
            <w:r/>
          </w:p>
        </w:tc>
        <w:tc>
          <w:tcPr>
            <w:tcW w:w="7088" w:type="dxa"/>
            <w:textDirection w:val="lrTb"/>
            <w:noWrap w:val="false"/>
          </w:tcPr>
          <w:p>
            <w:pPr>
              <w:ind w:left="1400" w:hanging="140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项目名称：南京市建邺区水西门大街69号房屋租赁服务项目</w:t>
            </w:r>
            <w:r/>
          </w:p>
          <w:p>
            <w:pPr>
              <w:spacing w:line="360" w:lineRule="auto"/>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项目编号：</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JSZC-320100-SJGC-D2026-0006</w:t>
            </w:r>
            <w:r/>
          </w:p>
        </w:tc>
      </w:tr>
      <w:tr>
        <w:trPr>
          <w:trHeight w:val="647"/>
        </w:trPr>
        <w:tc>
          <w:tcPr>
            <w:tcW w:w="1134" w:type="dxa"/>
            <w:vAlign w:val="center"/>
            <w:textDirection w:val="lrTb"/>
            <w:noWrap w:val="false"/>
          </w:tcPr>
          <w:p>
            <w:pPr>
              <w:jc w:val="cente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w:t>
            </w:r>
            <w:r/>
          </w:p>
        </w:tc>
        <w:tc>
          <w:tcPr>
            <w:tcW w:w="7088" w:type="dxa"/>
            <w:textDirection w:val="lrTb"/>
            <w:noWrap w:val="false"/>
          </w:tcPr>
          <w:p>
            <w:pPr>
              <w:spacing w:line="285" w:lineRule="atLeast"/>
              <w:widowControl/>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采购单位：南京市医疗保险管理中心</w:t>
            </w:r>
            <w:r/>
          </w:p>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采购单位地</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址：南京市水西门大街223号</w:t>
            </w:r>
            <w:r/>
          </w:p>
        </w:tc>
      </w:tr>
      <w:tr>
        <w:trPr>
          <w:trHeight w:val="1936"/>
        </w:trPr>
        <w:tc>
          <w:tcPr>
            <w:tcW w:w="1134" w:type="dxa"/>
            <w:vAlign w:val="center"/>
            <w:textDirection w:val="lrTb"/>
            <w:noWrap w:val="false"/>
          </w:tcPr>
          <w:p>
            <w:pPr>
              <w:jc w:val="cente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w:t>
            </w:r>
            <w:r/>
          </w:p>
        </w:tc>
        <w:tc>
          <w:tcPr>
            <w:tcW w:w="7088" w:type="dxa"/>
            <w:textDirection w:val="lrTb"/>
            <w:noWrap w:val="false"/>
          </w:tcPr>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发布</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文件时间：</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2026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年</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05</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月</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20</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日17:00起</w:t>
            </w:r>
            <w:r/>
          </w:p>
          <w:p>
            <w:pPr>
              <w:rPr>
                <w:rFonts w:hint="default" w:ascii="仿宋" w:hAnsi="仿宋" w:eastAsia="仿宋" w:cs="仿宋"/>
                <w:color w:val="000000" w:themeColor="text1"/>
                <w:sz w:val="28"/>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响应文件接收截止时间：</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2026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年</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05</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月</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21</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日北京时间</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16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00</w:t>
            </w:r>
            <w:r/>
          </w:p>
        </w:tc>
      </w:tr>
      <w:tr>
        <w:trPr>
          <w:trHeight w:val="238"/>
        </w:trPr>
        <w:tc>
          <w:tcPr>
            <w:tcW w:w="1134" w:type="dxa"/>
            <w:vAlign w:val="center"/>
            <w:textDirection w:val="lrTb"/>
            <w:noWrap w:val="false"/>
          </w:tcPr>
          <w:p>
            <w:pPr>
              <w:jc w:val="cente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4</w:t>
            </w:r>
            <w:r/>
          </w:p>
        </w:tc>
        <w:tc>
          <w:tcPr>
            <w:tcW w:w="7088" w:type="dxa"/>
            <w:textDirection w:val="lrTb"/>
            <w:noWrap w:val="false"/>
          </w:tcPr>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有效期：开标后</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十五(15)</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天 </w:t>
            </w:r>
            <w:r/>
          </w:p>
        </w:tc>
      </w:tr>
      <w:tr>
        <w:trPr>
          <w:trHeight w:val="1677"/>
        </w:trPr>
        <w:tc>
          <w:tcPr>
            <w:tcW w:w="1134" w:type="dxa"/>
            <w:vAlign w:val="center"/>
            <w:textDirection w:val="lrTb"/>
            <w:noWrap w:val="false"/>
          </w:tcPr>
          <w:p>
            <w:pPr>
              <w:jc w:val="cente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5</w:t>
            </w:r>
            <w:r/>
          </w:p>
        </w:tc>
        <w:tc>
          <w:tcPr>
            <w:tcW w:w="7088" w:type="dxa"/>
            <w:textDirection w:val="lrTb"/>
            <w:noWrap w:val="false"/>
          </w:tcPr>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响应文件递交至：南京市雨花台区软件大道180号大数据5号楼M层B108-B</w:t>
            </w:r>
            <w:r/>
          </w:p>
          <w:p>
            <w:pPr>
              <w:jc w:val="left"/>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投标文件接收人：顾工、</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吴工</w:t>
            </w:r>
            <w:r/>
          </w:p>
          <w:p>
            <w:pPr>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电话：</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15952197379</w:t>
            </w:r>
            <w:r/>
          </w:p>
        </w:tc>
      </w:tr>
      <w:tr>
        <w:trPr>
          <w:cantSplit/>
          <w:trHeight w:val="70"/>
        </w:trPr>
        <w:tc>
          <w:tcPr>
            <w:tcW w:w="1134" w:type="dxa"/>
            <w:vAlign w:val="center"/>
            <w:textDirection w:val="lrTb"/>
            <w:noWrap w:val="false"/>
          </w:tcPr>
          <w:p>
            <w:pPr>
              <w:jc w:val="cente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6</w:t>
            </w:r>
            <w:r/>
          </w:p>
        </w:tc>
        <w:tc>
          <w:tcPr>
            <w:tcW w:w="7088" w:type="dxa"/>
            <w:textDirection w:val="lrTb"/>
            <w:noWrap w:val="false"/>
          </w:tcPr>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响应文件正本份数：壹份   副本份数：贰份</w:t>
            </w:r>
            <w:r/>
          </w:p>
        </w:tc>
      </w:tr>
      <w:tr>
        <w:trPr>
          <w:trHeight w:val="1146"/>
        </w:trPr>
        <w:tc>
          <w:tcPr>
            <w:tcW w:w="1134" w:type="dxa"/>
            <w:vAlign w:val="center"/>
            <w:textDirection w:val="lrTb"/>
            <w:noWrap w:val="false"/>
          </w:tcPr>
          <w:p>
            <w:pPr>
              <w:jc w:val="cente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7</w:t>
            </w:r>
            <w:r/>
          </w:p>
        </w:tc>
        <w:tc>
          <w:tcPr>
            <w:tcW w:w="7088" w:type="dxa"/>
            <w:textDirection w:val="lrTb"/>
            <w:noWrap w:val="false"/>
          </w:tcPr>
          <w:p>
            <w:pPr>
              <w:rPr>
                <w:rFonts w:hint="default" w:ascii="仿宋" w:hAnsi="仿宋" w:eastAsia="仿宋" w:cs="仿宋"/>
                <w:color w:val="000000" w:themeColor="text1"/>
                <w:sz w:val="28"/>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开始</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时间：</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2026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年</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05</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月</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21</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日北京时间1</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00</w:t>
            </w:r>
            <w:r/>
          </w:p>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地点：南京市雨花台区软件大道180号大数据5号楼M层B108-B</w:t>
            </w:r>
            <w:r/>
          </w:p>
        </w:tc>
      </w:tr>
    </w:tbl>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bookmarkStart w:id="1" w:name="_Toc448323472"/>
      <w:r/>
      <w:r/>
    </w:p>
    <w:p>
      <w:pPr>
        <w:jc w:val="left"/>
        <w:widowControl/>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br w:type="page" w:clear="all"/>
      </w:r>
      <w:r/>
    </w:p>
    <w:p>
      <w:pPr>
        <w:jc w:val="center"/>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邀请函</w:t>
      </w:r>
      <w:bookmarkEnd w:id="1"/>
      <w:r/>
      <w:r/>
    </w:p>
    <w:p>
      <w:pPr>
        <w:pStyle w:val="747"/>
        <w:ind w:firstLine="0"/>
        <w:spacing w:line="560" w:lineRule="exact"/>
        <w:rPr>
          <w:rFonts w:hint="eastAsia" w:ascii="仿宋" w:hAnsi="仿宋" w:eastAsia="仿宋" w:cs="仿宋"/>
          <w:b/>
          <w:color w:val="000000" w:themeColor="text1"/>
          <w:sz w:val="28"/>
          <w:highlight w:val="none"/>
          <w:shd w:val="clear" w:color="auto" w:fill="auto"/>
          <w14:textFill>
            <w14:solidFill>
              <w14:schemeClr w14:val="tx1"/>
            </w14:solidFill>
          </w14:textFill>
        </w:rPr>
      </w:pP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江苏省福利彩票发行中心：</w:t>
      </w:r>
      <w:r/>
    </w:p>
    <w:p>
      <w:pPr>
        <w:ind w:firstLine="56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u w:val="single"/>
          <w:shd w:val="clear" w:color="auto" w:fill="auto"/>
          <w:lang w:eastAsia="zh-CN"/>
          <w14:textFill>
            <w14:solidFill>
              <w14:schemeClr w14:val="tx1"/>
            </w14:solidFill>
          </w14:textFill>
        </w:rPr>
        <w:t xml:space="preserve">江苏苏建工程项目管理咨询有限公司</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（以下简称“代理机构”）受</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南京市医疗保险管理中心（以下简称“采购人”）</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的委托，就</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南京市建邺区水西门大街69号房屋租赁服务项目</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以单一来源采购方式进行政府分散采购，我们诚恳地邀请贵公司参加，请按照单一来源采购文件的要求认真准备准时前来参加投标。</w:t>
      </w:r>
      <w:r/>
    </w:p>
    <w:p>
      <w:pPr>
        <w:pStyle w:val="747"/>
        <w:numPr>
          <w:ilvl w:val="0"/>
          <w:numId w:val="0"/>
        </w:numPr>
        <w:ind w:firstLine="560"/>
        <w:spacing w:line="560" w:lineRule="exact"/>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szCs w:val="24"/>
          <w:highlight w:val="none"/>
          <w:shd w:val="clear" w:color="auto" w:fill="auto"/>
          <w:lang w:val="en-US" w:eastAsia="zh-CN" w:bidi="ar-SA"/>
          <w14:textFill>
            <w14:solidFill>
              <w14:schemeClr w14:val="tx1"/>
            </w14:solidFill>
          </w14:textFill>
        </w:rPr>
        <w:t xml:space="preserve">1、</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项目编号：</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JSZC-320100-SJGC-D2026-0006</w:t>
      </w:r>
      <w:r/>
    </w:p>
    <w:p>
      <w:pPr>
        <w:pStyle w:val="747"/>
        <w:numPr>
          <w:ilvl w:val="0"/>
          <w:numId w:val="0"/>
        </w:numPr>
        <w:ind w:firstLine="560"/>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2"/>
          <w:highlight w:val="none"/>
          <w:shd w:val="clear" w:color="auto" w:fill="auto"/>
          <w14:textFill>
            <w14:solidFill>
              <w14:schemeClr w14:val="tx1"/>
            </w14:solidFill>
          </w14:textFill>
        </w:rPr>
        <w:t xml:space="preserve">2、项目名称</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：南京市建邺区水西门大街69号房屋租赁服务项目</w:t>
      </w:r>
      <w:r/>
    </w:p>
    <w:p>
      <w:pPr>
        <w:pStyle w:val="747"/>
        <w:ind w:firstLine="56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3、项目预算：</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116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万元</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（报价超过项目预算作无效响应处理）</w:t>
      </w:r>
      <w:r/>
    </w:p>
    <w:p>
      <w:pPr>
        <w:pStyle w:val="747"/>
        <w:ind w:firstLine="56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4、供应商资格条件： </w:t>
      </w:r>
      <w:r/>
    </w:p>
    <w:p>
      <w:pPr>
        <w:pStyle w:val="747"/>
        <w:ind w:firstLine="56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符合《中华人民共和国政府采购法》第二十二条规定，并提供下列材料：</w:t>
      </w:r>
      <w:r/>
    </w:p>
    <w:p>
      <w:pPr>
        <w:pStyle w:val="747"/>
        <w:ind w:firstLine="560"/>
        <w:jc w:val="left"/>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供应商信用承诺函；（格式见第六章）</w:t>
      </w:r>
      <w:r/>
    </w:p>
    <w:p>
      <w:pPr>
        <w:ind w:firstLine="56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5、报价时提供以下证明文件和材料： </w:t>
      </w:r>
      <w:r/>
    </w:p>
    <w:p>
      <w:pPr>
        <w:pStyle w:val="747"/>
        <w:ind w:firstLine="560"/>
        <w:jc w:val="left"/>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（1）《企业法人营业执照》或法人证明文件（复印件并加盖公章）； </w:t>
      </w:r>
      <w:r/>
    </w:p>
    <w:p>
      <w:pPr>
        <w:pStyle w:val="747"/>
        <w:ind w:firstLine="560"/>
        <w:jc w:val="left"/>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（2）法定代表人授权书； </w:t>
      </w:r>
      <w:r/>
    </w:p>
    <w:p>
      <w:pPr>
        <w:pStyle w:val="747"/>
        <w:ind w:firstLine="560"/>
        <w:jc w:val="left"/>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（3）授权代表的身份证（复印件并加盖公章）；</w:t>
      </w:r>
      <w:r/>
    </w:p>
    <w:p>
      <w:pPr>
        <w:pStyle w:val="747"/>
        <w:ind w:firstLine="560"/>
        <w:jc w:val="left"/>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4</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）所提供服务的详细说明、项目实施方案和服务承诺等。</w:t>
      </w:r>
      <w:r/>
    </w:p>
    <w:p>
      <w:pPr>
        <w:pStyle w:val="747"/>
        <w:ind w:firstLine="560"/>
        <w:jc w:val="left"/>
        <w:spacing w:line="560" w:lineRule="exact"/>
        <w:rPr>
          <w:rFonts w:hint="default" w:ascii="仿宋" w:hAnsi="仿宋" w:eastAsia="仿宋" w:cs="仿宋"/>
          <w:color w:val="000000" w:themeColor="text1"/>
          <w:sz w:val="28"/>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6、采购响应文件递交时间：</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2026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年</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05</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月</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21</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日北京时间1</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5</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30</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至</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2026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年</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05</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月</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21</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日北京时间1</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00</w:t>
      </w:r>
      <w:r/>
    </w:p>
    <w:p>
      <w:pPr>
        <w:pStyle w:val="747"/>
        <w:ind w:firstLine="560"/>
        <w:jc w:val="left"/>
        <w:spacing w:line="560" w:lineRule="exact"/>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地点：</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苏采云平台</w:t>
      </w:r>
      <w:r/>
    </w:p>
    <w:p>
      <w:pPr>
        <w:pStyle w:val="747"/>
        <w:ind w:firstLine="560"/>
        <w:jc w:val="left"/>
        <w:spacing w:line="560" w:lineRule="exact"/>
        <w:rPr>
          <w:rFonts w:hint="default" w:ascii="仿宋" w:hAnsi="仿宋" w:eastAsia="仿宋" w:cs="仿宋"/>
          <w:color w:val="000000" w:themeColor="text1"/>
          <w:sz w:val="28"/>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7、开标时间：</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2026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年</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05</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月</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21</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日北京时间1</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00</w:t>
      </w:r>
      <w:r/>
    </w:p>
    <w:p>
      <w:pPr>
        <w:pStyle w:val="747"/>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开标地点：南京市雨花台区软件大道180号大数据5号楼M层B108-B</w:t>
      </w:r>
      <w:r/>
    </w:p>
    <w:p>
      <w:pPr>
        <w:pStyle w:val="747"/>
        <w:ind w:firstLine="560"/>
        <w:jc w:val="left"/>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8、采购人：南京市医疗保险管理中心</w:t>
      </w:r>
      <w:r/>
    </w:p>
    <w:p>
      <w:pPr>
        <w:pStyle w:val="747"/>
        <w:ind w:firstLine="560"/>
        <w:jc w:val="left"/>
        <w:spacing w:line="560" w:lineRule="exact"/>
        <w:rPr>
          <w:rFonts w:hint="default" w:ascii="仿宋" w:hAnsi="仿宋" w:eastAsia="仿宋" w:cs="仿宋"/>
          <w:color w:val="000000" w:themeColor="text1"/>
          <w:sz w:val="28"/>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联系人：韦女士</w:t>
      </w:r>
      <w:r/>
    </w:p>
    <w:p>
      <w:pPr>
        <w:pStyle w:val="747"/>
        <w:ind w:firstLine="560"/>
        <w:jc w:val="left"/>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联系电话：025-86557593</w:t>
      </w:r>
      <w:r/>
    </w:p>
    <w:p>
      <w:pPr>
        <w:pStyle w:val="747"/>
        <w:ind w:firstLine="560"/>
        <w:jc w:val="left"/>
        <w:spacing w:line="560" w:lineRule="exact"/>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9、采购代理机构：</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江苏苏建工程项目管理咨询有限公司</w:t>
      </w:r>
      <w:r/>
    </w:p>
    <w:p>
      <w:pPr>
        <w:pStyle w:val="747"/>
        <w:ind w:firstLine="560"/>
        <w:jc w:val="left"/>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地点：南京市雨花台区软件大道180号大数据5号楼M层B108-B</w:t>
      </w:r>
      <w:r/>
    </w:p>
    <w:p>
      <w:pPr>
        <w:pStyle w:val="747"/>
        <w:ind w:firstLine="560"/>
        <w:jc w:val="left"/>
        <w:spacing w:line="560" w:lineRule="exact"/>
        <w:rPr>
          <w:rFonts w:hint="default" w:ascii="仿宋" w:hAnsi="仿宋" w:eastAsia="仿宋" w:cs="仿宋"/>
          <w:color w:val="000000" w:themeColor="text1"/>
          <w:sz w:val="28"/>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联系人：</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顾工、吴工</w:t>
      </w:r>
      <w:r/>
    </w:p>
    <w:p>
      <w:pPr>
        <w:pStyle w:val="747"/>
        <w:ind w:firstLine="560"/>
        <w:jc w:val="left"/>
        <w:spacing w:line="560" w:lineRule="exact"/>
        <w:rPr>
          <w:rFonts w:hint="default" w:ascii="仿宋" w:hAnsi="仿宋" w:eastAsia="仿宋" w:cs="仿宋"/>
          <w:color w:val="000000" w:themeColor="text1"/>
          <w:sz w:val="28"/>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电话：</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15952197379</w:t>
      </w:r>
      <w:r/>
    </w:p>
    <w:p>
      <w:pPr>
        <w:pStyle w:val="747"/>
        <w:ind w:firstLine="560"/>
        <w:jc w:val="left"/>
        <w:spacing w:line="560" w:lineRule="exact"/>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邮箱：</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jiangsusjgc@163.com</w:t>
      </w:r>
      <w:r/>
    </w:p>
    <w:p>
      <w:pPr>
        <w:ind w:firstLine="56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560"/>
        <w:jc w:val="right"/>
        <w:spacing w:line="560" w:lineRule="exact"/>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江苏苏建工程项目管理咨询有限公司</w:t>
      </w:r>
      <w:r/>
    </w:p>
    <w:p>
      <w:pPr>
        <w:ind w:right="560" w:firstLine="560"/>
        <w:jc w:val="right"/>
        <w:spacing w:line="560" w:lineRule="exact"/>
        <w:rPr>
          <w:rFonts w:hint="eastAsia" w:ascii="仿宋" w:hAnsi="仿宋" w:eastAsia="仿宋" w:cs="仿宋"/>
          <w:color w:val="000000" w:themeColor="text1"/>
          <w:sz w:val="22"/>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2026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年</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05</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月</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20</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w:t>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jc w:val="left"/>
        <w:widowControl/>
        <w:rPr>
          <w:rFonts w:hint="eastAsia" w:ascii="仿宋" w:hAnsi="仿宋" w:eastAsia="仿宋" w:cs="仿宋"/>
          <w:b/>
          <w:color w:val="000000" w:themeColor="text1"/>
          <w:sz w:val="44"/>
          <w:szCs w:val="20"/>
          <w:highlight w:val="none"/>
          <w:shd w:val="clear" w:color="auto" w:fill="auto"/>
          <w14:textFill>
            <w14:solidFill>
              <w14:schemeClr w14:val="tx1"/>
            </w14:solidFill>
          </w14:textFill>
        </w:rPr>
      </w:pPr>
      <w:r/>
      <w:bookmarkStart w:id="2" w:name="_Toc449705439"/>
      <w:r/>
      <w:bookmarkStart w:id="3" w:name="_Toc21854401"/>
      <w:r/>
      <w:bookmarkStart w:id="4" w:name="_Toc526434253"/>
      <w:r/>
      <w:bookmarkStart w:id="5" w:name="_Toc8646820"/>
      <w:r/>
      <w:bookmarkStart w:id="6" w:name="_Toc8646821"/>
      <w:r>
        <w:rPr>
          <w:rFonts w:hint="eastAsia" w:ascii="仿宋" w:hAnsi="仿宋" w:eastAsia="仿宋" w:cs="仿宋"/>
          <w:color w:val="000000" w:themeColor="text1"/>
          <w:highlight w:val="none"/>
          <w:shd w:val="clear" w:color="auto" w:fill="auto"/>
          <w14:textFill>
            <w14:solidFill>
              <w14:schemeClr w14:val="tx1"/>
            </w14:solidFill>
          </w14:textFill>
        </w:rPr>
        <w:br w:type="page" w:clear="all"/>
      </w:r>
      <w:r/>
    </w:p>
    <w:p>
      <w:pPr>
        <w:pStyle w:val="710"/>
        <w:rPr>
          <w:rFonts w:hint="eastAsia" w:ascii="仿宋" w:hAnsi="仿宋" w:eastAsia="仿宋" w:cs="仿宋"/>
          <w:color w:val="000000" w:themeColor="text1"/>
          <w:sz w:val="30"/>
          <w:highlight w:val="none"/>
          <w:shd w:val="clear" w:color="auto" w:fill="auto"/>
          <w14:textFill>
            <w14:solidFill>
              <w14:schemeClr w14:val="tx1"/>
            </w14:solidFill>
          </w14:textFill>
        </w:rPr>
      </w:pPr>
      <w:r/>
      <w:bookmarkStart w:id="7" w:name="_Toc102655455"/>
      <w:r>
        <w:rPr>
          <w:rFonts w:hint="eastAsia" w:ascii="仿宋" w:hAnsi="仿宋" w:eastAsia="仿宋" w:cs="仿宋"/>
          <w:color w:val="000000" w:themeColor="text1"/>
          <w:highlight w:val="none"/>
          <w:shd w:val="clear" w:color="auto" w:fill="auto"/>
          <w14:textFill>
            <w14:solidFill>
              <w14:schemeClr w14:val="tx1"/>
            </w14:solidFill>
          </w14:textFill>
        </w:rPr>
        <w:t xml:space="preserve">第二章、参加</w:t>
      </w:r>
      <w:r>
        <w:rPr>
          <w:rFonts w:hint="eastAsia" w:ascii="仿宋" w:hAnsi="仿宋" w:eastAsia="仿宋" w:cs="仿宋"/>
          <w:color w:val="000000" w:themeColor="text1"/>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highlight w:val="none"/>
          <w:shd w:val="clear" w:color="auto" w:fill="auto"/>
          <w14:textFill>
            <w14:solidFill>
              <w14:schemeClr w14:val="tx1"/>
            </w14:solidFill>
          </w14:textFill>
        </w:rPr>
        <w:t xml:space="preserve">供应商须知</w:t>
      </w:r>
      <w:bookmarkEnd w:id="2"/>
      <w:r/>
      <w:bookmarkEnd w:id="7"/>
      <w:r/>
      <w:r/>
    </w:p>
    <w:p>
      <w:pPr>
        <w:ind w:firstLine="643"/>
        <w:jc w:val="left"/>
        <w:spacing w:line="360" w:lineRule="auto"/>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bookmarkStart w:id="8" w:name="_Toc449705440"/>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一、合格的参加</w:t>
      </w:r>
      <w:r>
        <w:rPr>
          <w:rFonts w:hint="eastAsia" w:ascii="仿宋" w:hAnsi="仿宋" w:eastAsia="仿宋" w:cs="仿宋"/>
          <w:b/>
          <w:color w:val="000000" w:themeColor="text1"/>
          <w:sz w:val="32"/>
          <w:szCs w:val="32"/>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供应商</w:t>
      </w:r>
      <w:bookmarkEnd w:id="3"/>
      <w:r/>
      <w:bookmarkEnd w:id="4"/>
      <w:r/>
      <w:bookmarkEnd w:id="5"/>
      <w:r/>
      <w:bookmarkEnd w:id="8"/>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1、投标人应遵守有关的国家法律、法规和条例，符合《中华人民共和国政府采购法》的二十二条的规定和本文件中规定的条件。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2、具有良好的商业信誉和财务状况、具备独立提供本采购文件中所需服务的能力并能承担民事责任的独立法人。</w:t>
      </w:r>
      <w:bookmarkEnd w:id="6"/>
      <w:r/>
    </w:p>
    <w:p>
      <w:pPr>
        <w:ind w:firstLine="643"/>
        <w:jc w:val="left"/>
        <w:spacing w:line="360" w:lineRule="auto"/>
        <w:rPr>
          <w:rFonts w:hint="eastAsia" w:ascii="仿宋" w:hAnsi="仿宋" w:eastAsia="仿宋" w:cs="仿宋"/>
          <w:color w:val="000000" w:themeColor="text1"/>
          <w:highlight w:val="none"/>
          <w:shd w:val="clear" w:color="auto" w:fill="auto"/>
          <w14:textFill>
            <w14:solidFill>
              <w14:schemeClr w14:val="tx1"/>
            </w14:solidFill>
          </w14:textFill>
        </w:rPr>
      </w:pPr>
      <w:r/>
      <w:bookmarkStart w:id="9" w:name="_Toc449705441"/>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二、</w:t>
      </w:r>
      <w:r>
        <w:rPr>
          <w:rFonts w:hint="eastAsia" w:ascii="仿宋" w:hAnsi="仿宋" w:eastAsia="仿宋" w:cs="仿宋"/>
          <w:b/>
          <w:color w:val="000000" w:themeColor="text1"/>
          <w:sz w:val="32"/>
          <w:szCs w:val="32"/>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报价</w:t>
      </w:r>
      <w:bookmarkEnd w:id="9"/>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1、参加</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供应商的报价应包括本项目所有费用，以及增值税、营业税和其他税费，以及其他交付使用方正式使用前的所有费用。</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报价以项目的总体价格为主，采购单位根据项目服务情况和管理的需求，要求供应商按时完成指定工作。</w:t>
      </w:r>
      <w:r/>
    </w:p>
    <w:p>
      <w:pPr>
        <w:ind w:firstLine="643"/>
        <w:jc w:val="left"/>
        <w:spacing w:line="360" w:lineRule="auto"/>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三、代理费</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1、供应商应承担所有与准备和参加投标有关的费用，无论采购结果如何，代理机构和采购人在任何情况下均无义务和责任承担这些费用。</w:t>
      </w:r>
      <w:r/>
    </w:p>
    <w:p>
      <w:pPr>
        <w:ind w:firstLine="560"/>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2、本次代理服务费由</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供应商支付，共计9800元</w:t>
      </w:r>
      <w:r>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w:t>
      </w:r>
      <w:r/>
    </w:p>
    <w:p>
      <w:pPr>
        <w:ind w:firstLine="560"/>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bookmarkStart w:id="10" w:name="_Toc21854415"/>
      <w:r/>
      <w:bookmarkStart w:id="11" w:name="_Toc449705442"/>
      <w:r/>
      <w:bookmarkStart w:id="12" w:name="_Toc8646836"/>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账户名称：江苏苏建工程项目管理咨询有限公司</w:t>
      </w:r>
      <w:r/>
    </w:p>
    <w:p>
      <w:pPr>
        <w:ind w:firstLine="560"/>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开 户 行：中国银行南京东宝路支行 </w:t>
      </w:r>
      <w:r/>
    </w:p>
    <w:p>
      <w:pPr>
        <w:ind w:firstLine="560"/>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账   号：480676846430</w:t>
      </w:r>
      <w:r/>
    </w:p>
    <w:p>
      <w:pPr>
        <w:ind w:firstLine="643"/>
        <w:jc w:val="left"/>
        <w:spacing w:line="360" w:lineRule="auto"/>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四、</w:t>
      </w:r>
      <w:bookmarkEnd w:id="10"/>
      <w:r/>
      <w:bookmarkEnd w:id="11"/>
      <w:r/>
      <w:bookmarkEnd w:id="12"/>
      <w:r/>
      <w:bookmarkStart w:id="13" w:name="_Toc8646838"/>
      <w:r/>
      <w:bookmarkStart w:id="14" w:name="_Toc21854417"/>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投标文件份数和签署</w:t>
      </w:r>
      <w:r/>
    </w:p>
    <w:p>
      <w:pPr>
        <w:ind w:firstLine="560"/>
        <w:jc w:val="left"/>
        <w:rPr>
          <w:rFonts w:hint="eastAsia" w:ascii="仿宋" w:hAnsi="仿宋" w:eastAsia="仿宋" w:cs="仿宋"/>
          <w:b/>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1、参加</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供应商应准备</w:t>
      </w: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壹份投标文件正本，贰份文件副本</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，并写明“</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响应文件正本”和“</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响应文件副本”，当正本文件与副本文件有不一致之处，以正本为准。</w:t>
      </w: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资格证明文件正、副本均附。</w:t>
      </w:r>
      <w:r/>
    </w:p>
    <w:p>
      <w:pPr>
        <w:ind w:firstLine="562"/>
        <w:jc w:val="left"/>
        <w:rPr>
          <w:rFonts w:hint="eastAsia" w:ascii="仿宋" w:hAnsi="仿宋" w:eastAsia="仿宋" w:cs="仿宋"/>
          <w:b/>
          <w:color w:val="000000" w:themeColor="text1"/>
          <w:sz w:val="28"/>
          <w:highlight w:val="none"/>
          <w:shd w:val="clear" w:color="auto" w:fill="auto"/>
          <w14:textFill>
            <w14:solidFill>
              <w14:schemeClr w14:val="tx1"/>
            </w14:solidFill>
          </w14:textFill>
        </w:rPr>
      </w:pP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2、</w:t>
      </w:r>
      <w:r>
        <w:rPr>
          <w:rFonts w:hint="eastAsia" w:ascii="仿宋" w:hAnsi="仿宋" w:eastAsia="仿宋" w:cs="仿宋"/>
          <w:b/>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响应文件的正本和所有副本均应打印或复印，并由参加</w:t>
      </w:r>
      <w:r>
        <w:rPr>
          <w:rFonts w:hint="eastAsia" w:ascii="仿宋" w:hAnsi="仿宋" w:eastAsia="仿宋" w:cs="仿宋"/>
          <w:b/>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供应商法定代表人或正式授权人签署。</w:t>
      </w:r>
      <w:r/>
    </w:p>
    <w:p>
      <w:pPr>
        <w:ind w:firstLine="643"/>
        <w:jc w:val="left"/>
        <w:spacing w:line="360" w:lineRule="auto"/>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五、投标文件组成</w:t>
      </w:r>
      <w:r/>
    </w:p>
    <w:p>
      <w:pPr>
        <w:ind w:firstLine="560"/>
        <w:jc w:val="left"/>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供应商应当根据采购文件要求编制投标文件，投标文件应对采购文件提出的要求和条件作出实质性响应，并在《采购需求偏离表》逐条标明满足与否。对带星号（“★”）的技术条款必须在投标文件中提供技术支持资料（如白皮书、彩页、手册等），未提供技术支持资料的，评审时不予认可。</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2、供应商根据采购文件载明的标的采购项目实际情况，拟在成交后将成交项目的非主体、非关键性工作交由他人完成的，应当在投标文件中载明。</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3、投标文件由商务部分、技术部分、价格部分，以及其他部分组成。</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3.1投标文件的商务部分：商务部分是证明供应商有资格参加投标和成交后有能力履行合同的文件，这些文件应能满足采购的要求，包括但不限于下列文件，其中加※项目不得有缺失或无效。</w:t>
      </w:r>
      <w:r/>
    </w:p>
    <w:p>
      <w:pPr>
        <w:ind w:firstLine="560"/>
        <w:jc w:val="left"/>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（1）※投标申请及声明；</w:t>
      </w:r>
      <w:r/>
    </w:p>
    <w:p>
      <w:pPr>
        <w:ind w:firstLine="560"/>
        <w:jc w:val="left"/>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 ※法定代表人授权委托书及委托代理人的身份证明文件的复印件；</w:t>
      </w:r>
      <w:r/>
    </w:p>
    <w:p>
      <w:pPr>
        <w:ind w:firstLine="560"/>
        <w:jc w:val="left"/>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（3）※第一章邀请函中第4条规定的供应商资格条件；</w:t>
      </w:r>
      <w:r/>
    </w:p>
    <w:p>
      <w:pPr>
        <w:ind w:firstLine="560"/>
        <w:jc w:val="left"/>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（4）供应商认为需要提供的其他资格证明文件和商务资料等。</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3.2 投标文件的技术部分</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技术部分是证明供应商提供的产品和服务是合格的、并符合采购文件要求的证明文件，以及对投标报价表中的服务的详细说明，这些文件可以是文字资料、图纸和数据等。</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若技术性能无特殊说明，则按国家有关部门最新颁布的标准及规范为准；</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提供的服务如与采购文件要求有不符之处，应说明其差别之所在，并在《采购需求偏离表》中逐条予以说明。</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投标文件应按照采购文件要求提供技术资料、文件和有关证明，包括但不限于其中加※项目不得有缺失或无效：</w:t>
      </w:r>
      <w:r/>
    </w:p>
    <w:p>
      <w:pPr>
        <w:ind w:firstLine="560"/>
        <w:jc w:val="left"/>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（1）主要服务指标等详细说明；</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（2）※《采购需求偏离表》；</w:t>
      </w:r>
      <w:r/>
    </w:p>
    <w:p>
      <w:pPr>
        <w:ind w:firstLine="560"/>
        <w:jc w:val="lef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（3）项目实施方案；</w:t>
      </w:r>
      <w:r/>
    </w:p>
    <w:p>
      <w:pPr>
        <w:ind w:firstLine="560"/>
        <w:jc w:val="left"/>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（4）服务承诺（格式见附件）；</w:t>
      </w:r>
      <w:r/>
    </w:p>
    <w:p>
      <w:pPr>
        <w:ind w:firstLine="560"/>
        <w:jc w:val="left"/>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（5）供应商认为需要提供的其他技术资料。</w:t>
      </w:r>
      <w:r/>
    </w:p>
    <w:p>
      <w:pPr>
        <w:ind w:firstLine="643"/>
        <w:jc w:val="left"/>
        <w:spacing w:line="360" w:lineRule="auto"/>
        <w:rPr>
          <w:rFonts w:hint="eastAsia" w:ascii="仿宋" w:hAnsi="仿宋" w:eastAsia="仿宋" w:cs="仿宋"/>
          <w:color w:val="000000" w:themeColor="text1"/>
          <w:highlight w:val="none"/>
          <w:shd w:val="clear" w:color="auto" w:fill="auto"/>
          <w14:textFill>
            <w14:solidFill>
              <w14:schemeClr w14:val="tx1"/>
            </w14:solidFill>
          </w14:textFill>
        </w:rPr>
      </w:pPr>
      <w:r/>
      <w:bookmarkStart w:id="15" w:name="_Toc449705443"/>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六、</w:t>
      </w:r>
      <w:bookmarkEnd w:id="13"/>
      <w:r/>
      <w:bookmarkEnd w:id="14"/>
      <w:r/>
      <w:bookmarkEnd w:id="15"/>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授予合同时变更数量的权利</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采购单位在授予合同时有权对“</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响应文件”中的服务予以增加和减少。服务费用按工作量结算。经采购人验收合格的服务，成交供应商提交决算资料，经采购人审计后进行支付。</w:t>
      </w:r>
      <w:r/>
    </w:p>
    <w:p>
      <w:pPr>
        <w:ind w:firstLine="643"/>
        <w:jc w:val="left"/>
        <w:spacing w:line="360" w:lineRule="auto"/>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七、评审阶段</w:t>
      </w:r>
      <w:r/>
    </w:p>
    <w:p>
      <w:pPr>
        <w:ind w:firstLine="602"/>
        <w:jc w:val="left"/>
        <w:rPr>
          <w:rFonts w:hint="eastAsia" w:ascii="仿宋" w:hAnsi="仿宋" w:eastAsia="仿宋" w:cs="仿宋"/>
          <w:b/>
          <w:bCs/>
          <w:color w:val="000000" w:themeColor="text1"/>
          <w:sz w:val="30"/>
          <w:highlight w:val="none"/>
          <w:shd w:val="clear" w:color="auto" w:fill="auto"/>
          <w14:textFill>
            <w14:solidFill>
              <w14:schemeClr w14:val="tx1"/>
            </w14:solidFill>
          </w14:textFill>
        </w:rPr>
      </w:pPr>
      <w:r>
        <w:rPr>
          <w:rFonts w:hint="eastAsia" w:ascii="仿宋" w:hAnsi="仿宋" w:eastAsia="仿宋" w:cs="仿宋"/>
          <w:b/>
          <w:bCs/>
          <w:color w:val="000000" w:themeColor="text1"/>
          <w:sz w:val="30"/>
          <w:highlight w:val="none"/>
          <w:shd w:val="clear" w:color="auto" w:fill="auto"/>
          <w14:textFill>
            <w14:solidFill>
              <w14:schemeClr w14:val="tx1"/>
            </w14:solidFill>
          </w14:textFill>
        </w:rPr>
        <w:t xml:space="preserve">第一阶段：资格性审查 </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采购小组依据法律法规和采购文件的规定，对供应商商务部分的资格证明、投标保证金等进行审查，以确定供应商是否符合</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资格。 </w:t>
      </w:r>
      <w:r/>
    </w:p>
    <w:p>
      <w:pPr>
        <w:ind w:firstLine="602"/>
        <w:jc w:val="left"/>
        <w:rPr>
          <w:rFonts w:hint="eastAsia" w:ascii="仿宋" w:hAnsi="仿宋" w:eastAsia="仿宋" w:cs="仿宋"/>
          <w:b/>
          <w:bCs/>
          <w:color w:val="000000" w:themeColor="text1"/>
          <w:sz w:val="30"/>
          <w:highlight w:val="none"/>
          <w:shd w:val="clear" w:color="auto" w:fill="auto"/>
          <w14:textFill>
            <w14:solidFill>
              <w14:schemeClr w14:val="tx1"/>
            </w14:solidFill>
          </w14:textFill>
        </w:rPr>
      </w:pPr>
      <w:r>
        <w:rPr>
          <w:rFonts w:hint="eastAsia" w:ascii="仿宋" w:hAnsi="仿宋" w:eastAsia="仿宋" w:cs="仿宋"/>
          <w:b/>
          <w:bCs/>
          <w:color w:val="000000" w:themeColor="text1"/>
          <w:sz w:val="30"/>
          <w:highlight w:val="none"/>
          <w:shd w:val="clear" w:color="auto" w:fill="auto"/>
          <w14:textFill>
            <w14:solidFill>
              <w14:schemeClr w14:val="tx1"/>
            </w14:solidFill>
          </w14:textFill>
        </w:rPr>
        <w:t xml:space="preserve">第二阶段：符合性审查 </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采购小组依据采购文件的规定，对供应商的响应文件的有效性、完整性以及对采购文件的响应程度进行审查，以确定是否对采购文件的实质性要求做出响应。 </w:t>
      </w:r>
      <w:r/>
    </w:p>
    <w:p>
      <w:pPr>
        <w:ind w:firstLine="560"/>
        <w:jc w:val="left"/>
        <w:rPr>
          <w:rFonts w:hint="eastAsia" w:ascii="仿宋" w:hAnsi="仿宋" w:eastAsia="仿宋" w:cs="仿宋"/>
          <w:bCs/>
          <w:color w:val="000000" w:themeColor="text1"/>
          <w:sz w:val="30"/>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在资格性和符合性审查同时，对属于不合格供应商或者报价无效的供应商，采购小组必须提出不合格或者报价无效的事实依据，并出具不合格或者报价无效说明。供应商签字确认后采购小组全体成员签字，供应商拒绝签字确认的不影响采购小组做出的不合格或无效报价裁定。</w:t>
      </w:r>
      <w:r>
        <w:rPr>
          <w:rFonts w:hint="eastAsia" w:ascii="仿宋" w:hAnsi="仿宋" w:eastAsia="仿宋" w:cs="仿宋"/>
          <w:bCs/>
          <w:color w:val="000000" w:themeColor="text1"/>
          <w:sz w:val="30"/>
          <w:highlight w:val="none"/>
          <w:shd w:val="clear" w:color="auto" w:fill="auto"/>
          <w14:textFill>
            <w14:solidFill>
              <w14:schemeClr w14:val="tx1"/>
            </w14:solidFill>
          </w14:textFill>
        </w:rPr>
        <w:t xml:space="preserve"> </w:t>
      </w:r>
      <w:r/>
    </w:p>
    <w:p>
      <w:pPr>
        <w:ind w:firstLine="602"/>
        <w:jc w:val="left"/>
        <w:rPr>
          <w:rFonts w:hint="eastAsia" w:ascii="仿宋" w:hAnsi="仿宋" w:eastAsia="仿宋" w:cs="仿宋"/>
          <w:b/>
          <w:bCs/>
          <w:color w:val="000000" w:themeColor="text1"/>
          <w:sz w:val="30"/>
          <w:highlight w:val="none"/>
          <w:shd w:val="clear" w:color="auto" w:fill="auto"/>
          <w14:textFill>
            <w14:solidFill>
              <w14:schemeClr w14:val="tx1"/>
            </w14:solidFill>
          </w14:textFill>
        </w:rPr>
      </w:pPr>
      <w:r>
        <w:rPr>
          <w:rFonts w:hint="eastAsia" w:ascii="仿宋" w:hAnsi="仿宋" w:eastAsia="仿宋" w:cs="仿宋"/>
          <w:b/>
          <w:bCs/>
          <w:color w:val="000000" w:themeColor="text1"/>
          <w:sz w:val="30"/>
          <w:highlight w:val="none"/>
          <w:shd w:val="clear" w:color="auto" w:fill="auto"/>
          <w14:textFill>
            <w14:solidFill>
              <w14:schemeClr w14:val="tx1"/>
            </w14:solidFill>
          </w14:textFill>
        </w:rPr>
        <w:t xml:space="preserve">第三阶段：技术和商务评审 </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按照采购文件要求，审查供应商相关服务，记录实质性响应、技术偏离等事项，进行技术部分评审。 </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按照采购文件要求，审查供应商报价、业绩等，记录相关事项，进行商务部分评审。 </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小组针对技术部分进行评审，对属于不合格或者报价无效的供应商，采购小组必须提出不合格或者报价无效的事实依据，并出具不合格或者报价无效说明，供应商签字确认，供应商拒绝签字确认的，不影响采购小组作出的不合格或报价无效。当供应商实质性条款不满足、非实质性条款负偏离超过2项的或者未提供符合采购文件规定的技术支持资料时，其报价无效。 </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小组可以要求供应商对响应文件中含义不明确、同类问题表述不一致或者有明显文字和计算错误的内容等作出必要的澄清、说明或者更正。供应商的澄清、说明或者更正不得超出响应文件的范围或者改变响应文件的实质性内容。 </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w:t>
      </w:r>
      <w:r/>
    </w:p>
    <w:p>
      <w:pPr>
        <w:ind w:firstLine="643"/>
        <w:jc w:val="left"/>
        <w:spacing w:line="360" w:lineRule="auto"/>
        <w:rPr>
          <w:rFonts w:hint="eastAsia" w:ascii="仿宋" w:hAnsi="仿宋" w:eastAsia="仿宋" w:cs="仿宋"/>
          <w:color w:val="000000" w:themeColor="text1"/>
          <w:sz w:val="30"/>
          <w:highlight w:val="none"/>
          <w:shd w:val="clear" w:color="auto" w:fill="auto"/>
          <w14:textFill>
            <w14:solidFill>
              <w14:schemeClr w14:val="tx1"/>
            </w14:solidFill>
          </w14:textFill>
        </w:rPr>
      </w:pPr>
      <w:r/>
      <w:bookmarkStart w:id="16" w:name="_Toc449705444"/>
      <w:r/>
      <w:bookmarkStart w:id="17" w:name="_Toc21854431"/>
      <w:r/>
      <w:bookmarkStart w:id="18" w:name="_Toc8646852"/>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八、</w:t>
      </w:r>
      <w:bookmarkEnd w:id="16"/>
      <w:r/>
      <w:bookmarkEnd w:id="17"/>
      <w:r/>
      <w:bookmarkEnd w:id="18"/>
      <w:r>
        <w:rPr>
          <w:rFonts w:hint="eastAsia" w:ascii="仿宋" w:hAnsi="仿宋" w:eastAsia="仿宋" w:cs="仿宋"/>
          <w:b/>
          <w:color w:val="000000" w:themeColor="text1"/>
          <w:sz w:val="32"/>
          <w:szCs w:val="32"/>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原则</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1、为了维护政府采购的严肃性，本次</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必须严格按照国家关于政府采购的有关规定，严格遵守公开、公平、公正诚实信用的原则，并在</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江苏苏建工程项目管理咨询有限公司</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的组织下，由有关方面专家来进行。</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2、参加</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及最终报价的前提：参加</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供应商的服务以及货物的质量必须实质性满足本</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文件的要求。</w:t>
      </w:r>
      <w:r/>
    </w:p>
    <w:p>
      <w:pPr>
        <w:ind w:firstLine="602"/>
        <w:jc w:val="left"/>
        <w:rPr>
          <w:rFonts w:hint="eastAsia" w:ascii="仿宋" w:hAnsi="仿宋" w:eastAsia="仿宋" w:cs="仿宋"/>
          <w:color w:val="000000" w:themeColor="text1"/>
          <w:sz w:val="30"/>
          <w:highlight w:val="none"/>
          <w:shd w:val="clear" w:color="auto" w:fill="auto"/>
          <w14:textFill>
            <w14:solidFill>
              <w14:schemeClr w14:val="tx1"/>
            </w14:solidFill>
          </w14:textFill>
        </w:rPr>
      </w:pPr>
      <w:r>
        <w:rPr>
          <w:rFonts w:hint="eastAsia" w:ascii="仿宋" w:hAnsi="仿宋" w:eastAsia="仿宋" w:cs="仿宋"/>
          <w:b/>
          <w:bCs/>
          <w:color w:val="000000" w:themeColor="text1"/>
          <w:sz w:val="30"/>
          <w:highlight w:val="none"/>
          <w:shd w:val="clear" w:color="auto" w:fill="auto"/>
          <w14:textFill>
            <w14:solidFill>
              <w14:schemeClr w14:val="tx1"/>
            </w14:solidFill>
          </w14:textFill>
        </w:rPr>
        <w:t xml:space="preserve">3、自愿、平等、互利</w:t>
      </w:r>
      <w:r>
        <w:rPr>
          <w:rFonts w:hint="eastAsia" w:ascii="仿宋" w:hAnsi="仿宋" w:eastAsia="仿宋" w:cs="仿宋"/>
          <w:color w:val="000000" w:themeColor="text1"/>
          <w:sz w:val="30"/>
          <w:highlight w:val="none"/>
          <w:shd w:val="clear" w:color="auto" w:fill="auto"/>
          <w14:textFill>
            <w14:solidFill>
              <w14:schemeClr w14:val="tx1"/>
            </w14:solidFill>
          </w14:textFill>
        </w:rPr>
        <w:t xml:space="preserve">的原则。</w:t>
      </w:r>
      <w:r/>
    </w:p>
    <w:p>
      <w:pPr>
        <w:ind w:firstLine="602"/>
        <w:jc w:val="left"/>
        <w:rPr>
          <w:rFonts w:hint="eastAsia" w:ascii="仿宋" w:hAnsi="仿宋" w:eastAsia="仿宋" w:cs="仿宋"/>
          <w:b/>
          <w:bCs/>
          <w:color w:val="000000" w:themeColor="text1"/>
          <w:sz w:val="30"/>
          <w:highlight w:val="none"/>
          <w:shd w:val="clear" w:color="auto" w:fill="auto"/>
          <w14:textFill>
            <w14:solidFill>
              <w14:schemeClr w14:val="tx1"/>
            </w14:solidFill>
          </w14:textFill>
        </w:rPr>
      </w:pPr>
      <w:r>
        <w:rPr>
          <w:rFonts w:hint="eastAsia" w:ascii="仿宋" w:hAnsi="仿宋" w:eastAsia="仿宋" w:cs="仿宋"/>
          <w:b/>
          <w:bCs/>
          <w:color w:val="000000" w:themeColor="text1"/>
          <w:sz w:val="30"/>
          <w:highlight w:val="none"/>
          <w:shd w:val="clear" w:color="auto" w:fill="auto"/>
          <w14:textFill>
            <w14:solidFill>
              <w14:schemeClr w14:val="tx1"/>
            </w14:solidFill>
          </w14:textFill>
        </w:rPr>
        <w:t xml:space="preserve">3.1参加</w:t>
      </w:r>
      <w:r>
        <w:rPr>
          <w:rFonts w:hint="eastAsia" w:ascii="仿宋" w:hAnsi="仿宋" w:eastAsia="仿宋" w:cs="仿宋"/>
          <w:b/>
          <w:bCs/>
          <w:color w:val="000000" w:themeColor="text1"/>
          <w:sz w:val="30"/>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bCs/>
          <w:color w:val="000000" w:themeColor="text1"/>
          <w:sz w:val="30"/>
          <w:highlight w:val="none"/>
          <w:shd w:val="clear" w:color="auto" w:fill="auto"/>
          <w14:textFill>
            <w14:solidFill>
              <w14:schemeClr w14:val="tx1"/>
            </w14:solidFill>
          </w14:textFill>
        </w:rPr>
        <w:t xml:space="preserve">专家组：</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由代理机构依据项目实际需求组成</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小组。</w:t>
      </w:r>
      <w:r/>
    </w:p>
    <w:p>
      <w:pPr>
        <w:ind w:firstLine="602"/>
        <w:jc w:val="left"/>
        <w:rPr>
          <w:rFonts w:hint="eastAsia" w:ascii="仿宋" w:hAnsi="仿宋" w:eastAsia="仿宋" w:cs="仿宋"/>
          <w:b/>
          <w:bCs/>
          <w:color w:val="000000" w:themeColor="text1"/>
          <w:sz w:val="30"/>
          <w:highlight w:val="none"/>
          <w:shd w:val="clear" w:color="auto" w:fill="auto"/>
          <w14:textFill>
            <w14:solidFill>
              <w14:schemeClr w14:val="tx1"/>
            </w14:solidFill>
          </w14:textFill>
        </w:rPr>
      </w:pPr>
      <w:r>
        <w:rPr>
          <w:rFonts w:hint="eastAsia" w:ascii="仿宋" w:hAnsi="仿宋" w:eastAsia="仿宋" w:cs="仿宋"/>
          <w:b/>
          <w:bCs/>
          <w:color w:val="000000" w:themeColor="text1"/>
          <w:sz w:val="30"/>
          <w:highlight w:val="none"/>
          <w:shd w:val="clear" w:color="auto" w:fill="auto"/>
          <w14:textFill>
            <w14:solidFill>
              <w14:schemeClr w14:val="tx1"/>
            </w14:solidFill>
          </w14:textFill>
        </w:rPr>
        <w:t xml:space="preserve">3.2  </w:t>
      </w:r>
      <w:r>
        <w:rPr>
          <w:rFonts w:hint="eastAsia" w:ascii="仿宋" w:hAnsi="仿宋" w:eastAsia="仿宋" w:cs="仿宋"/>
          <w:b/>
          <w:bCs/>
          <w:color w:val="000000" w:themeColor="text1"/>
          <w:sz w:val="30"/>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bCs/>
          <w:color w:val="000000" w:themeColor="text1"/>
          <w:sz w:val="30"/>
          <w:highlight w:val="none"/>
          <w:shd w:val="clear" w:color="auto" w:fill="auto"/>
          <w14:textFill>
            <w14:solidFill>
              <w14:schemeClr w14:val="tx1"/>
            </w14:solidFill>
          </w14:textFill>
        </w:rPr>
        <w:t xml:space="preserve">内容：</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（1）对</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文件所提供服务的响应情况；</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（2）价格；</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（3）项目完成时间；</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（4）参加</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供应商履行合同的能力；</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（5）参加</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供应商承诺的售后服务；</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（6）企业的信誉与业绩；</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（7）其他</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小组认为必须考虑的因素。</w:t>
      </w:r>
      <w:r/>
    </w:p>
    <w:p>
      <w:pPr>
        <w:ind w:firstLine="602"/>
        <w:jc w:val="left"/>
        <w:rPr>
          <w:rFonts w:hint="eastAsia" w:ascii="仿宋" w:hAnsi="仿宋" w:eastAsia="仿宋" w:cs="仿宋"/>
          <w:b/>
          <w:bCs/>
          <w:color w:val="000000" w:themeColor="text1"/>
          <w:sz w:val="30"/>
          <w:highlight w:val="none"/>
          <w:shd w:val="clear" w:color="auto" w:fill="auto"/>
          <w14:textFill>
            <w14:solidFill>
              <w14:schemeClr w14:val="tx1"/>
            </w14:solidFill>
          </w14:textFill>
        </w:rPr>
      </w:pPr>
      <w:r>
        <w:rPr>
          <w:rFonts w:hint="eastAsia" w:ascii="仿宋" w:hAnsi="仿宋" w:eastAsia="仿宋" w:cs="仿宋"/>
          <w:b/>
          <w:bCs/>
          <w:color w:val="000000" w:themeColor="text1"/>
          <w:sz w:val="30"/>
          <w:highlight w:val="none"/>
          <w:shd w:val="clear" w:color="auto" w:fill="auto"/>
          <w14:textFill>
            <w14:solidFill>
              <w14:schemeClr w14:val="tx1"/>
            </w14:solidFill>
          </w14:textFill>
        </w:rPr>
        <w:t xml:space="preserve">3.3</w:t>
      </w:r>
      <w:r>
        <w:rPr>
          <w:rFonts w:hint="eastAsia" w:ascii="仿宋" w:hAnsi="仿宋" w:eastAsia="仿宋" w:cs="仿宋"/>
          <w:b/>
          <w:bCs/>
          <w:color w:val="000000" w:themeColor="text1"/>
          <w:sz w:val="30"/>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bCs/>
          <w:color w:val="000000" w:themeColor="text1"/>
          <w:sz w:val="30"/>
          <w:highlight w:val="none"/>
          <w:shd w:val="clear" w:color="auto" w:fill="auto"/>
          <w14:textFill>
            <w14:solidFill>
              <w14:schemeClr w14:val="tx1"/>
            </w14:solidFill>
          </w14:textFill>
        </w:rPr>
        <w:t xml:space="preserve">方式：</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（1）由</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小组成员集中与参加</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供应商进行</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（2）如果参加</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供应商试图向采购单位和</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小组施加任何影响，都将会导致其投标被拒绝。</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报价原则上分两次进行，即</w:t>
      </w:r>
      <w:r>
        <w:rPr>
          <w:rFonts w:hint="eastAsia" w:ascii="仿宋" w:hAnsi="仿宋" w:eastAsia="仿宋" w:cs="仿宋"/>
          <w:b/>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开始前报价（按本</w:t>
      </w:r>
      <w:r>
        <w:rPr>
          <w:rFonts w:hint="eastAsia" w:ascii="仿宋" w:hAnsi="仿宋" w:eastAsia="仿宋" w:cs="仿宋"/>
          <w:b/>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文件</w:t>
      </w:r>
      <w:r>
        <w:rPr>
          <w:rFonts w:hint="eastAsia" w:ascii="仿宋" w:hAnsi="仿宋" w:eastAsia="仿宋" w:cs="仿宋"/>
          <w:b/>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报价表的格式投报并加盖公章）及</w:t>
      </w:r>
      <w:r>
        <w:rPr>
          <w:rFonts w:hint="eastAsia" w:ascii="仿宋" w:hAnsi="仿宋" w:eastAsia="仿宋" w:cs="仿宋"/>
          <w:b/>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结束时最终报价</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（4）</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结果将通知参加</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w:t>
      </w:r>
      <w:r/>
    </w:p>
    <w:p>
      <w:pPr>
        <w:ind w:firstLine="643"/>
        <w:jc w:val="left"/>
        <w:rPr>
          <w:rFonts w:hint="eastAsia" w:ascii="仿宋" w:hAnsi="仿宋" w:eastAsia="仿宋" w:cs="仿宋"/>
          <w:b/>
          <w:color w:val="000000" w:themeColor="text1"/>
          <w:sz w:val="32"/>
          <w:highlight w:val="none"/>
          <w:shd w:val="clear" w:color="auto" w:fill="auto"/>
          <w14:textFill>
            <w14:solidFill>
              <w14:schemeClr w14:val="tx1"/>
            </w14:solidFill>
          </w14:textFill>
        </w:rPr>
      </w:pPr>
      <w:r>
        <w:rPr>
          <w:rFonts w:hint="eastAsia" w:ascii="仿宋" w:hAnsi="仿宋" w:eastAsia="仿宋" w:cs="仿宋"/>
          <w:b/>
          <w:color w:val="000000" w:themeColor="text1"/>
          <w:sz w:val="32"/>
          <w:highlight w:val="none"/>
          <w:shd w:val="clear" w:color="auto" w:fill="auto"/>
          <w14:textFill>
            <w14:solidFill>
              <w14:schemeClr w14:val="tx1"/>
            </w14:solidFill>
          </w14:textFill>
        </w:rPr>
        <w:t xml:space="preserve">4、</w:t>
      </w:r>
      <w:r>
        <w:rPr>
          <w:rFonts w:hint="eastAsia" w:ascii="仿宋" w:hAnsi="仿宋" w:eastAsia="仿宋" w:cs="仿宋"/>
          <w:b/>
          <w:color w:val="000000" w:themeColor="text1"/>
          <w:sz w:val="32"/>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color w:val="000000" w:themeColor="text1"/>
          <w:sz w:val="32"/>
          <w:highlight w:val="none"/>
          <w:shd w:val="clear" w:color="auto" w:fill="auto"/>
          <w14:textFill>
            <w14:solidFill>
              <w14:schemeClr w14:val="tx1"/>
            </w14:solidFill>
          </w14:textFill>
        </w:rPr>
        <w:t xml:space="preserve">的进行</w:t>
      </w:r>
      <w:r/>
    </w:p>
    <w:p>
      <w:pPr>
        <w:ind w:firstLine="562"/>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4.1</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预成交单位将在“参加</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供应商须知前附表”中规定的时间、地点组织</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。参加</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供应商应委派代表准时参加，参加</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的代表须签名以证明其出席，</w:t>
      </w:r>
      <w:r>
        <w:rPr>
          <w:rFonts w:hint="eastAsia" w:ascii="仿宋" w:hAnsi="仿宋" w:eastAsia="仿宋" w:cs="仿宋"/>
          <w:b/>
          <w:bCs/>
          <w:color w:val="000000" w:themeColor="text1"/>
          <w:sz w:val="28"/>
          <w:highlight w:val="none"/>
          <w:shd w:val="clear" w:color="auto" w:fill="auto"/>
          <w14:textFill>
            <w14:solidFill>
              <w14:schemeClr w14:val="tx1"/>
            </w14:solidFill>
          </w14:textFill>
        </w:rPr>
        <w:t xml:space="preserve">否则将取消参加</w:t>
      </w:r>
      <w:r>
        <w:rPr>
          <w:rFonts w:hint="eastAsia" w:ascii="仿宋" w:hAnsi="仿宋" w:eastAsia="仿宋" w:cs="仿宋"/>
          <w:b/>
          <w:bCs/>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bCs/>
          <w:color w:val="000000" w:themeColor="text1"/>
          <w:sz w:val="28"/>
          <w:highlight w:val="none"/>
          <w:shd w:val="clear" w:color="auto" w:fill="auto"/>
          <w14:textFill>
            <w14:solidFill>
              <w14:schemeClr w14:val="tx1"/>
            </w14:solidFill>
          </w14:textFill>
        </w:rPr>
        <w:t xml:space="preserve">供应商的</w:t>
      </w:r>
      <w:r>
        <w:rPr>
          <w:rFonts w:hint="eastAsia" w:ascii="仿宋" w:hAnsi="仿宋" w:eastAsia="仿宋" w:cs="仿宋"/>
          <w:b/>
          <w:bCs/>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bCs/>
          <w:color w:val="000000" w:themeColor="text1"/>
          <w:sz w:val="28"/>
          <w:highlight w:val="none"/>
          <w:shd w:val="clear" w:color="auto" w:fill="auto"/>
          <w14:textFill>
            <w14:solidFill>
              <w14:schemeClr w14:val="tx1"/>
            </w14:solidFill>
          </w14:textFill>
        </w:rPr>
        <w:t xml:space="preserve">资格</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p>
    <w:p>
      <w:pPr>
        <w:ind w:firstLine="562"/>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b/>
          <w:bCs/>
          <w:color w:val="000000" w:themeColor="text1"/>
          <w:sz w:val="28"/>
          <w:highlight w:val="none"/>
          <w:shd w:val="clear" w:color="auto" w:fill="auto"/>
          <w14:textFill>
            <w14:solidFill>
              <w14:schemeClr w14:val="tx1"/>
            </w14:solidFill>
          </w14:textFill>
        </w:rPr>
        <w:t xml:space="preserve">4.2</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采购的全过程由代理机构主持，</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小组成员以及有关工作人员参加。</w:t>
      </w:r>
      <w:r/>
    </w:p>
    <w:p>
      <w:pPr>
        <w:ind w:firstLine="562"/>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4.3</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按照规定，同意撤回的</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文件将不予开封。</w:t>
      </w:r>
      <w:r/>
    </w:p>
    <w:p>
      <w:pPr>
        <w:ind w:firstLine="562"/>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4.4</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代理机构将做</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过程调整、变动记录。</w:t>
      </w:r>
      <w:r/>
    </w:p>
    <w:p>
      <w:pPr>
        <w:ind w:firstLine="643"/>
        <w:jc w:val="left"/>
        <w:rPr>
          <w:rFonts w:hint="eastAsia" w:ascii="仿宋" w:hAnsi="仿宋" w:eastAsia="仿宋" w:cs="仿宋"/>
          <w:b/>
          <w:color w:val="000000" w:themeColor="text1"/>
          <w:sz w:val="32"/>
          <w:highlight w:val="none"/>
          <w:shd w:val="clear" w:color="auto" w:fill="auto"/>
          <w14:textFill>
            <w14:solidFill>
              <w14:schemeClr w14:val="tx1"/>
            </w14:solidFill>
          </w14:textFill>
        </w:rPr>
      </w:pPr>
      <w:r>
        <w:rPr>
          <w:rFonts w:hint="eastAsia" w:ascii="仿宋" w:hAnsi="仿宋" w:eastAsia="仿宋" w:cs="仿宋"/>
          <w:b/>
          <w:color w:val="000000" w:themeColor="text1"/>
          <w:sz w:val="32"/>
          <w:highlight w:val="none"/>
          <w:shd w:val="clear" w:color="auto" w:fill="auto"/>
          <w14:textFill>
            <w14:solidFill>
              <w14:schemeClr w14:val="tx1"/>
            </w14:solidFill>
          </w14:textFill>
        </w:rPr>
        <w:t xml:space="preserve">5、参加</w:t>
      </w:r>
      <w:r>
        <w:rPr>
          <w:rFonts w:hint="eastAsia" w:ascii="仿宋" w:hAnsi="仿宋" w:eastAsia="仿宋" w:cs="仿宋"/>
          <w:b/>
          <w:color w:val="000000" w:themeColor="text1"/>
          <w:sz w:val="32"/>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color w:val="000000" w:themeColor="text1"/>
          <w:sz w:val="32"/>
          <w:highlight w:val="none"/>
          <w:shd w:val="clear" w:color="auto" w:fill="auto"/>
          <w14:textFill>
            <w14:solidFill>
              <w14:schemeClr w14:val="tx1"/>
            </w14:solidFill>
          </w14:textFill>
        </w:rPr>
        <w:t xml:space="preserve">人员</w:t>
      </w:r>
      <w:r/>
    </w:p>
    <w:p>
      <w:pPr>
        <w:ind w:firstLine="562"/>
        <w:jc w:val="left"/>
        <w:rPr>
          <w:rFonts w:hint="eastAsia" w:ascii="仿宋" w:hAnsi="仿宋" w:eastAsia="仿宋" w:cs="仿宋"/>
          <w:b/>
          <w:color w:val="000000" w:themeColor="text1"/>
          <w:sz w:val="28"/>
          <w:highlight w:val="none"/>
          <w:shd w:val="clear" w:color="auto" w:fill="auto"/>
          <w14:textFill>
            <w14:solidFill>
              <w14:schemeClr w14:val="tx1"/>
            </w14:solidFill>
          </w14:textFill>
        </w:rPr>
      </w:pP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5.1</w:t>
      </w:r>
      <w:r>
        <w:rPr>
          <w:rFonts w:hint="eastAsia" w:ascii="仿宋" w:hAnsi="仿宋" w:eastAsia="仿宋" w:cs="仿宋"/>
          <w:bCs/>
          <w:color w:val="000000" w:themeColor="text1"/>
          <w:sz w:val="28"/>
          <w:highlight w:val="none"/>
          <w:shd w:val="clear" w:color="auto" w:fill="auto"/>
          <w14:textFill>
            <w14:solidFill>
              <w14:schemeClr w14:val="tx1"/>
            </w14:solidFill>
          </w14:textFill>
        </w:rPr>
        <w:t xml:space="preserve">本次</w:t>
      </w:r>
      <w:r>
        <w:rPr>
          <w:rFonts w:hint="eastAsia" w:ascii="仿宋" w:hAnsi="仿宋" w:eastAsia="仿宋" w:cs="仿宋"/>
          <w:bCs/>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Cs/>
          <w:color w:val="000000" w:themeColor="text1"/>
          <w:sz w:val="28"/>
          <w:highlight w:val="none"/>
          <w:shd w:val="clear" w:color="auto" w:fill="auto"/>
          <w14:textFill>
            <w14:solidFill>
              <w14:schemeClr w14:val="tx1"/>
            </w14:solidFill>
          </w14:textFill>
        </w:rPr>
        <w:t xml:space="preserve">由三位评委组成</w:t>
      </w:r>
      <w:r>
        <w:rPr>
          <w:rFonts w:hint="eastAsia" w:ascii="仿宋" w:hAnsi="仿宋" w:eastAsia="仿宋" w:cs="仿宋"/>
          <w:bCs/>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Cs/>
          <w:color w:val="000000" w:themeColor="text1"/>
          <w:sz w:val="28"/>
          <w:highlight w:val="none"/>
          <w:shd w:val="clear" w:color="auto" w:fill="auto"/>
          <w14:textFill>
            <w14:solidFill>
              <w14:schemeClr w14:val="tx1"/>
            </w14:solidFill>
          </w14:textFill>
        </w:rPr>
        <w:t xml:space="preserve">小组。</w:t>
      </w:r>
      <w:r/>
    </w:p>
    <w:p>
      <w:pPr>
        <w:ind w:firstLine="562"/>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5.2 </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小组按照“公开、公平、公正、科学效益”的原则独立开展工作，负责审议</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响应文件，并推荐成交供应商。</w:t>
      </w:r>
      <w:r/>
    </w:p>
    <w:p>
      <w:pPr>
        <w:ind w:firstLine="602"/>
        <w:jc w:val="left"/>
        <w:rPr>
          <w:rFonts w:hint="eastAsia" w:ascii="仿宋" w:hAnsi="仿宋" w:eastAsia="仿宋" w:cs="仿宋"/>
          <w:b/>
          <w:bCs/>
          <w:color w:val="000000" w:themeColor="text1"/>
          <w:sz w:val="30"/>
          <w:highlight w:val="none"/>
          <w:shd w:val="clear" w:color="auto" w:fill="auto"/>
          <w14:textFill>
            <w14:solidFill>
              <w14:schemeClr w14:val="tx1"/>
            </w14:solidFill>
          </w14:textFill>
        </w:rPr>
      </w:pPr>
      <w:r>
        <w:rPr>
          <w:rFonts w:hint="eastAsia" w:ascii="仿宋" w:hAnsi="仿宋" w:eastAsia="仿宋" w:cs="仿宋"/>
          <w:b/>
          <w:bCs/>
          <w:color w:val="000000" w:themeColor="text1"/>
          <w:sz w:val="30"/>
          <w:highlight w:val="none"/>
          <w:shd w:val="clear" w:color="auto" w:fill="auto"/>
          <w14:textFill>
            <w14:solidFill>
              <w14:schemeClr w14:val="tx1"/>
            </w14:solidFill>
          </w14:textFill>
        </w:rPr>
        <w:t xml:space="preserve">6、成交原则</w:t>
      </w:r>
      <w:r>
        <w:rPr>
          <w:rFonts w:hint="eastAsia" w:ascii="仿宋" w:hAnsi="仿宋" w:eastAsia="仿宋" w:cs="仿宋"/>
          <w:color w:val="000000" w:themeColor="text1"/>
          <w:sz w:val="30"/>
          <w:highlight w:val="none"/>
          <w:shd w:val="clear" w:color="auto" w:fill="auto"/>
          <w14:textFill>
            <w14:solidFill>
              <w14:schemeClr w14:val="tx1"/>
            </w14:solidFill>
          </w14:textFill>
        </w:rPr>
        <w:t xml:space="preserve">：</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6.1</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结果能够满足</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文件的有关质量、服务、交货期等方面的实质性要求，有能力履行合同。</w:t>
      </w:r>
      <w:r/>
    </w:p>
    <w:p>
      <w:pPr>
        <w:ind w:firstLine="562"/>
        <w:jc w:val="left"/>
        <w:rPr>
          <w:rFonts w:hint="eastAsia" w:ascii="仿宋" w:hAnsi="仿宋" w:eastAsia="仿宋" w:cs="仿宋"/>
          <w:b/>
          <w:bCs/>
          <w:color w:val="000000" w:themeColor="text1"/>
          <w:sz w:val="28"/>
          <w:highlight w:val="none"/>
          <w:shd w:val="clear" w:color="auto" w:fill="auto"/>
          <w14:textFill>
            <w14:solidFill>
              <w14:schemeClr w14:val="tx1"/>
            </w14:solidFill>
          </w14:textFill>
        </w:rPr>
      </w:pPr>
      <w:r>
        <w:rPr>
          <w:rFonts w:hint="eastAsia" w:ascii="仿宋" w:hAnsi="仿宋" w:eastAsia="仿宋" w:cs="仿宋"/>
          <w:b/>
          <w:bCs/>
          <w:color w:val="000000" w:themeColor="text1"/>
          <w:sz w:val="28"/>
          <w:highlight w:val="none"/>
          <w:shd w:val="clear" w:color="auto" w:fill="auto"/>
          <w14:textFill>
            <w14:solidFill>
              <w14:schemeClr w14:val="tx1"/>
            </w14:solidFill>
          </w14:textFill>
        </w:rPr>
        <w:t xml:space="preserve">6.2</w:t>
      </w:r>
      <w:r>
        <w:rPr>
          <w:rFonts w:hint="eastAsia" w:ascii="仿宋" w:hAnsi="仿宋" w:eastAsia="仿宋" w:cs="仿宋"/>
          <w:b/>
          <w:bCs/>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bCs/>
          <w:color w:val="000000" w:themeColor="text1"/>
          <w:sz w:val="28"/>
          <w:highlight w:val="none"/>
          <w:shd w:val="clear" w:color="auto" w:fill="auto"/>
          <w14:textFill>
            <w14:solidFill>
              <w14:schemeClr w14:val="tx1"/>
            </w14:solidFill>
          </w14:textFill>
        </w:rPr>
        <w:t xml:space="preserve">确定的最后价格仍不能满足采购人及</w:t>
      </w:r>
      <w:r>
        <w:rPr>
          <w:rFonts w:hint="eastAsia" w:ascii="仿宋" w:hAnsi="仿宋" w:eastAsia="仿宋" w:cs="仿宋"/>
          <w:b/>
          <w:bCs/>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bCs/>
          <w:color w:val="000000" w:themeColor="text1"/>
          <w:sz w:val="28"/>
          <w:highlight w:val="none"/>
          <w:shd w:val="clear" w:color="auto" w:fill="auto"/>
          <w14:textFill>
            <w14:solidFill>
              <w14:schemeClr w14:val="tx1"/>
            </w14:solidFill>
          </w14:textFill>
        </w:rPr>
        <w:t xml:space="preserve">小组的要求，采购单位将保留最终放弃本次</w:t>
      </w:r>
      <w:r>
        <w:rPr>
          <w:rFonts w:hint="eastAsia" w:ascii="仿宋" w:hAnsi="仿宋" w:eastAsia="仿宋" w:cs="仿宋"/>
          <w:b/>
          <w:bCs/>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bCs/>
          <w:color w:val="000000" w:themeColor="text1"/>
          <w:sz w:val="28"/>
          <w:highlight w:val="none"/>
          <w:shd w:val="clear" w:color="auto" w:fill="auto"/>
          <w14:textFill>
            <w14:solidFill>
              <w14:schemeClr w14:val="tx1"/>
            </w14:solidFill>
          </w14:textFill>
        </w:rPr>
        <w:t xml:space="preserve">的权利。</w:t>
      </w:r>
      <w:r/>
    </w:p>
    <w:p>
      <w:pPr>
        <w:ind w:firstLine="643"/>
        <w:jc w:val="left"/>
        <w:spacing w:line="360" w:lineRule="auto"/>
        <w:rPr>
          <w:rFonts w:hint="eastAsia" w:ascii="仿宋" w:hAnsi="仿宋" w:eastAsia="仿宋" w:cs="仿宋"/>
          <w:color w:val="000000" w:themeColor="text1"/>
          <w:sz w:val="30"/>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九、确定成交供应商</w:t>
      </w:r>
      <w:r/>
    </w:p>
    <w:p>
      <w:pPr>
        <w:ind w:firstLine="560"/>
        <w:jc w:val="left"/>
        <w:rPr>
          <w:rFonts w:hint="eastAsia" w:ascii="仿宋" w:hAnsi="仿宋" w:eastAsia="仿宋" w:cs="仿宋"/>
          <w:bCs/>
          <w:color w:val="000000" w:themeColor="text1"/>
          <w:sz w:val="28"/>
          <w:highlight w:val="none"/>
          <w:shd w:val="clear" w:color="auto" w:fill="auto"/>
          <w14:textFill>
            <w14:solidFill>
              <w14:schemeClr w14:val="tx1"/>
            </w14:solidFill>
          </w14:textFill>
        </w:rPr>
      </w:pPr>
      <w:r>
        <w:rPr>
          <w:rFonts w:hint="eastAsia" w:ascii="仿宋" w:hAnsi="仿宋" w:eastAsia="仿宋" w:cs="仿宋"/>
          <w:bCs/>
          <w:color w:val="000000" w:themeColor="text1"/>
          <w:sz w:val="28"/>
          <w:highlight w:val="none"/>
          <w:shd w:val="clear" w:color="auto" w:fill="auto"/>
          <w14:textFill>
            <w14:solidFill>
              <w14:schemeClr w14:val="tx1"/>
            </w14:solidFill>
          </w14:textFill>
        </w:rPr>
        <w:t xml:space="preserve">1、采购人授权采购小组直接确定成交供应商。 </w:t>
      </w:r>
      <w:r/>
    </w:p>
    <w:p>
      <w:pPr>
        <w:ind w:firstLine="560"/>
        <w:jc w:val="left"/>
        <w:rPr>
          <w:rFonts w:hint="eastAsia" w:ascii="仿宋" w:hAnsi="仿宋" w:eastAsia="仿宋" w:cs="仿宋"/>
          <w:bCs/>
          <w:color w:val="000000" w:themeColor="text1"/>
          <w:sz w:val="28"/>
          <w:highlight w:val="none"/>
          <w:shd w:val="clear" w:color="auto" w:fill="auto"/>
          <w14:textFill>
            <w14:solidFill>
              <w14:schemeClr w14:val="tx1"/>
            </w14:solidFill>
          </w14:textFill>
        </w:rPr>
      </w:pPr>
      <w:r>
        <w:rPr>
          <w:rFonts w:hint="eastAsia" w:ascii="仿宋" w:hAnsi="仿宋" w:eastAsia="仿宋" w:cs="仿宋"/>
          <w:bCs/>
          <w:color w:val="000000" w:themeColor="text1"/>
          <w:sz w:val="28"/>
          <w:highlight w:val="none"/>
          <w:shd w:val="clear" w:color="auto" w:fill="auto"/>
          <w14:textFill>
            <w14:solidFill>
              <w14:schemeClr w14:val="tx1"/>
            </w14:solidFill>
          </w14:textFill>
        </w:rPr>
        <w:t xml:space="preserve">2、采购小组经过</w:t>
      </w:r>
      <w:r>
        <w:rPr>
          <w:rFonts w:hint="eastAsia" w:ascii="仿宋" w:hAnsi="仿宋" w:eastAsia="仿宋" w:cs="仿宋"/>
          <w:bCs/>
          <w:color w:val="000000" w:themeColor="text1"/>
          <w:sz w:val="28"/>
          <w:highlight w:val="none"/>
          <w:shd w:val="clear" w:color="auto" w:fill="auto"/>
          <w:lang w:val="en-US" w:eastAsia="zh-CN"/>
          <w14:textFill>
            <w14:solidFill>
              <w14:schemeClr w14:val="tx1"/>
            </w14:solidFill>
          </w14:textFill>
        </w:rPr>
        <w:t xml:space="preserve">谈判</w:t>
      </w:r>
      <w:r>
        <w:rPr>
          <w:rFonts w:hint="eastAsia" w:ascii="仿宋" w:hAnsi="仿宋" w:eastAsia="仿宋" w:cs="仿宋"/>
          <w:bCs/>
          <w:color w:val="000000" w:themeColor="text1"/>
          <w:sz w:val="28"/>
          <w:highlight w:val="none"/>
          <w:shd w:val="clear" w:color="auto" w:fill="auto"/>
          <w14:textFill>
            <w14:solidFill>
              <w14:schemeClr w14:val="tx1"/>
            </w14:solidFill>
          </w14:textFill>
        </w:rPr>
        <w:t xml:space="preserve">后，在保证项目质量和合理价格的基础上确定成交供应商。 </w:t>
      </w:r>
      <w:r/>
    </w:p>
    <w:p>
      <w:pPr>
        <w:ind w:firstLine="562"/>
        <w:jc w:val="left"/>
        <w:rPr>
          <w:rFonts w:hint="eastAsia" w:ascii="仿宋" w:hAnsi="仿宋" w:eastAsia="仿宋" w:cs="仿宋"/>
          <w:b/>
          <w:bCs/>
          <w:color w:val="000000" w:themeColor="text1"/>
          <w:sz w:val="28"/>
          <w:highlight w:val="none"/>
          <w:shd w:val="clear" w:color="auto" w:fill="auto"/>
          <w14:textFill>
            <w14:solidFill>
              <w14:schemeClr w14:val="tx1"/>
            </w14:solidFill>
          </w14:textFill>
        </w:rPr>
      </w:pPr>
      <w:r>
        <w:rPr>
          <w:rFonts w:hint="eastAsia" w:ascii="仿宋" w:hAnsi="仿宋" w:eastAsia="仿宋" w:cs="仿宋"/>
          <w:b/>
          <w:bCs/>
          <w:color w:val="000000" w:themeColor="text1"/>
          <w:sz w:val="28"/>
          <w:highlight w:val="none"/>
          <w:shd w:val="clear" w:color="auto" w:fill="auto"/>
          <w14:textFill>
            <w14:solidFill>
              <w14:schemeClr w14:val="tx1"/>
            </w14:solidFill>
          </w14:textFill>
        </w:rPr>
        <w:t xml:space="preserve">注：供应商所提供的材料或填写的内容必须真实、可靠，如有虚假或隐瞒，一经查实将导致报价被拒绝，并按照《中华人民共和国政府采购法》第七十七条第一款“提供虚假材料谋取中标（成交）的”进行处罚，给采购人造成损失的应承担赔偿责任。</w:t>
      </w:r>
      <w:r/>
    </w:p>
    <w:p>
      <w:pPr>
        <w:pStyle w:val="710"/>
        <w:jc w:val="center"/>
        <w:rPr>
          <w:rFonts w:hint="eastAsia" w:ascii="仿宋" w:hAnsi="仿宋" w:eastAsia="仿宋" w:cs="仿宋"/>
          <w:color w:val="000000" w:themeColor="text1"/>
          <w:highlight w:val="none"/>
          <w:shd w:val="clear" w:color="auto" w:fill="auto"/>
          <w14:textFill>
            <w14:solidFill>
              <w14:schemeClr w14:val="tx1"/>
            </w14:solidFill>
          </w14:textFill>
        </w:rPr>
      </w:pPr>
      <w:r/>
      <w:bookmarkStart w:id="19" w:name="_Toc102655456"/>
      <w:r/>
      <w:bookmarkStart w:id="20" w:name="_Toc449705446"/>
      <w:r>
        <w:rPr>
          <w:rFonts w:hint="eastAsia" w:ascii="仿宋" w:hAnsi="仿宋" w:eastAsia="仿宋" w:cs="仿宋"/>
          <w:color w:val="000000" w:themeColor="text1"/>
          <w:highlight w:val="none"/>
          <w:shd w:val="clear" w:color="auto" w:fill="auto"/>
          <w14:textFill>
            <w14:solidFill>
              <w14:schemeClr w14:val="tx1"/>
            </w14:solidFill>
          </w14:textFill>
        </w:rPr>
        <w:t xml:space="preserve">第三章、项目需求</w:t>
      </w:r>
      <w:bookmarkEnd w:id="19"/>
      <w:r/>
      <w:bookmarkEnd w:id="20"/>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bookmarkStart w:id="21" w:name="_Toc449705451"/>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一、项目概况</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1、项目名称：</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南京市建邺区水西门大街69号房屋租赁服务项目</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2、项目编号：</w:t>
      </w:r>
      <w:r>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JSZC-320100-SJGC-D2026-0006</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3、项目预算：</w:t>
      </w:r>
      <w:r>
        <w:rPr>
          <w:rFonts w:hint="eastAsia" w:ascii="仿宋" w:hAnsi="仿宋" w:eastAsia="仿宋" w:cs="仿宋"/>
          <w:color w:val="000000" w:themeColor="text1"/>
          <w:sz w:val="28"/>
          <w:szCs w:val="28"/>
          <w:highlight w:val="none"/>
          <w:shd w:val="clear" w:color="auto" w:fill="auto"/>
          <w:lang w:val="en-US" w:eastAsia="zh-CN"/>
          <w14:textFill>
            <w14:solidFill>
              <w14:schemeClr w14:val="tx1"/>
            </w14:solidFill>
          </w14:textFill>
        </w:rPr>
        <w:t xml:space="preserve">116</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万元（报价超过项目预算作无效响应处理）</w:t>
      </w:r>
      <w:r/>
    </w:p>
    <w:p>
      <w:pPr>
        <w:ind w:firstLine="560"/>
        <w:jc w:val="left"/>
        <w:spacing w:line="560" w:lineRule="exact"/>
        <w:rPr>
          <w:rFonts w:hint="default" w:ascii="仿宋" w:hAnsi="仿宋" w:eastAsia="仿宋" w:cs="仿宋"/>
          <w:color w:val="000000" w:themeColor="text1"/>
          <w:sz w:val="28"/>
          <w:szCs w:val="28"/>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4、服务期限：</w:t>
      </w:r>
      <w:r>
        <w:rPr>
          <w:rFonts w:hint="eastAsia" w:ascii="仿宋" w:hAnsi="仿宋" w:eastAsia="仿宋" w:cs="仿宋"/>
          <w:color w:val="000000" w:themeColor="text1"/>
          <w:sz w:val="28"/>
          <w:szCs w:val="28"/>
          <w:highlight w:val="none"/>
          <w:shd w:val="clear" w:color="auto" w:fill="auto"/>
          <w:lang w:val="en-US" w:eastAsia="zh-CN"/>
          <w14:textFill>
            <w14:solidFill>
              <w14:schemeClr w14:val="tx1"/>
            </w14:solidFill>
          </w14:textFill>
        </w:rPr>
        <w:t xml:space="preserve">自合同签订之日起一年。</w:t>
      </w:r>
      <w:r/>
    </w:p>
    <w:p>
      <w:pPr>
        <w:ind w:firstLine="562"/>
        <w:jc w:val="left"/>
        <w:spacing w:line="560" w:lineRule="exact"/>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t xml:space="preserve">二、项目简介</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因采购人单位业务发展、办公需要，现须对中心办公用房（福彩大厦）进行租赁。</w:t>
      </w:r>
      <w:r/>
    </w:p>
    <w:p>
      <w:pPr>
        <w:ind w:firstLine="562"/>
        <w:jc w:val="left"/>
        <w:spacing w:line="560" w:lineRule="exact"/>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t xml:space="preserve">三、项目要求</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1、供应商须保障房屋所在地的出行安全系数高，所有设计与施工达到国家最新标准。房屋内部公共空间宽敞。所有设计与建设均须达到国家最新标准。</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2、为保障采购人单位实际工作需求，降低支出成本。供应商所提供房屋应距离南京市建邺区水西门大街61号直线距离不得超过3公里。</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3、供应商应保证房屋及内部设施（如租赁楼层的用水、用电、洗手间和开水间设备、消防设施、办公房门窗等）于租赁时完好，符合有关法规及安全使用标准。</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4、采购人在房屋使用中，房屋及附属设施出现或者发生妨碍安全使用的损害或故障时，供应商接到采购人修缮的通知后，有义务及时进行维修，如供应商拒不维修或者延时维修妨碍采购人正常使用，可由采购人自行修缮，修缮费用抵消租赁费用。</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5、在本合同租赁期内，如该房屋发生转让时，供应商应及时通知采购人,本合同继续履行。</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6、未经供应商书面同意，采购人不得将该房屋全部或部分转租他人。</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7、供应商有权不定期的对房屋及采购人本合同项下的义务，进行监督检查，采购人应给予配合。</w:t>
      </w:r>
      <w:r/>
    </w:p>
    <w:p>
      <w:pPr>
        <w:ind w:firstLine="562"/>
        <w:jc w:val="left"/>
        <w:spacing w:line="560" w:lineRule="exact"/>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t xml:space="preserve">四、其他要求</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1、供应商在签订合同前所需的各项授权、审批，以及内部决策等在内的一切批准手续均已合法有效取得。</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2、供应商应保障正常办公所需的用水、用电。若遇到不可避免的情况需要停水、停电的应提前告知。若发生不可抗力导致停电、停水等现象的，应及时与采购人保持沟通，并最大限度内恢复正常使用。</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3、本次采购项目报价应包括租赁费、税金及本项目包含的所有风险、责任等各项应有费用。</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4、供应商须承诺租赁期间不论房屋产权是否发生变化，保证采购人在现有办公场地不受侵占。</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5、租赁期间因不可抗力的原因导致房屋毁损和造成供应商损失的，采购人不承担任何责任。</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6、供应商出租给采购人的房屋是合法取得的，且不会因为采购人的使用而被责令停止使用、追偿或要求赔偿损失，如出现此情况，一切经济和法律责任均由供应商承担。</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7、质量保证：由供应商按采购文件要求自行制定服务方案，并提供服务质量、标准，项目实施期间按此服务标准执行。</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8、成交供应商在与采购人确认好交接房屋具体日期时，须提前对房屋进行清洁打扫，对装修好的房屋进行开窗通风，更换影响采购人使用的不合格设备及配件。保证采购人能够顺利入驻，并开展相关工作。</w:t>
      </w:r>
      <w:r/>
    </w:p>
    <w:p>
      <w:pPr>
        <w:ind w:firstLine="562"/>
        <w:jc w:val="left"/>
        <w:spacing w:line="560" w:lineRule="exact"/>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t xml:space="preserve">五、付款条件</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合同签订后30个工作日内，采购人向成交供应商支付合同款项的50%作为预付款；项目结束后，采购人向成交供应商支付剩余合同款项。采购人向成交供应商付款时，成交供应商需提供国家正规等额发票。</w:t>
      </w:r>
      <w:r/>
    </w:p>
    <w:p>
      <w:pPr>
        <w:ind w:firstLine="562"/>
        <w:jc w:val="left"/>
        <w:spacing w:line="560" w:lineRule="exact"/>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t xml:space="preserve">六、其他</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1、如有疑问请与采购人联系。</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r>
      <w:r/>
    </w:p>
    <w:p>
      <w:pPr>
        <w:pStyle w:val="710"/>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br w:type="page" w:clear="all"/>
      </w:r>
      <w:bookmarkStart w:id="22" w:name="_Toc102655457"/>
      <w:r>
        <w:rPr>
          <w:rFonts w:hint="eastAsia" w:ascii="仿宋" w:hAnsi="仿宋" w:eastAsia="仿宋" w:cs="仿宋"/>
          <w:color w:val="000000" w:themeColor="text1"/>
          <w:highlight w:val="none"/>
          <w:shd w:val="clear" w:color="auto" w:fill="auto"/>
          <w14:textFill>
            <w14:solidFill>
              <w14:schemeClr w14:val="tx1"/>
            </w14:solidFill>
          </w14:textFill>
        </w:rPr>
        <w:t xml:space="preserve">第四章、合同条款前附表</w:t>
      </w:r>
      <w:bookmarkEnd w:id="21"/>
      <w:r/>
      <w:bookmarkEnd w:id="22"/>
      <w:r/>
      <w:r/>
    </w:p>
    <w:tbl>
      <w:tblPr>
        <w:tblStyle w:val="714"/>
        <w:tblW w:w="835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7410"/>
      </w:tblGrid>
      <w:tr>
        <w:trPr/>
        <w:tc>
          <w:tcPr>
            <w:shd w:val="pct10" w:color="auto" w:fill="ffffff"/>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序号</w:t>
            </w:r>
            <w:r/>
          </w:p>
        </w:tc>
        <w:tc>
          <w:tcPr>
            <w:shd w:val="pct10" w:color="auto" w:fill="ffffff"/>
            <w:tcBorders>
              <w:top w:val="single" w:color="auto" w:sz="4" w:space="0"/>
              <w:left w:val="single" w:color="auto" w:sz="4" w:space="0"/>
              <w:bottom w:val="single" w:color="auto" w:sz="4" w:space="0"/>
              <w:right w:val="single" w:color="auto" w:sz="4" w:space="0"/>
            </w:tcBorders>
            <w:tcW w:w="7410" w:type="dxa"/>
            <w:textDirection w:val="lrTb"/>
            <w:noWrap w:val="false"/>
          </w:tcPr>
          <w:p>
            <w:pPr>
              <w:jc w:val="center"/>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内      容</w:t>
            </w:r>
            <w:r/>
          </w:p>
        </w:tc>
      </w:tr>
      <w:tr>
        <w:trPr>
          <w:trHeight w:val="2039"/>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410" w:type="dxa"/>
            <w:vAlign w:val="center"/>
            <w:textDirection w:val="lrTb"/>
            <w:noWrap w:val="false"/>
          </w:tcPr>
          <w:p>
            <w:pPr>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服务款项应按下列条件支付：</w:t>
            </w:r>
            <w:r/>
          </w:p>
          <w:p>
            <w:pPr>
              <w:pStyle w:val="752"/>
              <w:ind w:right="420" w:firstLine="0"/>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1、供应商须完全履行合同，采购人按照实际租赁期限据实结算支付租赁相关费用。</w:t>
            </w:r>
            <w:r/>
          </w:p>
          <w:p>
            <w:pPr>
              <w:ind w:left="-23" w:right="420" w:firstLine="22"/>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2、采购单位</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可根据实际需要按采购单价增加采购数量。</w:t>
            </w:r>
            <w:r/>
          </w:p>
        </w:tc>
      </w:tr>
      <w:tr>
        <w:trPr>
          <w:trHeight w:val="678"/>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410" w:type="dxa"/>
            <w:vAlign w:val="center"/>
            <w:textDirection w:val="lrTb"/>
            <w:noWrap w:val="false"/>
          </w:tcPr>
          <w:p>
            <w:pPr>
              <w:spacing w:line="240" w:lineRule="atLeast"/>
              <w:tabs>
                <w:tab w:val="left" w:pos="425" w:leader="none"/>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合同期限：自合同签订之日起一年。</w:t>
            </w:r>
            <w:r/>
          </w:p>
        </w:tc>
      </w:tr>
      <w:tr>
        <w:trPr>
          <w:trHeight w:val="2039"/>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410" w:type="dxa"/>
            <w:vAlign w:val="center"/>
            <w:textDirection w:val="lrTb"/>
            <w:noWrap w:val="false"/>
          </w:tcPr>
          <w:p>
            <w:pPr>
              <w:tabs>
                <w:tab w:val="left" w:pos="425" w:leader="none"/>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成交供应商违约责任：</w:t>
            </w:r>
            <w:r/>
          </w:p>
          <w:p>
            <w:pPr>
              <w:tabs>
                <w:tab w:val="left" w:pos="425" w:leader="none"/>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（1）不履行合同，采购人有权解除合同。如采购人还有其他损失，由成交供应商予以赔偿。</w:t>
            </w:r>
            <w:r/>
          </w:p>
          <w:p>
            <w:pPr>
              <w:tabs>
                <w:tab w:val="left" w:pos="425" w:leader="none"/>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（2）履行义务不符合合同的约定，采购人有权选择扣减相应合同款或要求成交供应商重新履行。</w:t>
            </w:r>
            <w:r/>
          </w:p>
          <w:p>
            <w:pPr>
              <w:tabs>
                <w:tab w:val="left" w:pos="425" w:leader="none"/>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（3）由于成交供应商原因造成采购人损失，应承担赔偿损失责任。</w:t>
            </w:r>
            <w:r/>
          </w:p>
        </w:tc>
      </w:tr>
    </w:tbl>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pStyle w:val="710"/>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br w:type="page" w:clear="all"/>
      </w:r>
      <w:bookmarkStart w:id="23" w:name="_Toc21854459"/>
      <w:r/>
      <w:bookmarkStart w:id="24" w:name="_Toc102655458"/>
      <w:r/>
      <w:bookmarkStart w:id="25" w:name="_Toc21790301"/>
      <w:r/>
      <w:bookmarkStart w:id="26" w:name="_Toc449705452"/>
      <w:r/>
      <w:bookmarkStart w:id="27" w:name="_Toc8646881"/>
      <w:r/>
      <w:bookmarkStart w:id="28" w:name="_Toc8646860"/>
      <w:r/>
      <w:bookmarkStart w:id="29" w:name="_Toc21854438"/>
      <w:r/>
      <w:bookmarkStart w:id="30" w:name="_Toc449705453"/>
      <w:r>
        <w:rPr>
          <w:rFonts w:hint="eastAsia" w:ascii="仿宋" w:hAnsi="仿宋" w:eastAsia="仿宋" w:cs="仿宋"/>
          <w:color w:val="000000" w:themeColor="text1"/>
          <w:highlight w:val="none"/>
          <w:shd w:val="clear" w:color="auto" w:fill="auto"/>
          <w14:textFill>
            <w14:solidFill>
              <w14:schemeClr w14:val="tx1"/>
            </w14:solidFill>
          </w14:textFill>
        </w:rPr>
        <w:t xml:space="preserve">第五章、合同格式</w:t>
      </w:r>
      <w:bookmarkEnd w:id="23"/>
      <w:r/>
      <w:bookmarkEnd w:id="24"/>
      <w:r/>
      <w:bookmarkEnd w:id="25"/>
      <w:r/>
      <w:bookmarkEnd w:id="26"/>
      <w:r/>
      <w:bookmarkEnd w:id="27"/>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bookmarkEnd w:id="28"/>
      <w:bookmarkEnd w:id="29"/>
      <w:r/>
    </w:p>
    <w:p>
      <w:pPr>
        <w:jc w:val="center"/>
        <w:rPr>
          <w:rFonts w:hint="eastAsia" w:ascii="仿宋" w:hAnsi="仿宋" w:eastAsia="仿宋" w:cs="仿宋"/>
          <w:b/>
          <w:color w:val="000000" w:themeColor="text1"/>
          <w:sz w:val="36"/>
          <w:szCs w:val="36"/>
          <w:highlight w:val="none"/>
          <w:shd w:val="clear" w:color="auto" w:fill="auto"/>
          <w14:textFill>
            <w14:solidFill>
              <w14:schemeClr w14:val="tx1"/>
            </w14:solidFill>
          </w14:textFill>
        </w:rPr>
      </w:pPr>
      <w:r>
        <w:rPr>
          <w:rFonts w:hint="eastAsia" w:ascii="仿宋" w:hAnsi="仿宋" w:eastAsia="仿宋" w:cs="仿宋"/>
          <w:b/>
          <w:color w:val="000000" w:themeColor="text1"/>
          <w:sz w:val="36"/>
          <w:szCs w:val="36"/>
          <w:highlight w:val="none"/>
          <w:shd w:val="clear" w:color="auto" w:fill="auto"/>
          <w14:textFill>
            <w14:solidFill>
              <w14:schemeClr w14:val="tx1"/>
            </w14:solidFill>
          </w14:textFill>
        </w:rPr>
        <w:t xml:space="preserve">南京市建邺区水西门大街69号房屋租赁服务项目</w:t>
      </w:r>
      <w:r/>
    </w:p>
    <w:p>
      <w:pPr>
        <w:jc w:val="center"/>
        <w:rPr>
          <w:rFonts w:hint="eastAsia" w:ascii="仿宋" w:hAnsi="仿宋" w:eastAsia="仿宋" w:cs="仿宋"/>
          <w:b/>
          <w:color w:val="000000" w:themeColor="text1"/>
          <w:sz w:val="36"/>
          <w:szCs w:val="36"/>
          <w:highlight w:val="none"/>
          <w:shd w:val="clear" w:color="auto" w:fill="auto"/>
          <w14:textFill>
            <w14:solidFill>
              <w14:schemeClr w14:val="tx1"/>
            </w14:solidFill>
          </w14:textFill>
        </w:rPr>
      </w:pPr>
      <w:r>
        <w:rPr>
          <w:rFonts w:hint="eastAsia" w:ascii="仿宋" w:hAnsi="仿宋" w:eastAsia="仿宋" w:cs="仿宋"/>
          <w:b/>
          <w:color w:val="000000" w:themeColor="text1"/>
          <w:sz w:val="36"/>
          <w:szCs w:val="36"/>
          <w:highlight w:val="none"/>
          <w:shd w:val="clear" w:color="auto" w:fill="auto"/>
          <w14:textFill>
            <w14:solidFill>
              <w14:schemeClr w14:val="tx1"/>
            </w14:solidFill>
          </w14:textFill>
        </w:rPr>
        <w:t xml:space="preserve">服务合同</w:t>
      </w:r>
      <w:r/>
    </w:p>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1400"/>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1400"/>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合同编号 ：</w:t>
      </w:r>
      <w:r/>
    </w:p>
    <w:p>
      <w:pPr>
        <w:ind w:firstLine="42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项目名称 ：南京市建邺区水西门大街69号房屋租赁服务项目</w:t>
      </w:r>
      <w:r/>
    </w:p>
    <w:p>
      <w:pPr>
        <w:ind w:firstLine="42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采购单位 ：南京市医疗保险管理中心</w:t>
      </w:r>
      <w:r/>
    </w:p>
    <w:p>
      <w:pPr>
        <w:ind w:firstLine="42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成交单位 ：                                  </w:t>
      </w:r>
      <w:r/>
    </w:p>
    <w:p>
      <w:pPr>
        <w:ind w:firstLine="42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签订日期 ：</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2026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年    月    日</w:t>
      </w:r>
      <w:r/>
    </w:p>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rPr>
          <w:rFonts w:hint="eastAsia" w:ascii="仿宋" w:hAnsi="仿宋" w:eastAsia="仿宋" w:cs="仿宋"/>
          <w:color w:val="000000" w:themeColor="text1"/>
          <w:sz w:val="32"/>
          <w:highlight w:val="none"/>
          <w:shd w:val="clear" w:color="auto" w:fill="auto"/>
          <w14:textFill>
            <w14:solidFill>
              <w14:schemeClr w14:val="tx1"/>
            </w14:solidFill>
          </w14:textFill>
        </w:rPr>
      </w:pPr>
      <w:r>
        <w:rPr>
          <w:rFonts w:hint="eastAsia" w:ascii="仿宋" w:hAnsi="仿宋" w:eastAsia="仿宋" w:cs="仿宋"/>
          <w:color w:val="000000" w:themeColor="text1"/>
          <w:sz w:val="32"/>
          <w:highlight w:val="none"/>
          <w:shd w:val="clear" w:color="auto" w:fill="auto"/>
          <w14:textFill>
            <w14:solidFill>
              <w14:schemeClr w14:val="tx1"/>
            </w14:solidFill>
          </w14:textFill>
        </w:rPr>
      </w:r>
      <w:r/>
    </w:p>
    <w:p>
      <w:pPr>
        <w:ind w:firstLine="562"/>
        <w:jc w:val="center"/>
        <w:spacing w:line="560" w:lineRule="exact"/>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b/>
          <w:bCs/>
          <w:color w:val="000000" w:themeColor="text1"/>
          <w:sz w:val="28"/>
          <w:highlight w:val="none"/>
          <w:shd w:val="clear" w:color="auto" w:fill="auto"/>
          <w14:textFill>
            <w14:solidFill>
              <w14:schemeClr w14:val="tx1"/>
            </w14:solidFill>
          </w14:textFill>
        </w:rPr>
        <w:t xml:space="preserve">南京市医疗保险管理中心</w:t>
      </w:r>
      <w:r>
        <w:rPr>
          <w:rFonts w:hint="eastAsia" w:ascii="仿宋" w:hAnsi="仿宋" w:eastAsia="仿宋" w:cs="仿宋"/>
          <w:color w:val="000000" w:themeColor="text1"/>
          <w:sz w:val="28"/>
          <w:highlight w:val="none"/>
          <w:shd w:val="clear" w:color="auto" w:fill="auto"/>
          <w14:textFill>
            <w14:solidFill>
              <w14:schemeClr w14:val="tx1"/>
            </w14:solidFill>
          </w14:textFill>
        </w:rPr>
        <w:br w:type="page" w:clear="all"/>
      </w:r>
      <w:r>
        <w:rPr>
          <w:rFonts w:hint="eastAsia" w:ascii="仿宋" w:hAnsi="仿宋" w:eastAsia="仿宋" w:cs="仿宋"/>
          <w:color w:val="000000" w:themeColor="text1"/>
          <w:sz w:val="24"/>
          <w:highlight w:val="none"/>
          <w:shd w:val="clear" w:color="auto" w:fill="auto"/>
          <w:lang w:val="zh-CN"/>
          <w14:textFill>
            <w14:solidFill>
              <w14:schemeClr w14:val="tx1"/>
            </w14:solidFill>
          </w14:textFill>
        </w:rPr>
        <w:t xml:space="preserve">（以下为成交后签订本项目合同的通用条款，成交供应商不得提出实质性修改，关于专用条款将由采购人与成交供应商结合本项目具体情况协商后签订）</w:t>
      </w:r>
      <w:r/>
    </w:p>
    <w:p>
      <w:pPr>
        <w:ind w:firstLine="56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合同编号：</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政府采购计划号：</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采购人：（以下称甲方）            供应商：（以下称乙方）</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住所地：                         住所地：</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根据《中华人民共和国政府采购法》、《中华人民共和国民法典》等法律法规的规定</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甲乙双方按照</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江苏苏建工程项目管理咨询有限公司</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采购结果签订本合同。</w:t>
      </w:r>
      <w:r/>
    </w:p>
    <w:p>
      <w:pPr>
        <w:ind w:firstLine="562"/>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第一条合同标的</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  乙方根据甲方需求提供下列服务：</w:t>
      </w:r>
      <w:r/>
    </w:p>
    <w:p>
      <w:pPr>
        <w:ind w:firstLine="420"/>
        <w:spacing w:line="560" w:lineRule="exact"/>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乙方根据甲方需求提供下列服务：</w:t>
      </w:r>
      <w:r>
        <w:rPr>
          <w:rFonts w:hint="eastAsia" w:ascii="仿宋" w:hAnsi="仿宋" w:eastAsia="仿宋" w:cs="仿宋"/>
          <w:color w:val="000000" w:themeColor="text1"/>
          <w:sz w:val="28"/>
          <w:highlight w:val="none"/>
          <w:u w:val="single"/>
          <w:shd w:val="clear" w:color="auto" w:fill="auto"/>
          <w:lang w:val="zh-CN"/>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，详见乙方响应文件。</w:t>
      </w:r>
      <w:r/>
    </w:p>
    <w:p>
      <w:pPr>
        <w:ind w:firstLine="420"/>
        <w:spacing w:line="560" w:lineRule="exact"/>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 合同期限为：    年   月  日至   年   月  日</w:t>
      </w:r>
      <w:r/>
    </w:p>
    <w:p>
      <w:pPr>
        <w:ind w:firstLine="562"/>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第二条 合同价款</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  本合同项下价款为___________（大写）人民币，分项价款在“投标报价表”中有明确规定。</w:t>
      </w:r>
      <w:r/>
    </w:p>
    <w:p>
      <w:pPr>
        <w:ind w:firstLine="560"/>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本合同价款是完成本项目所发生的所有含税费用、支付给员工的工资和国家强制缴纳的各种社会保障资金，以及乙方认为需要的其他费用等。</w:t>
      </w:r>
      <w:r/>
    </w:p>
    <w:p>
      <w:pPr>
        <w:ind w:firstLine="562"/>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第三条 组成本合同的有关文件</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  下列关于</w:t>
      </w:r>
      <w:r>
        <w:rPr>
          <w:rFonts w:hint="eastAsia" w:ascii="仿宋" w:hAnsi="仿宋" w:eastAsia="仿宋" w:cs="仿宋"/>
          <w:color w:val="000000" w:themeColor="text1"/>
          <w:sz w:val="28"/>
          <w:szCs w:val="28"/>
          <w:highlight w:val="none"/>
          <w:u w:val="single"/>
          <w:shd w:val="clear" w:color="auto" w:fill="auto"/>
          <w:lang w:eastAsia="zh-CN"/>
          <w14:textFill>
            <w14:solidFill>
              <w14:schemeClr w14:val="tx1"/>
            </w14:solidFill>
          </w14:textFill>
        </w:rPr>
        <w:t xml:space="preserve">JSZC-320100-SJGC-D2026-0006</w:t>
      </w:r>
      <w:r>
        <w:rPr>
          <w:rFonts w:hint="eastAsia" w:ascii="仿宋" w:hAnsi="仿宋" w:eastAsia="仿宋" w:cs="仿宋"/>
          <w:color w:val="000000" w:themeColor="text1"/>
          <w:sz w:val="28"/>
          <w:szCs w:val="28"/>
          <w:highlight w:val="none"/>
          <w:u w:val="single"/>
          <w:shd w:val="clear" w:color="auto" w:fill="auto"/>
          <w14:textFill>
            <w14:solidFill>
              <w14:schemeClr w14:val="tx1"/>
            </w14:solidFill>
          </w14:textFill>
        </w:rPr>
        <w:t xml:space="preserve">号</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标的</w:t>
      </w:r>
      <w:r>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文件或与本次采购活动方式相适应的文件及有关附件是本合同不可分割的组成部分，与本合同具有同等法律效力，这些文件包括但不限于：</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（1）乙方提供的响应文件和报价表；</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（2）服务方案；</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（3）</w:t>
      </w:r>
      <w:r>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承诺/服务承诺；</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（4）成交通知书；</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（5）甲乙双方商定的其他文件等。</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第四条 权利保证</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第五条 质量保证</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乙方所提供的服务的技术规格应与招标文件规定的技术规格及所附的“采购需求偏离表”相一致；若技术性能无特殊说明，则按国家有关部门最新颁布的标准及规范为准。</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第六条 交付和验收</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1、乙方应当    年   月   日前完成采购文件规定的项目，采购文件有约定的，从其约定。</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2、甲方自行组织或视情邀请相关专家或国家认可的第三方机构参加验收，乙方提供的服务不符合采购文件和合同规定的，甲方有权拒收。</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第七条 合同款支付</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1、本合同项下所有款项均以人民币支付。</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2、本合同项下的采购资金由甲方自行支付。</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3、付款条件：</w:t>
      </w: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合同签订后30个工作日内，</w:t>
      </w:r>
      <w:r>
        <w:rPr>
          <w:rFonts w:hint="eastAsia" w:ascii="仿宋" w:hAnsi="仿宋" w:eastAsia="仿宋" w:cs="仿宋"/>
          <w:b w:val="0"/>
          <w:bCs/>
          <w:color w:val="000000" w:themeColor="text1"/>
          <w:sz w:val="28"/>
          <w:szCs w:val="28"/>
          <w:highlight w:val="none"/>
          <w:shd w:val="clear" w:color="auto" w:fill="auto"/>
          <w:lang w:eastAsia="zh-CN"/>
          <w14:textFill>
            <w14:solidFill>
              <w14:schemeClr w14:val="tx1"/>
            </w14:solidFill>
          </w14:textFill>
        </w:rPr>
        <w:t xml:space="preserve">甲方</w:t>
      </w: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向</w:t>
      </w:r>
      <w:r>
        <w:rPr>
          <w:rFonts w:hint="eastAsia" w:ascii="仿宋" w:hAnsi="仿宋" w:eastAsia="仿宋" w:cs="仿宋"/>
          <w:b w:val="0"/>
          <w:bCs/>
          <w:color w:val="000000" w:themeColor="text1"/>
          <w:sz w:val="28"/>
          <w:szCs w:val="28"/>
          <w:highlight w:val="none"/>
          <w:shd w:val="clear" w:color="auto" w:fill="auto"/>
          <w:lang w:eastAsia="zh-CN"/>
          <w14:textFill>
            <w14:solidFill>
              <w14:schemeClr w14:val="tx1"/>
            </w14:solidFill>
          </w14:textFill>
        </w:rPr>
        <w:t xml:space="preserve">乙方</w:t>
      </w: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支付合同款项的50%作为预付款；项目结束后，</w:t>
      </w:r>
      <w:r>
        <w:rPr>
          <w:rFonts w:hint="eastAsia" w:ascii="仿宋" w:hAnsi="仿宋" w:eastAsia="仿宋" w:cs="仿宋"/>
          <w:b w:val="0"/>
          <w:bCs/>
          <w:color w:val="000000" w:themeColor="text1"/>
          <w:sz w:val="28"/>
          <w:szCs w:val="28"/>
          <w:highlight w:val="none"/>
          <w:shd w:val="clear" w:color="auto" w:fill="auto"/>
          <w:lang w:eastAsia="zh-CN"/>
          <w14:textFill>
            <w14:solidFill>
              <w14:schemeClr w14:val="tx1"/>
            </w14:solidFill>
          </w14:textFill>
        </w:rPr>
        <w:t xml:space="preserve">甲方</w:t>
      </w: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向</w:t>
      </w:r>
      <w:r>
        <w:rPr>
          <w:rFonts w:hint="eastAsia" w:ascii="仿宋" w:hAnsi="仿宋" w:eastAsia="仿宋" w:cs="仿宋"/>
          <w:b w:val="0"/>
          <w:bCs/>
          <w:color w:val="000000" w:themeColor="text1"/>
          <w:sz w:val="28"/>
          <w:szCs w:val="28"/>
          <w:highlight w:val="none"/>
          <w:shd w:val="clear" w:color="auto" w:fill="auto"/>
          <w:lang w:eastAsia="zh-CN"/>
          <w14:textFill>
            <w14:solidFill>
              <w14:schemeClr w14:val="tx1"/>
            </w14:solidFill>
          </w14:textFill>
        </w:rPr>
        <w:t xml:space="preserve">乙方</w:t>
      </w: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支付剩余合同款项。</w:t>
      </w:r>
      <w:r>
        <w:rPr>
          <w:rFonts w:hint="eastAsia" w:ascii="仿宋" w:hAnsi="仿宋" w:eastAsia="仿宋" w:cs="仿宋"/>
          <w:b w:val="0"/>
          <w:bCs/>
          <w:color w:val="000000" w:themeColor="text1"/>
          <w:sz w:val="28"/>
          <w:szCs w:val="28"/>
          <w:highlight w:val="none"/>
          <w:shd w:val="clear" w:color="auto" w:fill="auto"/>
          <w:lang w:eastAsia="zh-CN"/>
          <w14:textFill>
            <w14:solidFill>
              <w14:schemeClr w14:val="tx1"/>
            </w14:solidFill>
          </w14:textFill>
        </w:rPr>
        <w:t xml:space="preserve">甲方</w:t>
      </w: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向</w:t>
      </w:r>
      <w:r>
        <w:rPr>
          <w:rFonts w:hint="eastAsia" w:ascii="仿宋" w:hAnsi="仿宋" w:eastAsia="仿宋" w:cs="仿宋"/>
          <w:b w:val="0"/>
          <w:bCs/>
          <w:color w:val="000000" w:themeColor="text1"/>
          <w:sz w:val="28"/>
          <w:szCs w:val="28"/>
          <w:highlight w:val="none"/>
          <w:shd w:val="clear" w:color="auto" w:fill="auto"/>
          <w:lang w:eastAsia="zh-CN"/>
          <w14:textFill>
            <w14:solidFill>
              <w14:schemeClr w14:val="tx1"/>
            </w14:solidFill>
          </w14:textFill>
        </w:rPr>
        <w:t xml:space="preserve">乙方</w:t>
      </w: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付款时，</w:t>
      </w:r>
      <w:r>
        <w:rPr>
          <w:rFonts w:hint="eastAsia" w:ascii="仿宋" w:hAnsi="仿宋" w:eastAsia="仿宋" w:cs="仿宋"/>
          <w:b w:val="0"/>
          <w:bCs/>
          <w:color w:val="000000" w:themeColor="text1"/>
          <w:sz w:val="28"/>
          <w:szCs w:val="28"/>
          <w:highlight w:val="none"/>
          <w:shd w:val="clear" w:color="auto" w:fill="auto"/>
          <w:lang w:eastAsia="zh-CN"/>
          <w14:textFill>
            <w14:solidFill>
              <w14:schemeClr w14:val="tx1"/>
            </w14:solidFill>
          </w14:textFill>
        </w:rPr>
        <w:t xml:space="preserve">乙方</w:t>
      </w: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需提供国家正规等额发票。</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第八条 违约责任</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１、甲方无正当理由拒收服务、拒付服务款的，由甲方向乙方偿付合同总价的5%违约金。</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２、甲方未按合同规定的期限向乙方支付服务款的，每逾期1天甲方向乙方偿付欠款总额的5‰滞纳金，但累计滞纳金总额不超过欠款总额的5% 。</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3、乙方逾期交付的，每逾期1天，乙方向甲方偿付合同总额的5‰的滞纳金。如乙方逾期交付达10天，甲方有权解除合同，解除合同的通知自到达乙方时生效，乙方返还甲方已付合同价款，给甲方造成损失包括但不限于直接损失、调查费、诉讼费、保全费、律师费等，无法计算损失按合同总价30%承担惩罚性违约金。</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4、乙方所交付的服务不符合合同规定的，甲方有权拒收。甲方拒收的，乙方应向甲方支付合同总款5%的违约金。甲方未拒收的，代理机构发现后将向有关部门反映，并责成乙方按照采购结果提供服务，同时视情给予不退还部分或全部履约保证金处理。</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5、乙方未按本合同的规定和“服务承诺”提供伴随服务/售后服务的，应按合同总价款的5 %向甲方承担违约责任。</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6、乙方在承担上述4-7款一项或多项违约责任后，仍应继续履行合同规定的义务（甲方解除合同的除外）。甲方未能及时追究乙方的任何一项违约责任并不表明甲方放弃追究乙方该项或其他违约责任。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7、乙方投标属虚假承诺，或经权威部门监测提供的服务不能满足</w:t>
      </w:r>
      <w:r>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文件要求，或是由于乙方的过错造成合同无法继续履行的，乙方履约保证金不予退还外，还应向甲方支付不少于合同总价30%惩罚性赔偿金。</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第九条 合同的变更和终止</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1、除《政府采购法》第50条第二款规定的情形外，本合同一经签订，甲乙双方不得擅自变更、中止或终止合同。</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2、除发生法律规定的不能预见、不能避免并不能克服的客观情况外，甲乙双方不得放弃或拒绝履行合同。乙方放弃或拒绝履行合同，保证金不予退还。</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第十条 合同的转让</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乙方不得擅自部分或全部转让其应履行的合同义务。</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第十一条 争议的解决</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1、因服务的质量问题发生争议的，应当邀请国家认可的质量检测机构对服务质量进行鉴定。符合标准的，鉴定费由甲方承担；不符合质量标准的，鉴定费由乙方承担。</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2、因履行本合同引起的或与本合同有关的争议，甲、乙双方应首先通过友好协商解决，如果协商不能解决争议，则采取以下第（1）种方式解决争议：</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（1）向甲方所在地有管辖权的人民法院提起诉讼；</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（2）向南京仲裁委员会按其仲裁规则申请仲裁。</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如没有约定，默认采取第2种方式解决争议。</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3、在诉讼期间，本合同应继续履行。</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第十二条 诚实信用 </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乙方应诚实信用，严格按照</w:t>
      </w:r>
      <w:r>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文件要求和响应承诺履行合同，不向甲方进行商业贿赂或者提供不正当利益。</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第十三条 其他要求</w:t>
      </w:r>
      <w:r/>
    </w:p>
    <w:p>
      <w:pPr>
        <w:ind w:firstLine="560"/>
        <w:jc w:val="left"/>
        <w:spacing w:line="560" w:lineRule="exact"/>
        <w:rPr>
          <w:rFonts w:hint="eastAsia" w:ascii="仿宋" w:hAnsi="仿宋" w:eastAsia="仿宋" w:cs="仿宋"/>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Cs/>
          <w:color w:val="000000" w:themeColor="text1"/>
          <w:sz w:val="28"/>
          <w:szCs w:val="28"/>
          <w:highlight w:val="none"/>
          <w:shd w:val="clear" w:color="auto" w:fill="auto"/>
          <w14:textFill>
            <w14:solidFill>
              <w14:schemeClr w14:val="tx1"/>
            </w14:solidFill>
          </w14:textFill>
        </w:rPr>
        <w:t xml:space="preserve">1、乙方应加强安全管理，杜绝安全事故的发生，做到安全责任全覆盖、安全范围全覆盖。如果发生因乙方工作失职造成安全事故或其他财产损失和人身伤害，均由乙方承担相关经济和法律责任。乙方应依法为其服务人员办理保险，乙方工作人员在服务等过程中发生自身或致第三人人身、财产损害的，由乙方自行承担赔偿责任；造成甲方被索赔的，甲方有权就全额损失向乙方追偿（包括但不限于赔偿金、诉讼费、律师费、保全费、公证费、鉴定费等）。</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Cs/>
          <w:color w:val="000000" w:themeColor="text1"/>
          <w:sz w:val="28"/>
          <w:szCs w:val="28"/>
          <w:highlight w:val="none"/>
          <w:shd w:val="clear" w:color="auto" w:fill="auto"/>
          <w14:textFill>
            <w14:solidFill>
              <w14:schemeClr w14:val="tx1"/>
            </w14:solidFill>
          </w14:textFill>
        </w:rPr>
        <w:t xml:space="preserve">2、乙方应提供服务运行成本和费用测算以及服务成本、测算依据说明。报价应包括</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人工费、管理费、税金以及其他类似的附随服务所产生的费用和税金等</w:t>
      </w:r>
      <w:r>
        <w:rPr>
          <w:rFonts w:hint="eastAsia" w:ascii="仿宋" w:hAnsi="仿宋" w:eastAsia="仿宋" w:cs="仿宋"/>
          <w:bCs/>
          <w:color w:val="000000" w:themeColor="text1"/>
          <w:sz w:val="28"/>
          <w:szCs w:val="28"/>
          <w:highlight w:val="none"/>
          <w:shd w:val="clear" w:color="auto" w:fill="auto"/>
          <w14:textFill>
            <w14:solidFill>
              <w14:schemeClr w14:val="tx1"/>
            </w14:solidFill>
          </w14:textFill>
        </w:rPr>
        <w:t xml:space="preserve">，还应包括管理、劳务、教育培训、通讯、风险及政策性文件规定等各项应有费用，以及为完成采购文件规定的服务工作所涉及到的一切相关费用。</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第十四条 合同生效及其他</w:t>
      </w:r>
      <w:r/>
    </w:p>
    <w:p>
      <w:pPr>
        <w:ind w:firstLine="560"/>
        <w:jc w:val="left"/>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TW"/>
          <w14:textFill>
            <w14:solidFill>
              <w14:schemeClr w14:val="tx1"/>
            </w14:solidFill>
          </w14:textFill>
        </w:rPr>
        <w:t xml:space="preserve">1</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、本合同自双方法定代表人或委托代理人签字并加盖单位公章之日起生效。</w:t>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eastAsia="zh-TW"/>
          <w14:textFill>
            <w14:solidFill>
              <w14:schemeClr w14:val="tx1"/>
            </w14:solidFill>
          </w14:textFill>
        </w:rPr>
        <w:t xml:space="preserve">2</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、本合同一式</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伍</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份，甲方执</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贰</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份，乙方执</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贰</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份，</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壹</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份交由代理机构存档。</w:t>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eastAsia="zh-TW"/>
          <w14:textFill>
            <w14:solidFill>
              <w14:schemeClr w14:val="tx1"/>
            </w14:solidFill>
          </w14:textFill>
        </w:rPr>
        <w:t xml:space="preserve">3</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、本合同应按照中华人民共和国的现行法律进行解释。</w:t>
      </w:r>
      <w:r/>
    </w:p>
    <w:p>
      <w:pPr>
        <w:ind w:firstLine="560"/>
        <w:jc w:val="left"/>
        <w:spacing w:line="360" w:lineRule="auto"/>
        <w:widowControl/>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r>
      <w:r/>
    </w:p>
    <w:p>
      <w:pPr>
        <w:ind w:firstLine="560"/>
        <w:jc w:val="left"/>
        <w:spacing w:line="360" w:lineRule="auto"/>
        <w:widowControl/>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甲方（采购人）：（盖章）</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乙方（供应商）</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：（盖章）</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代表人：                        代表人：</w:t>
      </w:r>
      <w:r/>
    </w:p>
    <w:p>
      <w:pPr>
        <w:ind w:firstLine="560"/>
        <w:jc w:val="left"/>
        <w:spacing w:line="360" w:lineRule="auto"/>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电话：</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电话：</w:t>
      </w:r>
      <w:r/>
    </w:p>
    <w:p>
      <w:pPr>
        <w:ind w:firstLine="560"/>
        <w:jc w:val="left"/>
        <w:spacing w:line="360" w:lineRule="auto"/>
        <w:widowControl/>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开户银行：                      开户银行：</w:t>
      </w:r>
      <w:r/>
    </w:p>
    <w:p>
      <w:pPr>
        <w:ind w:firstLine="560"/>
        <w:jc w:val="left"/>
        <w:spacing w:line="360" w:lineRule="auto"/>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账号：</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账号：</w:t>
      </w:r>
      <w:r/>
    </w:p>
    <w:p>
      <w:pPr>
        <w:ind w:firstLine="560"/>
        <w:jc w:val="left"/>
        <w:spacing w:line="360" w:lineRule="auto"/>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日期</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年</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月</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日</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日期</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年</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月</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日</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代理机构</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单一来源采购文件编制：</w:t>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单一来源采购文件接收及合同签订：</w:t>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日期：  年   月    日</w:t>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sectPr>
          <w:footerReference w:type="default" r:id="rId10"/>
          <w:footerReference w:type="first" r:id="rId11"/>
          <w:footnotePr/>
          <w:endnotePr/>
          <w:type w:val="nextPage"/>
          <w:pgSz w:w="11906" w:h="16838" w:orient="portrait"/>
          <w:pgMar w:top="1440" w:right="1800" w:bottom="1440" w:left="1843" w:header="851" w:footer="992" w:gutter="0"/>
          <w:pgNumType w:start="2"/>
          <w:cols w:num="1" w:sep="0" w:space="425" w:equalWidth="1"/>
          <w:docGrid w:linePitch="360"/>
        </w:sect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r>
      <w:r/>
    </w:p>
    <w:p>
      <w:pPr>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r>
      <w:r/>
    </w:p>
    <w:p>
      <w:pPr>
        <w:pStyle w:val="710"/>
        <w:rPr>
          <w:rFonts w:hint="eastAsia" w:ascii="仿宋" w:hAnsi="仿宋" w:eastAsia="仿宋" w:cs="仿宋"/>
          <w:color w:val="000000" w:themeColor="text1"/>
          <w:highlight w:val="none"/>
          <w:shd w:val="clear" w:color="auto" w:fill="auto"/>
          <w14:textFill>
            <w14:solidFill>
              <w14:schemeClr w14:val="tx1"/>
            </w14:solidFill>
          </w14:textFill>
        </w:rPr>
      </w:pPr>
      <w:r/>
      <w:bookmarkStart w:id="31" w:name="_Toc102655459"/>
      <w:r>
        <w:rPr>
          <w:rFonts w:hint="eastAsia" w:ascii="仿宋" w:hAnsi="仿宋" w:eastAsia="仿宋" w:cs="仿宋"/>
          <w:color w:val="000000" w:themeColor="text1"/>
          <w:highlight w:val="none"/>
          <w:shd w:val="clear" w:color="auto" w:fill="auto"/>
          <w14:textFill>
            <w14:solidFill>
              <w14:schemeClr w14:val="tx1"/>
            </w14:solidFill>
          </w14:textFill>
        </w:rPr>
        <w:t xml:space="preserve">第六章、</w:t>
      </w:r>
      <w:r>
        <w:rPr>
          <w:rFonts w:hint="eastAsia" w:ascii="仿宋" w:hAnsi="仿宋" w:eastAsia="仿宋" w:cs="仿宋"/>
          <w:color w:val="000000" w:themeColor="text1"/>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highlight w:val="none"/>
          <w:shd w:val="clear" w:color="auto" w:fill="auto"/>
          <w14:textFill>
            <w14:solidFill>
              <w14:schemeClr w14:val="tx1"/>
            </w14:solidFill>
          </w14:textFill>
        </w:rPr>
        <w:t xml:space="preserve">响应文件的组成</w:t>
      </w:r>
      <w:bookmarkEnd w:id="30"/>
      <w:r/>
      <w:bookmarkEnd w:id="31"/>
      <w:r/>
      <w:r/>
    </w:p>
    <w:p>
      <w:pPr>
        <w:jc w:val="left"/>
        <w:rPr>
          <w:rFonts w:hint="eastAsia" w:ascii="仿宋" w:hAnsi="仿宋" w:eastAsia="仿宋" w:cs="仿宋"/>
          <w:b/>
          <w:color w:val="000000" w:themeColor="text1"/>
          <w:sz w:val="32"/>
          <w:szCs w:val="32"/>
          <w:highlight w:val="none"/>
          <w:shd w:val="clear" w:color="auto" w:fill="auto"/>
          <w:lang w:val="zh-CN"/>
          <w14:textFill>
            <w14:solidFill>
              <w14:schemeClr w14:val="tx1"/>
            </w14:solidFill>
          </w14:textFill>
        </w:rPr>
      </w:pPr>
      <w:r/>
      <w:bookmarkStart w:id="32" w:name="_Toc449705454"/>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一、投标申请及声明格式</w:t>
      </w:r>
      <w:bookmarkEnd w:id="32"/>
      <w:r/>
      <w:r/>
    </w:p>
    <w:p>
      <w:pPr>
        <w:jc w:val="center"/>
        <w:rPr>
          <w:rFonts w:hint="eastAsia" w:ascii="仿宋" w:hAnsi="仿宋" w:eastAsia="仿宋" w:cs="仿宋"/>
          <w:b/>
          <w:color w:val="000000" w:themeColor="text1"/>
          <w:sz w:val="36"/>
          <w:szCs w:val="36"/>
          <w:highlight w:val="none"/>
          <w:shd w:val="clear" w:color="auto" w:fill="auto"/>
          <w14:textFill>
            <w14:solidFill>
              <w14:schemeClr w14:val="tx1"/>
            </w14:solidFill>
          </w14:textFill>
        </w:rPr>
      </w:pPr>
      <w:r/>
      <w:bookmarkStart w:id="33" w:name="_Toc449705455"/>
      <w:r>
        <w:rPr>
          <w:rFonts w:hint="eastAsia" w:ascii="仿宋" w:hAnsi="仿宋" w:eastAsia="仿宋" w:cs="仿宋"/>
          <w:b/>
          <w:color w:val="000000" w:themeColor="text1"/>
          <w:sz w:val="36"/>
          <w:szCs w:val="36"/>
          <w:highlight w:val="none"/>
          <w:shd w:val="clear" w:color="auto" w:fill="auto"/>
          <w14:textFill>
            <w14:solidFill>
              <w14:schemeClr w14:val="tx1"/>
            </w14:solidFill>
          </w14:textFill>
        </w:rPr>
        <w:t xml:space="preserve">投标申请及声明</w:t>
      </w:r>
      <w:bookmarkEnd w:id="33"/>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致：南京市医疗保险管理中心</w:t>
      </w:r>
      <w:r/>
    </w:p>
    <w:p>
      <w:pPr>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江苏苏建工程项目管理咨询有限公司</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根据贵方</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（项目名称）                 （项目编号）</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投标邀请，正式授权下述签字人</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(姓名和职务)代表投标人 </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（投标人名称）</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，提交投标文件。</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据此函，签字人兹宣布声明和承诺如下：</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1、我们的资格条件完全符合政府采购法和本次采购要求，我们同意并向贵方提供了与投标有关的所有证据和资料。</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2、按采购要求，我们的投标总报价为（大写）</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元人民币</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3、我们已详细审核全部采购文件及其有效补充文件，确认没有产生任何误解，提交投标文件后，不对采购文件本身提出质疑。</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4、我们同意从规定的开标日期起遵循本投标文件，并在规定的投标有效期期满之前均具有约束力。</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5、一旦我方成交，我方将根据采购文件的规定严格履行合同，并保证于承诺的时间完成服务的启动，交付采购人验收、使用。</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6、我方决不提供虚假材料谋取成交、决不采取不正当手段诋毁、排挤其他供应商、决不与采购人、其它供应商或者采购中心恶意串通、决不向采购人、政府采购中心工作人员和评委进行商业贿赂、决不在采购过程中与采购人进行协商</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谈判</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、决不拒绝有关部门监督检查或提供虚假情况，如有违反，无条件接受贵方及相关管理部门的处罚。</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7、与本投标有关的正式联系方式为：</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地   址：                       </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电   话：                       </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传   真：                       </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开户银行：</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银行账号：</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投标人授权代表姓名</w:t>
      </w:r>
      <w:bookmarkStart w:id="37" w:name="_GoBack"/>
      <w:r/>
      <w:bookmarkEnd w:id="37"/>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投标人名称：                 （盖章）</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    期：       年    月    日</w:t>
      </w:r>
      <w:r/>
    </w:p>
    <w:p>
      <w:pPr>
        <w:ind w:firstLine="420"/>
        <w:jc w:val="left"/>
        <w:spacing w:line="360" w:lineRule="auto"/>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shd w:val="clear" w:color="auto" w:fill="ffffff"/>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shd w:val="clear" w:color="auto" w:fill="ffffff"/>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p>
    <w:p>
      <w:pPr>
        <w:ind w:firstLine="420"/>
        <w:jc w:val="left"/>
        <w:spacing w:line="360" w:lineRule="auto"/>
        <w:shd w:val="clear" w:color="auto" w:fill="ffffff"/>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shd w:val="clear" w:color="auto" w:fill="ffffff"/>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shd w:val="clear" w:color="auto" w:fill="ffffff"/>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jc w:val="left"/>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r>
      <w:r/>
    </w:p>
    <w:p>
      <w:pPr>
        <w:jc w:val="left"/>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r>
      <w:r/>
    </w:p>
    <w:p>
      <w:pPr>
        <w:jc w:val="left"/>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二、法定代表人授权书格式</w:t>
      </w:r>
      <w:r/>
    </w:p>
    <w:p>
      <w:pPr>
        <w:jc w:val="center"/>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bookmarkStart w:id="34" w:name="_Toc449705456"/>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法定代表人授权委托书</w:t>
      </w:r>
      <w:bookmarkEnd w:id="34"/>
      <w:r/>
      <w:r/>
    </w:p>
    <w:p>
      <w:pPr>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致：南京市医疗保险管理中心</w:t>
      </w:r>
      <w:r/>
    </w:p>
    <w:p>
      <w:pPr>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江苏苏建工程项目管理咨询有限公司</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p>
    <w:p>
      <w:pPr>
        <w:ind w:firstLine="420"/>
        <w:spacing w:line="360" w:lineRule="auto"/>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授权书声明：注册于 </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（投标人地址）</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的</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（投标人名称）</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法定代表人 </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（法定代表人姓名、职务）代表本公司授权在下面签字的  </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（投标人代表姓名、职务）为本公司的合法代理人，就贵方组织的</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（项目名称）</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（项目编号</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）投标，以本公司名义处理一切与之有关的事务。</w:t>
      </w:r>
      <w:r/>
    </w:p>
    <w:p>
      <w:pPr>
        <w:jc w:val="left"/>
        <w:spacing w:line="360" w:lineRule="auto"/>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本授权书于</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年</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月</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日签字生效，特此声明。</w:t>
      </w:r>
      <w:r/>
    </w:p>
    <w:p>
      <w:pPr>
        <w:ind w:firstLine="420"/>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        期：        年    月    日</w:t>
      </w:r>
      <w:r/>
    </w:p>
    <w:p>
      <w:pPr>
        <w:ind w:firstLine="420"/>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br w:type="page" w:clear="all"/>
      </w:r>
      <w:r/>
    </w:p>
    <w:p>
      <w:pPr>
        <w:jc w:val="left"/>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三、第一章单一来源采购邀请供应商资格条件规定的证明文件 </w:t>
      </w:r>
      <w:r/>
    </w:p>
    <w:p>
      <w:pPr>
        <w:jc w:val="center"/>
        <w:spacing w:line="360" w:lineRule="auto"/>
        <w:rPr>
          <w:rFonts w:hint="eastAsia" w:ascii="仿宋" w:hAnsi="仿宋" w:eastAsia="仿宋" w:cs="仿宋"/>
          <w:b/>
          <w:bCs/>
          <w:color w:val="000000"/>
          <w:sz w:val="28"/>
          <w:szCs w:val="28"/>
          <w:highlight w:val="none"/>
          <w:lang w:val="en-US"/>
        </w:rPr>
        <w:outlineLvl w:val="9"/>
      </w:pPr>
      <w:r>
        <w:rPr>
          <w:rFonts w:hint="eastAsia" w:ascii="仿宋" w:hAnsi="仿宋" w:eastAsia="仿宋" w:cs="仿宋"/>
          <w:b/>
          <w:bCs/>
          <w:color w:val="000000"/>
          <w:sz w:val="28"/>
          <w:szCs w:val="28"/>
          <w:highlight w:val="none"/>
          <w:lang w:val="en-US"/>
        </w:rPr>
        <w:t xml:space="preserve">供应商信用承诺函</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致：南京市医疗保险管理中心</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江苏苏建工程项目管理咨询有限公司：</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我公司</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XXXXXXXXXXX</w:t>
      </w:r>
      <w:r>
        <w:rPr>
          <w:rFonts w:hint="eastAsia" w:ascii="仿宋" w:hAnsi="仿宋" w:eastAsia="仿宋" w:cs="仿宋"/>
          <w:color w:val="000000" w:themeColor="text1"/>
          <w:sz w:val="28"/>
          <w:szCs w:val="28"/>
          <w:highlight w:val="none"/>
          <w14:textFill>
            <w14:solidFill>
              <w14:schemeClr w14:val="tx1"/>
            </w14:solidFill>
          </w14:textFill>
        </w:rPr>
        <w:t xml:space="preserve">（供应商名称）郑重承诺：</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我公司符合下列要求：</w:t>
      </w:r>
      <w:r/>
    </w:p>
    <w:p>
      <w:pPr>
        <w:ind w:firstLine="495"/>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(一)具有良好的商业信誉和健全的财务会计制度；</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(二)具有履行合同所必需的设备和专业技术能力；</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(三)有依法缴纳税收和社会保障资金的良好记录；</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(四)参加政府采购活动前三年内，在经营活动中没有重大违法记录。</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如果我公司中标（成交），将在中标（成交）结果公示后七个工作日内向采购人提供下列材料核验：</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（2）履行合同所必需的设备和专业技术能力证明材料；</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（3）参加本次政府采购活动前一年内至少一个月依法缴纳税收和社会保障资金的证明材料。</w:t>
      </w:r>
      <w:r/>
    </w:p>
    <w:p>
      <w:pPr>
        <w:ind w:firstLine="492"/>
        <w:spacing w:line="46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本公司对上述承诺内容的真实性、合法性、有效性负责，如有虚假，将依法承担相应责任。</w:t>
      </w:r>
      <w:r/>
    </w:p>
    <w:p>
      <w:pPr>
        <w:ind w:right="180" w:firstLine="360"/>
        <w:jc w:val="right"/>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ind w:right="180" w:firstLine="360"/>
        <w:jc w:val="right"/>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供应商名称：（公章）</w:t>
      </w:r>
      <w:r/>
    </w:p>
    <w:p>
      <w:pPr>
        <w:ind w:right="280"/>
        <w:jc w:val="right"/>
        <w:spacing w:line="560" w:lineRule="exac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日期：</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XXXX</w:t>
      </w:r>
      <w:r>
        <w:rPr>
          <w:rFonts w:hint="eastAsia" w:ascii="仿宋" w:hAnsi="仿宋" w:eastAsia="仿宋" w:cs="仿宋"/>
          <w:color w:val="000000" w:themeColor="text1"/>
          <w:sz w:val="28"/>
          <w:szCs w:val="28"/>
          <w:highlight w:val="none"/>
          <w:u w:val="none"/>
          <w:lang w:eastAsia="zh-CN"/>
          <w14:textFill>
            <w14:solidFill>
              <w14:schemeClr w14:val="tx1"/>
            </w14:solidFill>
          </w14:textFill>
        </w:rPr>
        <w:t xml:space="preserve">年</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XX</w:t>
      </w:r>
      <w:r>
        <w:rPr>
          <w:rFonts w:hint="eastAsia" w:ascii="仿宋" w:hAnsi="仿宋" w:eastAsia="仿宋" w:cs="仿宋"/>
          <w:color w:val="000000" w:themeColor="text1"/>
          <w:sz w:val="28"/>
          <w:szCs w:val="28"/>
          <w:highlight w:val="none"/>
          <w:u w:val="none"/>
          <w:lang w:eastAsia="zh-CN"/>
          <w14:textFill>
            <w14:solidFill>
              <w14:schemeClr w14:val="tx1"/>
            </w14:solidFill>
          </w14:textFill>
        </w:rPr>
        <w:t xml:space="preserve">月</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XX</w:t>
      </w:r>
      <w:r>
        <w:rPr>
          <w:rFonts w:hint="eastAsia" w:ascii="仿宋" w:hAnsi="仿宋" w:eastAsia="仿宋" w:cs="仿宋"/>
          <w:color w:val="000000" w:themeColor="text1"/>
          <w:sz w:val="28"/>
          <w:szCs w:val="28"/>
          <w:highlight w:val="none"/>
          <w:u w:val="none"/>
          <w:lang w:eastAsia="zh-CN"/>
          <w14:textFill>
            <w14:solidFill>
              <w14:schemeClr w14:val="tx1"/>
            </w14:solidFill>
          </w14:textFill>
        </w:rPr>
        <w:t xml:space="preserve">日</w:t>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spacing w:line="44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jc w:val="left"/>
        <w:widowControl/>
        <w:rPr>
          <w:rFonts w:hint="eastAsia" w:ascii="仿宋" w:hAnsi="仿宋" w:eastAsia="仿宋" w:cs="仿宋"/>
          <w:b/>
          <w:color w:val="000000" w:themeColor="text1"/>
          <w:sz w:val="21"/>
          <w:szCs w:val="21"/>
          <w:highlight w:val="none"/>
          <w:shd w:val="clear" w:color="auto" w:fill="auto"/>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说明：执行南京市财政局《关于在政府采购活动中推行信用承诺制的通知》（宁财购通</w:t>
      </w:r>
      <w:r>
        <w:rPr>
          <w:rFonts w:hint="eastAsia" w:ascii="仿宋" w:hAnsi="仿宋" w:eastAsia="仿宋" w:cs="仿宋"/>
          <w:b/>
          <w:bCs/>
          <w:color w:val="000000" w:themeColor="text1"/>
          <w:sz w:val="21"/>
          <w:szCs w:val="21"/>
          <w:highlight w:val="none"/>
          <w:lang w:val="zh-CN"/>
          <w14:textFill>
            <w14:solidFill>
              <w14:schemeClr w14:val="tx1"/>
            </w14:solidFill>
          </w14:textFill>
        </w:rPr>
        <w:t xml:space="preserve">〔202</w:t>
      </w:r>
      <w:r>
        <w:rPr>
          <w:rFonts w:hint="eastAsia" w:ascii="仿宋" w:hAnsi="仿宋" w:eastAsia="仿宋" w:cs="仿宋"/>
          <w:b/>
          <w:bCs/>
          <w:color w:val="000000" w:themeColor="text1"/>
          <w:sz w:val="21"/>
          <w:szCs w:val="21"/>
          <w:highlight w:val="none"/>
          <w14:textFill>
            <w14:solidFill>
              <w14:schemeClr w14:val="tx1"/>
            </w14:solidFill>
          </w14:textFill>
        </w:rPr>
        <w:t xml:space="preserve">1</w:t>
      </w:r>
      <w:r>
        <w:rPr>
          <w:rFonts w:hint="eastAsia" w:ascii="仿宋" w:hAnsi="仿宋" w:eastAsia="仿宋" w:cs="仿宋"/>
          <w:b/>
          <w:bCs/>
          <w:color w:val="000000" w:themeColor="text1"/>
          <w:sz w:val="21"/>
          <w:szCs w:val="21"/>
          <w:highlight w:val="none"/>
          <w:lang w:val="zh-CN"/>
          <w14:textFill>
            <w14:solidFill>
              <w14:schemeClr w14:val="tx1"/>
            </w14:solidFill>
          </w14:textFill>
        </w:rPr>
        <w:t xml:space="preserve">〕5号</w:t>
      </w:r>
      <w:r>
        <w:rPr>
          <w:rFonts w:hint="eastAsia" w:ascii="仿宋" w:hAnsi="仿宋" w:eastAsia="仿宋" w:cs="仿宋"/>
          <w:b/>
          <w:bCs/>
          <w:color w:val="000000" w:themeColor="text1"/>
          <w:sz w:val="21"/>
          <w:szCs w:val="21"/>
          <w:highlight w:val="none"/>
          <w14:textFill>
            <w14:solidFill>
              <w14:schemeClr w14:val="tx1"/>
            </w14:solidFill>
          </w14:textFill>
        </w:rPr>
        <w:t xml:space="preserve">）要求。</w:t>
      </w:r>
      <w:r/>
    </w:p>
    <w:p>
      <w:pPr>
        <w:jc w:val="left"/>
        <w:widowControl/>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br w:type="page" w:clear="all"/>
      </w:r>
      <w:r/>
    </w:p>
    <w:p>
      <w:pPr>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六、响应报价表格式</w:t>
      </w:r>
      <w:r/>
    </w:p>
    <w:p>
      <w:pPr>
        <w:jc w:val="center"/>
        <w:rPr>
          <w:rFonts w:hint="eastAsia" w:ascii="仿宋" w:hAnsi="仿宋" w:eastAsia="仿宋" w:cs="仿宋"/>
          <w:b/>
          <w:color w:val="000000" w:themeColor="text1"/>
          <w:sz w:val="30"/>
          <w:szCs w:val="30"/>
          <w:highlight w:val="none"/>
          <w:shd w:val="clear" w:color="auto" w:fill="auto"/>
          <w14:textFill>
            <w14:solidFill>
              <w14:schemeClr w14:val="tx1"/>
            </w14:solidFill>
          </w14:textFill>
        </w:rPr>
      </w:pPr>
      <w:r/>
      <w:bookmarkStart w:id="35" w:name="_Toc449705458"/>
      <w:r>
        <w:rPr>
          <w:rFonts w:hint="eastAsia" w:ascii="仿宋" w:hAnsi="仿宋" w:eastAsia="仿宋" w:cs="仿宋"/>
          <w:b/>
          <w:color w:val="000000" w:themeColor="text1"/>
          <w:sz w:val="30"/>
          <w:szCs w:val="30"/>
          <w:highlight w:val="none"/>
          <w:shd w:val="clear" w:color="auto" w:fill="auto"/>
          <w14:textFill>
            <w14:solidFill>
              <w14:schemeClr w14:val="tx1"/>
            </w14:solidFill>
          </w14:textFill>
        </w:rPr>
        <w:t xml:space="preserve"> 响应报价表</w:t>
      </w:r>
      <w:bookmarkEnd w:id="35"/>
      <w:r/>
      <w:r/>
    </w:p>
    <w:p>
      <w:pPr>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                        </w:t>
      </w:r>
      <w:r/>
    </w:p>
    <w:tbl>
      <w:tblPr>
        <w:tblStyle w:val="714"/>
        <w:tblW w:w="8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2014"/>
        <w:gridCol w:w="2184"/>
        <w:gridCol w:w="944"/>
        <w:gridCol w:w="571"/>
        <w:gridCol w:w="1979"/>
        <w:gridCol w:w="38"/>
      </w:tblGrid>
      <w:tr>
        <w:trPr>
          <w:cantSplit/>
          <w:gridAfter w:val="1"/>
          <w:jc w:val="center"/>
          <w:trHeight w:val="284"/>
        </w:trPr>
        <w:tc>
          <w:tcPr>
            <w:gridSpan w:val="4"/>
            <w:tcW w:w="6176" w:type="dxa"/>
            <w:vAlign w:val="center"/>
            <w:textDirection w:val="lrTb"/>
            <w:noWrap w:val="false"/>
          </w:tcPr>
          <w:p>
            <w:pPr>
              <w:ind w:hanging="8"/>
              <w:jc w:val="left"/>
              <w:rPr>
                <w:rFonts w:hint="eastAsia" w:ascii="仿宋" w:hAnsi="仿宋" w:eastAsia="仿宋" w:cs="仿宋"/>
                <w:color w:val="000000" w:themeColor="text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项目名称：</w:t>
            </w:r>
            <w:r/>
          </w:p>
        </w:tc>
        <w:tc>
          <w:tcPr>
            <w:gridSpan w:val="2"/>
            <w:tcW w:w="2550" w:type="dxa"/>
            <w:vAlign w:val="center"/>
            <w:textDirection w:val="lrTb"/>
            <w:noWrap w:val="false"/>
          </w:tcPr>
          <w:p>
            <w:pPr>
              <w:ind w:hanging="8"/>
              <w:jc w:val="left"/>
              <w:rPr>
                <w:rFonts w:hint="eastAsia" w:ascii="仿宋" w:hAnsi="仿宋" w:eastAsia="仿宋" w:cs="仿宋"/>
                <w:color w:val="000000" w:themeColor="text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项目编号:</w:t>
            </w:r>
            <w:r/>
          </w:p>
        </w:tc>
      </w:tr>
      <w:tr>
        <w:trPr>
          <w:jc w:val="center"/>
          <w:trHeight w:val="284"/>
        </w:trPr>
        <w:tc>
          <w:tcPr>
            <w:tcW w:w="1034" w:type="dxa"/>
            <w:vAlign w:val="center"/>
            <w:textDirection w:val="lrTb"/>
            <w:noWrap w:val="false"/>
          </w:tcPr>
          <w:p>
            <w:pPr>
              <w:jc w:val="center"/>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分包号</w:t>
            </w:r>
            <w:r/>
          </w:p>
        </w:tc>
        <w:tc>
          <w:tcPr>
            <w:gridSpan w:val="2"/>
            <w:tcW w:w="4198" w:type="dxa"/>
            <w:vAlign w:val="center"/>
            <w:textDirection w:val="lrTb"/>
            <w:noWrap w:val="false"/>
          </w:tcPr>
          <w:p>
            <w:pPr>
              <w:jc w:val="center"/>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名               称</w:t>
            </w:r>
            <w:r/>
          </w:p>
        </w:tc>
        <w:tc>
          <w:tcPr>
            <w:gridSpan w:val="2"/>
            <w:tcW w:w="1515" w:type="dxa"/>
            <w:vAlign w:val="center"/>
            <w:textDirection w:val="lrTb"/>
            <w:noWrap w:val="false"/>
          </w:tcPr>
          <w:p>
            <w:pPr>
              <w:jc w:val="center"/>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报价（元）</w:t>
            </w:r>
            <w:r/>
          </w:p>
        </w:tc>
        <w:tc>
          <w:tcPr>
            <w:gridSpan w:val="2"/>
            <w:tcW w:w="2017" w:type="dxa"/>
            <w:vAlign w:val="center"/>
            <w:textDirection w:val="lrTb"/>
            <w:noWrap w:val="false"/>
          </w:tcPr>
          <w:p>
            <w:pPr>
              <w:jc w:val="center"/>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其中，</w:t>
            </w: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小型和微型企业报价（元）</w:t>
            </w:r>
            <w:r/>
          </w:p>
        </w:tc>
      </w:tr>
      <w:tr>
        <w:trPr>
          <w:jc w:val="center"/>
          <w:trHeight w:val="284"/>
        </w:trPr>
        <w:tc>
          <w:tcPr>
            <w:tcW w:w="1034" w:type="dxa"/>
            <w:vAlign w:val="center"/>
            <w:textDirection w:val="lrTb"/>
            <w:noWrap w:val="false"/>
          </w:tcPr>
          <w:p>
            <w:pPr>
              <w:jc w:val="center"/>
              <w:rPr>
                <w:rFonts w:hint="eastAsia" w:ascii="仿宋" w:hAnsi="仿宋" w:eastAsia="仿宋" w:cs="仿宋"/>
                <w:color w:val="000000" w:themeColor="text1"/>
                <w:spacing w:val="-2"/>
                <w:szCs w:val="21"/>
                <w:highlight w:val="none"/>
                <w:shd w:val="clear" w:color="auto" w:fill="auto"/>
                <w14:textFill>
                  <w14:solidFill>
                    <w14:schemeClr w14:val="tx1"/>
                  </w14:solidFill>
                </w14:textFill>
              </w:rPr>
            </w:pPr>
            <w:r>
              <w:rPr>
                <w:rFonts w:hint="eastAsia" w:ascii="仿宋" w:hAnsi="仿宋" w:eastAsia="仿宋" w:cs="仿宋"/>
                <w:color w:val="000000" w:themeColor="text1"/>
                <w:spacing w:val="-2"/>
                <w:szCs w:val="21"/>
                <w:highlight w:val="none"/>
                <w:shd w:val="clear" w:color="auto" w:fill="auto"/>
                <w14:textFill>
                  <w14:solidFill>
                    <w14:schemeClr w14:val="tx1"/>
                  </w14:solidFill>
                </w14:textFill>
              </w:rPr>
            </w:r>
            <w:r/>
          </w:p>
        </w:tc>
        <w:tc>
          <w:tcPr>
            <w:gridSpan w:val="2"/>
            <w:tcW w:w="4198" w:type="dxa"/>
            <w:vAlign w:val="center"/>
            <w:textDirection w:val="lrTb"/>
            <w:noWrap w:val="false"/>
          </w:tcPr>
          <w:p>
            <w:pPr>
              <w:jc w:val="center"/>
              <w:rPr>
                <w:rFonts w:hint="eastAsia" w:ascii="仿宋" w:hAnsi="仿宋" w:eastAsia="仿宋" w:cs="仿宋"/>
                <w:color w:val="000000" w:themeColor="text1"/>
                <w:spacing w:val="-2"/>
                <w:szCs w:val="21"/>
                <w:highlight w:val="none"/>
                <w:shd w:val="clear" w:color="auto" w:fill="auto"/>
                <w14:textFill>
                  <w14:solidFill>
                    <w14:schemeClr w14:val="tx1"/>
                  </w14:solidFill>
                </w14:textFill>
              </w:rPr>
            </w:pPr>
            <w:r>
              <w:rPr>
                <w:rFonts w:hint="eastAsia" w:ascii="仿宋" w:hAnsi="仿宋" w:eastAsia="仿宋" w:cs="仿宋"/>
                <w:color w:val="000000" w:themeColor="text1"/>
                <w:spacing w:val="-2"/>
                <w:szCs w:val="21"/>
                <w:highlight w:val="none"/>
                <w:shd w:val="clear" w:color="auto" w:fill="auto"/>
                <w14:textFill>
                  <w14:solidFill>
                    <w14:schemeClr w14:val="tx1"/>
                  </w14:solidFill>
                </w14:textFill>
              </w:rPr>
            </w:r>
            <w:r/>
          </w:p>
        </w:tc>
        <w:tc>
          <w:tcPr>
            <w:gridSpan w:val="2"/>
            <w:tcW w:w="1515" w:type="dxa"/>
            <w:vAlign w:val="center"/>
            <w:textDirection w:val="lrTb"/>
            <w:noWrap w:val="false"/>
          </w:tcPr>
          <w:p>
            <w:pPr>
              <w:jc w:val="center"/>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r>
            <w:r/>
          </w:p>
        </w:tc>
        <w:tc>
          <w:tcPr>
            <w:gridSpan w:val="2"/>
            <w:tcW w:w="2017" w:type="dxa"/>
            <w:vAlign w:val="center"/>
            <w:textDirection w:val="lrTb"/>
            <w:noWrap w:val="false"/>
          </w:tcPr>
          <w:p>
            <w:pPr>
              <w:jc w:val="center"/>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r>
            <w:r/>
          </w:p>
        </w:tc>
      </w:tr>
      <w:tr>
        <w:trPr>
          <w:jc w:val="center"/>
          <w:trHeight w:val="284"/>
        </w:trPr>
        <w:tc>
          <w:tcPr>
            <w:tcW w:w="1034" w:type="dxa"/>
            <w:vAlign w:val="center"/>
            <w:textDirection w:val="lrTb"/>
            <w:noWrap w:val="false"/>
          </w:tcPr>
          <w:p>
            <w:pPr>
              <w:jc w:val="center"/>
              <w:rPr>
                <w:rFonts w:hint="eastAsia" w:ascii="仿宋" w:hAnsi="仿宋" w:eastAsia="仿宋" w:cs="仿宋"/>
                <w:color w:val="000000" w:themeColor="text1"/>
                <w:spacing w:val="-2"/>
                <w:szCs w:val="21"/>
                <w:highlight w:val="none"/>
                <w:shd w:val="clear" w:color="auto" w:fill="auto"/>
                <w14:textFill>
                  <w14:solidFill>
                    <w14:schemeClr w14:val="tx1"/>
                  </w14:solidFill>
                </w14:textFill>
              </w:rPr>
            </w:pPr>
            <w:r>
              <w:rPr>
                <w:rFonts w:hint="eastAsia" w:ascii="仿宋" w:hAnsi="仿宋" w:eastAsia="仿宋" w:cs="仿宋"/>
                <w:color w:val="000000" w:themeColor="text1"/>
                <w:spacing w:val="-2"/>
                <w:szCs w:val="21"/>
                <w:highlight w:val="none"/>
                <w:shd w:val="clear" w:color="auto" w:fill="auto"/>
                <w14:textFill>
                  <w14:solidFill>
                    <w14:schemeClr w14:val="tx1"/>
                  </w14:solidFill>
                </w14:textFill>
              </w:rPr>
            </w:r>
            <w:r/>
          </w:p>
        </w:tc>
        <w:tc>
          <w:tcPr>
            <w:gridSpan w:val="2"/>
            <w:tcW w:w="4198" w:type="dxa"/>
            <w:vAlign w:val="center"/>
            <w:textDirection w:val="lrTb"/>
            <w:noWrap w:val="false"/>
          </w:tcPr>
          <w:p>
            <w:pPr>
              <w:jc w:val="center"/>
              <w:rPr>
                <w:rFonts w:hint="eastAsia" w:ascii="仿宋" w:hAnsi="仿宋" w:eastAsia="仿宋" w:cs="仿宋"/>
                <w:color w:val="000000" w:themeColor="text1"/>
                <w:spacing w:val="-2"/>
                <w:szCs w:val="21"/>
                <w:highlight w:val="none"/>
                <w:shd w:val="clear" w:color="auto" w:fill="auto"/>
                <w14:textFill>
                  <w14:solidFill>
                    <w14:schemeClr w14:val="tx1"/>
                  </w14:solidFill>
                </w14:textFill>
              </w:rPr>
            </w:pPr>
            <w:r>
              <w:rPr>
                <w:rFonts w:hint="eastAsia" w:ascii="仿宋" w:hAnsi="仿宋" w:eastAsia="仿宋" w:cs="仿宋"/>
                <w:color w:val="000000" w:themeColor="text1"/>
                <w:spacing w:val="-2"/>
                <w:szCs w:val="21"/>
                <w:highlight w:val="none"/>
                <w:shd w:val="clear" w:color="auto" w:fill="auto"/>
                <w14:textFill>
                  <w14:solidFill>
                    <w14:schemeClr w14:val="tx1"/>
                  </w14:solidFill>
                </w14:textFill>
              </w:rPr>
            </w:r>
            <w:r/>
          </w:p>
        </w:tc>
        <w:tc>
          <w:tcPr>
            <w:gridSpan w:val="2"/>
            <w:tcW w:w="1515" w:type="dxa"/>
            <w:vAlign w:val="center"/>
            <w:textDirection w:val="lrTb"/>
            <w:noWrap w:val="false"/>
          </w:tcPr>
          <w:p>
            <w:pPr>
              <w:jc w:val="center"/>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r>
            <w:r/>
          </w:p>
        </w:tc>
        <w:tc>
          <w:tcPr>
            <w:gridSpan w:val="2"/>
            <w:tcW w:w="2017" w:type="dxa"/>
            <w:vAlign w:val="center"/>
            <w:textDirection w:val="lrTb"/>
            <w:noWrap w:val="false"/>
          </w:tcPr>
          <w:p>
            <w:pPr>
              <w:jc w:val="center"/>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r>
            <w:r/>
          </w:p>
        </w:tc>
      </w:tr>
      <w:tr>
        <w:trPr>
          <w:jc w:val="center"/>
          <w:trHeight w:val="284"/>
        </w:trPr>
        <w:tc>
          <w:tcPr>
            <w:tcW w:w="1034" w:type="dxa"/>
            <w:vAlign w:val="center"/>
            <w:textDirection w:val="lrTb"/>
            <w:noWrap w:val="false"/>
          </w:tcPr>
          <w:p>
            <w:pPr>
              <w:jc w:val="center"/>
              <w:rPr>
                <w:rFonts w:hint="eastAsia" w:ascii="仿宋" w:hAnsi="仿宋" w:eastAsia="仿宋" w:cs="仿宋"/>
                <w:color w:val="000000" w:themeColor="text1"/>
                <w:spacing w:val="-2"/>
                <w:szCs w:val="21"/>
                <w:highlight w:val="none"/>
                <w:shd w:val="clear" w:color="auto" w:fill="auto"/>
                <w14:textFill>
                  <w14:solidFill>
                    <w14:schemeClr w14:val="tx1"/>
                  </w14:solidFill>
                </w14:textFill>
              </w:rPr>
            </w:pPr>
            <w:r>
              <w:rPr>
                <w:rFonts w:hint="eastAsia" w:ascii="仿宋" w:hAnsi="仿宋" w:eastAsia="仿宋" w:cs="仿宋"/>
                <w:color w:val="000000" w:themeColor="text1"/>
                <w:spacing w:val="-2"/>
                <w:szCs w:val="21"/>
                <w:highlight w:val="none"/>
                <w:shd w:val="clear" w:color="auto" w:fill="auto"/>
                <w14:textFill>
                  <w14:solidFill>
                    <w14:schemeClr w14:val="tx1"/>
                  </w14:solidFill>
                </w14:textFill>
              </w:rPr>
            </w:r>
            <w:r/>
          </w:p>
        </w:tc>
        <w:tc>
          <w:tcPr>
            <w:gridSpan w:val="2"/>
            <w:tcW w:w="4198" w:type="dxa"/>
            <w:vAlign w:val="center"/>
            <w:textDirection w:val="lrTb"/>
            <w:noWrap w:val="false"/>
          </w:tcPr>
          <w:p>
            <w:pPr>
              <w:jc w:val="center"/>
              <w:rPr>
                <w:rFonts w:hint="eastAsia" w:ascii="仿宋" w:hAnsi="仿宋" w:eastAsia="仿宋" w:cs="仿宋"/>
                <w:color w:val="000000" w:themeColor="text1"/>
                <w:spacing w:val="-2"/>
                <w:szCs w:val="21"/>
                <w:highlight w:val="none"/>
                <w:shd w:val="clear" w:color="auto" w:fill="auto"/>
                <w14:textFill>
                  <w14:solidFill>
                    <w14:schemeClr w14:val="tx1"/>
                  </w14:solidFill>
                </w14:textFill>
              </w:rPr>
            </w:pPr>
            <w:r>
              <w:rPr>
                <w:rFonts w:hint="eastAsia" w:ascii="仿宋" w:hAnsi="仿宋" w:eastAsia="仿宋" w:cs="仿宋"/>
                <w:color w:val="000000" w:themeColor="text1"/>
                <w:spacing w:val="-2"/>
                <w:szCs w:val="21"/>
                <w:highlight w:val="none"/>
                <w:shd w:val="clear" w:color="auto" w:fill="auto"/>
                <w14:textFill>
                  <w14:solidFill>
                    <w14:schemeClr w14:val="tx1"/>
                  </w14:solidFill>
                </w14:textFill>
              </w:rPr>
            </w:r>
            <w:r/>
          </w:p>
        </w:tc>
        <w:tc>
          <w:tcPr>
            <w:gridSpan w:val="2"/>
            <w:tcW w:w="1515" w:type="dxa"/>
            <w:vAlign w:val="center"/>
            <w:textDirection w:val="lrTb"/>
            <w:noWrap w:val="false"/>
          </w:tcPr>
          <w:p>
            <w:pPr>
              <w:jc w:val="center"/>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r>
            <w:r/>
          </w:p>
        </w:tc>
        <w:tc>
          <w:tcPr>
            <w:gridSpan w:val="2"/>
            <w:tcW w:w="2017" w:type="dxa"/>
            <w:vAlign w:val="center"/>
            <w:textDirection w:val="lrTb"/>
            <w:noWrap w:val="false"/>
          </w:tcPr>
          <w:p>
            <w:pPr>
              <w:jc w:val="center"/>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r>
            <w:r/>
          </w:p>
        </w:tc>
      </w:tr>
      <w:tr>
        <w:trPr>
          <w:jc w:val="center"/>
          <w:trHeight w:val="284"/>
        </w:trPr>
        <w:tc>
          <w:tcPr>
            <w:tcW w:w="1034" w:type="dxa"/>
            <w:vAlign w:val="center"/>
            <w:textDirection w:val="lrTb"/>
            <w:noWrap w:val="false"/>
          </w:tcPr>
          <w:p>
            <w:pPr>
              <w:jc w:val="center"/>
              <w:rPr>
                <w:rFonts w:hint="eastAsia" w:ascii="仿宋" w:hAnsi="仿宋" w:eastAsia="仿宋" w:cs="仿宋"/>
                <w:color w:val="000000" w:themeColor="text1"/>
                <w:spacing w:val="-2"/>
                <w:szCs w:val="21"/>
                <w:highlight w:val="none"/>
                <w:shd w:val="clear" w:color="auto" w:fill="auto"/>
                <w14:textFill>
                  <w14:solidFill>
                    <w14:schemeClr w14:val="tx1"/>
                  </w14:solidFill>
                </w14:textFill>
              </w:rPr>
            </w:pPr>
            <w:r>
              <w:rPr>
                <w:rFonts w:hint="eastAsia" w:ascii="仿宋" w:hAnsi="仿宋" w:eastAsia="仿宋" w:cs="仿宋"/>
                <w:color w:val="000000" w:themeColor="text1"/>
                <w:spacing w:val="-2"/>
                <w:szCs w:val="21"/>
                <w:highlight w:val="none"/>
                <w:shd w:val="clear" w:color="auto" w:fill="auto"/>
                <w14:textFill>
                  <w14:solidFill>
                    <w14:schemeClr w14:val="tx1"/>
                  </w14:solidFill>
                </w14:textFill>
              </w:rPr>
            </w:r>
            <w:r/>
          </w:p>
        </w:tc>
        <w:tc>
          <w:tcPr>
            <w:gridSpan w:val="2"/>
            <w:tcW w:w="4198" w:type="dxa"/>
            <w:vAlign w:val="center"/>
            <w:textDirection w:val="lrTb"/>
            <w:noWrap w:val="false"/>
          </w:tcPr>
          <w:p>
            <w:pPr>
              <w:jc w:val="center"/>
              <w:rPr>
                <w:rFonts w:hint="eastAsia" w:ascii="仿宋" w:hAnsi="仿宋" w:eastAsia="仿宋" w:cs="仿宋"/>
                <w:color w:val="000000" w:themeColor="text1"/>
                <w:spacing w:val="-2"/>
                <w:szCs w:val="21"/>
                <w:highlight w:val="none"/>
                <w:shd w:val="clear" w:color="auto" w:fill="auto"/>
                <w14:textFill>
                  <w14:solidFill>
                    <w14:schemeClr w14:val="tx1"/>
                  </w14:solidFill>
                </w14:textFill>
              </w:rPr>
            </w:pPr>
            <w:r>
              <w:rPr>
                <w:rFonts w:hint="eastAsia" w:ascii="仿宋" w:hAnsi="仿宋" w:eastAsia="仿宋" w:cs="仿宋"/>
                <w:color w:val="000000" w:themeColor="text1"/>
                <w:spacing w:val="-2"/>
                <w:szCs w:val="21"/>
                <w:highlight w:val="none"/>
                <w:shd w:val="clear" w:color="auto" w:fill="auto"/>
                <w14:textFill>
                  <w14:solidFill>
                    <w14:schemeClr w14:val="tx1"/>
                  </w14:solidFill>
                </w14:textFill>
              </w:rPr>
            </w:r>
            <w:r/>
          </w:p>
        </w:tc>
        <w:tc>
          <w:tcPr>
            <w:gridSpan w:val="2"/>
            <w:tcW w:w="1515" w:type="dxa"/>
            <w:vAlign w:val="center"/>
            <w:textDirection w:val="lrTb"/>
            <w:noWrap w:val="false"/>
          </w:tcPr>
          <w:p>
            <w:pPr>
              <w:jc w:val="center"/>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r>
            <w:r/>
          </w:p>
        </w:tc>
        <w:tc>
          <w:tcPr>
            <w:gridSpan w:val="2"/>
            <w:tcW w:w="2017" w:type="dxa"/>
            <w:vAlign w:val="center"/>
            <w:textDirection w:val="lrTb"/>
            <w:noWrap w:val="false"/>
          </w:tcPr>
          <w:p>
            <w:pPr>
              <w:jc w:val="center"/>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r>
            <w:r/>
          </w:p>
        </w:tc>
      </w:tr>
      <w:tr>
        <w:trPr>
          <w:jc w:val="center"/>
          <w:trHeight w:val="284"/>
        </w:trPr>
        <w:tc>
          <w:tcPr>
            <w:gridSpan w:val="2"/>
            <w:tcW w:w="3048" w:type="dxa"/>
            <w:vAlign w:val="center"/>
            <w:textDirection w:val="lrTb"/>
            <w:noWrap w:val="false"/>
          </w:tcPr>
          <w:p>
            <w:pPr>
              <w:jc w:val="center"/>
              <w:widowControl/>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总价（人民币，大写）</w:t>
            </w:r>
            <w:r/>
          </w:p>
        </w:tc>
        <w:tc>
          <w:tcPr>
            <w:gridSpan w:val="5"/>
            <w:tcW w:w="5716" w:type="dxa"/>
            <w:vAlign w:val="center"/>
            <w:textDirection w:val="lrTb"/>
            <w:noWrap w:val="false"/>
          </w:tcPr>
          <w:p>
            <w:pPr>
              <w:ind w:firstLine="3990"/>
              <w:jc w:val="center"/>
              <w:widowControl/>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元</w:t>
            </w:r>
            <w:r/>
          </w:p>
        </w:tc>
      </w:tr>
      <w:tr>
        <w:trPr>
          <w:jc w:val="center"/>
          <w:trHeight w:val="284"/>
        </w:trPr>
        <w:tc>
          <w:tcPr>
            <w:gridSpan w:val="2"/>
            <w:tcW w:w="3048" w:type="dxa"/>
            <w:vAlign w:val="center"/>
            <w:textDirection w:val="lrTb"/>
            <w:noWrap w:val="false"/>
          </w:tcPr>
          <w:p>
            <w:pPr>
              <w:jc w:val="center"/>
              <w:widowControl/>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供应商是否属于小微型企业</w:t>
            </w:r>
            <w:r/>
          </w:p>
        </w:tc>
        <w:tc>
          <w:tcPr>
            <w:gridSpan w:val="5"/>
            <w:tcW w:w="5716" w:type="dxa"/>
            <w:vAlign w:val="center"/>
            <w:textDirection w:val="lrTb"/>
            <w:noWrap w:val="false"/>
          </w:tcPr>
          <w:p>
            <w:pPr>
              <w:jc w:val="center"/>
              <w:widowControl/>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是       否</w:t>
            </w:r>
            <w:r/>
          </w:p>
        </w:tc>
      </w:tr>
    </w:tbl>
    <w:p>
      <w:pPr>
        <w:jc w:val="left"/>
        <w:spacing w:line="360" w:lineRule="auto"/>
        <w:widowControl/>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供应商名称:</w:t>
      </w:r>
      <w:r>
        <w:rPr>
          <w:rFonts w:hint="eastAsia" w:ascii="仿宋" w:hAnsi="仿宋" w:eastAsia="仿宋" w:cs="仿宋"/>
          <w:color w:val="000000" w:themeColor="text1"/>
          <w:szCs w:val="21"/>
          <w:highlight w:val="none"/>
          <w:u w:val="single"/>
          <w:shd w:val="clear" w:color="auto" w:fill="auto"/>
          <w:lang w:val="zh-CN"/>
          <w14:textFill>
            <w14:solidFill>
              <w14:schemeClr w14:val="tx1"/>
            </w14:solidFill>
          </w14:textFill>
        </w:rPr>
        <w:t xml:space="preserve">                                                  </w:t>
      </w: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（盖章）</w:t>
      </w:r>
      <w:r/>
    </w:p>
    <w:p>
      <w:pPr>
        <w:jc w:val="left"/>
        <w:spacing w:line="360" w:lineRule="auto"/>
        <w:widowControl/>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授权代表：</w:t>
      </w:r>
      <w:r/>
    </w:p>
    <w:p>
      <w:pPr>
        <w:jc w:val="left"/>
        <w:spacing w:line="360" w:lineRule="auto"/>
        <w:widowControl/>
        <w:rPr>
          <w:rFonts w:hint="eastAsia" w:ascii="仿宋" w:hAnsi="仿宋" w:eastAsia="仿宋" w:cs="仿宋"/>
          <w:color w:val="000000" w:themeColor="text1"/>
          <w:szCs w:val="21"/>
          <w:highlight w:val="none"/>
          <w:shd w:val="clear" w:color="auto" w:fill="auto"/>
          <w:lang w:val="zh-CN"/>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联系方式：</w:t>
      </w:r>
      <w:r/>
    </w:p>
    <w:p>
      <w:pPr>
        <w:jc w:val="left"/>
        <w:spacing w:line="240" w:lineRule="atLeast"/>
        <w:widowControl/>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val="zh-CN"/>
          <w14:textFill>
            <w14:solidFill>
              <w14:schemeClr w14:val="tx1"/>
            </w14:solidFill>
          </w14:textFill>
        </w:rPr>
        <w:t xml:space="preserve">说明：</w:t>
      </w:r>
      <w:r>
        <w:rPr>
          <w:rFonts w:hint="eastAsia" w:ascii="仿宋" w:hAnsi="仿宋" w:eastAsia="仿宋" w:cs="仿宋"/>
          <w:b/>
          <w:color w:val="000000" w:themeColor="text1"/>
          <w:szCs w:val="21"/>
          <w:highlight w:val="none"/>
          <w:shd w:val="clear" w:color="auto" w:fill="auto"/>
          <w:lang w:val="zh-CN"/>
          <w14:textFill>
            <w14:solidFill>
              <w14:schemeClr w14:val="tx1"/>
            </w14:solidFill>
          </w14:textFill>
        </w:rPr>
        <w:t xml:space="preserve">在“供应商是否属于小和微型企业”栏后“是”或“否”上打“√”,评审过程中，如果小、微型企业报价无法划分计算的，将不予认可。</w:t>
      </w:r>
      <w:r/>
    </w:p>
    <w:p>
      <w:pPr>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p>
      <w:pPr>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p>
      <w:pPr>
        <w:jc w:val="left"/>
        <w:widowControl/>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br w:type="page" w:clear="all"/>
      </w:r>
      <w:r/>
    </w:p>
    <w:p>
      <w:pPr>
        <w:jc w:val="left"/>
        <w:widowControl/>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七、采购需求偏离表</w:t>
      </w:r>
      <w:r/>
    </w:p>
    <w:p>
      <w:pPr>
        <w:jc w:val="center"/>
        <w:rPr>
          <w:rFonts w:hint="eastAsia" w:ascii="仿宋" w:hAnsi="仿宋" w:eastAsia="仿宋" w:cs="仿宋"/>
          <w:color w:val="000000" w:themeColor="text1"/>
          <w:sz w:val="44"/>
          <w:szCs w:val="44"/>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44"/>
          <w:szCs w:val="44"/>
          <w:highlight w:val="none"/>
          <w:shd w:val="clear" w:color="auto" w:fill="auto"/>
          <w:lang w:val="zh-CN"/>
          <w14:textFill>
            <w14:solidFill>
              <w14:schemeClr w14:val="tx1"/>
            </w14:solidFill>
          </w14:textFill>
        </w:rPr>
        <w:t xml:space="preserve">采购需求偏离表</w:t>
      </w:r>
      <w:r/>
    </w:p>
    <w:tbl>
      <w:tblPr>
        <w:tblStyle w:val="714"/>
        <w:tblW w:w="8404" w:type="dxa"/>
        <w:jc w:val="center"/>
        <w:tblLayout w:type="fixed"/>
        <w:tblCellMar>
          <w:left w:w="10" w:type="dxa"/>
          <w:top w:w="0" w:type="dxa"/>
          <w:right w:w="10" w:type="dxa"/>
          <w:bottom w:w="0" w:type="dxa"/>
        </w:tblCellMar>
        <w:tblLook w:val="04A0" w:firstRow="1" w:lastRow="0" w:firstColumn="1" w:lastColumn="0" w:noHBand="0" w:noVBand="1"/>
      </w:tblPr>
      <w:tblGrid>
        <w:gridCol w:w="716"/>
        <w:gridCol w:w="2120"/>
        <w:gridCol w:w="2675"/>
        <w:gridCol w:w="1929"/>
        <w:gridCol w:w="964"/>
      </w:tblGrid>
      <w:tr>
        <w:trPr>
          <w:jc w:val="center"/>
          <w:trHeight w:val="567"/>
        </w:trPr>
        <w:tc>
          <w:tcPr>
            <w:gridSpan w:val="5"/>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8404" w:type="dxa"/>
            <w:vAlign w:val="center"/>
            <w:textDirection w:val="lrTb"/>
            <w:noWrap w:val="false"/>
          </w:tcPr>
          <w:p>
            <w:pPr>
              <w:ind w:firstLine="210"/>
              <w:jc w:val="left"/>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项目名称：                               项目编号：</w:t>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招标文件条目号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招标文件要求的采购需求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投标响应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偏离</w:t>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r>
    </w:tbl>
    <w:p>
      <w:pPr>
        <w:pStyle w:val="729"/>
        <w:spacing w:line="360" w:lineRule="auto"/>
        <w:rPr>
          <w:rFonts w:hint="eastAsia" w:ascii="仿宋" w:hAnsi="仿宋" w:eastAsia="仿宋" w:cs="仿宋"/>
          <w:color w:val="000000" w:themeColor="text1"/>
          <w:sz w:val="21"/>
          <w:szCs w:val="21"/>
          <w:highlight w:val="none"/>
          <w:shd w:val="clear" w:color="auto" w:fill="auto"/>
          <w14:textFill>
            <w14:solidFill>
              <w14:schemeClr w14:val="tx1"/>
            </w14:solidFill>
          </w14:textFill>
        </w:rPr>
      </w:pPr>
      <w:r>
        <w:rPr>
          <w:rFonts w:hint="eastAsia" w:ascii="仿宋" w:hAnsi="仿宋" w:eastAsia="仿宋" w:cs="仿宋"/>
          <w:color w:val="000000" w:themeColor="text1"/>
          <w:sz w:val="21"/>
          <w:szCs w:val="21"/>
          <w:highlight w:val="none"/>
          <w:shd w:val="clear" w:color="auto" w:fill="auto"/>
          <w14:textFill>
            <w14:solidFill>
              <w14:schemeClr w14:val="tx1"/>
            </w14:solidFill>
          </w14:textFill>
        </w:rPr>
        <w:t xml:space="preserve">供应商名称：</w:t>
      </w:r>
      <w:r>
        <w:rPr>
          <w:rFonts w:hint="eastAsia" w:ascii="仿宋" w:hAnsi="仿宋" w:eastAsia="仿宋" w:cs="仿宋"/>
          <w:color w:val="000000" w:themeColor="text1"/>
          <w:sz w:val="21"/>
          <w:szCs w:val="21"/>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1"/>
          <w:szCs w:val="21"/>
          <w:highlight w:val="none"/>
          <w:shd w:val="clear" w:color="auto" w:fill="auto"/>
          <w14:textFill>
            <w14:solidFill>
              <w14:schemeClr w14:val="tx1"/>
            </w14:solidFill>
          </w14:textFill>
        </w:rPr>
        <w:t xml:space="preserve">（盖章）</w:t>
      </w:r>
      <w:r/>
    </w:p>
    <w:p>
      <w:pPr>
        <w:pStyle w:val="729"/>
        <w:spacing w:line="360" w:lineRule="auto"/>
        <w:rPr>
          <w:rFonts w:hint="eastAsia" w:ascii="仿宋" w:hAnsi="仿宋" w:eastAsia="仿宋" w:cs="仿宋"/>
          <w:color w:val="000000" w:themeColor="text1"/>
          <w:sz w:val="21"/>
          <w:szCs w:val="21"/>
          <w:highlight w:val="none"/>
          <w:shd w:val="clear" w:color="auto" w:fill="auto"/>
          <w14:textFill>
            <w14:solidFill>
              <w14:schemeClr w14:val="tx1"/>
            </w14:solidFill>
          </w14:textFill>
        </w:rPr>
      </w:pPr>
      <w:r>
        <w:rPr>
          <w:rFonts w:hint="eastAsia" w:ascii="仿宋" w:hAnsi="仿宋" w:eastAsia="仿宋" w:cs="仿宋"/>
          <w:color w:val="000000" w:themeColor="text1"/>
          <w:sz w:val="21"/>
          <w:szCs w:val="21"/>
          <w:highlight w:val="none"/>
          <w:shd w:val="clear" w:color="auto" w:fill="auto"/>
          <w14:textFill>
            <w14:solidFill>
              <w14:schemeClr w14:val="tx1"/>
            </w14:solidFill>
          </w14:textFill>
        </w:rPr>
        <w:t xml:space="preserve">说明：</w:t>
      </w:r>
      <w:r/>
    </w:p>
    <w:p>
      <w:pPr>
        <w:pStyle w:val="729"/>
        <w:spacing w:line="360" w:lineRule="auto"/>
        <w:rPr>
          <w:rFonts w:hint="eastAsia" w:ascii="仿宋" w:hAnsi="仿宋" w:eastAsia="仿宋" w:cs="仿宋"/>
          <w:color w:val="000000" w:themeColor="text1"/>
          <w:sz w:val="21"/>
          <w:szCs w:val="21"/>
          <w:highlight w:val="none"/>
          <w:shd w:val="clear" w:color="auto" w:fill="auto"/>
          <w14:textFill>
            <w14:solidFill>
              <w14:schemeClr w14:val="tx1"/>
            </w14:solidFill>
          </w14:textFill>
        </w:rPr>
      </w:pPr>
      <w:r>
        <w:rPr>
          <w:rFonts w:hint="eastAsia" w:ascii="仿宋" w:hAnsi="仿宋" w:eastAsia="仿宋" w:cs="仿宋"/>
          <w:color w:val="000000" w:themeColor="text1"/>
          <w:sz w:val="21"/>
          <w:szCs w:val="21"/>
          <w:highlight w:val="none"/>
          <w:shd w:val="clear" w:color="auto" w:fill="auto"/>
          <w14:textFill>
            <w14:solidFill>
              <w14:schemeClr w14:val="tx1"/>
            </w14:solidFill>
          </w14:textFill>
        </w:rPr>
        <w:t xml:space="preserve">1、供应商应逐一说明投标产品和服务响应，直接拷贝采购文件技术要求的按照无效投标处理；</w:t>
      </w:r>
      <w:r/>
    </w:p>
    <w:p>
      <w:pPr>
        <w:pStyle w:val="729"/>
        <w:spacing w:line="360" w:lineRule="auto"/>
        <w:rPr>
          <w:rFonts w:hint="eastAsia" w:ascii="仿宋" w:hAnsi="仿宋" w:eastAsia="仿宋" w:cs="仿宋"/>
          <w:color w:val="000000" w:themeColor="text1"/>
          <w:sz w:val="21"/>
          <w:szCs w:val="21"/>
          <w:highlight w:val="none"/>
          <w:shd w:val="clear" w:color="auto" w:fill="auto"/>
          <w14:textFill>
            <w14:solidFill>
              <w14:schemeClr w14:val="tx1"/>
            </w14:solidFill>
          </w14:textFill>
        </w:rPr>
      </w:pPr>
      <w:r>
        <w:rPr>
          <w:rFonts w:hint="eastAsia" w:ascii="仿宋" w:hAnsi="仿宋" w:eastAsia="仿宋" w:cs="仿宋"/>
          <w:color w:val="000000" w:themeColor="text1"/>
          <w:sz w:val="21"/>
          <w:szCs w:val="21"/>
          <w:highlight w:val="none"/>
          <w:shd w:val="clear" w:color="auto" w:fill="auto"/>
          <w14:textFill>
            <w14:solidFill>
              <w14:schemeClr w14:val="tx1"/>
            </w14:solidFill>
          </w14:textFill>
        </w:rPr>
        <w:t xml:space="preserve">2、如果行数不够，请自行增加。</w:t>
      </w:r>
      <w:r/>
    </w:p>
    <w:p>
      <w:pPr>
        <w:pStyle w:val="729"/>
        <w:spacing w:line="360" w:lineRule="auto"/>
        <w:rPr>
          <w:rFonts w:hint="eastAsia" w:ascii="仿宋" w:hAnsi="仿宋" w:eastAsia="仿宋" w:cs="仿宋"/>
          <w:color w:val="000000" w:themeColor="text1"/>
          <w:sz w:val="21"/>
          <w:szCs w:val="21"/>
          <w:highlight w:val="none"/>
          <w:shd w:val="clear" w:color="auto" w:fill="auto"/>
          <w14:textFill>
            <w14:solidFill>
              <w14:schemeClr w14:val="tx1"/>
            </w14:solidFill>
          </w14:textFill>
        </w:rPr>
      </w:pPr>
      <w:r>
        <w:rPr>
          <w:rFonts w:hint="eastAsia" w:ascii="仿宋" w:hAnsi="仿宋" w:eastAsia="仿宋" w:cs="仿宋"/>
          <w:color w:val="000000" w:themeColor="text1"/>
          <w:sz w:val="21"/>
          <w:szCs w:val="21"/>
          <w:highlight w:val="none"/>
          <w:shd w:val="clear" w:color="auto" w:fill="auto"/>
          <w14:textFill>
            <w14:solidFill>
              <w14:schemeClr w14:val="tx1"/>
            </w14:solidFill>
          </w14:textFill>
        </w:rPr>
      </w:r>
      <w:r/>
    </w:p>
    <w:p>
      <w:pPr>
        <w:jc w:val="left"/>
        <w:widowControl/>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br w:type="page" w:clear="all"/>
      </w:r>
      <w:r/>
    </w:p>
    <w:p>
      <w:pPr>
        <w:jc w:val="left"/>
        <w:widowControl/>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八、参加</w:t>
      </w:r>
      <w:r>
        <w:rPr>
          <w:rFonts w:hint="eastAsia" w:ascii="仿宋" w:hAnsi="仿宋" w:eastAsia="仿宋" w:cs="仿宋"/>
          <w:b/>
          <w:color w:val="000000" w:themeColor="text1"/>
          <w:sz w:val="32"/>
          <w:szCs w:val="32"/>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供应商服务承诺</w:t>
      </w:r>
      <w:r/>
    </w:p>
    <w:p>
      <w:pPr>
        <w:jc w:val="center"/>
        <w:rPr>
          <w:rFonts w:hint="eastAsia" w:ascii="仿宋" w:hAnsi="仿宋" w:eastAsia="仿宋" w:cs="仿宋"/>
          <w:b/>
          <w:color w:val="000000" w:themeColor="text1"/>
          <w:sz w:val="30"/>
          <w:szCs w:val="30"/>
          <w:highlight w:val="none"/>
          <w:shd w:val="clear" w:color="auto" w:fill="auto"/>
          <w14:textFill>
            <w14:solidFill>
              <w14:schemeClr w14:val="tx1"/>
            </w14:solidFill>
          </w14:textFill>
        </w:rPr>
      </w:pPr>
      <w:r/>
      <w:bookmarkStart w:id="36" w:name="_Toc449705459"/>
      <w:r>
        <w:rPr>
          <w:rFonts w:hint="eastAsia" w:ascii="仿宋" w:hAnsi="仿宋" w:eastAsia="仿宋" w:cs="仿宋"/>
          <w:b/>
          <w:color w:val="000000" w:themeColor="text1"/>
          <w:sz w:val="30"/>
          <w:szCs w:val="30"/>
          <w:highlight w:val="none"/>
          <w:shd w:val="clear" w:color="auto" w:fill="auto"/>
          <w14:textFill>
            <w14:solidFill>
              <w14:schemeClr w14:val="tx1"/>
            </w14:solidFill>
          </w14:textFill>
        </w:rPr>
        <w:t xml:space="preserve">服务承诺</w:t>
      </w:r>
      <w:bookmarkEnd w:id="36"/>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本承诺人现就参加 </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项目相关事宜，自愿向南京市医疗保险管理中心（采购人单位）做出以下保证与承诺：</w:t>
      </w:r>
      <w:r/>
    </w:p>
    <w:p>
      <w:pPr>
        <w:ind w:firstLine="56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承诺人为依据中华人民共和国法律合法成立、有效存续并运行良好的法律实体。承诺人具有充分的权利、授权及法定权利签署、提交应征文件并参与此次征集活动，并已取得从事上述行为所必须的承诺人内部及其他相关授权和同意。</w:t>
      </w:r>
      <w:r/>
    </w:p>
    <w:p>
      <w:pPr>
        <w:ind w:firstLine="56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2、承诺人已详细阅读本次采购项目文件，并保证遵守文件的全部规定。承诺人将自行承担因对文件不明或误解而产生的相应后果。承诺人在应征方案中提供的所有信息是真实、准确和完整的。</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承诺人确认，应征文件的填写与提交之目的仅为方便采购人。是否选择承诺人参与此次项目有关工作，采购单位享有绝对、充分和最终的决定权。同时，承诺人充分理解采购人在此次采购项目中所采取的程序性规定及相应安排。承诺人在此不可撤销地放弃对先关程序性规定及相应安排提出任何异议的权利，并放弃因此而向xxx（采购人单位）提出任何索赔的权利。</w:t>
      </w:r>
      <w:r/>
    </w:p>
    <w:p>
      <w:pPr>
        <w:ind w:firstLine="56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4、承诺人确认并完全同意采购文件中的相关规定，承诺按照这些规定履行应征人的义务（包括但不限于与采购人签订相关法律文件及后续协议）。</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5、承诺人不会在任何时间、任何地点以任何形式对此次提交应征文件及参加此次应征活动的相关行为进行商业性宣传，或者暗示承诺人与南京市医疗保险管理中心存在任何关联。</w:t>
      </w:r>
      <w:r/>
    </w:p>
    <w:p>
      <w:pPr>
        <w:ind w:firstLine="56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6、无论承诺人提交的应征文件是否最终成交，承诺人同意对因参与此次征集活动所提交的与征集活动相关的资料和信息承担保密义务，不会向任何第三方披露上述资料或信息。</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7、承诺人承诺将根据南京市医疗保险管理中心的安排和要求提交方案，并签署知识产权承诺函，以确保南京市医疗保险管理中心成为承诺人所提交的方案或所涉及的全部知识产权的权利人。</w:t>
      </w:r>
      <w:r/>
    </w:p>
    <w:p>
      <w:pPr>
        <w:ind w:firstLine="560"/>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8、应征文件之签署人系经本承诺人合法授权的代表，其签署行为对承诺人具有约束力。如因承诺人未遵守上述声明与保证而给南京市医疗保险管理中心造成任何损失，承诺人愿意承担全部法律责任。</w:t>
      </w:r>
      <w:r/>
    </w:p>
    <w:p>
      <w:pPr>
        <w:ind w:right="600" w:firstLine="350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供应商（公章）：</w:t>
      </w:r>
      <w:r/>
    </w:p>
    <w:p>
      <w:pPr>
        <w:ind w:right="420"/>
        <w:jc w:val="righ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法定代表人或授权代表人（签字）：</w:t>
      </w:r>
      <w:r/>
    </w:p>
    <w:p>
      <w:pPr>
        <w:ind w:right="600" w:firstLine="350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日期：</w:t>
      </w:r>
      <w:r/>
    </w:p>
    <w:p>
      <w:pPr>
        <w:ind w:right="600" w:firstLine="350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right="600" w:firstLine="350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right="600" w:firstLine="350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right="600" w:firstLine="350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br w:type="page" w:clear="all"/>
      </w:r>
      <w:r/>
    </w:p>
    <w:p>
      <w:pPr>
        <w:jc w:val="left"/>
        <w:widowControl/>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九、所提供服务的详细说明、项目实施方案和服务承诺等（供应商自拟）</w:t>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jc w:val="left"/>
        <w:widowControl/>
        <w:rPr>
          <w:rFonts w:hint="eastAsia" w:ascii="仿宋" w:hAnsi="仿宋" w:eastAsia="仿宋" w:cs="仿宋"/>
          <w:b/>
          <w:color w:val="000000" w:themeColor="text1"/>
          <w:sz w:val="28"/>
          <w:highlight w:val="none"/>
          <w:shd w:val="clear" w:color="auto" w:fill="auto"/>
          <w14:textFill>
            <w14:solidFill>
              <w14:schemeClr w14:val="tx1"/>
            </w14:solidFill>
          </w14:textFill>
        </w:rPr>
      </w:pPr>
      <w:r>
        <w:rPr>
          <w:rFonts w:hint="eastAsia" w:ascii="仿宋" w:hAnsi="仿宋" w:eastAsia="仿宋" w:cs="仿宋"/>
          <w:b/>
          <w:color w:val="000000" w:themeColor="text1"/>
          <w:sz w:val="28"/>
          <w:highlight w:val="none"/>
          <w:shd w:val="clear" w:color="auto" w:fill="auto"/>
          <w14:textFill>
            <w14:solidFill>
              <w14:schemeClr w14:val="tx1"/>
            </w14:solidFill>
          </w14:textFill>
        </w:rPr>
      </w:r>
      <w:r/>
    </w:p>
    <w:p>
      <w:pPr>
        <w:jc w:val="left"/>
        <w:widowControl/>
        <w:rPr>
          <w:rFonts w:hint="eastAsia" w:ascii="仿宋" w:hAnsi="仿宋" w:eastAsia="仿宋" w:cs="仿宋"/>
          <w:b/>
          <w:color w:val="000000" w:themeColor="text1"/>
          <w:sz w:val="28"/>
          <w:highlight w:val="none"/>
          <w:shd w:val="clear" w:color="auto" w:fill="auto"/>
          <w14:textFill>
            <w14:solidFill>
              <w14:schemeClr w14:val="tx1"/>
            </w14:solidFill>
          </w14:textFill>
        </w:rPr>
      </w:pPr>
      <w:r>
        <w:rPr>
          <w:rFonts w:hint="eastAsia" w:ascii="仿宋" w:hAnsi="仿宋" w:eastAsia="仿宋" w:cs="仿宋"/>
          <w:b/>
          <w:color w:val="000000" w:themeColor="text1"/>
          <w:sz w:val="28"/>
          <w:highlight w:val="none"/>
          <w:shd w:val="clear" w:color="auto" w:fill="auto"/>
          <w14:textFill>
            <w14:solidFill>
              <w14:schemeClr w14:val="tx1"/>
            </w14:solidFill>
          </w14:textFill>
        </w:rPr>
      </w:r>
      <w:r/>
    </w:p>
    <w:sectPr>
      <w:footnotePr/>
      <w:endnotePr/>
      <w:type w:val="nextPage"/>
      <w:pgSz w:w="11906" w:h="16838" w:orient="portrait"/>
      <w:pgMar w:top="1440" w:right="1800" w:bottom="1440" w:left="1843"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新宋体">
    <w:panose1 w:val="02010609030101010101"/>
  </w:font>
  <w:font w:name="Courier New">
    <w:panose1 w:val="02070309020205020404"/>
  </w:font>
  <w:font w:name="仿宋_GB2312">
    <w:panose1 w:val="02010609060101010101"/>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37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37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right"/>
      <w:rPr>
        <w:rFonts w:hint="eastAsia" w:eastAsia="宋体"/>
        <w:lang w:eastAsia="zh-CN"/>
      </w:rPr>
    </w:pPr>
    <w:r>
      <w:rPr>
        <w:rFonts w:hint="eastAsia"/>
        <w:lang w:eastAsia="zh-CN"/>
      </w:rPr>
      <w:t xml:space="preserve">江苏苏建工程项目管理咨询有限公司</w:t>
    </w:r>
    <w:r/>
  </w:p>
  <w:p>
    <w:pPr>
      <w:pStyle w:val="72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right"/>
      <w:rPr>
        <w:rFonts w:hint="eastAsia" w:eastAsia="宋体"/>
        <w:lang w:eastAsia="zh-CN"/>
      </w:rPr>
    </w:pPr>
    <w:r>
      <w:rPr>
        <w:rFonts w:hint="eastAsia"/>
        <w:lang w:eastAsia="zh-CN"/>
      </w:rPr>
      <w:t xml:space="preserve">江苏苏建工程项目管理咨询有限公司</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3"/>
    <w:link w:val="709"/>
    <w:uiPriority w:val="9"/>
    <w:rPr>
      <w:rFonts w:ascii="Arial" w:hAnsi="Arial" w:eastAsia="Arial" w:cs="Arial"/>
      <w:sz w:val="40"/>
      <w:szCs w:val="40"/>
    </w:rPr>
  </w:style>
  <w:style w:type="character" w:styleId="15">
    <w:name w:val="Heading 2 Char"/>
    <w:basedOn w:val="713"/>
    <w:link w:val="710"/>
    <w:uiPriority w:val="9"/>
    <w:rPr>
      <w:rFonts w:ascii="Arial" w:hAnsi="Arial" w:eastAsia="Arial" w:cs="Arial"/>
      <w:sz w:val="34"/>
    </w:rPr>
  </w:style>
  <w:style w:type="character" w:styleId="17">
    <w:name w:val="Heading 3 Char"/>
    <w:basedOn w:val="713"/>
    <w:link w:val="711"/>
    <w:uiPriority w:val="9"/>
    <w:rPr>
      <w:rFonts w:ascii="Arial" w:hAnsi="Arial" w:eastAsia="Arial" w:cs="Arial"/>
      <w:sz w:val="30"/>
      <w:szCs w:val="30"/>
    </w:rPr>
  </w:style>
  <w:style w:type="character" w:styleId="19">
    <w:name w:val="Heading 4 Char"/>
    <w:basedOn w:val="713"/>
    <w:link w:val="712"/>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3"/>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3"/>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3"/>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3"/>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3"/>
    <w:link w:val="731"/>
    <w:uiPriority w:val="10"/>
    <w:rPr>
      <w:sz w:val="48"/>
      <w:szCs w:val="48"/>
    </w:rPr>
  </w:style>
  <w:style w:type="character" w:styleId="36">
    <w:name w:val="Subtitle Char"/>
    <w:basedOn w:val="713"/>
    <w:link w:val="727"/>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3"/>
    <w:link w:val="725"/>
    <w:uiPriority w:val="99"/>
  </w:style>
  <w:style w:type="character" w:styleId="44">
    <w:name w:val="Footer Char"/>
    <w:basedOn w:val="713"/>
    <w:link w:val="724"/>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724"/>
    <w:uiPriority w:val="99"/>
  </w:style>
  <w:style w:type="table" w:styleId="48">
    <w:name w:val="Table Grid Light"/>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3"/>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3"/>
    <w:uiPriority w:val="99"/>
    <w:semiHidden/>
    <w:unhideWhenUsed/>
    <w:rPr>
      <w:vertAlign w:val="superscript"/>
    </w:r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12"/>
    <w:uiPriority w:val="0"/>
    <w:qFormat/>
    <w:pPr>
      <w:jc w:val="both"/>
      <w:widowControl w:val="off"/>
    </w:pPr>
    <w:rPr>
      <w:rFonts w:ascii="Times New Roman" w:hAnsi="Times New Roman" w:eastAsia="宋体" w:cs="Times New Roman"/>
      <w:sz w:val="21"/>
      <w:szCs w:val="24"/>
      <w:lang w:val="en-US" w:eastAsia="zh-CN" w:bidi="ar-SA"/>
    </w:rPr>
  </w:style>
  <w:style w:type="paragraph" w:styleId="709">
    <w:name w:val="Heading 1"/>
    <w:basedOn w:val="708"/>
    <w:next w:val="708"/>
    <w:link w:val="739"/>
    <w:uiPriority w:val="9"/>
    <w:qFormat/>
    <w:pPr>
      <w:keepLines/>
      <w:keepNext/>
      <w:spacing w:before="80" w:after="80"/>
      <w:outlineLvl w:val="0"/>
    </w:pPr>
    <w:rPr>
      <w:b/>
      <w:bCs/>
      <w:sz w:val="44"/>
      <w:szCs w:val="44"/>
    </w:rPr>
  </w:style>
  <w:style w:type="paragraph" w:styleId="710">
    <w:name w:val="Heading 2"/>
    <w:basedOn w:val="708"/>
    <w:next w:val="715"/>
    <w:link w:val="741"/>
    <w:uiPriority w:val="0"/>
    <w:qFormat/>
    <w:pPr>
      <w:jc w:val="center"/>
      <w:keepLines/>
      <w:keepNext/>
      <w:spacing w:before="260" w:after="260" w:line="416" w:lineRule="auto"/>
      <w:outlineLvl w:val="1"/>
    </w:pPr>
    <w:rPr>
      <w:rFonts w:ascii="Arial" w:hAnsi="Arial"/>
      <w:b/>
      <w:sz w:val="44"/>
      <w:szCs w:val="20"/>
    </w:rPr>
  </w:style>
  <w:style w:type="paragraph" w:styleId="711">
    <w:name w:val="Heading 3"/>
    <w:basedOn w:val="708"/>
    <w:next w:val="708"/>
    <w:link w:val="742"/>
    <w:uiPriority w:val="9"/>
    <w:unhideWhenUsed/>
    <w:qFormat/>
    <w:pPr>
      <w:keepLines/>
      <w:keepNext/>
      <w:spacing w:before="260" w:after="260" w:line="416" w:lineRule="auto"/>
      <w:outlineLvl w:val="2"/>
    </w:pPr>
    <w:rPr>
      <w:b/>
      <w:bCs/>
      <w:sz w:val="32"/>
      <w:szCs w:val="32"/>
    </w:rPr>
  </w:style>
  <w:style w:type="paragraph" w:styleId="712">
    <w:name w:val="Heading 4"/>
    <w:basedOn w:val="708"/>
    <w:next w:val="708"/>
    <w:uiPriority w:val="9"/>
    <w:qFormat/>
    <w:pPr>
      <w:keepLines/>
      <w:keepNext/>
      <w:spacing w:before="120" w:after="120"/>
      <w:outlineLvl w:val="3"/>
    </w:pPr>
    <w:rPr>
      <w:rFonts w:ascii="Arial" w:hAnsi="Arial" w:eastAsia="黑体" w:cs="Times New Roman"/>
      <w:b/>
      <w:sz w:val="28"/>
      <w:szCs w:val="20"/>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Normal Indent"/>
    <w:basedOn w:val="708"/>
    <w:uiPriority w:val="0"/>
    <w:unhideWhenUsed/>
    <w:qFormat/>
    <w:pPr>
      <w:ind w:firstLine="420"/>
    </w:pPr>
  </w:style>
  <w:style w:type="paragraph" w:styleId="716">
    <w:name w:val="annotation text"/>
    <w:basedOn w:val="708"/>
    <w:link w:val="755"/>
    <w:uiPriority w:val="99"/>
    <w:unhideWhenUsed/>
    <w:qFormat/>
    <w:pPr>
      <w:jc w:val="left"/>
    </w:pPr>
  </w:style>
  <w:style w:type="paragraph" w:styleId="717">
    <w:name w:val="Body Text"/>
    <w:basedOn w:val="708"/>
    <w:link w:val="745"/>
    <w:uiPriority w:val="99"/>
    <w:unhideWhenUsed/>
    <w:qFormat/>
    <w:pPr>
      <w:spacing w:after="120"/>
    </w:pPr>
  </w:style>
  <w:style w:type="paragraph" w:styleId="718">
    <w:name w:val="Body Text Indent"/>
    <w:basedOn w:val="708"/>
    <w:link w:val="743"/>
    <w:uiPriority w:val="0"/>
    <w:qFormat/>
    <w:pPr>
      <w:ind w:firstLine="600"/>
    </w:pPr>
    <w:rPr>
      <w:rFonts w:ascii="仿宋_GB2312" w:hAnsi="华文仿宋" w:eastAsia="仿宋_GB2312"/>
      <w:color w:val="ff0000"/>
      <w:sz w:val="30"/>
    </w:rPr>
  </w:style>
  <w:style w:type="paragraph" w:styleId="719">
    <w:name w:val="toc 3"/>
    <w:basedOn w:val="708"/>
    <w:next w:val="708"/>
    <w:uiPriority w:val="39"/>
    <w:unhideWhenUsed/>
    <w:qFormat/>
    <w:pPr>
      <w:ind w:left="840"/>
    </w:pPr>
  </w:style>
  <w:style w:type="paragraph" w:styleId="720">
    <w:name w:val="Plain Text"/>
    <w:basedOn w:val="708"/>
    <w:link w:val="757"/>
    <w:uiPriority w:val="0"/>
    <w:qFormat/>
    <w:rPr>
      <w:rFonts w:ascii="宋体" w:hAnsi="Courier New"/>
      <w:szCs w:val="20"/>
    </w:rPr>
  </w:style>
  <w:style w:type="paragraph" w:styleId="721">
    <w:name w:val="Date"/>
    <w:basedOn w:val="708"/>
    <w:next w:val="708"/>
    <w:link w:val="753"/>
    <w:uiPriority w:val="99"/>
    <w:semiHidden/>
    <w:unhideWhenUsed/>
    <w:qFormat/>
    <w:pPr>
      <w:ind w:left="100"/>
    </w:pPr>
  </w:style>
  <w:style w:type="paragraph" w:styleId="722">
    <w:name w:val="Body Text Indent 2"/>
    <w:basedOn w:val="708"/>
    <w:link w:val="746"/>
    <w:uiPriority w:val="99"/>
    <w:unhideWhenUsed/>
    <w:qFormat/>
    <w:pPr>
      <w:ind w:left="420"/>
      <w:spacing w:after="120" w:line="480" w:lineRule="auto"/>
    </w:pPr>
  </w:style>
  <w:style w:type="paragraph" w:styleId="723">
    <w:name w:val="Balloon Text"/>
    <w:basedOn w:val="708"/>
    <w:link w:val="751"/>
    <w:uiPriority w:val="99"/>
    <w:unhideWhenUsed/>
    <w:qFormat/>
    <w:rPr>
      <w:sz w:val="18"/>
      <w:szCs w:val="18"/>
    </w:rPr>
  </w:style>
  <w:style w:type="paragraph" w:styleId="724">
    <w:name w:val="Footer"/>
    <w:basedOn w:val="708"/>
    <w:link w:val="738"/>
    <w:uiPriority w:val="99"/>
    <w:unhideWhenUsed/>
    <w:qFormat/>
    <w:pPr>
      <w:jc w:val="left"/>
      <w:tabs>
        <w:tab w:val="center" w:pos="4153" w:leader="none"/>
        <w:tab w:val="right" w:pos="8306" w:leader="none"/>
      </w:tabs>
    </w:pPr>
    <w:rPr>
      <w:sz w:val="18"/>
      <w:szCs w:val="18"/>
    </w:rPr>
  </w:style>
  <w:style w:type="paragraph" w:styleId="725">
    <w:name w:val="Header"/>
    <w:basedOn w:val="708"/>
    <w:link w:val="7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6">
    <w:name w:val="toc 1"/>
    <w:basedOn w:val="708"/>
    <w:next w:val="708"/>
    <w:uiPriority w:val="39"/>
    <w:qFormat/>
    <w:pPr>
      <w:jc w:val="left"/>
      <w:tabs>
        <w:tab w:val="right" w:pos="9360" w:leader="dot"/>
      </w:tabs>
    </w:pPr>
    <w:rPr>
      <w:rFonts w:ascii="新宋体" w:hAnsi="新宋体" w:eastAsia="新宋体"/>
      <w:b/>
      <w:bCs/>
      <w:color w:val="000000"/>
    </w:rPr>
  </w:style>
  <w:style w:type="paragraph" w:styleId="727">
    <w:name w:val="Subtitle"/>
    <w:basedOn w:val="708"/>
    <w:next w:val="708"/>
    <w:link w:val="749"/>
    <w:uiPriority w:val="11"/>
    <w:qFormat/>
    <w:pPr>
      <w:jc w:val="center"/>
      <w:spacing w:before="240" w:after="60" w:line="312" w:lineRule="auto"/>
      <w:outlineLvl w:val="1"/>
    </w:pPr>
    <w:rPr>
      <w:rFonts w:asciiTheme="majorHAnsi" w:hAnsiTheme="majorHAnsi" w:cstheme="majorBidi"/>
      <w:b/>
      <w:bCs/>
      <w:sz w:val="32"/>
      <w:szCs w:val="32"/>
    </w:rPr>
  </w:style>
  <w:style w:type="paragraph" w:styleId="728">
    <w:name w:val="toc 2"/>
    <w:basedOn w:val="708"/>
    <w:next w:val="708"/>
    <w:uiPriority w:val="39"/>
    <w:unhideWhenUsed/>
    <w:qFormat/>
    <w:pPr>
      <w:ind w:left="420"/>
    </w:pPr>
  </w:style>
  <w:style w:type="paragraph" w:styleId="729">
    <w:name w:val="HTML Preformatted"/>
    <w:basedOn w:val="708"/>
    <w:link w:val="744"/>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30">
    <w:name w:val="Normal (Web)"/>
    <w:basedOn w:val="708"/>
    <w:uiPriority w:val="99"/>
    <w:semiHidden/>
    <w:unhideWhenUsed/>
    <w:qFormat/>
    <w:pPr>
      <w:jc w:val="left"/>
      <w:spacing w:before="75" w:after="75"/>
      <w:widowControl/>
    </w:pPr>
    <w:rPr>
      <w:rFonts w:ascii="宋体" w:hAnsi="宋体" w:cs="宋体"/>
      <w:sz w:val="24"/>
    </w:rPr>
  </w:style>
  <w:style w:type="paragraph" w:styleId="731">
    <w:name w:val="Title"/>
    <w:basedOn w:val="708"/>
    <w:next w:val="708"/>
    <w:link w:val="748"/>
    <w:uiPriority w:val="10"/>
    <w:qFormat/>
    <w:pPr>
      <w:jc w:val="center"/>
      <w:spacing w:before="240" w:after="60"/>
      <w:outlineLvl w:val="0"/>
    </w:pPr>
    <w:rPr>
      <w:rFonts w:asciiTheme="majorHAnsi" w:hAnsiTheme="majorHAnsi" w:cstheme="majorBidi"/>
      <w:b/>
      <w:bCs/>
      <w:sz w:val="32"/>
      <w:szCs w:val="32"/>
    </w:rPr>
  </w:style>
  <w:style w:type="paragraph" w:styleId="732">
    <w:name w:val="annotation subject"/>
    <w:basedOn w:val="716"/>
    <w:next w:val="716"/>
    <w:link w:val="756"/>
    <w:uiPriority w:val="99"/>
    <w:semiHidden/>
    <w:unhideWhenUsed/>
    <w:qFormat/>
    <w:rPr>
      <w:b/>
      <w:bCs/>
    </w:rPr>
  </w:style>
  <w:style w:type="table" w:styleId="733">
    <w:name w:val="Table Grid"/>
    <w:basedOn w:val="714"/>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34">
    <w:name w:val="Strong"/>
    <w:basedOn w:val="713"/>
    <w:uiPriority w:val="22"/>
    <w:qFormat/>
    <w:rPr>
      <w:b/>
    </w:rPr>
  </w:style>
  <w:style w:type="character" w:styleId="735">
    <w:name w:val="Hyperlink"/>
    <w:basedOn w:val="713"/>
    <w:uiPriority w:val="99"/>
    <w:qFormat/>
    <w:rPr>
      <w:color w:val="0000ff"/>
      <w:u w:val="single"/>
    </w:rPr>
  </w:style>
  <w:style w:type="character" w:styleId="736">
    <w:name w:val="annotation reference"/>
    <w:basedOn w:val="713"/>
    <w:uiPriority w:val="99"/>
    <w:semiHidden/>
    <w:unhideWhenUsed/>
    <w:qFormat/>
    <w:rPr>
      <w:sz w:val="21"/>
      <w:szCs w:val="21"/>
    </w:rPr>
  </w:style>
  <w:style w:type="character" w:styleId="737" w:customStyle="1">
    <w:name w:val="页眉 Char"/>
    <w:basedOn w:val="713"/>
    <w:link w:val="725"/>
    <w:uiPriority w:val="99"/>
    <w:semiHidden/>
    <w:qFormat/>
    <w:rPr>
      <w:sz w:val="18"/>
      <w:szCs w:val="18"/>
    </w:rPr>
  </w:style>
  <w:style w:type="character" w:styleId="738" w:customStyle="1">
    <w:name w:val="页脚 Char"/>
    <w:basedOn w:val="713"/>
    <w:link w:val="724"/>
    <w:uiPriority w:val="99"/>
    <w:qFormat/>
    <w:rPr>
      <w:sz w:val="18"/>
      <w:szCs w:val="18"/>
    </w:rPr>
  </w:style>
  <w:style w:type="character" w:styleId="739" w:customStyle="1">
    <w:name w:val="标题 1 Char"/>
    <w:basedOn w:val="713"/>
    <w:link w:val="709"/>
    <w:uiPriority w:val="9"/>
    <w:qFormat/>
    <w:rPr>
      <w:rFonts w:ascii="Times New Roman" w:hAnsi="Times New Roman" w:eastAsia="宋体" w:cs="Times New Roman"/>
      <w:b/>
      <w:bCs/>
      <w:sz w:val="44"/>
      <w:szCs w:val="44"/>
    </w:rPr>
  </w:style>
  <w:style w:type="character" w:styleId="740" w:customStyle="1">
    <w:name w:val="样式 (西文) 新宋体 (中文) 新宋体 小三 (西文)粗体 黑色"/>
    <w:basedOn w:val="713"/>
    <w:uiPriority w:val="0"/>
    <w:qFormat/>
    <w:rPr>
      <w:rFonts w:ascii="新宋体" w:hAnsi="新宋体" w:eastAsia="新宋体"/>
      <w:b/>
      <w:color w:val="000000"/>
      <w:sz w:val="30"/>
      <w:szCs w:val="30"/>
    </w:rPr>
  </w:style>
  <w:style w:type="character" w:styleId="741" w:customStyle="1">
    <w:name w:val="标题 2 Char"/>
    <w:basedOn w:val="713"/>
    <w:link w:val="710"/>
    <w:uiPriority w:val="0"/>
    <w:qFormat/>
    <w:rPr>
      <w:rFonts w:ascii="Arial" w:hAnsi="Arial" w:eastAsia="宋体" w:cs="Times New Roman"/>
      <w:b/>
      <w:sz w:val="44"/>
      <w:szCs w:val="20"/>
    </w:rPr>
  </w:style>
  <w:style w:type="character" w:styleId="742" w:customStyle="1">
    <w:name w:val="标题 3 Char"/>
    <w:basedOn w:val="713"/>
    <w:link w:val="711"/>
    <w:uiPriority w:val="9"/>
    <w:qFormat/>
    <w:rPr>
      <w:rFonts w:ascii="Times New Roman" w:hAnsi="Times New Roman" w:eastAsia="宋体" w:cs="Times New Roman"/>
      <w:b/>
      <w:bCs/>
      <w:sz w:val="32"/>
      <w:szCs w:val="32"/>
    </w:rPr>
  </w:style>
  <w:style w:type="character" w:styleId="743" w:customStyle="1">
    <w:name w:val="正文文本缩进 Char"/>
    <w:basedOn w:val="713"/>
    <w:link w:val="718"/>
    <w:uiPriority w:val="0"/>
    <w:qFormat/>
    <w:rPr>
      <w:rFonts w:ascii="仿宋_GB2312" w:hAnsi="华文仿宋" w:eastAsia="仿宋_GB2312" w:cs="Times New Roman"/>
      <w:color w:val="ff0000"/>
      <w:sz w:val="30"/>
      <w:szCs w:val="24"/>
    </w:rPr>
  </w:style>
  <w:style w:type="character" w:styleId="744" w:customStyle="1">
    <w:name w:val="HTML 预设格式 Char"/>
    <w:basedOn w:val="713"/>
    <w:link w:val="729"/>
    <w:uiPriority w:val="0"/>
    <w:qFormat/>
    <w:rPr>
      <w:rFonts w:ascii="黑体" w:hAnsi="Courier New" w:eastAsia="黑体" w:cs="Courier New"/>
      <w:sz w:val="20"/>
      <w:szCs w:val="20"/>
    </w:rPr>
  </w:style>
  <w:style w:type="character" w:styleId="745" w:customStyle="1">
    <w:name w:val="正文文本 Char"/>
    <w:basedOn w:val="713"/>
    <w:link w:val="717"/>
    <w:uiPriority w:val="99"/>
    <w:qFormat/>
    <w:rPr>
      <w:rFonts w:ascii="Times New Roman" w:hAnsi="Times New Roman" w:eastAsia="宋体" w:cs="Times New Roman"/>
      <w:szCs w:val="24"/>
    </w:rPr>
  </w:style>
  <w:style w:type="character" w:styleId="746" w:customStyle="1">
    <w:name w:val="正文文本缩进 2 Char"/>
    <w:basedOn w:val="713"/>
    <w:link w:val="722"/>
    <w:uiPriority w:val="99"/>
    <w:semiHidden/>
    <w:qFormat/>
    <w:rPr>
      <w:rFonts w:ascii="Times New Roman" w:hAnsi="Times New Roman" w:eastAsia="宋体" w:cs="Times New Roman"/>
      <w:szCs w:val="24"/>
    </w:rPr>
  </w:style>
  <w:style w:type="paragraph" w:styleId="747" w:customStyle="1">
    <w:name w:val="列出段落1"/>
    <w:basedOn w:val="708"/>
    <w:uiPriority w:val="34"/>
    <w:qFormat/>
    <w:pPr>
      <w:ind w:firstLine="420"/>
    </w:pPr>
  </w:style>
  <w:style w:type="character" w:styleId="748" w:customStyle="1">
    <w:name w:val="标题 Char"/>
    <w:basedOn w:val="713"/>
    <w:link w:val="731"/>
    <w:uiPriority w:val="10"/>
    <w:qFormat/>
    <w:rPr>
      <w:rFonts w:eastAsia="宋体" w:asciiTheme="majorHAnsi" w:hAnsiTheme="majorHAnsi" w:cstheme="majorBidi"/>
      <w:b/>
      <w:bCs/>
      <w:sz w:val="32"/>
      <w:szCs w:val="32"/>
    </w:rPr>
  </w:style>
  <w:style w:type="character" w:styleId="749" w:customStyle="1">
    <w:name w:val="副标题 Char"/>
    <w:basedOn w:val="713"/>
    <w:link w:val="727"/>
    <w:uiPriority w:val="11"/>
    <w:qFormat/>
    <w:rPr>
      <w:rFonts w:eastAsia="宋体" w:asciiTheme="majorHAnsi" w:hAnsiTheme="majorHAnsi" w:cstheme="majorBidi"/>
      <w:b/>
      <w:bCs/>
      <w:sz w:val="32"/>
      <w:szCs w:val="32"/>
    </w:rPr>
  </w:style>
  <w:style w:type="paragraph" w:styleId="750" w:customStyle="1">
    <w:name w:val="TOC 标题1"/>
    <w:basedOn w:val="709"/>
    <w:next w:val="708"/>
    <w:uiPriority w:val="39"/>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751" w:customStyle="1">
    <w:name w:val="批注框文本 Char"/>
    <w:basedOn w:val="713"/>
    <w:link w:val="723"/>
    <w:uiPriority w:val="99"/>
    <w:semiHidden/>
    <w:qFormat/>
    <w:rPr>
      <w:rFonts w:ascii="Times New Roman" w:hAnsi="Times New Roman" w:eastAsia="宋体" w:cs="Times New Roman"/>
      <w:sz w:val="18"/>
      <w:szCs w:val="18"/>
    </w:rPr>
  </w:style>
  <w:style w:type="paragraph" w:styleId="752">
    <w:name w:val="List Paragraph"/>
    <w:basedOn w:val="708"/>
    <w:uiPriority w:val="34"/>
    <w:unhideWhenUsed/>
    <w:qFormat/>
    <w:pPr>
      <w:ind w:firstLine="420"/>
    </w:pPr>
  </w:style>
  <w:style w:type="character" w:styleId="753" w:customStyle="1">
    <w:name w:val="日期 Char"/>
    <w:basedOn w:val="713"/>
    <w:link w:val="721"/>
    <w:uiPriority w:val="99"/>
    <w:semiHidden/>
    <w:qFormat/>
    <w:rPr>
      <w:sz w:val="21"/>
      <w:szCs w:val="24"/>
    </w:rPr>
  </w:style>
  <w:style w:type="paragraph" w:styleId="754" w:customStyle="1">
    <w:name w:val="paragraph"/>
    <w:basedOn w:val="708"/>
    <w:uiPriority w:val="0"/>
    <w:qFormat/>
    <w:pPr>
      <w:jc w:val="left"/>
      <w:spacing w:before="100" w:beforeAutospacing="1" w:after="100" w:afterAutospacing="1"/>
      <w:widowControl/>
    </w:pPr>
    <w:rPr>
      <w:rFonts w:ascii="宋体" w:hAnsi="宋体" w:cs="宋体"/>
      <w:sz w:val="24"/>
    </w:rPr>
  </w:style>
  <w:style w:type="character" w:styleId="755" w:customStyle="1">
    <w:name w:val="批注文字 Char"/>
    <w:basedOn w:val="713"/>
    <w:link w:val="716"/>
    <w:uiPriority w:val="99"/>
    <w:qFormat/>
    <w:rPr>
      <w:rFonts w:ascii="Times New Roman" w:hAnsi="Times New Roman"/>
      <w:sz w:val="21"/>
      <w:szCs w:val="24"/>
    </w:rPr>
  </w:style>
  <w:style w:type="character" w:styleId="756" w:customStyle="1">
    <w:name w:val="批注主题 Char"/>
    <w:basedOn w:val="755"/>
    <w:link w:val="732"/>
    <w:uiPriority w:val="99"/>
    <w:semiHidden/>
    <w:qFormat/>
    <w:rPr>
      <w:rFonts w:ascii="Times New Roman" w:hAnsi="Times New Roman"/>
      <w:b/>
      <w:bCs/>
      <w:sz w:val="21"/>
      <w:szCs w:val="24"/>
    </w:rPr>
  </w:style>
  <w:style w:type="character" w:styleId="757" w:customStyle="1">
    <w:name w:val="纯文本 Char"/>
    <w:basedOn w:val="713"/>
    <w:link w:val="720"/>
    <w:uiPriority w:val="0"/>
    <w:qFormat/>
    <w:rPr>
      <w:rFonts w:hAnsi="Courier New"/>
      <w:sz w:val="21"/>
    </w:rPr>
  </w:style>
  <w:style w:type="paragraph" w:styleId="758" w:customStyle="1">
    <w:name w:val="正文首行缩进 212"/>
    <w:basedOn w:val="759"/>
    <w:next w:val="708"/>
    <w:uiPriority w:val="0"/>
    <w:qFormat/>
    <w:pPr>
      <w:ind w:left="420" w:firstLine="420"/>
      <w:spacing w:after="120"/>
    </w:pPr>
    <w:rPr>
      <w:sz w:val="21"/>
    </w:rPr>
  </w:style>
  <w:style w:type="paragraph" w:styleId="759" w:customStyle="1">
    <w:name w:val="正文文本缩进111"/>
    <w:basedOn w:val="708"/>
    <w:next w:val="760"/>
    <w:uiPriority w:val="0"/>
    <w:qFormat/>
    <w:pPr>
      <w:ind w:firstLine="645"/>
    </w:pPr>
    <w:rPr>
      <w:rFonts w:ascii="楷体_GB2312" w:eastAsia="楷体_GB2312"/>
      <w:sz w:val="32"/>
    </w:rPr>
  </w:style>
  <w:style w:type="paragraph" w:styleId="760" w:customStyle="1">
    <w:name w:val="正文缩进11"/>
    <w:basedOn w:val="708"/>
    <w:next w:val="759"/>
    <w:uiPriority w:val="0"/>
    <w:qFormat/>
    <w:pPr>
      <w:ind w:firstLine="420"/>
    </w:pPr>
  </w:style>
  <w:style w:type="numbering" w:styleId="3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115318-193E-467B-B24D-EEA8CF67F4E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苏建</cp:lastModifiedBy>
  <cp:revision>17</cp:revision>
  <dcterms:created xsi:type="dcterms:W3CDTF">2022-11-10T09:21:00Z</dcterms:created>
  <dcterms:modified xsi:type="dcterms:W3CDTF">2026-05-21T01:56:41Z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928921DF3A154B3D8E19140C38BCC6A8</vt:lpwstr>
  </property>
</Properties>
</file>