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b/>
          <w:color w:val="auto"/>
          <w:sz w:val="44"/>
          <w:szCs w:val="44"/>
          <w:highlight w:val="none"/>
        </w:rPr>
      </w:pPr>
      <w:r/>
      <w:bookmarkStart w:id="26" w:name="_GoBack"/>
      <w:r>
        <w:rPr>
          <w:color w:val="auto"/>
          <w:sz w:val="44"/>
          <w:highlight w:val="none"/>
        </w:rPr>
      </w:r>
      <w:r/>
    </w:p>
    <w:p>
      <w:pPr>
        <w:rPr>
          <w:rFonts w:hint="eastAsia" w:ascii="宋体" w:hAnsi="宋体"/>
          <w:b/>
          <w:color w:val="auto"/>
          <w:sz w:val="44"/>
          <w:szCs w:val="44"/>
          <w:highlight w:val="none"/>
        </w:rPr>
      </w:pPr>
      <w:r>
        <w:rPr>
          <w:rFonts w:hint="eastAsia" w:ascii="宋体" w:hAnsi="宋体"/>
          <w:b/>
          <w:color w:val="auto"/>
          <w:sz w:val="44"/>
          <w:szCs w:val="44"/>
          <w:highlight w:val="none"/>
        </w:rPr>
      </w:r>
      <w:r/>
    </w:p>
    <w:p>
      <w:pPr>
        <w:jc w:val="center"/>
        <w:rPr>
          <w:rFonts w:hint="eastAsia" w:ascii="华文新魏" w:hAnsi="华文新魏" w:eastAsia="华文新魏" w:cs="华文新魏"/>
          <w:b/>
          <w:color w:val="auto"/>
          <w:sz w:val="116"/>
          <w:szCs w:val="72"/>
          <w:highlight w:val="none"/>
        </w:rPr>
      </w:pPr>
      <w:r>
        <w:rPr>
          <w:rFonts w:hint="eastAsia" w:ascii="华文新魏" w:hAnsi="华文新魏" w:eastAsia="华文新魏" w:cs="华文新魏"/>
          <w:b/>
          <w:color w:val="auto"/>
          <w:sz w:val="116"/>
          <w:szCs w:val="72"/>
          <w:highlight w:val="none"/>
        </w:rPr>
        <w:t xml:space="preserve">竞 争 性 磋 商</w:t>
      </w:r>
      <w:r/>
    </w:p>
    <w:p>
      <w:pPr>
        <w:jc w:val="center"/>
        <w:rPr>
          <w:rFonts w:hint="eastAsia" w:ascii="华文新魏" w:hAnsi="华文新魏" w:eastAsia="华文新魏" w:cs="华文新魏"/>
          <w:b/>
          <w:color w:val="auto"/>
          <w:sz w:val="144"/>
          <w:szCs w:val="72"/>
          <w:highlight w:val="none"/>
        </w:rPr>
      </w:pPr>
      <w:r>
        <w:rPr>
          <w:rFonts w:hint="eastAsia" w:ascii="华文新魏" w:hAnsi="华文新魏" w:eastAsia="华文新魏" w:cs="华文新魏"/>
          <w:b/>
          <w:color w:val="auto"/>
          <w:sz w:val="116"/>
          <w:szCs w:val="72"/>
          <w:highlight w:val="none"/>
        </w:rPr>
        <w:t xml:space="preserve">采 购 文 件</w:t>
      </w:r>
      <w:r/>
    </w:p>
    <w:p>
      <w:pPr>
        <w:rPr>
          <w:rFonts w:hint="eastAsia" w:ascii="宋体" w:hAnsi="宋体"/>
          <w:b/>
          <w:color w:val="auto"/>
          <w:sz w:val="48"/>
          <w:szCs w:val="48"/>
          <w:highlight w:val="none"/>
        </w:rPr>
      </w:pPr>
      <w:r>
        <w:rPr>
          <w:rFonts w:hint="eastAsia" w:ascii="宋体" w:hAnsi="宋体"/>
          <w:b/>
          <w:color w:val="auto"/>
          <w:sz w:val="48"/>
          <w:szCs w:val="48"/>
          <w:highlight w:val="none"/>
        </w:rPr>
      </w:r>
      <w:r/>
    </w:p>
    <w:p>
      <w:pPr>
        <w:pStyle w:val="1031"/>
        <w:rPr>
          <w:rFonts w:hint="eastAsia"/>
          <w:color w:val="auto"/>
          <w:highlight w:val="none"/>
        </w:rPr>
      </w:pPr>
      <w:r>
        <w:rPr>
          <w:rFonts w:hint="eastAsia"/>
          <w:color w:val="auto"/>
          <w:highlight w:val="none"/>
        </w:rPr>
      </w:r>
      <w:r/>
    </w:p>
    <w:p>
      <w:pPr>
        <w:ind w:left="0" w:firstLine="2318"/>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 xml:space="preserve">采购编号：</w:t>
      </w:r>
      <w:r>
        <w:rPr>
          <w:rFonts w:hint="eastAsia" w:ascii="宋体" w:hAnsi="宋体"/>
          <w:b/>
          <w:color w:val="auto"/>
          <w:sz w:val="28"/>
          <w:szCs w:val="28"/>
          <w:highlight w:val="none"/>
          <w:lang w:eastAsia="zh-CN"/>
        </w:rPr>
        <w:t xml:space="preserve">JSZC-320506-SZYX-C2026-0016</w:t>
      </w:r>
      <w:r/>
    </w:p>
    <w:p>
      <w:pPr>
        <w:ind w:left="0" w:firstLine="2318"/>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lang w:eastAsia="zh-CN"/>
        </w:rPr>
        <w:t xml:space="preserve">采购人</w:t>
      </w:r>
      <w:r>
        <w:rPr>
          <w:rFonts w:hint="eastAsia" w:ascii="宋体" w:hAnsi="宋体"/>
          <w:b/>
          <w:color w:val="auto"/>
          <w:sz w:val="28"/>
          <w:szCs w:val="28"/>
          <w:highlight w:val="none"/>
        </w:rPr>
        <w:t xml:space="preserve">：</w:t>
      </w:r>
      <w:r>
        <w:rPr>
          <w:rFonts w:hint="eastAsia" w:ascii="宋体" w:hAnsi="宋体"/>
          <w:b/>
          <w:color w:val="auto"/>
          <w:sz w:val="28"/>
          <w:szCs w:val="28"/>
          <w:highlight w:val="none"/>
          <w:lang w:eastAsia="zh-CN"/>
        </w:rPr>
        <w:t xml:space="preserve">苏州市吴中生态环境局</w:t>
      </w:r>
      <w:r/>
    </w:p>
    <w:p>
      <w:pPr>
        <w:ind w:left="0" w:firstLine="2318"/>
        <w:rPr>
          <w:rFonts w:hint="eastAsia" w:ascii="宋体" w:hAnsi="宋体" w:eastAsia="宋体"/>
          <w:color w:val="auto"/>
          <w:sz w:val="28"/>
          <w:szCs w:val="28"/>
          <w:highlight w:val="none"/>
          <w:lang w:eastAsia="zh-CN"/>
        </w:rPr>
      </w:pPr>
      <w:r>
        <w:rPr>
          <w:rFonts w:hint="eastAsia" w:ascii="宋体" w:hAnsi="宋体"/>
          <w:b/>
          <w:color w:val="auto"/>
          <w:sz w:val="28"/>
          <w:szCs w:val="28"/>
          <w:highlight w:val="none"/>
        </w:rPr>
        <w:t xml:space="preserve">采购内容：</w:t>
      </w:r>
      <w:r>
        <w:rPr>
          <w:rFonts w:hint="eastAsia" w:ascii="宋体" w:hAnsi="宋体"/>
          <w:b/>
          <w:color w:val="auto"/>
          <w:sz w:val="28"/>
          <w:szCs w:val="28"/>
          <w:highlight w:val="none"/>
          <w:lang w:eastAsia="zh-CN"/>
        </w:rPr>
        <w:t xml:space="preserve">涉磷企业整治提升等技术服务项目</w:t>
      </w:r>
      <w:r/>
    </w:p>
    <w:p>
      <w:pPr>
        <w:pStyle w:val="1001"/>
        <w:rPr>
          <w:rFonts w:hint="eastAsia"/>
          <w:color w:val="auto"/>
          <w:highlight w:val="none"/>
        </w:rPr>
      </w:pPr>
      <w:r>
        <w:rPr>
          <w:rFonts w:hint="eastAsia"/>
          <w:color w:val="auto"/>
          <w:highlight w:val="none"/>
        </w:rPr>
      </w:r>
      <w:r/>
    </w:p>
    <w:p>
      <w:pPr>
        <w:pStyle w:val="1001"/>
        <w:rPr>
          <w:rFonts w:hint="eastAsia"/>
          <w:color w:val="auto"/>
          <w:highlight w:val="none"/>
        </w:rPr>
      </w:pPr>
      <w:r>
        <w:rPr>
          <w:rFonts w:hint="eastAsia"/>
          <w:color w:val="auto"/>
          <w:highlight w:val="none"/>
        </w:rPr>
      </w:r>
      <w:r/>
    </w:p>
    <w:p>
      <w:pPr>
        <w:jc w:val="center"/>
        <w:rPr>
          <w:rFonts w:hint="eastAsia" w:ascii="宋体" w:hAnsi="宋体"/>
          <w:color w:val="auto"/>
          <w:sz w:val="28"/>
          <w:szCs w:val="28"/>
          <w:highlight w:val="none"/>
        </w:rPr>
      </w:pPr>
      <w:r>
        <w:rPr>
          <w:rFonts w:hint="eastAsia" w:ascii="宋体" w:hAnsi="宋体" w:cs="宋体"/>
          <w:color w:val="auto"/>
          <w:highlight w:val="none"/>
        </w:rPr>
        <mc:AlternateContent>
          <mc:Choice Requires="wpg">
            <w:drawing>
              <wp:inline xmlns:wp="http://schemas.openxmlformats.org/drawingml/2006/wordprocessingDrawing" distT="0" distB="0" distL="0" distR="0">
                <wp:extent cx="2009775" cy="182880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3"/>
                        <a:stretch/>
                      </pic:blipFill>
                      <pic:spPr bwMode="auto">
                        <a:xfrm>
                          <a:off x="0" y="0"/>
                          <a:ext cx="2009775" cy="1828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8.2pt;height:144.0pt;mso-wrap-distance-left:0.0pt;mso-wrap-distance-top:0.0pt;mso-wrap-distance-right:0.0pt;mso-wrap-distance-bottom:0.0pt;" stroked="f">
                <v:path textboxrect="0,0,0,0"/>
                <v:imagedata r:id="rId13" o:title=""/>
              </v:shape>
            </w:pict>
          </mc:Fallback>
        </mc:AlternateContent>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pStyle w:val="1031"/>
        <w:rPr>
          <w:rFonts w:hint="eastAsia"/>
          <w:color w:val="auto"/>
          <w:highlight w:val="none"/>
        </w:rPr>
      </w:pPr>
      <w:r>
        <w:rPr>
          <w:rFonts w:hint="eastAsia"/>
          <w:color w:val="auto"/>
          <w:highlight w:val="none"/>
        </w:rPr>
      </w:r>
      <w:r/>
    </w:p>
    <w:p>
      <w:pPr>
        <w:jc w:val="center"/>
        <w:rPr>
          <w:rFonts w:hint="eastAsia" w:ascii="宋体" w:hAnsi="宋体"/>
          <w:b/>
          <w:color w:val="auto"/>
          <w:sz w:val="32"/>
          <w:szCs w:val="28"/>
          <w:highlight w:val="none"/>
        </w:rPr>
      </w:pPr>
      <w:r>
        <w:rPr>
          <w:rFonts w:hint="eastAsia" w:ascii="宋体" w:hAnsi="宋体"/>
          <w:b/>
          <w:color w:val="auto"/>
          <w:sz w:val="32"/>
          <w:szCs w:val="28"/>
          <w:highlight w:val="none"/>
        </w:rPr>
        <w:t xml:space="preserve">苏州市原鑫招投标咨询服务有限公司</w:t>
      </w:r>
      <w:r/>
    </w:p>
    <w:p>
      <w:pPr>
        <w:jc w:val="center"/>
        <w:rPr>
          <w:rFonts w:hint="eastAsia" w:ascii="宋体" w:hAnsi="宋体"/>
          <w:b/>
          <w:color w:val="auto"/>
          <w:sz w:val="32"/>
          <w:szCs w:val="28"/>
          <w:highlight w:val="none"/>
        </w:rPr>
      </w:pPr>
      <w:r>
        <w:rPr>
          <w:rFonts w:hint="eastAsia" w:ascii="宋体" w:hAnsi="宋体"/>
          <w:b/>
          <w:color w:val="auto"/>
          <w:sz w:val="32"/>
          <w:szCs w:val="28"/>
          <w:highlight w:val="none"/>
        </w:rPr>
        <w:t xml:space="preserve">二〇二</w:t>
      </w:r>
      <w:r>
        <w:rPr>
          <w:rFonts w:hint="eastAsia" w:ascii="宋体" w:hAnsi="宋体"/>
          <w:b/>
          <w:color w:val="auto"/>
          <w:sz w:val="32"/>
          <w:szCs w:val="28"/>
          <w:highlight w:val="none"/>
          <w:lang w:val="en-US" w:eastAsia="zh-CN"/>
        </w:rPr>
        <w:t xml:space="preserve">六</w:t>
      </w:r>
      <w:r>
        <w:rPr>
          <w:rFonts w:hint="eastAsia" w:ascii="宋体" w:hAnsi="宋体"/>
          <w:b/>
          <w:color w:val="auto"/>
          <w:sz w:val="32"/>
          <w:szCs w:val="28"/>
          <w:highlight w:val="none"/>
        </w:rPr>
        <w:t xml:space="preserve">年</w:t>
      </w:r>
      <w:r>
        <w:rPr>
          <w:rFonts w:hint="eastAsia" w:ascii="宋体" w:hAnsi="宋体"/>
          <w:b/>
          <w:color w:val="auto"/>
          <w:sz w:val="32"/>
          <w:szCs w:val="28"/>
          <w:highlight w:val="none"/>
          <w:lang w:val="en-US" w:eastAsia="zh-CN"/>
        </w:rPr>
        <w:t xml:space="preserve">五</w:t>
      </w:r>
      <w:r>
        <w:rPr>
          <w:rFonts w:hint="eastAsia" w:ascii="宋体" w:hAnsi="宋体"/>
          <w:b/>
          <w:color w:val="auto"/>
          <w:sz w:val="32"/>
          <w:szCs w:val="28"/>
          <w:highlight w:val="none"/>
        </w:rPr>
        <w:t xml:space="preserve">月</w:t>
      </w:r>
      <w:r/>
    </w:p>
    <w:p>
      <w:pPr>
        <w:jc w:val="center"/>
        <w:rPr>
          <w:b/>
          <w:color w:val="auto"/>
          <w:sz w:val="32"/>
          <w:szCs w:val="32"/>
          <w:highlight w:val="none"/>
        </w:rPr>
      </w:pPr>
      <w:r>
        <w:rPr>
          <w:rFonts w:ascii="宋体" w:hAnsi="宋体"/>
          <w:b/>
          <w:color w:val="auto"/>
          <w:sz w:val="32"/>
          <w:highlight w:val="none"/>
        </w:rPr>
        <w:br w:type="page" w:clear="all"/>
      </w:r>
      <w:r>
        <w:rPr>
          <w:rFonts w:hint="eastAsia"/>
          <w:b/>
          <w:color w:val="auto"/>
          <w:sz w:val="32"/>
          <w:szCs w:val="32"/>
          <w:highlight w:val="none"/>
        </w:rPr>
        <w:t xml:space="preserve">一、</w:t>
      </w:r>
      <w:r>
        <w:rPr>
          <w:rFonts w:hint="eastAsia" w:ascii="宋体" w:hAnsi="宋体"/>
          <w:b/>
          <w:color w:val="auto"/>
          <w:sz w:val="32"/>
          <w:highlight w:val="none"/>
        </w:rPr>
        <w:t xml:space="preserve">竞争性磋商公告</w:t>
      </w:r>
      <w:r/>
    </w:p>
    <w:tbl>
      <w:tblPr>
        <w:tblStyle w:val="974"/>
        <w:tblW w:w="9889" w:type="dxa"/>
        <w:jc w:val="center"/>
        <w:tblInd w:w="0"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9889"/>
      </w:tblGrid>
      <w:tr>
        <w:trPr>
          <w:jc w:val="cente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889" w:type="dxa"/>
            <w:textDirection w:val="lrTb"/>
            <w:noWrap w:val="false"/>
          </w:tcPr>
          <w:p>
            <w:pPr>
              <w:ind w:firstLine="420"/>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项目概况：</w:t>
            </w:r>
            <w:r/>
          </w:p>
          <w:p>
            <w:pPr>
              <w:ind w:firstLine="420"/>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u w:val="single"/>
                <w:lang w:eastAsia="zh-CN"/>
              </w:rPr>
              <w:t xml:space="preserve">涉磷企业整治提升等技术服务项目</w:t>
            </w:r>
            <w:r>
              <w:rPr>
                <w:rFonts w:hint="eastAsia" w:ascii="宋体" w:hAnsi="宋体" w:cs="宋体"/>
                <w:color w:val="auto"/>
                <w:szCs w:val="21"/>
                <w:highlight w:val="none"/>
              </w:rPr>
              <w:t xml:space="preserve">的潜在供应商应在</w:t>
            </w:r>
            <w:r>
              <w:rPr>
                <w:rFonts w:hint="eastAsia" w:ascii="宋体" w:hAnsi="宋体" w:cs="宋体"/>
                <w:color w:val="auto"/>
                <w:szCs w:val="21"/>
                <w:highlight w:val="none"/>
                <w:u w:val="single"/>
              </w:rPr>
              <w:t xml:space="preserve">江苏省政府采购一体化平台“苏采云”系统</w:t>
            </w:r>
            <w:r>
              <w:rPr>
                <w:rFonts w:hint="eastAsia" w:ascii="宋体" w:hAnsi="宋体" w:cs="宋体"/>
                <w:color w:val="auto"/>
                <w:szCs w:val="21"/>
                <w:highlight w:val="none"/>
              </w:rPr>
              <w:t xml:space="preserve">获取采购文件，并于</w:t>
            </w:r>
            <w:r>
              <w:rPr>
                <w:rFonts w:hint="eastAsia" w:ascii="宋体" w:hAnsi="宋体" w:cs="宋体"/>
                <w:color w:val="auto"/>
                <w:szCs w:val="21"/>
                <w:highlight w:val="none"/>
                <w:u w:val="single"/>
                <w:lang w:eastAsia="zh-CN"/>
              </w:rPr>
              <w:t xml:space="preserve">2026年5月</w:t>
            </w:r>
            <w:r>
              <w:rPr>
                <w:rFonts w:hint="eastAsia" w:ascii="宋体" w:hAnsi="宋体" w:cs="宋体"/>
                <w:color w:val="auto"/>
                <w:szCs w:val="21"/>
                <w:highlight w:val="none"/>
                <w:u w:val="single"/>
                <w:lang w:val="en-US" w:eastAsia="zh-CN"/>
              </w:rPr>
              <w:t xml:space="preserve">19</w:t>
            </w:r>
            <w:r>
              <w:rPr>
                <w:rFonts w:hint="eastAsia" w:ascii="宋体" w:hAnsi="宋体" w:cs="宋体"/>
                <w:color w:val="auto"/>
                <w:szCs w:val="21"/>
                <w:highlight w:val="none"/>
                <w:u w:val="single"/>
                <w:lang w:eastAsia="zh-CN"/>
              </w:rPr>
              <w:t xml:space="preserve">日</w:t>
            </w:r>
            <w:r>
              <w:rPr>
                <w:rFonts w:hint="eastAsia" w:ascii="宋体" w:hAnsi="宋体" w:cs="宋体"/>
                <w:color w:val="auto"/>
                <w:szCs w:val="21"/>
                <w:highlight w:val="none"/>
                <w:u w:val="single"/>
                <w:lang w:val="en-US" w:eastAsia="zh-CN"/>
              </w:rPr>
              <w:t xml:space="preserve">13</w:t>
            </w:r>
            <w:r>
              <w:rPr>
                <w:rFonts w:hint="eastAsia" w:ascii="宋体" w:hAnsi="宋体" w:cs="宋体"/>
                <w:color w:val="auto"/>
                <w:szCs w:val="21"/>
                <w:highlight w:val="none"/>
                <w:u w:val="single"/>
                <w:lang w:eastAsia="zh-CN"/>
              </w:rPr>
              <w:t xml:space="preserve">：30</w:t>
            </w:r>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tc>
      </w:tr>
    </w:tbl>
    <w:p>
      <w:pPr>
        <w:numPr>
          <w:ilvl w:val="0"/>
          <w:numId w:val="5"/>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项目基本情况</w:t>
      </w:r>
      <w:r/>
    </w:p>
    <w:p>
      <w:pPr>
        <w:numPr>
          <w:ilvl w:val="0"/>
          <w:numId w:val="6"/>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rPr>
          <w:rFonts w:hint="eastAsia" w:ascii="宋体" w:hAnsi="宋体" w:cs="宋体"/>
          <w:color w:val="auto"/>
          <w:szCs w:val="21"/>
          <w:highlight w:val="none"/>
          <w:lang w:eastAsia="zh-CN"/>
        </w:rPr>
        <w:t xml:space="preserve">JSZC-320506-SZYX-C2026-0016</w:t>
      </w:r>
      <w:r/>
    </w:p>
    <w:p>
      <w:pPr>
        <w:numPr>
          <w:ilvl w:val="0"/>
          <w:numId w:val="6"/>
        </w:numPr>
        <w:jc w:val="left"/>
        <w:spacing w:line="400" w:lineRule="exact"/>
        <w:widowControl/>
        <w:rPr>
          <w:rFonts w:hint="eastAsia" w:ascii="宋体" w:hAnsi="宋体" w:eastAsia="宋体" w:cs="宋体"/>
          <w:color w:val="auto"/>
          <w:sz w:val="21"/>
          <w:szCs w:val="21"/>
          <w:highlight w:val="none"/>
          <w:lang w:val="en-US" w:eastAsia="zh-CN"/>
        </w:rPr>
      </w:pPr>
      <w:r/>
      <w:bookmarkStart w:id="0" w:name="OLE_LINK1"/>
      <w:r>
        <w:rPr>
          <w:rFonts w:hint="eastAsia" w:ascii="宋体" w:hAnsi="宋体" w:eastAsia="宋体" w:cs="宋体"/>
          <w:color w:val="auto"/>
          <w:szCs w:val="21"/>
          <w:highlight w:val="none"/>
        </w:rPr>
        <w:t xml:space="preserve">项目</w:t>
      </w:r>
      <w:r>
        <w:rPr>
          <w:rFonts w:hint="eastAsia" w:ascii="宋体" w:hAnsi="宋体" w:eastAsia="宋体" w:cs="宋体"/>
          <w:color w:val="auto"/>
          <w:sz w:val="21"/>
          <w:szCs w:val="21"/>
          <w:highlight w:val="none"/>
        </w:rPr>
        <w:t xml:space="preserve">名称：</w:t>
      </w:r>
      <w:r>
        <w:rPr>
          <w:rFonts w:hint="eastAsia" w:ascii="宋体" w:hAnsi="宋体" w:cs="宋体"/>
          <w:color w:val="auto"/>
          <w:sz w:val="21"/>
          <w:szCs w:val="21"/>
          <w:highlight w:val="none"/>
          <w:lang w:eastAsia="zh-CN"/>
        </w:rPr>
        <w:t xml:space="preserve">涉磷企业整治提升等技术服务项目</w:t>
      </w:r>
      <w:r/>
    </w:p>
    <w:p>
      <w:pPr>
        <w:numPr>
          <w:ilvl w:val="0"/>
          <w:numId w:val="6"/>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采购方式：竞争性磋商</w:t>
      </w:r>
      <w:r/>
    </w:p>
    <w:p>
      <w:pPr>
        <w:numPr>
          <w:ilvl w:val="0"/>
          <w:numId w:val="6"/>
        </w:numPr>
        <w:jc w:val="left"/>
        <w:spacing w:line="400" w:lineRule="exact"/>
        <w:widowControl/>
        <w:rPr>
          <w:rFonts w:hint="default" w:ascii="宋体" w:hAnsi="宋体" w:eastAsia="宋体" w:cs="宋体"/>
          <w:color w:val="auto"/>
          <w:sz w:val="21"/>
          <w:szCs w:val="21"/>
          <w:highlight w:val="none"/>
          <w:lang w:val="en-US" w:eastAsia="zh-CN"/>
        </w:rPr>
      </w:pPr>
      <w:r/>
      <w:bookmarkStart w:id="1" w:name="OLE_LINK14"/>
      <w:r>
        <w:rPr>
          <w:rFonts w:hint="eastAsia" w:ascii="宋体" w:hAnsi="宋体" w:eastAsia="宋体" w:cs="宋体"/>
          <w:color w:val="auto"/>
          <w:szCs w:val="21"/>
          <w:highlight w:val="none"/>
        </w:rPr>
        <w:t xml:space="preserve">预算</w:t>
      </w:r>
      <w:r>
        <w:rPr>
          <w:rFonts w:hint="eastAsia" w:ascii="宋体" w:hAnsi="宋体" w:eastAsia="宋体" w:cs="宋体"/>
          <w:color w:val="auto"/>
          <w:sz w:val="21"/>
          <w:szCs w:val="21"/>
          <w:highlight w:val="none"/>
        </w:rPr>
        <w:t xml:space="preserve">金额：</w:t>
      </w:r>
      <w:bookmarkStart w:id="2" w:name="_Hlk165988500"/>
      <w:r>
        <w:rPr>
          <w:rFonts w:hint="eastAsia" w:ascii="宋体" w:hAnsi="宋体" w:cs="宋体"/>
          <w:color w:val="auto"/>
          <w:sz w:val="21"/>
          <w:szCs w:val="21"/>
          <w:highlight w:val="none"/>
          <w:lang w:eastAsia="zh-CN"/>
        </w:rPr>
        <w:t xml:space="preserve">人民币壹佰贰拾贰万元整（￥1220000.00）</w:t>
      </w:r>
      <w:bookmarkEnd w:id="2"/>
      <w:r/>
      <w:r/>
    </w:p>
    <w:p>
      <w:pPr>
        <w:numPr>
          <w:ilvl w:val="0"/>
          <w:numId w:val="6"/>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w:t>
      </w:r>
      <w:r>
        <w:rPr>
          <w:rFonts w:hint="eastAsia" w:ascii="宋体" w:hAnsi="宋体" w:eastAsia="宋体" w:cs="宋体"/>
          <w:color w:val="auto"/>
          <w:szCs w:val="21"/>
          <w:highlight w:val="none"/>
        </w:rPr>
        <w:t xml:space="preserve">限价：</w:t>
      </w:r>
      <w:r>
        <w:rPr>
          <w:rFonts w:hint="eastAsia" w:ascii="宋体" w:hAnsi="宋体" w:cs="宋体"/>
          <w:color w:val="auto"/>
          <w:szCs w:val="21"/>
          <w:highlight w:val="none"/>
          <w:lang w:eastAsia="zh-CN"/>
        </w:rPr>
        <w:t xml:space="preserve">无</w:t>
      </w:r>
      <w:bookmarkEnd w:id="0"/>
      <w:r/>
      <w:bookmarkEnd w:id="1"/>
      <w:r/>
      <w:r/>
    </w:p>
    <w:p>
      <w:pPr>
        <w:numPr>
          <w:ilvl w:val="0"/>
          <w:numId w:val="6"/>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采购需求：</w:t>
      </w:r>
      <w:r/>
    </w:p>
    <w:p>
      <w:pPr>
        <w:numPr>
          <w:ilvl w:val="0"/>
          <w:numId w:val="7"/>
        </w:numPr>
        <w:spacing w:line="400" w:lineRule="exact"/>
        <w:rPr>
          <w:rFonts w:hint="eastAsia" w:ascii="宋体" w:hAnsi="宋体" w:cs="宋体"/>
          <w:color w:val="auto"/>
          <w:szCs w:val="21"/>
          <w:highlight w:val="none"/>
        </w:rPr>
      </w:pPr>
      <w:r/>
      <w:bookmarkStart w:id="3" w:name="OLE_LINK2"/>
      <w:r>
        <w:rPr>
          <w:rFonts w:hint="eastAsia" w:ascii="宋体" w:hAnsi="宋体" w:cs="宋体"/>
          <w:color w:val="auto"/>
          <w:szCs w:val="21"/>
          <w:highlight w:val="none"/>
        </w:rPr>
        <w:t xml:space="preserve">服务内容</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本项目拟委托第三方专业机构完成吴中区涉磷企业整治提升等工作，主要包含</w:t>
      </w:r>
      <w:r>
        <w:rPr>
          <w:rFonts w:hint="eastAsia" w:ascii="宋体" w:hAnsi="宋体" w:cs="宋体"/>
          <w:color w:val="auto"/>
          <w:szCs w:val="21"/>
          <w:highlight w:val="none"/>
          <w:lang w:val="en-US" w:eastAsia="zh-CN"/>
        </w:rPr>
        <w:t xml:space="preserve">涉磷企业信息维护、</w:t>
      </w:r>
      <w:r>
        <w:rPr>
          <w:rFonts w:hint="eastAsia" w:hAnsi="宋体"/>
          <w:color w:val="auto"/>
          <w:szCs w:val="21"/>
          <w:highlight w:val="none"/>
        </w:rPr>
        <w:t xml:space="preserve">涉磷企业清单动态化管理</w:t>
      </w:r>
      <w:r>
        <w:rPr>
          <w:rFonts w:hint="eastAsia" w:hAnsi="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重点断面技术支撑</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重点企业工艺全流程诊断指导工作</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重点企业帮扶指导</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磷账本动态管理</w:t>
      </w:r>
      <w:r>
        <w:rPr>
          <w:rFonts w:hint="eastAsia" w:ascii="宋体" w:hAnsi="宋体" w:cs="宋体"/>
          <w:color w:val="auto"/>
          <w:szCs w:val="21"/>
          <w:highlight w:val="none"/>
          <w:lang w:val="en-US" w:eastAsia="zh-CN"/>
        </w:rPr>
        <w:t xml:space="preserve">等，</w:t>
      </w:r>
      <w:r>
        <w:rPr>
          <w:rFonts w:hint="eastAsia" w:ascii="宋体" w:hAnsi="宋体" w:cs="宋体"/>
          <w:color w:val="auto"/>
          <w:szCs w:val="21"/>
          <w:highlight w:val="none"/>
          <w:lang w:val="en-US" w:eastAsia="zh-CN"/>
        </w:rPr>
        <w:t xml:space="preserve">并安排专业技术人员协助完成涉磷企业管理相关工作。</w:t>
      </w:r>
      <w:r/>
    </w:p>
    <w:p>
      <w:pPr>
        <w:numPr>
          <w:ilvl w:val="0"/>
          <w:numId w:val="7"/>
        </w:numPr>
        <w:spacing w:line="400" w:lineRule="exact"/>
        <w:rPr>
          <w:rFonts w:hint="eastAsia" w:ascii="宋体" w:hAnsi="宋体" w:cs="宋体"/>
          <w:color w:val="auto"/>
          <w:szCs w:val="21"/>
          <w:highlight w:val="none"/>
        </w:rPr>
      </w:pPr>
      <w:r>
        <w:rPr>
          <w:rFonts w:hint="eastAsia" w:ascii="宋体" w:hAnsi="宋体" w:cs="宋体"/>
          <w:color w:val="auto"/>
          <w:highlight w:val="none"/>
        </w:rPr>
        <w:t xml:space="preserve">合同履约期限：</w:t>
      </w:r>
      <w:bookmarkStart w:id="4" w:name="OLE_LINK15"/>
      <w:r/>
      <w:bookmarkStart w:id="5" w:name="OLE_LINK23"/>
      <w:r>
        <w:rPr>
          <w:rFonts w:hint="eastAsia" w:ascii="宋体" w:hAnsi="宋体"/>
          <w:color w:val="auto"/>
          <w:szCs w:val="21"/>
          <w:highlight w:val="none"/>
        </w:rPr>
        <w:t xml:space="preserve">自合同签订之日起至</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年底前</w:t>
      </w:r>
      <w:r>
        <w:rPr>
          <w:rFonts w:hint="eastAsia" w:ascii="宋体" w:hAnsi="宋体"/>
          <w:color w:val="auto"/>
          <w:szCs w:val="21"/>
          <w:highlight w:val="none"/>
        </w:rPr>
        <w:t xml:space="preserve">完成</w:t>
      </w:r>
      <w:r>
        <w:rPr>
          <w:rFonts w:hint="eastAsia" w:ascii="宋体" w:hAnsi="宋体" w:cs="宋体"/>
          <w:color w:val="auto"/>
          <w:szCs w:val="21"/>
          <w:highlight w:val="none"/>
          <w:lang w:eastAsia="zh-CN"/>
        </w:rPr>
        <w:t xml:space="preserve">吴中区涉磷企业整治提升等技术服务</w:t>
      </w:r>
      <w:r>
        <w:rPr>
          <w:rFonts w:hint="eastAsia" w:ascii="宋体" w:hAnsi="宋体" w:cs="宋体"/>
          <w:color w:val="auto"/>
          <w:szCs w:val="21"/>
          <w:highlight w:val="none"/>
        </w:rPr>
        <w:t xml:space="preserve">。</w:t>
      </w:r>
      <w:bookmarkEnd w:id="4"/>
      <w:r/>
      <w:bookmarkEnd w:id="3"/>
      <w:r/>
      <w:bookmarkEnd w:id="5"/>
      <w:r/>
      <w:r/>
    </w:p>
    <w:p>
      <w:pPr>
        <w:numPr>
          <w:ilvl w:val="0"/>
          <w:numId w:val="6"/>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w:t>
      </w:r>
      <w:r>
        <w:rPr>
          <w:rFonts w:hint="eastAsia" w:ascii="宋体" w:hAnsi="宋体" w:cs="宋体"/>
          <w:color w:val="auto"/>
          <w:szCs w:val="21"/>
          <w:highlight w:val="none"/>
        </w:rPr>
        <w:t xml:space="preserve">项目</w:t>
      </w:r>
      <w:r>
        <w:rPr>
          <w:rFonts w:hint="eastAsia" w:ascii="宋体" w:hAnsi="宋体" w:cs="宋体"/>
          <w:color w:val="auto"/>
          <w:szCs w:val="21"/>
          <w:highlight w:val="none"/>
        </w:rPr>
        <w:t xml:space="preserve">不接受联合体投标。</w:t>
      </w:r>
      <w:r/>
    </w:p>
    <w:p>
      <w:pPr>
        <w:numPr>
          <w:ilvl w:val="0"/>
          <w:numId w:val="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申请人的资格要求：</w:t>
      </w:r>
      <w:r/>
    </w:p>
    <w:p>
      <w:pPr>
        <w:numPr>
          <w:ilvl w:val="0"/>
          <w:numId w:val="8"/>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满足《中华人民共和国政府采购法》第二十二条规定；</w:t>
      </w:r>
      <w:r/>
    </w:p>
    <w:p>
      <w:pPr>
        <w:numPr>
          <w:ilvl w:val="0"/>
          <w:numId w:val="9"/>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具有独立承担民事责任的能力；</w:t>
      </w:r>
      <w:r/>
    </w:p>
    <w:p>
      <w:pPr>
        <w:numPr>
          <w:ilvl w:val="0"/>
          <w:numId w:val="9"/>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具有良好的商业信誉和健全的财务会计制度；</w:t>
      </w:r>
      <w:r/>
    </w:p>
    <w:p>
      <w:pPr>
        <w:numPr>
          <w:ilvl w:val="0"/>
          <w:numId w:val="9"/>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具有履行合同所必需的设备和专业技术能力；</w:t>
      </w:r>
      <w:r/>
    </w:p>
    <w:p>
      <w:pPr>
        <w:numPr>
          <w:ilvl w:val="0"/>
          <w:numId w:val="9"/>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有依法缴纳税收和社会保障资金的良好记录；</w:t>
      </w:r>
      <w:r/>
    </w:p>
    <w:p>
      <w:pPr>
        <w:numPr>
          <w:ilvl w:val="0"/>
          <w:numId w:val="9"/>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参加政府采购活动前三年内，在经营活动中没有出现重大违法记录；</w:t>
      </w:r>
      <w:r/>
    </w:p>
    <w:p>
      <w:pPr>
        <w:numPr>
          <w:ilvl w:val="0"/>
          <w:numId w:val="9"/>
        </w:numPr>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法律、行政法规规</w:t>
      </w:r>
      <w:r>
        <w:rPr>
          <w:rFonts w:hint="eastAsia" w:ascii="宋体" w:hAnsi="宋体" w:cs="宋体"/>
          <w:color w:val="auto"/>
          <w:szCs w:val="21"/>
          <w:highlight w:val="none"/>
        </w:rPr>
        <w:t xml:space="preserve">定的其他条件。</w:t>
      </w:r>
      <w:r/>
    </w:p>
    <w:p>
      <w:pPr>
        <w:numPr>
          <w:ilvl w:val="0"/>
          <w:numId w:val="8"/>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落实政府采购政策需满足的资格要求：</w:t>
      </w:r>
      <w:r/>
    </w:p>
    <w:p>
      <w:pPr>
        <w:numPr>
          <w:ilvl w:val="0"/>
          <w:numId w:val="10"/>
        </w:numPr>
        <w:spacing w:line="400" w:lineRule="exact"/>
        <w:rPr>
          <w:rFonts w:hint="eastAsia" w:ascii="宋体" w:hAnsi="宋体" w:cs="宋体"/>
          <w:color w:val="auto"/>
          <w:szCs w:val="21"/>
          <w:highlight w:val="none"/>
        </w:rPr>
      </w:pPr>
      <w:r/>
      <w:bookmarkStart w:id="6" w:name="OLE_LINK5"/>
      <w:r>
        <w:rPr>
          <w:rFonts w:hint="eastAsia" w:ascii="宋体" w:hAnsi="宋体"/>
          <w:color w:val="auto"/>
          <w:szCs w:val="21"/>
          <w:highlight w:val="none"/>
        </w:rPr>
        <w:t xml:space="preserve">本项目专门面向中小微企业采购，本项目属其他未列明行业</w:t>
      </w:r>
      <w:r>
        <w:rPr>
          <w:rFonts w:hint="eastAsia" w:ascii="宋体" w:hAnsi="宋体"/>
          <w:color w:val="auto"/>
          <w:szCs w:val="21"/>
          <w:highlight w:val="none"/>
          <w:lang w:eastAsia="zh-CN"/>
        </w:rPr>
        <w:t xml:space="preserve">。</w:t>
      </w:r>
      <w:r>
        <w:rPr>
          <w:rFonts w:hint="eastAsia" w:ascii="宋体" w:hAnsi="宋体" w:cs="宋体"/>
          <w:color w:val="auto"/>
          <w:szCs w:val="21"/>
          <w:highlight w:val="none"/>
        </w:rPr>
        <w:t xml:space="preserve">供应商须提供中小企业声明函或残疾人福利性单位声明函或省级以上监狱管理局、戒毒管理局（含新疆生产建设兵团）出具的属于监狱企业的证明文件。</w:t>
      </w:r>
      <w:bookmarkEnd w:id="6"/>
      <w:r/>
      <w:r/>
    </w:p>
    <w:p>
      <w:pPr>
        <w:numPr>
          <w:ilvl w:val="0"/>
          <w:numId w:val="8"/>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p>
    <w:p>
      <w:pPr>
        <w:numPr>
          <w:ilvl w:val="0"/>
          <w:numId w:val="11"/>
        </w:numPr>
        <w:spacing w:line="400" w:lineRule="exact"/>
        <w:rPr>
          <w:rFonts w:hint="eastAsia" w:ascii="宋体" w:hAnsi="宋体"/>
          <w:color w:val="auto"/>
          <w:szCs w:val="21"/>
          <w:highlight w:val="none"/>
        </w:rPr>
      </w:pPr>
      <w:r/>
      <w:bookmarkStart w:id="7" w:name="OLE_LINK4"/>
      <w:r/>
      <w:bookmarkStart w:id="8" w:name="OLE_LINK6"/>
      <w:r>
        <w:rPr>
          <w:rFonts w:hint="eastAsia" w:ascii="宋体" w:hAnsi="宋体" w:cs="宋体"/>
          <w:color w:val="auto"/>
          <w:szCs w:val="21"/>
          <w:highlight w:val="none"/>
        </w:rPr>
        <w:t xml:space="preserve">未被列入失信被执行人、重</w:t>
      </w:r>
      <w:r>
        <w:rPr>
          <w:rFonts w:hint="eastAsia" w:ascii="宋体" w:hAnsi="宋体"/>
          <w:color w:val="auto"/>
          <w:szCs w:val="21"/>
          <w:highlight w:val="none"/>
        </w:rPr>
        <w:t xml:space="preserve">大税收违法案件当事人名单、政府采购严重失信行为记录名单</w:t>
      </w:r>
      <w:bookmarkEnd w:id="7"/>
      <w:r>
        <w:rPr>
          <w:rFonts w:hint="eastAsia" w:ascii="宋体" w:hAnsi="宋体"/>
          <w:color w:val="auto"/>
          <w:szCs w:val="21"/>
          <w:highlight w:val="none"/>
        </w:rPr>
        <w:t xml:space="preserve">；</w:t>
      </w:r>
      <w:bookmarkEnd w:id="8"/>
      <w:r/>
      <w:r/>
    </w:p>
    <w:p>
      <w:pPr>
        <w:numPr>
          <w:ilvl w:val="0"/>
          <w:numId w:val="11"/>
        </w:numPr>
        <w:spacing w:line="400" w:lineRule="exact"/>
        <w:rPr>
          <w:rFonts w:hint="eastAsia" w:ascii="宋体" w:hAnsi="宋体" w:cs="宋体"/>
          <w:color w:val="auto"/>
          <w:szCs w:val="21"/>
          <w:highlight w:val="none"/>
        </w:rPr>
      </w:pPr>
      <w:r/>
      <w:bookmarkStart w:id="9" w:name="OLE_LINK8"/>
      <w:r>
        <w:rPr>
          <w:rFonts w:hint="eastAsia" w:ascii="宋体" w:hAnsi="宋体"/>
          <w:color w:val="auto"/>
          <w:szCs w:val="21"/>
          <w:highlight w:val="none"/>
        </w:rPr>
        <w:t xml:space="preserve">单位负责人为同一人或者存在直</w:t>
      </w:r>
      <w:r>
        <w:rPr>
          <w:rFonts w:hint="eastAsia" w:ascii="宋体" w:hAnsi="宋体" w:cs="宋体"/>
          <w:color w:val="auto"/>
          <w:szCs w:val="21"/>
          <w:highlight w:val="none"/>
        </w:rPr>
        <w:t xml:space="preserve">接控股、管理关系的不同供应商（包含法定代表人为同一个人的两个及两个以上法人，母公司、全资子公司及其控股公司），不得参加同一合同项下的政府采购活动</w:t>
      </w:r>
      <w:bookmarkEnd w:id="9"/>
      <w:r>
        <w:rPr>
          <w:rFonts w:hint="eastAsia" w:ascii="宋体" w:hAnsi="宋体" w:cs="宋体"/>
          <w:color w:val="auto"/>
          <w:szCs w:val="21"/>
          <w:highlight w:val="none"/>
        </w:rPr>
        <w:t xml:space="preserve">。</w:t>
      </w:r>
      <w:r/>
    </w:p>
    <w:p>
      <w:pPr>
        <w:numPr>
          <w:ilvl w:val="0"/>
          <w:numId w:val="5"/>
        </w:numPr>
        <w:jc w:val="left"/>
        <w:spacing w:line="400" w:lineRule="exact"/>
        <w:widowControl/>
        <w:rPr>
          <w:rFonts w:hint="eastAsia" w:ascii="宋体" w:hAnsi="宋体" w:cs="宋体"/>
          <w:color w:val="auto"/>
          <w:szCs w:val="21"/>
          <w:highlight w:val="none"/>
        </w:rPr>
      </w:pPr>
      <w:r/>
      <w:bookmarkStart w:id="10" w:name="OLE_LINK10"/>
      <w:r>
        <w:rPr>
          <w:rFonts w:hint="eastAsia" w:ascii="宋体" w:hAnsi="宋体" w:cs="宋体"/>
          <w:color w:val="auto"/>
          <w:szCs w:val="21"/>
          <w:highlight w:val="none"/>
        </w:rPr>
        <w:t xml:space="preserve">获取采购文件</w:t>
      </w:r>
      <w:bookmarkEnd w:id="10"/>
      <w:r/>
      <w:r/>
    </w:p>
    <w:p>
      <w:pPr>
        <w:numPr>
          <w:ilvl w:val="0"/>
          <w:numId w:val="12"/>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时间：</w:t>
      </w:r>
      <w:r>
        <w:rPr>
          <w:rFonts w:hint="eastAsia" w:ascii="宋体" w:hAnsi="宋体" w:cs="宋体"/>
          <w:color w:val="auto"/>
          <w:szCs w:val="21"/>
          <w:highlight w:val="none"/>
          <w:lang w:val="en-US" w:eastAsia="zh-CN"/>
        </w:rPr>
        <w:t xml:space="preserve">本公告发布之日起五个工作日</w:t>
      </w:r>
      <w:r/>
    </w:p>
    <w:p>
      <w:pPr>
        <w:numPr>
          <w:ilvl w:val="0"/>
          <w:numId w:val="12"/>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地点：江苏省政府采购一体化平台“苏采云”系统自行下载</w:t>
      </w:r>
      <w:r/>
    </w:p>
    <w:p>
      <w:pPr>
        <w:numPr>
          <w:ilvl w:val="0"/>
          <w:numId w:val="12"/>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方式：登录江苏省政府采购一体化平台“苏采云”系统，确认参与项目后自行下载</w:t>
      </w:r>
      <w:r/>
    </w:p>
    <w:p>
      <w:pPr>
        <w:numPr>
          <w:ilvl w:val="0"/>
          <w:numId w:val="12"/>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售价：免费</w:t>
      </w:r>
      <w:r/>
    </w:p>
    <w:p>
      <w:pPr>
        <w:numPr>
          <w:ilvl w:val="0"/>
          <w:numId w:val="5"/>
        </w:numPr>
        <w:jc w:val="left"/>
        <w:spacing w:line="400" w:lineRule="exact"/>
        <w:widowControl/>
        <w:rPr>
          <w:rFonts w:hint="eastAsia" w:ascii="宋体" w:hAnsi="宋体" w:cs="宋体"/>
          <w:color w:val="auto"/>
          <w:szCs w:val="21"/>
          <w:highlight w:val="none"/>
        </w:rPr>
      </w:pPr>
      <w:r/>
      <w:bookmarkStart w:id="11" w:name="OLE_LINK11"/>
      <w:r>
        <w:rPr>
          <w:rFonts w:hint="eastAsia" w:ascii="宋体" w:hAnsi="宋体" w:cs="宋体"/>
          <w:color w:val="auto"/>
          <w:szCs w:val="21"/>
          <w:highlight w:val="none"/>
        </w:rPr>
        <w:t xml:space="preserve">响应文件提交</w:t>
      </w:r>
      <w:bookmarkEnd w:id="11"/>
      <w:r/>
      <w:r/>
    </w:p>
    <w:p>
      <w:pPr>
        <w:numPr>
          <w:ilvl w:val="0"/>
          <w:numId w:val="13"/>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截止时间：</w:t>
      </w:r>
      <w:r>
        <w:rPr>
          <w:rFonts w:hint="eastAsia" w:ascii="宋体" w:hAnsi="宋体" w:cs="宋体"/>
          <w:color w:val="auto"/>
          <w:szCs w:val="21"/>
          <w:highlight w:val="none"/>
          <w:lang w:eastAsia="zh-CN"/>
        </w:rPr>
        <w:t xml:space="preserve">2026年5月</w:t>
      </w:r>
      <w:r>
        <w:rPr>
          <w:rFonts w:hint="eastAsia" w:ascii="宋体" w:hAnsi="宋体" w:cs="宋体"/>
          <w:color w:val="auto"/>
          <w:szCs w:val="21"/>
          <w:highlight w:val="none"/>
          <w:lang w:val="en-US" w:eastAsia="zh-CN"/>
        </w:rPr>
        <w:t xml:space="preserve">19</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：30</w:t>
      </w:r>
      <w:r/>
    </w:p>
    <w:p>
      <w:pPr>
        <w:numPr>
          <w:ilvl w:val="0"/>
          <w:numId w:val="13"/>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地点：苏采云系统（网址：http://jszfcg.jsczt.cn/）。</w:t>
      </w:r>
      <w:r/>
    </w:p>
    <w:p>
      <w:pPr>
        <w:numPr>
          <w:ilvl w:val="0"/>
          <w:numId w:val="5"/>
        </w:numPr>
        <w:jc w:val="left"/>
        <w:spacing w:line="400" w:lineRule="exact"/>
        <w:widowControl/>
        <w:rPr>
          <w:rFonts w:hint="eastAsia" w:ascii="宋体" w:hAnsi="宋体" w:cs="宋体"/>
          <w:color w:val="auto"/>
          <w:szCs w:val="21"/>
          <w:highlight w:val="none"/>
        </w:rPr>
      </w:pPr>
      <w:r/>
      <w:bookmarkStart w:id="12" w:name="OLE_LINK12"/>
      <w:r>
        <w:rPr>
          <w:rFonts w:hint="eastAsia" w:ascii="宋体" w:hAnsi="宋体" w:cs="宋体"/>
          <w:color w:val="auto"/>
          <w:szCs w:val="21"/>
          <w:highlight w:val="none"/>
        </w:rPr>
        <w:t xml:space="preserve">开启</w:t>
      </w:r>
      <w:bookmarkEnd w:id="12"/>
      <w:r/>
      <w:r/>
    </w:p>
    <w:p>
      <w:pPr>
        <w:numPr>
          <w:ilvl w:val="0"/>
          <w:numId w:val="14"/>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时间：</w:t>
      </w:r>
      <w:r>
        <w:rPr>
          <w:rFonts w:hint="eastAsia" w:ascii="宋体" w:hAnsi="宋体" w:cs="宋体"/>
          <w:color w:val="auto"/>
          <w:szCs w:val="21"/>
          <w:highlight w:val="none"/>
          <w:lang w:eastAsia="zh-CN"/>
        </w:rPr>
        <w:t xml:space="preserve">2026年5月</w:t>
      </w:r>
      <w:r>
        <w:rPr>
          <w:rFonts w:hint="eastAsia" w:ascii="宋体" w:hAnsi="宋体" w:cs="宋体"/>
          <w:color w:val="auto"/>
          <w:szCs w:val="21"/>
          <w:highlight w:val="none"/>
          <w:lang w:val="en-US" w:eastAsia="zh-CN"/>
        </w:rPr>
        <w:t xml:space="preserve">19</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rPr>
        <w:t xml:space="preserve">：30</w:t>
      </w:r>
      <w:r/>
    </w:p>
    <w:p>
      <w:pPr>
        <w:numPr>
          <w:ilvl w:val="0"/>
          <w:numId w:val="14"/>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地点：苏采云系统（网址：http://jszfcg.jsczt.cn/）。</w:t>
      </w:r>
      <w:r/>
    </w:p>
    <w:p>
      <w:pPr>
        <w:numPr>
          <w:ilvl w:val="0"/>
          <w:numId w:val="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公告期限：自本公告发布之日起3个工作日。</w:t>
      </w:r>
      <w:r/>
    </w:p>
    <w:p>
      <w:pPr>
        <w:numPr>
          <w:ilvl w:val="0"/>
          <w:numId w:val="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其他相关事宜：</w:t>
      </w:r>
      <w:r/>
    </w:p>
    <w:p>
      <w:pPr>
        <w:numPr>
          <w:ilvl w:val="0"/>
          <w:numId w:val="15"/>
        </w:numPr>
        <w:jc w:val="left"/>
        <w:spacing w:line="400" w:lineRule="exact"/>
        <w:widowControl/>
        <w:rPr>
          <w:rFonts w:hint="eastAsia" w:ascii="宋体" w:hAnsi="宋体" w:cs="宋体"/>
          <w:color w:val="auto"/>
          <w:szCs w:val="21"/>
          <w:highlight w:val="none"/>
        </w:rPr>
      </w:pPr>
      <w:r/>
      <w:bookmarkStart w:id="13" w:name="OLE_LINK16"/>
      <w:r/>
      <w:bookmarkStart w:id="14" w:name="OLE_LINK24"/>
      <w:r>
        <w:rPr>
          <w:rFonts w:hint="eastAsia" w:ascii="宋体" w:hAnsi="宋体" w:cs="宋体"/>
          <w:color w:val="auto"/>
          <w:szCs w:val="21"/>
          <w:highlight w:val="none"/>
        </w:rPr>
        <w:t xml:space="preserve">CA证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color w:val="auto"/>
          <w:szCs w:val="21"/>
          <w:highlight w:val="none"/>
          <w:shd w:val="clear" w:color="auto" w:fill="auto"/>
        </w:rPr>
        <w:t xml:space="preserve">苏州现场办理地址：苏州市高新区邓尉路105号狮山科技馆1楼服务大厅，咨询电话：0512-69820834</w:t>
      </w:r>
      <w:r>
        <w:rPr>
          <w:rFonts w:hint="eastAsia" w:ascii="宋体" w:hAnsi="宋体" w:cs="宋体"/>
          <w:color w:val="auto"/>
          <w:szCs w:val="21"/>
          <w:highlight w:val="none"/>
        </w:rPr>
        <w:t xml:space="preserve">。</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技术服务咨询电话：CA技术咨询电话：400-608-6099；电子签章技术咨询电话：025-83633811、025-83633812、15380932027、15371015030；系统使用指导与咨询电话：18261002950（不见面项目）QQ：3048755361、895706745。</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未依照招标公告要求获取招标文件的投标人，视为未参与该项政府采购活动，不具备对该政府采购项目提出质疑的法定权利，但因供应商资格条件或报名时间设定不符合有关法律法规规定等原因使供应商权益受损的除外。</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项目采用电子招投标形式，供应商在“苏采云”系统中操作成功参与项目后，必须在“已参与项目”界面中下载电子招标文件（后缀名为“.kedt”）并导入政府采购客户端工具后方可进行投标文件制作和提交（具体详见《苏采云系统供应商操作手册》。电子投标文件制作完成后请于投标文件递交截止时间前成功上传至“苏采云”系统，否则视为放弃参加该招标项目。供应商应充分考虑到网络环境、网络带宽等风险因素，如因供应商自身原因造成的电子投标文件上传不成功由供应商自行承担全部责任。</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线上参加开标（开启）会方式：供应商登录“苏采云”系统，点击“开标大厅”，选择对应项目，点击进入不见面开标系统。</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本项目为不见面开标（开启）项目，开启阶段供应商在【解密环节】必须使用 CA证书解密电子投标文件，如在“苏采云”系统规定的时间内（投标文件提交截止时间后 30分钟)未能成功解密的视为放弃参与本项目，投标无效。</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请供应商确保电脑、系统及其他设备（视频输入输出设备等）无误，且开启直至项目结束始终保持系统在线状态。</w:t>
      </w:r>
      <w:r/>
    </w:p>
    <w:p>
      <w:pPr>
        <w:numPr>
          <w:ilvl w:val="0"/>
          <w:numId w:val="15"/>
        </w:num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本公告同时在江苏省政府采购网、苏州市政府采购网上发布。</w:t>
      </w:r>
      <w:bookmarkEnd w:id="13"/>
      <w:r/>
      <w:bookmarkEnd w:id="14"/>
      <w:r/>
      <w:r/>
    </w:p>
    <w:p>
      <w:pPr>
        <w:numPr>
          <w:ilvl w:val="0"/>
          <w:numId w:val="5"/>
        </w:numPr>
        <w:jc w:val="left"/>
        <w:spacing w:line="400" w:lineRule="exact"/>
        <w:widowControl/>
        <w:rPr>
          <w:rFonts w:hint="eastAsia" w:ascii="宋体" w:hAnsi="宋体" w:eastAsia="宋体" w:cs="宋体"/>
          <w:color w:val="auto"/>
          <w:szCs w:val="21"/>
          <w:highlight w:val="none"/>
        </w:rPr>
      </w:pPr>
      <w:r>
        <w:rPr>
          <w:rFonts w:hint="eastAsia" w:ascii="宋体" w:hAnsi="宋体" w:cs="宋体"/>
          <w:color w:val="auto"/>
          <w:szCs w:val="21"/>
          <w:highlight w:val="none"/>
        </w:rPr>
        <w:t xml:space="preserve">对</w:t>
      </w:r>
      <w:r>
        <w:rPr>
          <w:rFonts w:hint="eastAsia" w:ascii="宋体" w:hAnsi="宋体" w:eastAsia="宋体" w:cs="宋体"/>
          <w:color w:val="auto"/>
          <w:szCs w:val="21"/>
          <w:highlight w:val="none"/>
        </w:rPr>
        <w:t xml:space="preserve">本次采购提出询问，请按以下方式联系：</w:t>
      </w:r>
      <w:r/>
    </w:p>
    <w:p>
      <w:pPr>
        <w:numPr>
          <w:ilvl w:val="0"/>
          <w:numId w:val="16"/>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采购人信息</w:t>
      </w:r>
      <w:r/>
    </w:p>
    <w:p>
      <w:pPr>
        <w:ind w:left="567"/>
        <w:jc w:val="left"/>
        <w:spacing w:line="400" w:lineRule="exact"/>
        <w:widowControl/>
        <w:rPr>
          <w:rFonts w:hint="eastAsia" w:ascii="宋体" w:hAnsi="宋体" w:eastAsia="宋体" w:cs="宋体"/>
          <w:color w:val="auto"/>
          <w:szCs w:val="21"/>
          <w:highlight w:val="none"/>
          <w:lang w:eastAsia="zh-CN"/>
        </w:rPr>
      </w:pPr>
      <w:r/>
      <w:bookmarkStart w:id="15" w:name="OLE_LINK17"/>
      <w:r>
        <w:rPr>
          <w:rFonts w:hint="eastAsia" w:ascii="宋体" w:hAnsi="宋体" w:eastAsia="宋体" w:cs="宋体"/>
          <w:color w:val="auto"/>
          <w:szCs w:val="21"/>
          <w:highlight w:val="none"/>
        </w:rPr>
        <w:t xml:space="preserve">名称：</w:t>
      </w:r>
      <w:r>
        <w:rPr>
          <w:rFonts w:hint="eastAsia" w:ascii="宋体" w:hAnsi="宋体" w:cs="宋体"/>
          <w:color w:val="auto"/>
          <w:szCs w:val="21"/>
          <w:highlight w:val="none"/>
          <w:lang w:eastAsia="zh-CN"/>
        </w:rPr>
        <w:t xml:space="preserve">苏州市吴中生态环境局</w:t>
      </w:r>
      <w:bookmarkEnd w:id="15"/>
      <w:r/>
      <w:r/>
    </w:p>
    <w:p>
      <w:pPr>
        <w:ind w:left="567"/>
        <w:keepLines w:val="0"/>
        <w:keepNext w:val="0"/>
        <w:pageBreakBefore w:val="0"/>
        <w:spacing w:line="380" w:lineRule="exact"/>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地址：苏州市吴中区苏街198号</w:t>
      </w:r>
      <w:r/>
    </w:p>
    <w:p>
      <w:pPr>
        <w:ind w:left="567"/>
        <w:keepLines w:val="0"/>
        <w:keepNext w:val="0"/>
        <w:pageBreakBefore w:val="0"/>
        <w:spacing w:line="380" w:lineRule="exact"/>
        <w:shd w:val="clear" w:color="auto"/>
        <w:rPr>
          <w:rFonts w:hint="default"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rPr>
        <w:t xml:space="preserve">联系方式：0512-66505009</w:t>
      </w:r>
      <w:r/>
    </w:p>
    <w:p>
      <w:pPr>
        <w:ind w:left="567"/>
        <w:keepLines w:val="0"/>
        <w:keepNext w:val="0"/>
        <w:pageBreakBefore w:val="0"/>
        <w:spacing w:line="380" w:lineRule="exact"/>
        <w:shd w:val="clear" w:color="auto"/>
        <w:rPr>
          <w:rFonts w:hint="default"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rPr>
        <w:t xml:space="preserve">联系人：</w:t>
      </w:r>
      <w:r>
        <w:rPr>
          <w:rFonts w:hint="eastAsia" w:ascii="宋体" w:hAnsi="宋体" w:cs="宋体"/>
          <w:color w:val="auto"/>
          <w:szCs w:val="21"/>
          <w:highlight w:val="none"/>
          <w:lang w:val="en-US" w:eastAsia="zh-CN"/>
        </w:rPr>
        <w:t xml:space="preserve">胡晨晖</w:t>
      </w:r>
      <w:r/>
    </w:p>
    <w:p>
      <w:pPr>
        <w:numPr>
          <w:ilvl w:val="0"/>
          <w:numId w:val="16"/>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采购代理机构信息</w:t>
      </w:r>
      <w:r/>
    </w:p>
    <w:p>
      <w:pPr>
        <w:ind w:left="567"/>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名称：苏州市原鑫招投标咨询服务有限公司</w:t>
      </w:r>
      <w:r/>
    </w:p>
    <w:p>
      <w:pPr>
        <w:ind w:left="567"/>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地址：苏州市三香路万盛大厦13楼B座</w:t>
      </w:r>
      <w:r/>
    </w:p>
    <w:p>
      <w:pPr>
        <w:ind w:left="567"/>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联系方式：0512-68364647、68361806*8002</w:t>
      </w:r>
      <w:r/>
    </w:p>
    <w:p>
      <w:pPr>
        <w:numPr>
          <w:ilvl w:val="0"/>
          <w:numId w:val="16"/>
        </w:num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项目联系方式</w:t>
      </w:r>
      <w:r/>
    </w:p>
    <w:p>
      <w:pPr>
        <w:ind w:left="567"/>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项目联系人：金健、周详、祝晓忠、周悦婷</w:t>
      </w:r>
      <w:r/>
    </w:p>
    <w:p>
      <w:pPr>
        <w:ind w:left="567"/>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电话：0512-68364647、68361806*8002</w:t>
      </w:r>
      <w:r/>
    </w:p>
    <w:p>
      <w:pPr>
        <w:jc w:val="center"/>
        <w:spacing w:line="480" w:lineRule="auto"/>
        <w:tabs>
          <w:tab w:val="left" w:pos="426" w:leader="none"/>
          <w:tab w:val="left" w:pos="709" w:leader="none"/>
        </w:tabs>
        <w:rPr>
          <w:rFonts w:hint="eastAsia" w:ascii="宋体" w:hAnsi="宋体"/>
          <w:b/>
          <w:bCs/>
          <w:color w:val="auto"/>
          <w:sz w:val="32"/>
          <w:szCs w:val="32"/>
          <w:highlight w:val="none"/>
        </w:rPr>
      </w:pPr>
      <w:r>
        <w:rPr>
          <w:rFonts w:ascii="宋体" w:hAnsi="宋体" w:cs="宋体"/>
          <w:color w:val="auto"/>
          <w:szCs w:val="21"/>
          <w:highlight w:val="none"/>
        </w:rPr>
        <w:br w:type="page" w:clear="all"/>
      </w:r>
      <w:r>
        <w:rPr>
          <w:rFonts w:hint="eastAsia" w:ascii="宋体" w:hAnsi="宋体"/>
          <w:b/>
          <w:color w:val="auto"/>
          <w:sz w:val="32"/>
          <w:highlight w:val="none"/>
        </w:rPr>
        <w:t xml:space="preserve">二、磋商采购文件</w:t>
      </w:r>
      <w:r/>
    </w:p>
    <w:p>
      <w:pPr>
        <w:ind w:firstLine="525"/>
        <w:jc w:val="left"/>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苏州市原鑫招投标咨询服务有限公司受</w:t>
      </w:r>
      <w:r>
        <w:rPr>
          <w:rFonts w:hint="eastAsia" w:ascii="宋体" w:hAnsi="宋体" w:cs="宋体"/>
          <w:color w:val="auto"/>
          <w:szCs w:val="21"/>
          <w:highlight w:val="none"/>
          <w:lang w:eastAsia="zh-CN"/>
        </w:rPr>
        <w:t xml:space="preserve">苏州市吴中生态环境局</w:t>
      </w:r>
      <w:r>
        <w:rPr>
          <w:rFonts w:hint="eastAsia" w:ascii="宋体" w:hAnsi="宋体" w:cs="宋体"/>
          <w:color w:val="auto"/>
          <w:szCs w:val="21"/>
          <w:highlight w:val="none"/>
        </w:rPr>
        <w:t xml:space="preserve">的委托，就其所需要采购的</w:t>
      </w:r>
      <w:r>
        <w:rPr>
          <w:rFonts w:hint="eastAsia" w:ascii="宋体" w:hAnsi="宋体"/>
          <w:color w:val="auto"/>
          <w:szCs w:val="21"/>
          <w:highlight w:val="none"/>
          <w:lang w:eastAsia="zh-CN"/>
        </w:rPr>
        <w:t xml:space="preserve">涉磷企业整治提升等技术服务项目</w:t>
      </w:r>
      <w:r>
        <w:rPr>
          <w:rFonts w:hint="eastAsia" w:ascii="宋体" w:hAnsi="宋体" w:eastAsia="宋体" w:cs="宋体"/>
          <w:color w:val="auto"/>
          <w:sz w:val="21"/>
          <w:szCs w:val="21"/>
          <w:highlight w:val="none"/>
        </w:rPr>
        <w:t xml:space="preserve">在国内组织竞争性磋商采购。欢迎符合采购文件资格条件的供应商前来参加磋商。</w:t>
      </w:r>
      <w:r/>
    </w:p>
    <w:p>
      <w:pPr>
        <w:numPr>
          <w:ilvl w:val="0"/>
          <w:numId w:val="17"/>
        </w:numPr>
        <w:ind w:left="567" w:hanging="567"/>
        <w:keepLines w:val="0"/>
        <w:keepNext w:val="0"/>
        <w:pageBreakBefore w:val="0"/>
        <w:spacing w:line="400" w:lineRule="exact"/>
        <w:widowControl w:val="off"/>
        <w:tabs>
          <w:tab w:val="clear" w:pos="420" w:leader="none"/>
          <w:tab w:val="left" w:pos="567"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采购编号：</w:t>
      </w:r>
      <w:r>
        <w:rPr>
          <w:rFonts w:hint="eastAsia" w:ascii="宋体" w:hAnsi="宋体" w:cs="宋体"/>
          <w:bCs/>
          <w:color w:val="auto"/>
          <w:sz w:val="21"/>
          <w:szCs w:val="21"/>
          <w:highlight w:val="none"/>
          <w:lang w:eastAsia="zh-CN"/>
        </w:rPr>
        <w:t xml:space="preserve">JSZC-320506-SZYX-C2026-0016</w:t>
      </w:r>
      <w:r/>
    </w:p>
    <w:p>
      <w:pPr>
        <w:numPr>
          <w:ilvl w:val="0"/>
          <w:numId w:val="17"/>
        </w:numPr>
        <w:ind w:left="567" w:hanging="567"/>
        <w:keepLines w:val="0"/>
        <w:keepNext w:val="0"/>
        <w:pageBreakBefore w:val="0"/>
        <w:spacing w:line="400" w:lineRule="exact"/>
        <w:widowControl w:val="off"/>
        <w:tabs>
          <w:tab w:val="clear" w:pos="420" w:leader="none"/>
          <w:tab w:val="left" w:pos="567" w:leader="none"/>
        </w:tabs>
        <w:rPr>
          <w:rFonts w:hint="eastAsia" w:ascii="宋体" w:hAnsi="宋体" w:eastAsia="宋体" w:cs="宋体"/>
          <w:bCs/>
          <w:color w:val="auto"/>
          <w:sz w:val="21"/>
          <w:szCs w:val="21"/>
          <w:highlight w:val="none"/>
        </w:rPr>
      </w:pPr>
      <w:r>
        <w:rPr>
          <w:rFonts w:hint="eastAsia" w:ascii="宋体" w:hAnsi="宋体" w:cs="宋体"/>
          <w:color w:val="auto"/>
          <w:sz w:val="21"/>
          <w:szCs w:val="21"/>
          <w:highlight w:val="none"/>
          <w:lang w:eastAsia="zh-CN"/>
        </w:rPr>
        <w:t xml:space="preserve">采购内容</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涉磷企业整治提升等技术服务项目</w:t>
      </w:r>
      <w:r/>
    </w:p>
    <w:p>
      <w:pPr>
        <w:numPr>
          <w:ilvl w:val="0"/>
          <w:numId w:val="17"/>
        </w:numPr>
        <w:ind w:left="567" w:hanging="567"/>
        <w:keepLines w:val="0"/>
        <w:keepNext w:val="0"/>
        <w:pageBreakBefore w:val="0"/>
        <w:spacing w:line="400" w:lineRule="exact"/>
        <w:widowControl w:val="off"/>
        <w:tabs>
          <w:tab w:val="clear" w:pos="420" w:leader="none"/>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采购需求：</w:t>
      </w:r>
      <w:r>
        <w:rPr>
          <w:rFonts w:hint="eastAsia" w:ascii="宋体" w:hAnsi="宋体" w:cs="宋体"/>
          <w:color w:val="auto"/>
          <w:sz w:val="21"/>
          <w:szCs w:val="21"/>
          <w:highlight w:val="none"/>
          <w:lang w:eastAsia="zh-CN"/>
        </w:rPr>
      </w:r>
      <w:r/>
    </w:p>
    <w:p>
      <w:pPr>
        <w:numPr>
          <w:ilvl w:val="0"/>
          <w:numId w:val="18"/>
        </w:numPr>
        <w:ind w:left="420" w:hanging="420"/>
        <w:jc w:val="both"/>
        <w:keepLines w:val="0"/>
        <w:keepNext w:val="0"/>
        <w:pageBreakBefore w:val="0"/>
        <w:spacing w:line="400" w:lineRule="exact"/>
        <w:widowControl w:val="off"/>
        <w:tabs>
          <w:tab w:val="left" w:pos="567" w:leader="none"/>
        </w:tabs>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val="0"/>
          <w:color w:val="auto"/>
          <w:sz w:val="21"/>
          <w:szCs w:val="21"/>
          <w:highlight w:val="none"/>
        </w:rPr>
        <w:t xml:space="preserve">项目概况</w:t>
      </w:r>
      <w:r/>
    </w:p>
    <w:p>
      <w:pPr>
        <w:numPr>
          <w:ilvl w:val="0"/>
          <w:numId w:val="0"/>
        </w:numPr>
        <w:ind w:left="0" w:firstLine="567"/>
        <w:keepLines w:val="0"/>
        <w:keepNext w:val="0"/>
        <w:pageBreakBefore w:val="0"/>
        <w:spacing w:line="400" w:lineRule="exact"/>
        <w:widowControl w:val="off"/>
        <w:tabs>
          <w:tab w:val="left" w:pos="567" w:leader="none"/>
        </w:tabs>
        <w:rPr>
          <w:rFonts w:hint="eastAsia" w:ascii="宋体" w:hAnsi="宋体" w:eastAsia="宋体" w:cs="宋体"/>
          <w:color w:val="auto"/>
          <w:sz w:val="21"/>
          <w:szCs w:val="21"/>
          <w:highlight w:val="none"/>
        </w:rPr>
        <w:outlineLvl w:val="9"/>
      </w:pPr>
      <w:r>
        <w:rPr>
          <w:rFonts w:hint="eastAsia" w:ascii="宋体" w:hAnsi="宋体" w:cs="宋体"/>
          <w:color w:val="auto"/>
          <w:szCs w:val="21"/>
          <w:highlight w:val="none"/>
          <w:lang w:val="en-US" w:eastAsia="zh-CN"/>
        </w:rPr>
        <w:t xml:space="preserve">2026 年是 “十五五” 发展开局之年，也是太湖综合治理迈向世界级生态湖区建设的关键阶段，为深入贯彻习近平总书记对太湖治理重要讲话精神，落实《推进新一轮太湖综合治理行动方案》《太湖流域涉磷企业专项整治方案（试行）》（苏太办〔2023〕30号）等文件要求，持续提升辖区涉磷企业规范化治理水平，切实削减涉磷企业总磷污染排放，规范企业环境管理，压实企业主体责任和监管责任。</w:t>
      </w:r>
      <w:r>
        <w:rPr>
          <w:rFonts w:hint="eastAsia" w:ascii="宋体" w:hAnsi="宋体" w:cs="宋体"/>
          <w:color w:val="auto"/>
          <w:szCs w:val="21"/>
          <w:highlight w:val="none"/>
        </w:rPr>
        <w:t xml:space="preserve">苏州市</w:t>
      </w:r>
      <w:r>
        <w:rPr>
          <w:rFonts w:hint="eastAsia" w:ascii="宋体" w:hAnsi="宋体" w:cs="宋体"/>
          <w:color w:val="auto"/>
          <w:szCs w:val="21"/>
          <w:highlight w:val="none"/>
          <w:lang w:val="en-US" w:eastAsia="zh-CN"/>
        </w:rPr>
        <w:t xml:space="preserve">吴中</w:t>
      </w:r>
      <w:r>
        <w:rPr>
          <w:rFonts w:hint="eastAsia" w:ascii="宋体" w:hAnsi="宋体" w:cs="宋体"/>
          <w:color w:val="auto"/>
          <w:szCs w:val="21"/>
          <w:highlight w:val="none"/>
        </w:rPr>
        <w:t xml:space="preserve">生态环境局拟委托第三方</w:t>
      </w:r>
      <w:r>
        <w:rPr>
          <w:rFonts w:hint="eastAsia" w:ascii="宋体" w:hAnsi="宋体" w:cs="宋体"/>
          <w:color w:val="auto"/>
          <w:szCs w:val="21"/>
          <w:highlight w:val="none"/>
          <w:lang w:val="en-US" w:eastAsia="zh-CN"/>
        </w:rPr>
        <w:t xml:space="preserve">专业机构</w:t>
      </w:r>
      <w:r>
        <w:rPr>
          <w:rFonts w:hint="eastAsia" w:ascii="宋体" w:hAnsi="宋体" w:cs="宋体"/>
          <w:color w:val="auto"/>
          <w:szCs w:val="21"/>
          <w:highlight w:val="none"/>
        </w:rPr>
        <w:t xml:space="preserve">完成吴中区涉磷企业整治提升等工作，</w:t>
      </w:r>
      <w:r>
        <w:rPr>
          <w:rFonts w:hint="eastAsia" w:ascii="宋体" w:hAnsi="宋体" w:cs="宋体"/>
          <w:color w:val="auto"/>
          <w:szCs w:val="21"/>
          <w:highlight w:val="none"/>
        </w:rPr>
        <w:t xml:space="preserve">主要包含涉磷企业信息维护、涉磷企业清单动态化管理、重点断面技术支撑、重点企业工艺全流程诊断指导工作、重点企业帮扶指导、磷账本动态管理等，并安排专业技术人员协助完成涉磷企业管理相关工作。</w:t>
      </w:r>
      <w:r>
        <w:rPr>
          <w:rFonts w:hint="eastAsia" w:ascii="宋体" w:hAnsi="宋体" w:eastAsia="宋体" w:cs="宋体"/>
          <w:color w:val="auto"/>
          <w:sz w:val="21"/>
          <w:szCs w:val="21"/>
          <w:highlight w:val="none"/>
          <w:lang w:val="en-US" w:eastAsia="zh-CN"/>
        </w:rPr>
      </w:r>
      <w:r/>
    </w:p>
    <w:p>
      <w:pPr>
        <w:numPr>
          <w:ilvl w:val="0"/>
          <w:numId w:val="18"/>
        </w:numPr>
        <w:ind w:left="420" w:hanging="420"/>
        <w:jc w:val="both"/>
        <w:keepLines w:val="0"/>
        <w:keepNext w:val="0"/>
        <w:pageBreakBefore w:val="0"/>
        <w:spacing w:line="400" w:lineRule="exact"/>
        <w:widowControl w:val="off"/>
        <w:tabs>
          <w:tab w:val="left" w:pos="567" w:leader="none"/>
        </w:tabs>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1"/>
          <w:szCs w:val="21"/>
          <w:highlight w:val="none"/>
        </w:rPr>
        <w:t xml:space="preserve">主要服务内容及要求</w:t>
      </w:r>
      <w:r/>
    </w:p>
    <w:p>
      <w:pPr>
        <w:numPr>
          <w:ilvl w:val="0"/>
          <w:numId w:val="19"/>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全面摸排</w:t>
      </w:r>
      <w:r>
        <w:rPr>
          <w:rFonts w:hint="eastAsia" w:ascii="宋体" w:hAnsi="宋体" w:eastAsia="宋体" w:cs="宋体"/>
          <w:color w:val="auto"/>
          <w:sz w:val="21"/>
          <w:szCs w:val="21"/>
          <w:highlight w:val="none"/>
          <w:lang w:val="en-US" w:eastAsia="zh-CN"/>
        </w:rPr>
        <w:t xml:space="preserve">动态更新清单</w:t>
      </w:r>
      <w:r/>
    </w:p>
    <w:p>
      <w:pPr>
        <w:numPr>
          <w:ilvl w:val="0"/>
          <w:numId w:val="20"/>
        </w:numPr>
        <w:ind w:left="567" w:hanging="567"/>
        <w:keepLines w:val="0"/>
        <w:keepNext w:val="0"/>
        <w:pageBreakBefore w:val="0"/>
        <w:spacing w:line="400" w:lineRule="exac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涉磷企业信息维护：根据现有数据对全区涉磷企业信息进行梳理，更新企业基本信息、生产状况、污染防治设施运行情况、环评及排污许可执行情况等，对涉磷企业污染防治提供服务保障</w:t>
      </w:r>
      <w:r/>
    </w:p>
    <w:p>
      <w:pPr>
        <w:numPr>
          <w:ilvl w:val="0"/>
          <w:numId w:val="20"/>
        </w:numPr>
        <w:ind w:left="567" w:hanging="567"/>
        <w:keepLines w:val="0"/>
        <w:keepNext w:val="0"/>
        <w:pageBreakBefore w:val="0"/>
        <w:spacing w:line="400" w:lineRule="exact"/>
        <w:widowControl w:val="off"/>
        <w:rPr>
          <w:rFonts w:hint="eastAsia" w:ascii="宋体" w:hAnsi="宋体" w:cs="宋体"/>
          <w:color w:val="auto"/>
          <w:szCs w:val="21"/>
          <w:highlight w:val="none"/>
        </w:rPr>
      </w:pPr>
      <w:r>
        <w:rPr>
          <w:rFonts w:hint="eastAsia" w:hAnsi="宋体"/>
          <w:color w:val="auto"/>
          <w:szCs w:val="21"/>
          <w:highlight w:val="none"/>
        </w:rPr>
        <w:t xml:space="preserve">涉磷企业清单动态化管理</w:t>
      </w:r>
      <w:r>
        <w:rPr>
          <w:rFonts w:hint="eastAsia" w:hAnsi="宋体"/>
          <w:color w:val="auto"/>
          <w:szCs w:val="21"/>
          <w:highlight w:val="none"/>
          <w:lang w:eastAsia="zh-CN"/>
        </w:rPr>
        <w:t xml:space="preserve">：</w:t>
      </w:r>
      <w:r>
        <w:rPr>
          <w:rFonts w:hint="eastAsia" w:ascii="宋体" w:hAnsi="宋体" w:cs="宋体"/>
          <w:color w:val="auto"/>
          <w:szCs w:val="21"/>
          <w:highlight w:val="none"/>
        </w:rPr>
        <w:t xml:space="preserve">依据最新的数据与技术规范，对每家企业的环境风险等级进行动态复核与调整，关注企业风险变化，更新《吴中区涉磷企业环境管理动态清单》。</w:t>
      </w:r>
      <w:r/>
    </w:p>
    <w:p>
      <w:pPr>
        <w:numPr>
          <w:ilvl w:val="0"/>
          <w:numId w:val="19"/>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针对汛期进行重点攻坚</w:t>
      </w:r>
      <w:r/>
    </w:p>
    <w:p>
      <w:pPr>
        <w:numPr>
          <w:ilvl w:val="0"/>
          <w:numId w:val="21"/>
        </w:numPr>
        <w:ind w:left="567" w:hanging="567"/>
        <w:keepLines w:val="0"/>
        <w:keepNext w:val="0"/>
        <w:pageBreakBefore w:val="0"/>
        <w:spacing w:line="40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重点断面技术支撑：在汛期重点关注太湖沿岸、主要</w:t>
      </w:r>
      <w:r>
        <w:rPr>
          <w:rFonts w:hint="eastAsia" w:ascii="宋体" w:hAnsi="宋体" w:cs="宋体"/>
          <w:strike w:val="0"/>
          <w:color w:val="auto"/>
          <w:szCs w:val="21"/>
          <w:highlight w:val="none"/>
          <w:lang w:val="en-US" w:eastAsia="zh-CN"/>
        </w:rPr>
        <w:t xml:space="preserve">通</w:t>
      </w:r>
      <w:r>
        <w:rPr>
          <w:rFonts w:hint="eastAsia" w:ascii="宋体" w:hAnsi="宋体" w:eastAsia="宋体" w:cs="宋体"/>
          <w:color w:val="auto"/>
          <w:szCs w:val="21"/>
          <w:highlight w:val="none"/>
          <w:lang w:val="en-US" w:eastAsia="zh-CN"/>
        </w:rPr>
        <w:t xml:space="preserve">湖河道、</w:t>
      </w:r>
      <w:r>
        <w:rPr>
          <w:rFonts w:hint="eastAsia" w:ascii="宋体" w:hAnsi="宋体" w:cs="宋体"/>
          <w:color w:val="auto"/>
          <w:szCs w:val="21"/>
          <w:highlight w:val="none"/>
          <w:lang w:val="en-US" w:eastAsia="zh-CN"/>
        </w:rPr>
        <w:t xml:space="preserve">国</w:t>
      </w:r>
      <w:r>
        <w:rPr>
          <w:rFonts w:hint="eastAsia" w:ascii="宋体" w:hAnsi="宋体" w:eastAsia="宋体" w:cs="宋体"/>
          <w:color w:val="auto"/>
          <w:szCs w:val="21"/>
          <w:highlight w:val="none"/>
          <w:lang w:val="en-US" w:eastAsia="zh-CN"/>
        </w:rPr>
        <w:t xml:space="preserve">省考断面周边等环境敏感区域的涉磷企业，快速响应水质异常，</w:t>
      </w:r>
      <w:r>
        <w:rPr>
          <w:rFonts w:hint="eastAsia" w:ascii="宋体" w:hAnsi="宋体" w:cs="宋体"/>
          <w:strike w:val="0"/>
          <w:color w:val="auto"/>
          <w:szCs w:val="21"/>
          <w:highlight w:val="none"/>
          <w:lang w:val="en-US" w:eastAsia="zh-CN"/>
        </w:rPr>
        <w:t xml:space="preserve">分析</w:t>
      </w:r>
      <w:r>
        <w:rPr>
          <w:rFonts w:hint="eastAsia" w:ascii="宋体" w:hAnsi="宋体" w:eastAsia="宋体" w:cs="宋体"/>
          <w:color w:val="auto"/>
          <w:szCs w:val="21"/>
          <w:highlight w:val="none"/>
          <w:lang w:val="en-US" w:eastAsia="zh-CN"/>
        </w:rPr>
        <w:t xml:space="preserve">企业雨污分流、初期雨水收集处理、应急防控措施是否到位。</w:t>
      </w:r>
      <w:r/>
    </w:p>
    <w:p>
      <w:pPr>
        <w:numPr>
          <w:ilvl w:val="0"/>
          <w:numId w:val="21"/>
        </w:numPr>
        <w:ind w:left="567" w:hanging="567"/>
        <w:keepLines w:val="0"/>
        <w:keepNext w:val="0"/>
        <w:pageBreakBefore w:val="0"/>
        <w:spacing w:line="40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重点企业工艺全流程诊断指导工作：对重点企业开展涉磷工艺分析指导，通过物料衡算-工艺评估-设施评估等方方面进行全面分析，为企业提出提升改造建议。</w:t>
      </w:r>
      <w:r/>
    </w:p>
    <w:p>
      <w:pPr>
        <w:numPr>
          <w:ilvl w:val="0"/>
          <w:numId w:val="21"/>
        </w:numPr>
        <w:ind w:left="567" w:hanging="567"/>
        <w:keepLines w:val="0"/>
        <w:keepNext w:val="0"/>
        <w:pageBreakBefore w:val="0"/>
        <w:spacing w:line="400" w:lineRule="exac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重点企业帮扶指导：根据企业需要，组织专家团队实地考察研究，结合企业实际情况定制“源头减量、过程管控、末端治理”的系统化整改方案。</w:t>
      </w:r>
      <w:r/>
    </w:p>
    <w:p>
      <w:pPr>
        <w:numPr>
          <w:ilvl w:val="0"/>
          <w:numId w:val="21"/>
        </w:numPr>
        <w:ind w:left="567" w:hanging="567"/>
        <w:keepLines w:val="0"/>
        <w:keepNext w:val="0"/>
        <w:pageBreakBefore w:val="0"/>
        <w:spacing w:line="400" w:lineRule="exact"/>
        <w:widowControl w:val="off"/>
        <w:rPr>
          <w:rFonts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磷账本动态管理：建立并完善环境管理台账，对企业每月磷原料消耗、产品含磷量、废物（废水、固废）含磷量及去向进行核算，完善磷账本。指导重点</w:t>
      </w:r>
      <w:r>
        <w:rPr>
          <w:rFonts w:hint="eastAsia" w:ascii="宋体" w:hAnsi="宋体" w:cs="宋体"/>
          <w:color w:val="auto"/>
          <w:szCs w:val="21"/>
          <w:highlight w:val="none"/>
        </w:rPr>
        <w:t xml:space="preserve">企业绘制水平衡图，厘清用水与排放之间的关系。</w:t>
      </w:r>
      <w:r/>
    </w:p>
    <w:p>
      <w:pPr>
        <w:numPr>
          <w:ilvl w:val="0"/>
          <w:numId w:val="18"/>
        </w:numPr>
        <w:ind w:left="420" w:hanging="420"/>
        <w:jc w:val="both"/>
        <w:keepLines w:val="0"/>
        <w:keepNext w:val="0"/>
        <w:pageBreakBefore w:val="0"/>
        <w:spacing w:line="400" w:lineRule="exact"/>
        <w:widowControl w:val="off"/>
        <w:tabs>
          <w:tab w:val="left" w:pos="567" w:leader="none"/>
        </w:tabs>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1"/>
          <w:szCs w:val="21"/>
          <w:highlight w:val="none"/>
        </w:rPr>
        <w:t xml:space="preserve">项目成果要求</w:t>
      </w:r>
      <w:r/>
    </w:p>
    <w:p>
      <w:pPr>
        <w:numPr>
          <w:ilvl w:val="0"/>
          <w:numId w:val="22"/>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协助完成</w:t>
      </w:r>
      <w:r>
        <w:rPr>
          <w:rFonts w:hint="eastAsia" w:ascii="宋体" w:hAnsi="宋体" w:eastAsia="宋体" w:cs="宋体"/>
          <w:color w:val="auto"/>
          <w:sz w:val="21"/>
          <w:szCs w:val="21"/>
          <w:highlight w:val="none"/>
        </w:rPr>
        <w:t xml:space="preserve">涉磷企业整治提升</w:t>
      </w:r>
      <w:r>
        <w:rPr>
          <w:rFonts w:hint="eastAsia" w:ascii="宋体" w:hAnsi="宋体" w:eastAsia="宋体" w:cs="宋体"/>
          <w:color w:val="auto"/>
          <w:sz w:val="21"/>
          <w:szCs w:val="21"/>
          <w:highlight w:val="none"/>
          <w:lang w:val="en-US" w:eastAsia="zh-CN"/>
        </w:rPr>
        <w:t xml:space="preserve">工作，汇集全年</w:t>
      </w:r>
      <w:r>
        <w:rPr>
          <w:rFonts w:hint="eastAsia" w:ascii="宋体" w:hAnsi="宋体" w:cs="宋体"/>
          <w:color w:val="auto"/>
          <w:sz w:val="21"/>
          <w:szCs w:val="21"/>
          <w:highlight w:val="none"/>
          <w:lang w:val="en-US" w:eastAsia="zh-CN"/>
        </w:rPr>
        <w:t xml:space="preserve">数据梳理</w:t>
      </w:r>
      <w:r>
        <w:rPr>
          <w:rFonts w:hint="eastAsia" w:ascii="宋体" w:hAnsi="宋体" w:eastAsia="宋体" w:cs="宋体"/>
          <w:color w:val="auto"/>
          <w:sz w:val="21"/>
          <w:szCs w:val="21"/>
          <w:highlight w:val="none"/>
          <w:lang w:val="en-US" w:eastAsia="zh-CN"/>
        </w:rPr>
        <w:t xml:space="preserve">情况，进行综合统计分析，评估整治成效与存在问题。最终形成《吴中区2026年度涉磷企业整治工作报告》</w:t>
      </w:r>
      <w:r>
        <w:rPr>
          <w:rFonts w:hint="eastAsia" w:ascii="宋体" w:hAnsi="宋体" w:eastAsia="宋体" w:cs="宋体"/>
          <w:color w:val="auto"/>
          <w:sz w:val="21"/>
          <w:szCs w:val="21"/>
          <w:highlight w:val="none"/>
        </w:rPr>
        <w:t xml:space="preserve">。</w:t>
      </w:r>
      <w:r/>
    </w:p>
    <w:p>
      <w:pPr>
        <w:numPr>
          <w:ilvl w:val="0"/>
          <w:numId w:val="18"/>
        </w:numPr>
        <w:ind w:left="420" w:hanging="420"/>
        <w:jc w:val="both"/>
        <w:keepLines w:val="0"/>
        <w:keepNext w:val="0"/>
        <w:pageBreakBefore w:val="0"/>
        <w:spacing w:line="400" w:lineRule="exact"/>
        <w:widowControl w:val="off"/>
        <w:tabs>
          <w:tab w:val="left" w:pos="567" w:leader="none"/>
        </w:tabs>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1"/>
          <w:szCs w:val="21"/>
          <w:highlight w:val="none"/>
        </w:rPr>
        <w:t xml:space="preserve">项目团队要求</w:t>
      </w:r>
      <w:r/>
    </w:p>
    <w:p>
      <w:pPr>
        <w:numPr>
          <w:ilvl w:val="0"/>
          <w:numId w:val="23"/>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项目负责人、技术负责人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质控负责人、培训负责人</w:t>
      </w:r>
      <w:r>
        <w:rPr>
          <w:rFonts w:hint="eastAsia" w:ascii="宋体" w:hAnsi="宋体" w:eastAsia="宋体" w:cs="宋体"/>
          <w:color w:val="auto"/>
          <w:sz w:val="21"/>
          <w:szCs w:val="21"/>
          <w:highlight w:val="none"/>
        </w:rPr>
        <w:t xml:space="preserve">各1人，项目组成员</w:t>
      </w:r>
      <w:r>
        <w:rPr>
          <w:rFonts w:hint="eastAsia" w:ascii="宋体" w:hAnsi="宋体" w:eastAsia="宋体" w:cs="宋体"/>
          <w:color w:val="auto"/>
          <w:sz w:val="21"/>
          <w:szCs w:val="21"/>
          <w:highlight w:val="none"/>
          <w:lang w:val="en-US" w:eastAsia="zh-CN"/>
        </w:rPr>
        <w:t xml:space="preserve">骨干</w:t>
      </w:r>
      <w:r>
        <w:rPr>
          <w:rFonts w:hint="eastAsia" w:ascii="宋体" w:hAnsi="宋体" w:eastAsia="宋体" w:cs="宋体"/>
          <w:color w:val="auto"/>
          <w:sz w:val="21"/>
          <w:szCs w:val="21"/>
          <w:highlight w:val="none"/>
        </w:rPr>
        <w:t xml:space="preserve">不低于</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人（不含负责人）。</w:t>
      </w:r>
      <w:r/>
    </w:p>
    <w:p>
      <w:pPr>
        <w:numPr>
          <w:ilvl w:val="0"/>
          <w:numId w:val="23"/>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单位在项目实施过程中，未经采购人批准，不得随意更换项目组成员。如果采购人认为技术服务人员不具备本次服务工作所需的技术能力，有权随时要求成交单位对该成员进行更换。项目实施人员在服务期间内出现的工伤及其他意外事故，均由成交单位自行负责，采购单位不承担任何责任。</w:t>
      </w:r>
      <w:r/>
    </w:p>
    <w:p>
      <w:pPr>
        <w:numPr>
          <w:ilvl w:val="0"/>
          <w:numId w:val="23"/>
        </w:numPr>
        <w:ind w:left="567" w:hanging="567"/>
        <w:keepLines w:val="0"/>
        <w:keepNext w:val="0"/>
        <w:pageBreakBefore w:val="0"/>
        <w:spacing w:line="4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val="en-US" w:eastAsia="zh-CN"/>
        </w:rPr>
        <w:t xml:space="preserve">技术服务人员不得单独入企进行检查、指导等工作。</w:t>
      </w:r>
      <w:r/>
    </w:p>
    <w:p>
      <w:pPr>
        <w:numPr>
          <w:ilvl w:val="0"/>
          <w:numId w:val="18"/>
        </w:numPr>
        <w:ind w:left="420" w:hanging="420"/>
        <w:jc w:val="both"/>
        <w:keepLines w:val="0"/>
        <w:keepNext w:val="0"/>
        <w:pageBreakBefore w:val="0"/>
        <w:spacing w:line="400" w:lineRule="exact"/>
        <w:widowControl w:val="off"/>
        <w:tabs>
          <w:tab w:val="left" w:pos="567" w:leader="none"/>
        </w:tabs>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outlineLvl w:val="9"/>
      </w:pPr>
      <w:r/>
      <w:bookmarkStart w:id="16" w:name="_Toc5381"/>
      <w:r>
        <w:rPr>
          <w:rFonts w:hint="eastAsia" w:ascii="宋体" w:hAnsi="宋体" w:eastAsia="宋体" w:cs="宋体"/>
          <w:b/>
          <w:bCs/>
          <w:color w:val="auto"/>
          <w:sz w:val="21"/>
          <w:szCs w:val="21"/>
          <w:highlight w:val="none"/>
        </w:rPr>
        <w:t xml:space="preserve">合同履行</w:t>
      </w:r>
      <w:r>
        <w:rPr>
          <w:rFonts w:hint="eastAsia" w:ascii="宋体" w:hAnsi="宋体" w:eastAsia="宋体" w:cs="宋体"/>
          <w:b/>
          <w:bCs/>
          <w:color w:val="auto"/>
          <w:sz w:val="21"/>
          <w:szCs w:val="21"/>
          <w:highlight w:val="none"/>
          <w:lang w:val="en-US" w:eastAsia="zh-CN"/>
        </w:rPr>
        <w:t xml:space="preserve">期限、地点</w:t>
      </w:r>
      <w:r/>
    </w:p>
    <w:p>
      <w:pPr>
        <w:numPr>
          <w:ilvl w:val="0"/>
          <w:numId w:val="24"/>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自合同签订之日起至202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年底前</w:t>
      </w:r>
      <w:r>
        <w:rPr>
          <w:rFonts w:hint="eastAsia" w:ascii="宋体" w:hAnsi="宋体" w:eastAsia="宋体" w:cs="宋体"/>
          <w:color w:val="auto"/>
          <w:sz w:val="21"/>
          <w:szCs w:val="21"/>
          <w:highlight w:val="none"/>
        </w:rPr>
        <w:t xml:space="preserve">完成</w:t>
      </w:r>
      <w:r>
        <w:rPr>
          <w:rFonts w:hint="eastAsia" w:ascii="宋体" w:hAnsi="宋体" w:eastAsia="宋体" w:cs="宋体"/>
          <w:color w:val="auto"/>
          <w:sz w:val="21"/>
          <w:szCs w:val="21"/>
          <w:highlight w:val="none"/>
          <w:lang w:eastAsia="zh-CN"/>
        </w:rPr>
        <w:t xml:space="preserve">吴中区涉磷企业整治提升等技术服务</w:t>
      </w:r>
      <w:r>
        <w:rPr>
          <w:rFonts w:hint="eastAsia" w:ascii="宋体" w:hAnsi="宋体" w:eastAsia="宋体" w:cs="宋体"/>
          <w:color w:val="auto"/>
          <w:sz w:val="21"/>
          <w:szCs w:val="21"/>
          <w:highlight w:val="none"/>
        </w:rPr>
        <w:t xml:space="preserve">。</w:t>
      </w:r>
      <w:r/>
    </w:p>
    <w:p>
      <w:pPr>
        <w:numPr>
          <w:ilvl w:val="0"/>
          <w:numId w:val="24"/>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服务地点：采购</w:t>
      </w:r>
      <w:r>
        <w:rPr>
          <w:rFonts w:hint="eastAsia" w:ascii="宋体" w:hAnsi="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指定地点。</w:t>
      </w:r>
      <w:r/>
    </w:p>
    <w:p>
      <w:pPr>
        <w:numPr>
          <w:ilvl w:val="0"/>
          <w:numId w:val="18"/>
        </w:numPr>
        <w:ind w:left="420" w:hanging="420"/>
        <w:jc w:val="both"/>
        <w:keepLines w:val="0"/>
        <w:keepNext w:val="0"/>
        <w:pageBreakBefore w:val="0"/>
        <w:spacing w:line="400" w:lineRule="exact"/>
        <w:widowControl w:val="off"/>
        <w:tabs>
          <w:tab w:val="left" w:pos="567" w:leader="none"/>
        </w:tabs>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1"/>
          <w:szCs w:val="21"/>
          <w:highlight w:val="none"/>
        </w:rPr>
        <w:t xml:space="preserve">验收</w:t>
      </w:r>
      <w:r>
        <w:rPr>
          <w:rFonts w:hint="eastAsia" w:ascii="宋体" w:hAnsi="宋体" w:cs="宋体"/>
          <w:b/>
          <w:bCs/>
          <w:color w:val="auto"/>
          <w:sz w:val="21"/>
          <w:szCs w:val="21"/>
          <w:highlight w:val="none"/>
          <w:lang w:val="en-US" w:eastAsia="zh-CN"/>
        </w:rPr>
        <w:t xml:space="preserve">要求</w:t>
      </w:r>
      <w:r/>
    </w:p>
    <w:p>
      <w:pPr>
        <w:numPr>
          <w:ilvl w:val="0"/>
          <w:numId w:val="25"/>
        </w:numPr>
        <w:ind w:left="567" w:hanging="567"/>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验收标准：根据采购文件、成交单位的响应文件、双方签订的合同文件及其附件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国家</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行业</w:t>
      </w:r>
      <w:r>
        <w:rPr>
          <w:rFonts w:hint="eastAsia" w:ascii="宋体" w:hAnsi="宋体" w:eastAsia="宋体" w:cs="宋体"/>
          <w:color w:val="auto"/>
          <w:sz w:val="21"/>
          <w:szCs w:val="21"/>
          <w:highlight w:val="none"/>
        </w:rPr>
        <w:t xml:space="preserve">的相关规定</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最终</w:t>
      </w:r>
      <w:r>
        <w:rPr>
          <w:rFonts w:hint="eastAsia" w:ascii="宋体" w:hAnsi="宋体" w:eastAsia="宋体" w:cs="宋体"/>
          <w:color w:val="auto"/>
          <w:sz w:val="21"/>
          <w:szCs w:val="21"/>
          <w:highlight w:val="none"/>
        </w:rPr>
        <w:t xml:space="preserve">由采购</w:t>
      </w:r>
      <w:r>
        <w:rPr>
          <w:rFonts w:hint="eastAsia" w:ascii="宋体" w:hAnsi="宋体" w:cs="宋体"/>
          <w:color w:val="auto"/>
          <w:sz w:val="21"/>
          <w:szCs w:val="21"/>
          <w:highlight w:val="none"/>
          <w:lang w:eastAsia="zh-CN"/>
        </w:rPr>
        <w:t xml:space="preserve">人</w:t>
      </w:r>
      <w:r>
        <w:rPr>
          <w:rFonts w:hint="eastAsia" w:ascii="宋体" w:hAnsi="宋体" w:eastAsia="宋体" w:cs="宋体"/>
          <w:color w:val="auto"/>
          <w:sz w:val="21"/>
          <w:szCs w:val="21"/>
          <w:highlight w:val="none"/>
        </w:rPr>
        <w:t xml:space="preserve">及相关部门进行验收通过。</w:t>
      </w:r>
      <w:bookmarkEnd w:id="16"/>
      <w:r/>
      <w:r/>
    </w:p>
    <w:p>
      <w:pPr>
        <w:numPr>
          <w:ilvl w:val="0"/>
          <w:numId w:val="18"/>
        </w:numPr>
        <w:ind w:left="420" w:hanging="420"/>
        <w:jc w:val="both"/>
        <w:keepLines w:val="0"/>
        <w:keepNext w:val="0"/>
        <w:pageBreakBefore w:val="0"/>
        <w:spacing w:line="400" w:lineRule="exact"/>
        <w:widowControl w:val="off"/>
        <w:tabs>
          <w:tab w:val="left" w:pos="567" w:leader="none"/>
        </w:tabs>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val="0"/>
          <w:color w:val="auto"/>
          <w:sz w:val="21"/>
          <w:szCs w:val="21"/>
          <w:highlight w:val="none"/>
        </w:rPr>
        <w:t xml:space="preserve">安全责任</w:t>
      </w:r>
      <w:r/>
    </w:p>
    <w:p>
      <w:pPr>
        <w:ind w:left="0" w:right="0" w:firstLine="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成交单位应对项目组成员做好安全培训，在项目实施过程中应注意人员和财产安全，如造成相关人员安全和财产损失问题的，一律由成交单位全权承担负责，采购单位不承担任何责任。</w:t>
      </w:r>
      <w:r/>
    </w:p>
    <w:p>
      <w:pPr>
        <w:numPr>
          <w:ilvl w:val="0"/>
          <w:numId w:val="18"/>
        </w:numPr>
        <w:ind w:left="420" w:hanging="420"/>
        <w:jc w:val="both"/>
        <w:keepLines w:val="0"/>
        <w:keepNext w:val="0"/>
        <w:pageBreakBefore w:val="0"/>
        <w:spacing w:line="400" w:lineRule="exact"/>
        <w:widowControl w:val="off"/>
        <w:tabs>
          <w:tab w:val="left" w:pos="567" w:leader="none"/>
        </w:tabs>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val="0"/>
          <w:color w:val="auto"/>
          <w:sz w:val="21"/>
          <w:szCs w:val="21"/>
          <w:highlight w:val="none"/>
        </w:rPr>
        <w:t xml:space="preserve">综合说明其他要求</w:t>
      </w:r>
      <w:r/>
    </w:p>
    <w:p>
      <w:pPr>
        <w:numPr>
          <w:ilvl w:val="0"/>
          <w:numId w:val="26"/>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响应单位必须承诺采购文件中提出的全部要求，如果其中某些条款不响应时，必须在文件中逐条列出。</w:t>
      </w:r>
      <w:r/>
    </w:p>
    <w:p>
      <w:pPr>
        <w:numPr>
          <w:ilvl w:val="0"/>
          <w:numId w:val="26"/>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响应单位成交后提供的服务均为按国家规格条例的合格正规服务，符合规范要求。</w:t>
      </w:r>
      <w:r/>
    </w:p>
    <w:p>
      <w:pPr>
        <w:numPr>
          <w:ilvl w:val="0"/>
          <w:numId w:val="26"/>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响应单位按以上要求制定出具体的工作方案，达到的标准，提供的人力、物力。所提供的服务能够至少达到以上要求，同时明确详细的服务方案。</w:t>
      </w:r>
      <w:r/>
    </w:p>
    <w:p>
      <w:pPr>
        <w:numPr>
          <w:ilvl w:val="0"/>
          <w:numId w:val="26"/>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成交单位管理如不符合或达不到采购人的要求，采购人书面告知成交单位整改；若经整改后仍不能达到采购人要求，采购人有权终止合同，并无需支付因终止合同而产生的相关费用。</w:t>
      </w:r>
      <w:r/>
    </w:p>
    <w:p>
      <w:pPr>
        <w:numPr>
          <w:ilvl w:val="0"/>
          <w:numId w:val="26"/>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响应单位须保障采购方在使用服务或其任何一部分时不受到第三方关于侵犯专利权、商标权或工业设计权的指控。如果任何第三方提出侵权指控，响应单位须与第三方交涉，并承担由此而产生的索赔、损失、损害、支出等一切费用（含律师费）。如采购方因此而遭致损失的，成交方应赔偿该损失。</w:t>
      </w:r>
      <w:r/>
    </w:p>
    <w:p>
      <w:pPr>
        <w:numPr>
          <w:ilvl w:val="0"/>
          <w:numId w:val="26"/>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成交后，采购单位有权不定期对服务质量进行查看，如果发现成交单位存在违反本次采购要求的，采购单位有权终止合同，相关损失由成交单位承担。</w:t>
      </w:r>
      <w:r/>
    </w:p>
    <w:p>
      <w:pPr>
        <w:numPr>
          <w:ilvl w:val="0"/>
          <w:numId w:val="26"/>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报价应包含完成本项目服务工作期间所需的材料、仪器设备、备品备件、验收等各项应有费用。</w:t>
      </w:r>
      <w:r/>
    </w:p>
    <w:p>
      <w:pPr>
        <w:numPr>
          <w:ilvl w:val="0"/>
          <w:numId w:val="26"/>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成交单位在履行合同期间，若所提供的服务不能令采购人满意，如减少或降低双方约定的服务范围，服务人员的素质水平、工作态度等，则采购人有权在费用结算时扣除相应费用。</w:t>
      </w:r>
      <w:r/>
    </w:p>
    <w:p>
      <w:pPr>
        <w:numPr>
          <w:ilvl w:val="0"/>
          <w:numId w:val="26"/>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磋商供应商提供的响应文件内容必须真实、准确、有效，如提供虚假材料或对采购文件所要求说明的情况故意隐瞒或虚报，视为不实质性响应采购要求，其响应文件将被拒绝。已成交的将取消成交资格，并按相关办法处理。</w:t>
      </w:r>
      <w:r/>
    </w:p>
    <w:p>
      <w:pPr>
        <w:numPr>
          <w:ilvl w:val="0"/>
          <w:numId w:val="26"/>
        </w:numPr>
        <w:ind w:left="567" w:right="0" w:hanging="567"/>
        <w:jc w:val="both"/>
        <w:keepLines w:val="0"/>
        <w:keepNext w:val="0"/>
        <w:pageBreakBefore w:val="0"/>
        <w:spacing w:line="400" w:lineRule="exac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1"/>
          <w:szCs w:val="21"/>
          <w:highlight w:val="none"/>
        </w:rPr>
        <w:t xml:space="preserve">采购文件提出的是最低限度的要求，并未对一切细节做出规定，也未充分引述全部有关标准和规范的条文，磋商供应商提供的所有服务都应符合已颁布的现行中华人民共和国认可的（部颁、行业）标准和国际标准化组织以及等效或更优的其他国家的权威性标准和规范的有关条文。如果这些标准内容有矛盾时，应按最高标准的条款执行。</w:t>
      </w:r>
      <w:r/>
    </w:p>
    <w:p>
      <w:pPr>
        <w:numPr>
          <w:ilvl w:val="0"/>
          <w:numId w:val="17"/>
        </w:numPr>
        <w:ind w:left="525" w:hanging="525"/>
        <w:keepLines w:val="0"/>
        <w:keepNext w:val="0"/>
        <w:pageBreakBefore w:val="0"/>
        <w:spacing w:line="400" w:lineRule="exact"/>
        <w:widowControl w:val="off"/>
        <w:tabs>
          <w:tab w:val="clear" w:pos="420" w:leader="none"/>
          <w:tab w:val="left" w:pos="525" w:leader="none"/>
          <w:tab w:val="left" w:pos="567" w:leader="none"/>
        </w:tabs>
        <w:rPr>
          <w:rFonts w:hint="eastAsia" w:ascii="宋体" w:hAnsi="宋体" w:cs="Arial"/>
          <w:color w:val="auto"/>
          <w:szCs w:val="21"/>
          <w:highlight w:val="none"/>
        </w:rPr>
      </w:pPr>
      <w:r>
        <w:rPr>
          <w:rFonts w:hint="eastAsia" w:ascii="宋体" w:hAnsi="宋体"/>
          <w:bCs/>
          <w:color w:val="auto"/>
          <w:szCs w:val="21"/>
          <w:highlight w:val="none"/>
        </w:rPr>
        <w:t xml:space="preserve">磋商</w:t>
      </w:r>
      <w:r>
        <w:rPr>
          <w:rFonts w:hint="eastAsia" w:ascii="宋体" w:hAnsi="宋体" w:cs="Arial"/>
          <w:color w:val="auto"/>
          <w:szCs w:val="21"/>
          <w:highlight w:val="none"/>
        </w:rPr>
        <w:t xml:space="preserve">响应文件的组成及要求：</w:t>
      </w:r>
      <w:r/>
    </w:p>
    <w:p>
      <w:pPr>
        <w:numPr>
          <w:ilvl w:val="0"/>
          <w:numId w:val="27"/>
        </w:numPr>
        <w:keepLines w:val="0"/>
        <w:keepNext w:val="0"/>
        <w:pageBreakBefore w:val="0"/>
        <w:spacing w:line="400" w:lineRule="exact"/>
        <w:widowControl w:val="off"/>
        <w:rPr>
          <w:rFonts w:hint="eastAsia" w:ascii="宋体" w:hAnsi="宋体"/>
          <w:b/>
          <w:bCs/>
          <w:color w:val="auto"/>
          <w:szCs w:val="21"/>
          <w:highlight w:val="none"/>
        </w:rPr>
      </w:pPr>
      <w:r>
        <w:rPr>
          <w:rFonts w:hint="eastAsia" w:ascii="宋体" w:hAnsi="宋体"/>
          <w:b/>
          <w:bCs/>
          <w:color w:val="auto"/>
          <w:szCs w:val="21"/>
          <w:highlight w:val="none"/>
        </w:rPr>
        <w:t xml:space="preserve">文件组成</w:t>
      </w:r>
      <w:r/>
    </w:p>
    <w:p>
      <w:pPr>
        <w:numPr>
          <w:ilvl w:val="0"/>
          <w:numId w:val="28"/>
        </w:numPr>
        <w:keepLines w:val="0"/>
        <w:keepNext w:val="0"/>
        <w:pageBreakBefore w:val="0"/>
        <w:spacing w:line="400" w:lineRule="exact"/>
        <w:widowControl w:val="off"/>
        <w:tabs>
          <w:tab w:val="left" w:pos="540" w:leader="none"/>
        </w:tabs>
        <w:rPr>
          <w:rFonts w:hint="eastAsia" w:ascii="宋体" w:hAnsi="宋体"/>
          <w:b/>
          <w:bCs/>
          <w:color w:val="auto"/>
          <w:szCs w:val="21"/>
          <w:highlight w:val="none"/>
        </w:rPr>
      </w:pPr>
      <w:r>
        <w:rPr>
          <w:rFonts w:hint="eastAsia" w:ascii="宋体" w:hAnsi="宋体"/>
          <w:b/>
          <w:bCs/>
          <w:color w:val="auto"/>
          <w:szCs w:val="21"/>
          <w:highlight w:val="none"/>
        </w:rPr>
        <w:t xml:space="preserve">磋商报价表</w:t>
      </w:r>
      <w:r/>
    </w:p>
    <w:p>
      <w:pPr>
        <w:numPr>
          <w:ilvl w:val="0"/>
          <w:numId w:val="28"/>
        </w:numPr>
        <w:keepLines w:val="0"/>
        <w:keepNext w:val="0"/>
        <w:pageBreakBefore w:val="0"/>
        <w:spacing w:line="400" w:lineRule="exact"/>
        <w:widowControl w:val="off"/>
        <w:tabs>
          <w:tab w:val="left" w:pos="540" w:leader="none"/>
        </w:tabs>
        <w:rPr>
          <w:rFonts w:hint="eastAsia" w:ascii="宋体" w:hAnsi="宋体"/>
          <w:b/>
          <w:bCs/>
          <w:color w:val="auto"/>
          <w:szCs w:val="21"/>
          <w:highlight w:val="none"/>
        </w:rPr>
      </w:pPr>
      <w:r/>
      <w:bookmarkStart w:id="17" w:name="OLE_LINK21"/>
      <w:r>
        <w:rPr>
          <w:rFonts w:hint="eastAsia" w:ascii="宋体" w:hAnsi="宋体"/>
          <w:b/>
          <w:bCs/>
          <w:color w:val="auto"/>
          <w:szCs w:val="21"/>
          <w:highlight w:val="none"/>
        </w:rPr>
        <w:t xml:space="preserve">磋商分项报价明细表</w:t>
      </w:r>
      <w:bookmarkEnd w:id="17"/>
      <w:r/>
      <w:r/>
    </w:p>
    <w:p>
      <w:pPr>
        <w:numPr>
          <w:ilvl w:val="0"/>
          <w:numId w:val="28"/>
        </w:numPr>
        <w:keepLines w:val="0"/>
        <w:keepNext w:val="0"/>
        <w:pageBreakBefore w:val="0"/>
        <w:spacing w:line="400" w:lineRule="exact"/>
        <w:widowControl w:val="off"/>
        <w:tabs>
          <w:tab w:val="left" w:pos="540" w:leader="none"/>
        </w:tabs>
        <w:rPr>
          <w:rFonts w:hint="eastAsia" w:ascii="宋体" w:hAnsi="宋体"/>
          <w:b/>
          <w:bCs/>
          <w:color w:val="auto"/>
          <w:szCs w:val="21"/>
          <w:highlight w:val="none"/>
        </w:rPr>
      </w:pPr>
      <w:r/>
      <w:bookmarkStart w:id="18" w:name="OLE_LINK13"/>
      <w:r>
        <w:rPr>
          <w:rFonts w:hint="eastAsia" w:ascii="宋体" w:hAnsi="宋体"/>
          <w:b/>
          <w:bCs/>
          <w:color w:val="auto"/>
          <w:szCs w:val="21"/>
          <w:highlight w:val="none"/>
        </w:rPr>
        <w:t xml:space="preserve">其他针对本次磋商的详细说明</w:t>
      </w:r>
      <w:bookmarkEnd w:id="18"/>
      <w:r/>
      <w:r/>
    </w:p>
    <w:p>
      <w:pPr>
        <w:numPr>
          <w:ilvl w:val="0"/>
          <w:numId w:val="29"/>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无对应模块上传的响应文件内容可传至此，含“五、附件”中部分表格、内容。</w:t>
      </w:r>
      <w:r/>
    </w:p>
    <w:p>
      <w:pPr>
        <w:numPr>
          <w:ilvl w:val="0"/>
          <w:numId w:val="28"/>
        </w:numPr>
        <w:keepLines w:val="0"/>
        <w:keepNext w:val="0"/>
        <w:pageBreakBefore w:val="0"/>
        <w:spacing w:line="400" w:lineRule="exact"/>
        <w:widowControl w:val="off"/>
        <w:tabs>
          <w:tab w:val="left" w:pos="540" w:leader="none"/>
        </w:tabs>
        <w:rPr>
          <w:rFonts w:hint="eastAsia" w:ascii="宋体" w:hAnsi="宋体"/>
          <w:b/>
          <w:bCs/>
          <w:color w:val="auto"/>
          <w:szCs w:val="21"/>
          <w:highlight w:val="none"/>
        </w:rPr>
      </w:pPr>
      <w:r>
        <w:rPr>
          <w:rFonts w:hint="eastAsia" w:ascii="宋体" w:hAnsi="宋体"/>
          <w:b/>
          <w:bCs/>
          <w:color w:val="auto"/>
          <w:szCs w:val="21"/>
          <w:highlight w:val="none"/>
        </w:rPr>
        <w:t xml:space="preserve">资格审查响应文件</w:t>
      </w:r>
      <w:r/>
    </w:p>
    <w:p>
      <w:pPr>
        <w:numPr>
          <w:ilvl w:val="0"/>
          <w:numId w:val="30"/>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磋商响应函；</w:t>
      </w:r>
      <w:r/>
    </w:p>
    <w:p>
      <w:pPr>
        <w:numPr>
          <w:ilvl w:val="0"/>
          <w:numId w:val="30"/>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关于资格文件的声明函；</w:t>
      </w:r>
      <w:r/>
    </w:p>
    <w:p>
      <w:pPr>
        <w:numPr>
          <w:ilvl w:val="0"/>
          <w:numId w:val="30"/>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法定代表人授权委托书（如有授权）；</w:t>
      </w:r>
      <w:r/>
    </w:p>
    <w:p>
      <w:pPr>
        <w:numPr>
          <w:ilvl w:val="0"/>
          <w:numId w:val="30"/>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供应商的法定代表人身份证复印件、供应商代理人身份证复印件（如有授权）；</w:t>
      </w:r>
      <w:r/>
    </w:p>
    <w:p>
      <w:pPr>
        <w:numPr>
          <w:ilvl w:val="0"/>
          <w:numId w:val="30"/>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供应商参加政府采购活动应当具备的条件：</w:t>
      </w:r>
      <w:r/>
    </w:p>
    <w:p>
      <w:pPr>
        <w:numPr>
          <w:ilvl w:val="0"/>
          <w:numId w:val="31"/>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具有独立承担民事责任的能力（提供法人或者其他组织的营业执照等证明文件）；</w:t>
      </w:r>
      <w:r/>
    </w:p>
    <w:p>
      <w:pPr>
        <w:numPr>
          <w:ilvl w:val="0"/>
          <w:numId w:val="31"/>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具有良好的商业信誉和健全的财务会计制度（提供参加本次政府采购前的财务报表或银行出具的资信证明）；</w:t>
      </w:r>
      <w:r/>
    </w:p>
    <w:p>
      <w:pPr>
        <w:numPr>
          <w:ilvl w:val="0"/>
          <w:numId w:val="31"/>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具有履行合同所必</w:t>
      </w:r>
      <w:r>
        <w:rPr>
          <w:rFonts w:hint="eastAsia" w:ascii="宋体" w:hAnsi="宋体"/>
          <w:color w:val="auto"/>
          <w:szCs w:val="21"/>
          <w:highlight w:val="none"/>
          <w:lang w:val="en-US" w:eastAsia="zh-CN"/>
        </w:rPr>
        <w:t xml:space="preserve">需</w:t>
      </w:r>
      <w:r>
        <w:rPr>
          <w:rFonts w:hint="eastAsia" w:ascii="宋体" w:hAnsi="宋体"/>
          <w:color w:val="auto"/>
          <w:szCs w:val="21"/>
          <w:highlight w:val="none"/>
        </w:rPr>
        <w:t xml:space="preserve">的设备和专业技术能力（企业法人性质的政府采购供应商应在经工商管理部门核准登记注册的经营范围内参与经营活动，提供营业执照或其他证明材料）；</w:t>
      </w:r>
      <w:r/>
    </w:p>
    <w:p>
      <w:pPr>
        <w:numPr>
          <w:ilvl w:val="0"/>
          <w:numId w:val="31"/>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有依法缴纳税收和社会保障资金的良好记录（提供参加本次政府采购前一年内（至少一个月的）的依法缴纳税收和社会保障资金的相关材料）；</w:t>
      </w:r>
      <w:r/>
    </w:p>
    <w:p>
      <w:pPr>
        <w:numPr>
          <w:ilvl w:val="0"/>
          <w:numId w:val="31"/>
        </w:numPr>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参加政府采购活动前</w:t>
      </w:r>
      <w:r>
        <w:rPr>
          <w:rFonts w:ascii="宋体" w:hAnsi="宋体"/>
          <w:color w:val="auto"/>
          <w:szCs w:val="21"/>
          <w:highlight w:val="none"/>
        </w:rPr>
        <w:t xml:space="preserve">3</w:t>
      </w:r>
      <w:r>
        <w:rPr>
          <w:rFonts w:hint="eastAsia" w:ascii="宋体" w:hAnsi="宋体"/>
          <w:color w:val="auto"/>
          <w:szCs w:val="21"/>
          <w:highlight w:val="none"/>
        </w:rPr>
        <w:t xml:space="preserve">年内在经营活动中没有重大违法记录（提供书面声明）</w:t>
      </w:r>
      <w:r>
        <w:rPr>
          <w:rFonts w:hint="eastAsia" w:ascii="宋体" w:hAnsi="宋体"/>
          <w:color w:val="auto"/>
          <w:szCs w:val="21"/>
          <w:highlight w:val="none"/>
          <w:lang w:eastAsia="zh-CN"/>
        </w:rPr>
        <w:t xml:space="preserve">。</w:t>
      </w:r>
      <w:r/>
    </w:p>
    <w:p>
      <w:pPr>
        <w:numPr>
          <w:ilvl w:val="0"/>
          <w:numId w:val="28"/>
        </w:numPr>
        <w:keepLines w:val="0"/>
        <w:keepNext w:val="0"/>
        <w:pageBreakBefore w:val="0"/>
        <w:spacing w:line="400" w:lineRule="exact"/>
        <w:widowControl w:val="off"/>
        <w:tabs>
          <w:tab w:val="left" w:pos="540" w:leader="none"/>
        </w:tabs>
        <w:rPr>
          <w:rFonts w:hint="eastAsia" w:ascii="宋体" w:hAnsi="宋体"/>
          <w:b/>
          <w:bCs/>
          <w:color w:val="auto"/>
          <w:szCs w:val="21"/>
          <w:highlight w:val="none"/>
        </w:rPr>
      </w:pPr>
      <w:r>
        <w:rPr>
          <w:rFonts w:hint="eastAsia" w:ascii="宋体" w:hAnsi="宋体"/>
          <w:b/>
          <w:bCs/>
          <w:color w:val="auto"/>
          <w:szCs w:val="21"/>
          <w:highlight w:val="none"/>
        </w:rPr>
        <w:t xml:space="preserve">符合性审查响应文件</w:t>
      </w:r>
      <w:r/>
    </w:p>
    <w:p>
      <w:pPr>
        <w:numPr>
          <w:ilvl w:val="0"/>
          <w:numId w:val="32"/>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服务要求偏离表；</w:t>
      </w:r>
      <w:r/>
    </w:p>
    <w:p>
      <w:pPr>
        <w:numPr>
          <w:ilvl w:val="0"/>
          <w:numId w:val="32"/>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投标（响应）保证承诺书；</w:t>
      </w:r>
      <w:r/>
    </w:p>
    <w:p>
      <w:pPr>
        <w:numPr>
          <w:ilvl w:val="0"/>
          <w:numId w:val="32"/>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其他需供应商对本次响应的详细说明、承诺。</w:t>
      </w:r>
      <w:r/>
    </w:p>
    <w:p>
      <w:pPr>
        <w:numPr>
          <w:ilvl w:val="0"/>
          <w:numId w:val="28"/>
        </w:numPr>
        <w:keepLines w:val="0"/>
        <w:keepNext w:val="0"/>
        <w:pageBreakBefore w:val="0"/>
        <w:spacing w:line="400" w:lineRule="exact"/>
        <w:widowControl w:val="off"/>
        <w:tabs>
          <w:tab w:val="left" w:pos="540" w:leader="none"/>
        </w:tabs>
        <w:rPr>
          <w:rFonts w:hint="eastAsia" w:ascii="宋体" w:hAnsi="宋体"/>
          <w:b/>
          <w:bCs/>
          <w:color w:val="auto"/>
          <w:szCs w:val="21"/>
          <w:highlight w:val="none"/>
        </w:rPr>
      </w:pPr>
      <w:r>
        <w:rPr>
          <w:rFonts w:hint="eastAsia" w:ascii="宋体" w:hAnsi="宋体"/>
          <w:b/>
          <w:bCs/>
          <w:color w:val="auto"/>
          <w:szCs w:val="21"/>
          <w:highlight w:val="none"/>
        </w:rPr>
        <w:t xml:space="preserve">综合评审响应文件</w:t>
      </w:r>
      <w:r/>
    </w:p>
    <w:p>
      <w:pPr>
        <w:numPr>
          <w:ilvl w:val="0"/>
          <w:numId w:val="33"/>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项目具体实施方案；</w:t>
      </w:r>
      <w:r/>
    </w:p>
    <w:p>
      <w:pPr>
        <w:numPr>
          <w:ilvl w:val="0"/>
          <w:numId w:val="33"/>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履约期限、后续服务等响应承诺；</w:t>
      </w:r>
      <w:r/>
    </w:p>
    <w:p>
      <w:pPr>
        <w:numPr>
          <w:ilvl w:val="0"/>
          <w:numId w:val="33"/>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与本次磋商有关的其他资料。</w:t>
      </w:r>
      <w:r/>
    </w:p>
    <w:p>
      <w:pPr>
        <w:numPr>
          <w:ilvl w:val="0"/>
          <w:numId w:val="28"/>
        </w:numPr>
        <w:keepLines w:val="0"/>
        <w:keepNext w:val="0"/>
        <w:pageBreakBefore w:val="0"/>
        <w:spacing w:line="400" w:lineRule="exact"/>
        <w:widowControl w:val="off"/>
        <w:tabs>
          <w:tab w:val="left" w:pos="540" w:leader="none"/>
        </w:tabs>
        <w:rPr>
          <w:rFonts w:hint="eastAsia" w:ascii="宋体" w:hAnsi="宋体"/>
          <w:b/>
          <w:bCs/>
          <w:color w:val="auto"/>
          <w:szCs w:val="21"/>
          <w:highlight w:val="none"/>
        </w:rPr>
      </w:pPr>
      <w:r>
        <w:rPr>
          <w:rFonts w:hint="eastAsia" w:ascii="宋体" w:hAnsi="宋体"/>
          <w:b/>
          <w:bCs/>
          <w:color w:val="auto"/>
          <w:szCs w:val="21"/>
          <w:highlight w:val="none"/>
        </w:rPr>
        <w:t xml:space="preserve">企业报价折扣证明</w:t>
      </w:r>
      <w:r/>
    </w:p>
    <w:p>
      <w:pPr>
        <w:numPr>
          <w:ilvl w:val="0"/>
          <w:numId w:val="34"/>
        </w:numPr>
        <w:keepLines w:val="0"/>
        <w:keepNext w:val="0"/>
        <w:pageBreakBefore w:val="0"/>
        <w:spacing w:line="400" w:lineRule="exact"/>
        <w:widowControl w:val="off"/>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中型、小型或微型企业、残疾人企业、监狱企业的相关材料。</w:t>
      </w:r>
      <w:r/>
    </w:p>
    <w:p>
      <w:pPr>
        <w:spacing w:line="400" w:lineRule="exact"/>
        <w:rPr>
          <w:rFonts w:ascii="宋体"/>
          <w:color w:val="auto"/>
          <w:szCs w:val="22"/>
          <w:highlight w:val="none"/>
        </w:rPr>
      </w:pPr>
      <w:r>
        <w:rPr>
          <w:rFonts w:hint="eastAsia" w:ascii="宋体" w:hAnsi="宋体"/>
          <w:color w:val="auto"/>
          <w:szCs w:val="22"/>
          <w:highlight w:val="none"/>
        </w:rPr>
        <w:t xml:space="preserve">注：响应单位成交后须提供一份与电子响应文件内容一致的纸质响应文件（装订成册）。</w:t>
      </w:r>
      <w:r/>
    </w:p>
    <w:p>
      <w:pPr>
        <w:numPr>
          <w:ilvl w:val="0"/>
          <w:numId w:val="27"/>
        </w:numPr>
        <w:spacing w:line="400" w:lineRule="exact"/>
        <w:rPr>
          <w:rFonts w:hint="eastAsia" w:ascii="宋体" w:hAnsi="宋体"/>
          <w:b/>
          <w:bCs/>
          <w:color w:val="auto"/>
          <w:highlight w:val="none"/>
        </w:rPr>
      </w:pPr>
      <w:r>
        <w:rPr>
          <w:rFonts w:hint="eastAsia" w:ascii="宋体" w:hAnsi="宋体"/>
          <w:b/>
          <w:bCs/>
          <w:color w:val="auto"/>
          <w:highlight w:val="none"/>
        </w:rPr>
        <w:t xml:space="preserve">电子投标（响应）文件的编制与提交 </w:t>
      </w:r>
      <w:r/>
    </w:p>
    <w:p>
      <w:pPr>
        <w:numPr>
          <w:ilvl w:val="0"/>
          <w:numId w:val="35"/>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电子响应文件按上述文件组成统一顺序、统一格式编写，并在首页编制“响应文件目录”。</w:t>
      </w:r>
      <w:r/>
    </w:p>
    <w:p>
      <w:pPr>
        <w:numPr>
          <w:ilvl w:val="0"/>
          <w:numId w:val="35"/>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电子响应文件制作</w:t>
      </w:r>
      <w:r/>
    </w:p>
    <w:p>
      <w:pPr>
        <w:numPr>
          <w:ilvl w:val="0"/>
          <w:numId w:val="36"/>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在苏采云系统中下载采购文件后，点击“客户端下载地址”，下载投标文件客户端，查看客户端使用说明。</w:t>
      </w:r>
      <w:r/>
    </w:p>
    <w:p>
      <w:pPr>
        <w:numPr>
          <w:ilvl w:val="0"/>
          <w:numId w:val="36"/>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将下载的采购文件导入投标文件客户端，按照《操作手册》完成投标文件的编制和加盖电子签章。</w:t>
      </w:r>
      <w:r/>
    </w:p>
    <w:p>
      <w:pPr>
        <w:numPr>
          <w:ilvl w:val="0"/>
          <w:numId w:val="36"/>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导出制作完成的投标文件，上传至苏采云系统。</w:t>
      </w:r>
      <w:r/>
    </w:p>
    <w:p>
      <w:pPr>
        <w:spacing w:line="400" w:lineRule="atLeast"/>
        <w:widowControl/>
        <w:rPr>
          <w:rFonts w:hint="eastAsia" w:ascii="宋体" w:hAnsi="宋体"/>
          <w:color w:val="auto"/>
          <w:szCs w:val="21"/>
          <w:highlight w:val="none"/>
        </w:rPr>
      </w:pPr>
      <w:r>
        <w:rPr>
          <w:rFonts w:hint="eastAsia" w:ascii="宋体" w:hAnsi="宋体"/>
          <w:color w:val="auto"/>
          <w:szCs w:val="21"/>
          <w:highlight w:val="none"/>
        </w:rPr>
        <w:t xml:space="preserve">注：具体投标文件编制教程查看苏采云系统中的客户端使用说明和供应商《操作手册》。</w:t>
      </w:r>
      <w:r/>
    </w:p>
    <w:p>
      <w:pPr>
        <w:numPr>
          <w:ilvl w:val="0"/>
          <w:numId w:val="35"/>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r>
      <w:r>
        <w:rPr>
          <w:rFonts w:hint="eastAsia" w:ascii="宋体" w:hAnsi="宋体"/>
          <w:color w:val="auto"/>
          <w:szCs w:val="21"/>
          <w:highlight w:val="none"/>
        </w:rPr>
        <w:t xml:space="preserve">电子投标文件中的资料应按采购文件的要求加盖响应单位的电子签章或公章。</w:t>
      </w:r>
      <w:r/>
    </w:p>
    <w:p>
      <w:pPr>
        <w:numPr>
          <w:ilvl w:val="0"/>
          <w:numId w:val="35"/>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未按照要求编制电子投标文件，未按照要求在电子投标文件上加盖电子签章的，均视为无效投标。</w:t>
      </w:r>
      <w:r/>
    </w:p>
    <w:p>
      <w:pPr>
        <w:numPr>
          <w:ilvl w:val="0"/>
          <w:numId w:val="17"/>
        </w:numPr>
        <w:ind w:left="525" w:hanging="525"/>
        <w:spacing w:line="400" w:lineRule="exact"/>
        <w:tabs>
          <w:tab w:val="clear" w:pos="420" w:leader="none"/>
          <w:tab w:val="left" w:pos="525" w:leader="none"/>
          <w:tab w:val="left" w:pos="567" w:leader="none"/>
        </w:tabs>
        <w:rPr>
          <w:rFonts w:hint="eastAsia" w:ascii="宋体" w:hAnsi="宋体"/>
          <w:bCs/>
          <w:color w:val="auto"/>
          <w:szCs w:val="21"/>
          <w:highlight w:val="none"/>
        </w:rPr>
      </w:pPr>
      <w:r>
        <w:rPr>
          <w:rFonts w:hint="eastAsia" w:ascii="宋体" w:hAnsi="宋体"/>
          <w:bCs/>
          <w:color w:val="auto"/>
          <w:szCs w:val="21"/>
          <w:highlight w:val="none"/>
        </w:rPr>
        <w:t xml:space="preserve">磋商综合说明：</w:t>
      </w:r>
      <w:r/>
    </w:p>
    <w:p>
      <w:pPr>
        <w:numPr>
          <w:ilvl w:val="0"/>
          <w:numId w:val="37"/>
        </w:numPr>
        <w:ind w:left="567" w:hanging="567"/>
        <w:spacing w:line="400" w:lineRule="exact"/>
        <w:tabs>
          <w:tab w:val="left" w:pos="567" w:leader="none"/>
        </w:tabs>
        <w:rPr>
          <w:rFonts w:ascii="宋体" w:hAnsi="宋体"/>
          <w:color w:val="auto"/>
          <w:szCs w:val="21"/>
          <w:highlight w:val="none"/>
        </w:rPr>
      </w:pPr>
      <w:r>
        <w:rPr>
          <w:rFonts w:ascii="宋体" w:hAnsi="宋体"/>
          <w:color w:val="auto"/>
          <w:szCs w:val="21"/>
          <w:highlight w:val="none"/>
        </w:rPr>
        <w:t xml:space="preserve">本次</w:t>
      </w:r>
      <w:r>
        <w:rPr>
          <w:rFonts w:hint="eastAsia" w:ascii="宋体" w:hAnsi="宋体"/>
          <w:color w:val="auto"/>
          <w:szCs w:val="21"/>
          <w:highlight w:val="none"/>
        </w:rPr>
        <w:t xml:space="preserve">竞争性磋商</w:t>
      </w:r>
      <w:r>
        <w:rPr>
          <w:rFonts w:hint="eastAsia" w:ascii="宋体" w:hAnsi="宋体"/>
          <w:color w:val="auto"/>
          <w:szCs w:val="21"/>
          <w:highlight w:val="none"/>
          <w:lang w:val="en-US" w:eastAsia="zh-CN"/>
        </w:rPr>
        <w:t xml:space="preserve">不分标段</w:t>
      </w:r>
      <w:r>
        <w:rPr>
          <w:rFonts w:ascii="宋体" w:hAnsi="宋体"/>
          <w:color w:val="auto"/>
          <w:szCs w:val="21"/>
          <w:highlight w:val="none"/>
        </w:rPr>
        <w:t xml:space="preserve">，各供应商须对全部内容进行响应</w:t>
      </w:r>
      <w:r>
        <w:rPr>
          <w:rFonts w:hint="eastAsia" w:ascii="宋体" w:hAnsi="宋体"/>
          <w:color w:val="auto"/>
          <w:szCs w:val="21"/>
          <w:highlight w:val="none"/>
        </w:rPr>
        <w:t xml:space="preserve">并报价</w:t>
      </w:r>
      <w:r>
        <w:rPr>
          <w:rFonts w:ascii="宋体" w:hAnsi="宋体"/>
          <w:color w:val="auto"/>
          <w:szCs w:val="21"/>
          <w:highlight w:val="none"/>
        </w:rPr>
        <w:t xml:space="preserve">，只</w:t>
      </w:r>
      <w:r>
        <w:rPr>
          <w:rFonts w:hint="eastAsia" w:ascii="宋体" w:hAnsi="宋体"/>
          <w:color w:val="auto"/>
          <w:szCs w:val="21"/>
          <w:highlight w:val="none"/>
        </w:rPr>
        <w:t xml:space="preserve">响应部分内容或只</w:t>
      </w:r>
      <w:r>
        <w:rPr>
          <w:rFonts w:ascii="宋体" w:hAnsi="宋体"/>
          <w:color w:val="auto"/>
          <w:szCs w:val="21"/>
          <w:highlight w:val="none"/>
        </w:rPr>
        <w:t xml:space="preserve">报其中部分内容的，</w:t>
      </w:r>
      <w:r>
        <w:rPr>
          <w:rFonts w:hint="eastAsia" w:ascii="宋体" w:hAnsi="宋体"/>
          <w:color w:val="auto"/>
          <w:szCs w:val="21"/>
          <w:highlight w:val="none"/>
        </w:rPr>
        <w:t xml:space="preserve">视为非实质性响应</w:t>
      </w:r>
      <w:r>
        <w:rPr>
          <w:rFonts w:ascii="宋体" w:hAnsi="宋体"/>
          <w:color w:val="auto"/>
          <w:szCs w:val="21"/>
          <w:highlight w:val="none"/>
        </w:rPr>
        <w:t xml:space="preserve">，并不得出现选择性报价。</w:t>
      </w:r>
      <w:r/>
    </w:p>
    <w:p>
      <w:pPr>
        <w:numPr>
          <w:ilvl w:val="0"/>
          <w:numId w:val="37"/>
        </w:numPr>
        <w:ind w:left="567" w:hanging="567"/>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磋商保证金：本项目不收取磋商保证金。</w:t>
      </w:r>
      <w:r/>
    </w:p>
    <w:p>
      <w:pPr>
        <w:numPr>
          <w:ilvl w:val="0"/>
          <w:numId w:val="37"/>
        </w:numPr>
        <w:ind w:left="567" w:hanging="567"/>
        <w:spacing w:line="400" w:lineRule="exact"/>
        <w:tabs>
          <w:tab w:val="left" w:pos="567" w:leader="none"/>
        </w:tabs>
        <w:rPr>
          <w:rFonts w:hint="eastAsia" w:ascii="宋体" w:hAnsi="宋体"/>
          <w:color w:val="auto"/>
          <w:szCs w:val="21"/>
          <w:highlight w:val="none"/>
        </w:rPr>
      </w:pPr>
      <w:r>
        <w:rPr>
          <w:rFonts w:ascii="宋体" w:hAnsi="宋体"/>
          <w:color w:val="auto"/>
          <w:szCs w:val="21"/>
          <w:highlight w:val="none"/>
        </w:rPr>
        <w:t xml:space="preserve">成交服务费：</w:t>
      </w:r>
      <w:r>
        <w:rPr>
          <w:rFonts w:hint="eastAsia" w:ascii="宋体" w:hAnsi="宋体"/>
          <w:color w:val="auto"/>
          <w:szCs w:val="21"/>
          <w:highlight w:val="none"/>
        </w:rPr>
        <w:t xml:space="preserve">按苏财购告【2016】31号规定的收费标准收取，领取成交通知书时成交单位向采购代理机构一次性付清。</w:t>
      </w:r>
      <w:r/>
    </w:p>
    <w:p>
      <w:pPr>
        <w:ind w:left="540"/>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收费标准：预算金额100万以下部分费率为预算金额的1.5%；预算金额100万-500万部分费率为预算金额的1.1%。</w:t>
      </w:r>
      <w:r/>
    </w:p>
    <w:p>
      <w:pPr>
        <w:ind w:left="539"/>
        <w:spacing w:line="400" w:lineRule="exact"/>
        <w:rPr>
          <w:rFonts w:hint="eastAsia" w:ascii="宋体" w:hAnsi="宋体"/>
          <w:color w:val="auto"/>
          <w:szCs w:val="21"/>
          <w:highlight w:val="none"/>
        </w:rPr>
      </w:pPr>
      <w:r>
        <w:rPr>
          <w:rFonts w:hint="eastAsia" w:ascii="宋体" w:hAnsi="宋体"/>
          <w:color w:val="auto"/>
          <w:szCs w:val="21"/>
          <w:highlight w:val="none"/>
        </w:rPr>
        <w:t xml:space="preserve">收款单位</w:t>
      </w:r>
      <w:r>
        <w:rPr>
          <w:rFonts w:ascii="宋体" w:hAnsi="宋体"/>
          <w:color w:val="auto"/>
          <w:szCs w:val="21"/>
          <w:highlight w:val="none"/>
        </w:rPr>
        <w:t xml:space="preserve">：苏州市原鑫招投标咨询服务有限公司</w:t>
      </w:r>
      <w:r/>
    </w:p>
    <w:p>
      <w:pPr>
        <w:ind w:left="539"/>
        <w:spacing w:line="400" w:lineRule="exact"/>
        <w:rPr>
          <w:rFonts w:hint="eastAsia" w:ascii="宋体" w:hAnsi="宋体"/>
          <w:color w:val="auto"/>
          <w:szCs w:val="21"/>
          <w:highlight w:val="none"/>
        </w:rPr>
      </w:pPr>
      <w:r>
        <w:rPr>
          <w:rFonts w:ascii="宋体" w:hAnsi="宋体"/>
          <w:color w:val="auto"/>
          <w:szCs w:val="21"/>
          <w:highlight w:val="none"/>
        </w:rPr>
        <w:t xml:space="preserve">账号：</w:t>
      </w:r>
      <w:r>
        <w:rPr>
          <w:rFonts w:hint="eastAsia" w:ascii="宋体" w:hAnsi="宋体"/>
          <w:color w:val="auto"/>
          <w:szCs w:val="21"/>
          <w:highlight w:val="none"/>
        </w:rPr>
        <w:t xml:space="preserve">543058193738 </w:t>
      </w:r>
      <w:r/>
    </w:p>
    <w:p>
      <w:pPr>
        <w:ind w:left="539"/>
        <w:spacing w:line="400" w:lineRule="exact"/>
        <w:rPr>
          <w:rFonts w:hint="eastAsia" w:ascii="宋体" w:hAnsi="宋体"/>
          <w:color w:val="auto"/>
          <w:szCs w:val="21"/>
          <w:highlight w:val="none"/>
        </w:rPr>
      </w:pPr>
      <w:r>
        <w:rPr>
          <w:rFonts w:ascii="宋体" w:hAnsi="宋体"/>
          <w:color w:val="auto"/>
          <w:szCs w:val="21"/>
          <w:highlight w:val="none"/>
        </w:rPr>
        <w:t xml:space="preserve">开户银行：</w:t>
      </w:r>
      <w:r>
        <w:rPr>
          <w:rFonts w:hint="eastAsia" w:ascii="宋体" w:hAnsi="宋体"/>
          <w:color w:val="auto"/>
          <w:szCs w:val="21"/>
          <w:highlight w:val="none"/>
        </w:rPr>
        <w:t xml:space="preserve">中行苏州南园支行</w:t>
      </w:r>
      <w:r/>
    </w:p>
    <w:p>
      <w:pPr>
        <w:numPr>
          <w:ilvl w:val="0"/>
          <w:numId w:val="37"/>
        </w:numPr>
        <w:ind w:left="567" w:hanging="567"/>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磋商说明：</w:t>
      </w:r>
      <w:r/>
    </w:p>
    <w:p>
      <w:pPr>
        <w:numPr>
          <w:ilvl w:val="0"/>
          <w:numId w:val="38"/>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不符合供应商资格要求的磋商响应文件将被拒绝；</w:t>
      </w:r>
      <w:r/>
    </w:p>
    <w:p>
      <w:pPr>
        <w:numPr>
          <w:ilvl w:val="0"/>
          <w:numId w:val="38"/>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参加磋商的供应商必须提供供应商代表的身份证明原件和法定代表人授权委托书原件（法定代表人为磋商代表的可不提供）；</w:t>
      </w:r>
      <w:r/>
    </w:p>
    <w:p>
      <w:pPr>
        <w:numPr>
          <w:ilvl w:val="0"/>
          <w:numId w:val="38"/>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磋商响应文件密封和签署不符合要求的，磋商响应文件将被拒绝；</w:t>
      </w:r>
      <w:r/>
    </w:p>
    <w:p>
      <w:pPr>
        <w:numPr>
          <w:ilvl w:val="0"/>
          <w:numId w:val="38"/>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不同投标（响应）人存在投标(响应)文件制作机器码一致的，视为无效响应； </w:t>
      </w:r>
      <w:r/>
    </w:p>
    <w:p>
      <w:pPr>
        <w:numPr>
          <w:ilvl w:val="0"/>
          <w:numId w:val="38"/>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实质性响应磋商文件不满三家、或进入二次报价的不满三家、或二次报价在采购预算内不满三家的，磋商采购失败。</w:t>
      </w:r>
      <w:r/>
    </w:p>
    <w:p>
      <w:pPr>
        <w:numPr>
          <w:ilvl w:val="0"/>
          <w:numId w:val="38"/>
        </w:numPr>
        <w:spacing w:line="400" w:lineRule="exact"/>
        <w:tabs>
          <w:tab w:val="left" w:pos="540" w:leader="none"/>
        </w:tabs>
        <w:rPr>
          <w:rFonts w:hint="eastAsia" w:ascii="宋体" w:hAnsi="宋体"/>
          <w:color w:val="auto"/>
          <w:highlight w:val="none"/>
        </w:rPr>
      </w:pPr>
      <w:r>
        <w:rPr>
          <w:rFonts w:hint="eastAsia" w:ascii="宋体" w:hAnsi="宋体"/>
          <w:color w:val="auto"/>
          <w:szCs w:val="21"/>
          <w:highlight w:val="none"/>
        </w:rPr>
        <w:t xml:space="preserve">最终合同单</w:t>
      </w:r>
      <w:r>
        <w:rPr>
          <w:rFonts w:hint="eastAsia" w:ascii="宋体" w:hAnsi="宋体"/>
          <w:color w:val="auto"/>
          <w:highlight w:val="none"/>
        </w:rPr>
        <w:t xml:space="preserve">价按最终总报价同比例下（上）浮。</w:t>
      </w:r>
      <w:r/>
    </w:p>
    <w:p>
      <w:pPr>
        <w:numPr>
          <w:ilvl w:val="0"/>
          <w:numId w:val="37"/>
        </w:numPr>
        <w:ind w:left="567" w:hanging="567"/>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项目的终止</w:t>
      </w:r>
      <w:r/>
    </w:p>
    <w:p>
      <w:pPr>
        <w:ind w:firstLine="539"/>
        <w:spacing w:line="400" w:lineRule="exact"/>
        <w:rPr>
          <w:rFonts w:hint="eastAsia" w:ascii="宋体" w:hAnsi="宋体"/>
          <w:color w:val="auto"/>
          <w:szCs w:val="21"/>
          <w:highlight w:val="none"/>
        </w:rPr>
      </w:pPr>
      <w:r>
        <w:rPr>
          <w:rFonts w:ascii="宋体" w:hAnsi="宋体"/>
          <w:color w:val="auto"/>
          <w:szCs w:val="21"/>
          <w:highlight w:val="none"/>
        </w:rPr>
        <w:t xml:space="preserve">出现下列情形之一的，</w:t>
      </w:r>
      <w:r>
        <w:rPr>
          <w:rFonts w:hint="eastAsia" w:ascii="宋体" w:hAnsi="宋体"/>
          <w:color w:val="auto"/>
          <w:szCs w:val="21"/>
          <w:highlight w:val="none"/>
        </w:rPr>
        <w:t xml:space="preserve">将</w:t>
      </w:r>
      <w:r>
        <w:rPr>
          <w:rFonts w:ascii="宋体" w:hAnsi="宋体"/>
          <w:color w:val="auto"/>
          <w:szCs w:val="21"/>
          <w:highlight w:val="none"/>
        </w:rPr>
        <w:t xml:space="preserve">终止采购活动：</w:t>
      </w:r>
      <w:r/>
    </w:p>
    <w:p>
      <w:pPr>
        <w:numPr>
          <w:ilvl w:val="0"/>
          <w:numId w:val="39"/>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因情况变化，不再符合规定的竞争性磋商采购方式适用情形的；</w:t>
      </w:r>
      <w:r/>
    </w:p>
    <w:p>
      <w:pPr>
        <w:numPr>
          <w:ilvl w:val="0"/>
          <w:numId w:val="39"/>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出现影响采购公正的违法、违规行为的；</w:t>
      </w:r>
      <w:r/>
    </w:p>
    <w:p>
      <w:pPr>
        <w:numPr>
          <w:ilvl w:val="0"/>
          <w:numId w:val="39"/>
        </w:numPr>
        <w:spacing w:line="400" w:lineRule="exact"/>
        <w:tabs>
          <w:tab w:val="left" w:pos="540" w:leader="none"/>
        </w:tabs>
        <w:rPr>
          <w:rFonts w:hint="eastAsia" w:ascii="宋体" w:hAnsi="宋体"/>
          <w:bCs/>
          <w:color w:val="auto"/>
          <w:szCs w:val="21"/>
          <w:highlight w:val="none"/>
        </w:rPr>
      </w:pPr>
      <w:r>
        <w:rPr>
          <w:rFonts w:hint="eastAsia" w:ascii="宋体" w:hAnsi="宋体"/>
          <w:color w:val="auto"/>
          <w:szCs w:val="21"/>
          <w:highlight w:val="none"/>
        </w:rPr>
        <w:t xml:space="preserve">在采购</w:t>
      </w:r>
      <w:r>
        <w:rPr>
          <w:rFonts w:ascii="宋体" w:hAnsi="宋体"/>
          <w:color w:val="auto"/>
          <w:szCs w:val="21"/>
          <w:highlight w:val="none"/>
        </w:rPr>
        <w:t xml:space="preserve">过程中符合竞争要求的供应商或者报价未超过采购预算的供应商不足</w:t>
      </w:r>
      <w:r>
        <w:rPr>
          <w:rFonts w:hint="eastAsia" w:ascii="宋体" w:hAnsi="宋体"/>
          <w:color w:val="auto"/>
          <w:szCs w:val="21"/>
          <w:highlight w:val="none"/>
        </w:rPr>
        <w:t xml:space="preserve">三</w:t>
      </w:r>
      <w:r>
        <w:rPr>
          <w:rFonts w:ascii="宋体" w:hAnsi="宋体"/>
          <w:color w:val="auto"/>
          <w:szCs w:val="21"/>
          <w:highlight w:val="none"/>
        </w:rPr>
        <w:t xml:space="preserve">家的。</w:t>
      </w:r>
      <w:r/>
    </w:p>
    <w:p>
      <w:pPr>
        <w:numPr>
          <w:ilvl w:val="0"/>
          <w:numId w:val="37"/>
        </w:numPr>
        <w:ind w:left="567" w:hanging="567"/>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成交通知书：</w:t>
      </w:r>
      <w:r/>
    </w:p>
    <w:p>
      <w:pPr>
        <w:numPr>
          <w:ilvl w:val="0"/>
          <w:numId w:val="40"/>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确定成交单位后在投标有效期截止前，采购代理机构将以书面形式通知成交的响应单位。</w:t>
      </w:r>
      <w:r/>
    </w:p>
    <w:p>
      <w:pPr>
        <w:numPr>
          <w:ilvl w:val="0"/>
          <w:numId w:val="40"/>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成交通知书将成为合同的组成部分。</w:t>
      </w:r>
      <w:r/>
    </w:p>
    <w:p>
      <w:pPr>
        <w:numPr>
          <w:ilvl w:val="0"/>
          <w:numId w:val="40"/>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采购人或采购代理机构对未成交单位不承担解释未成交原因的义务。</w:t>
      </w:r>
      <w:r/>
    </w:p>
    <w:p>
      <w:pPr>
        <w:numPr>
          <w:ilvl w:val="0"/>
          <w:numId w:val="40"/>
        </w:numPr>
        <w:spacing w:line="400" w:lineRule="exact"/>
        <w:tabs>
          <w:tab w:val="left" w:pos="540" w:leader="none"/>
        </w:tabs>
        <w:rPr>
          <w:rFonts w:hint="eastAsia" w:ascii="宋体" w:hAnsi="宋体"/>
          <w:color w:val="auto"/>
          <w:highlight w:val="none"/>
        </w:rPr>
      </w:pPr>
      <w:r>
        <w:rPr>
          <w:rFonts w:hint="eastAsia" w:ascii="宋体" w:hAnsi="宋体"/>
          <w:color w:val="auto"/>
          <w:szCs w:val="21"/>
          <w:highlight w:val="none"/>
        </w:rPr>
        <w:t xml:space="preserve">请成交单位在成交结果公告届满之日起30日内,使用CA证书登录“苏采云”系统及时下载成交通知书。因系统存储空</w:t>
      </w:r>
      <w:r>
        <w:rPr>
          <w:rFonts w:hint="eastAsia" w:ascii="宋体" w:hAnsi="宋体"/>
          <w:color w:val="auto"/>
          <w:highlight w:val="none"/>
        </w:rPr>
        <w:t xml:space="preserve">间有限，自成交结果公告届满之日起30日后，“苏采云”系统不再保证提供下载中标通知书服务,因未及时下载而造成的不利后果由成交单位自行承担。</w:t>
      </w:r>
      <w:r/>
    </w:p>
    <w:p>
      <w:pPr>
        <w:numPr>
          <w:ilvl w:val="0"/>
          <w:numId w:val="37"/>
        </w:numPr>
        <w:ind w:left="567" w:hanging="567"/>
        <w:spacing w:line="400" w:lineRule="exact"/>
        <w:tabs>
          <w:tab w:val="left" w:pos="567" w:leader="none"/>
        </w:tabs>
        <w:rPr>
          <w:rFonts w:hint="eastAsia" w:ascii="宋体" w:hAnsi="宋体"/>
          <w:color w:val="auto"/>
          <w:szCs w:val="21"/>
          <w:highlight w:val="none"/>
        </w:rPr>
      </w:pPr>
      <w:r>
        <w:rPr>
          <w:color w:val="auto"/>
          <w:highlight w:val="none"/>
        </w:rPr>
        <w:t xml:space="preserve">参与项目评审的未成交供应商可在成交公告</w:t>
      </w:r>
      <w:r>
        <w:rPr>
          <w:rFonts w:hint="eastAsia"/>
          <w:color w:val="auto"/>
          <w:highlight w:val="none"/>
        </w:rPr>
        <w:t xml:space="preserve">发布</w:t>
      </w:r>
      <w:r>
        <w:rPr>
          <w:color w:val="auto"/>
          <w:highlight w:val="none"/>
        </w:rPr>
        <w:t xml:space="preserve">之</w:t>
      </w:r>
      <w:r>
        <w:rPr>
          <w:rFonts w:ascii="宋体" w:hAnsi="宋体"/>
          <w:color w:val="auto"/>
          <w:highlight w:val="none"/>
        </w:rPr>
        <w:t xml:space="preserve">日起7个工</w:t>
      </w:r>
      <w:r>
        <w:rPr>
          <w:color w:val="auto"/>
          <w:highlight w:val="none"/>
        </w:rPr>
        <w:t xml:space="preserve">作日内电话咨询采购代理机构索取《未成交通知书》，采购代理机构应以电子邮件形式告知。未成交供应商未按约定的时间和方式获取告知信息的，视为自动放弃</w:t>
      </w:r>
      <w:r>
        <w:rPr>
          <w:rFonts w:hint="eastAsia"/>
          <w:color w:val="auto"/>
          <w:highlight w:val="none"/>
        </w:rPr>
        <w:t xml:space="preserve">。</w:t>
      </w:r>
      <w:r/>
    </w:p>
    <w:p>
      <w:pPr>
        <w:numPr>
          <w:ilvl w:val="0"/>
          <w:numId w:val="37"/>
        </w:numPr>
        <w:ind w:left="567" w:hanging="567"/>
        <w:spacing w:line="400" w:lineRule="exact"/>
        <w:tabs>
          <w:tab w:val="left" w:pos="567" w:leader="none"/>
        </w:tabs>
        <w:rPr>
          <w:rFonts w:hint="eastAsia" w:ascii="宋体" w:hAnsi="宋体"/>
          <w:color w:val="auto"/>
          <w:szCs w:val="21"/>
          <w:highlight w:val="none"/>
        </w:rPr>
      </w:pPr>
      <w:r>
        <w:rPr>
          <w:rFonts w:ascii="宋体" w:hAnsi="宋体"/>
          <w:color w:val="auto"/>
          <w:szCs w:val="21"/>
          <w:highlight w:val="none"/>
        </w:rPr>
        <w:t xml:space="preserve">凡涉及</w:t>
      </w:r>
      <w:r>
        <w:rPr>
          <w:rFonts w:hint="eastAsia" w:ascii="宋体" w:hAnsi="宋体"/>
          <w:color w:val="auto"/>
          <w:szCs w:val="21"/>
          <w:highlight w:val="none"/>
        </w:rPr>
        <w:t xml:space="preserve">采购文件</w:t>
      </w:r>
      <w:r>
        <w:rPr>
          <w:rFonts w:ascii="宋体" w:hAnsi="宋体"/>
          <w:color w:val="auto"/>
          <w:szCs w:val="21"/>
          <w:highlight w:val="none"/>
        </w:rPr>
        <w:t xml:space="preserve">的补充说明和修改，均以</w:t>
      </w:r>
      <w:r>
        <w:rPr>
          <w:rFonts w:hint="eastAsia" w:ascii="宋体" w:hAnsi="宋体"/>
          <w:color w:val="auto"/>
          <w:szCs w:val="21"/>
          <w:highlight w:val="none"/>
        </w:rPr>
        <w:t xml:space="preserve">网上发布的</w:t>
      </w:r>
      <w:r>
        <w:rPr>
          <w:rFonts w:ascii="宋体" w:hAnsi="宋体"/>
          <w:color w:val="auto"/>
          <w:szCs w:val="21"/>
          <w:highlight w:val="none"/>
        </w:rPr>
        <w:t xml:space="preserve">通知为准</w:t>
      </w:r>
      <w:r>
        <w:rPr>
          <w:rFonts w:hint="eastAsia" w:ascii="宋体" w:hAnsi="宋体"/>
          <w:color w:val="auto"/>
          <w:szCs w:val="21"/>
          <w:highlight w:val="none"/>
        </w:rPr>
        <w:t xml:space="preserve">。</w:t>
      </w:r>
      <w:r/>
    </w:p>
    <w:p>
      <w:pPr>
        <w:numPr>
          <w:ilvl w:val="0"/>
          <w:numId w:val="17"/>
        </w:numPr>
        <w:ind w:left="525" w:hanging="525"/>
        <w:spacing w:line="400" w:lineRule="exact"/>
        <w:tabs>
          <w:tab w:val="clear" w:pos="420" w:leader="none"/>
          <w:tab w:val="left" w:pos="525" w:leader="none"/>
          <w:tab w:val="left" w:pos="567" w:leader="none"/>
        </w:tabs>
        <w:rPr>
          <w:rFonts w:hint="eastAsia" w:ascii="宋体" w:hAnsi="宋体"/>
          <w:bCs/>
          <w:color w:val="auto"/>
          <w:szCs w:val="21"/>
          <w:highlight w:val="none"/>
        </w:rPr>
      </w:pPr>
      <w:r>
        <w:rPr>
          <w:rFonts w:hint="eastAsia" w:ascii="宋体" w:hAnsi="宋体"/>
          <w:bCs/>
          <w:color w:val="auto"/>
          <w:szCs w:val="21"/>
          <w:highlight w:val="none"/>
        </w:rPr>
        <w:t xml:space="preserve">政府采购相关政策</w:t>
      </w:r>
      <w:r/>
    </w:p>
    <w:p>
      <w:pPr>
        <w:numPr>
          <w:ilvl w:val="0"/>
          <w:numId w:val="41"/>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关于对参与供应商信用记录的政府采购要求：</w:t>
      </w:r>
      <w:r/>
    </w:p>
    <w:p>
      <w:pPr>
        <w:numPr>
          <w:ilvl w:val="0"/>
          <w:numId w:val="42"/>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采购代理机构会在接收响应文件截止时间后，在信用中国</w:t>
      </w:r>
      <w:r>
        <w:rPr>
          <w:rFonts w:hint="eastAsia" w:ascii="宋体" w:hAnsi="宋体"/>
          <w:color w:val="auto"/>
          <w:szCs w:val="21"/>
          <w:highlight w:val="none"/>
          <w:lang w:val="en-US" w:eastAsia="zh-CN"/>
        </w:rPr>
        <w:t xml:space="preserve">等</w:t>
      </w:r>
      <w:r>
        <w:rPr>
          <w:rFonts w:hint="eastAsia" w:ascii="宋体" w:hAnsi="宋体"/>
          <w:color w:val="auto"/>
          <w:szCs w:val="21"/>
          <w:highlight w:val="none"/>
        </w:rPr>
        <w:t xml:space="preserve">网站输入供应商全称或统一社会信用代码查询信用记录，并将查询结果递交评审小组。</w:t>
      </w:r>
      <w:r/>
    </w:p>
    <w:p>
      <w:pPr>
        <w:numPr>
          <w:ilvl w:val="0"/>
          <w:numId w:val="42"/>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567"/>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A、政府采购严重违法记录，即供应商被全国各级财政部门列入“政府采购严重违法失信行为记录名单”，且在处罚有效期内的。</w:t>
      </w:r>
      <w:r/>
    </w:p>
    <w:p>
      <w:pPr>
        <w:ind w:left="567"/>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B、财政部门与法院、工商、税务等部门联合惩戒的失信信息，包括：</w:t>
      </w:r>
      <w:r/>
    </w:p>
    <w:p>
      <w:pPr>
        <w:ind w:left="567"/>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1) 被列入失信被执行人名单；</w:t>
      </w:r>
      <w:r/>
    </w:p>
    <w:p>
      <w:pPr>
        <w:ind w:left="567"/>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2) 被列入重大税收违法案件当事人名单；</w:t>
      </w:r>
      <w:r/>
    </w:p>
    <w:p>
      <w:pPr>
        <w:ind w:left="567"/>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3) 企业经营异常名录中被责令停产停业、暂扣或者吊销许可证或者执照，或者对经营活动中的违法行为处以较大数额罚款的信用记录。处罚生效日至递交（响应）文件日未满三年的。</w:t>
      </w:r>
      <w:r/>
    </w:p>
    <w:p>
      <w:pPr>
        <w:numPr>
          <w:ilvl w:val="0"/>
          <w:numId w:val="42"/>
        </w:numPr>
        <w:spacing w:line="400" w:lineRule="exact"/>
        <w:tabs>
          <w:tab w:val="left" w:pos="540" w:leader="none"/>
        </w:tabs>
        <w:rPr>
          <w:rFonts w:hint="eastAsia" w:ascii="宋体" w:hAnsi="宋体"/>
          <w:color w:val="auto"/>
          <w:szCs w:val="21"/>
          <w:highlight w:val="none"/>
        </w:rPr>
      </w:pPr>
      <w:r>
        <w:rPr>
          <w:rFonts w:hint="eastAsia" w:ascii="宋体" w:hAnsi="宋体"/>
          <w:color w:val="auto"/>
          <w:szCs w:val="21"/>
          <w:highlight w:val="none"/>
        </w:rPr>
        <w:t xml:space="preserve">对存在失信信息的供应商，评审小组应签名确认。同时，采购代理机构工作人员应根据评审小组确认的失信信息，登陆到相关来源网站页面进行复核并打印，作为证据留存。</w:t>
      </w:r>
      <w:r/>
    </w:p>
    <w:p>
      <w:pPr>
        <w:numPr>
          <w:ilvl w:val="0"/>
          <w:numId w:val="41"/>
        </w:numPr>
        <w:spacing w:line="400" w:lineRule="exact"/>
        <w:tabs>
          <w:tab w:val="left" w:pos="525" w:leader="none"/>
        </w:tabs>
        <w:rPr>
          <w:rFonts w:hint="eastAsia" w:ascii="宋体" w:hAnsi="宋体"/>
          <w:color w:val="auto"/>
          <w:szCs w:val="21"/>
          <w:highlight w:val="none"/>
        </w:rPr>
      </w:pPr>
      <w:r>
        <w:rPr>
          <w:rFonts w:hint="eastAsia" w:ascii="宋体" w:hAnsi="宋体"/>
          <w:color w:val="auto"/>
          <w:szCs w:val="21"/>
          <w:highlight w:val="none"/>
        </w:rPr>
        <w:t xml:space="preserve">针对中小企业、监狱企业、残疾人企业的评审：</w:t>
      </w:r>
      <w:r/>
    </w:p>
    <w:p>
      <w:pPr>
        <w:ind w:left="540"/>
        <w:spacing w:line="400" w:lineRule="exact"/>
        <w:tabs>
          <w:tab w:val="left" w:pos="540" w:leader="none"/>
        </w:tabs>
        <w:rPr>
          <w:rFonts w:hint="eastAsia" w:ascii="宋体" w:hAnsi="宋体"/>
          <w:color w:val="auto"/>
          <w:highlight w:val="none"/>
        </w:rPr>
      </w:pPr>
      <w:r>
        <w:rPr>
          <w:rFonts w:hint="eastAsia" w:ascii="宋体" w:hAnsi="宋体"/>
          <w:color w:val="auto"/>
          <w:szCs w:val="21"/>
          <w:highlight w:val="none"/>
        </w:rPr>
        <w:t xml:space="preserve">根据</w:t>
      </w:r>
      <w:r>
        <w:rPr>
          <w:rFonts w:hint="eastAsia" w:ascii="宋体" w:hAnsi="宋体"/>
          <w:color w:val="auto"/>
          <w:highlight w:val="none"/>
        </w:rPr>
        <w:t xml:space="preserve">《政府采购促进中小企业发展管理办法》（财库〔2020〕46号）、《关于促进残疾人就业政府采购政策的通知》（财库〔2017〕141号）、《关于政府采</w:t>
      </w:r>
      <w:r>
        <w:rPr>
          <w:rFonts w:hint="eastAsia" w:ascii="宋体" w:hAnsi="宋体"/>
          <w:color w:val="auto"/>
          <w:highlight w:val="none"/>
        </w:rPr>
        <w:t xml:space="preserve">购支持监狱企业发展有关问题的通知》（财库〔2014〕68号）、《关于做好政府采购支持企业发展有关事项的通知》（苏财购〔2020〕52号）及《关于印发&lt;苏州市政府采购促进中小企业发展实施意见&gt;的通知》（苏财购〔2022〕16号）的有关规定，本项目为专门面向中小企业采购的项目，不再执行价格评审优惠的扶持政策。供应商必须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ind w:left="540"/>
        <w:spacing w:line="400" w:lineRule="exact"/>
        <w:tabs>
          <w:tab w:val="left" w:pos="540" w:leader="none"/>
        </w:tabs>
        <w:rPr>
          <w:rFonts w:hint="eastAsia" w:ascii="宋体" w:hAnsi="宋体"/>
          <w:color w:val="auto"/>
          <w:szCs w:val="21"/>
          <w:highlight w:val="none"/>
        </w:rPr>
      </w:pPr>
      <w:r>
        <w:rPr>
          <w:rFonts w:hint="eastAsia" w:ascii="宋体" w:hAnsi="宋体"/>
          <w:color w:val="auto"/>
          <w:highlight w:val="none"/>
        </w:rPr>
        <w:t xml:space="preserve">注：①填报“中小企业声明函”需严格按“工信部联企业〔2011〕300号通知中的《中小企业划型标准规定》进行。②若供应商提供的声明函或认定证明为虚假材料，按“政府采购法”相关规定处理并报请政府监管部门给予行政处罚。</w:t>
      </w:r>
      <w:r/>
    </w:p>
    <w:p>
      <w:pPr>
        <w:numPr>
          <w:ilvl w:val="0"/>
          <w:numId w:val="41"/>
        </w:numPr>
        <w:spacing w:line="400" w:lineRule="exact"/>
        <w:tabs>
          <w:tab w:val="left" w:pos="525" w:leader="none"/>
        </w:tabs>
        <w:rPr>
          <w:rFonts w:hint="eastAsia" w:ascii="宋体" w:hAnsi="宋体"/>
          <w:color w:val="auto"/>
          <w:szCs w:val="21"/>
          <w:highlight w:val="none"/>
        </w:rPr>
      </w:pPr>
      <w:r>
        <w:rPr>
          <w:rFonts w:hint="eastAsia" w:ascii="宋体" w:hAnsi="宋体"/>
          <w:color w:val="auto"/>
          <w:szCs w:val="21"/>
          <w:highlight w:val="none"/>
        </w:rPr>
        <w:t xml:space="preserve">质疑事项</w:t>
      </w:r>
      <w:r/>
    </w:p>
    <w:p>
      <w:pPr>
        <w:numPr>
          <w:ilvl w:val="0"/>
          <w:numId w:val="43"/>
        </w:num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p>
    <w:p>
      <w:pPr>
        <w:numPr>
          <w:ilvl w:val="0"/>
          <w:numId w:val="44"/>
        </w:numPr>
        <w:ind w:left="567" w:firstLine="0"/>
        <w:spacing w:line="400" w:lineRule="exact"/>
        <w:tabs>
          <w:tab w:val="left" w:pos="540" w:leader="none"/>
        </w:tabs>
        <w:rPr>
          <w:rFonts w:hint="eastAsia" w:ascii="宋体" w:hAnsi="宋体"/>
          <w:color w:val="auto"/>
          <w:highlight w:val="none"/>
        </w:rPr>
      </w:pPr>
      <w:r>
        <w:rPr>
          <w:rFonts w:hint="eastAsia" w:ascii="宋体" w:hAnsi="宋体"/>
          <w:bCs/>
          <w:color w:val="auto"/>
          <w:szCs w:val="21"/>
          <w:highlight w:val="none"/>
        </w:rPr>
        <w:t xml:space="preserve">对</w:t>
      </w:r>
      <w:r>
        <w:rPr>
          <w:rFonts w:hint="eastAsia" w:ascii="宋体" w:hAnsi="宋体"/>
          <w:color w:val="auto"/>
          <w:highlight w:val="none"/>
        </w:rPr>
        <w:t xml:space="preserve">可以质疑的采购文件提出质疑的，为收到采购文件之日或者采购文件公告期限届满之日；</w:t>
      </w:r>
      <w:r/>
    </w:p>
    <w:p>
      <w:pPr>
        <w:numPr>
          <w:ilvl w:val="0"/>
          <w:numId w:val="44"/>
        </w:numPr>
        <w:ind w:left="567" w:firstLine="0"/>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对采购过程提出质疑的，为各采购程序环节结束之日；</w:t>
      </w:r>
      <w:r/>
    </w:p>
    <w:p>
      <w:pPr>
        <w:numPr>
          <w:ilvl w:val="0"/>
          <w:numId w:val="44"/>
        </w:numPr>
        <w:ind w:left="567" w:firstLine="0"/>
        <w:spacing w:line="400" w:lineRule="exact"/>
        <w:tabs>
          <w:tab w:val="left" w:pos="540" w:leader="none"/>
        </w:tabs>
        <w:rPr>
          <w:rFonts w:hint="eastAsia" w:ascii="宋体" w:hAnsi="宋体"/>
          <w:bCs/>
          <w:color w:val="auto"/>
          <w:szCs w:val="21"/>
          <w:highlight w:val="none"/>
        </w:rPr>
      </w:pPr>
      <w:r>
        <w:rPr>
          <w:rFonts w:hint="eastAsia" w:ascii="宋体" w:hAnsi="宋体"/>
          <w:color w:val="auto"/>
          <w:highlight w:val="none"/>
        </w:rPr>
        <w:t xml:space="preserve">对中标或</w:t>
      </w:r>
      <w:r>
        <w:rPr>
          <w:rFonts w:hint="eastAsia" w:ascii="宋体" w:hAnsi="宋体"/>
          <w:bCs/>
          <w:color w:val="auto"/>
          <w:szCs w:val="21"/>
          <w:highlight w:val="none"/>
        </w:rPr>
        <w:t xml:space="preserve">者成交结果提出质疑的，为中标或者成交结果公告期限届满之日。 </w:t>
      </w:r>
      <w:r/>
    </w:p>
    <w:p>
      <w:pPr>
        <w:numPr>
          <w:ilvl w:val="0"/>
          <w:numId w:val="43"/>
        </w:num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提出质疑的供应商应当是参与所质疑项目采购活动的供应商，未依照采购公告要求获取采购文件的供应商，视为未参与该项政府采购活动，不具备对该政府采购项目提出质疑的法定权利。对采购文件内容质疑时，需提供在采购交易系统中下载本项目磋商文件的《投标供应商确认函》，未提供的视为未依照采购公告要求获取磋商文件的供应商，不具备对该政府采购项目提出质疑的法定权利。</w:t>
      </w:r>
      <w:r/>
    </w:p>
    <w:p>
      <w:pPr>
        <w:numPr>
          <w:ilvl w:val="0"/>
          <w:numId w:val="43"/>
        </w:num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供应商应当在法定质疑期内一次性提出针对同一采购程序环节的质疑。供应商如在法定期限内对同一采购程序环节提出多次质疑的，代理将只对供应商第一次质疑作出答复。</w:t>
      </w:r>
      <w:r>
        <w:rPr>
          <w:rFonts w:ascii="宋体" w:hAnsi="宋体"/>
          <w:bCs/>
          <w:color w:val="auto"/>
          <w:szCs w:val="21"/>
          <w:highlight w:val="none"/>
        </w:rPr>
        <w:t xml:space="preserve">迟于相关规定时间提交的</w:t>
      </w:r>
      <w:r>
        <w:rPr>
          <w:rFonts w:hint="eastAsia" w:ascii="宋体" w:hAnsi="宋体"/>
          <w:bCs/>
          <w:color w:val="auto"/>
          <w:szCs w:val="21"/>
          <w:highlight w:val="none"/>
        </w:rPr>
        <w:t xml:space="preserve">质疑</w:t>
      </w:r>
      <w:r>
        <w:rPr>
          <w:rFonts w:ascii="宋体" w:hAnsi="宋体"/>
          <w:bCs/>
          <w:color w:val="auto"/>
          <w:szCs w:val="21"/>
          <w:highlight w:val="none"/>
        </w:rPr>
        <w:t xml:space="preserve">，</w:t>
      </w:r>
      <w:r>
        <w:rPr>
          <w:rFonts w:hint="eastAsia" w:ascii="宋体" w:hAnsi="宋体"/>
          <w:bCs/>
          <w:color w:val="auto"/>
          <w:szCs w:val="21"/>
          <w:highlight w:val="none"/>
        </w:rPr>
        <w:t xml:space="preserve">采购方或</w:t>
      </w:r>
      <w:r>
        <w:rPr>
          <w:rFonts w:ascii="宋体" w:hAnsi="宋体"/>
          <w:bCs/>
          <w:color w:val="auto"/>
          <w:szCs w:val="21"/>
          <w:highlight w:val="none"/>
        </w:rPr>
        <w:t xml:space="preserve">采购代理机构</w:t>
      </w:r>
      <w:r>
        <w:rPr>
          <w:rFonts w:hint="eastAsia" w:ascii="宋体" w:hAnsi="宋体"/>
          <w:bCs/>
          <w:color w:val="auto"/>
          <w:szCs w:val="21"/>
          <w:highlight w:val="none"/>
        </w:rPr>
        <w:t xml:space="preserve">将按照相关法律法规的规定</w:t>
      </w:r>
      <w:r>
        <w:rPr>
          <w:rFonts w:ascii="宋体" w:hAnsi="宋体"/>
          <w:bCs/>
          <w:color w:val="auto"/>
          <w:szCs w:val="21"/>
          <w:highlight w:val="none"/>
        </w:rPr>
        <w:t xml:space="preserve">拒绝回答</w:t>
      </w:r>
      <w:r>
        <w:rPr>
          <w:rFonts w:hint="eastAsia" w:ascii="宋体" w:hAnsi="宋体"/>
          <w:bCs/>
          <w:color w:val="auto"/>
          <w:szCs w:val="21"/>
          <w:highlight w:val="none"/>
        </w:rPr>
        <w:t xml:space="preserve">。</w:t>
      </w:r>
      <w:r/>
    </w:p>
    <w:p>
      <w:pPr>
        <w:ind w:left="540"/>
        <w:spacing w:line="400" w:lineRule="exact"/>
        <w:tabs>
          <w:tab w:val="left" w:pos="540" w:leader="none"/>
        </w:tabs>
        <w:rPr>
          <w:rFonts w:hint="eastAsia" w:ascii="宋体" w:hAnsi="宋体"/>
          <w:color w:val="auto"/>
          <w:highlight w:val="none"/>
        </w:rPr>
      </w:pPr>
      <w:r>
        <w:rPr>
          <w:rFonts w:hint="eastAsia" w:ascii="宋体" w:hAnsi="宋体"/>
          <w:bCs/>
          <w:color w:val="auto"/>
          <w:szCs w:val="21"/>
          <w:highlight w:val="none"/>
        </w:rPr>
        <w:t xml:space="preserve">质疑</w:t>
      </w:r>
      <w:r>
        <w:rPr>
          <w:rFonts w:hint="eastAsia" w:ascii="宋体" w:hAnsi="宋体"/>
          <w:color w:val="auto"/>
          <w:highlight w:val="none"/>
        </w:rPr>
        <w:t xml:space="preserve">联系部门：业务部-金健</w:t>
      </w:r>
      <w:r/>
    </w:p>
    <w:p>
      <w:pPr>
        <w:ind w:left="540"/>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联系电话：0512-68364647/68361806</w:t>
      </w:r>
      <w:r/>
    </w:p>
    <w:p>
      <w:pPr>
        <w:ind w:left="540"/>
        <w:spacing w:line="400" w:lineRule="exact"/>
        <w:tabs>
          <w:tab w:val="left" w:pos="540" w:leader="none"/>
        </w:tabs>
        <w:rPr>
          <w:rFonts w:hint="eastAsia" w:ascii="宋体" w:hAnsi="宋体"/>
          <w:bCs/>
          <w:color w:val="auto"/>
          <w:szCs w:val="21"/>
          <w:highlight w:val="none"/>
        </w:rPr>
      </w:pPr>
      <w:r>
        <w:rPr>
          <w:rFonts w:hint="eastAsia" w:ascii="宋体" w:hAnsi="宋体"/>
          <w:color w:val="auto"/>
          <w:highlight w:val="none"/>
        </w:rPr>
        <w:t xml:space="preserve">通讯地址：</w:t>
      </w:r>
      <w:r>
        <w:rPr>
          <w:rFonts w:ascii="宋体" w:hAnsi="宋体"/>
          <w:bCs/>
          <w:color w:val="auto"/>
          <w:szCs w:val="21"/>
          <w:highlight w:val="none"/>
        </w:rPr>
        <w:t xml:space="preserve">苏州市</w:t>
      </w:r>
      <w:r>
        <w:rPr>
          <w:rFonts w:hint="eastAsia" w:ascii="宋体" w:hAnsi="宋体"/>
          <w:bCs/>
          <w:color w:val="auto"/>
          <w:szCs w:val="21"/>
          <w:highlight w:val="none"/>
        </w:rPr>
        <w:t xml:space="preserve">三香路万盛大厦13楼B 座</w:t>
      </w:r>
      <w:r/>
    </w:p>
    <w:p>
      <w:pPr>
        <w:numPr>
          <w:ilvl w:val="0"/>
          <w:numId w:val="43"/>
        </w:num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numPr>
          <w:ilvl w:val="0"/>
          <w:numId w:val="43"/>
        </w:num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numPr>
          <w:ilvl w:val="0"/>
          <w:numId w:val="43"/>
        </w:numPr>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numPr>
          <w:ilvl w:val="0"/>
          <w:numId w:val="17"/>
        </w:numPr>
        <w:ind w:left="525" w:hanging="525"/>
        <w:spacing w:line="400" w:lineRule="exact"/>
        <w:tabs>
          <w:tab w:val="clear" w:pos="420" w:leader="none"/>
          <w:tab w:val="left" w:pos="525" w:leader="none"/>
          <w:tab w:val="left" w:pos="567" w:leader="none"/>
        </w:tabs>
        <w:rPr>
          <w:rFonts w:hint="eastAsia" w:ascii="宋体" w:hAnsi="宋体"/>
          <w:bCs/>
          <w:color w:val="auto"/>
          <w:szCs w:val="21"/>
          <w:highlight w:val="none"/>
        </w:rPr>
      </w:pPr>
      <w:r>
        <w:rPr>
          <w:rFonts w:hint="eastAsia" w:ascii="宋体" w:hAnsi="宋体"/>
          <w:bCs/>
          <w:color w:val="auto"/>
          <w:szCs w:val="21"/>
          <w:highlight w:val="none"/>
        </w:rPr>
        <w:t xml:space="preserve">磋商程序：</w:t>
      </w:r>
      <w:r/>
    </w:p>
    <w:p>
      <w:pPr>
        <w:numPr>
          <w:ilvl w:val="0"/>
          <w:numId w:val="45"/>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采购代理机构按本采购文件规定的时间、地点主持磋商采购活动。</w:t>
      </w:r>
      <w:r/>
    </w:p>
    <w:p>
      <w:pPr>
        <w:numPr>
          <w:ilvl w:val="0"/>
          <w:numId w:val="45"/>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供应商通过“苏采云”系统在线参与磋商活动。供应商应当按照《苏采云系统供应商操作手册》规定在“苏采云”系统在规定的时间内对响应文件进行解密，否则视为放弃参与磋商活动。</w:t>
      </w:r>
      <w:r/>
    </w:p>
    <w:p>
      <w:pPr>
        <w:numPr>
          <w:ilvl w:val="0"/>
          <w:numId w:val="45"/>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在磋商响应文件网上递交截止时间止成功解密的磋商供应商少于三家，则本次采购失败。</w:t>
      </w:r>
      <w:r/>
    </w:p>
    <w:p>
      <w:pPr>
        <w:numPr>
          <w:ilvl w:val="0"/>
          <w:numId w:val="45"/>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由磋商小组审查供应商解密的响应文件。</w:t>
      </w:r>
      <w:r/>
    </w:p>
    <w:p>
      <w:pPr>
        <w:numPr>
          <w:ilvl w:val="0"/>
          <w:numId w:val="45"/>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numPr>
          <w:ilvl w:val="0"/>
          <w:numId w:val="45"/>
        </w:numPr>
        <w:spacing w:line="400" w:lineRule="exact"/>
        <w:tabs>
          <w:tab w:val="left" w:pos="540" w:leader="none"/>
        </w:tabs>
        <w:rPr>
          <w:rFonts w:hint="eastAsia" w:ascii="宋体" w:hAnsi="宋体"/>
          <w:color w:val="auto"/>
          <w:szCs w:val="21"/>
          <w:highlight w:val="none"/>
        </w:rPr>
      </w:pPr>
      <w:r>
        <w:rPr>
          <w:rFonts w:hint="eastAsia" w:ascii="宋体" w:hAnsi="宋体"/>
          <w:color w:val="auto"/>
          <w:highlight w:val="none"/>
        </w:rPr>
        <w:t xml:space="preserve">磋商小组要求供应商澄清、</w:t>
      </w:r>
      <w:r>
        <w:rPr>
          <w:rFonts w:hint="eastAsia" w:ascii="宋体" w:hAnsi="宋体"/>
          <w:color w:val="auto"/>
          <w:szCs w:val="21"/>
          <w:highlight w:val="none"/>
        </w:rPr>
        <w:t xml:space="preserve">说明或者更正响应文件应当以书面形式做出。供应商的澄清、说明或者更正应当由其单位加盖电子公章。</w:t>
      </w:r>
      <w:r/>
    </w:p>
    <w:p>
      <w:pPr>
        <w:numPr>
          <w:ilvl w:val="0"/>
          <w:numId w:val="46"/>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本项目</w:t>
      </w:r>
      <w:r>
        <w:rPr>
          <w:rFonts w:hint="eastAsia" w:ascii="宋体" w:hAnsi="宋体"/>
          <w:color w:val="auto"/>
          <w:highlight w:val="none"/>
        </w:rPr>
        <w:t xml:space="preserve">供应商</w:t>
      </w:r>
      <w:r>
        <w:rPr>
          <w:rFonts w:hint="eastAsia" w:ascii="宋体" w:hAnsi="宋体"/>
          <w:color w:val="auto"/>
          <w:szCs w:val="21"/>
          <w:highlight w:val="none"/>
        </w:rPr>
        <w:t xml:space="preserve">的澄清、说明或者补正采用线上澄清：磋商小组将通过“苏采云”系统向供应商发布“澄清要求</w:t>
      </w:r>
      <w:r>
        <w:rPr>
          <w:rFonts w:hint="eastAsia" w:ascii="宋体" w:hAnsi="宋体"/>
          <w:color w:val="auto"/>
          <w:highlight w:val="none"/>
        </w:rPr>
        <w:t xml:space="preserve">函”，接到“澄清要求函”的供应商应当按要求在规定时间内通过“苏采云”系统提交“澄清响应函”并加盖CA电子公章，澄清、说明和补充的内容作为响应文件的补充部分。（此处规定时间的计算以系统中的倒计时间为准，供应</w:t>
      </w:r>
      <w:r>
        <w:rPr>
          <w:rFonts w:hint="eastAsia" w:ascii="宋体" w:hAnsi="宋体"/>
          <w:color w:val="auto"/>
          <w:szCs w:val="21"/>
          <w:highlight w:val="none"/>
        </w:rPr>
        <w:t xml:space="preserve">商应随时保持系统在线，如因供应商自身原因未在规定时间内提交澄清确认资料的，导致的不利后果由供应商自行承担）。</w:t>
      </w:r>
      <w:r/>
    </w:p>
    <w:p>
      <w:pPr>
        <w:numPr>
          <w:ilvl w:val="0"/>
          <w:numId w:val="45"/>
        </w:numPr>
        <w:spacing w:line="400" w:lineRule="exact"/>
        <w:tabs>
          <w:tab w:val="left" w:pos="540" w:leader="none"/>
        </w:tabs>
        <w:rPr>
          <w:rFonts w:hint="eastAsia" w:ascii="宋体" w:hAnsi="宋体"/>
          <w:color w:val="auto"/>
          <w:highlight w:val="none"/>
        </w:rPr>
      </w:pPr>
      <w:r>
        <w:rPr>
          <w:rFonts w:hint="eastAsia" w:ascii="宋体" w:hAnsi="宋体"/>
          <w:color w:val="auto"/>
          <w:szCs w:val="21"/>
          <w:highlight w:val="none"/>
        </w:rPr>
        <w:t xml:space="preserve">对</w:t>
      </w:r>
      <w:r>
        <w:rPr>
          <w:rFonts w:hint="eastAsia" w:ascii="宋体" w:hAnsi="宋体"/>
          <w:color w:val="auto"/>
          <w:highlight w:val="none"/>
        </w:rPr>
        <w:t xml:space="preserve">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numPr>
          <w:ilvl w:val="0"/>
          <w:numId w:val="45"/>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numPr>
          <w:ilvl w:val="0"/>
          <w:numId w:val="45"/>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磋商结束后，磋商小组将在“苏采云”系统向所有实质性响应的供应商发布“最后报价要求函”及最后报价格式表，要求所有实质性响应的供应商在规定时间内提交最后报价。</w:t>
      </w:r>
      <w:r/>
    </w:p>
    <w:p>
      <w:pPr>
        <w:numPr>
          <w:ilvl w:val="0"/>
          <w:numId w:val="45"/>
        </w:numPr>
        <w:spacing w:line="400" w:lineRule="exact"/>
        <w:tabs>
          <w:tab w:val="left" w:pos="540" w:leader="none"/>
        </w:tabs>
        <w:rPr>
          <w:rFonts w:hint="eastAsia" w:ascii="宋体" w:hAnsi="宋体"/>
          <w:color w:val="auto"/>
          <w:szCs w:val="21"/>
          <w:highlight w:val="none"/>
        </w:rPr>
      </w:pPr>
      <w:r>
        <w:rPr>
          <w:rFonts w:hint="eastAsia" w:ascii="宋体" w:hAnsi="宋体"/>
          <w:color w:val="auto"/>
          <w:highlight w:val="none"/>
        </w:rPr>
        <w:t xml:space="preserve">供应商未在磋商小组规定的时间内在“苏采云”系统中提交最后报价的视为放弃磋商，其响应文件按无效响应处理，最后报</w:t>
      </w:r>
      <w:r>
        <w:rPr>
          <w:rFonts w:hint="eastAsia" w:ascii="宋体" w:hAnsi="宋体"/>
          <w:color w:val="auto"/>
          <w:szCs w:val="21"/>
          <w:highlight w:val="none"/>
        </w:rPr>
        <w:t xml:space="preserve">价格式表须加盖CA电子公章,否则视为未提交最后报价（此处规定时间的计算以系统中的倒计时间为准，系统中的线上最后报价只有一次机会，提交后无法撤回，请供应商慎重提交）。</w:t>
      </w:r>
      <w:r/>
    </w:p>
    <w:p>
      <w:pPr>
        <w:numPr>
          <w:ilvl w:val="0"/>
          <w:numId w:val="47"/>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已提交响应文件的供应商，在提交最后报价之前，可以根据磋商情况退出磋商，并在“苏采云”系统中提交“退出磋商函”并加盖CA电子公章。</w:t>
      </w:r>
      <w:r/>
    </w:p>
    <w:p>
      <w:pPr>
        <w:numPr>
          <w:ilvl w:val="0"/>
          <w:numId w:val="47"/>
        </w:numPr>
        <w:spacing w:line="400" w:lineRule="exact"/>
        <w:rPr>
          <w:rFonts w:hint="eastAsia" w:ascii="宋体" w:hAnsi="宋体"/>
          <w:color w:val="auto"/>
          <w:szCs w:val="21"/>
          <w:highlight w:val="none"/>
        </w:rPr>
      </w:pPr>
      <w:r>
        <w:rPr>
          <w:rFonts w:hint="eastAsia" w:ascii="宋体" w:hAnsi="宋体"/>
          <w:color w:val="auto"/>
          <w:szCs w:val="21"/>
          <w:highlight w:val="none"/>
        </w:rPr>
        <w:t xml:space="preserve">进入项目评审流程后，建议各供应商法定代表人或授权委托人始终保持通讯顺畅，及时登录苏采云系统查阅、答复相关信息。 </w:t>
      </w:r>
      <w:r/>
    </w:p>
    <w:p>
      <w:pPr>
        <w:numPr>
          <w:ilvl w:val="0"/>
          <w:numId w:val="45"/>
        </w:numPr>
        <w:spacing w:line="400" w:lineRule="exact"/>
        <w:tabs>
          <w:tab w:val="left" w:pos="540" w:leader="none"/>
        </w:tabs>
        <w:rPr>
          <w:rFonts w:hint="eastAsia" w:ascii="宋体" w:hAnsi="宋体"/>
          <w:color w:val="auto"/>
          <w:highlight w:val="none"/>
        </w:rPr>
      </w:pPr>
      <w:r>
        <w:rPr>
          <w:rFonts w:hint="eastAsia" w:ascii="宋体" w:hAnsi="宋体"/>
          <w:color w:val="auto"/>
          <w:szCs w:val="21"/>
          <w:highlight w:val="none"/>
        </w:rPr>
        <w:t xml:space="preserve">经</w:t>
      </w:r>
      <w:r>
        <w:rPr>
          <w:rFonts w:hint="eastAsia" w:ascii="宋体" w:hAnsi="宋体"/>
          <w:color w:val="auto"/>
          <w:highlight w:val="none"/>
        </w:rPr>
        <w:t xml:space="preserve">磋商确定最终采购需求和提交最后报价的供应商后，由磋商小组采用综合评分法对提交最后报价的供应商的响应文件和最后报价进行综合评分。 </w:t>
      </w:r>
      <w:r/>
    </w:p>
    <w:p>
      <w:pPr>
        <w:numPr>
          <w:ilvl w:val="0"/>
          <w:numId w:val="45"/>
        </w:numPr>
        <w:spacing w:line="400" w:lineRule="exact"/>
        <w:tabs>
          <w:tab w:val="left" w:pos="540" w:leader="none"/>
        </w:tabs>
        <w:rPr>
          <w:rFonts w:hint="eastAsia" w:ascii="宋体" w:hAnsi="宋体"/>
          <w:color w:val="auto"/>
          <w:highlight w:val="none"/>
        </w:rPr>
      </w:pPr>
      <w:r>
        <w:rPr>
          <w:rFonts w:hint="eastAsia" w:ascii="宋体" w:hAnsi="宋体"/>
          <w:color w:val="auto"/>
          <w:highlight w:val="none"/>
        </w:rPr>
        <w:t xml:space="preserve">磋商小组根据磋商成交原则确定成交供应商，并将结果通知所有参加磋商的供应商。</w:t>
      </w:r>
      <w:r/>
    </w:p>
    <w:p>
      <w:pPr>
        <w:numPr>
          <w:ilvl w:val="0"/>
          <w:numId w:val="45"/>
        </w:numPr>
        <w:spacing w:line="400" w:lineRule="exact"/>
        <w:tabs>
          <w:tab w:val="left" w:pos="540" w:leader="none"/>
        </w:tabs>
        <w:rPr>
          <w:rFonts w:hint="eastAsia" w:ascii="宋体" w:hAnsi="宋体" w:cs="宋体"/>
          <w:color w:val="auto"/>
          <w:szCs w:val="21"/>
          <w:highlight w:val="none"/>
        </w:rPr>
      </w:pPr>
      <w:r>
        <w:rPr>
          <w:rFonts w:hint="eastAsia" w:ascii="宋体" w:hAnsi="宋体"/>
          <w:color w:val="auto"/>
          <w:highlight w:val="none"/>
        </w:rPr>
        <w:t xml:space="preserve">如磋商</w:t>
      </w:r>
      <w:r>
        <w:rPr>
          <w:rFonts w:hint="eastAsia" w:ascii="宋体" w:hAnsi="宋体"/>
          <w:color w:val="auto"/>
          <w:szCs w:val="21"/>
          <w:highlight w:val="none"/>
        </w:rPr>
        <w:t xml:space="preserve">过程中出现本采购文件未尽事宜，由磋商小组根据政府采购有关法律、法规讨论决定。</w:t>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0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三、磋商成交原则及评分标准</w:t>
      </w:r>
      <w:r/>
    </w:p>
    <w:p>
      <w:pPr>
        <w:ind w:left="-525"/>
        <w:jc w:val="center"/>
        <w:spacing w:line="400" w:lineRule="exact"/>
        <w:tabs>
          <w:tab w:val="left" w:pos="525" w:leader="none"/>
        </w:tabs>
        <w:rPr>
          <w:rFonts w:hint="eastAsia" w:ascii="宋体" w:hAnsi="宋体"/>
          <w:bCs/>
          <w:color w:val="auto"/>
          <w:highlight w:val="none"/>
        </w:rPr>
      </w:pPr>
      <w:r>
        <w:rPr>
          <w:rFonts w:hint="eastAsia" w:ascii="宋体" w:hAnsi="宋体"/>
          <w:bCs/>
          <w:color w:val="auto"/>
          <w:highlight w:val="none"/>
        </w:rPr>
      </w:r>
      <w:r/>
    </w:p>
    <w:p>
      <w:pPr>
        <w:ind w:left="-525"/>
        <w:jc w:val="center"/>
        <w:keepLines w:val="0"/>
        <w:keepNext w:val="0"/>
        <w:pageBreakBefore w:val="0"/>
        <w:spacing w:line="420" w:lineRule="exact"/>
        <w:widowControl w:val="off"/>
        <w:tabs>
          <w:tab w:val="left" w:pos="525" w:leader="none"/>
        </w:tabs>
        <w:rPr>
          <w:rFonts w:hint="eastAsia" w:ascii="宋体" w:hAnsi="宋体"/>
          <w:b/>
          <w:color w:val="auto"/>
          <w:highlight w:val="none"/>
        </w:rPr>
      </w:pPr>
      <w:r>
        <w:rPr>
          <w:rFonts w:hint="eastAsia" w:ascii="宋体" w:hAnsi="宋体"/>
          <w:b/>
          <w:color w:val="auto"/>
          <w:highlight w:val="none"/>
        </w:rPr>
        <w:t xml:space="preserve">成交原则</w:t>
      </w:r>
      <w:r/>
    </w:p>
    <w:p>
      <w:pPr>
        <w:numPr>
          <w:ilvl w:val="0"/>
          <w:numId w:val="48"/>
        </w:numPr>
        <w:keepLines w:val="0"/>
        <w:keepNext w:val="0"/>
        <w:pageBreakBefore w:val="0"/>
        <w:spacing w:line="420" w:lineRule="exact"/>
        <w:widowControl w:val="off"/>
        <w:tabs>
          <w:tab w:val="left" w:pos="840" w:leader="none"/>
          <w:tab w:val="left" w:pos="2870" w:leader="none"/>
        </w:tabs>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本次</w:t>
      </w:r>
      <w:r>
        <w:rPr>
          <w:rFonts w:hint="eastAsia" w:ascii="宋体" w:hAnsi="宋体"/>
          <w:color w:val="auto"/>
          <w:szCs w:val="21"/>
          <w:highlight w:val="none"/>
          <w:shd w:val="clear" w:color="auto" w:fill="auto"/>
        </w:rPr>
        <w:t xml:space="preserve">采购采用综合评分法，即在</w:t>
      </w:r>
      <w:r>
        <w:rPr>
          <w:rFonts w:ascii="宋体" w:hAnsi="宋体"/>
          <w:color w:val="auto"/>
          <w:szCs w:val="21"/>
          <w:highlight w:val="none"/>
          <w:shd w:val="clear" w:color="auto" w:fill="auto"/>
        </w:rPr>
        <w:t xml:space="preserve">响应文件满足磋商文件全部实质性要求</w:t>
      </w:r>
      <w:r>
        <w:rPr>
          <w:rFonts w:hint="eastAsia" w:ascii="宋体" w:hAnsi="宋体"/>
          <w:color w:val="auto"/>
          <w:szCs w:val="21"/>
          <w:highlight w:val="none"/>
          <w:shd w:val="clear" w:color="auto" w:fill="auto"/>
        </w:rPr>
        <w:t xml:space="preserve">，</w:t>
      </w:r>
      <w:r>
        <w:rPr>
          <w:rFonts w:ascii="宋体" w:hAnsi="宋体"/>
          <w:color w:val="auto"/>
          <w:szCs w:val="21"/>
          <w:highlight w:val="none"/>
          <w:shd w:val="clear" w:color="auto" w:fill="auto"/>
        </w:rPr>
        <w:t xml:space="preserve">且按评审因素的量化指标</w:t>
      </w:r>
      <w:r>
        <w:rPr>
          <w:rFonts w:hint="eastAsia" w:ascii="宋体" w:hAnsi="宋体"/>
          <w:color w:val="auto"/>
          <w:szCs w:val="21"/>
          <w:highlight w:val="none"/>
          <w:shd w:val="clear" w:color="auto" w:fill="auto"/>
        </w:rPr>
        <w:t xml:space="preserve">进行</w:t>
      </w:r>
      <w:r>
        <w:rPr>
          <w:rFonts w:ascii="宋体" w:hAnsi="宋体"/>
          <w:color w:val="auto"/>
          <w:szCs w:val="21"/>
          <w:highlight w:val="none"/>
          <w:shd w:val="clear" w:color="auto" w:fill="auto"/>
        </w:rPr>
        <w:t xml:space="preserve">评审</w:t>
      </w:r>
      <w:r>
        <w:rPr>
          <w:rFonts w:hint="eastAsia" w:ascii="宋体" w:hAnsi="宋体"/>
          <w:color w:val="auto"/>
          <w:szCs w:val="21"/>
          <w:highlight w:val="none"/>
          <w:shd w:val="clear" w:color="auto" w:fill="auto"/>
        </w:rPr>
        <w:t xml:space="preserve">综合，</w:t>
      </w:r>
      <w:r>
        <w:rPr>
          <w:rFonts w:hint="eastAsia"/>
          <w:color w:val="auto"/>
          <w:highlight w:val="none"/>
          <w:shd w:val="clear" w:color="auto" w:fill="auto"/>
        </w:rPr>
        <w:t xml:space="preserve">综合得分最高的响应供应商成为成交供应商。</w:t>
      </w:r>
      <w:r/>
    </w:p>
    <w:p>
      <w:pPr>
        <w:numPr>
          <w:ilvl w:val="0"/>
          <w:numId w:val="48"/>
        </w:numPr>
        <w:keepLines w:val="0"/>
        <w:keepNext w:val="0"/>
        <w:pageBreakBefore w:val="0"/>
        <w:spacing w:line="420" w:lineRule="exact"/>
        <w:widowControl w:val="off"/>
        <w:tabs>
          <w:tab w:val="left" w:pos="840" w:leader="none"/>
          <w:tab w:val="left" w:pos="2870" w:leader="none"/>
        </w:tabs>
        <w:rPr>
          <w:rFonts w:hint="eastAsia" w:ascii="宋体" w:hAnsi="宋体" w:cs="宋体"/>
          <w:color w:val="auto"/>
          <w:highlight w:val="none"/>
          <w:shd w:val="clear" w:color="auto" w:fill="auto"/>
        </w:rPr>
      </w:pPr>
      <w:r>
        <w:rPr>
          <w:rFonts w:hint="eastAsia" w:ascii="宋体" w:hAnsi="宋体"/>
          <w:color w:val="auto"/>
          <w:szCs w:val="21"/>
          <w:highlight w:val="none"/>
          <w:shd w:val="clear" w:color="auto" w:fill="auto"/>
        </w:rPr>
        <w:t xml:space="preserve">如出现评标总得分最高的磋商响应单位有两个以上的，以实际</w:t>
      </w:r>
      <w:r>
        <w:rPr>
          <w:rFonts w:ascii="宋体" w:hAnsi="宋体"/>
          <w:color w:val="auto"/>
          <w:szCs w:val="21"/>
          <w:highlight w:val="none"/>
          <w:shd w:val="clear" w:color="auto" w:fill="auto"/>
        </w:rPr>
        <w:t xml:space="preserve">投标报价较低者优先作为</w:t>
      </w:r>
      <w:r>
        <w:rPr>
          <w:rFonts w:hint="eastAsia" w:ascii="宋体" w:hAnsi="宋体"/>
          <w:color w:val="auto"/>
          <w:szCs w:val="21"/>
          <w:highlight w:val="none"/>
          <w:shd w:val="clear" w:color="auto" w:fill="auto"/>
        </w:rPr>
        <w:t xml:space="preserve">成交</w:t>
      </w:r>
      <w:r>
        <w:rPr>
          <w:rFonts w:ascii="宋体" w:hAnsi="宋体"/>
          <w:color w:val="auto"/>
          <w:szCs w:val="21"/>
          <w:highlight w:val="none"/>
          <w:shd w:val="clear" w:color="auto" w:fill="auto"/>
        </w:rPr>
        <w:t xml:space="preserve">候选人</w:t>
      </w:r>
      <w:r>
        <w:rPr>
          <w:rFonts w:hint="eastAsia" w:ascii="宋体" w:hAnsi="宋体"/>
          <w:color w:val="auto"/>
          <w:szCs w:val="21"/>
          <w:highlight w:val="none"/>
          <w:shd w:val="clear" w:color="auto" w:fill="auto"/>
        </w:rPr>
        <w:t xml:space="preserve">；</w:t>
      </w:r>
      <w:r>
        <w:rPr>
          <w:rFonts w:ascii="宋体" w:hAnsi="宋体"/>
          <w:color w:val="auto"/>
          <w:szCs w:val="21"/>
          <w:highlight w:val="none"/>
          <w:shd w:val="clear" w:color="auto" w:fill="auto"/>
        </w:rPr>
        <w:t xml:space="preserve">如果</w:t>
      </w:r>
      <w:r>
        <w:rPr>
          <w:rFonts w:hint="eastAsia" w:ascii="宋体" w:hAnsi="宋体"/>
          <w:color w:val="auto"/>
          <w:szCs w:val="21"/>
          <w:highlight w:val="none"/>
          <w:shd w:val="clear" w:color="auto" w:fill="auto"/>
        </w:rPr>
        <w:t xml:space="preserve">投标报</w:t>
      </w:r>
      <w:r>
        <w:rPr>
          <w:rFonts w:hint="eastAsia" w:ascii="宋体" w:hAnsi="宋体" w:cs="宋体"/>
          <w:color w:val="auto"/>
          <w:szCs w:val="21"/>
          <w:highlight w:val="none"/>
          <w:shd w:val="clear" w:color="auto" w:fill="auto"/>
        </w:rPr>
        <w:t xml:space="preserve">价也相同的，则由代理机构组织以抽签方式确定成交候选人</w:t>
      </w:r>
      <w:r>
        <w:rPr>
          <w:rFonts w:hint="eastAsia" w:ascii="宋体" w:hAnsi="宋体" w:cs="宋体"/>
          <w:color w:val="auto"/>
          <w:highlight w:val="none"/>
          <w:shd w:val="clear" w:color="auto" w:fill="auto"/>
        </w:rPr>
        <w:t xml:space="preserve">。</w:t>
      </w:r>
      <w:r/>
    </w:p>
    <w:p>
      <w:pPr>
        <w:numPr>
          <w:ilvl w:val="0"/>
          <w:numId w:val="48"/>
        </w:numPr>
        <w:keepLines w:val="0"/>
        <w:keepNext w:val="0"/>
        <w:pageBreakBefore w:val="0"/>
        <w:spacing w:line="420" w:lineRule="exact"/>
        <w:widowControl w:val="off"/>
        <w:tabs>
          <w:tab w:val="left" w:pos="840" w:leader="none"/>
          <w:tab w:val="left" w:pos="2870" w:leader="none"/>
        </w:tabs>
        <w:rPr>
          <w:rFonts w:hint="eastAsia" w:ascii="宋体" w:hAnsi="宋体" w:cs="宋体"/>
          <w:color w:val="auto"/>
          <w:szCs w:val="21"/>
          <w:highlight w:val="none"/>
          <w:shd w:val="clear" w:color="auto" w:fill="auto"/>
        </w:rPr>
      </w:pPr>
      <w:r>
        <w:rPr>
          <w:rFonts w:hint="eastAsia" w:ascii="宋体" w:hAnsi="宋体" w:eastAsia="宋体" w:cs="Times New Roman"/>
          <w:color w:val="auto"/>
          <w:szCs w:val="21"/>
          <w:highlight w:val="none"/>
          <w:shd w:val="clear" w:color="auto" w:fill="auto"/>
        </w:rPr>
        <w:t xml:space="preserve">评审</w:t>
      </w:r>
      <w:r>
        <w:rPr>
          <w:rFonts w:hint="eastAsia" w:ascii="宋体" w:hAnsi="宋体" w:cs="宋体"/>
          <w:color w:val="auto"/>
          <w:szCs w:val="21"/>
          <w:highlight w:val="none"/>
          <w:shd w:val="clear" w:color="auto" w:fill="auto"/>
        </w:rPr>
        <w:t xml:space="preserve">过程中出现下列情形之一的，评审委员会</w:t>
      </w:r>
      <w:r>
        <w:rPr>
          <w:rFonts w:hint="eastAsia" w:ascii="宋体" w:hAnsi="宋体" w:cs="宋体"/>
          <w:color w:val="auto"/>
          <w:szCs w:val="21"/>
          <w:highlight w:val="none"/>
          <w:shd w:val="clear" w:color="auto" w:fill="auto"/>
          <w:lang w:val="en-US" w:eastAsia="zh-CN"/>
        </w:rPr>
        <w:t xml:space="preserve">将</w:t>
      </w:r>
      <w:r>
        <w:rPr>
          <w:rFonts w:hint="eastAsia" w:ascii="宋体" w:hAnsi="宋体" w:cs="宋体"/>
          <w:color w:val="auto"/>
          <w:szCs w:val="21"/>
          <w:highlight w:val="none"/>
          <w:shd w:val="clear" w:color="auto" w:fill="auto"/>
        </w:rPr>
        <w:t xml:space="preserve">启动异常低价投标（响应）审查程序：</w:t>
      </w:r>
      <w:r/>
    </w:p>
    <w:p>
      <w:pPr>
        <w:numPr>
          <w:ilvl w:val="0"/>
          <w:numId w:val="49"/>
        </w:numPr>
        <w:ind w:left="567" w:hanging="567"/>
        <w:keepLines w:val="0"/>
        <w:keepNext w:val="0"/>
        <w:pageBreakBefore w:val="0"/>
        <w:spacing w:line="42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w:t>
      </w:r>
      <w:r>
        <w:rPr>
          <w:rFonts w:hint="eastAsia" w:ascii="宋体" w:hAnsi="宋体" w:cs="宋体"/>
          <w:color w:val="auto"/>
          <w:szCs w:val="21"/>
          <w:highlight w:val="none"/>
          <w:shd w:val="clear" w:color="auto" w:fill="auto"/>
          <w:lang w:val="en-US" w:eastAsia="zh-CN"/>
        </w:rPr>
        <w:t xml:space="preserve">全部通过符合性审查供应商投标（响应）报价平均值50%的，即投标（响应）报价＜全部通过符合性审查供应商投标（响应）报价平均值</w:t>
      </w:r>
      <w:r>
        <w:rPr>
          <w:rFonts w:hint="eastAsia" w:ascii="宋体" w:hAnsi="宋体" w:cs="宋体"/>
          <w:color w:val="auto"/>
          <w:szCs w:val="21"/>
          <w:highlight w:val="none"/>
          <w:shd w:val="clear" w:color="auto" w:fill="auto"/>
        </w:rPr>
        <w:t xml:space="preserve">×50%</w:t>
      </w:r>
      <w:r>
        <w:rPr>
          <w:rFonts w:hint="eastAsia" w:ascii="宋体" w:hAnsi="宋体" w:cs="宋体"/>
          <w:color w:val="auto"/>
          <w:szCs w:val="21"/>
          <w:highlight w:val="none"/>
          <w:shd w:val="clear" w:color="auto" w:fill="auto"/>
          <w:lang w:eastAsia="zh-CN"/>
        </w:rPr>
        <w:t xml:space="preserve">；</w:t>
      </w:r>
      <w:r/>
    </w:p>
    <w:p>
      <w:pPr>
        <w:numPr>
          <w:ilvl w:val="0"/>
          <w:numId w:val="49"/>
        </w:numPr>
        <w:ind w:left="567" w:hanging="567"/>
        <w:keepLines w:val="0"/>
        <w:keepNext w:val="0"/>
        <w:pageBreakBefore w:val="0"/>
        <w:spacing w:line="42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w:t>
      </w:r>
      <w:r>
        <w:rPr>
          <w:rFonts w:hint="eastAsia" w:ascii="宋体" w:hAnsi="宋体" w:cs="宋体"/>
          <w:color w:val="auto"/>
          <w:szCs w:val="21"/>
          <w:highlight w:val="none"/>
          <w:shd w:val="clear" w:color="auto" w:fill="auto"/>
          <w:lang w:val="en-US" w:eastAsia="zh-CN"/>
        </w:rPr>
        <w:t xml:space="preserve">通过符合性审查的次低报价供应商投标（响应）报价50%的，即投标（响应）报价＜通过符合性审查的次低报价供应商投标（响应）报价</w:t>
      </w:r>
      <w:r>
        <w:rPr>
          <w:rFonts w:hint="eastAsia" w:ascii="宋体" w:hAnsi="宋体" w:cs="宋体"/>
          <w:color w:val="auto"/>
          <w:szCs w:val="21"/>
          <w:highlight w:val="none"/>
          <w:shd w:val="clear" w:color="auto" w:fill="auto"/>
        </w:rPr>
        <w:t xml:space="preserve">×</w:t>
      </w:r>
      <w:r>
        <w:rPr>
          <w:rFonts w:hint="eastAsia" w:ascii="宋体" w:hAnsi="宋体" w:cs="宋体"/>
          <w:color w:val="auto"/>
          <w:szCs w:val="21"/>
          <w:highlight w:val="none"/>
          <w:shd w:val="clear" w:color="auto" w:fill="auto"/>
          <w:lang w:val="en-US" w:eastAsia="zh-CN"/>
        </w:rPr>
        <w:t xml:space="preserve">50%；</w:t>
      </w:r>
      <w:r/>
    </w:p>
    <w:p>
      <w:pPr>
        <w:numPr>
          <w:ilvl w:val="0"/>
          <w:numId w:val="49"/>
        </w:numPr>
        <w:ind w:left="567" w:hanging="567"/>
        <w:keepLines w:val="0"/>
        <w:keepNext w:val="0"/>
        <w:pageBreakBefore w:val="0"/>
        <w:spacing w:line="42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投标（响应）报价低于采购项目最高限价45%的，即投标（响应）报价</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采购项目最高限价×45%；</w:t>
      </w:r>
      <w:r/>
    </w:p>
    <w:p>
      <w:pPr>
        <w:numPr>
          <w:ilvl w:val="0"/>
          <w:numId w:val="49"/>
        </w:numPr>
        <w:ind w:left="567" w:hanging="567"/>
        <w:keepLines w:val="0"/>
        <w:keepNext w:val="0"/>
        <w:pageBreakBefore w:val="0"/>
        <w:spacing w:line="420" w:lineRule="exact"/>
        <w:widowControl w:val="off"/>
        <w:rPr>
          <w:rFonts w:hint="eastAsia" w:ascii="宋体" w:hAnsi="宋体" w:cs="宋体"/>
          <w:color w:val="auto"/>
          <w:szCs w:val="21"/>
          <w:highlight w:val="none"/>
          <w:shd w:val="clear" w:color="auto" w:fill="auto"/>
        </w:rPr>
        <w:outlineLvl w:val="9"/>
      </w:pPr>
      <w:r>
        <w:rPr>
          <w:rFonts w:hint="eastAsia" w:ascii="宋体" w:hAnsi="宋体" w:cs="宋体"/>
          <w:color w:val="auto"/>
          <w:szCs w:val="21"/>
          <w:highlight w:val="none"/>
          <w:shd w:val="clear" w:color="auto" w:fill="auto"/>
        </w:rPr>
        <w:t xml:space="preserve">评审委员会</w:t>
      </w:r>
      <w:r>
        <w:rPr>
          <w:rFonts w:hint="eastAsia" w:ascii="宋体" w:hAnsi="宋体" w:cs="宋体"/>
          <w:color w:val="auto"/>
          <w:szCs w:val="21"/>
          <w:highlight w:val="none"/>
          <w:shd w:val="clear" w:color="auto" w:fill="auto"/>
          <w:lang w:val="en-US" w:eastAsia="zh-CN"/>
        </w:rPr>
        <w:t xml:space="preserve">基于专业判断，认为</w:t>
      </w:r>
      <w:r>
        <w:rPr>
          <w:rFonts w:hint="eastAsia" w:ascii="宋体" w:hAnsi="宋体" w:cs="宋体"/>
          <w:color w:val="auto"/>
          <w:szCs w:val="21"/>
          <w:highlight w:val="none"/>
          <w:shd w:val="clear" w:color="auto" w:fill="auto"/>
        </w:rPr>
        <w:t xml:space="preserve">供应商报价过低</w:t>
      </w: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rPr>
        <w:t xml:space="preserve">有可能影响产品质量或者不能诚信履约的其他情形。</w:t>
      </w:r>
      <w:r/>
    </w:p>
    <w:p>
      <w:pPr>
        <w:numPr>
          <w:ilvl w:val="0"/>
          <w:numId w:val="48"/>
        </w:numPr>
        <w:keepLines w:val="0"/>
        <w:keepNext w:val="0"/>
        <w:pageBreakBefore w:val="0"/>
        <w:spacing w:line="420" w:lineRule="exact"/>
        <w:widowControl w:val="off"/>
        <w:tabs>
          <w:tab w:val="left" w:pos="840" w:leader="none"/>
          <w:tab w:val="left" w:pos="287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评审委员会启动异常低价投标(响应)审查后，属于前述第</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1</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项至第</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4</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3</w:t>
      </w:r>
      <w:r>
        <w:rPr>
          <w:rFonts w:hint="eastAsia" w:ascii="宋体" w:hAnsi="宋体" w:cs="宋体"/>
          <w:color w:val="auto"/>
          <w:szCs w:val="21"/>
          <w:highlight w:val="none"/>
          <w:shd w:val="clear" w:color="auto" w:fill="auto"/>
          <w:lang w:val="en-US" w:eastAsia="zh-CN"/>
        </w:rPr>
        <w:t xml:space="preserve">)</w:t>
      </w:r>
      <w:r>
        <w:rPr>
          <w:rFonts w:hint="eastAsia" w:ascii="宋体" w:hAnsi="宋体" w:cs="宋体"/>
          <w:color w:val="auto"/>
          <w:szCs w:val="21"/>
          <w:highlight w:val="none"/>
          <w:shd w:val="clear" w:color="auto" w:fill="auto"/>
        </w:rPr>
        <w:t xml:space="preserve">项情形，供应商已随投标(响应)文件一并提交相关书面说明及必要的证明材料的，在评审现场可不再重复提交。</w:t>
      </w:r>
      <w:r/>
    </w:p>
    <w:p>
      <w:pPr>
        <w:numPr>
          <w:ilvl w:val="0"/>
          <w:numId w:val="48"/>
        </w:numPr>
        <w:keepLines w:val="0"/>
        <w:keepNext w:val="0"/>
        <w:pageBreakBefore w:val="0"/>
        <w:spacing w:line="420" w:lineRule="exact"/>
        <w:widowControl w:val="off"/>
        <w:tabs>
          <w:tab w:val="left" w:pos="840" w:leader="none"/>
          <w:tab w:val="left" w:pos="2870" w:leader="none"/>
        </w:tabs>
        <w:rPr>
          <w:rFonts w:ascii="宋体" w:hAnsi="宋体"/>
          <w:color w:val="auto"/>
          <w:highlight w:val="none"/>
          <w:shd w:val="clear" w:color="auto" w:fill="auto"/>
        </w:rPr>
      </w:pPr>
      <w:r>
        <w:rPr>
          <w:rFonts w:hint="eastAsia" w:ascii="宋体" w:hAnsi="宋体" w:cs="宋体"/>
          <w:color w:val="auto"/>
          <w:szCs w:val="21"/>
          <w:highlight w:val="none"/>
          <w:shd w:val="clear" w:color="auto" w:fill="auto"/>
        </w:rPr>
        <w:t xml:space="preserve">评审委员会依据专业经验，参考同类项目中标(成交)价格、类似产品市场价格水平、行业人工费用标准、</w:t>
      </w:r>
      <w:r>
        <w:rPr>
          <w:rFonts w:hint="eastAsia" w:ascii="宋体" w:hAnsi="宋体" w:eastAsia="宋体" w:cs="Times New Roman"/>
          <w:color w:val="auto"/>
          <w:szCs w:val="21"/>
          <w:highlight w:val="none"/>
          <w:shd w:val="clear" w:color="auto" w:fill="auto"/>
        </w:rPr>
        <w:t xml:space="preserve">国家</w:t>
      </w:r>
      <w:r>
        <w:rPr>
          <w:rFonts w:hint="eastAsia" w:ascii="宋体" w:hAnsi="宋体" w:cs="宋体"/>
          <w:color w:val="auto"/>
          <w:szCs w:val="21"/>
          <w:highlight w:val="none"/>
          <w:shd w:val="clear" w:color="auto" w:fill="auto"/>
        </w:rPr>
        <w:t xml:space="preserve">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525"/>
        <w:jc w:val="center"/>
        <w:keepLines w:val="0"/>
        <w:keepNext w:val="0"/>
        <w:pageBreakBefore w:val="0"/>
        <w:spacing w:line="420" w:lineRule="exact"/>
        <w:widowControl w:val="off"/>
        <w:tabs>
          <w:tab w:val="left" w:pos="525" w:leader="none"/>
        </w:tabs>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评分标准</w:t>
      </w:r>
      <w:r/>
    </w:p>
    <w:p>
      <w:pPr>
        <w:numPr>
          <w:ilvl w:val="0"/>
          <w:numId w:val="50"/>
        </w:numPr>
        <w:ind w:left="567" w:hanging="567"/>
        <w:keepLines w:val="0"/>
        <w:keepNext w:val="0"/>
        <w:pageBreakBefore w:val="0"/>
        <w:spacing w:line="420" w:lineRule="exact"/>
        <w:widowControl w:val="off"/>
        <w:tabs>
          <w:tab w:val="left" w:pos="567" w:leader="none"/>
        </w:tabs>
        <w:rPr>
          <w:rFonts w:hint="eastAsia" w:ascii="宋体" w:hAnsi="宋体" w:eastAsia="宋体" w:cs="宋体"/>
          <w:b/>
          <w:color w:val="auto"/>
          <w:szCs w:val="21"/>
          <w:highlight w:val="none"/>
        </w:rPr>
      </w:pPr>
      <w:r/>
      <w:bookmarkStart w:id="19" w:name="_Hlk165988719"/>
      <w:r>
        <w:rPr>
          <w:rFonts w:hint="eastAsia" w:ascii="宋体" w:hAnsi="宋体" w:eastAsia="宋体" w:cs="宋体"/>
          <w:b/>
          <w:color w:val="auto"/>
          <w:szCs w:val="21"/>
          <w:highlight w:val="none"/>
        </w:rPr>
        <w:t xml:space="preserve">价格分（10分）</w:t>
      </w:r>
      <w:r/>
    </w:p>
    <w:p>
      <w:pPr>
        <w:numPr>
          <w:ilvl w:val="0"/>
          <w:numId w:val="51"/>
        </w:numPr>
        <w:ind w:left="567" w:hanging="567"/>
        <w:keepLines w:val="0"/>
        <w:keepNext w:val="0"/>
        <w:pageBreakBefore w:val="0"/>
        <w:spacing w:line="420" w:lineRule="exact"/>
        <w:widowControl w:val="off"/>
        <w:tabs>
          <w:tab w:val="left" w:pos="567" w:leader="none"/>
        </w:tabs>
        <w:rPr>
          <w:rFonts w:hint="eastAsia" w:ascii="宋体" w:hAnsi="宋体" w:eastAsia="宋体" w:cs="宋体"/>
          <w:color w:val="auto"/>
          <w:sz w:val="21"/>
          <w:szCs w:val="21"/>
          <w:highlight w:val="none"/>
        </w:rPr>
        <w:outlineLvl w:val="9"/>
      </w:pPr>
      <w:r/>
      <w:bookmarkStart w:id="20" w:name="OLE_LINK3"/>
      <w:r/>
      <w:bookmarkStart w:id="21" w:name="OLE_LINK19"/>
      <w:r/>
      <w:bookmarkStart w:id="22" w:name="OLE_LINK9"/>
      <w:r/>
      <w:bookmarkStart w:id="23" w:name="OLE_LINK7"/>
      <w:r>
        <w:rPr>
          <w:rFonts w:hint="eastAsia" w:ascii="宋体" w:hAnsi="宋体" w:eastAsia="宋体" w:cs="宋体"/>
          <w:color w:val="auto"/>
          <w:szCs w:val="21"/>
          <w:highlight w:val="none"/>
        </w:rPr>
        <w:t xml:space="preserve">磋商报价不超过采购预算价格的，为有效磋商报价。超出此范围的磋商报价为无效磋商报价。无效磋</w:t>
      </w:r>
      <w:r>
        <w:rPr>
          <w:rFonts w:hint="eastAsia" w:ascii="宋体" w:hAnsi="宋体" w:eastAsia="宋体" w:cs="宋体"/>
          <w:color w:val="auto"/>
          <w:sz w:val="21"/>
          <w:szCs w:val="21"/>
          <w:highlight w:val="none"/>
        </w:rPr>
        <w:t xml:space="preserve">商报价的响应文件不进行评审，也不得标。</w:t>
      </w:r>
      <w:r/>
    </w:p>
    <w:p>
      <w:pPr>
        <w:numPr>
          <w:ilvl w:val="0"/>
          <w:numId w:val="51"/>
        </w:numPr>
        <w:ind w:left="567" w:hanging="567"/>
        <w:keepLines w:val="0"/>
        <w:keepNext w:val="0"/>
        <w:pageBreakBefore w:val="0"/>
        <w:spacing w:line="420" w:lineRule="exact"/>
        <w:widowControl w:val="off"/>
        <w:tabs>
          <w:tab w:val="left" w:pos="567"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价格得分计算方法：根据各响应单位通过符合性审查的有效磋商报价中的最低价作为评标基准价，其价格分为满分。</w:t>
      </w:r>
      <w:r/>
    </w:p>
    <w:p>
      <w:pPr>
        <w:ind w:firstLine="567"/>
        <w:keepLines w:val="0"/>
        <w:keepNext w:val="0"/>
        <w:pageBreakBefore w:val="0"/>
        <w:spacing w:line="42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其他响应单位的价格分统一按照下列公式计算：</w:t>
      </w:r>
      <w:r/>
    </w:p>
    <w:p>
      <w:pPr>
        <w:ind w:firstLine="567"/>
        <w:keepLines w:val="0"/>
        <w:keepNext w:val="0"/>
        <w:pageBreakBefore w:val="0"/>
        <w:spacing w:line="42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磋商报价得分=(评标基准价／磋商报价)×价格权值</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×100，小数点后保留两位。</w:t>
      </w:r>
      <w:bookmarkEnd w:id="20"/>
      <w:r/>
      <w:bookmarkEnd w:id="21"/>
      <w:r/>
      <w:r/>
    </w:p>
    <w:p>
      <w:pPr>
        <w:numPr>
          <w:ilvl w:val="0"/>
          <w:numId w:val="50"/>
        </w:numPr>
        <w:ind w:left="567" w:hanging="567"/>
        <w:keepLines w:val="0"/>
        <w:keepNext w:val="0"/>
        <w:pageBreakBefore w:val="0"/>
        <w:spacing w:line="420" w:lineRule="exact"/>
        <w:widowControl w:val="off"/>
        <w:tabs>
          <w:tab w:val="left" w:pos="567"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技术服务方案</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水平</w:t>
      </w:r>
      <w:r>
        <w:rPr>
          <w:rFonts w:hint="eastAsia" w:ascii="宋体" w:hAnsi="宋体" w:eastAsia="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51</w:t>
      </w:r>
      <w:r>
        <w:rPr>
          <w:rFonts w:hint="eastAsia" w:ascii="宋体" w:hAnsi="宋体" w:eastAsia="宋体" w:cs="宋体"/>
          <w:b/>
          <w:color w:val="auto"/>
          <w:sz w:val="21"/>
          <w:szCs w:val="21"/>
          <w:highlight w:val="none"/>
        </w:rPr>
        <w:t xml:space="preserve">分）</w:t>
      </w:r>
      <w:r/>
    </w:p>
    <w:p>
      <w:pPr>
        <w:numPr>
          <w:ilvl w:val="0"/>
          <w:numId w:val="52"/>
        </w:numPr>
        <w:ind w:left="567" w:hanging="567"/>
        <w:keepLines w:val="0"/>
        <w:keepNext w:val="0"/>
        <w:pageBreakBefore w:val="0"/>
        <w:spacing w:line="420" w:lineRule="exact"/>
        <w:widowControl w:val="off"/>
        <w:tabs>
          <w:tab w:val="left" w:pos="567" w:leader="none"/>
          <w:tab w:val="left" w:pos="287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项目理解分析</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left="567" w:firstLine="0"/>
        <w:keepLines w:val="0"/>
        <w:keepNext w:val="0"/>
        <w:pageBreakBefore w:val="0"/>
        <w:spacing w:line="420" w:lineRule="exact"/>
        <w:widowControl w:val="off"/>
        <w:rPr>
          <w:rFonts w:hint="eastAsia" w:ascii="宋体" w:hAnsi="宋体" w:eastAsia="宋体" w:cs="宋体"/>
          <w:color w:val="auto"/>
          <w:sz w:val="21"/>
          <w:szCs w:val="21"/>
          <w:highlight w:val="none"/>
        </w:rPr>
        <w:outlineLvl w:val="9"/>
      </w:pPr>
      <w:r/>
      <w:bookmarkStart w:id="24" w:name="OLE_LINK22"/>
      <w:r>
        <w:rPr>
          <w:rFonts w:hint="eastAsia" w:ascii="宋体" w:hAnsi="宋体" w:eastAsia="宋体" w:cs="宋体"/>
          <w:color w:val="auto"/>
          <w:sz w:val="21"/>
          <w:szCs w:val="21"/>
          <w:highlight w:val="none"/>
        </w:rPr>
        <w:t xml:space="preserve">对本项目的</w:t>
      </w:r>
      <w:r>
        <w:rPr>
          <w:rFonts w:hint="eastAsia" w:ascii="宋体" w:hAnsi="宋体" w:eastAsia="宋体" w:cs="宋体"/>
          <w:color w:val="auto"/>
          <w:sz w:val="21"/>
          <w:szCs w:val="21"/>
          <w:highlight w:val="none"/>
          <w:lang w:val="en-US" w:eastAsia="zh-CN"/>
        </w:rPr>
        <w:t xml:space="preserve">概况</w:t>
      </w:r>
      <w:r>
        <w:rPr>
          <w:rFonts w:hint="eastAsia" w:ascii="宋体" w:hAnsi="宋体" w:eastAsia="宋体" w:cs="宋体"/>
          <w:color w:val="auto"/>
          <w:sz w:val="21"/>
          <w:szCs w:val="21"/>
          <w:highlight w:val="none"/>
        </w:rPr>
        <w:t xml:space="preserve">背景、采购需求的理解分析，理解透彻、到位，分析全面、合理得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分；理解较到位，分析较全面得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分；理解分析基本全面得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理解分析不太全面得1分；否则不得分。</w:t>
      </w:r>
      <w:bookmarkEnd w:id="24"/>
      <w:r/>
      <w:r/>
    </w:p>
    <w:p>
      <w:pPr>
        <w:numPr>
          <w:ilvl w:val="0"/>
          <w:numId w:val="52"/>
        </w:numPr>
        <w:ind w:left="567" w:hanging="567"/>
        <w:keepLines w:val="0"/>
        <w:keepNext w:val="0"/>
        <w:pageBreakBefore w:val="0"/>
        <w:spacing w:line="420" w:lineRule="exact"/>
        <w:widowControl w:val="off"/>
        <w:tabs>
          <w:tab w:val="left" w:pos="567" w:leader="none"/>
          <w:tab w:val="left" w:pos="287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工作技术路线（</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left="567" w:firstLine="0"/>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技术路线清晰、明确、合理可行，贴合</w:t>
      </w:r>
      <w:r>
        <w:rPr>
          <w:rFonts w:hint="eastAsia" w:ascii="宋体" w:hAnsi="宋体" w:eastAsia="宋体" w:cs="宋体"/>
          <w:color w:val="auto"/>
          <w:sz w:val="21"/>
          <w:szCs w:val="21"/>
          <w:highlight w:val="none"/>
        </w:rPr>
        <w:t xml:space="preserve">采购</w:t>
      </w:r>
      <w:r>
        <w:rPr>
          <w:rFonts w:hint="eastAsia" w:ascii="宋体" w:hAnsi="宋体" w:eastAsia="宋体" w:cs="宋体"/>
          <w:color w:val="auto"/>
          <w:sz w:val="21"/>
          <w:szCs w:val="21"/>
          <w:highlight w:val="none"/>
          <w:lang w:val="en-US" w:eastAsia="zh-CN"/>
        </w:rPr>
        <w:t xml:space="preserve">需求</w:t>
      </w:r>
      <w:r>
        <w:rPr>
          <w:rFonts w:hint="eastAsia" w:ascii="宋体" w:hAnsi="宋体" w:eastAsia="宋体" w:cs="宋体"/>
          <w:color w:val="auto"/>
          <w:sz w:val="21"/>
          <w:szCs w:val="21"/>
          <w:highlight w:val="none"/>
        </w:rPr>
        <w:t xml:space="preserve">，并有具体落实措施</w:t>
      </w:r>
      <w:r>
        <w:rPr>
          <w:rFonts w:hint="eastAsia" w:ascii="宋体" w:hAnsi="宋体" w:eastAsia="宋体" w:cs="宋体"/>
          <w:color w:val="auto"/>
          <w:sz w:val="21"/>
          <w:szCs w:val="21"/>
          <w:highlight w:val="none"/>
          <w:lang w:val="en-US" w:eastAsia="zh-CN"/>
        </w:rPr>
        <w:t xml:space="preserve">得6分；技术路线较清晰、较合理较可行，满足</w:t>
      </w:r>
      <w:r>
        <w:rPr>
          <w:rFonts w:hint="eastAsia" w:ascii="宋体" w:hAnsi="宋体" w:eastAsia="宋体" w:cs="宋体"/>
          <w:color w:val="auto"/>
          <w:sz w:val="21"/>
          <w:szCs w:val="21"/>
          <w:highlight w:val="none"/>
        </w:rPr>
        <w:t xml:space="preserve">采购</w:t>
      </w:r>
      <w:r>
        <w:rPr>
          <w:rFonts w:hint="eastAsia" w:ascii="宋体" w:hAnsi="宋体" w:eastAsia="宋体" w:cs="宋体"/>
          <w:color w:val="auto"/>
          <w:sz w:val="21"/>
          <w:szCs w:val="21"/>
          <w:highlight w:val="none"/>
          <w:lang w:val="en-US" w:eastAsia="zh-CN"/>
        </w:rPr>
        <w:t xml:space="preserve">需求</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并有相应的</w:t>
      </w:r>
      <w:r>
        <w:rPr>
          <w:rFonts w:hint="eastAsia" w:ascii="宋体" w:hAnsi="宋体" w:eastAsia="宋体" w:cs="宋体"/>
          <w:color w:val="auto"/>
          <w:sz w:val="21"/>
          <w:szCs w:val="21"/>
          <w:highlight w:val="none"/>
        </w:rPr>
        <w:t xml:space="preserve">措施</w:t>
      </w:r>
      <w:r>
        <w:rPr>
          <w:rFonts w:hint="eastAsia" w:ascii="宋体" w:hAnsi="宋体" w:eastAsia="宋体" w:cs="宋体"/>
          <w:color w:val="auto"/>
          <w:sz w:val="21"/>
          <w:szCs w:val="21"/>
          <w:highlight w:val="none"/>
          <w:lang w:val="en-US" w:eastAsia="zh-CN"/>
        </w:rPr>
        <w:t xml:space="preserve">得4分；技术路线基本清晰、基本可行，基本符合</w:t>
      </w:r>
      <w:r>
        <w:rPr>
          <w:rFonts w:hint="eastAsia" w:ascii="宋体" w:hAnsi="宋体" w:eastAsia="宋体" w:cs="宋体"/>
          <w:color w:val="auto"/>
          <w:sz w:val="21"/>
          <w:szCs w:val="21"/>
          <w:highlight w:val="none"/>
        </w:rPr>
        <w:t xml:space="preserve">采购</w:t>
      </w:r>
      <w:r>
        <w:rPr>
          <w:rFonts w:hint="eastAsia" w:ascii="宋体" w:hAnsi="宋体" w:eastAsia="宋体" w:cs="宋体"/>
          <w:color w:val="auto"/>
          <w:sz w:val="21"/>
          <w:szCs w:val="21"/>
          <w:highlight w:val="none"/>
          <w:lang w:val="en-US" w:eastAsia="zh-CN"/>
        </w:rPr>
        <w:t xml:space="preserve">需求</w:t>
      </w:r>
      <w:r>
        <w:rPr>
          <w:rFonts w:hint="eastAsia" w:ascii="宋体" w:hAnsi="宋体" w:eastAsia="宋体" w:cs="宋体"/>
          <w:color w:val="auto"/>
          <w:sz w:val="21"/>
          <w:szCs w:val="21"/>
          <w:highlight w:val="none"/>
        </w:rPr>
        <w:t xml:space="preserve">，措施</w:t>
      </w:r>
      <w:r>
        <w:rPr>
          <w:rFonts w:hint="eastAsia" w:ascii="宋体" w:hAnsi="宋体" w:eastAsia="宋体" w:cs="宋体"/>
          <w:color w:val="auto"/>
          <w:sz w:val="21"/>
          <w:szCs w:val="21"/>
          <w:highlight w:val="none"/>
          <w:lang w:val="en-US" w:eastAsia="zh-CN"/>
        </w:rPr>
        <w:t xml:space="preserve">较简单得2分；否则不得分。</w:t>
      </w:r>
      <w:r/>
    </w:p>
    <w:p>
      <w:pPr>
        <w:numPr>
          <w:ilvl w:val="0"/>
          <w:numId w:val="52"/>
        </w:numPr>
        <w:ind w:left="567" w:hanging="567"/>
        <w:keepLines w:val="0"/>
        <w:keepNext w:val="0"/>
        <w:pageBreakBefore w:val="0"/>
        <w:spacing w:line="420" w:lineRule="exact"/>
        <w:widowControl w:val="off"/>
        <w:tabs>
          <w:tab w:val="left" w:pos="567" w:leader="none"/>
          <w:tab w:val="left" w:pos="287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全面摸排</w:t>
      </w:r>
      <w:r>
        <w:rPr>
          <w:rFonts w:hint="eastAsia" w:ascii="宋体" w:hAnsi="宋体" w:eastAsia="宋体" w:cs="宋体"/>
          <w:color w:val="auto"/>
          <w:sz w:val="21"/>
          <w:szCs w:val="21"/>
          <w:highlight w:val="none"/>
          <w:lang w:val="en-US" w:eastAsia="zh-CN"/>
        </w:rPr>
        <w:t xml:space="preserve">动态更新清单</w:t>
      </w:r>
      <w:r>
        <w:rPr>
          <w:rFonts w:hint="eastAsia" w:ascii="宋体" w:hAnsi="宋体" w:eastAsia="宋体" w:cs="宋体"/>
          <w:color w:val="auto"/>
          <w:sz w:val="21"/>
          <w:szCs w:val="21"/>
          <w:highlight w:val="none"/>
        </w:rPr>
        <w:t xml:space="preserve">工作方案（</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p>
      <w:pPr>
        <w:numPr>
          <w:ilvl w:val="0"/>
          <w:numId w:val="53"/>
        </w:numPr>
        <w:ind w:left="567" w:hanging="567"/>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涉磷企业</w:t>
      </w:r>
      <w:r>
        <w:rPr>
          <w:rFonts w:hint="eastAsia" w:ascii="宋体" w:hAnsi="宋体" w:cs="宋体"/>
          <w:color w:val="auto"/>
          <w:sz w:val="21"/>
          <w:szCs w:val="21"/>
          <w:highlight w:val="none"/>
          <w:lang w:val="en-US" w:eastAsia="zh-CN"/>
        </w:rPr>
        <w:t xml:space="preserve">信息维护</w:t>
      </w:r>
      <w:r>
        <w:rPr>
          <w:rFonts w:hint="eastAsia" w:ascii="宋体" w:hAnsi="宋体" w:eastAsia="宋体" w:cs="宋体"/>
          <w:color w:val="auto"/>
          <w:sz w:val="21"/>
          <w:szCs w:val="21"/>
          <w:highlight w:val="none"/>
          <w:lang w:val="en-US" w:eastAsia="zh-CN"/>
        </w:rPr>
        <w:t xml:space="preserve">方案</w:t>
      </w:r>
      <w:r/>
    </w:p>
    <w:p>
      <w:pPr>
        <w:ind w:left="567" w:firstLine="0"/>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rPr>
        <w:t xml:space="preserve">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清晰、明确，方案全面完整，合理可行，贴合采购需求的得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工作目标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较清晰、较明确，方案较全面、较可行，满足采购需求的得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工作目标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基本明确，方案基本全面、基本可行，基本符合采购需求的得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否则不得分。</w:t>
      </w:r>
      <w:r/>
    </w:p>
    <w:p>
      <w:pPr>
        <w:numPr>
          <w:ilvl w:val="0"/>
          <w:numId w:val="53"/>
        </w:numPr>
        <w:ind w:left="567" w:hanging="567"/>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涉磷企业清单动态化管理方案</w:t>
      </w:r>
      <w:r/>
    </w:p>
    <w:p>
      <w:pPr>
        <w:ind w:left="567" w:firstLine="0"/>
        <w:keepLines w:val="0"/>
        <w:keepNext w:val="0"/>
        <w:pageBreakBefore w:val="0"/>
        <w:spacing w:line="420" w:lineRule="exact"/>
        <w:widowControl w:val="off"/>
        <w:rPr>
          <w:rFonts w:hint="eastAsia"/>
          <w:color w:val="auto"/>
          <w:highlight w:val="none"/>
          <w:lang w:eastAsia="zh-CN"/>
        </w:rPr>
        <w:outlineLvl w:val="9"/>
      </w:pPr>
      <w:r>
        <w:rPr>
          <w:rFonts w:hint="eastAsia" w:ascii="宋体" w:hAnsi="宋体" w:eastAsia="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rPr>
        <w:t xml:space="preserve">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清晰、明确，方案全面完整，合理可行，贴合采购需求的得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工作目标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较清晰、较明确，方案较全面、较可行，满足采购需求的得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工作目标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基本明确，方案基本全面、基本可行，基本符合采购需求的得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否则不得分。</w:t>
      </w:r>
      <w:r/>
    </w:p>
    <w:p>
      <w:pPr>
        <w:numPr>
          <w:ilvl w:val="0"/>
          <w:numId w:val="52"/>
        </w:numPr>
        <w:ind w:left="567" w:hanging="567"/>
        <w:keepLines w:val="0"/>
        <w:keepNext w:val="0"/>
        <w:pageBreakBefore w:val="0"/>
        <w:spacing w:line="420" w:lineRule="exact"/>
        <w:widowControl w:val="off"/>
        <w:tabs>
          <w:tab w:val="left" w:pos="567" w:leader="none"/>
          <w:tab w:val="left" w:pos="2870"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针对汛期进行重点攻坚</w:t>
      </w:r>
      <w:r>
        <w:rPr>
          <w:rFonts w:hint="eastAsia" w:ascii="宋体" w:hAnsi="宋体" w:eastAsia="宋体" w:cs="宋体"/>
          <w:color w:val="auto"/>
          <w:sz w:val="21"/>
          <w:szCs w:val="21"/>
          <w:highlight w:val="none"/>
        </w:rPr>
        <w:t xml:space="preserve">工作方案（</w:t>
      </w:r>
      <w:r>
        <w:rPr>
          <w:rFonts w:hint="eastAsia" w:ascii="宋体" w:hAnsi="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rPr>
        <w:t xml:space="preserve">分）</w:t>
      </w:r>
      <w:r/>
    </w:p>
    <w:p>
      <w:pPr>
        <w:numPr>
          <w:ilvl w:val="0"/>
          <w:numId w:val="54"/>
        </w:numPr>
        <w:ind w:left="567" w:hanging="567"/>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重点断面技术支撑工作方案</w:t>
      </w:r>
      <w:r/>
    </w:p>
    <w:p>
      <w:pPr>
        <w:ind w:left="567" w:firstLine="0"/>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rPr>
        <w:t xml:space="preserve">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清晰、明确，方案全面完整，合理可行，贴合采购需求的得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工作目标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较清晰、较明确，方案较全面、较可行，满足采购需求的得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工作目标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基本明确，方案基本全面、基本可行，基本符合采购需求的得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否则不得分。</w:t>
      </w:r>
      <w:r/>
    </w:p>
    <w:p>
      <w:pPr>
        <w:numPr>
          <w:ilvl w:val="0"/>
          <w:numId w:val="54"/>
        </w:numPr>
        <w:ind w:left="567" w:hanging="567"/>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重点企业工艺全流程诊断指导工作方案</w:t>
      </w:r>
      <w:r/>
    </w:p>
    <w:p>
      <w:pPr>
        <w:ind w:left="567" w:firstLine="0"/>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rPr>
        <w:t xml:space="preserve">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清晰、明确，方案全面完整，合理可行，贴合采购需求的得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工作目标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较清晰、较明确，方案较全面、较可行，满足采购需求的得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工作目标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基本明确，方案基本全面、基本可行，基本符合采购需求的得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否则不得分。</w:t>
      </w:r>
      <w:r/>
    </w:p>
    <w:p>
      <w:pPr>
        <w:numPr>
          <w:ilvl w:val="0"/>
          <w:numId w:val="54"/>
        </w:numPr>
        <w:ind w:left="567" w:hanging="567"/>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重点企业帮扶指导工作方案</w:t>
      </w:r>
      <w:r/>
    </w:p>
    <w:p>
      <w:pPr>
        <w:ind w:left="567" w:firstLine="0"/>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rPr>
        <w:t xml:space="preserve">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清晰、明确，方案全面完整，合理可行，贴合采购需求的得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工作目标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较清晰、较明确，方案较全面、较可行，满足采购需求的得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工作目标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基本明确，方案基本全面、基本可行，基本符合采购需求的得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否则不得分。</w:t>
      </w:r>
      <w:r/>
    </w:p>
    <w:p>
      <w:pPr>
        <w:numPr>
          <w:ilvl w:val="0"/>
          <w:numId w:val="54"/>
        </w:numPr>
        <w:ind w:left="567" w:hanging="567"/>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磷账本动态管理工作方案</w:t>
      </w:r>
      <w:r/>
    </w:p>
    <w:p>
      <w:pPr>
        <w:ind w:left="567" w:firstLine="0"/>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rPr>
        <w:t xml:space="preserve">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清晰、明确，方案全面完整，合理可行，贴合采购需求的得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工作目标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较清晰、较明确，方案较全面、较可行，满足采购需求的得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工作目标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依据</w:t>
      </w:r>
      <w:r>
        <w:rPr>
          <w:rFonts w:hint="eastAsia" w:ascii="宋体" w:hAnsi="宋体" w:eastAsia="宋体" w:cs="宋体"/>
          <w:color w:val="auto"/>
          <w:sz w:val="21"/>
          <w:szCs w:val="21"/>
          <w:highlight w:val="none"/>
          <w:lang w:val="en-US" w:eastAsia="zh-CN"/>
        </w:rPr>
        <w:t xml:space="preserve">基本明确，方案基本全面、基本可行，基本符合采购需求的得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否则不得分。</w:t>
      </w:r>
      <w:r/>
    </w:p>
    <w:p>
      <w:pPr>
        <w:numPr>
          <w:ilvl w:val="0"/>
          <w:numId w:val="52"/>
        </w:numPr>
        <w:ind w:left="567" w:hanging="567"/>
        <w:keepLines w:val="0"/>
        <w:keepNext w:val="0"/>
        <w:pageBreakBefore w:val="0"/>
        <w:spacing w:line="420" w:lineRule="exact"/>
        <w:widowControl w:val="off"/>
        <w:tabs>
          <w:tab w:val="left" w:pos="567" w:leader="none"/>
          <w:tab w:val="left" w:pos="287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工作计划</w:t>
      </w:r>
      <w:r>
        <w:rPr>
          <w:rFonts w:hint="eastAsia" w:ascii="宋体" w:hAnsi="宋体" w:eastAsia="宋体" w:cs="宋体"/>
          <w:color w:val="auto"/>
          <w:sz w:val="21"/>
          <w:szCs w:val="21"/>
          <w:highlight w:val="none"/>
        </w:rPr>
        <w:t xml:space="preserve">进度控制方案（</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left="567" w:firstLine="0"/>
        <w:keepLines w:val="0"/>
        <w:keepNext w:val="0"/>
        <w:pageBreakBefore w:val="0"/>
        <w:spacing w:line="42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工作计划安排科学、</w:t>
      </w:r>
      <w:r>
        <w:rPr>
          <w:rFonts w:hint="eastAsia" w:ascii="宋体" w:hAnsi="宋体" w:eastAsia="宋体" w:cs="宋体"/>
          <w:color w:val="auto"/>
          <w:sz w:val="21"/>
          <w:szCs w:val="21"/>
          <w:highlight w:val="none"/>
          <w:lang w:val="en-US" w:eastAsia="zh-CN"/>
        </w:rPr>
        <w:t xml:space="preserve">实施</w:t>
      </w:r>
      <w:r>
        <w:rPr>
          <w:rFonts w:hint="eastAsia" w:ascii="宋体" w:hAnsi="宋体" w:eastAsia="宋体" w:cs="宋体"/>
          <w:color w:val="auto"/>
          <w:sz w:val="21"/>
          <w:szCs w:val="21"/>
          <w:highlight w:val="none"/>
        </w:rPr>
        <w:t xml:space="preserve">阶段划分合理、进度计划和工期有保障措施，附有详细说明及规范的计划进度图表的得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分；工作计划安排较好、实施阶段划分较为合理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有相关图表</w:t>
      </w:r>
      <w:r>
        <w:rPr>
          <w:rFonts w:hint="eastAsia" w:ascii="宋体" w:hAnsi="宋体" w:eastAsia="宋体" w:cs="宋体"/>
          <w:color w:val="auto"/>
          <w:sz w:val="21"/>
          <w:szCs w:val="21"/>
          <w:highlight w:val="none"/>
        </w:rPr>
        <w:t xml:space="preserve">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分；工作计划安排</w:t>
      </w:r>
      <w:r>
        <w:rPr>
          <w:rFonts w:hint="eastAsia" w:ascii="宋体" w:hAnsi="宋体" w:eastAsia="宋体" w:cs="宋体"/>
          <w:color w:val="auto"/>
          <w:sz w:val="21"/>
          <w:szCs w:val="21"/>
          <w:highlight w:val="none"/>
          <w:lang w:val="en-US" w:eastAsia="zh-CN"/>
        </w:rPr>
        <w:t xml:space="preserve">简单，基本可行的</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否则不得分。</w:t>
      </w:r>
      <w:r/>
    </w:p>
    <w:p>
      <w:pPr>
        <w:numPr>
          <w:ilvl w:val="0"/>
          <w:numId w:val="52"/>
        </w:numPr>
        <w:ind w:left="567" w:hanging="567"/>
        <w:keepLines w:val="0"/>
        <w:keepNext w:val="0"/>
        <w:pageBreakBefore w:val="0"/>
        <w:spacing w:line="420" w:lineRule="exact"/>
        <w:widowControl w:val="off"/>
        <w:tabs>
          <w:tab w:val="left" w:pos="567" w:leader="none"/>
          <w:tab w:val="left" w:pos="287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w:t>
      </w:r>
      <w:r>
        <w:rPr>
          <w:rFonts w:hint="eastAsia" w:ascii="宋体" w:hAnsi="宋体" w:eastAsia="宋体" w:cs="宋体"/>
          <w:color w:val="auto"/>
          <w:sz w:val="21"/>
          <w:szCs w:val="21"/>
          <w:highlight w:val="none"/>
          <w:lang w:val="en-US" w:eastAsia="zh-CN"/>
        </w:rPr>
        <w:t xml:space="preserve">保障</w:t>
      </w:r>
      <w:r>
        <w:rPr>
          <w:rFonts w:hint="eastAsia" w:ascii="宋体" w:hAnsi="宋体" w:eastAsia="宋体" w:cs="宋体"/>
          <w:color w:val="auto"/>
          <w:sz w:val="21"/>
          <w:szCs w:val="21"/>
          <w:highlight w:val="none"/>
        </w:rPr>
        <w:t xml:space="preserve">方案（</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left="567" w:firstLine="0"/>
        <w:keepLines w:val="0"/>
        <w:keepNext w:val="0"/>
        <w:pageBreakBefore w:val="0"/>
        <w:spacing w:line="42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根</w:t>
      </w:r>
      <w:r>
        <w:rPr>
          <w:rFonts w:hint="eastAsia" w:ascii="宋体" w:hAnsi="宋体" w:eastAsia="宋体" w:cs="宋体"/>
          <w:color w:val="auto"/>
          <w:sz w:val="21"/>
          <w:szCs w:val="21"/>
          <w:highlight w:val="none"/>
        </w:rPr>
        <w:t xml:space="preserve">据项目工作要求，制定</w:t>
      </w:r>
      <w:r>
        <w:rPr>
          <w:rFonts w:hint="eastAsia" w:ascii="宋体" w:hAnsi="宋体" w:eastAsia="宋体" w:cs="宋体"/>
          <w:color w:val="auto"/>
          <w:sz w:val="21"/>
          <w:szCs w:val="21"/>
          <w:highlight w:val="none"/>
          <w:lang w:val="en-US" w:eastAsia="zh-CN"/>
        </w:rPr>
        <w:t xml:space="preserve">详细的</w:t>
      </w:r>
      <w:r>
        <w:rPr>
          <w:rFonts w:hint="eastAsia" w:ascii="宋体" w:hAnsi="宋体" w:eastAsia="宋体" w:cs="宋体"/>
          <w:color w:val="auto"/>
          <w:sz w:val="21"/>
          <w:szCs w:val="21"/>
          <w:highlight w:val="none"/>
        </w:rPr>
        <w:t xml:space="preserve">质量</w:t>
      </w:r>
      <w:r>
        <w:rPr>
          <w:rFonts w:hint="eastAsia" w:ascii="宋体" w:hAnsi="宋体" w:eastAsia="宋体" w:cs="宋体"/>
          <w:color w:val="auto"/>
          <w:sz w:val="21"/>
          <w:szCs w:val="21"/>
          <w:highlight w:val="none"/>
          <w:lang w:val="en-US" w:eastAsia="zh-CN"/>
        </w:rPr>
        <w:t xml:space="preserve">保障</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项目关键点把握准确、到位，有全面、合理、可行的质控措施的得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分；项目关键点把握较准确、较到位，有较合理、较可行得质控措施的得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分；项目关键点把握基本准确，质控措施基本可行得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分；否则不得分。</w:t>
      </w:r>
      <w:r/>
    </w:p>
    <w:p>
      <w:pPr>
        <w:numPr>
          <w:ilvl w:val="0"/>
          <w:numId w:val="52"/>
        </w:numPr>
        <w:ind w:left="567" w:hanging="567"/>
        <w:keepLines w:val="0"/>
        <w:keepNext w:val="0"/>
        <w:pageBreakBefore w:val="0"/>
        <w:spacing w:line="420" w:lineRule="exact"/>
        <w:widowControl w:val="off"/>
        <w:tabs>
          <w:tab w:val="left" w:pos="567" w:leader="none"/>
          <w:tab w:val="left" w:pos="287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服务响应（</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left="567"/>
        <w:keepLines w:val="0"/>
        <w:keepNext w:val="0"/>
        <w:pageBreakBefore w:val="0"/>
        <w:spacing w:line="420" w:lineRule="exact"/>
        <w:widowControl w:val="off"/>
        <w:tabs>
          <w:tab w:val="left" w:pos="567"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服务准备充分、响应及时、有保障得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分；服务准备较充分、响应较及时得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分；服务准备基本充分、响应基本及时得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分；否则不得分。</w:t>
      </w:r>
      <w:r/>
    </w:p>
    <w:p>
      <w:pPr>
        <w:numPr>
          <w:ilvl w:val="0"/>
          <w:numId w:val="50"/>
        </w:numPr>
        <w:ind w:left="567" w:hanging="567"/>
        <w:keepLines w:val="0"/>
        <w:keepNext w:val="0"/>
        <w:pageBreakBefore w:val="0"/>
        <w:spacing w:line="420" w:lineRule="exact"/>
        <w:widowControl w:val="off"/>
        <w:tabs>
          <w:tab w:val="left" w:pos="567"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针对本项目的技术力量配置（3</w:t>
      </w:r>
      <w:r>
        <w:rPr>
          <w:rFonts w:hint="eastAsia" w:ascii="宋体" w:hAnsi="宋体" w:eastAsia="宋体" w:cs="宋体"/>
          <w:b/>
          <w:color w:val="auto"/>
          <w:sz w:val="21"/>
          <w:szCs w:val="21"/>
          <w:highlight w:val="none"/>
          <w:lang w:val="en-US" w:eastAsia="zh-CN"/>
        </w:rPr>
        <w:t xml:space="preserve">0</w:t>
      </w:r>
      <w:r>
        <w:rPr>
          <w:rFonts w:hint="eastAsia" w:ascii="宋体" w:hAnsi="宋体" w:eastAsia="宋体" w:cs="宋体"/>
          <w:b/>
          <w:color w:val="auto"/>
          <w:sz w:val="21"/>
          <w:szCs w:val="21"/>
          <w:highlight w:val="none"/>
        </w:rPr>
        <w:t xml:space="preserve">分）</w:t>
      </w:r>
      <w:r/>
    </w:p>
    <w:p>
      <w:pPr>
        <w:numPr>
          <w:ilvl w:val="0"/>
          <w:numId w:val="55"/>
        </w:numPr>
        <w:ind w:left="567" w:hanging="567"/>
        <w:keepLines w:val="0"/>
        <w:keepNext w:val="0"/>
        <w:pageBreakBefore w:val="0"/>
        <w:spacing w:line="420" w:lineRule="exact"/>
        <w:widowControl w:val="off"/>
        <w:tabs>
          <w:tab w:val="left" w:pos="567" w:leader="none"/>
          <w:tab w:val="left" w:pos="287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项目负责人配置（7分）</w:t>
      </w:r>
      <w:r/>
    </w:p>
    <w:p>
      <w:pPr>
        <w:numPr>
          <w:ilvl w:val="0"/>
          <w:numId w:val="56"/>
        </w:numPr>
        <w:ind w:left="567" w:hanging="567"/>
        <w:keepLines w:val="0"/>
        <w:keepNext w:val="0"/>
        <w:pageBreakBefore w:val="0"/>
        <w:spacing w:line="4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具有环保类相关博士学位和高级或以上技术职称的，得4分；具有环保类相关高级或以上技术职称或博士学位的，得2分；环保类相关中级技术职称或硕士学位的，得1分</w:t>
      </w:r>
      <w:r>
        <w:rPr>
          <w:rFonts w:hint="eastAsia" w:ascii="宋体" w:hAnsi="宋体" w:eastAsia="宋体" w:cs="宋体"/>
          <w:b w:val="0"/>
          <w:bCs w:val="0"/>
          <w:color w:val="auto"/>
          <w:sz w:val="21"/>
          <w:szCs w:val="21"/>
          <w:highlight w:val="none"/>
          <w:lang w:eastAsia="zh-CN"/>
        </w:rPr>
        <w:t xml:space="preserve">。</w:t>
      </w:r>
      <w:r/>
    </w:p>
    <w:p>
      <w:pPr>
        <w:numPr>
          <w:ilvl w:val="0"/>
          <w:numId w:val="56"/>
        </w:numPr>
        <w:ind w:left="567" w:hanging="567"/>
        <w:keepLines w:val="0"/>
        <w:keepNext w:val="0"/>
        <w:pageBreakBefore w:val="0"/>
        <w:spacing w:line="4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参与过国家级生态环境管理部门组织的污染物治理技术规范或手册编制经验的得2分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省市级的得1分；</w:t>
      </w:r>
      <w:r>
        <w:rPr>
          <w:rFonts w:hint="eastAsia" w:ascii="宋体" w:hAnsi="宋体" w:eastAsia="宋体" w:cs="宋体"/>
          <w:b w:val="0"/>
          <w:bCs w:val="0"/>
          <w:color w:val="auto"/>
          <w:sz w:val="21"/>
          <w:szCs w:val="21"/>
          <w:highlight w:val="none"/>
        </w:rPr>
        <w:t xml:space="preserve">提供规范或手册封面、目录页、编委页扫描件证明材料。</w:t>
      </w:r>
      <w:r/>
    </w:p>
    <w:p>
      <w:pPr>
        <w:pStyle w:val="975"/>
        <w:numPr>
          <w:ilvl w:val="0"/>
          <w:numId w:val="56"/>
        </w:numPr>
        <w:ind w:left="567" w:hanging="567"/>
        <w:keepLines w:val="0"/>
        <w:keepNext w:val="0"/>
        <w:pageBreakBefore w:val="0"/>
        <w:spacing w:line="4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属于地市级及以上生态环境保护专家库成员的得1分。提供管理部门正式发文认定</w:t>
      </w:r>
      <w:r>
        <w:rPr>
          <w:rFonts w:hint="eastAsia" w:ascii="宋体" w:hAnsi="宋体" w:eastAsia="宋体" w:cs="宋体"/>
          <w:b w:val="0"/>
          <w:bCs w:val="0"/>
          <w:color w:val="auto"/>
          <w:sz w:val="21"/>
          <w:szCs w:val="21"/>
          <w:highlight w:val="none"/>
          <w:lang w:val="en-US" w:eastAsia="zh-CN"/>
        </w:rPr>
        <w:t xml:space="preserve">证明</w:t>
      </w:r>
      <w:r>
        <w:rPr>
          <w:rFonts w:hint="eastAsia" w:ascii="宋体" w:hAnsi="宋体" w:eastAsia="宋体" w:cs="宋体"/>
          <w:b w:val="0"/>
          <w:bCs w:val="0"/>
          <w:color w:val="auto"/>
          <w:sz w:val="21"/>
          <w:szCs w:val="21"/>
          <w:highlight w:val="none"/>
          <w:lang w:eastAsia="zh-CN"/>
        </w:rPr>
        <w:t xml:space="preserve">。</w:t>
      </w:r>
      <w:r/>
    </w:p>
    <w:p>
      <w:pPr>
        <w:numPr>
          <w:ilvl w:val="0"/>
          <w:numId w:val="55"/>
        </w:numPr>
        <w:ind w:left="567" w:hanging="567"/>
        <w:keepLines w:val="0"/>
        <w:keepNext w:val="0"/>
        <w:pageBreakBefore w:val="0"/>
        <w:spacing w:line="420" w:lineRule="exact"/>
        <w:widowControl w:val="off"/>
        <w:tabs>
          <w:tab w:val="left" w:pos="567" w:leader="none"/>
          <w:tab w:val="left" w:pos="287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技术负责人配置（</w:t>
      </w: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分）</w:t>
      </w:r>
      <w:r/>
    </w:p>
    <w:p>
      <w:pPr>
        <w:numPr>
          <w:ilvl w:val="0"/>
          <w:numId w:val="57"/>
        </w:numPr>
        <w:ind w:left="567" w:hanging="567"/>
        <w:keepLines w:val="0"/>
        <w:keepNext w:val="0"/>
        <w:pageBreakBefore w:val="0"/>
        <w:spacing w:line="4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具有环保类相关博士学位和高级或以上技术职称的，得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分；具有环保类相关高级或以上技术职称或博士学位的，得2分；环保类相关中级技术职称或硕士学位的，得1分</w:t>
      </w:r>
      <w:r>
        <w:rPr>
          <w:rFonts w:hint="eastAsia" w:ascii="宋体" w:hAnsi="宋体" w:eastAsia="宋体" w:cs="宋体"/>
          <w:b w:val="0"/>
          <w:bCs w:val="0"/>
          <w:color w:val="auto"/>
          <w:sz w:val="21"/>
          <w:szCs w:val="21"/>
          <w:highlight w:val="none"/>
          <w:lang w:eastAsia="zh-CN"/>
        </w:rPr>
        <w:t xml:space="preserve">。</w:t>
      </w:r>
      <w:r/>
    </w:p>
    <w:p>
      <w:pPr>
        <w:numPr>
          <w:ilvl w:val="0"/>
          <w:numId w:val="57"/>
        </w:numPr>
        <w:ind w:left="567" w:hanging="567"/>
        <w:keepLines w:val="0"/>
        <w:keepNext w:val="0"/>
        <w:pageBreakBefore w:val="0"/>
        <w:spacing w:line="4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有主持过国家级环境保护课题研究经验的得2分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主持过</w:t>
      </w:r>
      <w:r>
        <w:rPr>
          <w:rFonts w:hint="eastAsia" w:ascii="宋体" w:hAnsi="宋体" w:eastAsia="宋体" w:cs="宋体"/>
          <w:b w:val="0"/>
          <w:bCs w:val="0"/>
          <w:color w:val="auto"/>
          <w:sz w:val="21"/>
          <w:szCs w:val="21"/>
          <w:highlight w:val="none"/>
          <w:lang w:val="en-US" w:eastAsia="zh-CN"/>
        </w:rPr>
        <w:t xml:space="preserve">省市级</w:t>
      </w:r>
      <w:r>
        <w:rPr>
          <w:rFonts w:hint="eastAsia" w:ascii="宋体" w:hAnsi="宋体" w:eastAsia="宋体" w:cs="宋体"/>
          <w:b w:val="0"/>
          <w:bCs w:val="0"/>
          <w:color w:val="auto"/>
          <w:sz w:val="21"/>
          <w:szCs w:val="21"/>
          <w:highlight w:val="none"/>
        </w:rPr>
        <w:t xml:space="preserve">环境保护课题研究经验的得</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提供环境保护课题研究结题证明材料。</w:t>
      </w:r>
      <w:r/>
    </w:p>
    <w:p>
      <w:pPr>
        <w:numPr>
          <w:ilvl w:val="0"/>
          <w:numId w:val="57"/>
        </w:numPr>
        <w:ind w:left="567" w:hanging="567"/>
        <w:keepLines w:val="0"/>
        <w:keepNext w:val="0"/>
        <w:pageBreakBefore w:val="0"/>
        <w:spacing w:line="4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属于地市级及以上生态环境保护专家库成员的得1分。提供管理部门正式发文认定</w:t>
      </w:r>
      <w:r>
        <w:rPr>
          <w:rFonts w:hint="eastAsia" w:ascii="宋体" w:hAnsi="宋体" w:eastAsia="宋体" w:cs="宋体"/>
          <w:b w:val="0"/>
          <w:bCs w:val="0"/>
          <w:color w:val="auto"/>
          <w:sz w:val="21"/>
          <w:szCs w:val="21"/>
          <w:highlight w:val="none"/>
          <w:lang w:val="en-US" w:eastAsia="zh-CN"/>
        </w:rPr>
        <w:t xml:space="preserve">证明</w:t>
      </w:r>
      <w:r>
        <w:rPr>
          <w:rFonts w:hint="eastAsia" w:ascii="宋体" w:hAnsi="宋体" w:eastAsia="宋体" w:cs="宋体"/>
          <w:b w:val="0"/>
          <w:bCs w:val="0"/>
          <w:color w:val="auto"/>
          <w:sz w:val="21"/>
          <w:szCs w:val="21"/>
          <w:highlight w:val="none"/>
          <w:lang w:eastAsia="zh-CN"/>
        </w:rPr>
        <w:t xml:space="preserve">。</w:t>
      </w:r>
      <w:r/>
    </w:p>
    <w:p>
      <w:pPr>
        <w:numPr>
          <w:ilvl w:val="0"/>
          <w:numId w:val="55"/>
        </w:numPr>
        <w:ind w:left="567" w:hanging="567"/>
        <w:keepLines w:val="0"/>
        <w:keepNext w:val="0"/>
        <w:pageBreakBefore w:val="0"/>
        <w:spacing w:line="420" w:lineRule="exact"/>
        <w:widowControl w:val="off"/>
        <w:tabs>
          <w:tab w:val="left" w:pos="567" w:leader="none"/>
          <w:tab w:val="left" w:pos="287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质控负责人配置（6分）</w:t>
      </w:r>
      <w:r/>
    </w:p>
    <w:p>
      <w:pPr>
        <w:numPr>
          <w:ilvl w:val="0"/>
          <w:numId w:val="58"/>
        </w:numPr>
        <w:ind w:left="567" w:hanging="567"/>
        <w:keepLines w:val="0"/>
        <w:keepNext w:val="0"/>
        <w:pageBreakBefore w:val="0"/>
        <w:spacing w:line="4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具有环保类相关硕士学位和高级或以上技术职称的，得3分；具有环保类相关高级或以上技术职称或硕士及以上学位的，得2分；环保类相关中级技术职称或学士学位的，得1分</w:t>
      </w:r>
      <w:r>
        <w:rPr>
          <w:rFonts w:hint="eastAsia" w:ascii="宋体" w:hAnsi="宋体" w:eastAsia="宋体" w:cs="宋体"/>
          <w:b w:val="0"/>
          <w:bCs w:val="0"/>
          <w:color w:val="auto"/>
          <w:sz w:val="21"/>
          <w:szCs w:val="21"/>
          <w:highlight w:val="none"/>
          <w:lang w:eastAsia="zh-CN"/>
        </w:rPr>
        <w:t xml:space="preserve">。</w:t>
      </w:r>
      <w:r/>
    </w:p>
    <w:p>
      <w:pPr>
        <w:numPr>
          <w:ilvl w:val="0"/>
          <w:numId w:val="58"/>
        </w:numPr>
        <w:ind w:left="567" w:hanging="567"/>
        <w:keepLines w:val="0"/>
        <w:keepNext w:val="0"/>
        <w:pageBreakBefore w:val="0"/>
        <w:spacing w:line="4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具有省级或以上环保</w:t>
      </w:r>
      <w:r>
        <w:rPr>
          <w:rFonts w:hint="eastAsia" w:ascii="宋体" w:hAnsi="宋体" w:eastAsia="宋体" w:cs="宋体"/>
          <w:b w:val="0"/>
          <w:bCs w:val="0"/>
          <w:color w:val="auto"/>
          <w:sz w:val="21"/>
          <w:szCs w:val="21"/>
          <w:highlight w:val="none"/>
          <w:lang w:val="en-US" w:eastAsia="zh-CN"/>
        </w:rPr>
        <w:t xml:space="preserve">相关</w:t>
      </w:r>
      <w:r>
        <w:rPr>
          <w:rFonts w:hint="eastAsia" w:ascii="宋体" w:hAnsi="宋体" w:eastAsia="宋体" w:cs="宋体"/>
          <w:b w:val="0"/>
          <w:bCs w:val="0"/>
          <w:color w:val="auto"/>
          <w:sz w:val="21"/>
          <w:szCs w:val="21"/>
          <w:highlight w:val="none"/>
        </w:rPr>
        <w:t xml:space="preserve">奖项的得2分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市级的得1分；</w:t>
      </w:r>
      <w:r>
        <w:rPr>
          <w:rFonts w:hint="eastAsia" w:ascii="宋体" w:hAnsi="宋体" w:eastAsia="宋体" w:cs="宋体"/>
          <w:b w:val="0"/>
          <w:bCs w:val="0"/>
          <w:color w:val="auto"/>
          <w:sz w:val="21"/>
          <w:szCs w:val="21"/>
          <w:highlight w:val="none"/>
        </w:rPr>
        <w:t xml:space="preserve">提供</w:t>
      </w:r>
      <w:r>
        <w:rPr>
          <w:rFonts w:hint="eastAsia" w:ascii="宋体" w:hAnsi="宋体" w:eastAsia="宋体" w:cs="宋体"/>
          <w:b w:val="0"/>
          <w:bCs w:val="0"/>
          <w:color w:val="auto"/>
          <w:sz w:val="21"/>
          <w:szCs w:val="21"/>
          <w:highlight w:val="none"/>
          <w:lang w:val="en-US" w:eastAsia="zh-CN"/>
        </w:rPr>
        <w:t xml:space="preserve">相应证明</w:t>
      </w:r>
      <w:r>
        <w:rPr>
          <w:rFonts w:hint="eastAsia" w:ascii="宋体" w:hAnsi="宋体" w:eastAsia="宋体" w:cs="宋体"/>
          <w:b w:val="0"/>
          <w:bCs w:val="0"/>
          <w:color w:val="auto"/>
          <w:sz w:val="21"/>
          <w:szCs w:val="21"/>
          <w:highlight w:val="none"/>
        </w:rPr>
        <w:t xml:space="preserve">复印件。</w:t>
      </w:r>
      <w:r/>
    </w:p>
    <w:p>
      <w:pPr>
        <w:numPr>
          <w:ilvl w:val="0"/>
          <w:numId w:val="58"/>
        </w:numPr>
        <w:ind w:left="567" w:hanging="567"/>
        <w:keepLines w:val="0"/>
        <w:keepNext w:val="0"/>
        <w:pageBreakBefore w:val="0"/>
        <w:spacing w:line="4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属于地市级及以上生态环境保护专家库成员的得1分。提供管理部门正式发文认定</w:t>
      </w:r>
      <w:r>
        <w:rPr>
          <w:rFonts w:hint="eastAsia" w:ascii="宋体" w:hAnsi="宋体" w:eastAsia="宋体" w:cs="宋体"/>
          <w:b w:val="0"/>
          <w:bCs w:val="0"/>
          <w:color w:val="auto"/>
          <w:sz w:val="21"/>
          <w:szCs w:val="21"/>
          <w:highlight w:val="none"/>
          <w:lang w:val="en-US" w:eastAsia="zh-CN"/>
        </w:rPr>
        <w:t xml:space="preserve">证明</w:t>
      </w:r>
      <w:r>
        <w:rPr>
          <w:rFonts w:hint="eastAsia" w:ascii="宋体" w:hAnsi="宋体" w:eastAsia="宋体" w:cs="宋体"/>
          <w:b w:val="0"/>
          <w:bCs w:val="0"/>
          <w:color w:val="auto"/>
          <w:sz w:val="21"/>
          <w:szCs w:val="21"/>
          <w:highlight w:val="none"/>
          <w:lang w:eastAsia="zh-CN"/>
        </w:rPr>
        <w:t xml:space="preserve">。</w:t>
      </w:r>
      <w:r/>
    </w:p>
    <w:p>
      <w:pPr>
        <w:numPr>
          <w:ilvl w:val="0"/>
          <w:numId w:val="55"/>
        </w:numPr>
        <w:ind w:left="567" w:hanging="567"/>
        <w:keepLines w:val="0"/>
        <w:keepNext w:val="0"/>
        <w:pageBreakBefore w:val="0"/>
        <w:spacing w:line="420" w:lineRule="exact"/>
        <w:widowControl w:val="off"/>
        <w:tabs>
          <w:tab w:val="left" w:pos="567" w:leader="none"/>
          <w:tab w:val="left" w:pos="287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培训负责人配置（6分）</w:t>
      </w:r>
      <w:r/>
    </w:p>
    <w:p>
      <w:pPr>
        <w:numPr>
          <w:ilvl w:val="0"/>
          <w:numId w:val="59"/>
        </w:numPr>
        <w:ind w:left="567" w:hanging="567"/>
        <w:keepLines w:val="0"/>
        <w:keepNext w:val="0"/>
        <w:pageBreakBefore w:val="0"/>
        <w:spacing w:line="4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具有环保类相关硕士学位和高级或以上技术职称的，得3分；具有环保类相关高级或以上技术职称或硕士及以上学位的，得2分；环保类相关中级技术职称或学士学位的，得1分</w:t>
      </w:r>
      <w:r>
        <w:rPr>
          <w:rFonts w:hint="eastAsia" w:ascii="宋体" w:hAnsi="宋体" w:eastAsia="宋体" w:cs="宋体"/>
          <w:b w:val="0"/>
          <w:bCs w:val="0"/>
          <w:color w:val="auto"/>
          <w:sz w:val="21"/>
          <w:szCs w:val="21"/>
          <w:highlight w:val="none"/>
          <w:lang w:eastAsia="zh-CN"/>
        </w:rPr>
        <w:t xml:space="preserve">。</w:t>
      </w:r>
      <w:r/>
    </w:p>
    <w:p>
      <w:pPr>
        <w:numPr>
          <w:ilvl w:val="0"/>
          <w:numId w:val="59"/>
        </w:numPr>
        <w:ind w:left="567" w:hanging="567"/>
        <w:keepLines w:val="0"/>
        <w:keepNext w:val="0"/>
        <w:pageBreakBefore w:val="0"/>
        <w:spacing w:line="4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具有注册环评工程师证书的得2分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提供证书复印件。</w:t>
      </w:r>
      <w:r/>
    </w:p>
    <w:p>
      <w:pPr>
        <w:numPr>
          <w:ilvl w:val="0"/>
          <w:numId w:val="59"/>
        </w:numPr>
        <w:ind w:left="567" w:hanging="567"/>
        <w:keepLines w:val="0"/>
        <w:keepNext w:val="0"/>
        <w:pageBreakBefore w:val="0"/>
        <w:spacing w:line="42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属于地市级及以上生态环境保护专家库成员的得1分。提供管理部门正式发文认定</w:t>
      </w:r>
      <w:r>
        <w:rPr>
          <w:rFonts w:hint="eastAsia" w:ascii="宋体" w:hAnsi="宋体" w:eastAsia="宋体" w:cs="宋体"/>
          <w:b w:val="0"/>
          <w:bCs w:val="0"/>
          <w:color w:val="auto"/>
          <w:sz w:val="21"/>
          <w:szCs w:val="21"/>
          <w:highlight w:val="none"/>
          <w:lang w:val="en-US" w:eastAsia="zh-CN"/>
        </w:rPr>
        <w:t xml:space="preserve">证明</w:t>
      </w:r>
      <w:r>
        <w:rPr>
          <w:rFonts w:hint="eastAsia" w:ascii="宋体" w:hAnsi="宋体" w:eastAsia="宋体" w:cs="宋体"/>
          <w:b w:val="0"/>
          <w:bCs w:val="0"/>
          <w:color w:val="auto"/>
          <w:sz w:val="21"/>
          <w:szCs w:val="21"/>
          <w:highlight w:val="none"/>
          <w:lang w:eastAsia="zh-CN"/>
        </w:rPr>
        <w:t xml:space="preserve">。</w:t>
      </w:r>
      <w:r/>
    </w:p>
    <w:p>
      <w:pPr>
        <w:numPr>
          <w:ilvl w:val="0"/>
          <w:numId w:val="55"/>
        </w:numPr>
        <w:ind w:left="567" w:hanging="567"/>
        <w:keepLines w:val="0"/>
        <w:keepNext w:val="0"/>
        <w:pageBreakBefore w:val="0"/>
        <w:spacing w:line="420" w:lineRule="exact"/>
        <w:widowControl w:val="off"/>
        <w:tabs>
          <w:tab w:val="left" w:pos="567" w:leader="none"/>
          <w:tab w:val="left" w:pos="287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项目组成员配置</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除上述负责人</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（4分）</w:t>
      </w:r>
      <w:r/>
    </w:p>
    <w:p>
      <w:pPr>
        <w:ind w:left="567"/>
        <w:keepLines w:val="0"/>
        <w:keepNext w:val="0"/>
        <w:pageBreakBefore w:val="0"/>
        <w:spacing w:line="420" w:lineRule="exact"/>
        <w:widowControl w:val="off"/>
        <w:tabs>
          <w:tab w:val="left" w:pos="567" w:leader="none"/>
        </w:tabs>
        <w:rPr>
          <w:rFonts w:hint="eastAsia" w:ascii="宋体" w:hAnsi="宋体" w:eastAsia="宋体" w:cs="宋体"/>
          <w:b w:val="0"/>
          <w:bCs w:val="0"/>
          <w:color w:val="auto"/>
          <w:sz w:val="21"/>
          <w:szCs w:val="21"/>
          <w:highlight w:val="none"/>
        </w:rPr>
        <w:outlineLvl w:val="9"/>
      </w:pPr>
      <w:r>
        <w:rPr>
          <w:rFonts w:hint="eastAsia" w:ascii="宋体" w:hAnsi="宋体" w:eastAsia="宋体" w:cs="宋体"/>
          <w:color w:val="auto"/>
          <w:sz w:val="21"/>
          <w:szCs w:val="21"/>
          <w:highlight w:val="none"/>
        </w:rPr>
        <w:t xml:space="preserve">配置</w:t>
      </w:r>
      <w:r>
        <w:rPr>
          <w:rFonts w:hint="eastAsia" w:ascii="宋体" w:hAnsi="宋体" w:eastAsia="宋体" w:cs="宋体"/>
          <w:b w:val="0"/>
          <w:bCs w:val="0"/>
          <w:color w:val="auto"/>
          <w:sz w:val="21"/>
          <w:szCs w:val="21"/>
          <w:highlight w:val="none"/>
        </w:rPr>
        <w:t xml:space="preserve">本科及以上学历项目组成员满</w:t>
      </w:r>
      <w:r>
        <w:rPr>
          <w:rFonts w:hint="eastAsia" w:ascii="宋体" w:hAnsi="宋体" w:eastAsia="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rPr>
        <w:t xml:space="preserve">人的得2分；其中骨干人员具有高级或以上职称且属于地市级及以上生态环境保护专家库成员的</w:t>
      </w:r>
      <w:r>
        <w:rPr>
          <w:rFonts w:hint="eastAsia" w:ascii="宋体" w:hAnsi="宋体" w:eastAsia="宋体" w:cs="宋体"/>
          <w:b w:val="0"/>
          <w:bCs w:val="0"/>
          <w:color w:val="auto"/>
          <w:sz w:val="21"/>
          <w:szCs w:val="21"/>
          <w:highlight w:val="none"/>
          <w:lang w:val="en-US" w:eastAsia="zh-CN"/>
        </w:rPr>
        <w:t xml:space="preserve">得</w:t>
      </w:r>
      <w:r>
        <w:rPr>
          <w:rFonts w:hint="eastAsia" w:ascii="宋体" w:hAnsi="宋体" w:eastAsia="宋体" w:cs="宋体"/>
          <w:b w:val="0"/>
          <w:bCs w:val="0"/>
          <w:color w:val="auto"/>
          <w:sz w:val="21"/>
          <w:szCs w:val="21"/>
          <w:highlight w:val="none"/>
        </w:rPr>
        <w:t xml:space="preserve">2分（提供管理部门正式发文认定）；本项最高得4分。</w:t>
      </w:r>
      <w:r/>
    </w:p>
    <w:p>
      <w:pPr>
        <w:ind w:left="7" w:firstLine="558"/>
        <w:keepLines w:val="0"/>
        <w:keepNext w:val="0"/>
        <w:pageBreakBefore w:val="0"/>
        <w:spacing w:line="420" w:lineRule="exact"/>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lang w:val="en-US" w:eastAsia="zh-CN"/>
        </w:rPr>
        <w:t xml:space="preserve">上述1-5项人员不重复计分</w:t>
      </w:r>
      <w:r>
        <w:rPr>
          <w:rFonts w:hint="eastAsia" w:ascii="宋体" w:hAnsi="宋体" w:eastAsia="宋体" w:cs="宋体"/>
          <w:b/>
          <w:bCs/>
          <w:color w:val="auto"/>
          <w:sz w:val="21"/>
          <w:szCs w:val="21"/>
          <w:highlight w:val="none"/>
        </w:rPr>
        <w:t xml:space="preserve">，所有人员须提供</w:t>
      </w:r>
      <w:r>
        <w:rPr>
          <w:rFonts w:hint="eastAsia" w:ascii="宋体" w:hAnsi="宋体" w:eastAsia="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rPr>
        <w:t xml:space="preserve">单位为其缴纳的近期社保或股东注册证明材料（股东提供工商查询链接及截图），以及评分项中要求提供的其他证书（如学位证书、职称证书等）证明材料，专业以学历证书</w:t>
      </w:r>
      <w:r>
        <w:rPr>
          <w:rFonts w:hint="eastAsia" w:ascii="宋体" w:hAnsi="宋体" w:eastAsia="宋体" w:cs="宋体"/>
          <w:b/>
          <w:bCs/>
          <w:color w:val="auto"/>
          <w:sz w:val="21"/>
          <w:szCs w:val="21"/>
          <w:highlight w:val="none"/>
          <w:lang w:val="en-US" w:eastAsia="zh-CN"/>
        </w:rPr>
        <w:t xml:space="preserve">或职称证书的</w:t>
      </w:r>
      <w:r>
        <w:rPr>
          <w:rFonts w:hint="eastAsia" w:ascii="宋体" w:hAnsi="宋体" w:eastAsia="宋体" w:cs="宋体"/>
          <w:b/>
          <w:bCs/>
          <w:color w:val="auto"/>
          <w:sz w:val="21"/>
          <w:szCs w:val="21"/>
          <w:highlight w:val="none"/>
        </w:rPr>
        <w:t xml:space="preserve">专业为准，资料提供不全相应</w:t>
      </w:r>
      <w:r>
        <w:rPr>
          <w:rFonts w:hint="eastAsia" w:ascii="宋体" w:hAnsi="宋体" w:eastAsia="宋体" w:cs="宋体"/>
          <w:b/>
          <w:bCs/>
          <w:color w:val="auto"/>
          <w:sz w:val="21"/>
          <w:szCs w:val="21"/>
          <w:highlight w:val="none"/>
          <w:lang w:val="en-US" w:eastAsia="zh-CN"/>
        </w:rPr>
        <w:t xml:space="preserve">评分项</w:t>
      </w:r>
      <w:r>
        <w:rPr>
          <w:rFonts w:hint="eastAsia" w:ascii="宋体" w:hAnsi="宋体" w:eastAsia="宋体" w:cs="宋体"/>
          <w:b/>
          <w:bCs/>
          <w:color w:val="auto"/>
          <w:sz w:val="21"/>
          <w:szCs w:val="21"/>
          <w:highlight w:val="none"/>
        </w:rPr>
        <w:t xml:space="preserve">不得分。</w:t>
      </w:r>
      <w:r/>
    </w:p>
    <w:p>
      <w:pPr>
        <w:numPr>
          <w:ilvl w:val="0"/>
          <w:numId w:val="50"/>
        </w:numPr>
        <w:ind w:left="567" w:hanging="567"/>
        <w:keepLines w:val="0"/>
        <w:keepNext w:val="0"/>
        <w:pageBreakBefore w:val="0"/>
        <w:spacing w:line="420" w:lineRule="exact"/>
        <w:widowControl w:val="off"/>
        <w:tabs>
          <w:tab w:val="left" w:pos="567" w:leader="none"/>
        </w:tabs>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响应单位综合能力（9分）</w:t>
      </w:r>
      <w:r/>
    </w:p>
    <w:p>
      <w:pPr>
        <w:numPr>
          <w:ilvl w:val="0"/>
          <w:numId w:val="60"/>
        </w:numPr>
        <w:ind w:left="567" w:hanging="567"/>
        <w:keepLines w:val="0"/>
        <w:keepNext w:val="0"/>
        <w:pageBreakBefore w:val="0"/>
        <w:spacing w:line="420" w:lineRule="exact"/>
        <w:widowControl w:val="off"/>
        <w:tabs>
          <w:tab w:val="left" w:pos="567" w:leader="none"/>
          <w:tab w:val="left" w:pos="2870" w:leader="none"/>
        </w:tabs>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类似</w:t>
      </w:r>
      <w:r>
        <w:rPr>
          <w:rFonts w:hint="eastAsia" w:ascii="宋体" w:hAnsi="宋体" w:eastAsia="宋体" w:cs="宋体"/>
          <w:b w:val="0"/>
          <w:bCs w:val="0"/>
          <w:color w:val="auto"/>
          <w:sz w:val="21"/>
          <w:szCs w:val="21"/>
          <w:highlight w:val="none"/>
          <w:lang w:val="en-US" w:eastAsia="zh-CN"/>
        </w:rPr>
        <w:t xml:space="preserve">项目</w:t>
      </w:r>
      <w:r>
        <w:rPr>
          <w:rFonts w:hint="eastAsia" w:ascii="宋体" w:hAnsi="宋体" w:eastAsia="宋体" w:cs="宋体"/>
          <w:b w:val="0"/>
          <w:bCs w:val="0"/>
          <w:color w:val="auto"/>
          <w:sz w:val="21"/>
          <w:szCs w:val="21"/>
          <w:highlight w:val="none"/>
        </w:rPr>
        <w:t xml:space="preserve">业绩</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9分</w:t>
      </w:r>
      <w:r>
        <w:rPr>
          <w:rFonts w:hint="eastAsia" w:ascii="宋体" w:hAnsi="宋体" w:eastAsia="宋体" w:cs="宋体"/>
          <w:b w:val="0"/>
          <w:bCs w:val="0"/>
          <w:color w:val="auto"/>
          <w:sz w:val="21"/>
          <w:szCs w:val="21"/>
          <w:highlight w:val="none"/>
          <w:lang w:eastAsia="zh-CN"/>
        </w:rPr>
        <w:t xml:space="preserve">）</w:t>
      </w:r>
      <w:r/>
    </w:p>
    <w:p>
      <w:pPr>
        <w:ind w:left="7" w:firstLine="558"/>
        <w:keepLines w:val="0"/>
        <w:keepNext w:val="0"/>
        <w:pageBreakBefore w:val="0"/>
        <w:spacing w:line="42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单位独立承担过乡镇级类似涉磷企业调查</w:t>
      </w:r>
      <w:r>
        <w:rPr>
          <w:rFonts w:hint="eastAsia" w:ascii="宋体" w:hAnsi="宋体" w:cs="宋体"/>
          <w:color w:val="auto"/>
          <w:sz w:val="21"/>
          <w:szCs w:val="21"/>
          <w:highlight w:val="none"/>
          <w:lang w:val="en-US" w:eastAsia="zh-CN"/>
        </w:rPr>
        <w:t xml:space="preserve">类</w:t>
      </w:r>
      <w:r>
        <w:rPr>
          <w:rFonts w:hint="eastAsia" w:ascii="宋体" w:hAnsi="宋体" w:eastAsia="宋体" w:cs="宋体"/>
          <w:color w:val="auto"/>
          <w:sz w:val="21"/>
          <w:szCs w:val="21"/>
          <w:highlight w:val="none"/>
        </w:rPr>
        <w:t xml:space="preserve">或整治</w:t>
      </w:r>
      <w:r>
        <w:rPr>
          <w:rFonts w:hint="eastAsia" w:ascii="宋体" w:hAnsi="宋体" w:cs="宋体"/>
          <w:color w:val="auto"/>
          <w:sz w:val="21"/>
          <w:szCs w:val="21"/>
          <w:highlight w:val="none"/>
          <w:lang w:val="en-US" w:eastAsia="zh-CN"/>
        </w:rPr>
        <w:t xml:space="preserve">类</w:t>
      </w:r>
      <w:r>
        <w:rPr>
          <w:rFonts w:hint="eastAsia" w:ascii="宋体" w:hAnsi="宋体" w:eastAsia="宋体" w:cs="宋体"/>
          <w:color w:val="auto"/>
          <w:sz w:val="21"/>
          <w:szCs w:val="21"/>
          <w:highlight w:val="none"/>
        </w:rPr>
        <w:t xml:space="preserve">项目的，有一份</w:t>
      </w:r>
      <w:r>
        <w:rPr>
          <w:rFonts w:hint="eastAsia" w:ascii="宋体" w:hAnsi="宋体" w:cs="宋体"/>
          <w:color w:val="auto"/>
          <w:sz w:val="21"/>
          <w:szCs w:val="21"/>
          <w:highlight w:val="none"/>
          <w:lang w:val="en-US" w:eastAsia="zh-CN"/>
        </w:rPr>
        <w:t xml:space="preserve">得</w:t>
      </w:r>
      <w:r>
        <w:rPr>
          <w:rFonts w:hint="eastAsia" w:ascii="宋体" w:hAnsi="宋体" w:eastAsia="宋体" w:cs="宋体"/>
          <w:color w:val="auto"/>
          <w:sz w:val="21"/>
          <w:szCs w:val="21"/>
          <w:highlight w:val="none"/>
        </w:rPr>
        <w:t xml:space="preserve">1分，最高得3分；独立承担过区县级或以上类似涉磷企业调查</w:t>
      </w:r>
      <w:r>
        <w:rPr>
          <w:rFonts w:hint="eastAsia" w:ascii="宋体" w:hAnsi="宋体" w:cs="宋体"/>
          <w:color w:val="auto"/>
          <w:sz w:val="21"/>
          <w:szCs w:val="21"/>
          <w:highlight w:val="none"/>
          <w:lang w:val="en-US" w:eastAsia="zh-CN"/>
        </w:rPr>
        <w:t xml:space="preserve">类</w:t>
      </w:r>
      <w:r>
        <w:rPr>
          <w:rFonts w:hint="eastAsia" w:ascii="宋体" w:hAnsi="宋体" w:eastAsia="宋体" w:cs="宋体"/>
          <w:color w:val="auto"/>
          <w:sz w:val="21"/>
          <w:szCs w:val="21"/>
          <w:highlight w:val="none"/>
        </w:rPr>
        <w:t xml:space="preserve">或整治</w:t>
      </w:r>
      <w:r>
        <w:rPr>
          <w:rFonts w:hint="eastAsia" w:ascii="宋体" w:hAnsi="宋体" w:cs="宋体"/>
          <w:color w:val="auto"/>
          <w:sz w:val="21"/>
          <w:szCs w:val="21"/>
          <w:highlight w:val="none"/>
          <w:lang w:val="en-US" w:eastAsia="zh-CN"/>
        </w:rPr>
        <w:t xml:space="preserve">类</w:t>
      </w:r>
      <w:r>
        <w:rPr>
          <w:rFonts w:hint="eastAsia" w:ascii="宋体" w:hAnsi="宋体" w:eastAsia="宋体" w:cs="宋体"/>
          <w:color w:val="auto"/>
          <w:sz w:val="21"/>
          <w:szCs w:val="21"/>
          <w:highlight w:val="none"/>
        </w:rPr>
        <w:t xml:space="preserve">项目的有一份得2分，最高得6分,；本项最高得9分，提供合同复印件加盖公章，否则不得分。</w:t>
      </w:r>
      <w:r/>
    </w:p>
    <w:p>
      <w:pPr>
        <w:pStyle w:val="1001"/>
        <w:rPr>
          <w:rFonts w:hint="eastAsia"/>
          <w:color w:val="auto"/>
          <w:highlight w:val="none"/>
        </w:rPr>
      </w:pPr>
      <w:r>
        <w:rPr>
          <w:rFonts w:hint="eastAsia"/>
          <w:color w:val="auto"/>
          <w:highlight w:val="none"/>
        </w:rPr>
      </w:r>
      <w:r/>
    </w:p>
    <w:p>
      <w:pPr>
        <w:pStyle w:val="1001"/>
        <w:rPr>
          <w:rFonts w:hint="eastAsia"/>
          <w:color w:val="auto"/>
          <w:highlight w:val="none"/>
        </w:rPr>
      </w:pPr>
      <w:r>
        <w:rPr>
          <w:rFonts w:hint="eastAsia"/>
          <w:color w:val="auto"/>
          <w:highlight w:val="none"/>
        </w:rPr>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bookmarkEnd w:id="19"/>
      <w:r/>
      <w:bookmarkEnd w:id="22"/>
      <w:r/>
      <w:bookmarkEnd w:id="23"/>
      <w:r/>
      <w:r/>
    </w:p>
    <w:p>
      <w:pPr>
        <w:spacing w:line="400" w:lineRule="exact"/>
        <w:rPr>
          <w:rFonts w:hint="eastAsia" w:ascii="宋体" w:hAnsi="宋体" w:cs="宋体"/>
          <w:color w:val="auto"/>
          <w:highlight w:val="none"/>
        </w:rPr>
      </w:pPr>
      <w:r>
        <w:rPr>
          <w:rFonts w:hint="eastAsia" w:ascii="宋体" w:hAnsi="宋体" w:cs="宋体"/>
          <w:color w:val="auto"/>
          <w:highlight w:val="none"/>
        </w:rPr>
        <w:t xml:space="preserve">注：针对评分标准中评分的每一条，磋商响应单位均应提供相关资料并作出相应说明供评委评判，不提供相关资料的视为不具备该项得分的条件。</w:t>
      </w:r>
      <w:r/>
    </w:p>
    <w:p>
      <w:pPr>
        <w:jc w:val="center"/>
        <w:spacing w:line="440" w:lineRule="exact"/>
        <w:rPr>
          <w:rFonts w:hint="eastAsia" w:ascii="宋体" w:hAnsi="宋体"/>
          <w:b/>
          <w:bCs/>
          <w:color w:val="auto"/>
          <w:sz w:val="32"/>
          <w:szCs w:val="32"/>
          <w:highlight w:val="none"/>
        </w:rPr>
      </w:pPr>
      <w:r>
        <w:rPr>
          <w:rFonts w:ascii="宋体" w:hAnsi="宋体"/>
          <w:b/>
          <w:bCs/>
          <w:color w:val="auto"/>
          <w:sz w:val="32"/>
          <w:szCs w:val="32"/>
          <w:highlight w:val="none"/>
        </w:rPr>
        <w:br w:type="page" w:clear="all"/>
      </w:r>
      <w:r>
        <w:rPr>
          <w:rFonts w:hint="eastAsia" w:ascii="宋体" w:hAnsi="宋体"/>
          <w:b/>
          <w:bCs/>
          <w:color w:val="auto"/>
          <w:sz w:val="32"/>
          <w:szCs w:val="32"/>
          <w:highlight w:val="none"/>
        </w:rPr>
        <w:t xml:space="preserve">四、合同主要条款</w:t>
      </w:r>
      <w:r/>
    </w:p>
    <w:p>
      <w:pPr>
        <w:jc w:val="center"/>
        <w:spacing w:line="40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426"/>
        <w:spacing w:line="400" w:lineRule="exact"/>
        <w:rPr>
          <w:rFonts w:hint="eastAsia" w:ascii="宋体" w:hAnsi="宋体" w:cs="宋体"/>
          <w:color w:val="auto"/>
          <w:highlight w:val="none"/>
        </w:rPr>
      </w:pPr>
      <w:r/>
      <w:bookmarkStart w:id="25" w:name="_Hlk165988889"/>
      <w:r>
        <w:rPr>
          <w:rFonts w:hint="eastAsia" w:ascii="宋体" w:hAnsi="宋体" w:cs="宋体"/>
          <w:color w:val="auto"/>
          <w:highlight w:val="none"/>
        </w:rPr>
        <w:t xml:space="preserve">依据甲方委托</w:t>
      </w:r>
      <w:r>
        <w:rPr>
          <w:rFonts w:hint="eastAsia" w:ascii="宋体" w:hAnsi="宋体" w:cs="宋体"/>
          <w:color w:val="auto"/>
          <w:highlight w:val="none"/>
          <w:u w:val="single"/>
        </w:rPr>
        <w:t xml:space="preserve">苏州市原鑫招投标咨询服务有限公司</w:t>
      </w:r>
      <w:r>
        <w:rPr>
          <w:rFonts w:hint="eastAsia" w:ascii="宋体" w:hAnsi="宋体" w:cs="宋体"/>
          <w:color w:val="auto"/>
          <w:highlight w:val="none"/>
        </w:rPr>
        <w:t xml:space="preserve">进行</w:t>
      </w:r>
      <w:r>
        <w:rPr>
          <w:rFonts w:hint="eastAsia" w:ascii="宋体" w:hAnsi="宋体" w:cs="宋体"/>
          <w:color w:val="auto"/>
          <w:szCs w:val="21"/>
          <w:highlight w:val="none"/>
          <w:u w:val="single"/>
          <w:lang w:eastAsia="zh-CN"/>
        </w:rPr>
        <w:t xml:space="preserve">涉磷企业整治提升等技术服务项目</w:t>
      </w:r>
      <w:r>
        <w:rPr>
          <w:rFonts w:hint="eastAsia" w:ascii="宋体" w:hAnsi="宋体" w:cs="宋体"/>
          <w:color w:val="auto"/>
          <w:highlight w:val="none"/>
        </w:rPr>
        <w:t xml:space="preserve">（采购编号：</w:t>
      </w:r>
      <w:r>
        <w:rPr>
          <w:rFonts w:hint="eastAsia" w:ascii="宋体" w:hAnsi="宋体" w:cs="宋体"/>
          <w:color w:val="auto"/>
          <w:szCs w:val="21"/>
          <w:highlight w:val="none"/>
          <w:u w:val="single"/>
          <w:lang w:eastAsia="zh-CN"/>
        </w:rPr>
        <w:t xml:space="preserve">JSZC-320506-SZYX-C2026-0016</w:t>
      </w:r>
      <w:r>
        <w:rPr>
          <w:rFonts w:hint="eastAsia" w:ascii="宋体" w:hAnsi="宋体" w:cs="宋体"/>
          <w:color w:val="auto"/>
          <w:highlight w:val="none"/>
        </w:rPr>
        <w:t xml:space="preserve">）政府采购的成交结果，</w:t>
      </w:r>
      <w:r>
        <w:rPr>
          <w:rFonts w:hint="eastAsia" w:ascii="宋体" w:hAnsi="宋体" w:cs="宋体"/>
          <w:color w:val="auto"/>
          <w:szCs w:val="21"/>
          <w:highlight w:val="none"/>
        </w:rPr>
        <w:t xml:space="preserve">确定乙方为本次成交供应商，现依照磋商文件、乙方的响应文件及相关文件的内容，签订本合同书</w:t>
      </w:r>
      <w:r>
        <w:rPr>
          <w:rFonts w:hint="eastAsia" w:ascii="宋体" w:hAnsi="宋体" w:cs="宋体"/>
          <w:color w:val="auto"/>
          <w:highlight w:val="none"/>
        </w:rPr>
        <w:t xml:space="preserve">。</w:t>
      </w:r>
      <w:r/>
    </w:p>
    <w:p>
      <w:pPr>
        <w:numPr>
          <w:ilvl w:val="0"/>
          <w:numId w:val="61"/>
        </w:numPr>
        <w:spacing w:line="400" w:lineRule="exact"/>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合同价格</w:t>
      </w:r>
      <w:r/>
    </w:p>
    <w:p>
      <w:pPr>
        <w:numPr>
          <w:ilvl w:val="1"/>
          <w:numId w:val="62"/>
        </w:numPr>
        <w:spacing w:line="400" w:lineRule="exact"/>
        <w:tabs>
          <w:tab w:val="left" w:pos="540" w:leader="none"/>
        </w:tabs>
        <w:rPr>
          <w:rFonts w:ascii="宋体" w:hAnsi="宋体"/>
          <w:color w:val="auto"/>
          <w:szCs w:val="21"/>
          <w:highlight w:val="none"/>
        </w:rPr>
      </w:pPr>
      <w:r>
        <w:rPr>
          <w:rFonts w:hint="eastAsia" w:ascii="宋体" w:hAnsi="宋体" w:cs="仿宋_GB2312"/>
          <w:color w:val="auto"/>
          <w:szCs w:val="21"/>
          <w:highlight w:val="none"/>
        </w:rPr>
        <w:t xml:space="preserve">合同价格（大写）人民币</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rPr>
        <w:t xml:space="preserve">元（￥</w:t>
      </w:r>
      <w:r>
        <w:rPr>
          <w:rFonts w:hint="eastAsia" w:ascii="宋体" w:hAnsi="宋体" w:cs="仿宋_GB2312"/>
          <w:color w:val="auto"/>
          <w:szCs w:val="21"/>
          <w:highlight w:val="none"/>
          <w:u w:val="single"/>
        </w:rPr>
        <w:t xml:space="preserve">            </w:t>
      </w:r>
      <w:r>
        <w:rPr>
          <w:rFonts w:hint="eastAsia" w:ascii="宋体" w:hAnsi="宋体" w:cs="仿宋_GB2312"/>
          <w:color w:val="auto"/>
          <w:szCs w:val="21"/>
          <w:highlight w:val="none"/>
        </w:rPr>
        <w:t xml:space="preserve">）。合同价格包含完成本项目服务工作期间所需的材料、仪器设备、备品备件、验收等各项应有费用。</w:t>
      </w:r>
      <w:r/>
    </w:p>
    <w:p>
      <w:pPr>
        <w:numPr>
          <w:ilvl w:val="1"/>
          <w:numId w:val="62"/>
        </w:numPr>
        <w:spacing w:line="400" w:lineRule="exact"/>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根据现行税法对甲方征收的与本合同有关的一切税费均由甲方承担；根据现行税法对乙方征收的与本合同有关的一切税费均由乙方承担。</w:t>
      </w:r>
      <w:r/>
    </w:p>
    <w:p>
      <w:pPr>
        <w:numPr>
          <w:ilvl w:val="0"/>
          <w:numId w:val="61"/>
        </w:num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服务范围</w:t>
      </w:r>
      <w:r/>
    </w:p>
    <w:p>
      <w:pPr>
        <w:numPr>
          <w:ilvl w:val="1"/>
          <w:numId w:val="61"/>
        </w:numPr>
        <w:spacing w:line="40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本合同项下的服务指：</w:t>
      </w:r>
      <w:r>
        <w:rPr>
          <w:rFonts w:hint="eastAsia" w:ascii="宋体" w:hAnsi="宋体" w:cs="宋体"/>
          <w:color w:val="auto"/>
          <w:szCs w:val="21"/>
          <w:highlight w:val="none"/>
          <w:u w:val="single"/>
          <w:lang w:eastAsia="zh-CN"/>
        </w:rPr>
        <w:t xml:space="preserve">涉磷企业整治提升等技术服务项目</w:t>
      </w:r>
      <w:r>
        <w:rPr>
          <w:rFonts w:hint="eastAsia" w:ascii="宋体" w:hAnsi="宋体" w:cs="宋体"/>
          <w:color w:val="auto"/>
          <w:szCs w:val="21"/>
          <w:highlight w:val="none"/>
          <w:u w:val="none"/>
        </w:rPr>
        <w:t xml:space="preserve">。</w:t>
      </w:r>
      <w:r/>
    </w:p>
    <w:p>
      <w:pPr>
        <w:numPr>
          <w:ilvl w:val="1"/>
          <w:numId w:val="61"/>
        </w:numPr>
        <w:spacing w:line="40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服务内容</w:t>
      </w:r>
      <w:r>
        <w:rPr>
          <w:rFonts w:hint="eastAsia" w:ascii="宋体" w:hAnsi="宋体" w:cs="宋体"/>
          <w:color w:val="auto"/>
          <w:szCs w:val="21"/>
          <w:highlight w:val="none"/>
          <w:lang w:val="en-US" w:eastAsia="zh-CN"/>
        </w:rPr>
        <w:t xml:space="preserve">及要求</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详见采购文件</w:t>
      </w:r>
      <w:r>
        <w:rPr>
          <w:rFonts w:hint="eastAsia" w:ascii="宋体" w:hAnsi="宋体" w:cs="宋体"/>
          <w:color w:val="auto"/>
          <w:szCs w:val="21"/>
          <w:highlight w:val="none"/>
        </w:rPr>
        <w:t xml:space="preserve">。</w:t>
      </w:r>
      <w:r/>
    </w:p>
    <w:p>
      <w:pPr>
        <w:numPr>
          <w:ilvl w:val="1"/>
          <w:numId w:val="61"/>
        </w:numPr>
        <w:spacing w:line="400" w:lineRule="exact"/>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履约</w:t>
      </w:r>
      <w:r>
        <w:rPr>
          <w:rFonts w:hint="eastAsia" w:ascii="宋体" w:hAnsi="宋体" w:cs="宋体"/>
          <w:color w:val="auto"/>
          <w:szCs w:val="21"/>
          <w:highlight w:val="none"/>
        </w:rPr>
        <w:t xml:space="preserve">期限：</w:t>
      </w:r>
      <w:r>
        <w:rPr>
          <w:rFonts w:hint="eastAsia" w:ascii="宋体" w:hAnsi="宋体" w:cs="宋体"/>
          <w:color w:val="auto"/>
          <w:szCs w:val="21"/>
          <w:highlight w:val="none"/>
          <w:u w:val="single"/>
          <w:lang w:val="en-US" w:eastAsia="zh-CN"/>
        </w:rPr>
        <w:t xml:space="preserve">自合同签订之日起至2026年年底前完成吴中区涉磷企业整治提升等技术服务。</w:t>
      </w:r>
      <w:r/>
    </w:p>
    <w:p>
      <w:pPr>
        <w:numPr>
          <w:ilvl w:val="0"/>
          <w:numId w:val="61"/>
        </w:numPr>
        <w:spacing w:line="400" w:lineRule="exact"/>
        <w:rPr>
          <w:rFonts w:ascii="宋体" w:hAnsi="宋体"/>
          <w:b/>
          <w:color w:val="auto"/>
          <w:szCs w:val="21"/>
          <w:highlight w:val="none"/>
        </w:rPr>
      </w:pPr>
      <w:r>
        <w:rPr>
          <w:rFonts w:hint="eastAsia" w:ascii="宋体" w:hAnsi="宋体"/>
          <w:b/>
          <w:color w:val="auto"/>
          <w:szCs w:val="21"/>
          <w:highlight w:val="none"/>
        </w:rPr>
        <w:t xml:space="preserve">甲、乙双方的义务</w:t>
      </w:r>
      <w:r/>
    </w:p>
    <w:p>
      <w:pPr>
        <w:numPr>
          <w:ilvl w:val="1"/>
          <w:numId w:val="61"/>
        </w:numPr>
        <w:spacing w:line="400" w:lineRule="exact"/>
        <w:tabs>
          <w:tab w:val="left" w:pos="567"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甲方有义务向乙方及时提供开展工作所必需的政策、法律、法规、行政指导性文件及相关资料。</w:t>
      </w:r>
      <w:r/>
    </w:p>
    <w:p>
      <w:pPr>
        <w:numPr>
          <w:ilvl w:val="1"/>
          <w:numId w:val="61"/>
        </w:numPr>
        <w:spacing w:line="400" w:lineRule="exact"/>
        <w:tabs>
          <w:tab w:val="left" w:pos="567"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乙方应当认真执行并按时完成本项目相关服务工作，自觉接受甲方监督，乙方应当坚守工作范围的职责，不得介入甲方的事务性工作。</w:t>
      </w:r>
      <w:r/>
    </w:p>
    <w:p>
      <w:pPr>
        <w:numPr>
          <w:ilvl w:val="1"/>
          <w:numId w:val="61"/>
        </w:numPr>
        <w:spacing w:line="400" w:lineRule="exact"/>
        <w:tabs>
          <w:tab w:val="left" w:pos="567"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乙方在项目实施过程中，必须按照采购文件要求及响应文件中的承诺配置本项目专业技术人员。在合同期内，乙方及其工作人员须服从甲方的一切规章制度及安排。未经甲方批准，不得随意更换项目组成员。如果甲方认为技术服务人员不具备本次服务工作所需的技术能力，有权随时要求乙方对该成员进行更换。项目实施人员在服务期间内出现的工伤及其他意外事故，均由乙方自行负责，甲方不承担任何责任。</w:t>
      </w:r>
      <w:r>
        <w:rPr>
          <w:rFonts w:hint="eastAsia" w:ascii="宋体" w:hAnsi="宋体" w:cs="宋体"/>
          <w:color w:val="auto"/>
          <w:szCs w:val="21"/>
          <w:highlight w:val="none"/>
          <w:lang w:val="en-US" w:eastAsia="zh-CN"/>
        </w:rPr>
        <w:t xml:space="preserve">乙方不得单独入企进行检查、指导等工作。</w:t>
      </w:r>
      <w:r/>
    </w:p>
    <w:p>
      <w:pPr>
        <w:numPr>
          <w:ilvl w:val="0"/>
          <w:numId w:val="61"/>
        </w:numPr>
        <w:spacing w:line="400" w:lineRule="exact"/>
        <w:tabs>
          <w:tab w:val="left" w:pos="540" w:leader="none"/>
        </w:tabs>
        <w:rPr>
          <w:rFonts w:ascii="宋体" w:hAnsi="宋体"/>
          <w:b/>
          <w:bCs/>
          <w:color w:val="auto"/>
          <w:szCs w:val="21"/>
          <w:highlight w:val="none"/>
        </w:rPr>
      </w:pPr>
      <w:r>
        <w:rPr>
          <w:rFonts w:hint="eastAsia" w:ascii="宋体" w:hAnsi="宋体"/>
          <w:b/>
          <w:color w:val="auto"/>
          <w:szCs w:val="21"/>
          <w:highlight w:val="none"/>
        </w:rPr>
        <w:t xml:space="preserve">质量保证</w:t>
      </w:r>
      <w:r/>
    </w:p>
    <w:p>
      <w:pPr>
        <w:numPr>
          <w:ilvl w:val="1"/>
          <w:numId w:val="61"/>
        </w:numPr>
        <w:spacing w:line="400" w:lineRule="exact"/>
        <w:tabs>
          <w:tab w:val="left" w:pos="567"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乙方提供服务的均为按国家、行业、采购文件相关标准执行的合格、正规的服务，符合相应的规范要求。</w:t>
      </w:r>
      <w:r/>
    </w:p>
    <w:p>
      <w:pPr>
        <w:numPr>
          <w:ilvl w:val="1"/>
          <w:numId w:val="61"/>
        </w:numPr>
        <w:spacing w:line="400" w:lineRule="exact"/>
        <w:tabs>
          <w:tab w:val="left" w:pos="567"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乙方应在项目实施前，详细分析在本次项目实施过程中可能存在的技术风险，并采取必要的风险控制措施。乙方在项目实施工作中对甲方造成的负面影响，其后果都须由乙方承担。</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合同价格支付</w:t>
      </w:r>
      <w:r/>
    </w:p>
    <w:p>
      <w:pPr>
        <w:numPr>
          <w:ilvl w:val="1"/>
          <w:numId w:val="61"/>
        </w:numPr>
        <w:spacing w:line="400" w:lineRule="exact"/>
        <w:tabs>
          <w:tab w:val="left" w:pos="567" w:leader="none"/>
        </w:tabs>
        <w:rPr>
          <w:rFonts w:hint="eastAsia" w:ascii="宋体" w:hAnsi="宋体" w:cs="宋体"/>
          <w:color w:val="auto"/>
          <w:szCs w:val="21"/>
          <w:highlight w:val="none"/>
          <w:lang w:val="en-US" w:eastAsia="zh-CN"/>
        </w:rPr>
      </w:pPr>
      <w:r>
        <w:rPr>
          <w:rFonts w:hint="eastAsia" w:ascii="宋体" w:hAnsi="宋体"/>
          <w:color w:val="auto"/>
          <w:szCs w:val="21"/>
          <w:highlight w:val="none"/>
        </w:rPr>
        <w:t xml:space="preserve">支付步骤：本</w:t>
      </w:r>
      <w:r>
        <w:rPr>
          <w:rFonts w:hint="eastAsia" w:ascii="宋体" w:hAnsi="宋体" w:cs="宋体"/>
          <w:color w:val="auto"/>
          <w:szCs w:val="21"/>
          <w:highlight w:val="none"/>
        </w:rPr>
        <w:t xml:space="preserve">合同签订</w:t>
      </w:r>
      <w:r>
        <w:rPr>
          <w:rFonts w:hint="eastAsia" w:ascii="宋体" w:hAnsi="宋体" w:cs="宋体"/>
          <w:color w:val="auto"/>
          <w:szCs w:val="21"/>
          <w:highlight w:val="none"/>
          <w:lang w:val="en-US" w:eastAsia="zh-CN"/>
        </w:rPr>
        <w:t xml:space="preserve">后甲方于2026年年底前向乙方支付合同金额的50%，乙方完成本项目包含的全部工作内容，提交全部成果并经甲方验收合格后，甲方一个月内付清合同尾款。最终实际支付费用以财政审核拨付金额为准。</w:t>
      </w:r>
      <w:r/>
    </w:p>
    <w:p>
      <w:pPr>
        <w:numPr>
          <w:ilvl w:val="1"/>
          <w:numId w:val="61"/>
        </w:numPr>
        <w:spacing w:line="400" w:lineRule="exact"/>
        <w:tabs>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乙方</w:t>
      </w:r>
      <w:r>
        <w:rPr>
          <w:rFonts w:hint="eastAsia" w:ascii="宋体" w:hAnsi="宋体" w:cs="仿宋_GB2312"/>
          <w:color w:val="auto"/>
          <w:szCs w:val="21"/>
          <w:highlight w:val="none"/>
        </w:rPr>
        <w:t xml:space="preserve">要求付款应提供以下资料：</w:t>
      </w:r>
      <w:r/>
    </w:p>
    <w:p>
      <w:pPr>
        <w:numPr>
          <w:ilvl w:val="3"/>
          <w:numId w:val="63"/>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合格的</w:t>
      </w:r>
      <w:r>
        <w:rPr>
          <w:rFonts w:ascii="宋体" w:hAnsi="宋体"/>
          <w:color w:val="auto"/>
          <w:szCs w:val="21"/>
          <w:highlight w:val="none"/>
        </w:rPr>
        <w:t xml:space="preserve">发票</w:t>
      </w:r>
      <w:r>
        <w:rPr>
          <w:rFonts w:hint="eastAsia" w:ascii="宋体" w:hAnsi="宋体" w:cs="仿宋_GB2312"/>
          <w:color w:val="auto"/>
          <w:szCs w:val="21"/>
          <w:highlight w:val="none"/>
        </w:rPr>
        <w:t xml:space="preserve">。</w:t>
      </w:r>
      <w:r/>
    </w:p>
    <w:p>
      <w:pPr>
        <w:numPr>
          <w:ilvl w:val="3"/>
          <w:numId w:val="63"/>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履行验收报告（最后一次付款提供）。</w:t>
      </w:r>
      <w:r/>
    </w:p>
    <w:p>
      <w:pPr>
        <w:numPr>
          <w:ilvl w:val="1"/>
          <w:numId w:val="61"/>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支付</w:t>
      </w:r>
      <w:r>
        <w:rPr>
          <w:rFonts w:hint="eastAsia" w:ascii="宋体" w:hAnsi="宋体"/>
          <w:color w:val="auto"/>
          <w:szCs w:val="21"/>
          <w:highlight w:val="none"/>
        </w:rPr>
        <w:t xml:space="preserve">方式</w:t>
      </w:r>
      <w:r>
        <w:rPr>
          <w:rFonts w:hint="eastAsia" w:ascii="宋体" w:hAnsi="宋体" w:cs="仿宋_GB2312"/>
          <w:color w:val="auto"/>
          <w:szCs w:val="21"/>
          <w:highlight w:val="none"/>
        </w:rPr>
        <w:t xml:space="preserve">：1）银行转账；2）数字人民币支付。</w:t>
      </w:r>
      <w:r/>
    </w:p>
    <w:p>
      <w:pPr>
        <w:numPr>
          <w:ilvl w:val="1"/>
          <w:numId w:val="61"/>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乙方账户信息：</w:t>
      </w:r>
      <w:r/>
    </w:p>
    <w:p>
      <w:pPr>
        <w:numPr>
          <w:ilvl w:val="255"/>
          <w:numId w:val="0"/>
        </w:numPr>
        <w:ind w:firstLine="630"/>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户名：</w:t>
      </w:r>
      <w:r/>
    </w:p>
    <w:p>
      <w:pPr>
        <w:numPr>
          <w:ilvl w:val="255"/>
          <w:numId w:val="0"/>
        </w:numPr>
        <w:ind w:firstLine="630"/>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收款账号：</w:t>
      </w:r>
      <w:r/>
    </w:p>
    <w:p>
      <w:pPr>
        <w:numPr>
          <w:ilvl w:val="255"/>
          <w:numId w:val="0"/>
        </w:numPr>
        <w:ind w:firstLine="630"/>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开户行：</w:t>
      </w:r>
      <w:r/>
    </w:p>
    <w:p>
      <w:pPr>
        <w:ind w:firstLine="630"/>
        <w:spacing w:line="400" w:lineRule="exact"/>
        <w:tabs>
          <w:tab w:val="left" w:pos="567" w:leader="none"/>
        </w:tabs>
        <w:rPr>
          <w:rFonts w:hint="eastAsia" w:ascii="宋体" w:hAnsi="宋体"/>
          <w:color w:val="auto"/>
          <w:szCs w:val="21"/>
          <w:highlight w:val="none"/>
        </w:rPr>
      </w:pPr>
      <w:r>
        <w:rPr>
          <w:rFonts w:hint="eastAsia" w:ascii="宋体" w:hAnsi="宋体"/>
          <w:color w:val="auto"/>
          <w:szCs w:val="21"/>
          <w:highlight w:val="none"/>
        </w:rPr>
        <w:t xml:space="preserve">数字钱包ID：</w:t>
      </w:r>
      <w:r/>
    </w:p>
    <w:p>
      <w:pPr>
        <w:numPr>
          <w:ilvl w:val="1"/>
          <w:numId w:val="61"/>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若由于乙方未能及时开具符合甲方要求的发票、提供的账户有误等可归结于乙方的原因，导致甲方逾期付款的，甲方不承担任何逾期付款的责任，并且甲方有权拒绝支付相应款项。</w:t>
      </w:r>
      <w:r/>
    </w:p>
    <w:p>
      <w:pPr>
        <w:numPr>
          <w:ilvl w:val="0"/>
          <w:numId w:val="61"/>
        </w:numPr>
        <w:spacing w:line="400" w:lineRule="exact"/>
        <w:tabs>
          <w:tab w:val="left" w:pos="540" w:leader="none"/>
        </w:tabs>
        <w:rPr>
          <w:rFonts w:hint="eastAsia" w:cs="仿宋_GB2312" w:asciiTheme="minorEastAsia" w:hAnsiTheme="minorEastAsia" w:eastAsiaTheme="minorEastAsia"/>
          <w:b/>
          <w:color w:val="auto"/>
          <w:szCs w:val="21"/>
          <w:highlight w:val="none"/>
        </w:rPr>
      </w:pPr>
      <w:r>
        <w:rPr>
          <w:rFonts w:hint="eastAsia" w:cs="仿宋_GB2312" w:asciiTheme="minorEastAsia" w:hAnsiTheme="minorEastAsia" w:eastAsiaTheme="minorEastAsia"/>
          <w:b/>
          <w:color w:val="auto"/>
          <w:szCs w:val="21"/>
          <w:highlight w:val="none"/>
        </w:rPr>
        <w:t xml:space="preserve">保密要求</w:t>
      </w:r>
      <w:r/>
    </w:p>
    <w:p>
      <w:pPr>
        <w:numPr>
          <w:ilvl w:val="1"/>
          <w:numId w:val="61"/>
        </w:numPr>
        <w:spacing w:line="400" w:lineRule="exact"/>
        <w:tabs>
          <w:tab w:val="left" w:pos="567" w:leader="none"/>
        </w:tabs>
        <w:rPr>
          <w:rFonts w:hint="eastAsia" w:asciiTheme="minorEastAsia" w:hAnsiTheme="minorEastAsia" w:eastAsiaTheme="minorEastAsia"/>
          <w:bCs/>
          <w:color w:val="auto"/>
          <w:szCs w:val="21"/>
          <w:highlight w:val="none"/>
        </w:rPr>
      </w:pPr>
      <w:r>
        <w:rPr>
          <w:rFonts w:hint="eastAsia" w:asciiTheme="minorEastAsia" w:hAnsiTheme="minorEastAsia" w:eastAsiaTheme="minorEastAsia"/>
          <w:color w:val="auto"/>
          <w:szCs w:val="21"/>
          <w:highlight w:val="none"/>
        </w:rPr>
        <w:t xml:space="preserve">乙方</w:t>
      </w:r>
      <w:r>
        <w:rPr>
          <w:rFonts w:hint="eastAsia" w:asciiTheme="minorEastAsia" w:hAnsiTheme="minorEastAsia" w:eastAsiaTheme="minorEastAsia"/>
          <w:bCs/>
          <w:color w:val="auto"/>
          <w:szCs w:val="21"/>
          <w:highlight w:val="none"/>
        </w:rPr>
        <w:t xml:space="preserve">及其工作人员应当对项目实施过程中接触的所有</w:t>
      </w:r>
      <w:r>
        <w:rPr>
          <w:rFonts w:hint="eastAsia" w:asciiTheme="minorEastAsia" w:hAnsiTheme="minorEastAsia" w:eastAsiaTheme="minorEastAsia"/>
          <w:bCs/>
          <w:color w:val="auto"/>
          <w:szCs w:val="21"/>
          <w:highlight w:val="none"/>
          <w:lang w:val="en-US" w:eastAsia="zh-CN"/>
        </w:rPr>
        <w:t xml:space="preserve">工作</w:t>
      </w:r>
      <w:r>
        <w:rPr>
          <w:rFonts w:hint="eastAsia" w:asciiTheme="minorEastAsia" w:hAnsiTheme="minorEastAsia" w:eastAsiaTheme="minorEastAsia"/>
          <w:bCs/>
          <w:color w:val="auto"/>
          <w:szCs w:val="21"/>
          <w:highlight w:val="none"/>
        </w:rPr>
        <w:t xml:space="preserve">资料</w:t>
      </w:r>
      <w:r>
        <w:rPr>
          <w:rFonts w:hint="eastAsia" w:asciiTheme="minorEastAsia" w:hAnsiTheme="minorEastAsia" w:eastAsiaTheme="minorEastAsia"/>
          <w:bCs/>
          <w:color w:val="auto"/>
          <w:szCs w:val="21"/>
          <w:highlight w:val="none"/>
          <w:lang w:val="en-US" w:eastAsia="zh-CN"/>
        </w:rPr>
        <w:t xml:space="preserve">予以</w:t>
      </w:r>
      <w:r>
        <w:rPr>
          <w:rFonts w:hint="eastAsia" w:asciiTheme="minorEastAsia" w:hAnsiTheme="minorEastAsia" w:eastAsiaTheme="minorEastAsia"/>
          <w:bCs/>
          <w:color w:val="auto"/>
          <w:szCs w:val="21"/>
          <w:highlight w:val="none"/>
        </w:rPr>
        <w:t xml:space="preserve">保密，未经甲方书面同意，乙方不得向甲方指定人员以外的其他单位和人员泄露上述资料或用于本合同以外的其他目的。</w:t>
      </w:r>
      <w:r/>
    </w:p>
    <w:p>
      <w:pPr>
        <w:numPr>
          <w:ilvl w:val="1"/>
          <w:numId w:val="61"/>
        </w:numPr>
        <w:spacing w:line="400" w:lineRule="exact"/>
        <w:tabs>
          <w:tab w:val="left" w:pos="567" w:leader="none"/>
        </w:tabs>
        <w:rPr>
          <w:rFonts w:hint="eastAsia" w:asciiTheme="minorEastAsia" w:hAnsiTheme="minorEastAsia" w:eastAsiaTheme="minorEastAsia"/>
          <w:bCs/>
          <w:color w:val="auto"/>
          <w:szCs w:val="21"/>
          <w:highlight w:val="none"/>
        </w:rPr>
      </w:pPr>
      <w:r>
        <w:rPr>
          <w:rFonts w:hint="eastAsia" w:cs="仿宋_GB2312" w:asciiTheme="minorEastAsia" w:hAnsiTheme="minorEastAsia" w:eastAsiaTheme="minorEastAsia"/>
          <w:color w:val="auto"/>
          <w:szCs w:val="21"/>
          <w:highlight w:val="none"/>
        </w:rPr>
        <w:t xml:space="preserve">保密义务至甲方将相关文件、信息、资料以及所涉成果正式向社会公开之日或甲方书面解除乙方的保密义务之日起终止。保密义务的规定在本合同终止后仍然继续有效，且不受本合同解除、终止或无效的影响。</w:t>
      </w:r>
      <w:r/>
    </w:p>
    <w:p>
      <w:pPr>
        <w:numPr>
          <w:ilvl w:val="1"/>
          <w:numId w:val="61"/>
        </w:numPr>
        <w:spacing w:line="400" w:lineRule="exact"/>
        <w:tabs>
          <w:tab w:val="left" w:pos="567"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bCs/>
          <w:color w:val="auto"/>
          <w:szCs w:val="21"/>
          <w:highlight w:val="none"/>
        </w:rPr>
        <w:t xml:space="preserve">乙方及其</w:t>
      </w:r>
      <w:r>
        <w:rPr>
          <w:rFonts w:hint="eastAsia" w:cs="仿宋_GB2312" w:asciiTheme="minorEastAsia" w:hAnsiTheme="minorEastAsia" w:eastAsiaTheme="minorEastAsia"/>
          <w:color w:val="auto"/>
          <w:szCs w:val="21"/>
          <w:highlight w:val="none"/>
        </w:rPr>
        <w:t xml:space="preserve">工作人员违反保密规定或者法律及本合同规定的其他禁止性规定，所引起的一切后果及法律责任由乙方承担，且应承担合同总价款30%的违约金并赔偿甲方全部损失。</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违约责任及违约金支付</w:t>
      </w:r>
      <w:r/>
    </w:p>
    <w:p>
      <w:pPr>
        <w:numPr>
          <w:ilvl w:val="1"/>
          <w:numId w:val="61"/>
        </w:numPr>
        <w:spacing w:line="400" w:lineRule="exact"/>
        <w:tabs>
          <w:tab w:val="left" w:pos="567" w:leader="none"/>
        </w:tabs>
        <w:rPr>
          <w:rFonts w:hint="eastAsia" w:cs="Times New Roman" w:asciiTheme="minorEastAsia" w:hAnsiTheme="minorEastAsia" w:eastAsiaTheme="minorEastAsia"/>
          <w:bCs/>
          <w:color w:val="auto"/>
          <w:szCs w:val="21"/>
          <w:highlight w:val="none"/>
        </w:rPr>
      </w:pPr>
      <w:r>
        <w:rPr>
          <w:rFonts w:hint="eastAsia" w:cs="Times New Roman" w:asciiTheme="minorEastAsia" w:hAnsiTheme="minorEastAsia" w:eastAsiaTheme="minorEastAsia"/>
          <w:bCs/>
          <w:color w:val="auto"/>
          <w:szCs w:val="21"/>
          <w:highlight w:val="none"/>
        </w:rPr>
        <w:t xml:space="preserve">乙方不能提供服务或服务未达到本项目采购要求或交付成果不符合甲方要求从而影响甲方按期正常使用的，应向甲方偿付合同总价款5%的违约金，违约金不足以补偿损失的甲方有权要求乙方补足。</w:t>
      </w:r>
      <w:r/>
    </w:p>
    <w:p>
      <w:pPr>
        <w:numPr>
          <w:ilvl w:val="1"/>
          <w:numId w:val="61"/>
        </w:numPr>
        <w:spacing w:line="400" w:lineRule="exact"/>
        <w:tabs>
          <w:tab w:val="left" w:pos="567" w:leader="none"/>
        </w:tabs>
        <w:rPr>
          <w:rFonts w:hint="eastAsia" w:cs="Times New Roman" w:asciiTheme="minorEastAsia" w:hAnsiTheme="minorEastAsia" w:eastAsiaTheme="minorEastAsia"/>
          <w:bCs/>
          <w:color w:val="auto"/>
          <w:szCs w:val="21"/>
          <w:highlight w:val="none"/>
        </w:rPr>
      </w:pPr>
      <w:r>
        <w:rPr>
          <w:rFonts w:hint="eastAsia" w:cs="Times New Roman" w:asciiTheme="minorEastAsia" w:hAnsiTheme="minorEastAsia" w:eastAsiaTheme="minorEastAsia"/>
          <w:bCs/>
          <w:color w:val="auto"/>
          <w:szCs w:val="21"/>
          <w:highlight w:val="none"/>
        </w:rPr>
        <w:t xml:space="preserve">乙方逾期提供服务的，甲方仍需求的，乙方应立即提供护服务按照逾期服务的每天万分之四支付逾期违约金，同时承担甲方因此遭致的损失费用。</w:t>
      </w:r>
      <w:r/>
    </w:p>
    <w:p>
      <w:pPr>
        <w:numPr>
          <w:ilvl w:val="1"/>
          <w:numId w:val="61"/>
        </w:numPr>
        <w:spacing w:line="400" w:lineRule="exact"/>
        <w:tabs>
          <w:tab w:val="left" w:pos="567" w:leader="none"/>
        </w:tabs>
        <w:rPr>
          <w:rFonts w:hint="eastAsia" w:cs="Times New Roman" w:asciiTheme="minorEastAsia" w:hAnsiTheme="minorEastAsia" w:eastAsiaTheme="minorEastAsia"/>
          <w:bCs/>
          <w:color w:val="auto"/>
          <w:szCs w:val="21"/>
          <w:highlight w:val="none"/>
        </w:rPr>
      </w:pPr>
      <w:r>
        <w:rPr>
          <w:rFonts w:hint="eastAsia" w:cs="Times New Roman" w:asciiTheme="minorEastAsia" w:hAnsiTheme="minorEastAsia" w:eastAsiaTheme="minorEastAsia"/>
          <w:bCs/>
          <w:color w:val="auto"/>
          <w:szCs w:val="21"/>
          <w:highlight w:val="none"/>
        </w:rPr>
        <w:t xml:space="preserve">乙方在服务过程中有存在廉政问题、编造数据、弄虚作假或其他影响客观性、公正性行为的，甲方有权拒绝支付剩余合同价款、终止合同并提请有关部门追究行政或法律责任。给甲方造成损失的，还应赔偿甲方一切损失。</w:t>
      </w:r>
      <w:r/>
    </w:p>
    <w:p>
      <w:pPr>
        <w:numPr>
          <w:ilvl w:val="1"/>
          <w:numId w:val="61"/>
        </w:numPr>
        <w:spacing w:line="400" w:lineRule="exact"/>
        <w:tabs>
          <w:tab w:val="left" w:pos="567" w:leader="none"/>
        </w:tabs>
        <w:rPr>
          <w:rFonts w:hint="eastAsia" w:cs="Times New Roman" w:asciiTheme="minorEastAsia" w:hAnsiTheme="minorEastAsia" w:eastAsiaTheme="minorEastAsia"/>
          <w:bCs/>
          <w:color w:val="auto"/>
          <w:szCs w:val="21"/>
          <w:highlight w:val="none"/>
        </w:rPr>
      </w:pPr>
      <w:r>
        <w:rPr>
          <w:rFonts w:hint="eastAsia" w:cs="Times New Roman" w:asciiTheme="minorEastAsia" w:hAnsiTheme="minorEastAsia" w:eastAsiaTheme="minorEastAsia"/>
          <w:bCs/>
          <w:color w:val="auto"/>
          <w:szCs w:val="21"/>
          <w:highlight w:val="none"/>
        </w:rPr>
        <w:t xml:space="preserve">乙方向任何第三方泄露双方商定的保密项（包括但不限于本项目产出的评估报告、服务过程中获取的相关第三方信息等）的，乙方应向甲方偿付合同总价款10%的违约金，违约金不足以补偿损失的，甲方有权要求乙方补足，同时甲方有权解除合同。</w:t>
      </w:r>
      <w:r/>
    </w:p>
    <w:p>
      <w:pPr>
        <w:numPr>
          <w:ilvl w:val="1"/>
          <w:numId w:val="61"/>
        </w:numPr>
        <w:spacing w:line="400" w:lineRule="exact"/>
        <w:tabs>
          <w:tab w:val="left" w:pos="567" w:leader="none"/>
        </w:tabs>
        <w:rPr>
          <w:rFonts w:hint="eastAsia" w:cs="Times New Roman" w:asciiTheme="minorEastAsia" w:hAnsiTheme="minorEastAsia" w:eastAsiaTheme="minorEastAsia"/>
          <w:bCs/>
          <w:color w:val="auto"/>
          <w:szCs w:val="21"/>
          <w:highlight w:val="none"/>
        </w:rPr>
      </w:pPr>
      <w:r>
        <w:rPr>
          <w:rFonts w:hint="eastAsia" w:cs="Times New Roman" w:asciiTheme="minorEastAsia" w:hAnsiTheme="minorEastAsia" w:eastAsiaTheme="minorEastAsia"/>
          <w:bCs/>
          <w:color w:val="auto"/>
          <w:szCs w:val="21"/>
          <w:highlight w:val="none"/>
        </w:rPr>
        <w:t xml:space="preserve">乙方经甲方考核不合格将扣除相应服务款项并且在甲方规定的时间内进行整改到位，整改未达甲方要求的，甲方有权单方面解除合同并由乙方承担由此对甲方造成的损失。</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不可抗力</w:t>
      </w:r>
      <w:r/>
    </w:p>
    <w:p>
      <w:pPr>
        <w:numPr>
          <w:ilvl w:val="1"/>
          <w:numId w:val="61"/>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因不</w:t>
      </w:r>
      <w:r>
        <w:rPr>
          <w:rFonts w:hint="eastAsia" w:ascii="宋体" w:hAnsi="宋体" w:cs="仿宋_GB2312"/>
          <w:color w:val="auto"/>
          <w:szCs w:val="21"/>
          <w:highlight w:val="none"/>
        </w:rPr>
        <w:t xml:space="preserve">可抗力不能履行合同的，根据不可抗力的影响，部分或者全部免除责任。但合同一方延迟履行后发生不可抗力的，不能免除责任。</w:t>
      </w:r>
      <w:r/>
    </w:p>
    <w:p>
      <w:pPr>
        <w:numPr>
          <w:ilvl w:val="1"/>
          <w:numId w:val="61"/>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合同</w:t>
      </w:r>
      <w:r>
        <w:rPr>
          <w:rFonts w:hint="eastAsia" w:ascii="宋体" w:hAnsi="宋体" w:cs="仿宋_GB2312"/>
          <w:color w:val="auto"/>
          <w:szCs w:val="21"/>
          <w:highlight w:val="none"/>
        </w:rPr>
        <w:t xml:space="preserve">一方因不可抗力不能履行合同的，应当及时通知对方，以减轻可能给对方造成的损失，并应当在合理期限内</w:t>
      </w:r>
      <w:r>
        <w:rPr>
          <w:rFonts w:hint="eastAsia" w:ascii="宋体" w:hAnsi="宋体"/>
          <w:color w:val="auto"/>
          <w:szCs w:val="21"/>
          <w:highlight w:val="none"/>
        </w:rPr>
        <w:t xml:space="preserve">提供证明。</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合同修改</w:t>
      </w:r>
      <w:r/>
    </w:p>
    <w:p>
      <w:pPr>
        <w:numPr>
          <w:ilvl w:val="1"/>
          <w:numId w:val="61"/>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甲方</w:t>
      </w:r>
      <w:r>
        <w:rPr>
          <w:rFonts w:hint="eastAsia" w:ascii="宋体" w:hAnsi="宋体" w:cs="仿宋_GB2312"/>
          <w:color w:val="auto"/>
          <w:szCs w:val="21"/>
          <w:highlight w:val="none"/>
        </w:rPr>
        <w:t xml:space="preserve">和乙方都不得擅自变更本合同，但合同继续履行将损害国家和社会公共利益的除外。</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转让和分包</w:t>
      </w:r>
      <w:r/>
    </w:p>
    <w:p>
      <w:pPr>
        <w:numPr>
          <w:ilvl w:val="1"/>
          <w:numId w:val="61"/>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olor w:val="auto"/>
          <w:szCs w:val="21"/>
          <w:highlight w:val="none"/>
        </w:rPr>
        <w:t xml:space="preserve">政府</w:t>
      </w:r>
      <w:r>
        <w:rPr>
          <w:rFonts w:hint="eastAsia" w:ascii="宋体" w:hAnsi="宋体" w:cs="仿宋_GB2312"/>
          <w:color w:val="auto"/>
          <w:szCs w:val="21"/>
          <w:highlight w:val="none"/>
        </w:rPr>
        <w:t xml:space="preserve">采购合同的部分和全部都不得转让、分包。</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合同的解除</w:t>
      </w:r>
      <w:r/>
    </w:p>
    <w:p>
      <w:pPr>
        <w:numPr>
          <w:ilvl w:val="1"/>
          <w:numId w:val="61"/>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有</w:t>
      </w:r>
      <w:r>
        <w:rPr>
          <w:rFonts w:hint="eastAsia" w:ascii="宋体" w:hAnsi="宋体"/>
          <w:color w:val="auto"/>
          <w:szCs w:val="21"/>
          <w:highlight w:val="none"/>
        </w:rPr>
        <w:t xml:space="preserve">下列</w:t>
      </w:r>
      <w:r>
        <w:rPr>
          <w:rFonts w:hint="eastAsia" w:ascii="宋体" w:hAnsi="宋体" w:cs="仿宋_GB2312"/>
          <w:color w:val="auto"/>
          <w:szCs w:val="21"/>
          <w:highlight w:val="none"/>
        </w:rPr>
        <w:t xml:space="preserve">情形之一，合同一方可以解除合同：</w:t>
      </w:r>
      <w:r/>
    </w:p>
    <w:p>
      <w:pPr>
        <w:numPr>
          <w:ilvl w:val="0"/>
          <w:numId w:val="64"/>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因不可抗力致使不能实现合同目的，双方均有权解除合同；</w:t>
      </w:r>
      <w:r/>
    </w:p>
    <w:p>
      <w:pPr>
        <w:numPr>
          <w:ilvl w:val="0"/>
          <w:numId w:val="64"/>
        </w:numPr>
        <w:ind w:left="1080" w:right="-153" w:hanging="540"/>
        <w:spacing w:line="400" w:lineRule="exact"/>
        <w:tabs>
          <w:tab w:val="left" w:pos="1080" w:leader="none"/>
          <w:tab w:val="clear" w:pos="2579"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因合同一方违约导致合同不能履行，另一方有权解除合同。</w:t>
      </w:r>
      <w:r/>
    </w:p>
    <w:p>
      <w:pPr>
        <w:numPr>
          <w:ilvl w:val="1"/>
          <w:numId w:val="61"/>
        </w:numPr>
        <w:spacing w:line="400" w:lineRule="exact"/>
        <w:tabs>
          <w:tab w:val="left" w:pos="540" w:leader="none"/>
          <w:tab w:val="left" w:pos="567" w:leader="none"/>
        </w:tabs>
        <w:rPr>
          <w:rFonts w:hint="eastAsia" w:ascii="宋体" w:hAnsi="宋体" w:cs="仿宋_GB2312"/>
          <w:color w:val="auto"/>
          <w:szCs w:val="21"/>
          <w:highlight w:val="none"/>
        </w:rPr>
      </w:pPr>
      <w:r>
        <w:rPr>
          <w:rFonts w:hint="eastAsia" w:ascii="宋体" w:hAnsi="宋体" w:cs="仿宋_GB2312"/>
          <w:color w:val="auto"/>
          <w:szCs w:val="21"/>
          <w:highlight w:val="none"/>
        </w:rPr>
        <w:t xml:space="preserve">有权解除合同的一方，应当在违约事实或不可抗力发生之后三十天内书面通知对方以主张解除合同，合同在书面通知到达对方时解除。</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争议解决办法</w:t>
      </w:r>
      <w:r/>
    </w:p>
    <w:p>
      <w:pPr>
        <w:ind w:firstLine="539"/>
        <w:spacing w:line="400" w:lineRule="exact"/>
        <w:rPr>
          <w:rFonts w:hint="eastAsia" w:ascii="宋体" w:hAnsi="宋体" w:cs="仿宋_GB2312"/>
          <w:color w:val="auto"/>
          <w:szCs w:val="21"/>
          <w:highlight w:val="none"/>
        </w:rPr>
      </w:pPr>
      <w:r>
        <w:rPr>
          <w:rFonts w:hint="eastAsia" w:ascii="宋体" w:hAnsi="宋体" w:cs="仿宋_GB2312"/>
          <w:color w:val="auto"/>
          <w:szCs w:val="21"/>
          <w:highlight w:val="none"/>
        </w:rPr>
        <w:t xml:space="preserve">因本合同或与本合同有关的一切事项发生争议，由双方友好协商解决。协商不成的，任何一方均可选择以下方式解决：</w:t>
      </w:r>
      <w:r/>
    </w:p>
    <w:p>
      <w:pPr>
        <w:ind w:firstLine="539"/>
        <w:spacing w:line="400" w:lineRule="exact"/>
        <w:rPr>
          <w:rFonts w:hint="eastAsia" w:ascii="宋体" w:hAnsi="宋体" w:cs="仿宋_GB2312"/>
          <w:color w:val="auto"/>
          <w:szCs w:val="21"/>
          <w:highlight w:val="none"/>
        </w:rPr>
      </w:pPr>
      <w:r>
        <w:rPr>
          <w:rFonts w:hint="eastAsia" w:ascii="宋体" w:hAnsi="宋体" w:cs="仿宋_GB2312"/>
          <w:color w:val="auto"/>
          <w:szCs w:val="21"/>
          <w:highlight w:val="none"/>
        </w:rPr>
        <w:t xml:space="preserve">向甲方所在地的人民法院起诉。</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合同生效及其他</w:t>
      </w:r>
      <w:r/>
    </w:p>
    <w:p>
      <w:pPr>
        <w:numPr>
          <w:ilvl w:val="1"/>
          <w:numId w:val="61"/>
        </w:numPr>
        <w:spacing w:line="400" w:lineRule="exact"/>
        <w:tabs>
          <w:tab w:val="left" w:pos="540" w:leader="none"/>
          <w:tab w:val="left" w:pos="567" w:leader="none"/>
        </w:tabs>
        <w:rPr>
          <w:rFonts w:hint="eastAsia" w:ascii="宋体" w:hAnsi="宋体"/>
          <w:color w:val="auto"/>
          <w:szCs w:val="21"/>
          <w:highlight w:val="none"/>
        </w:rPr>
      </w:pPr>
      <w:r>
        <w:rPr>
          <w:rFonts w:hint="eastAsia" w:ascii="宋体" w:hAnsi="宋体" w:cs="仿宋_GB2312"/>
          <w:color w:val="auto"/>
          <w:szCs w:val="21"/>
          <w:highlight w:val="none"/>
        </w:rPr>
        <w:t xml:space="preserve">本</w:t>
      </w:r>
      <w:r>
        <w:rPr>
          <w:rFonts w:hint="eastAsia" w:ascii="宋体" w:hAnsi="宋体"/>
          <w:color w:val="auto"/>
          <w:szCs w:val="21"/>
          <w:highlight w:val="none"/>
        </w:rPr>
        <w:t xml:space="preserve">合同</w:t>
      </w:r>
      <w:r>
        <w:rPr>
          <w:rFonts w:hint="eastAsia" w:ascii="宋体" w:hAnsi="宋体" w:cs="仿宋_GB2312"/>
          <w:color w:val="auto"/>
          <w:szCs w:val="21"/>
          <w:highlight w:val="none"/>
        </w:rPr>
        <w:t xml:space="preserve">经双方签字并盖章后生效，同时合同将进行公示。</w:t>
      </w:r>
      <w:r/>
    </w:p>
    <w:p>
      <w:pPr>
        <w:numPr>
          <w:ilvl w:val="1"/>
          <w:numId w:val="61"/>
        </w:numPr>
        <w:spacing w:line="400" w:lineRule="exact"/>
        <w:tabs>
          <w:tab w:val="left" w:pos="540" w:leader="none"/>
          <w:tab w:val="left" w:pos="567" w:leader="none"/>
        </w:tabs>
        <w:rPr>
          <w:rFonts w:hint="eastAsia" w:ascii="宋体" w:hAnsi="宋体"/>
          <w:color w:val="auto"/>
          <w:szCs w:val="21"/>
          <w:highlight w:val="none"/>
        </w:rPr>
      </w:pPr>
      <w:r>
        <w:rPr>
          <w:rFonts w:hint="eastAsia" w:ascii="宋体" w:hAnsi="宋体" w:cs="仿宋_GB2312"/>
          <w:color w:val="auto"/>
          <w:szCs w:val="21"/>
          <w:highlight w:val="none"/>
        </w:rPr>
        <w:t xml:space="preserve">下列文件为本合同不可分割部分</w:t>
      </w:r>
      <w:r>
        <w:rPr>
          <w:rFonts w:hint="eastAsia" w:ascii="宋体" w:hAnsi="宋体"/>
          <w:color w:val="auto"/>
          <w:szCs w:val="21"/>
          <w:highlight w:val="none"/>
        </w:rPr>
        <w:t xml:space="preserve">：</w:t>
      </w:r>
      <w:r/>
    </w:p>
    <w:p>
      <w:pPr>
        <w:ind w:left="540" w:right="-153"/>
        <w:spacing w:line="400" w:lineRule="exact"/>
        <w:rPr>
          <w:rFonts w:hint="eastAsia" w:ascii="宋体" w:hAnsi="宋体" w:cs="仿宋_GB2312"/>
          <w:color w:val="auto"/>
          <w:szCs w:val="21"/>
          <w:highlight w:val="none"/>
        </w:rPr>
      </w:pPr>
      <w:r>
        <w:rPr>
          <w:rFonts w:hint="eastAsia" w:ascii="宋体" w:hAnsi="宋体" w:cs="仿宋_GB2312"/>
          <w:color w:val="auto"/>
          <w:szCs w:val="21"/>
          <w:highlight w:val="none"/>
        </w:rPr>
        <w:t xml:space="preserve">成交通知书；乙方响应文件；磋商文件；乙方在磋商过程</w:t>
      </w:r>
      <w:r>
        <w:rPr>
          <w:rFonts w:hint="eastAsia" w:ascii="宋体" w:hAnsi="宋体"/>
          <w:color w:val="auto"/>
          <w:szCs w:val="21"/>
          <w:highlight w:val="none"/>
        </w:rPr>
        <w:t xml:space="preserve">中所作的其他承诺、声明、书面澄清等。</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未尽事宜</w:t>
      </w:r>
      <w:r/>
    </w:p>
    <w:p>
      <w:pPr>
        <w:ind w:left="540" w:right="-153"/>
        <w:spacing w:line="400" w:lineRule="exact"/>
        <w:rPr>
          <w:rFonts w:hint="eastAsia" w:ascii="宋体" w:hAnsi="宋体" w:cs="仿宋_GB2312"/>
          <w:color w:val="auto"/>
          <w:szCs w:val="21"/>
          <w:highlight w:val="none"/>
        </w:rPr>
      </w:pPr>
      <w:r>
        <w:rPr>
          <w:rFonts w:hint="eastAsia" w:ascii="宋体" w:hAnsi="宋体" w:cs="仿宋_GB2312"/>
          <w:color w:val="auto"/>
          <w:szCs w:val="21"/>
          <w:highlight w:val="none"/>
        </w:rPr>
        <w:t xml:space="preserve">未尽事宜应按照《中华人民共和国民法典》、《中华人民共和国政府采购法》等相关法律法规之规定解释。</w:t>
      </w:r>
      <w:r/>
    </w:p>
    <w:p>
      <w:pPr>
        <w:numPr>
          <w:ilvl w:val="0"/>
          <w:numId w:val="61"/>
        </w:numPr>
        <w:spacing w:line="400" w:lineRule="exact"/>
        <w:tabs>
          <w:tab w:val="left" w:pos="540" w:leader="none"/>
        </w:tabs>
        <w:rPr>
          <w:rFonts w:hint="eastAsia" w:ascii="宋体" w:hAnsi="宋体" w:cs="仿宋_GB2312"/>
          <w:b/>
          <w:color w:val="auto"/>
          <w:szCs w:val="21"/>
          <w:highlight w:val="none"/>
        </w:rPr>
      </w:pPr>
      <w:r>
        <w:rPr>
          <w:rFonts w:hint="eastAsia" w:ascii="宋体" w:hAnsi="宋体" w:cs="仿宋_GB2312"/>
          <w:b/>
          <w:color w:val="auto"/>
          <w:szCs w:val="21"/>
          <w:highlight w:val="none"/>
        </w:rPr>
        <w:t xml:space="preserve">附则</w:t>
      </w:r>
      <w:r/>
    </w:p>
    <w:p>
      <w:pPr>
        <w:ind w:firstLine="539"/>
        <w:spacing w:line="400" w:lineRule="exact"/>
        <w:rPr>
          <w:rFonts w:hint="eastAsia" w:ascii="宋体" w:hAnsi="宋体" w:cs="仿宋_GB2312"/>
          <w:color w:val="auto"/>
          <w:szCs w:val="21"/>
          <w:highlight w:val="none"/>
        </w:rPr>
      </w:pPr>
      <w:r>
        <w:rPr>
          <w:rFonts w:hint="eastAsia" w:ascii="宋体" w:hAnsi="宋体" w:cs="仿宋_GB2312"/>
          <w:color w:val="auto"/>
          <w:szCs w:val="21"/>
          <w:highlight w:val="none"/>
        </w:rPr>
        <w:t xml:space="preserve">本合同一式</w:t>
      </w:r>
      <w:r>
        <w:rPr>
          <w:rFonts w:hint="eastAsia" w:ascii="宋体" w:hAnsi="宋体" w:cs="仿宋_GB2312"/>
          <w:color w:val="auto"/>
          <w:szCs w:val="21"/>
          <w:highlight w:val="none"/>
          <w:u w:val="single"/>
        </w:rPr>
        <w:t xml:space="preserve"> 五 </w:t>
      </w:r>
      <w:r>
        <w:rPr>
          <w:rFonts w:hint="eastAsia" w:ascii="宋体" w:hAnsi="宋体" w:cs="仿宋_GB2312"/>
          <w:color w:val="auto"/>
          <w:szCs w:val="21"/>
          <w:highlight w:val="none"/>
        </w:rPr>
        <w:t xml:space="preserve">份，甲、乙方各执</w:t>
      </w:r>
      <w:r>
        <w:rPr>
          <w:rFonts w:hint="eastAsia" w:ascii="宋体" w:hAnsi="宋体" w:cs="仿宋_GB2312"/>
          <w:color w:val="auto"/>
          <w:szCs w:val="21"/>
          <w:highlight w:val="none"/>
          <w:u w:val="single"/>
        </w:rPr>
        <w:t xml:space="preserve"> 两 </w:t>
      </w:r>
      <w:r>
        <w:rPr>
          <w:rFonts w:hint="eastAsia" w:ascii="宋体" w:hAnsi="宋体" w:cs="仿宋_GB2312"/>
          <w:color w:val="auto"/>
          <w:szCs w:val="21"/>
          <w:highlight w:val="none"/>
        </w:rPr>
        <w:t xml:space="preserve">份，采购代理机构一份。</w:t>
      </w:r>
      <w:bookmarkEnd w:id="25"/>
      <w:r/>
      <w:r/>
    </w:p>
    <w:p>
      <w:pPr>
        <w:jc w:val="center"/>
        <w:spacing w:line="360" w:lineRule="auto"/>
        <w:rPr>
          <w:rFonts w:ascii="宋体" w:hAnsi="宋体"/>
          <w:b/>
          <w:color w:val="auto"/>
          <w:sz w:val="32"/>
          <w:highlight w:val="none"/>
        </w:rPr>
        <w:outlineLvl w:val="0"/>
      </w:pPr>
      <w:r>
        <w:rPr>
          <w:rFonts w:ascii="宋体" w:hAnsi="宋体"/>
          <w:b/>
          <w:color w:val="auto"/>
          <w:sz w:val="32"/>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jc w:val="center"/>
        <w:spacing w:line="360" w:lineRule="auto"/>
        <w:rPr>
          <w:rFonts w:hint="eastAsia" w:ascii="宋体" w:hAnsi="宋体"/>
          <w:b/>
          <w:color w:val="auto"/>
          <w:sz w:val="32"/>
          <w:highlight w:val="none"/>
        </w:rPr>
        <w:outlineLvl w:val="0"/>
      </w:pPr>
      <w:r>
        <w:rPr>
          <w:rFonts w:hint="eastAsia" w:ascii="宋体" w:hAnsi="宋体"/>
          <w:b/>
          <w:color w:val="auto"/>
          <w:sz w:val="32"/>
          <w:highlight w:val="none"/>
        </w:rPr>
        <w:t xml:space="preserve">五、附 件</w:t>
      </w:r>
      <w:r/>
    </w:p>
    <w:p>
      <w:pPr>
        <w:rPr>
          <w:rFonts w:hint="eastAsia" w:ascii="宋体" w:hAnsi="宋体" w:cs="宋体"/>
          <w:b/>
          <w:color w:val="auto"/>
          <w:szCs w:val="21"/>
          <w:highlight w:val="none"/>
        </w:rPr>
      </w:pPr>
      <w:r>
        <w:rPr>
          <w:rFonts w:hint="eastAsia" w:ascii="宋体" w:hAnsi="宋体"/>
          <w:b/>
          <w:color w:val="auto"/>
          <w:highlight w:val="none"/>
        </w:rPr>
        <w:t xml:space="preserve">附件</w:t>
      </w:r>
      <w:r>
        <w:rPr>
          <w:rFonts w:ascii="宋体" w:hAnsi="宋体"/>
          <w:b/>
          <w:color w:val="auto"/>
          <w:highlight w:val="none"/>
        </w:rPr>
        <w:t xml:space="preserve">1</w:t>
      </w:r>
      <w:r>
        <w:rPr>
          <w:rFonts w:hint="eastAsia" w:ascii="宋体" w:hAnsi="宋体"/>
          <w:b/>
          <w:color w:val="auto"/>
          <w:highlight w:val="none"/>
        </w:rPr>
        <w:t xml:space="preserve">、</w:t>
      </w:r>
      <w:r>
        <w:rPr>
          <w:rFonts w:hint="eastAsia" w:ascii="宋体" w:hAnsi="宋体" w:cs="宋体"/>
          <w:b/>
          <w:color w:val="auto"/>
          <w:szCs w:val="21"/>
          <w:highlight w:val="none"/>
        </w:rPr>
        <w:t xml:space="preserve">法定代表人授权委托书</w:t>
      </w:r>
      <w:r/>
    </w:p>
    <w:p>
      <w:pPr>
        <w:jc w:val="center"/>
        <w:spacing w:line="400" w:lineRule="exact"/>
        <w:tabs>
          <w:tab w:val="left" w:pos="360" w:leader="none"/>
          <w:tab w:val="left" w:pos="54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法定代表人授权委托书</w:t>
      </w:r>
      <w:r/>
    </w:p>
    <w:p>
      <w:pPr>
        <w:pStyle w:val="981"/>
        <w:jc w:val="both"/>
        <w:spacing w:line="360" w:lineRule="auto"/>
        <w:rPr>
          <w:rFonts w:hint="eastAsia" w:ascii="宋体" w:hAnsi="宋体" w:eastAsia="宋体"/>
          <w:color w:val="auto"/>
          <w:sz w:val="28"/>
          <w:highlight w:val="none"/>
        </w:rPr>
      </w:pPr>
      <w:r>
        <w:rPr>
          <w:rFonts w:hint="eastAsia" w:ascii="宋体" w:hAnsi="宋体" w:eastAsia="宋体"/>
          <w:color w:val="auto"/>
          <w:sz w:val="28"/>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本授权委托书声明：</w:t>
      </w:r>
      <w:r>
        <w:rPr>
          <w:rFonts w:ascii="宋体" w:hAnsi="宋体"/>
          <w:color w:val="auto"/>
          <w:szCs w:val="21"/>
          <w:highlight w:val="none"/>
        </w:rPr>
        <w:t xml:space="preserve">  </w:t>
      </w:r>
      <w:r>
        <w:rPr>
          <w:rFonts w:hint="eastAsia" w:ascii="宋体" w:hAnsi="宋体"/>
          <w:color w:val="auto"/>
          <w:szCs w:val="21"/>
          <w:highlight w:val="none"/>
        </w:rPr>
        <w:t xml:space="preserve">我</w:t>
      </w:r>
      <w:r>
        <w:rPr>
          <w:rFonts w:ascii="宋体" w:hAnsi="宋体"/>
          <w:color w:val="auto"/>
          <w:szCs w:val="21"/>
          <w:highlight w:val="none"/>
          <w:u w:val="single"/>
        </w:rPr>
        <w:t xml:space="preserve">           </w:t>
      </w:r>
      <w:r>
        <w:rPr>
          <w:rFonts w:hint="eastAsia" w:ascii="宋体" w:hAnsi="宋体"/>
          <w:color w:val="auto"/>
          <w:szCs w:val="21"/>
          <w:highlight w:val="none"/>
        </w:rPr>
        <w:t xml:space="preserve">（姓名）系</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（供应商名称）</w:t>
      </w:r>
      <w:r>
        <w:rPr>
          <w:rFonts w:hint="eastAsia" w:ascii="宋体" w:hAnsi="宋体"/>
          <w:color w:val="auto"/>
          <w:szCs w:val="21"/>
          <w:highlight w:val="none"/>
        </w:rPr>
        <w:t xml:space="preserve">的法定代表人，现授权委托</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（姓名）为我公司授权代表（即代理人），以本公司的名义参加 </w:t>
      </w:r>
      <w:r>
        <w:rPr>
          <w:rFonts w:hint="eastAsia" w:ascii="宋体" w:hAnsi="宋体"/>
          <w:color w:val="auto"/>
          <w:szCs w:val="21"/>
          <w:highlight w:val="none"/>
          <w:u w:val="single"/>
        </w:rPr>
        <w:t xml:space="preserve">    苏州市原鑫招投标咨询服务有限公司</w:t>
      </w:r>
      <w:r>
        <w:rPr>
          <w:rFonts w:hint="eastAsia" w:ascii="宋体" w:hAnsi="宋体"/>
          <w:b/>
          <w:i/>
          <w:color w:val="auto"/>
          <w:szCs w:val="21"/>
          <w:highlight w:val="none"/>
          <w:u w:val="single"/>
        </w:rPr>
        <w:t xml:space="preserve">  </w:t>
      </w:r>
      <w:r>
        <w:rPr>
          <w:rFonts w:hint="eastAsia" w:ascii="宋体" w:hAnsi="宋体"/>
          <w:color w:val="auto"/>
          <w:szCs w:val="21"/>
          <w:highlight w:val="none"/>
        </w:rPr>
        <w:t xml:space="preserve"> 组织实施的编号为</w:t>
      </w:r>
      <w:r>
        <w:rPr>
          <w:rFonts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JSZC-320506-SZYX-C2026-0016</w:t>
      </w:r>
      <w:r>
        <w:rPr>
          <w:rFonts w:ascii="宋体" w:hAnsi="宋体"/>
          <w:color w:val="auto"/>
          <w:szCs w:val="21"/>
          <w:highlight w:val="none"/>
          <w:u w:val="single"/>
        </w:rPr>
        <w:t xml:space="preserve">  </w:t>
      </w:r>
      <w:r>
        <w:rPr>
          <w:rFonts w:hint="eastAsia" w:ascii="宋体" w:hAnsi="宋体"/>
          <w:color w:val="auto"/>
          <w:szCs w:val="21"/>
          <w:highlight w:val="none"/>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授权代表无转委托权。特此委托。</w:t>
      </w:r>
      <w:r/>
    </w:p>
    <w:p>
      <w:pPr>
        <w:ind w:firstLine="480"/>
        <w:spacing w:line="360" w:lineRule="auto"/>
        <w:rPr>
          <w:rFonts w:hint="eastAsia" w:ascii="宋体" w:hAnsi="宋体"/>
          <w:color w:val="auto"/>
          <w:szCs w:val="21"/>
          <w:highlight w:val="none"/>
        </w:rPr>
      </w:pPr>
      <w:r>
        <w:rPr>
          <w:rFonts w:ascii="宋体" w:hAnsi="宋体"/>
          <w:color w:val="auto"/>
          <w:szCs w:val="21"/>
          <w:highlight w:val="none"/>
        </w:rPr>
        <w:t xml:space="preserve">    </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供应商：（公章）</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法定代表人：（签字或盖章）</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代理人：（签字或盖章）</w:t>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981"/>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年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月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日</w:t>
      </w:r>
      <w:r/>
    </w:p>
    <w:p>
      <w:pPr>
        <w:pStyle w:val="98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981"/>
        <w:ind w:firstLine="0"/>
        <w:rPr>
          <w:rFonts w:hint="eastAsia" w:ascii="宋体" w:hAnsi="宋体" w:eastAsia="宋体"/>
          <w:color w:val="auto"/>
          <w:highlight w:val="none"/>
        </w:rPr>
      </w:pPr>
      <w:r>
        <w:rPr>
          <w:rFonts w:hint="eastAsia" w:ascii="宋体" w:hAnsi="宋体" w:eastAsia="宋体"/>
          <w:color w:val="auto"/>
          <w:highlight w:val="none"/>
        </w:rPr>
      </w:r>
      <w:r/>
    </w:p>
    <w:p>
      <w:pPr>
        <w:ind w:firstLine="480"/>
        <w:spacing w:line="360" w:lineRule="auto"/>
        <w:rPr>
          <w:rFonts w:hint="eastAsia" w:ascii="宋体" w:hAnsi="宋体"/>
          <w:color w:val="auto"/>
          <w:szCs w:val="21"/>
          <w:highlight w:val="none"/>
        </w:rPr>
      </w:pPr>
      <w:r>
        <w:rPr>
          <w:rFonts w:hint="eastAsia" w:ascii="宋体" w:hAnsi="宋体"/>
          <w:color w:val="auto"/>
          <w:szCs w:val="21"/>
          <w:highlight w:val="none"/>
        </w:rPr>
        <w:t xml:space="preserve">后附身份证</w:t>
      </w:r>
      <w:r/>
    </w:p>
    <w:p>
      <w:pPr>
        <w:jc w:val="left"/>
        <w:widowControl/>
        <w:rPr>
          <w:rFonts w:hint="eastAsia" w:ascii="宋体" w:hAnsi="宋体"/>
          <w:color w:val="auto"/>
          <w:sz w:val="28"/>
          <w:szCs w:val="20"/>
          <w:highlight w:val="none"/>
        </w:rPr>
      </w:pPr>
      <w:r>
        <w:rPr>
          <w:rFonts w:hAnsi="宋体"/>
          <w:color w:val="auto"/>
          <w:highlight w:val="none"/>
        </w:rPr>
        <w:br w:type="page" w:clear="all"/>
      </w:r>
      <w:r/>
    </w:p>
    <w:p>
      <w:pPr>
        <w:pStyle w:val="993"/>
        <w:spacing w:line="38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附件2、磋商响应函</w:t>
      </w:r>
      <w:r/>
    </w:p>
    <w:p>
      <w:pPr>
        <w:pStyle w:val="993"/>
        <w:jc w:val="center"/>
        <w:spacing w:line="38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磋商响应函</w:t>
      </w:r>
      <w:r/>
    </w:p>
    <w:p>
      <w:pPr>
        <w:pStyle w:val="993"/>
        <w:jc w:val="center"/>
        <w:spacing w:line="380" w:lineRule="exact"/>
        <w:rPr>
          <w:rFonts w:hint="eastAsia" w:hAnsi="宋体" w:eastAsia="宋体"/>
          <w:color w:val="auto"/>
          <w:sz w:val="24"/>
          <w:highlight w:val="none"/>
        </w:rPr>
      </w:pPr>
      <w:r>
        <w:rPr>
          <w:rFonts w:hint="eastAsia" w:hAnsi="宋体" w:eastAsia="宋体"/>
          <w:color w:val="auto"/>
          <w:sz w:val="24"/>
          <w:highlight w:val="none"/>
        </w:rPr>
      </w:r>
      <w:r/>
    </w:p>
    <w:p>
      <w:pPr>
        <w:pStyle w:val="993"/>
        <w:spacing w:line="380" w:lineRule="exact"/>
        <w:rPr>
          <w:rFonts w:hint="eastAsia" w:hAnsi="宋体" w:eastAsia="宋体"/>
          <w:color w:val="auto"/>
          <w:sz w:val="21"/>
          <w:szCs w:val="21"/>
          <w:highlight w:val="none"/>
        </w:rPr>
      </w:pP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color w:val="auto"/>
          <w:sz w:val="21"/>
          <w:szCs w:val="21"/>
          <w:highlight w:val="none"/>
          <w:u w:val="single"/>
        </w:rPr>
        <w:t xml:space="preserve">  苏州市原鑫招投标咨询服务有限公司   </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 </w:t>
      </w:r>
      <w:r/>
    </w:p>
    <w:p>
      <w:pPr>
        <w:pStyle w:val="993"/>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我们收到贵公司</w:t>
      </w:r>
      <w:r>
        <w:rPr>
          <w:rFonts w:hint="eastAsia" w:hAnsi="宋体" w:eastAsia="宋体"/>
          <w:color w:val="auto"/>
          <w:sz w:val="21"/>
          <w:szCs w:val="21"/>
          <w:highlight w:val="none"/>
          <w:u w:val="single"/>
        </w:rPr>
        <w:t xml:space="preserve">   </w:t>
      </w:r>
      <w:r>
        <w:rPr>
          <w:rFonts w:hint="eastAsia" w:hAnsi="宋体" w:eastAsia="宋体"/>
          <w:color w:val="auto"/>
          <w:sz w:val="21"/>
          <w:szCs w:val="21"/>
          <w:highlight w:val="none"/>
          <w:u w:val="single"/>
          <w:lang w:eastAsia="zh-CN"/>
        </w:rPr>
        <w:t xml:space="preserve">JSZC-320506-SZYX-C2026-0016</w:t>
      </w:r>
      <w:r>
        <w:rPr>
          <w:rFonts w:hint="eastAsia" w:hAnsi="宋体" w:eastAsia="宋体"/>
          <w:color w:val="auto"/>
          <w:sz w:val="21"/>
          <w:szCs w:val="21"/>
          <w:highlight w:val="none"/>
          <w:u w:val="single"/>
        </w:rPr>
        <w:t xml:space="preserve">  </w:t>
      </w:r>
      <w:r>
        <w:rPr>
          <w:rFonts w:hint="eastAsia" w:hAnsi="宋体" w:eastAsia="宋体"/>
          <w:color w:val="auto"/>
          <w:sz w:val="21"/>
          <w:szCs w:val="21"/>
          <w:highlight w:val="none"/>
        </w:rPr>
        <w:t xml:space="preserve">号磋商文件，经仔细阅读和研究，我们决定参加磋商活动。</w:t>
      </w:r>
      <w:r/>
    </w:p>
    <w:p>
      <w:pPr>
        <w:pStyle w:val="1158"/>
        <w:ind w:firstLine="420"/>
        <w:spacing w:line="360" w:lineRule="auto"/>
        <w:rPr>
          <w:rFonts w:hint="eastAsia" w:hAnsi="宋体" w:eastAsia="宋体"/>
          <w:b/>
          <w:color w:val="auto"/>
          <w:sz w:val="21"/>
          <w:szCs w:val="21"/>
          <w:highlight w:val="none"/>
        </w:rPr>
      </w:pPr>
      <w:r>
        <w:rPr>
          <w:rFonts w:hAnsi="宋体" w:eastAsia="宋体"/>
          <w:color w:val="auto"/>
          <w:sz w:val="21"/>
          <w:szCs w:val="21"/>
          <w:highlight w:val="none"/>
        </w:rPr>
        <w:t xml:space="preserve">1</w:t>
      </w:r>
      <w:r>
        <w:rPr>
          <w:rFonts w:hint="eastAsia" w:hAnsi="宋体" w:eastAsia="宋体"/>
          <w:color w:val="auto"/>
          <w:sz w:val="21"/>
          <w:szCs w:val="21"/>
          <w:highlight w:val="none"/>
        </w:rPr>
        <w:t xml:space="preserve">、我们愿意按照磋商文件的一切要求，完成该项目的全部内容。</w:t>
      </w:r>
      <w:r/>
    </w:p>
    <w:p>
      <w:pPr>
        <w:pStyle w:val="1158"/>
        <w:ind w:firstLine="420"/>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、如果我们的磋商响应文件被接受，我们将严格履行磋商文件中规定的每一项要求，按期、按质、按量履行合同的义务。</w:t>
      </w:r>
      <w:r/>
    </w:p>
    <w:p>
      <w:pPr>
        <w:pStyle w:val="1158"/>
        <w:ind w:firstLine="420"/>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、我们已</w:t>
      </w:r>
      <w:r>
        <w:rPr>
          <w:rFonts w:hAnsi="宋体" w:eastAsia="宋体"/>
          <w:color w:val="auto"/>
          <w:sz w:val="21"/>
          <w:szCs w:val="21"/>
          <w:highlight w:val="none"/>
        </w:rPr>
        <w:t xml:space="preserve">详细</w:t>
      </w:r>
      <w:r>
        <w:rPr>
          <w:rFonts w:hint="eastAsia" w:hAnsi="宋体" w:eastAsia="宋体"/>
          <w:color w:val="auto"/>
          <w:sz w:val="21"/>
          <w:szCs w:val="21"/>
          <w:highlight w:val="none"/>
        </w:rPr>
        <w:t xml:space="preserve">阅读</w:t>
      </w:r>
      <w:r>
        <w:rPr>
          <w:rFonts w:hAnsi="宋体" w:eastAsia="宋体"/>
          <w:color w:val="auto"/>
          <w:sz w:val="21"/>
          <w:szCs w:val="21"/>
          <w:highlight w:val="none"/>
        </w:rPr>
        <w:t xml:space="preserve">全部</w:t>
      </w:r>
      <w:r>
        <w:rPr>
          <w:rFonts w:hint="eastAsia" w:hAnsi="宋体" w:eastAsia="宋体"/>
          <w:color w:val="auto"/>
          <w:sz w:val="21"/>
          <w:szCs w:val="21"/>
          <w:highlight w:val="none"/>
        </w:rPr>
        <w:t xml:space="preserve">磋商文件</w:t>
      </w:r>
      <w:r>
        <w:rPr>
          <w:rFonts w:hAnsi="宋体" w:eastAsia="宋体"/>
          <w:color w:val="auto"/>
          <w:sz w:val="21"/>
          <w:szCs w:val="21"/>
          <w:highlight w:val="none"/>
        </w:rPr>
        <w:t xml:space="preserve">，包括</w:t>
      </w:r>
      <w:r>
        <w:rPr>
          <w:rFonts w:hint="eastAsia" w:hAnsi="宋体" w:eastAsia="宋体"/>
          <w:color w:val="auto"/>
          <w:sz w:val="21"/>
          <w:szCs w:val="21"/>
          <w:highlight w:val="none"/>
        </w:rPr>
        <w:t xml:space="preserve">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，对磋商文件及更正公告</w:t>
      </w:r>
      <w:r>
        <w:rPr>
          <w:rFonts w:hAnsi="宋体" w:eastAsia="宋体"/>
          <w:color w:val="auto"/>
          <w:sz w:val="21"/>
          <w:szCs w:val="21"/>
          <w:highlight w:val="none"/>
        </w:rPr>
        <w:t xml:space="preserve">(如有)</w:t>
      </w:r>
      <w:r>
        <w:rPr>
          <w:rFonts w:hint="eastAsia" w:hAnsi="宋体" w:eastAsia="宋体"/>
          <w:color w:val="auto"/>
          <w:sz w:val="21"/>
          <w:szCs w:val="21"/>
          <w:highlight w:val="none"/>
        </w:rPr>
        <w:t xml:space="preserve">无任何异议。</w:t>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4、我们同意按磋商文件中的规定，本响应文件的有效期限自提交响应文件截止时间之日起</w:t>
      </w:r>
      <w:r>
        <w:rPr>
          <w:rFonts w:hint="eastAsia" w:hAnsi="宋体" w:eastAsia="宋体"/>
          <w:color w:val="auto"/>
          <w:sz w:val="21"/>
          <w:szCs w:val="21"/>
          <w:highlight w:val="none"/>
          <w:u w:val="single"/>
        </w:rPr>
        <w:t xml:space="preserve">60</w:t>
      </w:r>
      <w:r>
        <w:rPr>
          <w:rFonts w:hint="eastAsia" w:hAnsi="宋体" w:eastAsia="宋体"/>
          <w:color w:val="auto"/>
          <w:sz w:val="21"/>
          <w:szCs w:val="21"/>
          <w:highlight w:val="none"/>
        </w:rPr>
        <w:t xml:space="preserve">天。</w:t>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5、我们愿意提供磋商</w:t>
      </w:r>
      <w:r>
        <w:rPr>
          <w:rFonts w:hint="eastAsia" w:hAnsi="宋体" w:eastAsia="宋体"/>
          <w:color w:val="auto"/>
          <w:sz w:val="21"/>
          <w:szCs w:val="21"/>
          <w:highlight w:val="none"/>
          <w:lang w:eastAsia="zh-CN"/>
        </w:rPr>
        <w:t xml:space="preserve">采购人</w:t>
      </w:r>
      <w:r>
        <w:rPr>
          <w:rFonts w:hint="eastAsia" w:hAnsi="宋体" w:eastAsia="宋体"/>
          <w:color w:val="auto"/>
          <w:sz w:val="21"/>
          <w:szCs w:val="21"/>
          <w:highlight w:val="none"/>
        </w:rPr>
        <w:t xml:space="preserve">在磋商文件中要求的相关资料。</w:t>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6、我们愿意遵守磋商文件中所列的收费标准。</w:t>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7、我们承诺该响应文件在磋商开始后的全过程中保持有效，不作任何更改和变动。</w:t>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8、我们承诺我公司符合磋商文件中“合格供应商的基本、特定条件”的要求，若与真实情况不符，本公司愿意承担由此而产生的一切后果。</w:t>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9、所有有关磋商文件的函电，请按下列地址联系：</w:t>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单位：                             联系人：</w:t>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地址：                             邮政编码：</w:t>
      </w:r>
      <w:r/>
    </w:p>
    <w:p>
      <w:pPr>
        <w:pStyle w:val="1158"/>
        <w:ind w:firstLine="42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联系电话：                         传真：</w:t>
      </w:r>
      <w:r/>
    </w:p>
    <w:p>
      <w:pPr>
        <w:pStyle w:val="1158"/>
        <w:ind w:left="3399" w:firstLine="73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供应商：（公章）</w:t>
      </w:r>
      <w:r/>
    </w:p>
    <w:p>
      <w:pPr>
        <w:pStyle w:val="1158"/>
        <w:ind w:left="3824" w:firstLine="31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法定代表人或代理人：（签字或盖章）</w:t>
      </w:r>
      <w:r/>
    </w:p>
    <w:p>
      <w:pPr>
        <w:pStyle w:val="1158"/>
        <w:ind w:left="3399" w:firstLine="73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日期：         年</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月</w:t>
      </w:r>
      <w:r>
        <w:rPr>
          <w:rFonts w:hAnsi="宋体" w:eastAsia="宋体"/>
          <w:color w:val="auto"/>
          <w:sz w:val="21"/>
          <w:szCs w:val="21"/>
          <w:highlight w:val="none"/>
        </w:rPr>
        <w:t xml:space="preserve">     </w:t>
      </w:r>
      <w:r>
        <w:rPr>
          <w:rFonts w:hint="eastAsia" w:hAnsi="宋体" w:eastAsia="宋体"/>
          <w:color w:val="auto"/>
          <w:sz w:val="21"/>
          <w:szCs w:val="21"/>
          <w:highlight w:val="none"/>
        </w:rPr>
        <w:t xml:space="preserve">日</w:t>
      </w:r>
      <w:r/>
    </w:p>
    <w:p>
      <w:pPr>
        <w:pStyle w:val="993"/>
        <w:rPr>
          <w:rFonts w:hint="eastAsia" w:hAnsi="宋体" w:eastAsia="宋体"/>
          <w:b/>
          <w:color w:val="auto"/>
          <w:sz w:val="21"/>
          <w:szCs w:val="21"/>
          <w:highlight w:val="none"/>
        </w:rPr>
      </w:pPr>
      <w:r>
        <w:rPr>
          <w:rFonts w:hAnsi="宋体" w:eastAsia="宋体"/>
          <w:b/>
          <w:color w:val="auto"/>
          <w:sz w:val="24"/>
          <w:szCs w:val="24"/>
          <w:highlight w:val="none"/>
        </w:rPr>
        <w:br w:type="page" w:clear="all"/>
      </w:r>
      <w:r>
        <w:rPr>
          <w:rFonts w:hint="eastAsia" w:hAnsi="宋体" w:eastAsia="宋体"/>
          <w:b/>
          <w:color w:val="auto"/>
          <w:sz w:val="21"/>
          <w:szCs w:val="21"/>
          <w:highlight w:val="none"/>
        </w:rPr>
        <w:t xml:space="preserve">附件</w:t>
      </w:r>
      <w:r>
        <w:rPr>
          <w:rFonts w:hAnsi="宋体" w:eastAsia="宋体"/>
          <w:b/>
          <w:color w:val="auto"/>
          <w:sz w:val="21"/>
          <w:szCs w:val="21"/>
          <w:highlight w:val="none"/>
        </w:rPr>
        <w:t xml:space="preserve">3</w:t>
      </w:r>
      <w:r>
        <w:rPr>
          <w:rFonts w:hint="eastAsia" w:hAnsi="宋体" w:eastAsia="宋体"/>
          <w:b/>
          <w:color w:val="auto"/>
          <w:sz w:val="21"/>
          <w:szCs w:val="21"/>
          <w:highlight w:val="none"/>
        </w:rPr>
        <w:t xml:space="preserve">、报价表</w:t>
      </w:r>
      <w:r/>
    </w:p>
    <w:p>
      <w:pPr>
        <w:pStyle w:val="1158"/>
        <w:jc w:val="center"/>
        <w:rPr>
          <w:rFonts w:hint="eastAsia" w:hAnsi="宋体" w:eastAsia="宋体"/>
          <w:b/>
          <w:color w:val="auto"/>
          <w:sz w:val="21"/>
          <w:szCs w:val="21"/>
          <w:highlight w:val="none"/>
        </w:rPr>
      </w:pPr>
      <w:r>
        <w:rPr>
          <w:rFonts w:hint="eastAsia" w:hAnsi="宋体" w:eastAsia="宋体"/>
          <w:b/>
          <w:color w:val="auto"/>
          <w:sz w:val="21"/>
          <w:szCs w:val="21"/>
          <w:highlight w:val="none"/>
        </w:rPr>
        <w:t xml:space="preserve">磋商报价表</w:t>
      </w:r>
      <w:r/>
    </w:p>
    <w:p>
      <w:pPr>
        <w:pStyle w:val="1158"/>
        <w:jc w:val="center"/>
        <w:rPr>
          <w:rFonts w:hint="eastAsia" w:hAnsi="宋体" w:eastAsia="宋体"/>
          <w:b/>
          <w:color w:val="auto"/>
          <w:sz w:val="21"/>
          <w:szCs w:val="21"/>
          <w:highlight w:val="none"/>
        </w:rPr>
      </w:pPr>
      <w:r>
        <w:rPr>
          <w:rFonts w:hint="eastAsia" w:hAnsi="宋体" w:eastAsia="宋体"/>
          <w:b/>
          <w:color w:val="auto"/>
          <w:sz w:val="21"/>
          <w:szCs w:val="21"/>
          <w:highlight w:val="none"/>
        </w:rPr>
      </w:r>
      <w:r/>
    </w:p>
    <w:tbl>
      <w:tblPr>
        <w:tblStyle w:val="974"/>
        <w:tblW w:w="9220" w:type="dxa"/>
        <w:tblInd w:w="507" w:type="dxa"/>
        <w:tblLayout w:type="fixed"/>
        <w:tblCellMar>
          <w:left w:w="108" w:type="dxa"/>
          <w:top w:w="0" w:type="dxa"/>
          <w:right w:w="108" w:type="dxa"/>
          <w:bottom w:w="0" w:type="dxa"/>
        </w:tblCellMar>
        <w:tblLook w:val="04A0" w:firstRow="1" w:lastRow="0" w:firstColumn="1" w:lastColumn="0" w:noHBand="0" w:noVBand="1"/>
      </w:tblPr>
      <w:tblGrid>
        <w:gridCol w:w="5213"/>
        <w:gridCol w:w="2325"/>
        <w:gridCol w:w="1682"/>
      </w:tblGrid>
      <w:tr>
        <w:trPr>
          <w:trHeight w:val="567"/>
        </w:trPr>
        <w:tc>
          <w:tcPr>
            <w:tcBorders>
              <w:top w:val="single" w:color="auto" w:sz="4" w:space="0"/>
              <w:left w:val="single" w:color="auto" w:sz="4" w:space="0"/>
              <w:bottom w:val="single" w:color="auto" w:sz="4" w:space="0"/>
              <w:right w:val="single" w:color="auto" w:sz="4" w:space="0"/>
            </w:tcBorders>
            <w:tcW w:w="5213" w:type="dxa"/>
            <w:vAlign w:val="center"/>
            <w:textDirection w:val="lrTb"/>
            <w:noWrap w:val="false"/>
          </w:tcPr>
          <w:p>
            <w:pPr>
              <w:jc w:val="center"/>
              <w:rPr>
                <w:rFonts w:cs="宋体"/>
                <w:color w:val="auto"/>
                <w:highlight w:val="none"/>
              </w:rPr>
            </w:pPr>
            <w:r>
              <w:rPr>
                <w:rFonts w:hint="eastAsia"/>
                <w:color w:val="auto"/>
                <w:highlight w:val="none"/>
              </w:rPr>
              <w:t xml:space="preserve">投标人名称</w:t>
            </w:r>
            <w:r/>
          </w:p>
        </w:tc>
        <w:tc>
          <w:tcPr>
            <w:tcBorders>
              <w:top w:val="single" w:color="auto" w:sz="4" w:space="0"/>
              <w:left w:val="none" w:color="000000" w:sz="4" w:space="0"/>
              <w:bottom w:val="single" w:color="auto" w:sz="4" w:space="0"/>
              <w:right w:val="single" w:color="auto" w:sz="4" w:space="0"/>
            </w:tcBorders>
            <w:tcW w:w="2325" w:type="dxa"/>
            <w:vAlign w:val="center"/>
            <w:textDirection w:val="lrTb"/>
            <w:noWrap w:val="false"/>
          </w:tcPr>
          <w:p>
            <w:pPr>
              <w:jc w:val="center"/>
              <w:spacing w:line="360" w:lineRule="auto"/>
              <w:widowControl/>
              <w:rPr>
                <w:rFonts w:cs="宋体"/>
                <w:color w:val="auto"/>
                <w:highlight w:val="none"/>
              </w:rPr>
            </w:pPr>
            <w:r>
              <w:rPr>
                <w:rFonts w:hint="eastAsia" w:cs="宋体"/>
                <w:color w:val="auto"/>
                <w:highlight w:val="none"/>
              </w:rPr>
              <w:t xml:space="preserve">投标报价（元）</w:t>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auto"/>
              <w:widowControl/>
              <w:rPr>
                <w:rFonts w:cs="宋体"/>
                <w:bCs/>
                <w:color w:val="auto"/>
                <w:highlight w:val="none"/>
              </w:rPr>
            </w:pPr>
            <w:r>
              <w:rPr>
                <w:rFonts w:hint="eastAsia" w:cs="宋体"/>
                <w:bCs/>
                <w:color w:val="auto"/>
                <w:highlight w:val="none"/>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5213" w:type="dxa"/>
            <w:vAlign w:val="center"/>
            <w:textDirection w:val="lrTb"/>
            <w:noWrap w:val="false"/>
          </w:tcPr>
          <w:p>
            <w:pPr>
              <w:jc w:val="center"/>
              <w:spacing w:line="360" w:lineRule="auto"/>
              <w:widowControl/>
              <w:rPr>
                <w:rFonts w:cs="宋体"/>
                <w:color w:val="auto"/>
                <w:highlight w:val="none"/>
              </w:rPr>
            </w:pPr>
            <w:r>
              <w:rPr>
                <w:rFonts w:cs="宋体"/>
                <w:color w:val="auto"/>
                <w:highlight w:val="none"/>
              </w:rPr>
            </w:r>
            <w:r/>
          </w:p>
        </w:tc>
        <w:tc>
          <w:tcPr>
            <w:tcBorders>
              <w:top w:val="single" w:color="auto" w:sz="4" w:space="0"/>
              <w:left w:val="none" w:color="000000" w:sz="4" w:space="0"/>
              <w:bottom w:val="single" w:color="auto" w:sz="4" w:space="0"/>
              <w:right w:val="single" w:color="auto" w:sz="4" w:space="0"/>
            </w:tcBorders>
            <w:tcW w:w="2325" w:type="dxa"/>
            <w:vAlign w:val="center"/>
            <w:textDirection w:val="lrTb"/>
            <w:noWrap w:val="false"/>
          </w:tcPr>
          <w:p>
            <w:pPr>
              <w:jc w:val="center"/>
              <w:spacing w:line="360" w:lineRule="auto"/>
              <w:widowControl/>
              <w:rPr>
                <w:rFonts w:cs="宋体"/>
                <w:color w:val="auto"/>
                <w:highlight w:val="none"/>
              </w:rPr>
            </w:pPr>
            <w:r>
              <w:rPr>
                <w:rFonts w:cs="宋体"/>
                <w:color w:val="auto"/>
                <w:highlight w:val="none"/>
              </w:rPr>
            </w:r>
            <w:r/>
          </w:p>
        </w:tc>
        <w:tc>
          <w:tcPr>
            <w:tcBorders>
              <w:top w:val="single" w:color="auto" w:sz="4" w:space="0"/>
              <w:left w:val="single" w:color="auto" w:sz="4" w:space="0"/>
              <w:bottom w:val="single" w:color="auto" w:sz="4" w:space="0"/>
              <w:right w:val="single" w:color="auto" w:sz="4" w:space="0"/>
            </w:tcBorders>
            <w:tcW w:w="1682" w:type="dxa"/>
            <w:vAlign w:val="center"/>
            <w:textDirection w:val="lrTb"/>
            <w:noWrap w:val="false"/>
          </w:tcPr>
          <w:p>
            <w:pPr>
              <w:jc w:val="center"/>
              <w:spacing w:line="360" w:lineRule="auto"/>
              <w:widowControl/>
              <w:rPr>
                <w:rFonts w:cs="宋体"/>
                <w:color w:val="auto"/>
                <w:highlight w:val="none"/>
              </w:rPr>
            </w:pPr>
            <w:r>
              <w:rPr>
                <w:rFonts w:cs="宋体"/>
                <w:color w:val="auto"/>
                <w:highlight w:val="none"/>
              </w:rPr>
            </w:r>
            <w:r/>
          </w:p>
        </w:tc>
      </w:tr>
    </w:tbl>
    <w:p>
      <w:pPr>
        <w:pStyle w:val="1158"/>
        <w:spacing w:line="360" w:lineRule="exact"/>
        <w:rPr>
          <w:rFonts w:hint="eastAsia" w:hAnsi="宋体" w:eastAsia="宋体"/>
          <w:color w:val="auto"/>
          <w:spacing w:val="20"/>
          <w:sz w:val="21"/>
          <w:szCs w:val="21"/>
          <w:highlight w:val="none"/>
        </w:rPr>
      </w:pPr>
      <w:r>
        <w:rPr>
          <w:rFonts w:hAnsi="宋体" w:eastAsia="宋体"/>
          <w:color w:val="auto"/>
          <w:spacing w:val="20"/>
          <w:sz w:val="21"/>
          <w:szCs w:val="21"/>
          <w:highlight w:val="none"/>
        </w:rPr>
        <w:t xml:space="preserve"> </w:t>
      </w:r>
      <w:r/>
    </w:p>
    <w:p>
      <w:pPr>
        <w:pStyle w:val="1158"/>
        <w:ind w:firstLine="567"/>
        <w:spacing w:line="360" w:lineRule="exact"/>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供应商：（公章）</w:t>
      </w:r>
      <w:r/>
    </w:p>
    <w:p>
      <w:pPr>
        <w:ind w:firstLine="567"/>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567"/>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pStyle w:val="1158"/>
        <w:ind w:firstLine="525"/>
        <w:spacing w:line="36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158"/>
        <w:ind w:firstLine="525"/>
        <w:spacing w:line="360" w:lineRule="exact"/>
        <w:rPr>
          <w:rFonts w:hint="eastAsia" w:hAnsi="宋体" w:eastAsia="宋体"/>
          <w:b/>
          <w:bCs/>
          <w:color w:val="auto"/>
          <w:sz w:val="21"/>
          <w:szCs w:val="21"/>
          <w:highlight w:val="none"/>
        </w:rPr>
      </w:pPr>
      <w:r>
        <w:rPr>
          <w:rFonts w:hint="eastAsia" w:hAnsi="宋体" w:eastAsia="宋体"/>
          <w:b/>
          <w:bCs/>
          <w:color w:val="auto"/>
          <w:sz w:val="21"/>
          <w:szCs w:val="21"/>
          <w:highlight w:val="none"/>
        </w:rPr>
        <w:t xml:space="preserve">注：本项目按完成项目的总价进行报价。</w:t>
      </w:r>
      <w:r/>
    </w:p>
    <w:p>
      <w:pPr>
        <w:pStyle w:val="1158"/>
        <w:ind w:firstLine="525"/>
        <w:spacing w:line="36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158"/>
        <w:ind w:firstLine="525"/>
        <w:spacing w:line="36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158"/>
        <w:ind w:firstLine="525"/>
        <w:spacing w:line="36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jc w:val="center"/>
        <w:spacing w:line="48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center"/>
        <w:spacing w:line="48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磋商分项报价明细表</w:t>
      </w:r>
      <w:r/>
    </w:p>
    <w:p>
      <w:pPr>
        <w:ind w:firstLine="424"/>
        <w:jc w:val="left"/>
        <w:spacing w:line="400" w:lineRule="exact"/>
        <w:tabs>
          <w:tab w:val="left" w:pos="702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项目编号：                                                         </w:t>
      </w:r>
      <w:r/>
    </w:p>
    <w:tbl>
      <w:tblPr>
        <w:tblStyle w:val="974"/>
        <w:tblW w:w="9597" w:type="dxa"/>
        <w:tblInd w:w="49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1"/>
        <w:gridCol w:w="2351"/>
        <w:gridCol w:w="2895"/>
        <w:gridCol w:w="929"/>
        <w:gridCol w:w="1396"/>
        <w:gridCol w:w="1335"/>
      </w:tblGrid>
      <w:tr>
        <w:trPr>
          <w:cantSplit/>
          <w:trHeight w:val="567"/>
        </w:trPr>
        <w:tc>
          <w:tcPr>
            <w:tcW w:w="69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right w:val="single" w:color="auto" w:sz="4" w:space="0"/>
            </w:tcBorders>
            <w:tcW w:w="235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名称</w:t>
            </w:r>
            <w:r/>
          </w:p>
        </w:tc>
        <w:tc>
          <w:tcPr>
            <w:tcBorders>
              <w:left w:val="single" w:color="auto" w:sz="4" w:space="0"/>
              <w:right w:val="single" w:color="auto" w:sz="4" w:space="0"/>
            </w:tcBorders>
            <w:tcW w:w="2895"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服务内容</w:t>
            </w:r>
            <w:r/>
          </w:p>
        </w:tc>
        <w:tc>
          <w:tcPr>
            <w:tcBorders>
              <w:left w:val="single" w:color="auto" w:sz="4" w:space="0"/>
            </w:tcBorders>
            <w:tcW w:w="92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数量</w:t>
            </w:r>
            <w:r/>
          </w:p>
        </w:tc>
        <w:tc>
          <w:tcPr>
            <w:tcBorders>
              <w:bottom w:val="single" w:color="auto" w:sz="4" w:space="0"/>
              <w:right w:val="single" w:color="auto" w:sz="4" w:space="0"/>
            </w:tcBorders>
            <w:tcW w:w="1396"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单价（元）</w:t>
            </w:r>
            <w:r/>
          </w:p>
        </w:tc>
        <w:tc>
          <w:tcPr>
            <w:tcBorders>
              <w:bottom w:val="single" w:color="auto" w:sz="4" w:space="0"/>
              <w:right w:val="single" w:color="auto" w:sz="4" w:space="0"/>
            </w:tcBorders>
            <w:tcW w:w="1335"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总价（元）</w:t>
            </w:r>
            <w:r/>
          </w:p>
        </w:tc>
      </w:tr>
      <w:tr>
        <w:trPr>
          <w:cantSplit/>
          <w:trHeight w:val="567"/>
        </w:trPr>
        <w:tc>
          <w:tcPr>
            <w:tcW w:w="691" w:type="dxa"/>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Borders>
              <w:right w:val="single" w:color="auto" w:sz="4" w:space="0"/>
            </w:tcBorders>
            <w:tcW w:w="2351"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2895"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tcBorders>
            <w:tcW w:w="92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96"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35"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W w:w="691" w:type="dxa"/>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Borders>
              <w:right w:val="single" w:color="auto" w:sz="4" w:space="0"/>
            </w:tcBorders>
            <w:tcW w:w="2351"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2895"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tcBorders>
            <w:tcW w:w="92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96"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35"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W w:w="691" w:type="dxa"/>
            <w:vAlign w:val="center"/>
            <w:textDirection w:val="lrTb"/>
            <w:noWrap w:val="false"/>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Borders>
              <w:right w:val="single" w:color="auto" w:sz="4" w:space="0"/>
            </w:tcBorders>
            <w:tcW w:w="235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2895"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tcBorders>
            <w:tcW w:w="92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96"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35"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W w:w="691" w:type="dxa"/>
            <w:vAlign w:val="center"/>
            <w:textDirection w:val="lrTb"/>
            <w:noWrap w:val="false"/>
          </w:tcPr>
          <w:p>
            <w:pPr>
              <w:jc w:val="center"/>
              <w:spacing w:line="44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Borders>
              <w:right w:val="single" w:color="auto" w:sz="4" w:space="0"/>
            </w:tcBorders>
            <w:tcW w:w="235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2895"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tcBorders>
            <w:tcW w:w="92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96"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35"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W w:w="691" w:type="dxa"/>
            <w:vAlign w:val="center"/>
            <w:textDirection w:val="lrTb"/>
            <w:noWrap w:val="false"/>
          </w:tcPr>
          <w:p>
            <w:pPr>
              <w:jc w:val="center"/>
              <w:spacing w:line="44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Borders>
              <w:right w:val="single" w:color="auto" w:sz="4" w:space="0"/>
            </w:tcBorders>
            <w:tcW w:w="235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2895"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tcBorders>
            <w:tcW w:w="92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96"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35"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W w:w="691" w:type="dxa"/>
            <w:vAlign w:val="center"/>
            <w:textDirection w:val="lrTb"/>
            <w:noWrap w:val="false"/>
          </w:tcPr>
          <w:p>
            <w:pPr>
              <w:jc w:val="center"/>
              <w:spacing w:line="44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Borders>
              <w:right w:val="single" w:color="auto" w:sz="4" w:space="0"/>
            </w:tcBorders>
            <w:tcW w:w="2351"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right w:val="single" w:color="auto" w:sz="4" w:space="0"/>
            </w:tcBorders>
            <w:tcW w:w="2895"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left w:val="single" w:color="auto" w:sz="4" w:space="0"/>
            </w:tcBorders>
            <w:tcW w:w="929"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96"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bottom w:val="single" w:color="auto" w:sz="4" w:space="0"/>
              <w:right w:val="single" w:color="auto" w:sz="4" w:space="0"/>
            </w:tcBorders>
            <w:tcW w:w="1335"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gridSpan w:val="6"/>
            <w:tcBorders>
              <w:right w:val="single" w:color="auto" w:sz="4" w:space="0"/>
            </w:tcBorders>
            <w:tcW w:w="9597" w:type="dxa"/>
            <w:vAlign w:val="center"/>
            <w:textDirection w:val="lrTb"/>
            <w:noWrap w:val="false"/>
          </w:tcPr>
          <w:p>
            <w:pPr>
              <w:ind w:firstLine="420"/>
              <w:spacing w:line="440" w:lineRule="exact"/>
              <w:rPr>
                <w:rFonts w:hint="eastAsia" w:ascii="宋体" w:hAnsi="宋体" w:cs="宋体"/>
                <w:color w:val="auto"/>
                <w:szCs w:val="21"/>
                <w:highlight w:val="none"/>
              </w:rPr>
            </w:pPr>
            <w:r>
              <w:rPr>
                <w:rFonts w:hint="eastAsia" w:hAnsi="宋体"/>
                <w:color w:val="auto"/>
                <w:szCs w:val="21"/>
                <w:highlight w:val="none"/>
              </w:rPr>
              <w:t xml:space="preserve">磋商总报价：人民币大写：</w:t>
            </w:r>
            <w:r>
              <w:rPr>
                <w:rFonts w:hint="eastAsia" w:hAnsi="宋体"/>
                <w:color w:val="auto"/>
                <w:szCs w:val="21"/>
                <w:highlight w:val="none"/>
                <w:u w:val="single"/>
              </w:rPr>
              <w:t xml:space="preserve">                    </w:t>
            </w:r>
            <w:r>
              <w:rPr>
                <w:rFonts w:hint="eastAsia" w:hAnsi="宋体"/>
                <w:color w:val="auto"/>
                <w:szCs w:val="21"/>
                <w:highlight w:val="none"/>
              </w:rPr>
              <w:t xml:space="preserve">（小写：</w:t>
            </w:r>
            <w:r>
              <w:rPr>
                <w:rFonts w:hint="eastAsia" w:hAnsi="宋体"/>
                <w:color w:val="auto"/>
                <w:szCs w:val="21"/>
                <w:highlight w:val="none"/>
                <w:u w:val="single"/>
              </w:rPr>
              <w:t xml:space="preserve">               </w:t>
            </w:r>
            <w:r>
              <w:rPr>
                <w:rFonts w:hint="eastAsia" w:hAnsi="宋体"/>
                <w:color w:val="auto"/>
                <w:szCs w:val="21"/>
                <w:highlight w:val="none"/>
              </w:rPr>
              <w:t xml:space="preserve">）</w:t>
            </w:r>
            <w:r/>
          </w:p>
        </w:tc>
      </w:tr>
    </w:tbl>
    <w:p>
      <w:pPr>
        <w:ind w:firstLine="42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1158"/>
        <w:ind w:firstLine="567"/>
        <w:spacing w:line="360" w:lineRule="exact"/>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供应商：（公章）</w:t>
      </w:r>
      <w:r/>
    </w:p>
    <w:p>
      <w:pPr>
        <w:ind w:firstLine="567"/>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567"/>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pStyle w:val="1158"/>
        <w:ind w:firstLine="525"/>
        <w:spacing w:line="36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981"/>
        <w:ind w:firstLine="0"/>
        <w:spacing w:line="360" w:lineRule="exact"/>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81"/>
        <w:ind w:firstLine="0"/>
        <w:spacing w:line="360" w:lineRule="exact"/>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81"/>
        <w:ind w:firstLine="0"/>
        <w:spacing w:line="360" w:lineRule="exact"/>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993"/>
        <w:rPr>
          <w:rFonts w:hint="eastAsia" w:hAnsi="宋体" w:eastAsia="宋体"/>
          <w:b/>
          <w:bCs/>
          <w:color w:val="auto"/>
          <w:szCs w:val="21"/>
          <w:highlight w:val="none"/>
        </w:rPr>
      </w:pPr>
      <w:r>
        <w:rPr>
          <w:rFonts w:hint="eastAsia" w:hAnsi="宋体" w:eastAsia="宋体"/>
          <w:b/>
          <w:color w:val="auto"/>
          <w:sz w:val="21"/>
          <w:szCs w:val="21"/>
          <w:highlight w:val="none"/>
        </w:rPr>
        <w:br w:type="page" w:clear="all"/>
      </w:r>
      <w:r>
        <w:rPr>
          <w:rFonts w:hint="eastAsia" w:hAnsi="宋体" w:eastAsia="宋体"/>
          <w:b/>
          <w:color w:val="auto"/>
          <w:sz w:val="21"/>
          <w:szCs w:val="21"/>
          <w:highlight w:val="none"/>
        </w:rPr>
        <w:t xml:space="preserve">附件4、服务要求偏离表</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服务要求偏离表</w:t>
      </w:r>
      <w:r/>
    </w:p>
    <w:p>
      <w:pPr>
        <w:ind w:firstLine="630"/>
        <w:rPr>
          <w:rFonts w:hint="eastAsia" w:ascii="宋体" w:hAnsi="宋体"/>
          <w:b/>
          <w:color w:val="auto"/>
          <w:spacing w:val="20"/>
          <w:szCs w:val="21"/>
          <w:highlight w:val="none"/>
        </w:rPr>
      </w:pP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               </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采购编号</w:t>
      </w:r>
      <w:r>
        <w:rPr>
          <w:rFonts w:hint="eastAsia" w:ascii="宋体" w:hAnsi="宋体" w:cs="宋体"/>
          <w:color w:val="auto"/>
          <w:szCs w:val="21"/>
          <w:highlight w:val="none"/>
          <w:lang w:val="zh-CN"/>
        </w:rPr>
        <w:t xml:space="preserve">∶</w:t>
      </w:r>
      <w:r/>
    </w:p>
    <w:tbl>
      <w:tblPr>
        <w:tblStyle w:val="974"/>
        <w:tblW w:w="9240" w:type="dxa"/>
        <w:tblInd w:w="3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870"/>
        <w:gridCol w:w="2051"/>
        <w:gridCol w:w="2052"/>
        <w:gridCol w:w="2496"/>
      </w:tblGrid>
      <w:tr>
        <w:trPr>
          <w:trHeight w:val="567"/>
        </w:trPr>
        <w:tc>
          <w:tcPr>
            <w:tcW w:w="7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1870" w:type="dxa"/>
            <w:vAlign w:val="center"/>
            <w:textDirection w:val="lrTb"/>
            <w:noWrap w:val="false"/>
          </w:tcPr>
          <w:p>
            <w:pPr>
              <w:pStyle w:val="981"/>
              <w:ind w:left="54"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项目</w:t>
            </w:r>
            <w:r/>
          </w:p>
        </w:tc>
        <w:tc>
          <w:tcPr>
            <w:tcW w:w="2051" w:type="dxa"/>
            <w:vAlign w:val="center"/>
            <w:textDirection w:val="lrTb"/>
            <w:noWrap w:val="false"/>
          </w:tcPr>
          <w:p>
            <w:pPr>
              <w:pStyle w:val="981"/>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采购</w:t>
            </w:r>
            <w:r>
              <w:rPr>
                <w:rFonts w:ascii="宋体" w:hAnsi="宋体" w:eastAsia="宋体"/>
                <w:color w:val="auto"/>
                <w:sz w:val="21"/>
                <w:szCs w:val="21"/>
                <w:highlight w:val="none"/>
              </w:rPr>
              <w:t xml:space="preserve">要求</w:t>
            </w:r>
            <w:r/>
          </w:p>
        </w:tc>
        <w:tc>
          <w:tcPr>
            <w:tcW w:w="2052" w:type="dxa"/>
            <w:vAlign w:val="center"/>
            <w:textDirection w:val="lrTb"/>
            <w:noWrap w:val="false"/>
          </w:tcPr>
          <w:p>
            <w:pPr>
              <w:pStyle w:val="981"/>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响应情况</w:t>
            </w:r>
            <w:r/>
          </w:p>
        </w:tc>
        <w:tc>
          <w:tcPr>
            <w:tcW w:w="2496" w:type="dxa"/>
            <w:vAlign w:val="center"/>
            <w:textDirection w:val="lrTb"/>
            <w:noWrap w:val="false"/>
          </w:tcPr>
          <w:p>
            <w:pPr>
              <w:pStyle w:val="981"/>
              <w:ind w:firstLine="0"/>
              <w:jc w:val="center"/>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trHeight w:val="567"/>
        </w:trPr>
        <w:tc>
          <w:tcPr>
            <w:tcW w:w="7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w:t>
            </w:r>
            <w:r/>
          </w:p>
        </w:tc>
        <w:tc>
          <w:tcPr>
            <w:tcW w:w="1870" w:type="dxa"/>
            <w:textDirection w:val="lrTb"/>
            <w:noWrap w:val="false"/>
          </w:tcPr>
          <w:p>
            <w:pPr>
              <w:pStyle w:val="98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1" w:type="dxa"/>
            <w:textDirection w:val="lrTb"/>
            <w:noWrap w:val="false"/>
          </w:tcPr>
          <w:p>
            <w:pPr>
              <w:pStyle w:val="98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8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496" w:type="dxa"/>
            <w:textDirection w:val="lrTb"/>
            <w:noWrap w:val="false"/>
          </w:tcPr>
          <w:p>
            <w:pPr>
              <w:pStyle w:val="98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567"/>
        </w:trPr>
        <w:tc>
          <w:tcPr>
            <w:tcW w:w="7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2</w:t>
            </w:r>
            <w:r/>
          </w:p>
        </w:tc>
        <w:tc>
          <w:tcPr>
            <w:tcW w:w="1870" w:type="dxa"/>
            <w:textDirection w:val="lrTb"/>
            <w:noWrap w:val="false"/>
          </w:tcPr>
          <w:p>
            <w:pPr>
              <w:pStyle w:val="98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1" w:type="dxa"/>
            <w:textDirection w:val="lrTb"/>
            <w:noWrap w:val="false"/>
          </w:tcPr>
          <w:p>
            <w:pPr>
              <w:pStyle w:val="98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8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496" w:type="dxa"/>
            <w:textDirection w:val="lrTb"/>
            <w:noWrap w:val="false"/>
          </w:tcPr>
          <w:p>
            <w:pPr>
              <w:pStyle w:val="98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567"/>
        </w:trPr>
        <w:tc>
          <w:tcPr>
            <w:tcW w:w="771" w:type="dxa"/>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w:t>
            </w:r>
            <w:r/>
          </w:p>
        </w:tc>
        <w:tc>
          <w:tcPr>
            <w:tcW w:w="1870" w:type="dxa"/>
            <w:textDirection w:val="lrTb"/>
            <w:noWrap w:val="false"/>
          </w:tcPr>
          <w:p>
            <w:pPr>
              <w:pStyle w:val="98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1" w:type="dxa"/>
            <w:textDirection w:val="lrTb"/>
            <w:noWrap w:val="false"/>
          </w:tcPr>
          <w:p>
            <w:pPr>
              <w:pStyle w:val="98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052" w:type="dxa"/>
            <w:textDirection w:val="lrTb"/>
            <w:noWrap w:val="false"/>
          </w:tcPr>
          <w:p>
            <w:pPr>
              <w:pStyle w:val="98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496" w:type="dxa"/>
            <w:textDirection w:val="lrTb"/>
            <w:noWrap w:val="false"/>
          </w:tcPr>
          <w:p>
            <w:pPr>
              <w:pStyle w:val="981"/>
              <w:ind w:firstLine="699"/>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ind w:firstLine="63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供应商：（公章）</w:t>
      </w:r>
      <w:r/>
    </w:p>
    <w:p>
      <w:pPr>
        <w:ind w:firstLine="63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法定代表人或代理人（签字或盖章）</w:t>
      </w:r>
      <w:r>
        <w:rPr>
          <w:rFonts w:hint="eastAsia" w:ascii="宋体" w:hAnsi="宋体"/>
          <w:bCs/>
          <w:color w:val="auto"/>
          <w:szCs w:val="21"/>
          <w:highlight w:val="none"/>
        </w:rPr>
        <w:t xml:space="preserve">：</w:t>
      </w:r>
      <w:r/>
    </w:p>
    <w:p>
      <w:pPr>
        <w:ind w:firstLine="63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日期</w:t>
      </w:r>
      <w:r>
        <w:rPr>
          <w:rFonts w:ascii="宋体" w:hAnsi="宋体"/>
          <w:bCs/>
          <w:color w:val="auto"/>
          <w:szCs w:val="21"/>
          <w:highlight w:val="none"/>
        </w:rPr>
        <w:t xml:space="preserve">:</w:t>
      </w:r>
      <w:r/>
    </w:p>
    <w:p>
      <w:pPr>
        <w:spacing w:line="360" w:lineRule="auto"/>
        <w:rPr>
          <w:rFonts w:hint="eastAsia" w:hAnsi="宋体"/>
          <w:b/>
          <w:color w:val="auto"/>
          <w:szCs w:val="21"/>
          <w:highlight w:val="none"/>
        </w:rPr>
      </w:pPr>
      <w:r>
        <w:rPr>
          <w:rFonts w:hint="eastAsia" w:hAnsi="宋体"/>
          <w:b/>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附件5、商务条款偏离表</w:t>
      </w:r>
      <w:r/>
    </w:p>
    <w:p>
      <w:pPr>
        <w:ind w:firstLine="63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r>
      <w:r/>
    </w:p>
    <w:p>
      <w:pPr>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商务条款偏离表</w:t>
      </w:r>
      <w:r/>
    </w:p>
    <w:p>
      <w:pPr>
        <w:ind w:firstLine="630"/>
        <w:spacing w:line="380" w:lineRule="exact"/>
        <w:rPr>
          <w:rFonts w:hint="eastAsia" w:ascii="宋体" w:hAnsi="宋体" w:cs="宋体"/>
          <w:b/>
          <w:color w:val="auto"/>
          <w:spacing w:val="20"/>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974"/>
        <w:tblW w:w="9180" w:type="dxa"/>
        <w:tblInd w:w="426"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701"/>
      </w:tblGrid>
      <w:tr>
        <w:trPr>
          <w:cantSplit/>
          <w:trHeight w:val="567"/>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采购文件要求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备注</w:t>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履约</w:t>
            </w:r>
            <w:r>
              <w:rPr>
                <w:rFonts w:hint="eastAsia" w:ascii="宋体" w:hAnsi="宋体" w:cs="宋体"/>
                <w:color w:val="auto"/>
                <w:szCs w:val="21"/>
                <w:highlight w:val="none"/>
                <w:lang w:val="zh-CN"/>
              </w:rPr>
              <w:t xml:space="preserve">期限</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履约地点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val="en-US" w:eastAsia="zh-CN"/>
              </w:rPr>
              <w:t xml:space="preserve">3</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63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供应商：（公章）</w:t>
      </w:r>
      <w:r/>
    </w:p>
    <w:p>
      <w:pPr>
        <w:ind w:firstLine="630"/>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rPr>
          <w:rFonts w:hint="eastAsia" w:ascii="宋体" w:hAnsi="宋体" w:cs="宋体"/>
          <w:bCs/>
          <w:color w:val="auto"/>
          <w:szCs w:val="21"/>
          <w:highlight w:val="none"/>
        </w:rPr>
        <w:t xml:space="preserve">：</w:t>
      </w:r>
      <w:r/>
    </w:p>
    <w:p>
      <w:pPr>
        <w:ind w:firstLine="630"/>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日期:</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注：</w:t>
      </w:r>
      <w:r>
        <w:rPr>
          <w:rFonts w:hint="eastAsia" w:ascii="宋体" w:hAnsi="宋体" w:cs="宋体"/>
          <w:color w:val="auto"/>
          <w:szCs w:val="21"/>
          <w:highlight w:val="none"/>
        </w:rPr>
        <w:t xml:space="preserve">1.响应单位提交的响应文件中与采购文件的技术、商务部分的要求有不同时，应在本表中把采购文件要求与投标实际响应内容逐项对应列出。</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2.若事项较多，响应单位可根据投标内容的实际情况另纸说明。</w:t>
      </w:r>
      <w:r/>
    </w:p>
    <w:p>
      <w:pPr>
        <w:pStyle w:val="981"/>
        <w:ind w:firstLine="0"/>
        <w:spacing w:line="400" w:lineRule="exact"/>
        <w:rPr>
          <w:rFonts w:hint="eastAsia" w:ascii="宋体" w:hAnsi="宋体"/>
          <w:b/>
          <w:color w:val="auto"/>
          <w:sz w:val="21"/>
          <w:szCs w:val="21"/>
          <w:highlight w:val="none"/>
        </w:rPr>
      </w:pPr>
      <w:r>
        <w:rPr>
          <w:rFonts w:ascii="宋体" w:hAnsi="宋体"/>
          <w:b/>
          <w:color w:val="auto"/>
          <w:spacing w:val="20"/>
          <w:szCs w:val="21"/>
          <w:highlight w:val="none"/>
        </w:rPr>
        <w:br w:type="page" w:clear="all"/>
      </w:r>
      <w:r>
        <w:rPr>
          <w:rFonts w:hint="eastAsia" w:ascii="宋体" w:hAnsi="宋体" w:eastAsia="宋体"/>
          <w:b/>
          <w:color w:val="auto"/>
          <w:sz w:val="21"/>
          <w:szCs w:val="21"/>
          <w:highlight w:val="none"/>
        </w:rPr>
        <w:t xml:space="preserve">附件6、配备人员一览表</w:t>
      </w:r>
      <w:r/>
    </w:p>
    <w:p>
      <w:pPr>
        <w:jc w:val="center"/>
        <w:spacing w:line="360" w:lineRule="auto"/>
        <w:rPr>
          <w:rFonts w:ascii="宋体" w:hAnsi="Courier New"/>
          <w:b/>
          <w:color w:val="auto"/>
          <w:szCs w:val="21"/>
          <w:highlight w:val="none"/>
        </w:rPr>
      </w:pPr>
      <w:r>
        <w:rPr>
          <w:rFonts w:hint="eastAsia" w:ascii="宋体" w:hAnsi="Courier New"/>
          <w:b/>
          <w:color w:val="auto"/>
          <w:szCs w:val="21"/>
          <w:highlight w:val="none"/>
        </w:rPr>
        <w:t xml:space="preserve">配备人员一览表</w:t>
      </w:r>
      <w:r/>
    </w:p>
    <w:tbl>
      <w:tblPr>
        <w:tblStyle w:val="974"/>
        <w:tblW w:w="9318" w:type="dxa"/>
        <w:tblInd w:w="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788"/>
        <w:gridCol w:w="851"/>
        <w:gridCol w:w="850"/>
        <w:gridCol w:w="850"/>
        <w:gridCol w:w="850"/>
        <w:gridCol w:w="1135"/>
        <w:gridCol w:w="909"/>
        <w:gridCol w:w="850"/>
        <w:gridCol w:w="1418"/>
      </w:tblGrid>
      <w:tr>
        <w:trPr>
          <w:trHeight w:val="567"/>
        </w:trPr>
        <w:tc>
          <w:tcPr>
            <w:tcW w:w="817" w:type="dxa"/>
            <w:vAlign w:val="center"/>
            <w:textDirection w:val="lrTb"/>
            <w:noWrap w:val="false"/>
          </w:tcPr>
          <w:p>
            <w:pPr>
              <w:jc w:val="center"/>
              <w:rPr>
                <w:color w:val="auto"/>
                <w:szCs w:val="21"/>
                <w:highlight w:val="none"/>
              </w:rPr>
            </w:pPr>
            <w:r>
              <w:rPr>
                <w:rFonts w:hint="eastAsia"/>
                <w:color w:val="auto"/>
                <w:szCs w:val="21"/>
                <w:highlight w:val="none"/>
              </w:rPr>
              <w:t xml:space="preserve">序号</w:t>
            </w:r>
            <w:r/>
          </w:p>
        </w:tc>
        <w:tc>
          <w:tcPr>
            <w:tcW w:w="788" w:type="dxa"/>
            <w:vAlign w:val="center"/>
            <w:textDirection w:val="lrTb"/>
            <w:noWrap w:val="false"/>
          </w:tcPr>
          <w:p>
            <w:pPr>
              <w:jc w:val="center"/>
              <w:rPr>
                <w:color w:val="auto"/>
                <w:szCs w:val="21"/>
                <w:highlight w:val="none"/>
              </w:rPr>
            </w:pPr>
            <w:r>
              <w:rPr>
                <w:rFonts w:cs="Arial"/>
                <w:color w:val="auto"/>
                <w:szCs w:val="21"/>
                <w:highlight w:val="none"/>
              </w:rPr>
              <w:t xml:space="preserve">姓名</w:t>
            </w:r>
            <w:r/>
          </w:p>
        </w:tc>
        <w:tc>
          <w:tcPr>
            <w:tcW w:w="851" w:type="dxa"/>
            <w:vAlign w:val="center"/>
            <w:textDirection w:val="lrTb"/>
            <w:noWrap w:val="false"/>
          </w:tcPr>
          <w:p>
            <w:pPr>
              <w:jc w:val="center"/>
              <w:rPr>
                <w:color w:val="auto"/>
                <w:szCs w:val="21"/>
                <w:highlight w:val="none"/>
              </w:rPr>
            </w:pPr>
            <w:r>
              <w:rPr>
                <w:rFonts w:cs="Arial"/>
                <w:color w:val="auto"/>
                <w:szCs w:val="21"/>
                <w:highlight w:val="none"/>
              </w:rPr>
              <w:t xml:space="preserve">在本项目中的职位</w:t>
            </w:r>
            <w:r/>
          </w:p>
        </w:tc>
        <w:tc>
          <w:tcPr>
            <w:tcW w:w="850" w:type="dxa"/>
            <w:vAlign w:val="center"/>
            <w:textDirection w:val="lrTb"/>
            <w:noWrap w:val="false"/>
          </w:tcPr>
          <w:p>
            <w:pPr>
              <w:jc w:val="center"/>
              <w:rPr>
                <w:color w:val="auto"/>
                <w:szCs w:val="21"/>
                <w:highlight w:val="none"/>
              </w:rPr>
            </w:pPr>
            <w:r>
              <w:rPr>
                <w:rFonts w:cs="Arial"/>
                <w:color w:val="auto"/>
                <w:szCs w:val="21"/>
                <w:highlight w:val="none"/>
              </w:rPr>
              <w:t xml:space="preserve">年龄</w:t>
            </w:r>
            <w:r/>
          </w:p>
        </w:tc>
        <w:tc>
          <w:tcPr>
            <w:tcW w:w="850" w:type="dxa"/>
            <w:vAlign w:val="center"/>
            <w:textDirection w:val="lrTb"/>
            <w:noWrap w:val="false"/>
          </w:tcPr>
          <w:p>
            <w:pPr>
              <w:jc w:val="center"/>
              <w:rPr>
                <w:color w:val="auto"/>
                <w:szCs w:val="21"/>
                <w:highlight w:val="none"/>
              </w:rPr>
            </w:pPr>
            <w:r>
              <w:rPr>
                <w:rFonts w:cs="Arial"/>
                <w:color w:val="auto"/>
                <w:szCs w:val="21"/>
                <w:highlight w:val="none"/>
              </w:rPr>
              <w:t xml:space="preserve">职称</w:t>
            </w:r>
            <w:r/>
          </w:p>
        </w:tc>
        <w:tc>
          <w:tcPr>
            <w:tcW w:w="850" w:type="dxa"/>
            <w:vAlign w:val="center"/>
            <w:textDirection w:val="lrTb"/>
            <w:noWrap w:val="false"/>
          </w:tcPr>
          <w:p>
            <w:pPr>
              <w:jc w:val="center"/>
              <w:rPr>
                <w:color w:val="auto"/>
                <w:szCs w:val="21"/>
                <w:highlight w:val="none"/>
              </w:rPr>
            </w:pPr>
            <w:r>
              <w:rPr>
                <w:rFonts w:cs="Arial"/>
                <w:color w:val="auto"/>
                <w:szCs w:val="21"/>
                <w:highlight w:val="none"/>
              </w:rPr>
              <w:t xml:space="preserve">学历</w:t>
            </w:r>
            <w:r/>
          </w:p>
        </w:tc>
        <w:tc>
          <w:tcPr>
            <w:tcW w:w="1135" w:type="dxa"/>
            <w:vAlign w:val="center"/>
            <w:textDirection w:val="lrTb"/>
            <w:noWrap w:val="false"/>
          </w:tcPr>
          <w:p>
            <w:pPr>
              <w:jc w:val="center"/>
              <w:rPr>
                <w:color w:val="auto"/>
                <w:szCs w:val="21"/>
                <w:highlight w:val="none"/>
              </w:rPr>
            </w:pPr>
            <w:r>
              <w:rPr>
                <w:rFonts w:hint="eastAsia" w:cs="Arial"/>
                <w:color w:val="auto"/>
                <w:szCs w:val="21"/>
                <w:highlight w:val="none"/>
              </w:rPr>
              <w:t xml:space="preserve">专业</w:t>
            </w:r>
            <w:r/>
          </w:p>
        </w:tc>
        <w:tc>
          <w:tcPr>
            <w:tcW w:w="909" w:type="dxa"/>
            <w:vAlign w:val="center"/>
            <w:textDirection w:val="lrTb"/>
            <w:noWrap w:val="false"/>
          </w:tcPr>
          <w:p>
            <w:pPr>
              <w:jc w:val="center"/>
              <w:rPr>
                <w:color w:val="auto"/>
                <w:szCs w:val="21"/>
                <w:highlight w:val="none"/>
              </w:rPr>
            </w:pPr>
            <w:r>
              <w:rPr>
                <w:rFonts w:hint="eastAsia" w:cs="Arial"/>
                <w:color w:val="auto"/>
                <w:szCs w:val="21"/>
                <w:highlight w:val="none"/>
              </w:rPr>
              <w:t xml:space="preserve">入本机构时间</w:t>
            </w:r>
            <w:r/>
          </w:p>
        </w:tc>
        <w:tc>
          <w:tcPr>
            <w:tcW w:w="850" w:type="dxa"/>
            <w:vAlign w:val="center"/>
            <w:textDirection w:val="lrTb"/>
            <w:noWrap w:val="false"/>
          </w:tcPr>
          <w:p>
            <w:pPr>
              <w:jc w:val="center"/>
              <w:rPr>
                <w:color w:val="auto"/>
                <w:szCs w:val="21"/>
                <w:highlight w:val="none"/>
              </w:rPr>
            </w:pPr>
            <w:r>
              <w:rPr>
                <w:rFonts w:hint="eastAsia" w:cs="Arial"/>
                <w:color w:val="auto"/>
                <w:szCs w:val="21"/>
                <w:highlight w:val="none"/>
              </w:rPr>
              <w:t xml:space="preserve">相关工作经验年限</w:t>
            </w:r>
            <w:r/>
          </w:p>
        </w:tc>
        <w:tc>
          <w:tcPr>
            <w:tcW w:w="1418" w:type="dxa"/>
            <w:vAlign w:val="center"/>
            <w:textDirection w:val="lrTb"/>
            <w:noWrap w:val="false"/>
          </w:tcPr>
          <w:p>
            <w:pPr>
              <w:jc w:val="center"/>
              <w:rPr>
                <w:rFonts w:hint="default" w:eastAsia="宋体"/>
                <w:color w:val="auto"/>
                <w:szCs w:val="21"/>
                <w:highlight w:val="none"/>
                <w:lang w:val="en-US" w:eastAsia="zh-CN"/>
              </w:rPr>
            </w:pPr>
            <w:r>
              <w:rPr>
                <w:rFonts w:hint="eastAsia"/>
                <w:color w:val="auto"/>
                <w:szCs w:val="21"/>
                <w:highlight w:val="none"/>
                <w:lang w:val="en-US" w:eastAsia="zh-CN"/>
              </w:rPr>
              <w:t xml:space="preserve">证书情况</w:t>
            </w:r>
            <w:r/>
          </w:p>
        </w:tc>
      </w:tr>
      <w:tr>
        <w:trPr>
          <w:trHeight w:val="567"/>
        </w:trPr>
        <w:tc>
          <w:tcPr>
            <w:tcW w:w="817" w:type="dxa"/>
            <w:vAlign w:val="center"/>
            <w:textDirection w:val="lrTb"/>
            <w:noWrap w:val="false"/>
          </w:tcPr>
          <w:p>
            <w:pPr>
              <w:jc w:val="center"/>
              <w:rPr>
                <w:color w:val="auto"/>
                <w:szCs w:val="21"/>
                <w:highlight w:val="none"/>
              </w:rPr>
            </w:pPr>
            <w:r>
              <w:rPr>
                <w:rFonts w:hint="eastAsia" w:ascii="宋体" w:hAnsi="宋体" w:cs="宋体"/>
                <w:color w:val="auto"/>
                <w:szCs w:val="21"/>
                <w:highlight w:val="none"/>
              </w:rPr>
              <w:t xml:space="preserve">1</w:t>
            </w:r>
            <w:r/>
          </w:p>
        </w:tc>
        <w:tc>
          <w:tcPr>
            <w:tcW w:w="788" w:type="dxa"/>
            <w:vAlign w:val="center"/>
            <w:textDirection w:val="lrTb"/>
            <w:noWrap w:val="false"/>
          </w:tcPr>
          <w:p>
            <w:pPr>
              <w:jc w:val="center"/>
              <w:rPr>
                <w:color w:val="auto"/>
                <w:szCs w:val="21"/>
                <w:highlight w:val="none"/>
              </w:rPr>
            </w:pPr>
            <w:r>
              <w:rPr>
                <w:color w:val="auto"/>
                <w:szCs w:val="21"/>
                <w:highlight w:val="none"/>
              </w:rPr>
            </w:r>
            <w:r/>
          </w:p>
        </w:tc>
        <w:tc>
          <w:tcPr>
            <w:tcW w:w="851"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135" w:type="dxa"/>
            <w:vAlign w:val="center"/>
            <w:textDirection w:val="lrTb"/>
            <w:noWrap w:val="false"/>
          </w:tcPr>
          <w:p>
            <w:pPr>
              <w:jc w:val="center"/>
              <w:rPr>
                <w:color w:val="auto"/>
                <w:szCs w:val="21"/>
                <w:highlight w:val="none"/>
              </w:rPr>
            </w:pPr>
            <w:r>
              <w:rPr>
                <w:color w:val="auto"/>
                <w:szCs w:val="21"/>
                <w:highlight w:val="none"/>
              </w:rPr>
            </w:r>
            <w:r/>
          </w:p>
        </w:tc>
        <w:tc>
          <w:tcPr>
            <w:tcW w:w="909"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418" w:type="dxa"/>
            <w:vAlign w:val="center"/>
            <w:textDirection w:val="lrTb"/>
            <w:noWrap w:val="false"/>
          </w:tcPr>
          <w:p>
            <w:pPr>
              <w:jc w:val="center"/>
              <w:rPr>
                <w:color w:val="auto"/>
                <w:szCs w:val="21"/>
                <w:highlight w:val="none"/>
              </w:rPr>
            </w:pPr>
            <w:r>
              <w:rPr>
                <w:color w:val="auto"/>
                <w:szCs w:val="21"/>
                <w:highlight w:val="none"/>
              </w:rPr>
            </w:r>
            <w:r/>
          </w:p>
        </w:tc>
      </w:tr>
      <w:tr>
        <w:trPr>
          <w:trHeight w:val="567"/>
        </w:trPr>
        <w:tc>
          <w:tcPr>
            <w:tcW w:w="817" w:type="dxa"/>
            <w:vAlign w:val="center"/>
            <w:textDirection w:val="lrTb"/>
            <w:noWrap w:val="false"/>
          </w:tcPr>
          <w:p>
            <w:pPr>
              <w:jc w:val="center"/>
              <w:rPr>
                <w:color w:val="auto"/>
                <w:szCs w:val="21"/>
                <w:highlight w:val="none"/>
              </w:rPr>
            </w:pPr>
            <w:r>
              <w:rPr>
                <w:rFonts w:hint="eastAsia" w:ascii="宋体" w:hAnsi="宋体" w:cs="宋体"/>
                <w:color w:val="auto"/>
                <w:szCs w:val="21"/>
                <w:highlight w:val="none"/>
              </w:rPr>
              <w:t xml:space="preserve">2</w:t>
            </w:r>
            <w:r/>
          </w:p>
        </w:tc>
        <w:tc>
          <w:tcPr>
            <w:tcW w:w="788" w:type="dxa"/>
            <w:vAlign w:val="center"/>
            <w:textDirection w:val="lrTb"/>
            <w:noWrap w:val="false"/>
          </w:tcPr>
          <w:p>
            <w:pPr>
              <w:jc w:val="center"/>
              <w:rPr>
                <w:color w:val="auto"/>
                <w:szCs w:val="21"/>
                <w:highlight w:val="none"/>
              </w:rPr>
            </w:pPr>
            <w:r>
              <w:rPr>
                <w:color w:val="auto"/>
                <w:szCs w:val="21"/>
                <w:highlight w:val="none"/>
              </w:rPr>
            </w:r>
            <w:r/>
          </w:p>
        </w:tc>
        <w:tc>
          <w:tcPr>
            <w:tcW w:w="851"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135" w:type="dxa"/>
            <w:vAlign w:val="center"/>
            <w:textDirection w:val="lrTb"/>
            <w:noWrap w:val="false"/>
          </w:tcPr>
          <w:p>
            <w:pPr>
              <w:jc w:val="center"/>
              <w:rPr>
                <w:color w:val="auto"/>
                <w:szCs w:val="21"/>
                <w:highlight w:val="none"/>
              </w:rPr>
            </w:pPr>
            <w:r>
              <w:rPr>
                <w:color w:val="auto"/>
                <w:szCs w:val="21"/>
                <w:highlight w:val="none"/>
              </w:rPr>
            </w:r>
            <w:r/>
          </w:p>
        </w:tc>
        <w:tc>
          <w:tcPr>
            <w:tcW w:w="909"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418" w:type="dxa"/>
            <w:vAlign w:val="center"/>
            <w:textDirection w:val="lrTb"/>
            <w:noWrap w:val="false"/>
          </w:tcPr>
          <w:p>
            <w:pPr>
              <w:jc w:val="center"/>
              <w:rPr>
                <w:color w:val="auto"/>
                <w:szCs w:val="21"/>
                <w:highlight w:val="none"/>
              </w:rPr>
            </w:pPr>
            <w:r>
              <w:rPr>
                <w:color w:val="auto"/>
                <w:szCs w:val="21"/>
                <w:highlight w:val="none"/>
              </w:rPr>
            </w:r>
            <w:r/>
          </w:p>
        </w:tc>
      </w:tr>
      <w:tr>
        <w:trPr>
          <w:trHeight w:val="567"/>
        </w:trPr>
        <w:tc>
          <w:tcPr>
            <w:tcW w:w="817" w:type="dxa"/>
            <w:vAlign w:val="center"/>
            <w:textDirection w:val="lrTb"/>
            <w:noWrap w:val="false"/>
          </w:tcPr>
          <w:p>
            <w:pPr>
              <w:jc w:val="center"/>
              <w:rPr>
                <w:color w:val="auto"/>
                <w:szCs w:val="21"/>
                <w:highlight w:val="none"/>
              </w:rPr>
            </w:pPr>
            <w:r>
              <w:rPr>
                <w:rFonts w:hint="eastAsia" w:ascii="宋体" w:hAnsi="宋体" w:cs="宋体"/>
                <w:color w:val="auto"/>
                <w:szCs w:val="21"/>
                <w:highlight w:val="none"/>
              </w:rPr>
              <w:t xml:space="preserve">3</w:t>
            </w:r>
            <w:r/>
          </w:p>
        </w:tc>
        <w:tc>
          <w:tcPr>
            <w:tcW w:w="788" w:type="dxa"/>
            <w:vAlign w:val="center"/>
            <w:textDirection w:val="lrTb"/>
            <w:noWrap w:val="false"/>
          </w:tcPr>
          <w:p>
            <w:pPr>
              <w:jc w:val="center"/>
              <w:rPr>
                <w:color w:val="auto"/>
                <w:szCs w:val="21"/>
                <w:highlight w:val="none"/>
              </w:rPr>
            </w:pPr>
            <w:r>
              <w:rPr>
                <w:color w:val="auto"/>
                <w:szCs w:val="21"/>
                <w:highlight w:val="none"/>
              </w:rPr>
            </w:r>
            <w:r/>
          </w:p>
        </w:tc>
        <w:tc>
          <w:tcPr>
            <w:tcW w:w="851"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135" w:type="dxa"/>
            <w:vAlign w:val="center"/>
            <w:textDirection w:val="lrTb"/>
            <w:noWrap w:val="false"/>
          </w:tcPr>
          <w:p>
            <w:pPr>
              <w:jc w:val="center"/>
              <w:rPr>
                <w:color w:val="auto"/>
                <w:szCs w:val="21"/>
                <w:highlight w:val="none"/>
              </w:rPr>
            </w:pPr>
            <w:r>
              <w:rPr>
                <w:color w:val="auto"/>
                <w:szCs w:val="21"/>
                <w:highlight w:val="none"/>
              </w:rPr>
            </w:r>
            <w:r/>
          </w:p>
        </w:tc>
        <w:tc>
          <w:tcPr>
            <w:tcW w:w="909"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418" w:type="dxa"/>
            <w:vAlign w:val="center"/>
            <w:textDirection w:val="lrTb"/>
            <w:noWrap w:val="false"/>
          </w:tcPr>
          <w:p>
            <w:pPr>
              <w:jc w:val="center"/>
              <w:rPr>
                <w:color w:val="auto"/>
                <w:szCs w:val="21"/>
                <w:highlight w:val="none"/>
              </w:rPr>
            </w:pPr>
            <w:r>
              <w:rPr>
                <w:color w:val="auto"/>
                <w:szCs w:val="21"/>
                <w:highlight w:val="none"/>
              </w:rPr>
            </w:r>
            <w:r/>
          </w:p>
        </w:tc>
      </w:tr>
      <w:tr>
        <w:trPr>
          <w:trHeight w:val="567"/>
        </w:trPr>
        <w:tc>
          <w:tcPr>
            <w:tcW w:w="817" w:type="dxa"/>
            <w:vAlign w:val="center"/>
            <w:textDirection w:val="lrTb"/>
            <w:noWrap w:val="false"/>
          </w:tcPr>
          <w:p>
            <w:pPr>
              <w:jc w:val="center"/>
              <w:rPr>
                <w:color w:val="auto"/>
                <w:szCs w:val="21"/>
                <w:highlight w:val="none"/>
              </w:rPr>
            </w:pPr>
            <w:r>
              <w:rPr>
                <w:rFonts w:hint="eastAsia" w:ascii="宋体" w:hAnsi="宋体" w:cs="宋体"/>
                <w:color w:val="auto"/>
                <w:szCs w:val="21"/>
                <w:highlight w:val="none"/>
              </w:rPr>
              <w:t xml:space="preserve">4</w:t>
            </w:r>
            <w:r/>
          </w:p>
        </w:tc>
        <w:tc>
          <w:tcPr>
            <w:tcW w:w="788" w:type="dxa"/>
            <w:vAlign w:val="center"/>
            <w:textDirection w:val="lrTb"/>
            <w:noWrap w:val="false"/>
          </w:tcPr>
          <w:p>
            <w:pPr>
              <w:jc w:val="center"/>
              <w:rPr>
                <w:color w:val="auto"/>
                <w:szCs w:val="21"/>
                <w:highlight w:val="none"/>
              </w:rPr>
            </w:pPr>
            <w:r>
              <w:rPr>
                <w:color w:val="auto"/>
                <w:szCs w:val="21"/>
                <w:highlight w:val="none"/>
              </w:rPr>
            </w:r>
            <w:r/>
          </w:p>
        </w:tc>
        <w:tc>
          <w:tcPr>
            <w:tcW w:w="851"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135" w:type="dxa"/>
            <w:vAlign w:val="center"/>
            <w:textDirection w:val="lrTb"/>
            <w:noWrap w:val="false"/>
          </w:tcPr>
          <w:p>
            <w:pPr>
              <w:jc w:val="center"/>
              <w:rPr>
                <w:color w:val="auto"/>
                <w:szCs w:val="21"/>
                <w:highlight w:val="none"/>
              </w:rPr>
            </w:pPr>
            <w:r>
              <w:rPr>
                <w:color w:val="auto"/>
                <w:szCs w:val="21"/>
                <w:highlight w:val="none"/>
              </w:rPr>
            </w:r>
            <w:r/>
          </w:p>
        </w:tc>
        <w:tc>
          <w:tcPr>
            <w:tcW w:w="909"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418" w:type="dxa"/>
            <w:vAlign w:val="center"/>
            <w:textDirection w:val="lrTb"/>
            <w:noWrap w:val="false"/>
          </w:tcPr>
          <w:p>
            <w:pPr>
              <w:jc w:val="center"/>
              <w:rPr>
                <w:color w:val="auto"/>
                <w:szCs w:val="21"/>
                <w:highlight w:val="none"/>
              </w:rPr>
            </w:pPr>
            <w:r>
              <w:rPr>
                <w:color w:val="auto"/>
                <w:szCs w:val="21"/>
                <w:highlight w:val="none"/>
              </w:rPr>
            </w:r>
            <w:r/>
          </w:p>
        </w:tc>
      </w:tr>
      <w:tr>
        <w:trPr>
          <w:trHeight w:val="567"/>
        </w:trPr>
        <w:tc>
          <w:tcPr>
            <w:tcW w:w="817" w:type="dxa"/>
            <w:vAlign w:val="center"/>
            <w:textDirection w:val="lrTb"/>
            <w:noWrap w:val="false"/>
          </w:tcPr>
          <w:p>
            <w:pPr>
              <w:jc w:val="center"/>
              <w:rPr>
                <w:color w:val="auto"/>
                <w:szCs w:val="21"/>
                <w:highlight w:val="none"/>
              </w:rPr>
            </w:pPr>
            <w:r>
              <w:rPr>
                <w:rFonts w:hint="eastAsia" w:ascii="宋体" w:hAnsi="宋体" w:cs="宋体"/>
                <w:color w:val="auto"/>
                <w:szCs w:val="21"/>
                <w:highlight w:val="none"/>
              </w:rPr>
              <w:t xml:space="preserve">5</w:t>
            </w:r>
            <w:r/>
          </w:p>
        </w:tc>
        <w:tc>
          <w:tcPr>
            <w:tcW w:w="788" w:type="dxa"/>
            <w:vAlign w:val="center"/>
            <w:textDirection w:val="lrTb"/>
            <w:noWrap w:val="false"/>
          </w:tcPr>
          <w:p>
            <w:pPr>
              <w:jc w:val="center"/>
              <w:rPr>
                <w:color w:val="auto"/>
                <w:szCs w:val="21"/>
                <w:highlight w:val="none"/>
              </w:rPr>
            </w:pPr>
            <w:r>
              <w:rPr>
                <w:color w:val="auto"/>
                <w:szCs w:val="21"/>
                <w:highlight w:val="none"/>
              </w:rPr>
            </w:r>
            <w:r/>
          </w:p>
        </w:tc>
        <w:tc>
          <w:tcPr>
            <w:tcW w:w="851"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135" w:type="dxa"/>
            <w:vAlign w:val="center"/>
            <w:textDirection w:val="lrTb"/>
            <w:noWrap w:val="false"/>
          </w:tcPr>
          <w:p>
            <w:pPr>
              <w:jc w:val="center"/>
              <w:rPr>
                <w:color w:val="auto"/>
                <w:szCs w:val="21"/>
                <w:highlight w:val="none"/>
              </w:rPr>
            </w:pPr>
            <w:r>
              <w:rPr>
                <w:color w:val="auto"/>
                <w:szCs w:val="21"/>
                <w:highlight w:val="none"/>
              </w:rPr>
            </w:r>
            <w:r/>
          </w:p>
        </w:tc>
        <w:tc>
          <w:tcPr>
            <w:tcW w:w="909"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418" w:type="dxa"/>
            <w:vAlign w:val="center"/>
            <w:textDirection w:val="lrTb"/>
            <w:noWrap w:val="false"/>
          </w:tcPr>
          <w:p>
            <w:pPr>
              <w:jc w:val="center"/>
              <w:rPr>
                <w:color w:val="auto"/>
                <w:szCs w:val="21"/>
                <w:highlight w:val="none"/>
              </w:rPr>
            </w:pPr>
            <w:r>
              <w:rPr>
                <w:color w:val="auto"/>
                <w:szCs w:val="21"/>
                <w:highlight w:val="none"/>
              </w:rPr>
            </w:r>
            <w:r/>
          </w:p>
        </w:tc>
      </w:tr>
      <w:tr>
        <w:trPr>
          <w:trHeight w:val="567"/>
        </w:trPr>
        <w:tc>
          <w:tcPr>
            <w:tcW w:w="817" w:type="dxa"/>
            <w:vAlign w:val="center"/>
            <w:textDirection w:val="lrTb"/>
            <w:noWrap w:val="false"/>
          </w:tcPr>
          <w:p>
            <w:pPr>
              <w:jc w:val="center"/>
              <w:rPr>
                <w:color w:val="auto"/>
                <w:szCs w:val="21"/>
                <w:highlight w:val="none"/>
              </w:rPr>
            </w:pPr>
            <w:r>
              <w:rPr>
                <w:rFonts w:hint="eastAsia" w:ascii="宋体" w:hAnsi="宋体" w:cs="宋体"/>
                <w:color w:val="auto"/>
                <w:szCs w:val="21"/>
                <w:highlight w:val="none"/>
              </w:rPr>
              <w:t xml:space="preserve">…</w:t>
            </w:r>
            <w:r/>
          </w:p>
        </w:tc>
        <w:tc>
          <w:tcPr>
            <w:tcW w:w="788" w:type="dxa"/>
            <w:vAlign w:val="center"/>
            <w:textDirection w:val="lrTb"/>
            <w:noWrap w:val="false"/>
          </w:tcPr>
          <w:p>
            <w:pPr>
              <w:jc w:val="center"/>
              <w:rPr>
                <w:color w:val="auto"/>
                <w:szCs w:val="21"/>
                <w:highlight w:val="none"/>
              </w:rPr>
            </w:pPr>
            <w:r>
              <w:rPr>
                <w:color w:val="auto"/>
                <w:szCs w:val="21"/>
                <w:highlight w:val="none"/>
              </w:rPr>
            </w:r>
            <w:r/>
          </w:p>
        </w:tc>
        <w:tc>
          <w:tcPr>
            <w:tcW w:w="851"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135" w:type="dxa"/>
            <w:vAlign w:val="center"/>
            <w:textDirection w:val="lrTb"/>
            <w:noWrap w:val="false"/>
          </w:tcPr>
          <w:p>
            <w:pPr>
              <w:jc w:val="center"/>
              <w:rPr>
                <w:color w:val="auto"/>
                <w:szCs w:val="21"/>
                <w:highlight w:val="none"/>
              </w:rPr>
            </w:pPr>
            <w:r>
              <w:rPr>
                <w:color w:val="auto"/>
                <w:szCs w:val="21"/>
                <w:highlight w:val="none"/>
              </w:rPr>
            </w:r>
            <w:r/>
          </w:p>
        </w:tc>
        <w:tc>
          <w:tcPr>
            <w:tcW w:w="909" w:type="dxa"/>
            <w:vAlign w:val="center"/>
            <w:textDirection w:val="lrTb"/>
            <w:noWrap w:val="false"/>
          </w:tcPr>
          <w:p>
            <w:pPr>
              <w:jc w:val="center"/>
              <w:rPr>
                <w:color w:val="auto"/>
                <w:szCs w:val="21"/>
                <w:highlight w:val="none"/>
              </w:rPr>
            </w:pPr>
            <w:r>
              <w:rPr>
                <w:color w:val="auto"/>
                <w:szCs w:val="21"/>
                <w:highlight w:val="none"/>
              </w:rPr>
            </w:r>
            <w:r/>
          </w:p>
        </w:tc>
        <w:tc>
          <w:tcPr>
            <w:tcW w:w="850" w:type="dxa"/>
            <w:vAlign w:val="center"/>
            <w:textDirection w:val="lrTb"/>
            <w:noWrap w:val="false"/>
          </w:tcPr>
          <w:p>
            <w:pPr>
              <w:jc w:val="center"/>
              <w:rPr>
                <w:color w:val="auto"/>
                <w:szCs w:val="21"/>
                <w:highlight w:val="none"/>
              </w:rPr>
            </w:pPr>
            <w:r>
              <w:rPr>
                <w:color w:val="auto"/>
                <w:szCs w:val="21"/>
                <w:highlight w:val="none"/>
              </w:rPr>
            </w:r>
            <w:r/>
          </w:p>
        </w:tc>
        <w:tc>
          <w:tcPr>
            <w:tcW w:w="1418" w:type="dxa"/>
            <w:vAlign w:val="center"/>
            <w:textDirection w:val="lrTb"/>
            <w:noWrap w:val="false"/>
          </w:tcPr>
          <w:p>
            <w:pPr>
              <w:jc w:val="center"/>
              <w:rPr>
                <w:color w:val="auto"/>
                <w:szCs w:val="21"/>
                <w:highlight w:val="none"/>
              </w:rPr>
            </w:pPr>
            <w:r>
              <w:rPr>
                <w:color w:val="auto"/>
                <w:szCs w:val="21"/>
                <w:highlight w:val="none"/>
              </w:rPr>
            </w:r>
            <w:r/>
          </w:p>
        </w:tc>
      </w:tr>
    </w:tbl>
    <w:p>
      <w:pPr>
        <w:pStyle w:val="1031"/>
        <w:rPr>
          <w:rFonts w:hint="eastAsia"/>
          <w:color w:val="auto"/>
          <w:highlight w:val="none"/>
        </w:rPr>
      </w:pPr>
      <w:r>
        <w:rPr>
          <w:rFonts w:hint="eastAsia"/>
          <w:color w:val="auto"/>
          <w:highlight w:val="none"/>
        </w:rPr>
      </w:r>
      <w:r/>
    </w:p>
    <w:p>
      <w:pPr>
        <w:ind w:firstLine="525"/>
        <w:spacing w:line="360" w:lineRule="exact"/>
        <w:rPr>
          <w:rFonts w:ascii="宋体" w:hAnsi="Courier New"/>
          <w:color w:val="auto"/>
          <w:szCs w:val="21"/>
          <w:highlight w:val="none"/>
        </w:rPr>
      </w:pPr>
      <w:r>
        <w:rPr>
          <w:rFonts w:hint="eastAsia" w:ascii="宋体" w:hAnsi="Courier New"/>
          <w:color w:val="auto"/>
          <w:szCs w:val="21"/>
          <w:highlight w:val="none"/>
        </w:rPr>
        <w:t xml:space="preserve">供应商：（公章）</w:t>
      </w:r>
      <w:r/>
    </w:p>
    <w:p>
      <w:pPr>
        <w:ind w:firstLine="525"/>
        <w:spacing w:line="360" w:lineRule="exact"/>
        <w:rPr>
          <w:rFonts w:ascii="宋体" w:hAnsi="Courier New"/>
          <w:color w:val="auto"/>
          <w:szCs w:val="21"/>
          <w:highlight w:val="none"/>
        </w:rPr>
      </w:pPr>
      <w:r>
        <w:rPr>
          <w:rFonts w:hint="eastAsia" w:ascii="宋体" w:hAnsi="Courier New"/>
          <w:color w:val="auto"/>
          <w:szCs w:val="21"/>
          <w:highlight w:val="none"/>
        </w:rPr>
        <w:t xml:space="preserve">法定代表人或代理人：（签字或盖章）</w:t>
      </w:r>
      <w:r/>
    </w:p>
    <w:p>
      <w:pPr>
        <w:ind w:firstLine="525"/>
        <w:spacing w:line="360" w:lineRule="exact"/>
        <w:rPr>
          <w:rFonts w:ascii="宋体" w:hAnsi="Courier New"/>
          <w:color w:val="auto"/>
          <w:sz w:val="24"/>
          <w:highlight w:val="none"/>
        </w:rPr>
      </w:pPr>
      <w:r>
        <w:rPr>
          <w:rFonts w:hint="eastAsia" w:ascii="宋体" w:hAnsi="Courier New"/>
          <w:color w:val="auto"/>
          <w:szCs w:val="21"/>
          <w:highlight w:val="none"/>
        </w:rPr>
        <w:t xml:space="preserve">日期：</w:t>
      </w:r>
      <w:r>
        <w:rPr>
          <w:rFonts w:ascii="宋体" w:hAnsi="Courier New"/>
          <w:color w:val="auto"/>
          <w:szCs w:val="21"/>
          <w:highlight w:val="none"/>
        </w:rPr>
        <w:t xml:space="preserve">         </w:t>
      </w:r>
      <w:r>
        <w:rPr>
          <w:rFonts w:hint="eastAsia" w:ascii="宋体" w:hAnsi="Courier New"/>
          <w:color w:val="auto"/>
          <w:szCs w:val="21"/>
          <w:highlight w:val="none"/>
        </w:rPr>
        <w:t xml:space="preserve">年</w:t>
      </w:r>
      <w:r>
        <w:rPr>
          <w:rFonts w:ascii="宋体" w:hAnsi="Courier New"/>
          <w:color w:val="auto"/>
          <w:szCs w:val="21"/>
          <w:highlight w:val="none"/>
        </w:rPr>
        <w:t xml:space="preserve">     </w:t>
      </w:r>
      <w:r>
        <w:rPr>
          <w:rFonts w:hint="eastAsia" w:ascii="宋体" w:hAnsi="Courier New"/>
          <w:color w:val="auto"/>
          <w:szCs w:val="21"/>
          <w:highlight w:val="none"/>
        </w:rPr>
        <w:t xml:space="preserve">月</w:t>
      </w:r>
      <w:r>
        <w:rPr>
          <w:rFonts w:ascii="宋体" w:hAnsi="Courier New"/>
          <w:color w:val="auto"/>
          <w:szCs w:val="21"/>
          <w:highlight w:val="none"/>
        </w:rPr>
        <w:t xml:space="preserve">   </w:t>
      </w:r>
      <w:r>
        <w:rPr>
          <w:rFonts w:hint="eastAsia" w:ascii="宋体" w:hAnsi="Courier New"/>
          <w:color w:val="auto"/>
          <w:szCs w:val="21"/>
          <w:highlight w:val="none"/>
        </w:rPr>
        <w:t xml:space="preserve">日</w:t>
      </w:r>
      <w:r/>
    </w:p>
    <w:p>
      <w:pPr>
        <w:rPr>
          <w:rFonts w:hint="eastAsia" w:ascii="宋体" w:hAnsi="宋体"/>
          <w:b/>
          <w:color w:val="auto"/>
          <w:szCs w:val="21"/>
          <w:highlight w:val="none"/>
        </w:rPr>
      </w:pPr>
      <w:r>
        <w:rPr>
          <w:rFonts w:hint="eastAsia" w:ascii="宋体" w:hAnsi="宋体"/>
          <w:b/>
          <w:color w:val="auto"/>
          <w:szCs w:val="21"/>
          <w:highlight w:val="none"/>
        </w:rPr>
        <w:br w:type="page" w:clear="all"/>
      </w:r>
      <w:r/>
    </w:p>
    <w:p>
      <w:pPr>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附件7、类似项目业绩一览表</w:t>
      </w:r>
      <w:r/>
    </w:p>
    <w:p>
      <w:pPr>
        <w:jc w:val="center"/>
        <w:spacing w:line="360" w:lineRule="auto"/>
        <w:rPr>
          <w:rFonts w:ascii="宋体" w:hAnsi="Courier New"/>
          <w:b/>
          <w:color w:val="auto"/>
          <w:szCs w:val="21"/>
          <w:highlight w:val="none"/>
        </w:rPr>
      </w:pPr>
      <w:r>
        <w:rPr>
          <w:rFonts w:hint="eastAsia" w:ascii="宋体" w:hAnsi="Courier New"/>
          <w:b/>
          <w:color w:val="auto"/>
          <w:szCs w:val="21"/>
          <w:highlight w:val="none"/>
        </w:rPr>
        <w:t xml:space="preserve">类似项目业绩一览表</w:t>
      </w:r>
      <w:r/>
    </w:p>
    <w:tbl>
      <w:tblPr>
        <w:tblStyle w:val="974"/>
        <w:tblW w:w="100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2237"/>
        <w:gridCol w:w="1787"/>
        <w:gridCol w:w="1787"/>
        <w:gridCol w:w="2085"/>
        <w:gridCol w:w="1425"/>
      </w:tblGrid>
      <w:tr>
        <w:trPr>
          <w:jc w:val="center"/>
          <w:trHeight w:val="917"/>
        </w:trPr>
        <w:tc>
          <w:tcPr>
            <w:tcW w:w="7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2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合同名称</w:t>
            </w:r>
            <w:r/>
          </w:p>
        </w:tc>
        <w:tc>
          <w:tcPr>
            <w:tcW w:w="1787" w:type="dxa"/>
            <w:vAlign w:val="center"/>
            <w:textDirection w:val="lrTb"/>
            <w:noWrap w:val="false"/>
          </w:tcPr>
          <w:p>
            <w:pPr>
              <w:jc w:val="center"/>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业主单位</w:t>
            </w:r>
            <w:r/>
          </w:p>
        </w:tc>
        <w:tc>
          <w:tcPr>
            <w:tcW w:w="1787" w:type="dxa"/>
            <w:vAlign w:val="center"/>
            <w:textDirection w:val="lrTb"/>
            <w:noWrap w:val="false"/>
          </w:tcPr>
          <w:p>
            <w:pPr>
              <w:jc w:val="center"/>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项目时间</w:t>
            </w:r>
            <w:r/>
          </w:p>
        </w:tc>
        <w:tc>
          <w:tcPr>
            <w:tcW w:w="2085" w:type="dxa"/>
            <w:vAlign w:val="center"/>
            <w:textDirection w:val="lrTb"/>
            <w:noWrap w:val="false"/>
          </w:tcPr>
          <w:p>
            <w:pPr>
              <w:jc w:val="center"/>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合同金额</w:t>
            </w:r>
            <w:r/>
          </w:p>
        </w:tc>
        <w:tc>
          <w:tcPr>
            <w:tcW w:w="1425" w:type="dxa"/>
            <w:vAlign w:val="center"/>
            <w:textDirection w:val="lrTb"/>
            <w:noWrap w:val="false"/>
          </w:tcPr>
          <w:p>
            <w:pPr>
              <w:jc w:val="center"/>
              <w:tabs>
                <w:tab w:val="left" w:pos="625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2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2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2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22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22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223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787"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08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2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525"/>
        <w:spacing w:line="360" w:lineRule="exact"/>
        <w:rPr>
          <w:rFonts w:ascii="宋体" w:hAnsi="Courier New"/>
          <w:color w:val="auto"/>
          <w:szCs w:val="21"/>
          <w:highlight w:val="none"/>
        </w:rPr>
      </w:pPr>
      <w:r>
        <w:rPr>
          <w:rFonts w:hint="eastAsia" w:ascii="宋体" w:hAnsi="Courier New"/>
          <w:color w:val="auto"/>
          <w:szCs w:val="21"/>
          <w:highlight w:val="none"/>
        </w:rPr>
        <w:t xml:space="preserve">供应商：（公章）</w:t>
      </w:r>
      <w:r/>
    </w:p>
    <w:p>
      <w:pPr>
        <w:ind w:firstLine="525"/>
        <w:spacing w:line="360" w:lineRule="exact"/>
        <w:rPr>
          <w:rFonts w:ascii="宋体" w:hAnsi="Courier New"/>
          <w:color w:val="auto"/>
          <w:szCs w:val="21"/>
          <w:highlight w:val="none"/>
        </w:rPr>
      </w:pPr>
      <w:r>
        <w:rPr>
          <w:rFonts w:hint="eastAsia" w:ascii="宋体" w:hAnsi="Courier New"/>
          <w:color w:val="auto"/>
          <w:szCs w:val="21"/>
          <w:highlight w:val="none"/>
        </w:rPr>
        <w:t xml:space="preserve">法定代表人或代理人：（签字或盖章）</w:t>
      </w:r>
      <w:r/>
    </w:p>
    <w:p>
      <w:pPr>
        <w:ind w:firstLine="525"/>
        <w:spacing w:line="360" w:lineRule="exact"/>
        <w:rPr>
          <w:rFonts w:ascii="宋体" w:hAnsi="Courier New"/>
          <w:color w:val="auto"/>
          <w:sz w:val="24"/>
          <w:highlight w:val="none"/>
        </w:rPr>
      </w:pPr>
      <w:r>
        <w:rPr>
          <w:rFonts w:hint="eastAsia" w:ascii="宋体" w:hAnsi="Courier New"/>
          <w:color w:val="auto"/>
          <w:szCs w:val="21"/>
          <w:highlight w:val="none"/>
        </w:rPr>
        <w:t xml:space="preserve">日期：</w:t>
      </w:r>
      <w:r>
        <w:rPr>
          <w:rFonts w:ascii="宋体" w:hAnsi="Courier New"/>
          <w:color w:val="auto"/>
          <w:szCs w:val="21"/>
          <w:highlight w:val="none"/>
        </w:rPr>
        <w:t xml:space="preserve">         </w:t>
      </w:r>
      <w:r>
        <w:rPr>
          <w:rFonts w:hint="eastAsia" w:ascii="宋体" w:hAnsi="Courier New"/>
          <w:color w:val="auto"/>
          <w:szCs w:val="21"/>
          <w:highlight w:val="none"/>
        </w:rPr>
        <w:t xml:space="preserve">年</w:t>
      </w:r>
      <w:r>
        <w:rPr>
          <w:rFonts w:ascii="宋体" w:hAnsi="Courier New"/>
          <w:color w:val="auto"/>
          <w:szCs w:val="21"/>
          <w:highlight w:val="none"/>
        </w:rPr>
        <w:t xml:space="preserve">     </w:t>
      </w:r>
      <w:r>
        <w:rPr>
          <w:rFonts w:hint="eastAsia" w:ascii="宋体" w:hAnsi="Courier New"/>
          <w:color w:val="auto"/>
          <w:szCs w:val="21"/>
          <w:highlight w:val="none"/>
        </w:rPr>
        <w:t xml:space="preserve">月</w:t>
      </w:r>
      <w:r>
        <w:rPr>
          <w:rFonts w:ascii="宋体" w:hAnsi="Courier New"/>
          <w:color w:val="auto"/>
          <w:szCs w:val="21"/>
          <w:highlight w:val="none"/>
        </w:rPr>
        <w:t xml:space="preserve">   </w:t>
      </w:r>
      <w:r>
        <w:rPr>
          <w:rFonts w:hint="eastAsia" w:ascii="宋体" w:hAnsi="Courier New"/>
          <w:color w:val="auto"/>
          <w:szCs w:val="21"/>
          <w:highlight w:val="none"/>
        </w:rPr>
        <w:t xml:space="preserve">日</w:t>
      </w:r>
      <w:r/>
    </w:p>
    <w:p>
      <w:pPr>
        <w:jc w:val="left"/>
        <w:spacing w:line="400" w:lineRule="exact"/>
        <w:rPr>
          <w:rFonts w:hint="eastAsia" w:ascii="宋体" w:hAnsi="宋体"/>
          <w:b/>
          <w:color w:val="auto"/>
          <w:szCs w:val="21"/>
          <w:highlight w:val="none"/>
        </w:rPr>
      </w:pPr>
      <w:r>
        <w:rPr>
          <w:rFonts w:hint="eastAsia" w:ascii="宋体" w:hAnsi="宋体"/>
          <w:b/>
          <w:color w:val="auto"/>
          <w:szCs w:val="21"/>
          <w:highlight w:val="none"/>
        </w:rPr>
      </w:r>
      <w:r/>
    </w:p>
    <w:p>
      <w:pPr>
        <w:pStyle w:val="964"/>
        <w:rPr>
          <w:color w:val="auto"/>
          <w:highlight w:val="none"/>
        </w:rPr>
      </w:pPr>
      <w:r>
        <w:rPr>
          <w:color w:val="auto"/>
          <w:highlight w:val="none"/>
        </w:rPr>
      </w:r>
      <w:r/>
    </w:p>
    <w:p>
      <w:pPr>
        <w:pStyle w:val="981"/>
        <w:ind w:firstLine="0"/>
        <w:spacing w:line="400" w:lineRule="exact"/>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附件8、相关证明文件</w:t>
      </w:r>
      <w:r/>
    </w:p>
    <w:p>
      <w:pPr>
        <w:pStyle w:val="981"/>
        <w:ind w:firstLine="0"/>
        <w:jc w:val="both"/>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(1) 资格文件的声明函</w:t>
      </w:r>
      <w:r/>
    </w:p>
    <w:p>
      <w:pPr>
        <w:pStyle w:val="981"/>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981"/>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资格文件的声明函</w:t>
      </w:r>
      <w:r/>
    </w:p>
    <w:p>
      <w:pPr>
        <w:pStyle w:val="981"/>
        <w:ind w:firstLine="0"/>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w:t>
      </w:r>
      <w:r/>
    </w:p>
    <w:p>
      <w:pPr>
        <w:pStyle w:val="981"/>
        <w:ind w:firstLine="66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本公司愿就由贵公司组织实施的编号为</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pStyle w:val="981"/>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981"/>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法定代表人（签字或盖章）：</w:t>
      </w:r>
      <w:r/>
    </w:p>
    <w:p>
      <w:pPr>
        <w:pStyle w:val="981"/>
        <w:ind w:left="1700" w:firstLine="425"/>
        <w:spacing w:line="40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供应商（公章）：</w:t>
      </w:r>
      <w:r/>
    </w:p>
    <w:p>
      <w:pPr>
        <w:pStyle w:val="981"/>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                                 年</w:t>
      </w:r>
      <w:r>
        <w:rPr>
          <w:rFonts w:ascii="宋体" w:hAnsi="宋体" w:eastAsia="宋体"/>
          <w:color w:val="auto"/>
          <w:sz w:val="21"/>
          <w:szCs w:val="21"/>
          <w:highlight w:val="none"/>
        </w:rPr>
        <w:tab/>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月</w:t>
      </w:r>
      <w:r>
        <w:rPr>
          <w:rFonts w:ascii="宋体" w:hAnsi="宋体" w:eastAsia="宋体"/>
          <w:color w:val="auto"/>
          <w:sz w:val="21"/>
          <w:szCs w:val="21"/>
          <w:highlight w:val="none"/>
        </w:rPr>
        <w:t xml:space="preserve"> </w:t>
      </w:r>
      <w:r>
        <w:rPr>
          <w:rFonts w:ascii="宋体" w:hAnsi="宋体" w:eastAsia="宋体"/>
          <w:color w:val="auto"/>
          <w:sz w:val="21"/>
          <w:szCs w:val="21"/>
          <w:highlight w:val="none"/>
        </w:rPr>
        <w:tab/>
      </w:r>
      <w:r>
        <w:rPr>
          <w:rFonts w:hint="eastAsia" w:ascii="宋体" w:hAnsi="宋体" w:eastAsia="宋体"/>
          <w:color w:val="auto"/>
          <w:sz w:val="21"/>
          <w:szCs w:val="21"/>
          <w:highlight w:val="none"/>
        </w:rPr>
        <w:t xml:space="preserve">日</w:t>
      </w:r>
      <w:r/>
    </w:p>
    <w:p>
      <w:pPr>
        <w:pStyle w:val="981"/>
        <w:ind w:firstLine="0"/>
        <w:jc w:val="both"/>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pStyle w:val="981"/>
        <w:ind w:firstLine="0"/>
        <w:jc w:val="both"/>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br w:type="page" w:clear="all"/>
      </w:r>
      <w:r>
        <w:rPr>
          <w:rFonts w:hint="eastAsia" w:ascii="宋体" w:hAnsi="宋体" w:eastAsia="宋体"/>
          <w:b/>
          <w:color w:val="auto"/>
          <w:sz w:val="21"/>
          <w:szCs w:val="21"/>
          <w:highlight w:val="none"/>
        </w:rPr>
        <w:t xml:space="preserve">(2)供应商情况表</w:t>
      </w:r>
      <w:r/>
    </w:p>
    <w:p>
      <w:pPr>
        <w:pStyle w:val="981"/>
        <w:ind w:firstLine="0"/>
        <w:jc w:val="center"/>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供应商情况表</w:t>
      </w:r>
      <w:r/>
    </w:p>
    <w:p>
      <w:pPr>
        <w:pStyle w:val="981"/>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981"/>
        <w:jc w:val="both"/>
        <w:rPr>
          <w:rFonts w:hint="eastAsia" w:ascii="宋体" w:hAnsi="宋体" w:eastAsia="宋体"/>
          <w:b/>
          <w:color w:val="auto"/>
          <w:sz w:val="21"/>
          <w:szCs w:val="21"/>
          <w:highlight w:val="none"/>
        </w:rPr>
      </w:pPr>
      <w:r>
        <w:rPr>
          <w:rFonts w:hint="eastAsia" w:ascii="宋体" w:hAnsi="宋体" w:eastAsia="宋体"/>
          <w:color w:val="auto"/>
          <w:sz w:val="21"/>
          <w:szCs w:val="21"/>
          <w:highlight w:val="none"/>
        </w:rPr>
        <w:t xml:space="preserve">单位名称（盖章）</w:t>
      </w:r>
      <w:r/>
    </w:p>
    <w:tbl>
      <w:tblPr>
        <w:tblStyle w:val="974"/>
        <w:tblW w:w="907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567"/>
        </w:trPr>
        <w:tc>
          <w:tcPr>
            <w:tcW w:w="2552"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tcW w:w="2268"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559"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成立日期</w:t>
            </w:r>
            <w:r/>
          </w:p>
        </w:tc>
        <w:tc>
          <w:tcPr>
            <w:tcW w:w="2694"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注册地址</w:t>
            </w:r>
            <w:r/>
          </w:p>
        </w:tc>
        <w:tc>
          <w:tcPr>
            <w:tcW w:w="2268"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559"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注册资金</w:t>
            </w:r>
            <w:r/>
          </w:p>
        </w:tc>
        <w:tc>
          <w:tcPr>
            <w:tcW w:w="2694" w:type="dxa"/>
            <w:textDirection w:val="lrTb"/>
            <w:noWrap w:val="false"/>
          </w:tcPr>
          <w:p>
            <w:pPr>
              <w:pStyle w:val="981"/>
              <w:ind w:firstLine="216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经营范围</w:t>
            </w:r>
            <w:r/>
          </w:p>
        </w:tc>
        <w:tc>
          <w:tcPr>
            <w:gridSpan w:val="3"/>
            <w:tcW w:w="6521"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企业资质等级</w:t>
            </w:r>
            <w:r/>
          </w:p>
        </w:tc>
        <w:tc>
          <w:tcPr>
            <w:tcW w:w="2268" w:type="dxa"/>
            <w:vAlign w:val="bottom"/>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559"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员工总人数</w:t>
            </w:r>
            <w:r/>
          </w:p>
        </w:tc>
        <w:tc>
          <w:tcPr>
            <w:tcW w:w="2694" w:type="dxa"/>
            <w:vAlign w:val="bottom"/>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资产总计</w:t>
            </w:r>
            <w:r/>
          </w:p>
        </w:tc>
        <w:tc>
          <w:tcPr>
            <w:tcW w:w="2268" w:type="dxa"/>
            <w:vAlign w:val="bottom"/>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c>
          <w:tcPr>
            <w:tcW w:w="1559"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营业收入</w:t>
            </w:r>
            <w:r/>
          </w:p>
        </w:tc>
        <w:tc>
          <w:tcPr>
            <w:tcW w:w="2694" w:type="dxa"/>
            <w:vAlign w:val="bottom"/>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年</w:t>
            </w: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万元</w:t>
            </w:r>
            <w:r/>
          </w:p>
        </w:tc>
      </w:tr>
      <w:tr>
        <w:trPr>
          <w:cantSplit/>
          <w:jc w:val="center"/>
          <w:trHeight w:val="567"/>
        </w:trPr>
        <w:tc>
          <w:tcPr>
            <w:tcW w:w="2552"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实现利润</w:t>
            </w:r>
            <w:r/>
          </w:p>
        </w:tc>
        <w:tc>
          <w:tcPr>
            <w:tcW w:w="2268" w:type="dxa"/>
            <w:vAlign w:val="bottom"/>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年</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万元</w:t>
            </w:r>
            <w:r/>
          </w:p>
        </w:tc>
        <w:tc>
          <w:tcPr>
            <w:tcW w:w="1559"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营业面积（含厂房面积）</w:t>
            </w:r>
            <w:r/>
          </w:p>
        </w:tc>
        <w:tc>
          <w:tcPr>
            <w:tcW w:w="2694" w:type="dxa"/>
            <w:vAlign w:val="bottom"/>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平方米</w:t>
            </w:r>
            <w:r/>
          </w:p>
        </w:tc>
      </w:tr>
      <w:tr>
        <w:trPr>
          <w:cantSplit/>
          <w:jc w:val="center"/>
          <w:trHeight w:val="567"/>
        </w:trPr>
        <w:tc>
          <w:tcPr>
            <w:tcW w:w="2552"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单位简历及内设机构情况</w:t>
            </w:r>
            <w:r/>
          </w:p>
        </w:tc>
        <w:tc>
          <w:tcPr>
            <w:gridSpan w:val="3"/>
            <w:tcW w:w="6521"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单位优势及特长</w:t>
            </w:r>
            <w:r/>
          </w:p>
        </w:tc>
        <w:tc>
          <w:tcPr>
            <w:gridSpan w:val="3"/>
            <w:tcW w:w="6521"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商业信誉和健全的财务会计制度介绍</w:t>
            </w:r>
            <w:r/>
          </w:p>
        </w:tc>
        <w:tc>
          <w:tcPr>
            <w:gridSpan w:val="3"/>
            <w:tcW w:w="6521"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履行合同所必需的设备和专业技术能力情况</w:t>
            </w:r>
            <w:r/>
          </w:p>
        </w:tc>
        <w:tc>
          <w:tcPr>
            <w:gridSpan w:val="3"/>
            <w:tcW w:w="6521"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依法缴纳税收和社会保障资金情况</w:t>
            </w:r>
            <w:r/>
          </w:p>
        </w:tc>
        <w:tc>
          <w:tcPr>
            <w:gridSpan w:val="3"/>
            <w:tcW w:w="6521"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参加政府采购活动前三年内，在经营活动中</w:t>
            </w:r>
            <w:r>
              <w:rPr>
                <w:rFonts w:hint="eastAsia" w:ascii="宋体" w:hAnsi="宋体" w:eastAsia="宋体"/>
                <w:color w:val="auto"/>
                <w:sz w:val="21"/>
                <w:szCs w:val="21"/>
                <w:highlight w:val="none"/>
              </w:rPr>
              <w:t xml:space="preserve">有无</w:t>
            </w:r>
            <w:r>
              <w:rPr>
                <w:rFonts w:ascii="宋体" w:hAnsi="宋体" w:eastAsia="宋体"/>
                <w:color w:val="auto"/>
                <w:sz w:val="21"/>
                <w:szCs w:val="21"/>
                <w:highlight w:val="none"/>
              </w:rPr>
              <w:t xml:space="preserve">重大违法记录</w:t>
            </w:r>
            <w:r/>
          </w:p>
        </w:tc>
        <w:tc>
          <w:tcPr>
            <w:gridSpan w:val="3"/>
            <w:tcW w:w="6521"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3"/>
            <w:tcW w:w="6521"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jc w:val="center"/>
          <w:trHeight w:val="567"/>
        </w:trPr>
        <w:tc>
          <w:tcPr>
            <w:tcW w:w="2552" w:type="dxa"/>
            <w:vAlign w:val="center"/>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单位开票资料及</w:t>
            </w:r>
            <w:r/>
          </w:p>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数字人民币账户</w:t>
            </w:r>
            <w:r/>
          </w:p>
        </w:tc>
        <w:tc>
          <w:tcPr>
            <w:gridSpan w:val="3"/>
            <w:tcW w:w="6521" w:type="dxa"/>
            <w:textDirection w:val="lrTb"/>
            <w:noWrap w:val="false"/>
          </w:tcPr>
          <w:p>
            <w:pPr>
              <w:pStyle w:val="981"/>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spacing w:before="100" w:beforeAutospacing="1" w:after="100" w:afterAutospacing="1" w:line="360" w:lineRule="auto"/>
        <w:rPr>
          <w:rFonts w:hint="eastAsia" w:ascii="宋体" w:hAnsi="宋体"/>
          <w:color w:val="auto"/>
          <w:highlight w:val="none"/>
        </w:rPr>
      </w:pPr>
      <w:r>
        <w:rPr>
          <w:rFonts w:hint="eastAsia" w:ascii="宋体" w:hAnsi="宋体"/>
          <w:color w:val="auto"/>
          <w:highlight w:val="none"/>
        </w:rPr>
      </w:r>
      <w:r/>
    </w:p>
    <w:p>
      <w:pPr>
        <w:rPr>
          <w:rFonts w:hint="eastAsia" w:ascii="宋体" w:hAnsi="宋体"/>
          <w:b/>
          <w:color w:val="auto"/>
          <w:szCs w:val="21"/>
          <w:highlight w:val="none"/>
        </w:rPr>
      </w:pPr>
      <w:r>
        <w:rPr>
          <w:rFonts w:ascii="宋体" w:hAnsi="宋体"/>
          <w:color w:val="auto"/>
          <w:highlight w:val="none"/>
        </w:rPr>
        <w:br w:type="page" w:clear="all"/>
      </w:r>
      <w:r>
        <w:rPr>
          <w:rFonts w:hint="eastAsia" w:ascii="宋体" w:hAnsi="宋体"/>
          <w:b/>
          <w:color w:val="auto"/>
          <w:szCs w:val="21"/>
          <w:highlight w:val="none"/>
        </w:rPr>
        <w:t xml:space="preserve">（3）中小企业声明函</w:t>
      </w:r>
      <w:r/>
    </w:p>
    <w:p>
      <w:pPr>
        <w:jc w:val="center"/>
        <w:spacing w:before="100" w:beforeAutospacing="1" w:after="100" w:afterAutospacing="1" w:line="360" w:lineRule="auto"/>
        <w:rPr>
          <w:b/>
          <w:color w:val="auto"/>
          <w:highlight w:val="none"/>
        </w:rPr>
      </w:pPr>
      <w:r>
        <w:rPr>
          <w:rFonts w:hint="eastAsia"/>
          <w:b/>
          <w:color w:val="auto"/>
          <w:highlight w:val="none"/>
        </w:rPr>
        <w:t xml:space="preserve">中小企业声明函（服务类）</w:t>
      </w:r>
      <w:r/>
    </w:p>
    <w:p>
      <w:pPr>
        <w:ind w:firstLine="420"/>
        <w:spacing w:line="480" w:lineRule="auto"/>
        <w:rPr>
          <w:rFonts w:hint="eastAsia" w:ascii="宋体" w:hAnsi="宋体" w:cs="宋体"/>
          <w:bCs/>
          <w:color w:val="auto"/>
          <w:highlight w:val="none"/>
        </w:rPr>
      </w:pPr>
      <w:r>
        <w:rPr>
          <w:rFonts w:hint="eastAsia" w:ascii="宋体" w:hAnsi="宋体" w:cs="宋体"/>
          <w:bCs/>
          <w:color w:val="auto"/>
          <w:highlight w:val="none"/>
        </w:rPr>
        <w:t xml:space="preserve">本公司郑重声明，根据《政府采购促进中小企业发展管理办法》（财库﹝2020﹞46号）的规定，本公司参加</w:t>
      </w:r>
      <w:r>
        <w:rPr>
          <w:rFonts w:hint="eastAsia" w:ascii="宋体" w:hAnsi="宋体" w:cs="宋体"/>
          <w:bCs/>
          <w:color w:val="auto"/>
          <w:highlight w:val="none"/>
          <w:u w:val="single"/>
        </w:rPr>
        <w:t xml:space="preserve">（单位名称）</w:t>
      </w:r>
      <w:r>
        <w:rPr>
          <w:rFonts w:hint="eastAsia" w:ascii="宋体" w:hAnsi="宋体" w:cs="宋体"/>
          <w:bCs/>
          <w:color w:val="auto"/>
          <w:highlight w:val="none"/>
        </w:rPr>
        <w:t xml:space="preserve">的</w:t>
      </w:r>
      <w:r>
        <w:rPr>
          <w:rFonts w:hint="eastAsia" w:ascii="宋体" w:hAnsi="宋体" w:cs="宋体"/>
          <w:bCs/>
          <w:color w:val="auto"/>
          <w:highlight w:val="none"/>
          <w:u w:val="single"/>
        </w:rPr>
        <w:t xml:space="preserve">（项目名称）</w:t>
      </w:r>
      <w:r>
        <w:rPr>
          <w:rFonts w:hint="eastAsia" w:ascii="宋体" w:hAnsi="宋体" w:cs="宋体"/>
          <w:bCs/>
          <w:color w:val="auto"/>
          <w:highlight w:val="none"/>
        </w:rPr>
        <w:t xml:space="preserve">采购活动，服务全部由符合政策要求的中小企业承接。企业的具体情况如下： </w:t>
      </w:r>
      <w:r/>
    </w:p>
    <w:p>
      <w:pPr>
        <w:ind w:firstLine="420"/>
        <w:spacing w:line="480" w:lineRule="auto"/>
        <w:rPr>
          <w:bCs/>
          <w:color w:val="auto"/>
          <w:highlight w:val="none"/>
        </w:rPr>
      </w:pPr>
      <w:r>
        <w:rPr>
          <w:rFonts w:hint="eastAsia"/>
          <w:bCs/>
          <w:color w:val="auto"/>
          <w:highlight w:val="none"/>
          <w:u w:val="single"/>
        </w:rPr>
        <w:t xml:space="preserve">（标的名称）</w:t>
      </w:r>
      <w:r>
        <w:rPr>
          <w:rFonts w:hint="eastAsia"/>
          <w:bCs/>
          <w:color w:val="auto"/>
          <w:highlight w:val="none"/>
        </w:rPr>
        <w:t xml:space="preserve">，属于</w:t>
      </w:r>
      <w:r>
        <w:rPr>
          <w:rFonts w:hint="eastAsia"/>
          <w:bCs/>
          <w:color w:val="auto"/>
          <w:highlight w:val="none"/>
          <w:u w:val="single"/>
        </w:rPr>
        <w:t xml:space="preserve"> 其他未列明行业</w:t>
      </w:r>
      <w:r>
        <w:rPr>
          <w:rFonts w:hint="eastAsia"/>
          <w:bCs/>
          <w:color w:val="auto"/>
          <w:highlight w:val="none"/>
        </w:rPr>
        <w:t xml:space="preserve">；承接企业为</w:t>
      </w:r>
      <w:r>
        <w:rPr>
          <w:rFonts w:hint="eastAsia"/>
          <w:bCs/>
          <w:color w:val="auto"/>
          <w:highlight w:val="none"/>
          <w:u w:val="single"/>
        </w:rPr>
        <w:t xml:space="preserve">（企业名称）</w:t>
      </w:r>
      <w:r>
        <w:rPr>
          <w:rFonts w:hint="eastAsia"/>
          <w:bCs/>
          <w:color w:val="auto"/>
          <w:highlight w:val="none"/>
        </w:rPr>
        <w:t xml:space="preserve">，从业人员</w:t>
      </w:r>
      <w:r>
        <w:rPr>
          <w:rFonts w:hint="eastAsia"/>
          <w:bCs/>
          <w:color w:val="auto"/>
          <w:highlight w:val="none"/>
          <w:u w:val="single"/>
        </w:rPr>
        <w:t xml:space="preserve">   </w:t>
      </w:r>
      <w:r>
        <w:rPr>
          <w:rFonts w:hint="eastAsia"/>
          <w:bCs/>
          <w:color w:val="auto"/>
          <w:highlight w:val="none"/>
        </w:rPr>
        <w:t xml:space="preserve">人，营业收入为</w:t>
      </w:r>
      <w:r>
        <w:rPr>
          <w:rFonts w:hint="eastAsia"/>
          <w:bCs/>
          <w:color w:val="auto"/>
          <w:highlight w:val="none"/>
          <w:u w:val="single"/>
        </w:rPr>
        <w:t xml:space="preserve">   </w:t>
      </w:r>
      <w:r>
        <w:rPr>
          <w:rFonts w:hint="eastAsia"/>
          <w:bCs/>
          <w:color w:val="auto"/>
          <w:highlight w:val="none"/>
        </w:rPr>
        <w:t xml:space="preserve">万元，资产总额为</w:t>
      </w:r>
      <w:r>
        <w:rPr>
          <w:rFonts w:hint="eastAsia"/>
          <w:bCs/>
          <w:color w:val="auto"/>
          <w:highlight w:val="none"/>
          <w:u w:val="single"/>
        </w:rPr>
        <w:t xml:space="preserve">    </w:t>
      </w:r>
      <w:r>
        <w:rPr>
          <w:rFonts w:hint="eastAsia"/>
          <w:bCs/>
          <w:color w:val="auto"/>
          <w:highlight w:val="none"/>
        </w:rPr>
        <w:t xml:space="preserve">万元，属于</w:t>
      </w:r>
      <w:r>
        <w:rPr>
          <w:rFonts w:hint="eastAsia"/>
          <w:bCs/>
          <w:color w:val="auto"/>
          <w:highlight w:val="none"/>
          <w:u w:val="single"/>
        </w:rPr>
        <w:t xml:space="preserve">（中型企业、小型企业、微型企业，</w:t>
      </w:r>
      <w:r>
        <w:rPr>
          <w:rFonts w:hint="eastAsia"/>
          <w:b/>
          <w:color w:val="auto"/>
          <w:highlight w:val="none"/>
          <w:u w:val="single"/>
        </w:rPr>
        <w:t xml:space="preserve">选择一类填写</w:t>
      </w:r>
      <w:r>
        <w:rPr>
          <w:rFonts w:hint="eastAsia"/>
          <w:bCs/>
          <w:color w:val="auto"/>
          <w:highlight w:val="none"/>
          <w:u w:val="single"/>
        </w:rPr>
        <w:t xml:space="preserve">）</w:t>
      </w:r>
      <w:r>
        <w:rPr>
          <w:rFonts w:hint="eastAsia"/>
          <w:bCs/>
          <w:color w:val="auto"/>
          <w:highlight w:val="none"/>
        </w:rPr>
        <w:t xml:space="preserve">； </w:t>
      </w:r>
      <w:r/>
    </w:p>
    <w:p>
      <w:pPr>
        <w:ind w:firstLine="420"/>
        <w:spacing w:line="480" w:lineRule="auto"/>
        <w:rPr>
          <w:bCs/>
          <w:color w:val="auto"/>
          <w:highlight w:val="none"/>
        </w:rPr>
      </w:pPr>
      <w:r>
        <w:rPr>
          <w:rFonts w:hint="eastAsia"/>
          <w:bCs/>
          <w:color w:val="auto"/>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p>
    <w:p>
      <w:pPr>
        <w:spacing w:line="480" w:lineRule="auto"/>
        <w:rPr>
          <w:bCs/>
          <w:color w:val="auto"/>
          <w:highlight w:val="none"/>
        </w:rPr>
      </w:pPr>
      <w:r>
        <w:rPr>
          <w:rFonts w:hint="eastAsia"/>
          <w:bCs/>
          <w:color w:val="auto"/>
          <w:highlight w:val="none"/>
        </w:rPr>
        <w:t xml:space="preserve">                                                          企业名称（盖章）： </w:t>
      </w:r>
      <w:r/>
    </w:p>
    <w:p>
      <w:pPr>
        <w:spacing w:line="480" w:lineRule="auto"/>
        <w:rPr>
          <w:bCs/>
          <w:color w:val="auto"/>
          <w:highlight w:val="none"/>
        </w:rPr>
      </w:pPr>
      <w:r>
        <w:rPr>
          <w:rFonts w:hint="eastAsia"/>
          <w:bCs/>
          <w:color w:val="auto"/>
          <w:highlight w:val="none"/>
        </w:rPr>
        <w:t xml:space="preserve">                                                            日 期：</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（4）残疾人福利性单位声明函</w:t>
      </w:r>
      <w:r/>
    </w:p>
    <w:p>
      <w:pPr>
        <w:jc w:val="center"/>
        <w:spacing w:line="480" w:lineRule="exact"/>
        <w:rPr>
          <w:rFonts w:hint="eastAsia" w:ascii="宋体" w:hAnsi="宋体"/>
          <w:color w:val="auto"/>
          <w:spacing w:val="6"/>
          <w:sz w:val="44"/>
          <w:szCs w:val="32"/>
          <w:highlight w:val="none"/>
        </w:rPr>
      </w:pPr>
      <w:r>
        <w:rPr>
          <w:rFonts w:hint="eastAsia" w:ascii="宋体" w:hAnsi="宋体"/>
          <w:color w:val="auto"/>
          <w:szCs w:val="21"/>
          <w:highlight w:val="none"/>
          <w:lang w:val="zh-CN"/>
        </w:rPr>
        <w:t xml:space="preserve">残疾人福利性单位声明函</w:t>
      </w:r>
      <w:r/>
    </w:p>
    <w:p>
      <w:pPr>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44"/>
        <w:spacing w:line="580" w:lineRule="exact"/>
        <w:rPr>
          <w:rFonts w:hint="eastAsia" w:ascii="宋体" w:hAnsi="宋体"/>
          <w:color w:val="auto"/>
          <w:spacing w:val="6"/>
          <w:szCs w:val="21"/>
          <w:highlight w:val="none"/>
        </w:rPr>
      </w:pPr>
      <w:r>
        <w:rPr>
          <w:rFonts w:hint="eastAsia" w:ascii="宋体" w:hAnsi="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olor w:val="auto"/>
          <w:szCs w:val="21"/>
          <w:highlight w:val="none"/>
        </w:rPr>
        <w:t xml:space="preserve">〔2017〕141</w:t>
      </w:r>
      <w:r>
        <w:rPr>
          <w:rFonts w:hint="eastAsia" w:ascii="宋体" w:hAnsi="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color w:val="auto"/>
          <w:spacing w:val="6"/>
          <w:szCs w:val="21"/>
          <w:highlight w:val="none"/>
        </w:rPr>
      </w:pPr>
      <w:r>
        <w:rPr>
          <w:rFonts w:hint="eastAsia" w:ascii="宋体" w:hAnsi="宋体"/>
          <w:color w:val="auto"/>
          <w:spacing w:val="6"/>
          <w:szCs w:val="21"/>
          <w:highlight w:val="none"/>
        </w:rPr>
        <w:t xml:space="preserve">本单位对上述声明的真实性负责。如有虚假，将依法承担相应责任。</w:t>
      </w:r>
      <w:r/>
    </w:p>
    <w:p>
      <w:pPr>
        <w:ind w:firstLine="444"/>
        <w:spacing w:line="580" w:lineRule="exact"/>
        <w:rPr>
          <w:rFonts w:hint="eastAsia" w:ascii="宋体" w:hAnsi="宋体"/>
          <w:color w:val="auto"/>
          <w:spacing w:val="6"/>
          <w:szCs w:val="21"/>
          <w:highlight w:val="none"/>
        </w:rPr>
      </w:pPr>
      <w:r>
        <w:rPr>
          <w:rFonts w:hint="eastAsia" w:ascii="宋体" w:hAnsi="宋体"/>
          <w:color w:val="auto"/>
          <w:spacing w:val="6"/>
          <w:szCs w:val="21"/>
          <w:highlight w:val="none"/>
        </w:rPr>
      </w:r>
      <w:r/>
    </w:p>
    <w:p>
      <w:pPr>
        <w:ind w:right="1560" w:firstLine="444"/>
        <w:jc w:val="center"/>
        <w:spacing w:line="580" w:lineRule="exact"/>
        <w:tabs>
          <w:tab w:val="left" w:pos="4860" w:leader="none"/>
        </w:tabs>
        <w:rPr>
          <w:rFonts w:hint="eastAsia" w:ascii="宋体" w:hAnsi="宋体"/>
          <w:color w:val="auto"/>
          <w:spacing w:val="6"/>
          <w:szCs w:val="21"/>
          <w:highlight w:val="none"/>
        </w:rPr>
      </w:pPr>
      <w:r>
        <w:rPr>
          <w:rFonts w:hint="eastAsia" w:ascii="宋体" w:hAnsi="宋体"/>
          <w:color w:val="auto"/>
          <w:spacing w:val="6"/>
          <w:szCs w:val="21"/>
          <w:highlight w:val="none"/>
        </w:rPr>
        <w:t xml:space="preserve">                单位名称（盖章）：</w:t>
      </w:r>
      <w:r/>
    </w:p>
    <w:p>
      <w:pPr>
        <w:spacing w:line="360" w:lineRule="auto"/>
        <w:rPr>
          <w:rFonts w:hint="eastAsia" w:ascii="宋体" w:hAnsi="宋体"/>
          <w:color w:val="auto"/>
          <w:spacing w:val="6"/>
          <w:szCs w:val="21"/>
          <w:highlight w:val="none"/>
        </w:rPr>
      </w:pPr>
      <w:r>
        <w:rPr>
          <w:rFonts w:hint="eastAsia" w:ascii="宋体" w:hAnsi="宋体"/>
          <w:color w:val="auto"/>
          <w:spacing w:val="6"/>
          <w:szCs w:val="21"/>
          <w:highlight w:val="none"/>
        </w:rPr>
        <w:t xml:space="preserve">                                      日  期：</w:t>
      </w:r>
      <w:r/>
    </w:p>
    <w:p>
      <w:pPr>
        <w:spacing w:line="360" w:lineRule="auto"/>
        <w:rPr>
          <w:b/>
          <w:bCs/>
          <w:color w:val="auto"/>
          <w:szCs w:val="21"/>
          <w:highlight w:val="none"/>
        </w:rPr>
      </w:pPr>
      <w:r>
        <w:rPr>
          <w:rFonts w:ascii="宋体" w:hAnsi="宋体"/>
          <w:color w:val="auto"/>
          <w:spacing w:val="6"/>
          <w:szCs w:val="21"/>
          <w:highlight w:val="none"/>
        </w:rPr>
        <w:br w:type="page" w:clear="all"/>
      </w:r>
      <w:r>
        <w:rPr>
          <w:rFonts w:ascii="宋体" w:hAnsi="宋体"/>
          <w:b/>
          <w:color w:val="auto"/>
          <w:spacing w:val="6"/>
          <w:szCs w:val="21"/>
          <w:highlight w:val="none"/>
        </w:rPr>
        <w:t xml:space="preserve">附件</w:t>
      </w:r>
      <w:r>
        <w:rPr>
          <w:rFonts w:hint="eastAsia" w:ascii="宋体" w:hAnsi="宋体"/>
          <w:b/>
          <w:color w:val="auto"/>
          <w:spacing w:val="6"/>
          <w:szCs w:val="21"/>
          <w:highlight w:val="none"/>
        </w:rPr>
        <w:t xml:space="preserve">9、</w:t>
      </w:r>
      <w:r>
        <w:rPr>
          <w:rFonts w:hint="eastAsia"/>
          <w:b/>
          <w:bCs/>
          <w:color w:val="auto"/>
          <w:szCs w:val="21"/>
          <w:highlight w:val="none"/>
        </w:rPr>
        <w:t xml:space="preserve">投标（响应）保证承诺书</w:t>
      </w:r>
      <w:r/>
    </w:p>
    <w:p>
      <w:pPr>
        <w:jc w:val="center"/>
        <w:spacing w:line="400" w:lineRule="exact"/>
        <w:rPr>
          <w:b/>
          <w:color w:val="auto"/>
          <w:szCs w:val="21"/>
          <w:highlight w:val="none"/>
        </w:rPr>
      </w:pPr>
      <w:r>
        <w:rPr>
          <w:rFonts w:hint="eastAsia"/>
          <w:b/>
          <w:color w:val="auto"/>
          <w:szCs w:val="21"/>
          <w:highlight w:val="none"/>
        </w:rPr>
        <w:t xml:space="preserve">投标（响应）保证承诺书</w:t>
      </w:r>
      <w:r/>
    </w:p>
    <w:p>
      <w:pPr>
        <w:jc w:val="left"/>
        <w:spacing w:line="360" w:lineRule="auto"/>
        <w:widowControl/>
        <w:rPr>
          <w:rFonts w:cs="宋体"/>
          <w:color w:val="auto"/>
          <w:szCs w:val="21"/>
          <w:highlight w:val="none"/>
        </w:rPr>
      </w:pPr>
      <w:r>
        <w:rPr>
          <w:rFonts w:cs="宋体"/>
          <w:color w:val="auto"/>
          <w:szCs w:val="21"/>
          <w:highlight w:val="none"/>
        </w:rPr>
      </w:r>
      <w:r/>
    </w:p>
    <w:p>
      <w:pPr>
        <w:jc w:val="left"/>
        <w:spacing w:line="520" w:lineRule="exact"/>
        <w:widowControl/>
        <w:rPr>
          <w:rFonts w:cs="宋体"/>
          <w:color w:val="auto"/>
          <w:szCs w:val="21"/>
          <w:highlight w:val="none"/>
        </w:rPr>
      </w:pPr>
      <w:r>
        <w:rPr>
          <w:rFonts w:hint="eastAsia" w:cs="宋体"/>
          <w:color w:val="auto"/>
          <w:szCs w:val="21"/>
          <w:highlight w:val="none"/>
        </w:rPr>
        <w:t xml:space="preserve">致：</w:t>
      </w:r>
      <w:r>
        <w:rPr>
          <w:rFonts w:hint="eastAsia" w:cs="宋体"/>
          <w:color w:val="auto"/>
          <w:szCs w:val="21"/>
          <w:highlight w:val="none"/>
          <w:u w:val="single"/>
        </w:rPr>
        <w:t xml:space="preserve">         （采购代理机构名称）</w:t>
      </w:r>
      <w:r/>
    </w:p>
    <w:p>
      <w:pPr>
        <w:ind w:firstLine="420"/>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numPr>
          <w:ilvl w:val="0"/>
          <w:numId w:val="65"/>
        </w:numPr>
        <w:ind w:left="431" w:hanging="431"/>
        <w:jc w:val="left"/>
        <w:spacing w:line="520" w:lineRule="exact"/>
        <w:widowControl/>
        <w:tabs>
          <w:tab w:val="left" w:pos="42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numPr>
          <w:ilvl w:val="0"/>
          <w:numId w:val="66"/>
        </w:numPr>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自投标（响应）截止时间至本项目发布中标（成交）公告为止，撤销投标（响应）；</w:t>
      </w:r>
      <w:r/>
    </w:p>
    <w:p>
      <w:pPr>
        <w:numPr>
          <w:ilvl w:val="0"/>
          <w:numId w:val="66"/>
        </w:numPr>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中标（成交）后不依法与采购人签订合同；</w:t>
      </w:r>
      <w:r/>
    </w:p>
    <w:p>
      <w:pPr>
        <w:numPr>
          <w:ilvl w:val="0"/>
          <w:numId w:val="66"/>
        </w:numPr>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中标（成交）后不按本采购文件规定向采购人提交履约保证金；</w:t>
      </w:r>
      <w:r/>
    </w:p>
    <w:p>
      <w:pPr>
        <w:numPr>
          <w:ilvl w:val="0"/>
          <w:numId w:val="66"/>
        </w:numPr>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中标（成交）后不按本采购文件规定向贵方缴纳采购代理费。</w:t>
      </w:r>
      <w:r/>
    </w:p>
    <w:p>
      <w:pPr>
        <w:numPr>
          <w:ilvl w:val="0"/>
          <w:numId w:val="65"/>
        </w:numPr>
        <w:ind w:left="431" w:hanging="431"/>
        <w:jc w:val="left"/>
        <w:spacing w:line="520" w:lineRule="exact"/>
        <w:widowControl/>
        <w:tabs>
          <w:tab w:val="left" w:pos="42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我单位知晓上述行为的法律后果，承认本承诺书作为贵方（或采购人）要求我单位履行违约赔偿义务的依据作用。</w:t>
      </w:r>
      <w:r/>
    </w:p>
    <w:p>
      <w:pPr>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ind w:firstLine="424"/>
        <w:jc w:val="left"/>
        <w:spacing w:line="5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投标（响应）人：（盖公章）</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地址：</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电话：</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传真：</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电子邮件：</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邮编：</w:t>
      </w:r>
      <w:r>
        <w:rPr>
          <w:rFonts w:hint="eastAsia" w:cs="宋体"/>
          <w:color w:val="auto"/>
          <w:szCs w:val="21"/>
          <w:highlight w:val="none"/>
          <w:u w:val="single"/>
        </w:rPr>
        <w:t xml:space="preserve">                                      </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法定代表人或委托代理人(签字或签章)：</w:t>
      </w:r>
      <w:r/>
    </w:p>
    <w:p>
      <w:pPr>
        <w:ind w:firstLine="424"/>
        <w:jc w:val="left"/>
        <w:spacing w:line="520" w:lineRule="exact"/>
        <w:widowControl/>
        <w:rPr>
          <w:rFonts w:cs="宋体"/>
          <w:color w:val="auto"/>
          <w:szCs w:val="21"/>
          <w:highlight w:val="none"/>
        </w:rPr>
      </w:pPr>
      <w:r>
        <w:rPr>
          <w:rFonts w:hint="eastAsia" w:cs="宋体"/>
          <w:color w:val="auto"/>
          <w:szCs w:val="21"/>
          <w:highlight w:val="none"/>
        </w:rPr>
        <w:t xml:space="preserve">日期：</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spacing w:line="360" w:lineRule="auto"/>
        <w:widowControl/>
        <w:rPr>
          <w:rFonts w:hint="eastAsia" w:ascii="宋体" w:hAnsi="宋体"/>
          <w:b/>
          <w:color w:val="auto"/>
          <w:szCs w:val="21"/>
          <w:highlight w:val="none"/>
          <w:shd w:val="clear" w:color="auto" w:fill="ffffff"/>
        </w:rPr>
      </w:pPr>
      <w:r>
        <w:rPr>
          <w:rFonts w:ascii="宋体" w:hAnsi="宋体"/>
          <w:b/>
          <w:color w:val="auto"/>
          <w:spacing w:val="6"/>
          <w:szCs w:val="21"/>
          <w:highlight w:val="none"/>
        </w:rPr>
        <w:t xml:space="preserve">附件</w:t>
      </w:r>
      <w:r>
        <w:rPr>
          <w:rFonts w:hint="eastAsia" w:ascii="宋体" w:hAnsi="宋体"/>
          <w:b/>
          <w:color w:val="auto"/>
          <w:spacing w:val="6"/>
          <w:szCs w:val="21"/>
          <w:highlight w:val="none"/>
        </w:rPr>
        <w:t xml:space="preserve">10、</w:t>
      </w:r>
      <w:r/>
    </w:p>
    <w:p>
      <w:pPr>
        <w:jc w:val="center"/>
        <w:spacing w:line="360" w:lineRule="auto"/>
        <w:widowControl/>
        <w:rPr>
          <w:rFonts w:hint="eastAsia" w:ascii="宋体" w:hAnsi="宋体"/>
          <w:b/>
          <w:color w:val="auto"/>
          <w:szCs w:val="21"/>
          <w:highlight w:val="none"/>
          <w:shd w:val="clear" w:color="auto" w:fill="ffffff"/>
        </w:rPr>
      </w:pPr>
      <w:r>
        <w:rPr>
          <w:rFonts w:hint="eastAsia" w:ascii="宋体" w:hAnsi="宋体"/>
          <w:b/>
          <w:color w:val="auto"/>
          <w:szCs w:val="21"/>
          <w:highlight w:val="none"/>
          <w:shd w:val="clear" w:color="auto" w:fill="ffffff"/>
        </w:rPr>
        <w:t xml:space="preserve">响应单位与其他单位存在控股、管理关系情况表</w:t>
      </w:r>
      <w:r/>
    </w:p>
    <w:tbl>
      <w:tblPr>
        <w:tblStyle w:val="974"/>
        <w:tblW w:w="104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3"/>
        <w:gridCol w:w="1704"/>
        <w:gridCol w:w="1506"/>
        <w:gridCol w:w="1580"/>
        <w:gridCol w:w="1084"/>
        <w:gridCol w:w="1711"/>
        <w:gridCol w:w="1268"/>
      </w:tblGrid>
      <w:tr>
        <w:trPr>
          <w:jc w:val="center"/>
          <w:trHeight w:val="567"/>
        </w:trPr>
        <w:tc>
          <w:tcPr>
            <w:gridSpan w:val="4"/>
            <w:tcW w:w="634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与</w:t>
            </w:r>
            <w:r>
              <w:rPr>
                <w:rFonts w:hint="eastAsia" w:ascii="宋体" w:hAnsi="宋体"/>
                <w:b/>
                <w:color w:val="auto"/>
                <w:szCs w:val="21"/>
                <w:highlight w:val="none"/>
                <w:shd w:val="clear" w:color="auto" w:fill="ffffff"/>
              </w:rPr>
              <w:t xml:space="preserve">响应单位</w:t>
            </w:r>
            <w:r>
              <w:rPr>
                <w:rFonts w:hint="eastAsia" w:ascii="宋体" w:hAnsi="宋体"/>
                <w:b/>
                <w:color w:val="auto"/>
                <w:szCs w:val="21"/>
                <w:highlight w:val="none"/>
              </w:rPr>
              <w:t xml:space="preserve">存在直接股权关系</w:t>
            </w:r>
            <w:r/>
          </w:p>
        </w:tc>
        <w:tc>
          <w:tcPr>
            <w:gridSpan w:val="3"/>
            <w:tcW w:w="406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与</w:t>
            </w:r>
            <w:r>
              <w:rPr>
                <w:rFonts w:hint="eastAsia" w:ascii="宋体" w:hAnsi="宋体"/>
                <w:b/>
                <w:color w:val="auto"/>
                <w:szCs w:val="21"/>
                <w:highlight w:val="none"/>
                <w:shd w:val="clear" w:color="auto" w:fill="ffffff"/>
              </w:rPr>
              <w:t xml:space="preserve">响应单位</w:t>
            </w:r>
            <w:r>
              <w:rPr>
                <w:rFonts w:hint="eastAsia" w:ascii="宋体" w:hAnsi="宋体"/>
                <w:b/>
                <w:color w:val="auto"/>
                <w:szCs w:val="21"/>
                <w:highlight w:val="none"/>
              </w:rPr>
              <w:t xml:space="preserve">存在直接管理关系</w:t>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单位名称</w:t>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是否为大型企业</w:t>
            </w:r>
            <w:r/>
          </w:p>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（填写“是”或 “否”）</w:t>
            </w:r>
            <w:r/>
          </w:p>
        </w:tc>
        <w:tc>
          <w:tcPr>
            <w:tcW w:w="1506" w:type="dxa"/>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是否直接控股</w:t>
            </w:r>
            <w:r/>
          </w:p>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（填写“是”或 “否”）</w:t>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直接控股关系情况说明（持股比例等）</w:t>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单位名称</w:t>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是否为大型企业</w:t>
            </w:r>
            <w:r/>
          </w:p>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（填写“是”或 “否”）</w:t>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直接管理关系情况说明</w:t>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0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06"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580"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084"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711"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c>
          <w:tcPr>
            <w:tcW w:w="1268" w:type="dxa"/>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r>
            <w:r/>
          </w:p>
        </w:tc>
      </w:tr>
    </w:tbl>
    <w:p>
      <w:pPr>
        <w:ind w:firstLine="566"/>
        <w:spacing w:line="360" w:lineRule="auto"/>
        <w:rPr>
          <w:rFonts w:hint="eastAsia" w:ascii="宋体" w:hAnsi="宋体"/>
          <w:b/>
          <w:color w:val="auto"/>
          <w:szCs w:val="21"/>
          <w:highlight w:val="none"/>
        </w:rPr>
        <w:outlineLvl w:val="1"/>
      </w:pPr>
      <w:r>
        <w:rPr>
          <w:rFonts w:hint="eastAsia" w:ascii="宋体" w:hAnsi="宋体"/>
          <w:b/>
          <w:color w:val="auto"/>
          <w:szCs w:val="21"/>
          <w:highlight w:val="none"/>
        </w:rPr>
        <w:t xml:space="preserve">注：1、本表仅须填写与</w:t>
      </w:r>
      <w:r>
        <w:rPr>
          <w:rFonts w:hint="eastAsia" w:ascii="宋体" w:hAnsi="宋体"/>
          <w:b/>
          <w:color w:val="auto"/>
          <w:szCs w:val="21"/>
          <w:highlight w:val="none"/>
          <w:lang w:eastAsia="zh-CN"/>
        </w:rPr>
        <w:t xml:space="preserve">响应单位</w:t>
      </w:r>
      <w:r>
        <w:rPr>
          <w:rFonts w:hint="eastAsia" w:ascii="宋体" w:hAnsi="宋体"/>
          <w:b/>
          <w:color w:val="auto"/>
          <w:szCs w:val="21"/>
          <w:highlight w:val="none"/>
        </w:rPr>
        <w:t xml:space="preserve">存在直接股权、管理关系的企业情况。</w:t>
      </w:r>
      <w:r>
        <w:rPr>
          <w:rFonts w:hint="eastAsia" w:ascii="宋体" w:hAnsi="宋体"/>
          <w:b/>
          <w:color w:val="auto"/>
          <w:szCs w:val="21"/>
          <w:highlight w:val="none"/>
          <w:lang w:eastAsia="zh-CN"/>
        </w:rPr>
        <w:t xml:space="preserve">响应单位</w:t>
      </w:r>
      <w:r>
        <w:rPr>
          <w:rFonts w:hint="eastAsia" w:ascii="宋体" w:hAnsi="宋体"/>
          <w:b/>
          <w:color w:val="auto"/>
          <w:szCs w:val="21"/>
          <w:highlight w:val="none"/>
        </w:rPr>
        <w:t xml:space="preserve">应按上表要求据实填写，如填写“无”或不填写，均视为</w:t>
      </w:r>
      <w:r>
        <w:rPr>
          <w:rFonts w:hint="eastAsia" w:ascii="宋体" w:hAnsi="宋体"/>
          <w:b/>
          <w:color w:val="auto"/>
          <w:szCs w:val="21"/>
          <w:highlight w:val="none"/>
          <w:lang w:eastAsia="zh-CN"/>
        </w:rPr>
        <w:t xml:space="preserve">响应单位</w:t>
      </w:r>
      <w:r>
        <w:rPr>
          <w:rFonts w:hint="eastAsia" w:ascii="宋体" w:hAnsi="宋体"/>
          <w:b/>
          <w:color w:val="auto"/>
          <w:szCs w:val="21"/>
          <w:highlight w:val="none"/>
        </w:rPr>
        <w:t xml:space="preserve">声明不存在有关情形。</w:t>
      </w:r>
      <w:r/>
    </w:p>
    <w:p>
      <w:pPr>
        <w:ind w:firstLine="566"/>
        <w:spacing w:after="120" w:line="360" w:lineRule="auto"/>
        <w:rPr>
          <w:rFonts w:hint="eastAsia" w:ascii="宋体" w:hAnsi="宋体"/>
          <w:b/>
          <w:color w:val="auto"/>
          <w:szCs w:val="21"/>
          <w:highlight w:val="none"/>
        </w:rPr>
      </w:pPr>
      <w:r>
        <w:rPr>
          <w:rFonts w:hint="eastAsia" w:ascii="宋体" w:hAnsi="宋体"/>
          <w:b/>
          <w:color w:val="auto"/>
          <w:szCs w:val="21"/>
          <w:highlight w:val="none"/>
        </w:rPr>
        <w:t xml:space="preserve">2、其中“直接控股”是指</w:t>
      </w:r>
      <w:r>
        <w:rPr>
          <w:rFonts w:hint="eastAsia" w:ascii="宋体" w:hAnsi="宋体"/>
          <w:b/>
          <w:color w:val="auto"/>
          <w:szCs w:val="21"/>
          <w:highlight w:val="none"/>
          <w:lang w:eastAsia="zh-CN"/>
        </w:rPr>
        <w:t xml:space="preserve">响应单位</w:t>
      </w:r>
      <w:r>
        <w:rPr>
          <w:rFonts w:hint="eastAsia" w:ascii="宋体" w:hAnsi="宋体"/>
          <w:b/>
          <w:color w:val="auto"/>
          <w:szCs w:val="21"/>
          <w:highlight w:val="none"/>
        </w:rPr>
        <w:t xml:space="preserve">与大型企业之间存在直接投资并控股（非普通持股）的关系。</w:t>
      </w:r>
      <w:r/>
    </w:p>
    <w:p>
      <w:pPr>
        <w:rPr>
          <w:rFonts w:hint="eastAsia" w:ascii="宋体" w:hAnsi="宋体"/>
          <w:b/>
          <w:color w:val="auto"/>
          <w:szCs w:val="21"/>
          <w:highlight w:val="none"/>
        </w:rPr>
      </w:pPr>
      <w:r>
        <w:rPr>
          <w:rFonts w:hint="eastAsia" w:ascii="宋体" w:hAnsi="宋体"/>
          <w:b/>
          <w:color w:val="auto"/>
          <w:szCs w:val="21"/>
          <w:highlight w:val="none"/>
        </w:rPr>
      </w:r>
      <w:r/>
    </w:p>
    <w:p>
      <w:pPr>
        <w:pStyle w:val="981"/>
        <w:ind w:firstLine="0"/>
        <w:spacing w:line="400" w:lineRule="exact"/>
        <w:rPr>
          <w:rFonts w:hint="eastAsia" w:ascii="宋体" w:hAnsi="宋体" w:eastAsia="宋体"/>
          <w:color w:val="auto"/>
          <w:sz w:val="21"/>
          <w:szCs w:val="21"/>
          <w:highlight w:val="none"/>
        </w:rPr>
      </w:pPr>
      <w:r>
        <w:rPr>
          <w:rFonts w:hint="eastAsia" w:hAnsi="宋体" w:eastAsia="宋体"/>
          <w:color w:val="auto"/>
          <w:sz w:val="21"/>
          <w:szCs w:val="21"/>
          <w:highlight w:val="none"/>
        </w:rPr>
        <w:t xml:space="preserve">供应商：（公章）</w:t>
      </w:r>
      <w:r/>
    </w:p>
    <w:p>
      <w:pPr>
        <w:pStyle w:val="981"/>
        <w:ind w:firstLine="0"/>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法定代表人或代理人（签字或盖章）</w:t>
      </w:r>
      <w:r>
        <w:rPr>
          <w:rFonts w:hint="eastAsia" w:ascii="宋体" w:hAnsi="宋体" w:eastAsia="宋体"/>
          <w:bCs/>
          <w:color w:val="auto"/>
          <w:sz w:val="21"/>
          <w:szCs w:val="21"/>
          <w:highlight w:val="none"/>
        </w:rPr>
        <w:t xml:space="preserve">：</w:t>
      </w:r>
      <w:r/>
    </w:p>
    <w:p>
      <w:pPr>
        <w:pStyle w:val="981"/>
        <w:ind w:firstLine="0"/>
        <w:spacing w:line="400" w:lineRule="exact"/>
        <w:rPr>
          <w:rFonts w:hint="eastAsia" w:ascii="宋体" w:hAnsi="宋体" w:eastAsia="宋体"/>
          <w:b/>
          <w:color w:val="auto"/>
          <w:sz w:val="21"/>
          <w:szCs w:val="21"/>
          <w:highlight w:val="none"/>
        </w:rPr>
      </w:pPr>
      <w:r>
        <w:rPr>
          <w:rFonts w:hint="eastAsia" w:ascii="宋体" w:hAnsi="宋体" w:eastAsia="宋体"/>
          <w:bCs/>
          <w:color w:val="auto"/>
          <w:sz w:val="21"/>
          <w:szCs w:val="21"/>
          <w:highlight w:val="none"/>
        </w:rPr>
        <w:t xml:space="preserve">日期</w:t>
      </w:r>
      <w:r>
        <w:rPr>
          <w:rFonts w:ascii="宋体" w:hAnsi="宋体" w:eastAsia="宋体"/>
          <w:bCs/>
          <w:color w:val="auto"/>
          <w:sz w:val="21"/>
          <w:szCs w:val="21"/>
          <w:highlight w:val="none"/>
        </w:rPr>
        <w:t xml:space="preserve">:</w:t>
      </w:r>
      <w:r/>
    </w:p>
    <w:p>
      <w:pPr>
        <w:spacing w:line="400" w:lineRule="exact"/>
        <w:rPr>
          <w:rFonts w:hint="eastAsia" w:ascii="宋体" w:hAnsi="宋体"/>
          <w:color w:val="auto"/>
          <w:highlight w:val="none"/>
        </w:rPr>
      </w:pPr>
      <w:r>
        <w:rPr>
          <w:rFonts w:hint="eastAsia" w:ascii="宋体" w:hAnsi="宋体"/>
          <w:color w:val="auto"/>
          <w:highlight w:val="none"/>
        </w:rPr>
      </w:r>
      <w:r/>
    </w:p>
    <w:p>
      <w:pPr>
        <w:jc w:val="right"/>
        <w:widowControl/>
        <w:rPr>
          <w:rFonts w:hint="eastAsia" w:ascii="宋体" w:hAnsi="宋体"/>
          <w:color w:val="auto"/>
          <w:sz w:val="24"/>
          <w:highlight w:val="none"/>
        </w:rPr>
      </w:pPr>
      <w:r>
        <w:rPr>
          <w:rFonts w:hint="eastAsia" w:ascii="宋体" w:hAnsi="宋体" w:cs="宋体"/>
          <w:color w:val="auto"/>
          <w:szCs w:val="21"/>
          <w:highlight w:val="none"/>
        </w:rPr>
        <w:t xml:space="preserve">（</w:t>
      </w:r>
      <w:r>
        <w:rPr>
          <w:rFonts w:hint="eastAsia" w:ascii="宋体" w:hAnsi="宋体"/>
          <w:color w:val="auto"/>
          <w:sz w:val="24"/>
          <w:highlight w:val="none"/>
        </w:rPr>
        <w:t xml:space="preserve">全文完</w:t>
      </w:r>
      <w:r>
        <w:rPr>
          <w:rFonts w:hint="eastAsia" w:ascii="宋体" w:hAnsi="宋体" w:cs="宋体"/>
          <w:color w:val="auto"/>
          <w:szCs w:val="21"/>
          <w:highlight w:val="none"/>
        </w:rPr>
        <w:t xml:space="preserve">）</w:t>
      </w:r>
      <w:bookmarkEnd w:id="26"/>
      <w:r/>
      <w:r/>
    </w:p>
    <w:sectPr>
      <w:headerReference w:type="default" r:id="rId9"/>
      <w:footerReference w:type="default" r:id="rId10"/>
      <w:footerReference w:type="even" r:id="rId11"/>
      <w:footnotePr/>
      <w:endnotePr/>
      <w:type w:val="nextPage"/>
      <w:pgSz w:w="11906" w:h="16838" w:orient="portrait"/>
      <w:pgMar w:top="907" w:right="907" w:bottom="907" w:left="907" w:header="624" w:footer="510" w:gutter="113"/>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Adobe 仿宋 Std R">
    <w:panose1 w:val="020B0503020202020204"/>
  </w:font>
  <w:font w:name="Tahoma">
    <w:panose1 w:val="020B0604030504040204"/>
  </w:font>
  <w:font w:name="Cambria">
    <w:panose1 w:val="02040503050406030204"/>
  </w:font>
  <w:font w:name="仿宋">
    <w:panose1 w:val="02010609060101010101"/>
  </w:font>
  <w:font w:name="等线 Light">
    <w:panose1 w:val="02010600030101010101"/>
  </w:font>
  <w:font w:name="Calibri Light">
    <w:panose1 w:val="020F03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Tms Rmn">
    <w:panose1 w:val="020B0503020202020204"/>
  </w:font>
  <w:font w:name="宋体">
    <w:panose1 w:val="02010600030101010101"/>
  </w:font>
  <w:font w:name="Times New Roman">
    <w:panose1 w:val="02020603050405020304"/>
  </w:font>
  <w:font w:name="Calibri">
    <w:panose1 w:val="020F0502020204030204"/>
  </w:font>
  <w:font w:name="文鼎CS仿宋体">
    <w:panose1 w:val="020B05030202020202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1022"/>
      </w:rPr>
      <w:framePr w:wrap="around" w:vAnchor="text" w:hAnchor="margin" w:xAlign="center" w:y="1"/>
    </w:pPr>
    <w:r>
      <w:fldChar w:fldCharType="begin"/>
    </w:r>
    <w:r>
      <w:rPr>
        <w:rStyle w:val="1022"/>
      </w:rPr>
      <w:instrText xml:space="preserve">PAGE  </w:instrText>
    </w:r>
    <w:r>
      <w:fldChar w:fldCharType="separate"/>
    </w:r>
    <w:r>
      <w:rPr>
        <w:rStyle w:val="1022"/>
      </w:rPr>
      <w:t xml:space="preserve">16</w:t>
    </w:r>
    <w:r>
      <w:fldChar w:fldCharType="end"/>
    </w:r>
    <w:r/>
  </w:p>
  <w:p>
    <w:pPr>
      <w:pStyle w:val="999"/>
    </w:pP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1022"/>
      </w:rPr>
      <w:framePr w:wrap="around" w:vAnchor="text" w:hAnchor="margin" w:xAlign="center" w:y="1"/>
    </w:pPr>
    <w:r>
      <w:fldChar w:fldCharType="begin"/>
    </w:r>
    <w:r>
      <w:rPr>
        <w:rStyle w:val="1022"/>
      </w:rPr>
      <w:instrText xml:space="preserve">PAGE  </w:instrText>
    </w:r>
    <w:r>
      <w:fldChar w:fldCharType="separate"/>
    </w:r>
    <w:r>
      <w:fldChar w:fldCharType="end"/>
    </w:r>
    <w:r/>
  </w:p>
  <w:p>
    <w:pPr>
      <w:pStyle w:val="9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both"/>
      <w:rPr>
        <w:rFonts w:hint="default" w:ascii="宋体" w:hAnsi="宋体" w:eastAsia="宋体" w:cs="宋体"/>
        <w:lang w:val="en-US" w:eastAsia="zh-CN"/>
      </w:rPr>
    </w:pPr>
    <w:r>
      <w:rPr>
        <w:rFonts w:hint="eastAsia"/>
      </w:rPr>
      <w:t xml:space="preserve">苏州市原鑫招投标咨询服务有限公司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JSZC-320506-SZYX-C2026-0016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tab"/>
      <w:lvlText w:val="(%1)"/>
      <w:lvlJc w:val="left"/>
      <w:pPr>
        <w:ind w:left="420" w:hanging="420"/>
      </w:pPr>
      <w:rPr>
        <w:rFonts w:hint="eastAsia" w:ascii="宋体" w:hAnsi="宋体" w:eastAsia="宋体" w:cs="宋体"/>
      </w:rPr>
    </w:lvl>
    <w:lvl w:ilvl="1">
      <w:start w:val="1"/>
      <w:numFmt w:val="lowerLetter"/>
      <w:isLgl w:val="false"/>
      <w:suff w:val="tab"/>
      <w:lvlText w:val="%2)"/>
      <w:lvlJc w:val="left"/>
      <w:pPr>
        <w:ind w:left="840" w:hanging="420"/>
      </w:pPr>
      <w:rPr>
        <w:rFonts w:hint="eastAsia"/>
      </w:rPr>
    </w:lvl>
    <w:lvl w:ilvl="2">
      <w:start w:val="1"/>
      <w:numFmt w:val="decimal"/>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decimal"/>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decimal"/>
      <w:isLgl w:val="false"/>
      <w:suff w:val="tab"/>
      <w:lvlText w:val="%9."/>
      <w:lvlJc w:val="right"/>
      <w:pPr>
        <w:ind w:left="3780" w:hanging="420"/>
      </w:pPr>
      <w:rPr>
        <w:rFonts w:hint="eastAsia"/>
      </w:rPr>
    </w:lvl>
  </w:abstractNum>
  <w:abstractNum w:abstractNumId="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1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2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567" w:hanging="567"/>
        <w:tabs>
          <w:tab w:val="left" w:pos="567" w:leader="none"/>
        </w:tabs>
      </w:pPr>
    </w:lvl>
    <w:lvl w:ilvl="1">
      <w:start w:val="1"/>
      <w:numFmt w:val="lowerLetter"/>
      <w:isLgl w:val="false"/>
      <w:suff w:val="tab"/>
      <w:lvlText w:val="%2)"/>
      <w:lvlJc w:val="left"/>
      <w:pPr>
        <w:ind w:left="1407" w:hanging="420"/>
        <w:tabs>
          <w:tab w:val="left" w:pos="0" w:leader="none"/>
        </w:tabs>
      </w:pPr>
    </w:lvl>
    <w:lvl w:ilvl="2">
      <w:start w:val="1"/>
      <w:numFmt w:val="lowerRoman"/>
      <w:isLgl w:val="false"/>
      <w:suff w:val="tab"/>
      <w:lvlText w:val="%3."/>
      <w:lvlJc w:val="right"/>
      <w:pPr>
        <w:ind w:left="1827" w:hanging="420"/>
        <w:tabs>
          <w:tab w:val="left" w:pos="0" w:leader="none"/>
        </w:tabs>
      </w:pPr>
    </w:lvl>
    <w:lvl w:ilvl="3">
      <w:start w:val="1"/>
      <w:numFmt w:val="decimal"/>
      <w:isLgl w:val="false"/>
      <w:suff w:val="tab"/>
      <w:lvlText w:val="%4."/>
      <w:lvlJc w:val="left"/>
      <w:pPr>
        <w:ind w:left="2247" w:hanging="420"/>
        <w:tabs>
          <w:tab w:val="left" w:pos="0" w:leader="none"/>
        </w:tabs>
      </w:pPr>
    </w:lvl>
    <w:lvl w:ilvl="4">
      <w:start w:val="1"/>
      <w:numFmt w:val="lowerLetter"/>
      <w:isLgl w:val="false"/>
      <w:suff w:val="tab"/>
      <w:lvlText w:val="%5)"/>
      <w:lvlJc w:val="left"/>
      <w:pPr>
        <w:ind w:left="2667" w:hanging="420"/>
        <w:tabs>
          <w:tab w:val="left" w:pos="0" w:leader="none"/>
        </w:tabs>
      </w:pPr>
    </w:lvl>
    <w:lvl w:ilvl="5">
      <w:start w:val="1"/>
      <w:numFmt w:val="lowerRoman"/>
      <w:isLgl w:val="false"/>
      <w:suff w:val="tab"/>
      <w:lvlText w:val="%6."/>
      <w:lvlJc w:val="right"/>
      <w:pPr>
        <w:ind w:left="3087" w:hanging="420"/>
        <w:tabs>
          <w:tab w:val="left" w:pos="0" w:leader="none"/>
        </w:tabs>
      </w:pPr>
    </w:lvl>
    <w:lvl w:ilvl="6">
      <w:start w:val="1"/>
      <w:numFmt w:val="decimal"/>
      <w:isLgl w:val="false"/>
      <w:suff w:val="tab"/>
      <w:lvlText w:val="%7."/>
      <w:lvlJc w:val="left"/>
      <w:pPr>
        <w:ind w:left="3507" w:hanging="420"/>
        <w:tabs>
          <w:tab w:val="left" w:pos="0" w:leader="none"/>
        </w:tabs>
      </w:pPr>
    </w:lvl>
    <w:lvl w:ilvl="7">
      <w:start w:val="1"/>
      <w:numFmt w:val="lowerLetter"/>
      <w:isLgl w:val="false"/>
      <w:suff w:val="tab"/>
      <w:lvlText w:val="%8)"/>
      <w:lvlJc w:val="left"/>
      <w:pPr>
        <w:ind w:left="3927" w:hanging="420"/>
        <w:tabs>
          <w:tab w:val="left" w:pos="0" w:leader="none"/>
        </w:tabs>
      </w:pPr>
    </w:lvl>
    <w:lvl w:ilvl="8">
      <w:start w:val="1"/>
      <w:numFmt w:val="lowerRoman"/>
      <w:isLgl w:val="false"/>
      <w:suff w:val="tab"/>
      <w:lvlText w:val="%9."/>
      <w:lvlJc w:val="right"/>
      <w:pPr>
        <w:ind w:left="4347" w:hanging="420"/>
        <w:tabs>
          <w:tab w:val="left" w:pos="0" w:leader="none"/>
        </w:tabs>
      </w:pPr>
    </w:lvl>
  </w:abstractNum>
  <w:abstractNum w:abstractNumId="3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chineseCountingThousand"/>
      <w:pStyle w:val="1142"/>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pStyle w:val="1110"/>
      <w:isLgl w:val="false"/>
      <w:suff w:val="space"/>
      <w:lvlText w:val="%1"/>
      <w:lvlJc w:val="left"/>
      <w:pPr>
        <w:ind w:left="0" w:firstLine="0"/>
      </w:pPr>
      <w:rPr>
        <w:rFonts w:hint="eastAsia" w:ascii="宋体" w:hAnsi="宋体" w:eastAsia="宋体"/>
        <w:b/>
      </w:rPr>
    </w:lvl>
    <w:lvl w:ilvl="1">
      <w:start w:val="1"/>
      <w:numFmt w:val="decimal"/>
      <w:pStyle w:val="1057"/>
      <w:isLgl w:val="false"/>
      <w:suff w:val="space"/>
      <w:lvlText w:val="%1.%2"/>
      <w:lvlJc w:val="left"/>
      <w:pPr>
        <w:ind w:left="-84" w:firstLine="510"/>
      </w:pPr>
      <w:rPr>
        <w:rFonts w:hint="eastAsia" w:ascii="宋体" w:hAnsi="宋体" w:eastAsia="宋体"/>
      </w:rPr>
    </w:lvl>
    <w:lvl w:ilvl="2">
      <w:start w:val="1"/>
      <w:numFmt w:val="decimal"/>
      <w:pStyle w:val="1083"/>
      <w:isLgl w:val="false"/>
      <w:suff w:val="tab"/>
      <w:lvlText w:val="%1.%2.%3"/>
      <w:lvlJc w:val="left"/>
      <w:pPr>
        <w:ind w:left="0" w:firstLine="510"/>
      </w:pPr>
      <w:rPr>
        <w:rFonts w:hint="eastAsia"/>
      </w:rPr>
    </w:lvl>
    <w:lvl w:ilvl="3">
      <w:start w:val="1"/>
      <w:numFmt w:val="decimal"/>
      <w:pStyle w:val="1125"/>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b/>
      </w:rPr>
    </w:lvl>
    <w:lvl w:ilvl="1">
      <w:start w:val="1"/>
      <w:numFmt w:val="decimal"/>
      <w:isLgl w:val="false"/>
      <w:suff w:val="tab"/>
      <w:lvlText w:val="%1.%2"/>
      <w:lvlJc w:val="left"/>
      <w:pPr>
        <w:ind w:left="567" w:hanging="567"/>
        <w:tabs>
          <w:tab w:val="left" w:pos="567" w:leader="none"/>
        </w:tabs>
      </w:pPr>
      <w:rPr>
        <w:rFonts w:hint="eastAsia"/>
        <w:b w:val="0"/>
        <w:color w:val="auto"/>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7">
    <w:multiLevelType w:val="hybridMultilevel"/>
    <w:lvl w:ilvl="0">
      <w:start w:val="1"/>
      <w:numFmt w:val="chineseCountingThousand"/>
      <w:isLgl w:val="false"/>
      <w:suff w:val="tab"/>
      <w:lvlText w:val="%1、"/>
      <w:lvlJc w:val="left"/>
      <w:pPr>
        <w:ind w:left="697" w:hanging="555"/>
        <w:tabs>
          <w:tab w:val="left" w:pos="697" w:leader="none"/>
        </w:tabs>
      </w:pPr>
      <w:rPr>
        <w:rFonts w:hint="default"/>
        <w:b/>
        <w:color w:val="auto"/>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8">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4">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5">
    <w:multiLevelType w:val="hybridMultilevel"/>
    <w:lvl w:ilvl="0">
      <w:start w:val="1"/>
      <w:numFmt w:val="chineseCounting"/>
      <w:isLgl w:val="false"/>
      <w:suff w:val="tab"/>
      <w:lvlText w:val="%1、"/>
      <w:lvlJc w:val="left"/>
      <w:pPr>
        <w:ind w:left="567" w:hanging="567"/>
        <w:tabs>
          <w:tab w:val="left" w:pos="56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4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pPr>
      <w:rPr>
        <w:rFonts w:ascii="宋体" w:hAnsi="宋体" w:eastAsia="宋体"/>
        <w:b w:val="0"/>
      </w:r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5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bullet"/>
      <w:pStyle w:val="1129"/>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5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6">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58">
    <w:multiLevelType w:val="hybridMultilevel"/>
    <w:lvl w:ilvl="0">
      <w:start w:val="1"/>
      <w:numFmt w:val="chineseCountingThousand"/>
      <w:pStyle w:val="1003"/>
      <w:isLgl w:val="false"/>
      <w:suff w:val="tab"/>
      <w:lvlText w:val="(%1)"/>
      <w:lvlJc w:val="left"/>
      <w:pPr>
        <w:ind w:left="420" w:hanging="420"/>
      </w:pPr>
      <w:rPr>
        <w:rFonts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tab"/>
      <w:lvlText w:val="（%1）"/>
      <w:lvlJc w:val="left"/>
      <w:pPr>
        <w:ind w:left="1739" w:hanging="420"/>
        <w:tabs>
          <w:tab w:val="left" w:pos="1739" w:leader="none"/>
        </w:tabs>
      </w:pPr>
      <w:rPr>
        <w:rFonts w:hint="eastAsia"/>
      </w:rPr>
    </w:lvl>
    <w:lvl w:ilvl="1">
      <w:start w:val="1"/>
      <w:numFmt w:val="lowerLetter"/>
      <w:isLgl w:val="false"/>
      <w:suff w:val="tab"/>
      <w:lvlText w:val="%2)"/>
      <w:lvlJc w:val="left"/>
      <w:pPr>
        <w:ind w:left="1739" w:hanging="420"/>
        <w:tabs>
          <w:tab w:val="left" w:pos="1739" w:leader="none"/>
        </w:tabs>
      </w:pPr>
    </w:lvl>
    <w:lvl w:ilvl="2">
      <w:start w:val="1"/>
      <w:numFmt w:val="lowerRoman"/>
      <w:isLgl w:val="false"/>
      <w:suff w:val="tab"/>
      <w:lvlText w:val="%3."/>
      <w:lvlJc w:val="right"/>
      <w:pPr>
        <w:ind w:left="2159" w:hanging="420"/>
        <w:tabs>
          <w:tab w:val="left" w:pos="2159" w:leader="none"/>
        </w:tabs>
      </w:pPr>
    </w:lvl>
    <w:lvl w:ilvl="3">
      <w:start w:val="1"/>
      <w:numFmt w:val="decimal"/>
      <w:isLgl w:val="false"/>
      <w:suff w:val="tab"/>
      <w:lvlText w:val="（%4）"/>
      <w:lvlJc w:val="left"/>
      <w:pPr>
        <w:ind w:left="2579" w:hanging="420"/>
        <w:tabs>
          <w:tab w:val="left" w:pos="2579" w:leader="none"/>
        </w:tabs>
      </w:pPr>
      <w:rPr>
        <w:rFonts w:hint="eastAsia"/>
      </w:rPr>
    </w:lvl>
    <w:lvl w:ilvl="4">
      <w:start w:val="1"/>
      <w:numFmt w:val="lowerLetter"/>
      <w:isLgl w:val="false"/>
      <w:suff w:val="tab"/>
      <w:lvlText w:val="%5)"/>
      <w:lvlJc w:val="left"/>
      <w:pPr>
        <w:ind w:left="2999" w:hanging="420"/>
        <w:tabs>
          <w:tab w:val="left" w:pos="2999" w:leader="none"/>
        </w:tabs>
      </w:pPr>
    </w:lvl>
    <w:lvl w:ilvl="5">
      <w:start w:val="1"/>
      <w:numFmt w:val="lowerRoman"/>
      <w:isLgl w:val="false"/>
      <w:suff w:val="tab"/>
      <w:lvlText w:val="%6."/>
      <w:lvlJc w:val="right"/>
      <w:pPr>
        <w:ind w:left="3419" w:hanging="420"/>
        <w:tabs>
          <w:tab w:val="left" w:pos="3419" w:leader="none"/>
        </w:tabs>
      </w:pPr>
    </w:lvl>
    <w:lvl w:ilvl="6">
      <w:start w:val="1"/>
      <w:numFmt w:val="decimal"/>
      <w:isLgl w:val="false"/>
      <w:suff w:val="tab"/>
      <w:lvlText w:val="%7."/>
      <w:lvlJc w:val="left"/>
      <w:pPr>
        <w:ind w:left="3839" w:hanging="420"/>
        <w:tabs>
          <w:tab w:val="left" w:pos="3839" w:leader="none"/>
        </w:tabs>
      </w:pPr>
    </w:lvl>
    <w:lvl w:ilvl="7">
      <w:start w:val="1"/>
      <w:numFmt w:val="lowerLetter"/>
      <w:isLgl w:val="false"/>
      <w:suff w:val="tab"/>
      <w:lvlText w:val="%8)"/>
      <w:lvlJc w:val="left"/>
      <w:pPr>
        <w:ind w:left="4259" w:hanging="420"/>
        <w:tabs>
          <w:tab w:val="left" w:pos="4259" w:leader="none"/>
        </w:tabs>
      </w:pPr>
    </w:lvl>
    <w:lvl w:ilvl="8">
      <w:start w:val="1"/>
      <w:numFmt w:val="lowerRoman"/>
      <w:isLgl w:val="false"/>
      <w:suff w:val="tab"/>
      <w:lvlText w:val="%9."/>
      <w:lvlJc w:val="right"/>
      <w:pPr>
        <w:ind w:left="4679" w:hanging="420"/>
        <w:tabs>
          <w:tab w:val="left" w:pos="4679" w:leader="none"/>
        </w:tabs>
      </w:pPr>
    </w:lvl>
  </w:abstractNum>
  <w:abstractNum w:abstractNumId="6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8"/>
  </w:num>
  <w:num w:numId="2">
    <w:abstractNumId w:val="34"/>
  </w:num>
  <w:num w:numId="3">
    <w:abstractNumId w:val="53"/>
  </w:num>
  <w:num w:numId="4">
    <w:abstractNumId w:val="32"/>
  </w:num>
  <w:num w:numId="5">
    <w:abstractNumId w:val="45"/>
  </w:num>
  <w:num w:numId="6">
    <w:abstractNumId w:val="0"/>
  </w:num>
  <w:num w:numId="7">
    <w:abstractNumId w:val="16"/>
  </w:num>
  <w:num w:numId="8">
    <w:abstractNumId w:val="4"/>
  </w:num>
  <w:num w:numId="9">
    <w:abstractNumId w:val="35"/>
  </w:num>
  <w:num w:numId="10">
    <w:abstractNumId w:val="3"/>
  </w:num>
  <w:num w:numId="11">
    <w:abstractNumId w:val="1"/>
  </w:num>
  <w:num w:numId="12">
    <w:abstractNumId w:val="54"/>
  </w:num>
  <w:num w:numId="13">
    <w:abstractNumId w:val="25"/>
  </w:num>
  <w:num w:numId="14">
    <w:abstractNumId w:val="6"/>
  </w:num>
  <w:num w:numId="15">
    <w:abstractNumId w:val="17"/>
  </w:num>
  <w:num w:numId="16">
    <w:abstractNumId w:val="41"/>
  </w:num>
  <w:num w:numId="17">
    <w:abstractNumId w:val="63"/>
  </w:num>
  <w:num w:numId="18">
    <w:abstractNumId w:val="5"/>
  </w:num>
  <w:num w:numId="19">
    <w:abstractNumId w:val="52"/>
  </w:num>
  <w:num w:numId="20">
    <w:abstractNumId w:val="15"/>
  </w:num>
  <w:num w:numId="21">
    <w:abstractNumId w:val="28"/>
  </w:num>
  <w:num w:numId="22">
    <w:abstractNumId w:val="39"/>
  </w:num>
  <w:num w:numId="23">
    <w:abstractNumId w:val="19"/>
  </w:num>
  <w:num w:numId="24">
    <w:abstractNumId w:val="26"/>
  </w:num>
  <w:num w:numId="25">
    <w:abstractNumId w:val="61"/>
  </w:num>
  <w:num w:numId="26">
    <w:abstractNumId w:val="33"/>
  </w:num>
  <w:num w:numId="27">
    <w:abstractNumId w:val="12"/>
  </w:num>
  <w:num w:numId="28">
    <w:abstractNumId w:val="11"/>
  </w:num>
  <w:num w:numId="29">
    <w:abstractNumId w:val="22"/>
  </w:num>
  <w:num w:numId="30">
    <w:abstractNumId w:val="59"/>
  </w:num>
  <w:num w:numId="31">
    <w:abstractNumId w:val="23"/>
  </w:num>
  <w:num w:numId="32">
    <w:abstractNumId w:val="62"/>
  </w:num>
  <w:num w:numId="33">
    <w:abstractNumId w:val="49"/>
  </w:num>
  <w:num w:numId="34">
    <w:abstractNumId w:val="24"/>
  </w:num>
  <w:num w:numId="35">
    <w:abstractNumId w:val="14"/>
  </w:num>
  <w:num w:numId="36">
    <w:abstractNumId w:val="51"/>
  </w:num>
  <w:num w:numId="37">
    <w:abstractNumId w:val="38"/>
  </w:num>
  <w:num w:numId="38">
    <w:abstractNumId w:val="7"/>
  </w:num>
  <w:num w:numId="39">
    <w:abstractNumId w:val="8"/>
  </w:num>
  <w:num w:numId="40">
    <w:abstractNumId w:val="47"/>
  </w:num>
  <w:num w:numId="41">
    <w:abstractNumId w:val="18"/>
  </w:num>
  <w:num w:numId="42">
    <w:abstractNumId w:val="13"/>
  </w:num>
  <w:num w:numId="43">
    <w:abstractNumId w:val="57"/>
  </w:num>
  <w:num w:numId="44">
    <w:abstractNumId w:val="20"/>
  </w:num>
  <w:num w:numId="45">
    <w:abstractNumId w:val="2"/>
  </w:num>
  <w:num w:numId="46">
    <w:abstractNumId w:val="21"/>
  </w:num>
  <w:num w:numId="47">
    <w:abstractNumId w:val="10"/>
  </w:num>
  <w:num w:numId="48">
    <w:abstractNumId w:val="30"/>
  </w:num>
  <w:num w:numId="49">
    <w:abstractNumId w:val="64"/>
  </w:num>
  <w:num w:numId="50">
    <w:abstractNumId w:val="37"/>
  </w:num>
  <w:num w:numId="51">
    <w:abstractNumId w:val="46"/>
  </w:num>
  <w:num w:numId="52">
    <w:abstractNumId w:val="40"/>
  </w:num>
  <w:num w:numId="53">
    <w:abstractNumId w:val="9"/>
  </w:num>
  <w:num w:numId="54">
    <w:abstractNumId w:val="65"/>
  </w:num>
  <w:num w:numId="55">
    <w:abstractNumId w:val="43"/>
  </w:num>
  <w:num w:numId="56">
    <w:abstractNumId w:val="29"/>
  </w:num>
  <w:num w:numId="57">
    <w:abstractNumId w:val="42"/>
  </w:num>
  <w:num w:numId="58">
    <w:abstractNumId w:val="31"/>
  </w:num>
  <w:num w:numId="59">
    <w:abstractNumId w:val="27"/>
  </w:num>
  <w:num w:numId="60">
    <w:abstractNumId w:val="56"/>
  </w:num>
  <w:num w:numId="61">
    <w:abstractNumId w:val="50"/>
  </w:num>
  <w:num w:numId="62">
    <w:abstractNumId w:val="36"/>
  </w:num>
  <w:num w:numId="63">
    <w:abstractNumId w:val="60"/>
  </w:num>
  <w:num w:numId="64">
    <w:abstractNumId w:val="48"/>
  </w:num>
  <w:num w:numId="6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4">
    <w:name w:val="Heading 1 Char"/>
    <w:basedOn w:val="973"/>
    <w:link w:val="964"/>
    <w:uiPriority w:val="9"/>
    <w:rPr>
      <w:rFonts w:ascii="Arial" w:hAnsi="Arial" w:eastAsia="Arial" w:cs="Arial"/>
      <w:sz w:val="40"/>
      <w:szCs w:val="40"/>
    </w:rPr>
  </w:style>
  <w:style w:type="character" w:styleId="815">
    <w:name w:val="Heading 2 Char"/>
    <w:basedOn w:val="973"/>
    <w:link w:val="965"/>
    <w:uiPriority w:val="9"/>
    <w:rPr>
      <w:rFonts w:ascii="Arial" w:hAnsi="Arial" w:eastAsia="Arial" w:cs="Arial"/>
      <w:sz w:val="34"/>
    </w:rPr>
  </w:style>
  <w:style w:type="character" w:styleId="816">
    <w:name w:val="Heading 3 Char"/>
    <w:basedOn w:val="973"/>
    <w:link w:val="966"/>
    <w:uiPriority w:val="9"/>
    <w:rPr>
      <w:rFonts w:ascii="Arial" w:hAnsi="Arial" w:eastAsia="Arial" w:cs="Arial"/>
      <w:sz w:val="30"/>
      <w:szCs w:val="30"/>
    </w:rPr>
  </w:style>
  <w:style w:type="character" w:styleId="817">
    <w:name w:val="Heading 4 Char"/>
    <w:basedOn w:val="973"/>
    <w:link w:val="967"/>
    <w:uiPriority w:val="9"/>
    <w:rPr>
      <w:rFonts w:ascii="Arial" w:hAnsi="Arial" w:eastAsia="Arial" w:cs="Arial"/>
      <w:b/>
      <w:bCs/>
      <w:sz w:val="26"/>
      <w:szCs w:val="26"/>
    </w:rPr>
  </w:style>
  <w:style w:type="character" w:styleId="818">
    <w:name w:val="Heading 5 Char"/>
    <w:basedOn w:val="973"/>
    <w:link w:val="968"/>
    <w:uiPriority w:val="9"/>
    <w:rPr>
      <w:rFonts w:ascii="Arial" w:hAnsi="Arial" w:eastAsia="Arial" w:cs="Arial"/>
      <w:b/>
      <w:bCs/>
      <w:sz w:val="24"/>
      <w:szCs w:val="24"/>
    </w:rPr>
  </w:style>
  <w:style w:type="character" w:styleId="819">
    <w:name w:val="Heading 6 Char"/>
    <w:basedOn w:val="973"/>
    <w:link w:val="969"/>
    <w:uiPriority w:val="9"/>
    <w:rPr>
      <w:rFonts w:ascii="Arial" w:hAnsi="Arial" w:eastAsia="Arial" w:cs="Arial"/>
      <w:b/>
      <w:bCs/>
      <w:sz w:val="22"/>
      <w:szCs w:val="22"/>
    </w:rPr>
  </w:style>
  <w:style w:type="character" w:styleId="820">
    <w:name w:val="Heading 7 Char"/>
    <w:basedOn w:val="973"/>
    <w:link w:val="970"/>
    <w:uiPriority w:val="9"/>
    <w:rPr>
      <w:rFonts w:ascii="Arial" w:hAnsi="Arial" w:eastAsia="Arial" w:cs="Arial"/>
      <w:b/>
      <w:bCs/>
      <w:i/>
      <w:iCs/>
      <w:sz w:val="22"/>
      <w:szCs w:val="22"/>
    </w:rPr>
  </w:style>
  <w:style w:type="character" w:styleId="821">
    <w:name w:val="Heading 8 Char"/>
    <w:basedOn w:val="973"/>
    <w:link w:val="971"/>
    <w:uiPriority w:val="9"/>
    <w:rPr>
      <w:rFonts w:ascii="Arial" w:hAnsi="Arial" w:eastAsia="Arial" w:cs="Arial"/>
      <w:i/>
      <w:iCs/>
      <w:sz w:val="22"/>
      <w:szCs w:val="22"/>
    </w:rPr>
  </w:style>
  <w:style w:type="character" w:styleId="822">
    <w:name w:val="Heading 9 Char"/>
    <w:basedOn w:val="973"/>
    <w:link w:val="972"/>
    <w:uiPriority w:val="9"/>
    <w:rPr>
      <w:rFonts w:ascii="Arial" w:hAnsi="Arial" w:eastAsia="Arial" w:cs="Arial"/>
      <w:i/>
      <w:iCs/>
      <w:sz w:val="21"/>
      <w:szCs w:val="21"/>
    </w:rPr>
  </w:style>
  <w:style w:type="character" w:styleId="823">
    <w:name w:val="Title Char"/>
    <w:basedOn w:val="973"/>
    <w:link w:val="1020"/>
    <w:uiPriority w:val="10"/>
    <w:rPr>
      <w:sz w:val="48"/>
      <w:szCs w:val="48"/>
    </w:rPr>
  </w:style>
  <w:style w:type="character" w:styleId="824">
    <w:name w:val="Subtitle Char"/>
    <w:basedOn w:val="973"/>
    <w:link w:val="1007"/>
    <w:uiPriority w:val="11"/>
    <w:rPr>
      <w:sz w:val="24"/>
      <w:szCs w:val="24"/>
    </w:rPr>
  </w:style>
  <w:style w:type="paragraph" w:styleId="825">
    <w:name w:val="Quote"/>
    <w:basedOn w:val="963"/>
    <w:next w:val="963"/>
    <w:link w:val="826"/>
    <w:uiPriority w:val="29"/>
    <w:qFormat/>
    <w:pPr>
      <w:ind w:left="720" w:right="720"/>
    </w:pPr>
    <w:rPr>
      <w:i/>
    </w:rPr>
  </w:style>
  <w:style w:type="character" w:styleId="826">
    <w:name w:val="Quote Char"/>
    <w:link w:val="825"/>
    <w:uiPriority w:val="29"/>
    <w:rPr>
      <w:i/>
    </w:rPr>
  </w:style>
  <w:style w:type="paragraph" w:styleId="827">
    <w:name w:val="Intense Quote"/>
    <w:basedOn w:val="963"/>
    <w:next w:val="963"/>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name w:val="Intense Quote Char"/>
    <w:link w:val="827"/>
    <w:uiPriority w:val="30"/>
    <w:rPr>
      <w:i/>
    </w:rPr>
  </w:style>
  <w:style w:type="character" w:styleId="829">
    <w:name w:val="Header Char"/>
    <w:basedOn w:val="973"/>
    <w:link w:val="1002"/>
    <w:uiPriority w:val="99"/>
  </w:style>
  <w:style w:type="character" w:styleId="830">
    <w:name w:val="Footer Char"/>
    <w:basedOn w:val="973"/>
    <w:link w:val="999"/>
    <w:uiPriority w:val="99"/>
  </w:style>
  <w:style w:type="paragraph" w:styleId="831">
    <w:name w:val="Caption"/>
    <w:basedOn w:val="963"/>
    <w:next w:val="963"/>
    <w:uiPriority w:val="35"/>
    <w:semiHidden/>
    <w:unhideWhenUsed/>
    <w:qFormat/>
    <w:pPr>
      <w:spacing w:line="276" w:lineRule="auto"/>
    </w:pPr>
    <w:rPr>
      <w:b/>
      <w:bCs/>
      <w:color w:val="4f81bd" w:themeColor="accent1"/>
      <w:sz w:val="18"/>
      <w:szCs w:val="18"/>
    </w:rPr>
  </w:style>
  <w:style w:type="character" w:styleId="832">
    <w:name w:val="Caption Char"/>
    <w:basedOn w:val="831"/>
    <w:link w:val="999"/>
    <w:uiPriority w:val="99"/>
  </w:style>
  <w:style w:type="table" w:styleId="833">
    <w:name w:val="Table Grid Light"/>
    <w:basedOn w:val="9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4">
    <w:name w:val="Plain Table 1"/>
    <w:basedOn w:val="9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2"/>
    <w:basedOn w:val="9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3"/>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name w:val="Plain Table 4"/>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name w:val="Plain Table 5"/>
    <w:basedOn w:val="9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9">
    <w:name w:val="Grid Table 1 Light"/>
    <w:basedOn w:val="9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0">
    <w:name w:val="Grid Table 1 Light - Accent 1"/>
    <w:basedOn w:val="9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1">
    <w:name w:val="Grid Table 1 Light - Accent 2"/>
    <w:basedOn w:val="9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2">
    <w:name w:val="Grid Table 1 Light - Accent 3"/>
    <w:basedOn w:val="9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3">
    <w:name w:val="Grid Table 1 Light - Accent 4"/>
    <w:basedOn w:val="9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4">
    <w:name w:val="Grid Table 1 Light - Accent 5"/>
    <w:basedOn w:val="9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5">
    <w:name w:val="Grid Table 1 Light - Accent 6"/>
    <w:basedOn w:val="9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6">
    <w:name w:val="Grid Table 2"/>
    <w:basedOn w:val="9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7">
    <w:name w:val="Grid Table 2 - Accent 1"/>
    <w:basedOn w:val="9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8">
    <w:name w:val="Grid Table 2 - Accent 2"/>
    <w:basedOn w:val="9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2 - Accent 3"/>
    <w:basedOn w:val="9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2 - Accent 4"/>
    <w:basedOn w:val="9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2 - Accent 5"/>
    <w:basedOn w:val="9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2">
    <w:name w:val="Grid Table 2 - Accent 6"/>
    <w:basedOn w:val="9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3">
    <w:name w:val="Grid Table 3"/>
    <w:basedOn w:val="9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1"/>
    <w:basedOn w:val="9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2"/>
    <w:basedOn w:val="9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3"/>
    <w:basedOn w:val="9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4"/>
    <w:basedOn w:val="9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5"/>
    <w:basedOn w:val="9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6"/>
    <w:basedOn w:val="9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4"/>
    <w:basedOn w:val="9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name w:val="Grid Table 4 - Accent 1"/>
    <w:basedOn w:val="9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2">
    <w:name w:val="Grid Table 4 - Accent 2"/>
    <w:basedOn w:val="9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3">
    <w:name w:val="Grid Table 4 - Accent 3"/>
    <w:basedOn w:val="9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4">
    <w:name w:val="Grid Table 4 - Accent 4"/>
    <w:basedOn w:val="9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5">
    <w:name w:val="Grid Table 4 - Accent 5"/>
    <w:basedOn w:val="9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6">
    <w:name w:val="Grid Table 4 - Accent 6"/>
    <w:basedOn w:val="9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7">
    <w:name w:val="Grid Table 5 Dark"/>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8">
    <w:name w:val="Grid Table 5 Dark- Accent 1"/>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9">
    <w:name w:val="Grid Table 5 Dark - Accent 2"/>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0">
    <w:name w:val="Grid Table 5 Dark - Accent 3"/>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1">
    <w:name w:val="Grid Table 5 Dark- Accent 4"/>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2">
    <w:name w:val="Grid Table 5 Dark - Accent 5"/>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3">
    <w:name w:val="Grid Table 5 Dark - Accent 6"/>
    <w:basedOn w:val="9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4">
    <w:name w:val="Grid Table 6 Colorful"/>
    <w:basedOn w:val="9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5">
    <w:name w:val="Grid Table 6 Colorful - Accent 1"/>
    <w:basedOn w:val="9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6">
    <w:name w:val="Grid Table 6 Colorful - Accent 2"/>
    <w:basedOn w:val="9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7">
    <w:name w:val="Grid Table 6 Colorful - Accent 3"/>
    <w:basedOn w:val="9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8">
    <w:name w:val="Grid Table 6 Colorful - Accent 4"/>
    <w:basedOn w:val="9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9">
    <w:name w:val="Grid Table 6 Colorful - Accent 5"/>
    <w:basedOn w:val="9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6 Colorful - Accent 6"/>
    <w:basedOn w:val="9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1">
    <w:name w:val="Grid Table 7 Colorful"/>
    <w:basedOn w:val="9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2">
    <w:name w:val="Grid Table 7 Colorful - Accent 1"/>
    <w:basedOn w:val="9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3">
    <w:name w:val="Grid Table 7 Colorful - Accent 2"/>
    <w:basedOn w:val="9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7 Colorful - Accent 3"/>
    <w:basedOn w:val="9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7 Colorful - Accent 4"/>
    <w:basedOn w:val="9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7 Colorful - Accent 5"/>
    <w:basedOn w:val="9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7">
    <w:name w:val="Grid Table 7 Colorful - Accent 6"/>
    <w:basedOn w:val="9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8">
    <w:name w:val="List Table 1 Light"/>
    <w:basedOn w:val="9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name w:val="List Table 1 Light - Accent 1"/>
    <w:basedOn w:val="97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0">
    <w:name w:val="List Table 1 Light - Accent 2"/>
    <w:basedOn w:val="97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1">
    <w:name w:val="List Table 1 Light - Accent 3"/>
    <w:basedOn w:val="97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2">
    <w:name w:val="List Table 1 Light - Accent 4"/>
    <w:basedOn w:val="97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3">
    <w:name w:val="List Table 1 Light - Accent 5"/>
    <w:basedOn w:val="97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4">
    <w:name w:val="List Table 1 Light - Accent 6"/>
    <w:basedOn w:val="97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5">
    <w:name w:val="List Table 2"/>
    <w:basedOn w:val="9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6">
    <w:name w:val="List Table 2 - Accent 1"/>
    <w:basedOn w:val="9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7">
    <w:name w:val="List Table 2 - Accent 2"/>
    <w:basedOn w:val="9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8">
    <w:name w:val="List Table 2 - Accent 3"/>
    <w:basedOn w:val="9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9">
    <w:name w:val="List Table 2 - Accent 4"/>
    <w:basedOn w:val="9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0">
    <w:name w:val="List Table 2 - Accent 5"/>
    <w:basedOn w:val="9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1">
    <w:name w:val="List Table 2 - Accent 6"/>
    <w:basedOn w:val="9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2">
    <w:name w:val="List Table 3"/>
    <w:basedOn w:val="9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3 - Accent 1"/>
    <w:basedOn w:val="9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4">
    <w:name w:val="List Table 3 - Accent 2"/>
    <w:basedOn w:val="9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5">
    <w:name w:val="List Table 3 - Accent 3"/>
    <w:basedOn w:val="9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6">
    <w:name w:val="List Table 3 - Accent 4"/>
    <w:basedOn w:val="9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7">
    <w:name w:val="List Table 3 - Accent 5"/>
    <w:basedOn w:val="9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8">
    <w:name w:val="List Table 3 - Accent 6"/>
    <w:basedOn w:val="9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9">
    <w:name w:val="List Table 4"/>
    <w:basedOn w:val="9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0">
    <w:name w:val="List Table 4 - Accent 1"/>
    <w:basedOn w:val="9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1">
    <w:name w:val="List Table 4 - Accent 2"/>
    <w:basedOn w:val="9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2">
    <w:name w:val="List Table 4 - Accent 3"/>
    <w:basedOn w:val="9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3">
    <w:name w:val="List Table 4 - Accent 4"/>
    <w:basedOn w:val="9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4">
    <w:name w:val="List Table 4 - Accent 5"/>
    <w:basedOn w:val="9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5">
    <w:name w:val="List Table 4 - Accent 6"/>
    <w:basedOn w:val="9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6">
    <w:name w:val="List Table 5 Dark"/>
    <w:basedOn w:val="9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1"/>
    <w:basedOn w:val="9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2"/>
    <w:basedOn w:val="9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3"/>
    <w:basedOn w:val="9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4"/>
    <w:basedOn w:val="9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5"/>
    <w:basedOn w:val="9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6"/>
    <w:basedOn w:val="9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6 Colorful"/>
    <w:basedOn w:val="9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4">
    <w:name w:val="List Table 6 Colorful - Accent 1"/>
    <w:basedOn w:val="9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5">
    <w:name w:val="List Table 6 Colorful - Accent 2"/>
    <w:basedOn w:val="9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6">
    <w:name w:val="List Table 6 Colorful - Accent 3"/>
    <w:basedOn w:val="9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7">
    <w:name w:val="List Table 6 Colorful - Accent 4"/>
    <w:basedOn w:val="9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8">
    <w:name w:val="List Table 6 Colorful - Accent 5"/>
    <w:basedOn w:val="9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9">
    <w:name w:val="List Table 6 Colorful - Accent 6"/>
    <w:basedOn w:val="9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0">
    <w:name w:val="List Table 7 Colorful"/>
    <w:basedOn w:val="9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1">
    <w:name w:val="List Table 7 Colorful - Accent 1"/>
    <w:basedOn w:val="9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2">
    <w:name w:val="List Table 7 Colorful - Accent 2"/>
    <w:basedOn w:val="9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3">
    <w:name w:val="List Table 7 Colorful - Accent 3"/>
    <w:basedOn w:val="9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4">
    <w:name w:val="List Table 7 Colorful - Accent 4"/>
    <w:basedOn w:val="9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5">
    <w:name w:val="List Table 7 Colorful - Accent 5"/>
    <w:basedOn w:val="9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6">
    <w:name w:val="List Table 7 Colorful - Accent 6"/>
    <w:basedOn w:val="9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7">
    <w:name w:val="Lined - Accent"/>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Lined - Accent 1"/>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9">
    <w:name w:val="Lined - Accent 2"/>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0">
    <w:name w:val="Lined - Accent 3"/>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1">
    <w:name w:val="Lined - Accent 4"/>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2">
    <w:name w:val="Lined - Accent 5"/>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3">
    <w:name w:val="Lined - Accent 6"/>
    <w:basedOn w:val="9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4">
    <w:name w:val="Bordered &amp; Lined - Accent"/>
    <w:basedOn w:val="9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5">
    <w:name w:val="Bordered &amp; Lined - Accent 1"/>
    <w:basedOn w:val="9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6">
    <w:name w:val="Bordered &amp; Lined - Accent 2"/>
    <w:basedOn w:val="9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7">
    <w:name w:val="Bordered &amp; Lined - Accent 3"/>
    <w:basedOn w:val="9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8">
    <w:name w:val="Bordered &amp; Lined - Accent 4"/>
    <w:basedOn w:val="9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9">
    <w:name w:val="Bordered &amp; Lined - Accent 5"/>
    <w:basedOn w:val="9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0">
    <w:name w:val="Bordered &amp; Lined - Accent 6"/>
    <w:basedOn w:val="9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1">
    <w:name w:val="Bordered"/>
    <w:basedOn w:val="9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2">
    <w:name w:val="Bordered - Accent 1"/>
    <w:basedOn w:val="9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3">
    <w:name w:val="Bordered - Accent 2"/>
    <w:basedOn w:val="9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4">
    <w:name w:val="Bordered - Accent 3"/>
    <w:basedOn w:val="9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5">
    <w:name w:val="Bordered - Accent 4"/>
    <w:basedOn w:val="9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6">
    <w:name w:val="Bordered - Accent 5"/>
    <w:basedOn w:val="9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7">
    <w:name w:val="Bordered - Accent 6"/>
    <w:basedOn w:val="9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8">
    <w:name w:val="Footnote Text Char"/>
    <w:link w:val="1009"/>
    <w:uiPriority w:val="99"/>
    <w:rPr>
      <w:sz w:val="18"/>
    </w:rPr>
  </w:style>
  <w:style w:type="paragraph" w:styleId="959">
    <w:name w:val="endnote text"/>
    <w:basedOn w:val="963"/>
    <w:link w:val="960"/>
    <w:uiPriority w:val="99"/>
    <w:semiHidden/>
    <w:unhideWhenUsed/>
    <w:pPr>
      <w:spacing w:after="0" w:line="240" w:lineRule="auto"/>
    </w:pPr>
    <w:rPr>
      <w:sz w:val="20"/>
    </w:rPr>
  </w:style>
  <w:style w:type="character" w:styleId="960">
    <w:name w:val="Endnote Text Char"/>
    <w:link w:val="959"/>
    <w:uiPriority w:val="99"/>
    <w:rPr>
      <w:sz w:val="20"/>
    </w:rPr>
  </w:style>
  <w:style w:type="character" w:styleId="961">
    <w:name w:val="endnote reference"/>
    <w:basedOn w:val="973"/>
    <w:uiPriority w:val="99"/>
    <w:semiHidden/>
    <w:unhideWhenUsed/>
    <w:rPr>
      <w:vertAlign w:val="superscript"/>
    </w:rPr>
  </w:style>
  <w:style w:type="paragraph" w:styleId="962">
    <w:name w:val="TOC Heading"/>
    <w:uiPriority w:val="39"/>
    <w:unhideWhenUsed/>
  </w:style>
  <w:style w:type="paragraph" w:styleId="963" w:default="1">
    <w:name w:val="Normal"/>
    <w:next w:val="975"/>
    <w:uiPriority w:val="0"/>
    <w:qFormat/>
    <w:pPr>
      <w:jc w:val="both"/>
      <w:widowControl w:val="off"/>
    </w:pPr>
    <w:rPr>
      <w:rFonts w:ascii="Calibri" w:hAnsi="Calibri" w:eastAsia="宋体" w:cs="Times New Roman"/>
      <w:sz w:val="21"/>
      <w:szCs w:val="24"/>
      <w:lang w:val="en-US" w:eastAsia="zh-CN" w:bidi="ar-SA"/>
    </w:rPr>
  </w:style>
  <w:style w:type="paragraph" w:styleId="964">
    <w:name w:val="Heading 1"/>
    <w:basedOn w:val="966"/>
    <w:next w:val="963"/>
    <w:link w:val="1034"/>
    <w:uiPriority w:val="9"/>
    <w:qFormat/>
    <w:pPr>
      <w:spacing w:before="340" w:after="330" w:line="576" w:lineRule="auto"/>
      <w:outlineLvl w:val="0"/>
    </w:pPr>
    <w:rPr>
      <w:sz w:val="44"/>
      <w:szCs w:val="44"/>
    </w:rPr>
  </w:style>
  <w:style w:type="paragraph" w:styleId="965">
    <w:name w:val="Heading 2"/>
    <w:basedOn w:val="963"/>
    <w:next w:val="963"/>
    <w:link w:val="1035"/>
    <w:uiPriority w:val="0"/>
    <w:qFormat/>
    <w:pPr>
      <w:keepLines/>
      <w:keepNext/>
      <w:spacing w:before="260" w:after="260" w:line="415" w:lineRule="auto"/>
      <w:outlineLvl w:val="1"/>
    </w:pPr>
    <w:rPr>
      <w:rFonts w:ascii="Arial" w:hAnsi="Arial" w:eastAsia="黑体"/>
      <w:b/>
      <w:bCs/>
      <w:sz w:val="32"/>
      <w:szCs w:val="32"/>
    </w:rPr>
  </w:style>
  <w:style w:type="paragraph" w:styleId="966">
    <w:name w:val="Heading 3"/>
    <w:basedOn w:val="963"/>
    <w:next w:val="963"/>
    <w:link w:val="1174"/>
    <w:uiPriority w:val="9"/>
    <w:qFormat/>
    <w:pPr>
      <w:keepLines/>
      <w:keepNext/>
      <w:spacing w:before="260" w:after="260" w:line="415" w:lineRule="auto"/>
      <w:outlineLvl w:val="2"/>
    </w:pPr>
    <w:rPr>
      <w:b/>
      <w:bCs/>
      <w:sz w:val="32"/>
      <w:szCs w:val="32"/>
    </w:rPr>
  </w:style>
  <w:style w:type="paragraph" w:styleId="967">
    <w:name w:val="Heading 4"/>
    <w:basedOn w:val="963"/>
    <w:next w:val="963"/>
    <w:uiPriority w:val="0"/>
    <w:qFormat/>
    <w:pPr>
      <w:keepLines/>
      <w:keepNext/>
      <w:spacing w:before="280" w:after="290" w:line="376" w:lineRule="auto"/>
      <w:outlineLvl w:val="3"/>
    </w:pPr>
    <w:rPr>
      <w:rFonts w:ascii="Arial" w:hAnsi="Arial" w:eastAsia="黑体"/>
      <w:b/>
      <w:bCs/>
      <w:sz w:val="28"/>
      <w:szCs w:val="28"/>
    </w:rPr>
  </w:style>
  <w:style w:type="paragraph" w:styleId="968">
    <w:name w:val="Heading 5"/>
    <w:basedOn w:val="963"/>
    <w:next w:val="963"/>
    <w:link w:val="1036"/>
    <w:uiPriority w:val="0"/>
    <w:qFormat/>
    <w:pPr>
      <w:jc w:val="left"/>
      <w:keepLines/>
      <w:keepNext/>
      <w:spacing w:before="280" w:after="290" w:line="376" w:lineRule="atLeast"/>
      <w:outlineLvl w:val="4"/>
    </w:pPr>
    <w:rPr>
      <w:rFonts w:ascii="宋体" w:hAnsi="Tms Rmn"/>
      <w:b/>
      <w:sz w:val="28"/>
      <w:szCs w:val="20"/>
    </w:rPr>
  </w:style>
  <w:style w:type="paragraph" w:styleId="969">
    <w:name w:val="Heading 6"/>
    <w:basedOn w:val="963"/>
    <w:next w:val="963"/>
    <w:link w:val="1037"/>
    <w:uiPriority w:val="0"/>
    <w:qFormat/>
    <w:pPr>
      <w:jc w:val="left"/>
      <w:keepLines/>
      <w:keepNext/>
      <w:spacing w:before="240" w:after="64" w:line="320" w:lineRule="atLeast"/>
      <w:outlineLvl w:val="5"/>
    </w:pPr>
    <w:rPr>
      <w:rFonts w:ascii="黑体" w:hAnsi="Tms Rmn" w:eastAsia="黑体"/>
      <w:b/>
      <w:sz w:val="24"/>
      <w:szCs w:val="20"/>
    </w:rPr>
  </w:style>
  <w:style w:type="paragraph" w:styleId="970">
    <w:name w:val="Heading 7"/>
    <w:basedOn w:val="963"/>
    <w:next w:val="963"/>
    <w:link w:val="1038"/>
    <w:uiPriority w:val="0"/>
    <w:qFormat/>
    <w:pPr>
      <w:jc w:val="left"/>
      <w:keepLines/>
      <w:keepNext/>
      <w:spacing w:before="240" w:after="64" w:line="320" w:lineRule="atLeast"/>
      <w:outlineLvl w:val="6"/>
    </w:pPr>
    <w:rPr>
      <w:rFonts w:ascii="宋体" w:hAnsi="Tms Rmn"/>
      <w:b/>
      <w:sz w:val="24"/>
      <w:szCs w:val="20"/>
    </w:rPr>
  </w:style>
  <w:style w:type="paragraph" w:styleId="971">
    <w:name w:val="Heading 8"/>
    <w:basedOn w:val="963"/>
    <w:next w:val="963"/>
    <w:link w:val="1039"/>
    <w:uiPriority w:val="0"/>
    <w:qFormat/>
    <w:pPr>
      <w:keepLines/>
      <w:keepNext/>
      <w:spacing w:before="240" w:after="64" w:line="320" w:lineRule="auto"/>
      <w:outlineLvl w:val="7"/>
    </w:pPr>
    <w:rPr>
      <w:rFonts w:ascii="Arial" w:hAnsi="Arial" w:eastAsia="黑体"/>
      <w:sz w:val="24"/>
    </w:rPr>
  </w:style>
  <w:style w:type="paragraph" w:styleId="972">
    <w:name w:val="Heading 9"/>
    <w:basedOn w:val="963"/>
    <w:next w:val="963"/>
    <w:link w:val="1040"/>
    <w:uiPriority w:val="0"/>
    <w:qFormat/>
    <w:pPr>
      <w:keepLines/>
      <w:keepNext/>
      <w:spacing w:before="240" w:after="64" w:line="320" w:lineRule="auto"/>
      <w:outlineLvl w:val="8"/>
    </w:pPr>
    <w:rPr>
      <w:rFonts w:ascii="Arial" w:hAnsi="Arial" w:eastAsia="黑体"/>
      <w:szCs w:val="21"/>
    </w:rPr>
  </w:style>
  <w:style w:type="character" w:styleId="973" w:default="1">
    <w:name w:val="Default Paragraph Font"/>
    <w:uiPriority w:val="1"/>
    <w:semiHidden/>
    <w:unhideWhenUsed/>
    <w:qFormat/>
  </w:style>
  <w:style w:type="table" w:styleId="974" w:default="1">
    <w:name w:val="Normal Table"/>
    <w:uiPriority w:val="99"/>
    <w:semiHidden/>
    <w:unhideWhenUsed/>
    <w:qFormat/>
    <w:tblPr>
      <w:tblLayout w:type="fixed"/>
      <w:tblCellMar>
        <w:left w:w="108" w:type="dxa"/>
        <w:top w:w="0" w:type="dxa"/>
        <w:right w:w="108" w:type="dxa"/>
        <w:bottom w:w="0" w:type="dxa"/>
      </w:tblCellMar>
    </w:tblPr>
  </w:style>
  <w:style w:type="paragraph" w:styleId="975">
    <w:name w:val="Body Text Indent"/>
    <w:basedOn w:val="963"/>
    <w:next w:val="963"/>
    <w:link w:val="1033"/>
    <w:uiPriority w:val="0"/>
    <w:qFormat/>
    <w:pPr>
      <w:ind w:firstLine="560"/>
      <w:jc w:val="left"/>
      <w:spacing w:line="300" w:lineRule="auto"/>
    </w:pPr>
    <w:rPr>
      <w:sz w:val="28"/>
    </w:rPr>
  </w:style>
  <w:style w:type="paragraph" w:styleId="976">
    <w:name w:val="annotation subject"/>
    <w:basedOn w:val="977"/>
    <w:next w:val="977"/>
    <w:link w:val="1173"/>
    <w:uiPriority w:val="99"/>
    <w:qFormat/>
    <w:rPr>
      <w:b/>
      <w:bCs/>
    </w:rPr>
  </w:style>
  <w:style w:type="paragraph" w:styleId="977">
    <w:name w:val="annotation text"/>
    <w:basedOn w:val="963"/>
    <w:link w:val="1042"/>
    <w:uiPriority w:val="99"/>
    <w:qFormat/>
    <w:pPr>
      <w:jc w:val="left"/>
    </w:pPr>
  </w:style>
  <w:style w:type="paragraph" w:styleId="978">
    <w:name w:val="toc 7"/>
    <w:basedOn w:val="963"/>
    <w:next w:val="963"/>
    <w:uiPriority w:val="0"/>
    <w:qFormat/>
    <w:pPr>
      <w:ind w:left="2520"/>
    </w:pPr>
    <w:rPr>
      <w:rFonts w:eastAsia="楷体_GB2312"/>
      <w:sz w:val="26"/>
      <w:szCs w:val="20"/>
    </w:rPr>
  </w:style>
  <w:style w:type="paragraph" w:styleId="979">
    <w:name w:val="Body Text First Indent"/>
    <w:basedOn w:val="980"/>
    <w:next w:val="982"/>
    <w:link w:val="1051"/>
    <w:uiPriority w:val="0"/>
    <w:qFormat/>
    <w:pPr>
      <w:ind w:firstLine="420"/>
      <w:spacing w:after="120"/>
      <w:tabs>
        <w:tab w:val="left" w:pos="5250" w:leader="none"/>
      </w:tabs>
    </w:pPr>
    <w:rPr>
      <w:rFonts w:eastAsia="楷体_GB2312"/>
      <w:sz w:val="26"/>
      <w:szCs w:val="20"/>
    </w:rPr>
  </w:style>
  <w:style w:type="paragraph" w:styleId="980">
    <w:name w:val="Body Text"/>
    <w:basedOn w:val="963"/>
    <w:next w:val="981"/>
    <w:link w:val="1043"/>
    <w:uiPriority w:val="99"/>
    <w:qFormat/>
    <w:pPr>
      <w:tabs>
        <w:tab w:val="left" w:pos="5250" w:leader="none"/>
      </w:tabs>
    </w:pPr>
    <w:rPr>
      <w:sz w:val="28"/>
    </w:rPr>
  </w:style>
  <w:style w:type="paragraph" w:styleId="981">
    <w:name w:val="Normal Indent"/>
    <w:basedOn w:val="963"/>
    <w:next w:val="963"/>
    <w:link w:val="1041"/>
    <w:uiPriority w:val="0"/>
    <w:qFormat/>
    <w:pPr>
      <w:ind w:firstLine="420"/>
      <w:jc w:val="left"/>
    </w:pPr>
    <w:rPr>
      <w:rFonts w:eastAsia="楷体_GB2312"/>
      <w:sz w:val="24"/>
      <w:szCs w:val="20"/>
    </w:rPr>
  </w:style>
  <w:style w:type="paragraph" w:styleId="982">
    <w:name w:val="toc 6"/>
    <w:basedOn w:val="963"/>
    <w:next w:val="963"/>
    <w:uiPriority w:val="39"/>
    <w:qFormat/>
    <w:pPr>
      <w:ind w:left="2100"/>
    </w:pPr>
    <w:rPr>
      <w:rFonts w:eastAsia="楷体_GB2312"/>
      <w:sz w:val="26"/>
      <w:szCs w:val="20"/>
    </w:rPr>
  </w:style>
  <w:style w:type="paragraph" w:styleId="983">
    <w:name w:val="index 8"/>
    <w:basedOn w:val="963"/>
    <w:next w:val="963"/>
    <w:uiPriority w:val="0"/>
    <w:qFormat/>
    <w:pPr>
      <w:ind w:left="2940"/>
    </w:pPr>
    <w:rPr>
      <w:rFonts w:eastAsia="楷体_GB2312"/>
      <w:sz w:val="26"/>
      <w:szCs w:val="20"/>
    </w:rPr>
  </w:style>
  <w:style w:type="paragraph" w:styleId="984">
    <w:name w:val="List Number"/>
    <w:basedOn w:val="963"/>
    <w:uiPriority w:val="0"/>
    <w:qFormat/>
    <w:pPr>
      <w:ind w:left="1125" w:hanging="555"/>
      <w:tabs>
        <w:tab w:val="left" w:pos="1125" w:leader="none"/>
      </w:tabs>
    </w:pPr>
  </w:style>
  <w:style w:type="paragraph" w:styleId="985">
    <w:name w:val="index 5"/>
    <w:basedOn w:val="963"/>
    <w:next w:val="963"/>
    <w:uiPriority w:val="0"/>
    <w:qFormat/>
    <w:pPr>
      <w:ind w:left="1680"/>
    </w:pPr>
    <w:rPr>
      <w:rFonts w:eastAsia="楷体_GB2312"/>
      <w:sz w:val="26"/>
      <w:szCs w:val="20"/>
    </w:rPr>
  </w:style>
  <w:style w:type="paragraph" w:styleId="986">
    <w:name w:val="Document Map"/>
    <w:basedOn w:val="963"/>
    <w:uiPriority w:val="0"/>
    <w:semiHidden/>
    <w:qFormat/>
    <w:pPr>
      <w:shd w:val="clear" w:color="auto" w:fill="000080"/>
    </w:pPr>
  </w:style>
  <w:style w:type="paragraph" w:styleId="987">
    <w:name w:val="index 6"/>
    <w:basedOn w:val="963"/>
    <w:next w:val="963"/>
    <w:uiPriority w:val="0"/>
    <w:qFormat/>
    <w:pPr>
      <w:ind w:left="2100"/>
    </w:pPr>
    <w:rPr>
      <w:rFonts w:eastAsia="楷体_GB2312"/>
      <w:sz w:val="26"/>
      <w:szCs w:val="20"/>
    </w:rPr>
  </w:style>
  <w:style w:type="paragraph" w:styleId="988">
    <w:name w:val="List 2"/>
    <w:basedOn w:val="963"/>
    <w:uiPriority w:val="0"/>
    <w:qFormat/>
    <w:pPr>
      <w:ind w:left="840" w:hanging="420"/>
    </w:pPr>
  </w:style>
  <w:style w:type="paragraph" w:styleId="989">
    <w:name w:val="Block Text"/>
    <w:basedOn w:val="963"/>
    <w:uiPriority w:val="0"/>
    <w:qFormat/>
    <w:pPr>
      <w:ind w:left="630" w:right="-609" w:firstLine="420"/>
      <w:spacing w:line="360" w:lineRule="auto"/>
    </w:pPr>
    <w:rPr>
      <w:rFonts w:hint="eastAsia" w:ascii="仿宋_GB2312" w:eastAsia="仿宋_GB2312"/>
      <w:szCs w:val="20"/>
    </w:rPr>
  </w:style>
  <w:style w:type="paragraph" w:styleId="990">
    <w:name w:val="index 4"/>
    <w:basedOn w:val="963"/>
    <w:next w:val="963"/>
    <w:uiPriority w:val="0"/>
    <w:qFormat/>
    <w:pPr>
      <w:ind w:left="1260"/>
    </w:pPr>
    <w:rPr>
      <w:rFonts w:eastAsia="楷体_GB2312"/>
      <w:sz w:val="26"/>
      <w:szCs w:val="20"/>
    </w:rPr>
  </w:style>
  <w:style w:type="paragraph" w:styleId="991">
    <w:name w:val="toc 5"/>
    <w:basedOn w:val="963"/>
    <w:next w:val="963"/>
    <w:uiPriority w:val="0"/>
    <w:qFormat/>
    <w:pPr>
      <w:ind w:left="1680"/>
    </w:pPr>
    <w:rPr>
      <w:rFonts w:eastAsia="楷体_GB2312"/>
      <w:sz w:val="26"/>
      <w:szCs w:val="20"/>
    </w:rPr>
  </w:style>
  <w:style w:type="paragraph" w:styleId="992">
    <w:name w:val="toc 3"/>
    <w:basedOn w:val="963"/>
    <w:next w:val="963"/>
    <w:uiPriority w:val="39"/>
    <w:qFormat/>
    <w:pPr>
      <w:ind w:left="840"/>
    </w:pPr>
    <w:rPr>
      <w:szCs w:val="20"/>
    </w:rPr>
  </w:style>
  <w:style w:type="paragraph" w:styleId="993">
    <w:name w:val="Plain Text"/>
    <w:basedOn w:val="963"/>
    <w:link w:val="1044"/>
    <w:uiPriority w:val="0"/>
    <w:qFormat/>
    <w:rPr>
      <w:rFonts w:ascii="宋体" w:hAnsi="Courier New" w:eastAsia="楷体_GB2312"/>
      <w:sz w:val="28"/>
      <w:szCs w:val="20"/>
    </w:rPr>
  </w:style>
  <w:style w:type="paragraph" w:styleId="994">
    <w:name w:val="toc 8"/>
    <w:basedOn w:val="963"/>
    <w:next w:val="963"/>
    <w:uiPriority w:val="0"/>
    <w:qFormat/>
    <w:pPr>
      <w:ind w:left="2940"/>
    </w:pPr>
    <w:rPr>
      <w:rFonts w:eastAsia="楷体_GB2312"/>
      <w:sz w:val="26"/>
      <w:szCs w:val="20"/>
    </w:rPr>
  </w:style>
  <w:style w:type="paragraph" w:styleId="995">
    <w:name w:val="index 3"/>
    <w:basedOn w:val="963"/>
    <w:next w:val="963"/>
    <w:uiPriority w:val="0"/>
    <w:qFormat/>
    <w:pPr>
      <w:ind w:left="840"/>
    </w:pPr>
    <w:rPr>
      <w:rFonts w:eastAsia="楷体_GB2312"/>
      <w:sz w:val="26"/>
      <w:szCs w:val="20"/>
    </w:rPr>
  </w:style>
  <w:style w:type="paragraph" w:styleId="996">
    <w:name w:val="Date"/>
    <w:basedOn w:val="963"/>
    <w:next w:val="963"/>
    <w:link w:val="1045"/>
    <w:uiPriority w:val="99"/>
    <w:qFormat/>
    <w:rPr>
      <w:szCs w:val="20"/>
    </w:rPr>
  </w:style>
  <w:style w:type="paragraph" w:styleId="997">
    <w:name w:val="Body Text Indent 2"/>
    <w:basedOn w:val="963"/>
    <w:link w:val="1046"/>
    <w:uiPriority w:val="0"/>
    <w:qFormat/>
    <w:pPr>
      <w:ind w:left="840"/>
      <w:spacing w:line="360" w:lineRule="auto"/>
      <w:tabs>
        <w:tab w:val="left" w:pos="630" w:leader="none"/>
      </w:tabs>
    </w:pPr>
    <w:rPr>
      <w:rFonts w:ascii="宋体" w:hAnsi="宋体"/>
    </w:rPr>
  </w:style>
  <w:style w:type="paragraph" w:styleId="998">
    <w:name w:val="Balloon Text"/>
    <w:basedOn w:val="963"/>
    <w:link w:val="1178"/>
    <w:uiPriority w:val="99"/>
    <w:qFormat/>
    <w:rPr>
      <w:sz w:val="18"/>
      <w:szCs w:val="18"/>
    </w:rPr>
  </w:style>
  <w:style w:type="paragraph" w:styleId="999">
    <w:name w:val="Footer"/>
    <w:basedOn w:val="963"/>
    <w:next w:val="963"/>
    <w:link w:val="1166"/>
    <w:uiPriority w:val="99"/>
    <w:qFormat/>
    <w:pPr>
      <w:jc w:val="left"/>
      <w:tabs>
        <w:tab w:val="center" w:pos="4153" w:leader="none"/>
        <w:tab w:val="right" w:pos="8306" w:leader="none"/>
      </w:tabs>
    </w:pPr>
    <w:rPr>
      <w:sz w:val="18"/>
      <w:szCs w:val="18"/>
    </w:rPr>
  </w:style>
  <w:style w:type="paragraph" w:styleId="1000">
    <w:name w:val="envelope return"/>
    <w:basedOn w:val="963"/>
    <w:uiPriority w:val="0"/>
    <w:qFormat/>
    <w:rPr>
      <w:rFonts w:ascii="Arial" w:hAnsi="Arial"/>
    </w:rPr>
  </w:style>
  <w:style w:type="paragraph" w:styleId="1001">
    <w:name w:val="Body Text First Indent 2"/>
    <w:basedOn w:val="975"/>
    <w:uiPriority w:val="0"/>
    <w:qFormat/>
    <w:pPr>
      <w:ind w:left="420" w:firstLine="200"/>
      <w:spacing w:after="120" w:line="240" w:lineRule="auto"/>
    </w:pPr>
    <w:rPr>
      <w:rFonts w:ascii="Times New Roman" w:hAnsi="Times New Roman"/>
      <w:sz w:val="21"/>
      <w:szCs w:val="20"/>
    </w:rPr>
  </w:style>
  <w:style w:type="paragraph" w:styleId="1002">
    <w:name w:val="Header"/>
    <w:basedOn w:val="963"/>
    <w:next w:val="980"/>
    <w:link w:val="1177"/>
    <w:uiPriority w:val="99"/>
    <w:qFormat/>
    <w:pPr>
      <w:jc w:val="center"/>
      <w:tabs>
        <w:tab w:val="center" w:pos="4153" w:leader="none"/>
        <w:tab w:val="right" w:pos="8306" w:leader="none"/>
      </w:tabs>
      <w:pBdr>
        <w:bottom w:val="single" w:color="auto" w:sz="6" w:space="1"/>
      </w:pBdr>
    </w:pPr>
    <w:rPr>
      <w:sz w:val="18"/>
      <w:szCs w:val="18"/>
    </w:rPr>
  </w:style>
  <w:style w:type="paragraph" w:styleId="1003">
    <w:name w:val="toc 1"/>
    <w:basedOn w:val="963"/>
    <w:next w:val="963"/>
    <w:uiPriority w:val="39"/>
    <w:qFormat/>
    <w:pPr>
      <w:numPr>
        <w:ilvl w:val="0"/>
        <w:numId w:val="1"/>
      </w:numPr>
      <w:ind w:left="567" w:hanging="567"/>
      <w:spacing w:line="400" w:lineRule="exact"/>
      <w:tabs>
        <w:tab w:val="left" w:pos="567" w:leader="none"/>
      </w:tabs>
      <w:outlineLvl w:val="1"/>
    </w:pPr>
    <w:rPr>
      <w:rFonts w:ascii="宋体" w:hAnsi="宋体"/>
      <w:b/>
      <w:szCs w:val="21"/>
    </w:rPr>
  </w:style>
  <w:style w:type="paragraph" w:styleId="1004">
    <w:name w:val="toc 4"/>
    <w:basedOn w:val="963"/>
    <w:next w:val="963"/>
    <w:uiPriority w:val="0"/>
    <w:qFormat/>
    <w:pPr>
      <w:ind w:left="1260"/>
    </w:pPr>
    <w:rPr>
      <w:rFonts w:eastAsia="楷体_GB2312"/>
      <w:sz w:val="26"/>
      <w:szCs w:val="20"/>
    </w:rPr>
  </w:style>
  <w:style w:type="paragraph" w:styleId="1005">
    <w:name w:val="index heading"/>
    <w:basedOn w:val="963"/>
    <w:next w:val="1006"/>
    <w:uiPriority w:val="0"/>
    <w:semiHidden/>
    <w:qFormat/>
    <w:rPr>
      <w:rFonts w:eastAsia="楷体_GB2312"/>
      <w:sz w:val="26"/>
      <w:szCs w:val="20"/>
    </w:rPr>
  </w:style>
  <w:style w:type="paragraph" w:styleId="1006">
    <w:name w:val="index 1"/>
    <w:basedOn w:val="963"/>
    <w:next w:val="963"/>
    <w:uiPriority w:val="0"/>
    <w:semiHidden/>
    <w:qFormat/>
  </w:style>
  <w:style w:type="paragraph" w:styleId="1007">
    <w:name w:val="Subtitle"/>
    <w:basedOn w:val="963"/>
    <w:next w:val="963"/>
    <w:uiPriority w:val="0"/>
    <w:qFormat/>
    <w:pPr>
      <w:jc w:val="left"/>
      <w:outlineLvl w:val="1"/>
    </w:pPr>
    <w:rPr>
      <w:rFonts w:ascii="Calibri Light" w:hAnsi="Calibri Light" w:eastAsia="仿宋"/>
      <w:b/>
      <w:bCs/>
      <w:sz w:val="28"/>
      <w:szCs w:val="32"/>
    </w:rPr>
  </w:style>
  <w:style w:type="paragraph" w:styleId="1008">
    <w:name w:val="List"/>
    <w:basedOn w:val="963"/>
    <w:uiPriority w:val="0"/>
    <w:qFormat/>
    <w:pPr>
      <w:ind w:left="420" w:hanging="420"/>
    </w:pPr>
  </w:style>
  <w:style w:type="paragraph" w:styleId="1009">
    <w:name w:val="footnote text"/>
    <w:basedOn w:val="963"/>
    <w:link w:val="1047"/>
    <w:uiPriority w:val="0"/>
    <w:qFormat/>
    <w:pPr>
      <w:jc w:val="left"/>
    </w:pPr>
    <w:rPr>
      <w:rFonts w:eastAsia="楷体_GB2312"/>
      <w:sz w:val="18"/>
      <w:szCs w:val="20"/>
    </w:rPr>
  </w:style>
  <w:style w:type="paragraph" w:styleId="1010">
    <w:name w:val="Body Text Indent 3"/>
    <w:basedOn w:val="963"/>
    <w:uiPriority w:val="0"/>
    <w:qFormat/>
    <w:pPr>
      <w:ind w:firstLine="480"/>
      <w:spacing w:line="360" w:lineRule="auto"/>
      <w:widowControl/>
    </w:pPr>
    <w:rPr>
      <w:sz w:val="24"/>
    </w:rPr>
  </w:style>
  <w:style w:type="paragraph" w:styleId="1011">
    <w:name w:val="index 7"/>
    <w:basedOn w:val="963"/>
    <w:next w:val="963"/>
    <w:uiPriority w:val="0"/>
    <w:qFormat/>
    <w:pPr>
      <w:ind w:left="2520"/>
    </w:pPr>
    <w:rPr>
      <w:rFonts w:eastAsia="楷体_GB2312"/>
      <w:sz w:val="26"/>
      <w:szCs w:val="20"/>
    </w:rPr>
  </w:style>
  <w:style w:type="paragraph" w:styleId="1012">
    <w:name w:val="index 9"/>
    <w:basedOn w:val="963"/>
    <w:next w:val="963"/>
    <w:uiPriority w:val="0"/>
    <w:qFormat/>
    <w:pPr>
      <w:ind w:left="3360"/>
    </w:pPr>
    <w:rPr>
      <w:rFonts w:eastAsia="楷体_GB2312"/>
      <w:sz w:val="26"/>
      <w:szCs w:val="20"/>
    </w:rPr>
  </w:style>
  <w:style w:type="paragraph" w:styleId="1013">
    <w:name w:val="table of figures"/>
    <w:basedOn w:val="963"/>
    <w:next w:val="963"/>
    <w:uiPriority w:val="0"/>
    <w:qFormat/>
    <w:pPr>
      <w:ind w:left="420" w:hanging="420"/>
      <w:jc w:val="left"/>
    </w:pPr>
    <w:rPr>
      <w:rFonts w:eastAsia="楷体_GB2312"/>
      <w:smallCaps/>
      <w:sz w:val="24"/>
      <w:szCs w:val="20"/>
    </w:rPr>
  </w:style>
  <w:style w:type="paragraph" w:styleId="1014">
    <w:name w:val="toc 2"/>
    <w:basedOn w:val="963"/>
    <w:next w:val="963"/>
    <w:uiPriority w:val="39"/>
    <w:qFormat/>
    <w:pPr>
      <w:ind w:left="420"/>
      <w:spacing w:line="400" w:lineRule="exact"/>
      <w:tabs>
        <w:tab w:val="right" w:pos="9628" w:leader="dot"/>
      </w:tabs>
    </w:pPr>
    <w:rPr>
      <w:b/>
      <w:sz w:val="24"/>
      <w:szCs w:val="20"/>
    </w:rPr>
  </w:style>
  <w:style w:type="paragraph" w:styleId="1015">
    <w:name w:val="toc 9"/>
    <w:basedOn w:val="963"/>
    <w:next w:val="963"/>
    <w:uiPriority w:val="0"/>
    <w:qFormat/>
    <w:pPr>
      <w:ind w:left="3360"/>
    </w:pPr>
    <w:rPr>
      <w:rFonts w:eastAsia="楷体_GB2312"/>
      <w:sz w:val="26"/>
      <w:szCs w:val="20"/>
    </w:rPr>
  </w:style>
  <w:style w:type="paragraph" w:styleId="1016">
    <w:name w:val="Body Text 2"/>
    <w:basedOn w:val="963"/>
    <w:link w:val="1048"/>
    <w:uiPriority w:val="0"/>
    <w:qFormat/>
    <w:pPr>
      <w:spacing w:after="120" w:line="480" w:lineRule="auto"/>
    </w:pPr>
    <w:rPr>
      <w:rFonts w:eastAsia="楷体_GB2312"/>
      <w:sz w:val="26"/>
      <w:szCs w:val="20"/>
    </w:rPr>
  </w:style>
  <w:style w:type="paragraph" w:styleId="1017">
    <w:name w:val="HTML Preformatted"/>
    <w:basedOn w:val="963"/>
    <w:link w:val="104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18">
    <w:name w:val="Normal (Web)"/>
    <w:basedOn w:val="963"/>
    <w:uiPriority w:val="0"/>
    <w:qFormat/>
    <w:pPr>
      <w:jc w:val="left"/>
      <w:spacing w:before="100" w:beforeAutospacing="1" w:after="100" w:afterAutospacing="1"/>
      <w:widowControl/>
    </w:pPr>
    <w:rPr>
      <w:rFonts w:ascii="Arial Unicode MS" w:hAnsi="Arial Unicode MS" w:eastAsia="Times New Roman"/>
      <w:sz w:val="24"/>
    </w:rPr>
  </w:style>
  <w:style w:type="paragraph" w:styleId="1019">
    <w:name w:val="index 2"/>
    <w:basedOn w:val="963"/>
    <w:next w:val="963"/>
    <w:uiPriority w:val="0"/>
    <w:qFormat/>
    <w:pPr>
      <w:ind w:left="420"/>
    </w:pPr>
    <w:rPr>
      <w:rFonts w:eastAsia="楷体_GB2312"/>
      <w:sz w:val="26"/>
      <w:szCs w:val="20"/>
    </w:rPr>
  </w:style>
  <w:style w:type="paragraph" w:styleId="1020">
    <w:name w:val="Title"/>
    <w:basedOn w:val="963"/>
    <w:next w:val="963"/>
    <w:link w:val="1050"/>
    <w:uiPriority w:val="0"/>
    <w:qFormat/>
    <w:pPr>
      <w:jc w:val="center"/>
      <w:spacing w:before="240" w:after="60"/>
      <w:outlineLvl w:val="0"/>
    </w:pPr>
    <w:rPr>
      <w:rFonts w:ascii="等线 Light" w:hAnsi="等线 Light"/>
      <w:b/>
      <w:bCs/>
      <w:sz w:val="32"/>
      <w:szCs w:val="32"/>
    </w:rPr>
  </w:style>
  <w:style w:type="character" w:styleId="1021">
    <w:name w:val="Strong"/>
    <w:uiPriority w:val="0"/>
    <w:qFormat/>
    <w:rPr>
      <w:b/>
      <w:bCs/>
    </w:rPr>
  </w:style>
  <w:style w:type="character" w:styleId="1022">
    <w:name w:val="page number"/>
    <w:basedOn w:val="973"/>
    <w:uiPriority w:val="0"/>
    <w:qFormat/>
  </w:style>
  <w:style w:type="character" w:styleId="1023">
    <w:name w:val="FollowedHyperlink"/>
    <w:uiPriority w:val="99"/>
    <w:qFormat/>
    <w:rPr>
      <w:color w:val="333333"/>
      <w:u w:val="none"/>
    </w:rPr>
  </w:style>
  <w:style w:type="character" w:styleId="1024">
    <w:name w:val="Emphasis"/>
    <w:uiPriority w:val="0"/>
    <w:qFormat/>
    <w:rPr>
      <w:color w:val="cc0000"/>
    </w:rPr>
  </w:style>
  <w:style w:type="character" w:styleId="1025">
    <w:name w:val="Hyperlink"/>
    <w:uiPriority w:val="99"/>
    <w:qFormat/>
    <w:rPr>
      <w:color w:val="333333"/>
      <w:u w:val="none"/>
    </w:rPr>
  </w:style>
  <w:style w:type="character" w:styleId="1026">
    <w:name w:val="annotation reference"/>
    <w:uiPriority w:val="0"/>
    <w:qFormat/>
    <w:rPr>
      <w:sz w:val="21"/>
      <w:szCs w:val="21"/>
    </w:rPr>
  </w:style>
  <w:style w:type="character" w:styleId="1027">
    <w:name w:val="footnote reference"/>
    <w:uiPriority w:val="0"/>
    <w:qFormat/>
    <w:rPr>
      <w:vertAlign w:val="superscript"/>
    </w:rPr>
  </w:style>
  <w:style w:type="table" w:styleId="1028">
    <w:name w:val="Table Grid"/>
    <w:basedOn w:val="974"/>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1029">
    <w:name w:val="Table Classic 4"/>
    <w:basedOn w:val="974"/>
    <w:uiPriority w:val="0"/>
    <w:qFormat/>
    <w:pPr>
      <w:jc w:val="both"/>
      <w:widowControl w:val="off"/>
    </w:pPr>
    <w:tblPr>
      <w:tblBorders>
        <w:top w:val="single" w:color="000000" w:sz="12" w:space="0"/>
        <w:left w:val="single" w:color="000000" w:sz="6" w:space="0"/>
        <w:bottom w:val="single" w:color="000000" w:sz="12" w:space="0"/>
        <w:right w:val="single" w:color="000000" w:sz="6" w:space="0"/>
      </w:tblBorders>
      <w:tblLayout w:type="fixed"/>
    </w:tbl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ffffff"/>
      </w:rPr>
      <w:tcPr>
        <w:shd w:val="pct50" w:color="00008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lastRow">
      <w:rPr>
        <w:color w:val="000080"/>
      </w:rPr>
      <w:tcPr>
        <w:shd w:val="pct50" w:color="00000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n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30" w:customStyle="1">
    <w:name w:val="段"/>
    <w:next w:val="963"/>
    <w:uiPriority w:val="0"/>
    <w:qFormat/>
    <w:pPr>
      <w:jc w:val="both"/>
      <w:spacing w:line="360" w:lineRule="auto"/>
    </w:pPr>
    <w:rPr>
      <w:rFonts w:ascii="宋体" w:hAnsi="宋体" w:eastAsia="宋体" w:cs="Times New Roman"/>
      <w:sz w:val="24"/>
      <w:szCs w:val="22"/>
      <w:lang w:val="en-US" w:eastAsia="zh-CN" w:bidi="ar-SA"/>
    </w:rPr>
  </w:style>
  <w:style w:type="paragraph" w:styleId="1031" w:customStyle="1">
    <w:name w:val="首行缩进"/>
    <w:basedOn w:val="963"/>
    <w:uiPriority w:val="0"/>
    <w:qFormat/>
    <w:pPr>
      <w:ind w:firstLine="480"/>
      <w:jc w:val="left"/>
      <w:spacing w:line="360" w:lineRule="auto"/>
    </w:pPr>
    <w:rPr>
      <w:rFonts w:ascii="宋体" w:hAnsi="宋体"/>
      <w:sz w:val="24"/>
    </w:rPr>
  </w:style>
  <w:style w:type="paragraph" w:styleId="1032"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1033" w:customStyle="1">
    <w:name w:val="正文文本缩进 字符"/>
    <w:link w:val="975"/>
    <w:uiPriority w:val="0"/>
    <w:qFormat/>
    <w:rPr>
      <w:sz w:val="28"/>
      <w:szCs w:val="24"/>
    </w:rPr>
  </w:style>
  <w:style w:type="character" w:styleId="1034" w:customStyle="1">
    <w:name w:val="标题 1 字符1"/>
    <w:link w:val="964"/>
    <w:uiPriority w:val="0"/>
    <w:qFormat/>
    <w:rPr>
      <w:b/>
      <w:bCs/>
      <w:sz w:val="44"/>
      <w:szCs w:val="44"/>
    </w:rPr>
  </w:style>
  <w:style w:type="character" w:styleId="1035" w:customStyle="1">
    <w:name w:val="标题 2 字符"/>
    <w:link w:val="965"/>
    <w:uiPriority w:val="0"/>
    <w:qFormat/>
    <w:rPr>
      <w:rFonts w:ascii="Arial" w:hAnsi="Arial" w:eastAsia="黑体"/>
      <w:b/>
      <w:bCs/>
      <w:sz w:val="32"/>
      <w:szCs w:val="32"/>
    </w:rPr>
  </w:style>
  <w:style w:type="character" w:styleId="1036" w:customStyle="1">
    <w:name w:val="标题 5 字符"/>
    <w:link w:val="968"/>
    <w:uiPriority w:val="0"/>
    <w:qFormat/>
    <w:rPr>
      <w:rFonts w:ascii="宋体" w:hAnsi="Tms Rmn"/>
      <w:b/>
      <w:sz w:val="28"/>
    </w:rPr>
  </w:style>
  <w:style w:type="character" w:styleId="1037" w:customStyle="1">
    <w:name w:val="标题 6 字符"/>
    <w:link w:val="969"/>
    <w:uiPriority w:val="0"/>
    <w:qFormat/>
    <w:rPr>
      <w:rFonts w:ascii="黑体" w:hAnsi="Tms Rmn" w:eastAsia="黑体"/>
      <w:b/>
      <w:sz w:val="24"/>
    </w:rPr>
  </w:style>
  <w:style w:type="character" w:styleId="1038" w:customStyle="1">
    <w:name w:val="标题 7 字符"/>
    <w:link w:val="970"/>
    <w:uiPriority w:val="0"/>
    <w:qFormat/>
    <w:rPr>
      <w:rFonts w:ascii="宋体" w:hAnsi="Tms Rmn"/>
      <w:b/>
      <w:sz w:val="24"/>
    </w:rPr>
  </w:style>
  <w:style w:type="character" w:styleId="1039" w:customStyle="1">
    <w:name w:val="标题 8 字符"/>
    <w:link w:val="971"/>
    <w:uiPriority w:val="0"/>
    <w:qFormat/>
    <w:rPr>
      <w:rFonts w:ascii="Arial" w:hAnsi="Arial" w:eastAsia="黑体"/>
      <w:sz w:val="24"/>
      <w:szCs w:val="24"/>
    </w:rPr>
  </w:style>
  <w:style w:type="character" w:styleId="1040" w:customStyle="1">
    <w:name w:val="标题 9 字符"/>
    <w:link w:val="972"/>
    <w:uiPriority w:val="0"/>
    <w:qFormat/>
    <w:rPr>
      <w:rFonts w:ascii="Arial" w:hAnsi="Arial" w:eastAsia="黑体"/>
      <w:sz w:val="21"/>
      <w:szCs w:val="21"/>
    </w:rPr>
  </w:style>
  <w:style w:type="character" w:styleId="1041" w:customStyle="1">
    <w:name w:val="正文缩进 字符1"/>
    <w:link w:val="981"/>
    <w:uiPriority w:val="0"/>
    <w:qFormat/>
    <w:rPr>
      <w:rFonts w:eastAsia="楷体_GB2312"/>
      <w:sz w:val="24"/>
      <w:lang w:val="en-US" w:eastAsia="zh-CN" w:bidi="ar-SA"/>
    </w:rPr>
  </w:style>
  <w:style w:type="character" w:styleId="1042" w:customStyle="1">
    <w:name w:val="批注文字 字符1"/>
    <w:link w:val="977"/>
    <w:uiPriority w:val="99"/>
    <w:qFormat/>
    <w:rPr>
      <w:sz w:val="21"/>
      <w:szCs w:val="24"/>
    </w:rPr>
  </w:style>
  <w:style w:type="character" w:styleId="1043" w:customStyle="1">
    <w:name w:val="正文文本 字符"/>
    <w:link w:val="980"/>
    <w:uiPriority w:val="99"/>
    <w:qFormat/>
    <w:rPr>
      <w:sz w:val="28"/>
      <w:szCs w:val="24"/>
    </w:rPr>
  </w:style>
  <w:style w:type="character" w:styleId="1044" w:customStyle="1">
    <w:name w:val="纯文本 字符"/>
    <w:link w:val="993"/>
    <w:uiPriority w:val="0"/>
    <w:qFormat/>
    <w:rPr>
      <w:rFonts w:ascii="宋体" w:hAnsi="Courier New" w:eastAsia="楷体_GB2312"/>
      <w:sz w:val="28"/>
    </w:rPr>
  </w:style>
  <w:style w:type="character" w:styleId="1045" w:customStyle="1">
    <w:name w:val="日期 字符"/>
    <w:link w:val="996"/>
    <w:uiPriority w:val="99"/>
    <w:qFormat/>
    <w:rPr>
      <w:sz w:val="21"/>
    </w:rPr>
  </w:style>
  <w:style w:type="character" w:styleId="1046" w:customStyle="1">
    <w:name w:val="正文文本缩进 2 字符"/>
    <w:link w:val="997"/>
    <w:uiPriority w:val="0"/>
    <w:qFormat/>
    <w:rPr>
      <w:rFonts w:ascii="宋体" w:hAnsi="宋体"/>
      <w:sz w:val="21"/>
      <w:szCs w:val="24"/>
    </w:rPr>
  </w:style>
  <w:style w:type="character" w:styleId="1047" w:customStyle="1">
    <w:name w:val="脚注文本 字符"/>
    <w:link w:val="1009"/>
    <w:uiPriority w:val="0"/>
    <w:qFormat/>
    <w:rPr>
      <w:rFonts w:eastAsia="楷体_GB2312"/>
      <w:sz w:val="18"/>
    </w:rPr>
  </w:style>
  <w:style w:type="character" w:styleId="1048" w:customStyle="1">
    <w:name w:val="正文文本 2 字符"/>
    <w:link w:val="1016"/>
    <w:uiPriority w:val="0"/>
    <w:qFormat/>
    <w:rPr>
      <w:rFonts w:eastAsia="楷体_GB2312"/>
      <w:sz w:val="26"/>
    </w:rPr>
  </w:style>
  <w:style w:type="character" w:styleId="1049" w:customStyle="1">
    <w:name w:val="HTML 预设格式 字符"/>
    <w:link w:val="1017"/>
    <w:uiPriority w:val="99"/>
    <w:qFormat/>
    <w:rPr>
      <w:rFonts w:ascii="宋体" w:hAnsi="宋体" w:cs="宋体"/>
      <w:sz w:val="24"/>
      <w:szCs w:val="24"/>
    </w:rPr>
  </w:style>
  <w:style w:type="character" w:styleId="1050" w:customStyle="1">
    <w:name w:val="标题 字符"/>
    <w:link w:val="1020"/>
    <w:uiPriority w:val="0"/>
    <w:qFormat/>
    <w:rPr>
      <w:rFonts w:ascii="等线 Light" w:hAnsi="等线 Light"/>
      <w:b/>
      <w:bCs/>
      <w:sz w:val="32"/>
      <w:szCs w:val="32"/>
    </w:rPr>
  </w:style>
  <w:style w:type="character" w:styleId="1051" w:customStyle="1">
    <w:name w:val="正文文本首行缩进 字符"/>
    <w:link w:val="979"/>
    <w:uiPriority w:val="0"/>
    <w:qFormat/>
    <w:rPr>
      <w:rFonts w:eastAsia="楷体_GB2312"/>
      <w:sz w:val="26"/>
      <w:szCs w:val="24"/>
    </w:rPr>
  </w:style>
  <w:style w:type="character" w:styleId="1052" w:customStyle="1">
    <w:name w:val="正文缩进 字符"/>
    <w:uiPriority w:val="0"/>
    <w:qFormat/>
    <w:rPr>
      <w:rFonts w:eastAsia="楷体_GB2312"/>
      <w:sz w:val="24"/>
      <w:lang w:val="en-US" w:eastAsia="zh-CN" w:bidi="ar-SA"/>
    </w:rPr>
  </w:style>
  <w:style w:type="character" w:styleId="1053" w:customStyle="1">
    <w:name w:val="Char Char4"/>
    <w:uiPriority w:val="0"/>
    <w:qFormat/>
    <w:rPr>
      <w:b/>
      <w:bCs/>
      <w:sz w:val="21"/>
      <w:szCs w:val="24"/>
    </w:rPr>
  </w:style>
  <w:style w:type="character" w:styleId="1054" w:customStyle="1">
    <w:name w:val="Char Char"/>
    <w:uiPriority w:val="0"/>
    <w:qFormat/>
    <w:rPr>
      <w:sz w:val="18"/>
      <w:szCs w:val="18"/>
    </w:rPr>
  </w:style>
  <w:style w:type="character" w:styleId="1055" w:customStyle="1">
    <w:name w:val="Andy_2级 Char"/>
    <w:link w:val="1056"/>
    <w:uiPriority w:val="0"/>
    <w:qFormat/>
    <w:rPr>
      <w:rFonts w:ascii="Calibri" w:hAnsi="Calibri"/>
      <w:sz w:val="24"/>
    </w:rPr>
  </w:style>
  <w:style w:type="paragraph" w:styleId="1056" w:customStyle="1">
    <w:name w:val="Andy_2级"/>
    <w:basedOn w:val="1057"/>
    <w:link w:val="1055"/>
    <w:uiPriority w:val="0"/>
    <w:qFormat/>
    <w:pPr>
      <w:ind w:firstLine="510"/>
    </w:pPr>
    <w:rPr>
      <w:szCs w:val="20"/>
    </w:rPr>
  </w:style>
  <w:style w:type="paragraph" w:styleId="1057" w:customStyle="1">
    <w:name w:val="Andy_二级"/>
    <w:basedOn w:val="963"/>
    <w:uiPriority w:val="0"/>
    <w:qFormat/>
    <w:pPr>
      <w:numPr>
        <w:ilvl w:val="1"/>
        <w:numId w:val="2"/>
      </w:numPr>
      <w:ind w:left="0" w:firstLine="0"/>
      <w:spacing w:line="360" w:lineRule="auto"/>
    </w:pPr>
    <w:rPr>
      <w:sz w:val="24"/>
      <w:szCs w:val="22"/>
    </w:rPr>
  </w:style>
  <w:style w:type="character" w:styleId="1058" w:customStyle="1">
    <w:name w:val="批注文字 Char"/>
    <w:uiPriority w:val="0"/>
    <w:qFormat/>
    <w:rPr>
      <w:rFonts w:eastAsia="楷体_GB2312"/>
      <w:sz w:val="26"/>
    </w:rPr>
  </w:style>
  <w:style w:type="character" w:styleId="1059" w:customStyle="1">
    <w:name w:val="标题 Char2"/>
    <w:uiPriority w:val="0"/>
    <w:qFormat/>
    <w:rPr>
      <w:rFonts w:ascii="Cambria" w:hAnsi="Cambria" w:cs="Times New Roman"/>
      <w:b/>
      <w:bCs/>
      <w:sz w:val="32"/>
      <w:szCs w:val="32"/>
    </w:rPr>
  </w:style>
  <w:style w:type="character" w:styleId="1060" w:customStyle="1">
    <w:name w:val="Char Char5"/>
    <w:uiPriority w:val="0"/>
    <w:qFormat/>
    <w:rPr>
      <w:rFonts w:eastAsia="楷体_GB2312"/>
      <w:sz w:val="24"/>
    </w:rPr>
  </w:style>
  <w:style w:type="character" w:styleId="1061" w:customStyle="1">
    <w:name w:val="a-size-large1"/>
    <w:uiPriority w:val="0"/>
    <w:qFormat/>
    <w:rPr>
      <w:rFonts w:hint="default" w:ascii="Arial" w:hAnsi="Arial" w:cs="Arial"/>
    </w:rPr>
  </w:style>
  <w:style w:type="character" w:styleId="1062" w:customStyle="1">
    <w:name w:val="CL 正文1.25 Char"/>
    <w:link w:val="1063"/>
    <w:uiPriority w:val="0"/>
    <w:qFormat/>
    <w:rPr>
      <w:rFonts w:ascii="Cambria" w:hAnsi="Cambria"/>
      <w:spacing w:val="4"/>
      <w:sz w:val="24"/>
      <w:szCs w:val="21"/>
    </w:rPr>
  </w:style>
  <w:style w:type="paragraph" w:styleId="1063" w:customStyle="1">
    <w:name w:val="CL 正文1.25"/>
    <w:basedOn w:val="963"/>
    <w:link w:val="1062"/>
    <w:uiPriority w:val="0"/>
    <w:qFormat/>
    <w:pPr>
      <w:ind w:firstLine="200"/>
      <w:spacing w:line="360" w:lineRule="auto"/>
    </w:pPr>
    <w:rPr>
      <w:rFonts w:ascii="Cambria" w:hAnsi="Cambria"/>
      <w:spacing w:val="4"/>
      <w:sz w:val="24"/>
      <w:szCs w:val="21"/>
    </w:rPr>
  </w:style>
  <w:style w:type="character" w:styleId="1064" w:customStyle="1">
    <w:name w:val="正文文本缩进 2 Char"/>
    <w:uiPriority w:val="0"/>
    <w:qFormat/>
    <w:rPr>
      <w:rFonts w:ascii="宋体"/>
      <w:b/>
      <w:bCs/>
      <w:sz w:val="24"/>
    </w:rPr>
  </w:style>
  <w:style w:type="character" w:styleId="1065" w:customStyle="1">
    <w:name w:val="样式 首行缩进:  2 字符 Char"/>
    <w:link w:val="1066"/>
    <w:uiPriority w:val="0"/>
    <w:qFormat/>
    <w:rPr>
      <w:rFonts w:eastAsia="仿宋_GB2312"/>
      <w:sz w:val="24"/>
    </w:rPr>
  </w:style>
  <w:style w:type="paragraph" w:styleId="1066" w:customStyle="1">
    <w:name w:val="样式 首行缩进:  2 字符"/>
    <w:basedOn w:val="963"/>
    <w:link w:val="1065"/>
    <w:uiPriority w:val="0"/>
    <w:qFormat/>
    <w:pPr>
      <w:ind w:firstLine="560"/>
      <w:spacing w:line="360" w:lineRule="auto"/>
    </w:pPr>
    <w:rPr>
      <w:rFonts w:eastAsia="仿宋_GB2312"/>
      <w:sz w:val="24"/>
      <w:szCs w:val="20"/>
    </w:rPr>
  </w:style>
  <w:style w:type="character" w:styleId="1067" w:customStyle="1">
    <w:name w:val="正文缩进 Char2"/>
    <w:uiPriority w:val="0"/>
    <w:qFormat/>
    <w:rPr>
      <w:rFonts w:eastAsia="楷体_GB2312"/>
      <w:sz w:val="24"/>
      <w:lang w:val="en-US" w:eastAsia="zh-CN" w:bidi="ar-SA"/>
    </w:rPr>
  </w:style>
  <w:style w:type="character" w:styleId="1068" w:customStyle="1">
    <w:name w:val="列出段落 Char"/>
    <w:uiPriority w:val="34"/>
    <w:qFormat/>
    <w:rPr>
      <w:rFonts w:ascii="Calibri" w:hAnsi="Calibri" w:eastAsia="宋体"/>
      <w:sz w:val="22"/>
      <w:lang w:bidi="ar-SA"/>
    </w:rPr>
  </w:style>
  <w:style w:type="character" w:styleId="1069" w:customStyle="1">
    <w:name w:val="ca-221"/>
    <w:uiPriority w:val="0"/>
    <w:qFormat/>
    <w:rPr>
      <w:rFonts w:hint="eastAsia" w:ascii="宋体" w:hAnsi="宋体" w:eastAsia="宋体"/>
      <w:color w:val="ff0000"/>
      <w:sz w:val="24"/>
      <w:szCs w:val="24"/>
    </w:rPr>
  </w:style>
  <w:style w:type="character" w:styleId="1070" w:customStyle="1">
    <w:name w:val="纯文本 Char1"/>
    <w:uiPriority w:val="99"/>
    <w:qFormat/>
    <w:rPr>
      <w:rFonts w:ascii="宋体" w:hAnsi="Courier New" w:eastAsia="楷体_GB2312"/>
      <w:sz w:val="26"/>
      <w:szCs w:val="24"/>
    </w:rPr>
  </w:style>
  <w:style w:type="character" w:styleId="1071" w:customStyle="1">
    <w:name w:val="标题 Char"/>
    <w:uiPriority w:val="0"/>
    <w:qFormat/>
    <w:rPr>
      <w:rFonts w:ascii="Cambria" w:hAnsi="Cambria" w:cs="Times New Roman"/>
      <w:b/>
      <w:bCs/>
      <w:sz w:val="32"/>
      <w:szCs w:val="32"/>
    </w:rPr>
  </w:style>
  <w:style w:type="character" w:styleId="1072" w:customStyle="1">
    <w:name w:val="批注文字 字符"/>
    <w:uiPriority w:val="0"/>
    <w:qFormat/>
    <w:rPr>
      <w:sz w:val="21"/>
      <w:szCs w:val="24"/>
    </w:rPr>
  </w:style>
  <w:style w:type="character" w:styleId="1073" w:customStyle="1">
    <w:name w:val="para1"/>
    <w:uiPriority w:val="0"/>
    <w:qFormat/>
    <w:rPr>
      <w:rFonts w:hint="default" w:ascii="Arial" w:hAnsi="Arial" w:cs="Arial"/>
      <w:sz w:val="18"/>
      <w:szCs w:val="18"/>
    </w:rPr>
  </w:style>
  <w:style w:type="character" w:styleId="1074" w:customStyle="1">
    <w:name w:val="中等深浅网格 1 - 着色 2 字符"/>
    <w:link w:val="1075"/>
    <w:uiPriority w:val="34"/>
    <w:qFormat/>
    <w:rPr>
      <w:sz w:val="21"/>
      <w:szCs w:val="24"/>
    </w:rPr>
  </w:style>
  <w:style w:type="paragraph" w:styleId="1075" w:customStyle="1">
    <w:name w:val="中等深浅网格 1 - 着色 21"/>
    <w:basedOn w:val="963"/>
    <w:link w:val="1074"/>
    <w:uiPriority w:val="34"/>
    <w:qFormat/>
    <w:pPr>
      <w:ind w:firstLine="420"/>
      <w:jc w:val="left"/>
      <w:spacing w:line="360" w:lineRule="auto"/>
    </w:pPr>
  </w:style>
  <w:style w:type="character" w:styleId="1076" w:customStyle="1">
    <w:name w:val="title_emph1"/>
    <w:uiPriority w:val="0"/>
    <w:qFormat/>
    <w:rPr>
      <w:rFonts w:hint="default" w:ascii="Arial" w:hAnsi="Arial" w:cs="Arial"/>
      <w:b/>
      <w:bCs/>
      <w:sz w:val="20"/>
      <w:szCs w:val="20"/>
    </w:rPr>
  </w:style>
  <w:style w:type="character" w:styleId="1077" w:customStyle="1">
    <w:name w:val="正文文本 Char"/>
    <w:uiPriority w:val="0"/>
    <w:qFormat/>
    <w:rPr>
      <w:rFonts w:ascii="楷体_GB2312" w:eastAsia="楷体_GB2312"/>
      <w:sz w:val="28"/>
      <w:lang w:val="en-US" w:eastAsia="zh-CN" w:bidi="ar-SA"/>
    </w:rPr>
  </w:style>
  <w:style w:type="character" w:styleId="1078" w:customStyle="1">
    <w:name w:val="Char Char3"/>
    <w:uiPriority w:val="0"/>
    <w:qFormat/>
    <w:rPr>
      <w:sz w:val="21"/>
      <w:szCs w:val="24"/>
    </w:rPr>
  </w:style>
  <w:style w:type="character" w:styleId="1079" w:customStyle="1">
    <w:name w:val="Char Char2"/>
    <w:uiPriority w:val="0"/>
    <w:qFormat/>
    <w:rPr>
      <w:rFonts w:ascii="宋体" w:hAnsi="宋体" w:eastAsia="宋体"/>
      <w:sz w:val="21"/>
      <w:szCs w:val="24"/>
      <w:lang w:val="en-US" w:eastAsia="zh-CN" w:bidi="ar-SA"/>
    </w:rPr>
  </w:style>
  <w:style w:type="character" w:styleId="1080" w:customStyle="1">
    <w:name w:val="Plain Text Char"/>
    <w:link w:val="1081"/>
    <w:uiPriority w:val="0"/>
    <w:qFormat/>
    <w:rPr>
      <w:rFonts w:ascii="宋体" w:hAnsi="Courier New" w:eastAsia="楷体_GB2312"/>
      <w:sz w:val="26"/>
    </w:rPr>
  </w:style>
  <w:style w:type="paragraph" w:styleId="1081" w:customStyle="1">
    <w:name w:val="纯文本5"/>
    <w:basedOn w:val="963"/>
    <w:link w:val="1080"/>
    <w:uiPriority w:val="0"/>
    <w:qFormat/>
    <w:rPr>
      <w:rFonts w:ascii="宋体" w:hAnsi="Courier New" w:eastAsia="楷体_GB2312"/>
      <w:sz w:val="26"/>
      <w:szCs w:val="20"/>
    </w:rPr>
  </w:style>
  <w:style w:type="character" w:styleId="1082" w:customStyle="1">
    <w:name w:val="Andy_3级 Char"/>
    <w:link w:val="1083"/>
    <w:uiPriority w:val="0"/>
    <w:qFormat/>
    <w:rPr>
      <w:rFonts w:ascii="Calibri" w:hAnsi="Calibri"/>
      <w:sz w:val="24"/>
    </w:rPr>
  </w:style>
  <w:style w:type="paragraph" w:styleId="1083" w:customStyle="1">
    <w:name w:val="Andy_3级"/>
    <w:basedOn w:val="963"/>
    <w:link w:val="1082"/>
    <w:uiPriority w:val="0"/>
    <w:qFormat/>
    <w:pPr>
      <w:numPr>
        <w:ilvl w:val="2"/>
        <w:numId w:val="2"/>
      </w:numPr>
      <w:spacing w:line="360" w:lineRule="auto"/>
    </w:pPr>
    <w:rPr>
      <w:sz w:val="24"/>
      <w:szCs w:val="20"/>
    </w:rPr>
  </w:style>
  <w:style w:type="character" w:styleId="1084" w:customStyle="1">
    <w:name w:val="_正文段落 Char"/>
    <w:link w:val="1085"/>
    <w:uiPriority w:val="0"/>
    <w:qFormat/>
    <w:rPr>
      <w:sz w:val="24"/>
      <w:szCs w:val="24"/>
    </w:rPr>
  </w:style>
  <w:style w:type="paragraph" w:styleId="1085" w:customStyle="1">
    <w:name w:val="_正文段落"/>
    <w:basedOn w:val="963"/>
    <w:link w:val="1084"/>
    <w:uiPriority w:val="0"/>
    <w:qFormat/>
    <w:pPr>
      <w:ind w:firstLine="200"/>
      <w:spacing w:before="50" w:after="50" w:line="360" w:lineRule="auto"/>
    </w:pPr>
    <w:rPr>
      <w:sz w:val="24"/>
    </w:rPr>
  </w:style>
  <w:style w:type="character" w:styleId="1086" w:customStyle="1">
    <w:name w:val="正 文 1 Char"/>
    <w:uiPriority w:val="0"/>
    <w:qFormat/>
    <w:rPr>
      <w:rFonts w:ascii="宋体" w:hAnsi="Courier New" w:eastAsia="楷体_GB2312"/>
      <w:sz w:val="28"/>
      <w:lang w:val="en-US" w:eastAsia="zh-CN" w:bidi="ar-SA"/>
    </w:rPr>
  </w:style>
  <w:style w:type="character" w:styleId="1087" w:customStyle="1">
    <w:name w:val="Char Char7"/>
    <w:uiPriority w:val="0"/>
    <w:qFormat/>
    <w:rPr>
      <w:b/>
      <w:bCs/>
      <w:sz w:val="32"/>
      <w:szCs w:val="32"/>
    </w:rPr>
  </w:style>
  <w:style w:type="character" w:styleId="1088" w:customStyle="1">
    <w:name w:val="标题 1 字符"/>
    <w:uiPriority w:val="9"/>
    <w:qFormat/>
    <w:rPr>
      <w:rFonts w:eastAsia="楷体_GB2312"/>
      <w:b/>
      <w:sz w:val="44"/>
    </w:rPr>
  </w:style>
  <w:style w:type="character" w:styleId="1089" w:customStyle="1">
    <w:name w:val="正文首行缩进 Char Char"/>
    <w:link w:val="1090"/>
    <w:uiPriority w:val="0"/>
    <w:qFormat/>
    <w:rPr>
      <w:szCs w:val="24"/>
    </w:rPr>
  </w:style>
  <w:style w:type="paragraph" w:styleId="1090" w:customStyle="1">
    <w:name w:val="正文首行缩进1"/>
    <w:basedOn w:val="980"/>
    <w:link w:val="1089"/>
    <w:uiPriority w:val="0"/>
    <w:qFormat/>
    <w:pPr>
      <w:ind w:firstLine="420"/>
      <w:spacing w:after="120"/>
      <w:tabs>
        <w:tab w:val="clear" w:pos="5250" w:leader="none"/>
      </w:tabs>
    </w:pPr>
    <w:rPr>
      <w:sz w:val="20"/>
    </w:rPr>
  </w:style>
  <w:style w:type="character" w:styleId="1091" w:customStyle="1">
    <w:name w:val="Plain Text Char Char"/>
    <w:uiPriority w:val="0"/>
    <w:qFormat/>
    <w:rPr>
      <w:rFonts w:ascii="宋体" w:hAnsi="Courier New" w:eastAsia="楷体_GB2312"/>
      <w:sz w:val="28"/>
    </w:rPr>
  </w:style>
  <w:style w:type="character" w:styleId="1092" w:customStyle="1">
    <w:name w:val="Char Char6"/>
    <w:uiPriority w:val="0"/>
    <w:qFormat/>
    <w:rPr>
      <w:rFonts w:ascii="Arial" w:hAnsi="Arial" w:eastAsia="黑体"/>
      <w:b/>
      <w:bCs/>
      <w:sz w:val="28"/>
      <w:szCs w:val="28"/>
      <w:lang w:val="en-US" w:eastAsia="zh-CN" w:bidi="ar-SA"/>
    </w:rPr>
  </w:style>
  <w:style w:type="character" w:styleId="1093" w:customStyle="1">
    <w:name w:val="Andy_正文 Char"/>
    <w:link w:val="1094"/>
    <w:uiPriority w:val="0"/>
    <w:qFormat/>
    <w:rPr>
      <w:rFonts w:ascii="Calibri" w:hAnsi="Calibri"/>
      <w:sz w:val="24"/>
      <w:szCs w:val="24"/>
    </w:rPr>
  </w:style>
  <w:style w:type="paragraph" w:styleId="1094" w:customStyle="1">
    <w:name w:val="Andy_正文"/>
    <w:basedOn w:val="963"/>
    <w:link w:val="1093"/>
    <w:uiPriority w:val="0"/>
    <w:qFormat/>
    <w:pPr>
      <w:ind w:firstLine="480"/>
      <w:spacing w:line="360" w:lineRule="auto"/>
    </w:pPr>
    <w:rPr>
      <w:sz w:val="24"/>
    </w:rPr>
  </w:style>
  <w:style w:type="character" w:styleId="1095" w:customStyle="1">
    <w:name w:val="正文缩进 Char1"/>
    <w:uiPriority w:val="0"/>
    <w:qFormat/>
    <w:rPr>
      <w:rFonts w:ascii="Times New Roman" w:hAnsi="Times New Roman" w:eastAsia="楷体_GB2312" w:cs="Times New Roman"/>
      <w:sz w:val="24"/>
      <w:szCs w:val="20"/>
    </w:rPr>
  </w:style>
  <w:style w:type="paragraph" w:styleId="1096" w:customStyle="1">
    <w:name w:val="xl65"/>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7" w:customStyle="1">
    <w:name w:val="xl64"/>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98" w:customStyle="1">
    <w:name w:val="Char Char Char"/>
    <w:basedOn w:val="963"/>
    <w:uiPriority w:val="0"/>
    <w:qFormat/>
    <w:rPr>
      <w:rFonts w:ascii="Tahoma" w:hAnsi="Tahoma"/>
      <w:sz w:val="24"/>
      <w:szCs w:val="20"/>
    </w:rPr>
  </w:style>
  <w:style w:type="paragraph" w:styleId="1099" w:customStyle="1">
    <w:name w:val="xl53"/>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0" w:customStyle="1">
    <w:name w:val="表格正文 居中"/>
    <w:basedOn w:val="963"/>
    <w:uiPriority w:val="0"/>
    <w:qFormat/>
    <w:pPr>
      <w:jc w:val="center"/>
    </w:pPr>
    <w:rPr>
      <w:rFonts w:ascii="宋体" w:hAnsi="宋体" w:cs="宋体"/>
      <w:szCs w:val="20"/>
    </w:rPr>
  </w:style>
  <w:style w:type="paragraph" w:styleId="1101" w:customStyle="1">
    <w:name w:val="xl56"/>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2" w:customStyle="1">
    <w:name w:val="p17"/>
    <w:basedOn w:val="963"/>
    <w:uiPriority w:val="0"/>
    <w:qFormat/>
    <w:pPr>
      <w:ind w:firstLine="420"/>
    </w:pPr>
    <w:rPr>
      <w:rFonts w:ascii="Times New Roman" w:hAnsi="Times New Roman" w:cs="黑体"/>
      <w:b/>
      <w:bCs/>
      <w:sz w:val="28"/>
      <w:szCs w:val="28"/>
    </w:rPr>
  </w:style>
  <w:style w:type="paragraph" w:styleId="1103" w:customStyle="1">
    <w:name w:val="小四 段落 宋体 Char Char Char Char Char Char"/>
    <w:basedOn w:val="1104"/>
    <w:uiPriority w:val="0"/>
    <w:qFormat/>
    <w:pPr>
      <w:ind w:firstLine="480"/>
    </w:pPr>
    <w:rPr>
      <w:rFonts w:ascii="宋体" w:hAnsi="宋体"/>
    </w:rPr>
  </w:style>
  <w:style w:type="paragraph" w:styleId="1104" w:customStyle="1">
    <w:name w:val="小四 段落 宋体 Char Char Char Char Char Char Char"/>
    <w:basedOn w:val="984"/>
    <w:uiPriority w:val="0"/>
    <w:semiHidden/>
    <w:qFormat/>
    <w:pPr>
      <w:ind w:left="0" w:right="-33" w:firstLine="545"/>
      <w:jc w:val="left"/>
      <w:spacing w:line="360" w:lineRule="auto"/>
      <w:tabs>
        <w:tab w:val="clear" w:pos="1125" w:leader="none"/>
      </w:tabs>
    </w:pPr>
    <w:rPr>
      <w:sz w:val="24"/>
    </w:rPr>
  </w:style>
  <w:style w:type="paragraph" w:styleId="1105" w:customStyle="1">
    <w:name w:val="xl51"/>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06" w:customStyle="1">
    <w:name w:val="Char Char4 Char"/>
    <w:basedOn w:val="963"/>
    <w:uiPriority w:val="0"/>
    <w:qFormat/>
    <w:rPr>
      <w:rFonts w:ascii="Tahoma" w:hAnsi="Tahoma"/>
      <w:sz w:val="24"/>
      <w:szCs w:val="20"/>
    </w:rPr>
  </w:style>
  <w:style w:type="paragraph" w:styleId="1107" w:customStyle="1">
    <w:name w:val="Default Paragraph Font Para Char"/>
    <w:basedOn w:val="963"/>
    <w:uiPriority w:val="0"/>
    <w:semiHidden/>
    <w:qFormat/>
    <w:pPr>
      <w:jc w:val="left"/>
      <w:spacing w:after="160" w:line="240" w:lineRule="exact"/>
      <w:widowControl/>
    </w:pPr>
    <w:rPr>
      <w:rFonts w:ascii="Verdana" w:hAnsi="Verdana"/>
      <w:sz w:val="20"/>
      <w:szCs w:val="20"/>
      <w:lang w:eastAsia="en-US"/>
    </w:rPr>
  </w:style>
  <w:style w:type="paragraph" w:styleId="1108" w:customStyle="1">
    <w:name w:val="xl57"/>
    <w:basedOn w:val="96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9" w:customStyle="1">
    <w:name w:val="列出段落1"/>
    <w:basedOn w:val="963"/>
    <w:uiPriority w:val="0"/>
    <w:qFormat/>
    <w:pPr>
      <w:ind w:firstLine="200"/>
      <w:spacing w:line="360" w:lineRule="auto"/>
    </w:pPr>
    <w:rPr>
      <w:sz w:val="22"/>
      <w:szCs w:val="20"/>
    </w:rPr>
  </w:style>
  <w:style w:type="paragraph" w:styleId="1110" w:customStyle="1">
    <w:name w:val="Andy_一级"/>
    <w:basedOn w:val="963"/>
    <w:uiPriority w:val="0"/>
    <w:qFormat/>
    <w:pPr>
      <w:numPr>
        <w:ilvl w:val="0"/>
        <w:numId w:val="2"/>
      </w:numPr>
      <w:ind w:left="420" w:hanging="420"/>
      <w:keepNext/>
      <w:spacing w:line="360" w:lineRule="auto"/>
      <w:tabs>
        <w:tab w:val="left" w:pos="420" w:leader="none"/>
      </w:tabs>
    </w:pPr>
    <w:rPr>
      <w:b/>
      <w:sz w:val="24"/>
      <w:szCs w:val="22"/>
    </w:rPr>
  </w:style>
  <w:style w:type="paragraph" w:styleId="1111" w:customStyle="1">
    <w:name w:val="cardlist-value"/>
    <w:basedOn w:val="963"/>
    <w:uiPriority w:val="0"/>
    <w:qFormat/>
    <w:pPr>
      <w:jc w:val="left"/>
      <w:spacing w:before="100" w:beforeAutospacing="1" w:after="100" w:afterAutospacing="1"/>
      <w:widowControl/>
    </w:pPr>
    <w:rPr>
      <w:rFonts w:ascii="宋体" w:hAnsi="宋体" w:cs="宋体"/>
      <w:sz w:val="24"/>
    </w:rPr>
  </w:style>
  <w:style w:type="paragraph" w:styleId="1112" w:customStyle="1">
    <w:name w:val="Plain Text1"/>
    <w:basedOn w:val="963"/>
    <w:uiPriority w:val="0"/>
    <w:qFormat/>
    <w:rPr>
      <w:rFonts w:ascii="宋体" w:hAnsi="Courier New" w:eastAsia="楷体_GB2312"/>
      <w:sz w:val="26"/>
      <w:szCs w:val="20"/>
    </w:rPr>
  </w:style>
  <w:style w:type="paragraph" w:styleId="1113" w:customStyle="1">
    <w:name w:val="xl45"/>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4" w:customStyle="1">
    <w:name w:val="小四 段落 宋体 Char"/>
    <w:basedOn w:val="984"/>
    <w:uiPriority w:val="0"/>
    <w:qFormat/>
    <w:pPr>
      <w:ind w:left="0" w:right="-33" w:firstLine="480"/>
      <w:jc w:val="left"/>
      <w:spacing w:line="360" w:lineRule="auto"/>
      <w:tabs>
        <w:tab w:val="clear" w:pos="1125" w:leader="none"/>
      </w:tabs>
    </w:pPr>
    <w:rPr>
      <w:sz w:val="24"/>
    </w:rPr>
  </w:style>
  <w:style w:type="paragraph" w:styleId="1115" w:customStyle="1">
    <w:name w:val="表格1"/>
    <w:basedOn w:val="963"/>
    <w:next w:val="963"/>
    <w:uiPriority w:val="0"/>
    <w:qFormat/>
    <w:pPr>
      <w:jc w:val="center"/>
      <w:spacing w:line="288" w:lineRule="auto"/>
    </w:pPr>
    <w:rPr>
      <w:rFonts w:ascii="宋体"/>
      <w:sz w:val="18"/>
      <w:szCs w:val="20"/>
    </w:rPr>
  </w:style>
  <w:style w:type="paragraph" w:styleId="1116" w:customStyle="1">
    <w:name w:val="表格正文"/>
    <w:basedOn w:val="963"/>
    <w:uiPriority w:val="0"/>
    <w:qFormat/>
    <w:pPr>
      <w:jc w:val="left"/>
    </w:pPr>
    <w:rPr>
      <w:rFonts w:ascii="宋体" w:hAnsi="宋体" w:cs="宋体"/>
      <w:color w:val="000000"/>
      <w:sz w:val="22"/>
      <w:szCs w:val="20"/>
    </w:rPr>
  </w:style>
  <w:style w:type="paragraph" w:styleId="1117" w:customStyle="1">
    <w:name w:val="xl61"/>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18" w:customStyle="1">
    <w:name w:val="xl58"/>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9" w:customStyle="1">
    <w:name w:val="xl60"/>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0" w:customStyle="1">
    <w:name w:val="xl54"/>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1" w:customStyle="1">
    <w:name w:val="p0"/>
    <w:basedOn w:val="963"/>
    <w:uiPriority w:val="0"/>
    <w:qFormat/>
    <w:pPr>
      <w:widowControl/>
    </w:pPr>
    <w:rPr>
      <w:sz w:val="26"/>
      <w:szCs w:val="26"/>
    </w:rPr>
  </w:style>
  <w:style w:type="paragraph" w:styleId="1122" w:customStyle="1">
    <w:name w:val="xl50"/>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23" w:customStyle="1">
    <w:name w:val="Char Char Char1"/>
    <w:basedOn w:val="963"/>
    <w:uiPriority w:val="0"/>
    <w:qFormat/>
    <w:rPr>
      <w:rFonts w:ascii="Tahoma" w:hAnsi="Tahoma"/>
      <w:sz w:val="24"/>
      <w:szCs w:val="20"/>
    </w:rPr>
  </w:style>
  <w:style w:type="paragraph" w:styleId="1124" w:customStyle="1">
    <w:name w:val="纯文本3"/>
    <w:basedOn w:val="963"/>
    <w:uiPriority w:val="0"/>
    <w:qFormat/>
    <w:rPr>
      <w:rFonts w:ascii="宋体" w:hAnsi="Courier New" w:eastAsia="楷体_GB2312"/>
      <w:sz w:val="26"/>
      <w:szCs w:val="20"/>
    </w:rPr>
  </w:style>
  <w:style w:type="paragraph" w:styleId="1125" w:customStyle="1">
    <w:name w:val="Andy_4级"/>
    <w:basedOn w:val="963"/>
    <w:uiPriority w:val="0"/>
    <w:qFormat/>
    <w:pPr>
      <w:numPr>
        <w:ilvl w:val="3"/>
        <w:numId w:val="2"/>
      </w:numPr>
      <w:ind w:left="420" w:firstLine="510"/>
      <w:spacing w:line="360" w:lineRule="auto"/>
      <w:tabs>
        <w:tab w:val="left" w:pos="420" w:leader="none"/>
      </w:tabs>
    </w:pPr>
    <w:rPr>
      <w:sz w:val="24"/>
      <w:szCs w:val="20"/>
    </w:rPr>
  </w:style>
  <w:style w:type="paragraph" w:styleId="1126" w:customStyle="1">
    <w:name w:val="xl62"/>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27" w:customStyle="1">
    <w:name w:val="font6"/>
    <w:basedOn w:val="963"/>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128" w:customStyle="1">
    <w:name w:val="QB正文"/>
    <w:basedOn w:val="963"/>
    <w:uiPriority w:val="0"/>
    <w:qFormat/>
    <w:pPr>
      <w:ind w:firstLine="200"/>
      <w:widowControl/>
    </w:pPr>
    <w:rPr>
      <w:rFonts w:ascii="宋体" w:hAnsi="宋体"/>
      <w:szCs w:val="20"/>
    </w:rPr>
  </w:style>
  <w:style w:type="paragraph" w:styleId="1129" w:customStyle="1">
    <w:name w:val="列表内容"/>
    <w:basedOn w:val="963"/>
    <w:next w:val="963"/>
    <w:uiPriority w:val="0"/>
    <w:qFormat/>
    <w:pPr>
      <w:numPr>
        <w:ilvl w:val="0"/>
        <w:numId w:val="3"/>
      </w:numPr>
      <w:jc w:val="left"/>
      <w:widowControl/>
    </w:pPr>
    <w:rPr>
      <w:sz w:val="18"/>
    </w:rPr>
  </w:style>
  <w:style w:type="paragraph" w:styleId="1130" w:customStyle="1">
    <w:name w:val="font5"/>
    <w:basedOn w:val="963"/>
    <w:uiPriority w:val="0"/>
    <w:qFormat/>
    <w:pPr>
      <w:jc w:val="left"/>
      <w:spacing w:before="100" w:beforeAutospacing="1" w:after="100" w:afterAutospacing="1"/>
      <w:widowControl/>
    </w:pPr>
    <w:rPr>
      <w:rFonts w:hint="eastAsia" w:ascii="宋体" w:hAnsi="宋体"/>
      <w:sz w:val="18"/>
      <w:szCs w:val="18"/>
    </w:rPr>
  </w:style>
  <w:style w:type="paragraph" w:styleId="1131" w:customStyle="1">
    <w:name w:val="xl46"/>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2" w:customStyle="1">
    <w:name w:val="xl66"/>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3" w:customStyle="1">
    <w:name w:val="_Style 18"/>
    <w:basedOn w:val="963"/>
    <w:uiPriority w:val="0"/>
    <w:qFormat/>
    <w:rPr>
      <w:rFonts w:ascii="Tahoma" w:hAnsi="Tahoma"/>
      <w:sz w:val="24"/>
      <w:szCs w:val="20"/>
    </w:rPr>
  </w:style>
  <w:style w:type="paragraph" w:styleId="1134" w:customStyle="1">
    <w:name w:val="正文 A"/>
    <w:next w:val="1030"/>
    <w:uiPriority w:val="0"/>
    <w:qFormat/>
    <w:pPr>
      <w:jc w:val="both"/>
      <w:widowControl w:val="off"/>
      <w:pBdr>
        <w:top w:val="none" w:color="FFFFFF" w:sz="0" w:space="31"/>
        <w:left w:val="none" w:color="FFFFFF" w:sz="0" w:space="31"/>
        <w:bottom w:val="none" w:color="FFFFFF" w:sz="0" w:space="31"/>
        <w:right w:val="none" w:color="FFFFFF" w:sz="0" w:space="31"/>
      </w:pBdr>
    </w:pPr>
    <w:rPr>
      <w:rFonts w:ascii="Cambria" w:hAnsi="Cambria" w:eastAsia="宋体" w:cs="Times New Roman"/>
      <w:color w:val="000000"/>
      <w:sz w:val="26"/>
      <w:szCs w:val="26"/>
      <w:lang w:val="en-US" w:eastAsia="zh-CN" w:bidi="ar-SA"/>
    </w:rPr>
  </w:style>
  <w:style w:type="paragraph" w:styleId="1135" w:customStyle="1">
    <w:name w:val="规范正文"/>
    <w:basedOn w:val="963"/>
    <w:uiPriority w:val="0"/>
    <w:qFormat/>
    <w:pPr>
      <w:ind w:left="480"/>
      <w:spacing w:line="360" w:lineRule="auto"/>
    </w:pPr>
    <w:rPr>
      <w:sz w:val="24"/>
      <w:szCs w:val="20"/>
    </w:rPr>
  </w:style>
  <w:style w:type="paragraph" w:styleId="1136" w:customStyle="1">
    <w:name w:val="正文1"/>
    <w:basedOn w:val="963"/>
    <w:uiPriority w:val="0"/>
    <w:qFormat/>
    <w:pPr>
      <w:contextualSpacing/>
      <w:ind w:firstLine="200"/>
      <w:jc w:val="left"/>
      <w:spacing w:before="120" w:after="120"/>
      <w:widowControl/>
    </w:pPr>
    <w:rPr>
      <w:rFonts w:eastAsia="Adobe 仿宋 Std R"/>
      <w:sz w:val="24"/>
      <w:szCs w:val="21"/>
    </w:rPr>
  </w:style>
  <w:style w:type="paragraph" w:styleId="1137" w:customStyle="1">
    <w:name w:val="纯文本2"/>
    <w:basedOn w:val="963"/>
    <w:uiPriority w:val="0"/>
    <w:qFormat/>
    <w:rPr>
      <w:rFonts w:ascii="宋体" w:hAnsi="Courier New" w:eastAsia="楷体_GB2312"/>
      <w:sz w:val="26"/>
      <w:szCs w:val="20"/>
    </w:rPr>
  </w:style>
  <w:style w:type="paragraph" w:styleId="1138" w:customStyle="1">
    <w:name w:val="xl55"/>
    <w:basedOn w:val="96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9" w:customStyle="1">
    <w:name w:val="Char Char Char Char Char Char Char Char Char1 Char"/>
    <w:basedOn w:val="986"/>
    <w:uiPriority w:val="0"/>
    <w:qFormat/>
    <w:pPr>
      <w:spacing w:line="360" w:lineRule="auto"/>
    </w:pPr>
  </w:style>
  <w:style w:type="paragraph" w:styleId="1140" w:customStyle="1">
    <w:name w:val="Char Char Char Char Char Char Char Char"/>
    <w:basedOn w:val="963"/>
    <w:uiPriority w:val="0"/>
    <w:qFormat/>
  </w:style>
  <w:style w:type="paragraph" w:styleId="1141" w:customStyle="1">
    <w:name w:val="xl59"/>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2" w:customStyle="1">
    <w:name w:val="Char"/>
    <w:basedOn w:val="963"/>
    <w:uiPriority w:val="0"/>
    <w:qFormat/>
    <w:pPr>
      <w:numPr>
        <w:ilvl w:val="0"/>
        <w:numId w:val="4"/>
      </w:numPr>
      <w:ind w:left="960"/>
      <w:tabs>
        <w:tab w:val="clear" w:pos="420" w:leader="none"/>
        <w:tab w:val="left" w:pos="960" w:leader="none"/>
      </w:tabs>
    </w:pPr>
    <w:rPr>
      <w:sz w:val="24"/>
    </w:rPr>
  </w:style>
  <w:style w:type="paragraph" w:styleId="1143" w:customStyle="1">
    <w:name w:val="默认段落字体 Para Char Char Char Char Char Char Char"/>
    <w:basedOn w:val="963"/>
    <w:uiPriority w:val="0"/>
    <w:qFormat/>
    <w:pPr>
      <w:spacing w:line="360" w:lineRule="auto"/>
    </w:pPr>
    <w:rPr>
      <w:rFonts w:ascii="Tahoma" w:hAnsi="Tahoma"/>
      <w:sz w:val="24"/>
      <w:szCs w:val="20"/>
    </w:rPr>
  </w:style>
  <w:style w:type="paragraph" w:styleId="1144" w:customStyle="1">
    <w:name w:val="Char Char Char1 Char Char Char Char"/>
    <w:basedOn w:val="963"/>
    <w:uiPriority w:val="0"/>
    <w:qFormat/>
    <w:pPr>
      <w:jc w:val="left"/>
      <w:spacing w:after="160" w:line="240" w:lineRule="exact"/>
      <w:widowControl/>
    </w:pPr>
    <w:rPr>
      <w:sz w:val="24"/>
    </w:rPr>
  </w:style>
  <w:style w:type="paragraph" w:styleId="1145" w:customStyle="1">
    <w:name w:val="font7"/>
    <w:basedOn w:val="963"/>
    <w:uiPriority w:val="0"/>
    <w:qFormat/>
    <w:pPr>
      <w:jc w:val="left"/>
      <w:spacing w:before="100" w:beforeAutospacing="1" w:after="100" w:afterAutospacing="1"/>
      <w:widowControl/>
    </w:pPr>
    <w:rPr>
      <w:sz w:val="20"/>
      <w:szCs w:val="20"/>
    </w:rPr>
  </w:style>
  <w:style w:type="paragraph" w:styleId="1146" w:customStyle="1">
    <w:name w:val="xl48"/>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47" w:customStyle="1">
    <w:name w:val="xl63"/>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48" w:customStyle="1">
    <w:name w:val="Char Char1"/>
    <w:basedOn w:val="963"/>
    <w:uiPriority w:val="0"/>
    <w:qFormat/>
    <w:pPr>
      <w:jc w:val="left"/>
      <w:spacing w:after="160" w:line="240" w:lineRule="exact"/>
      <w:widowControl/>
    </w:pPr>
    <w:rPr>
      <w:rFonts w:ascii="Verdana" w:hAnsi="Verdana"/>
      <w:sz w:val="20"/>
      <w:szCs w:val="20"/>
      <w:lang w:eastAsia="en-US"/>
    </w:rPr>
  </w:style>
  <w:style w:type="paragraph" w:styleId="1149" w:customStyle="1">
    <w:name w:val="List Paragraph1"/>
    <w:basedOn w:val="963"/>
    <w:uiPriority w:val="0"/>
    <w:qFormat/>
    <w:pPr>
      <w:ind w:firstLine="420"/>
    </w:pPr>
    <w:rPr>
      <w:szCs w:val="20"/>
    </w:rPr>
  </w:style>
  <w:style w:type="paragraph" w:styleId="1150">
    <w:name w:val="List Paragraph"/>
    <w:basedOn w:val="963"/>
    <w:link w:val="1179"/>
    <w:uiPriority w:val="0"/>
    <w:qFormat/>
    <w:pPr>
      <w:ind w:firstLine="420"/>
    </w:pPr>
    <w:rPr>
      <w:szCs w:val="20"/>
    </w:rPr>
  </w:style>
  <w:style w:type="paragraph" w:styleId="1151" w:customStyle="1">
    <w:name w:val="Char1"/>
    <w:basedOn w:val="963"/>
    <w:uiPriority w:val="0"/>
    <w:qFormat/>
    <w:rPr>
      <w:rFonts w:ascii="Tahoma" w:hAnsi="Tahoma"/>
      <w:sz w:val="24"/>
      <w:szCs w:val="20"/>
    </w:rPr>
  </w:style>
  <w:style w:type="paragraph" w:styleId="1152" w:customStyle="1">
    <w:name w:val="Char Char3 Char Char Char Char Char Char Char Char Char Char Char Char Char Char Char Char"/>
    <w:basedOn w:val="963"/>
    <w:uiPriority w:val="0"/>
    <w:qFormat/>
    <w:pPr>
      <w:ind w:firstLine="200"/>
      <w:jc w:val="left"/>
      <w:spacing w:after="160" w:line="360" w:lineRule="auto"/>
      <w:widowControl/>
    </w:pPr>
    <w:rPr>
      <w:rFonts w:ascii="宋体" w:hAnsi="宋体"/>
      <w:sz w:val="24"/>
      <w:szCs w:val="20"/>
    </w:rPr>
  </w:style>
  <w:style w:type="paragraph" w:styleId="1153" w:customStyle="1">
    <w:name w:val="纯文本1"/>
    <w:basedOn w:val="963"/>
    <w:uiPriority w:val="0"/>
    <w:qFormat/>
    <w:pPr>
      <w:jc w:val="left"/>
      <w:widowControl/>
    </w:pPr>
    <w:rPr>
      <w:rFonts w:ascii="宋体" w:hAnsi="Courier New" w:eastAsia="楷体_GB2312"/>
      <w:sz w:val="26"/>
      <w:szCs w:val="20"/>
    </w:rPr>
  </w:style>
  <w:style w:type="paragraph" w:styleId="1154" w:customStyle="1">
    <w:name w:val="xl49"/>
    <w:basedOn w:val="963"/>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55" w:customStyle="1">
    <w:name w:val="xl52"/>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6" w:customStyle="1">
    <w:name w:val="表格标题"/>
    <w:basedOn w:val="963"/>
    <w:uiPriority w:val="0"/>
    <w:qFormat/>
    <w:pPr>
      <w:jc w:val="center"/>
    </w:pPr>
    <w:rPr>
      <w:rFonts w:ascii="宋体" w:hAnsi="宋体" w:cs="宋体"/>
      <w:b/>
      <w:bCs/>
      <w:szCs w:val="20"/>
    </w:rPr>
  </w:style>
  <w:style w:type="paragraph" w:styleId="1157" w:customStyle="1">
    <w:name w:val="xl47"/>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58" w:customStyle="1">
    <w:name w:val="纯文本4"/>
    <w:basedOn w:val="963"/>
    <w:uiPriority w:val="0"/>
    <w:qFormat/>
    <w:rPr>
      <w:rFonts w:ascii="宋体" w:hAnsi="Courier New" w:eastAsia="楷体_GB2312"/>
      <w:sz w:val="28"/>
      <w:szCs w:val="20"/>
    </w:rPr>
  </w:style>
  <w:style w:type="paragraph" w:styleId="1159" w:customStyle="1">
    <w:name w:val="Char Char4 Char Char"/>
    <w:basedOn w:val="963"/>
    <w:uiPriority w:val="0"/>
    <w:qFormat/>
    <w:rPr>
      <w:rFonts w:ascii="Tahoma" w:hAnsi="Tahoma"/>
      <w:sz w:val="24"/>
      <w:szCs w:val="20"/>
    </w:rPr>
  </w:style>
  <w:style w:type="character" w:styleId="1160" w:customStyle="1">
    <w:name w:val="font41"/>
    <w:basedOn w:val="973"/>
    <w:uiPriority w:val="0"/>
    <w:qFormat/>
    <w:rPr>
      <w:rFonts w:ascii="Arial" w:hAnsi="Arial" w:cs="Arial"/>
      <w:b/>
      <w:bCs/>
      <w:color w:val="000000"/>
      <w:sz w:val="28"/>
      <w:szCs w:val="28"/>
      <w:u w:val="none"/>
    </w:rPr>
  </w:style>
  <w:style w:type="character" w:styleId="1161" w:customStyle="1">
    <w:name w:val="font11"/>
    <w:basedOn w:val="973"/>
    <w:uiPriority w:val="0"/>
    <w:qFormat/>
    <w:rPr>
      <w:rFonts w:hint="eastAsia" w:ascii="宋体" w:hAnsi="宋体" w:eastAsia="宋体" w:cs="宋体"/>
      <w:b/>
      <w:bCs/>
      <w:color w:val="000000"/>
      <w:sz w:val="28"/>
      <w:szCs w:val="28"/>
      <w:u w:val="none"/>
    </w:rPr>
  </w:style>
  <w:style w:type="character" w:styleId="1162" w:customStyle="1">
    <w:name w:val="表格 Char Char"/>
    <w:link w:val="1163"/>
    <w:uiPriority w:val="0"/>
    <w:qFormat/>
    <w:rPr>
      <w:rFonts w:ascii="宋体" w:hAnsi="宋体"/>
    </w:rPr>
  </w:style>
  <w:style w:type="paragraph" w:styleId="1163" w:customStyle="1">
    <w:name w:val="表格"/>
    <w:basedOn w:val="963"/>
    <w:link w:val="1162"/>
    <w:uiPriority w:val="0"/>
    <w:qFormat/>
    <w:rPr>
      <w:rFonts w:ascii="宋体" w:hAnsi="宋体"/>
      <w:sz w:val="20"/>
      <w:szCs w:val="20"/>
    </w:rPr>
  </w:style>
  <w:style w:type="character" w:styleId="1164" w:customStyle="1">
    <w:name w:val="标题三自定义 Char"/>
    <w:link w:val="1165"/>
    <w:uiPriority w:val="99"/>
    <w:qFormat/>
    <w:rPr>
      <w:rFonts w:ascii="Calibri" w:hAnsi="Calibri"/>
      <w:sz w:val="21"/>
      <w:szCs w:val="22"/>
    </w:rPr>
  </w:style>
  <w:style w:type="paragraph" w:styleId="1165" w:customStyle="1">
    <w:name w:val="标题三自定义"/>
    <w:basedOn w:val="963"/>
    <w:link w:val="1164"/>
    <w:uiPriority w:val="99"/>
    <w:qFormat/>
    <w:pPr>
      <w:ind w:left="5670" w:hanging="709"/>
      <w:tabs>
        <w:tab w:val="left" w:pos="5812" w:leader="none"/>
      </w:tabs>
    </w:pPr>
    <w:rPr>
      <w:szCs w:val="22"/>
    </w:rPr>
  </w:style>
  <w:style w:type="character" w:styleId="1166" w:customStyle="1">
    <w:name w:val="页脚 字符"/>
    <w:link w:val="999"/>
    <w:uiPriority w:val="99"/>
    <w:qFormat/>
    <w:rPr>
      <w:rFonts w:ascii="Calibri" w:hAnsi="Calibri"/>
      <w:sz w:val="18"/>
      <w:szCs w:val="18"/>
    </w:rPr>
  </w:style>
  <w:style w:type="character" w:styleId="1167" w:customStyle="1">
    <w:name w:val="普通文字1 Char"/>
    <w:uiPriority w:val="0"/>
    <w:qFormat/>
    <w:rPr>
      <w:rFonts w:ascii="宋体" w:hAnsi="Courier New" w:eastAsia="宋体"/>
      <w:sz w:val="21"/>
      <w:szCs w:val="21"/>
      <w:lang w:val="en-US" w:eastAsia="zh-CN" w:bidi="ar-SA"/>
    </w:rPr>
  </w:style>
  <w:style w:type="character" w:styleId="1168" w:customStyle="1">
    <w:name w:val="Table Text Char1"/>
    <w:link w:val="1169"/>
    <w:uiPriority w:val="0"/>
    <w:qFormat/>
    <w:rPr>
      <w:rFonts w:ascii="Arial" w:hAnsi="Arial"/>
      <w:sz w:val="18"/>
      <w:szCs w:val="24"/>
    </w:rPr>
  </w:style>
  <w:style w:type="paragraph" w:styleId="1169" w:customStyle="1">
    <w:name w:val="Table Text"/>
    <w:basedOn w:val="963"/>
    <w:link w:val="1168"/>
    <w:uiPriority w:val="0"/>
    <w:qFormat/>
    <w:pPr>
      <w:spacing w:before="80" w:after="80"/>
      <w:widowControl/>
      <w:tabs>
        <w:tab w:val="decimal" w:pos="0" w:leader="none"/>
      </w:tabs>
    </w:pPr>
    <w:rPr>
      <w:rFonts w:ascii="Arial" w:hAnsi="Arial"/>
      <w:sz w:val="18"/>
    </w:rPr>
  </w:style>
  <w:style w:type="character" w:styleId="1170" w:customStyle="1">
    <w:name w:val="style591"/>
    <w:uiPriority w:val="0"/>
    <w:qFormat/>
    <w:rPr>
      <w:rFonts w:hint="default" w:ascii="Arial" w:hAnsi="Arial" w:cs="Arial"/>
      <w:sz w:val="21"/>
      <w:szCs w:val="21"/>
      <w:u w:val="none"/>
    </w:rPr>
  </w:style>
  <w:style w:type="character" w:styleId="1171" w:customStyle="1">
    <w:name w:val="标题二自定义 Char"/>
    <w:link w:val="1172"/>
    <w:uiPriority w:val="99"/>
    <w:qFormat/>
    <w:rPr>
      <w:rFonts w:ascii="宋体" w:hAnsi="宋体"/>
      <w:bCs/>
      <w:sz w:val="21"/>
      <w:szCs w:val="21"/>
    </w:rPr>
  </w:style>
  <w:style w:type="paragraph" w:styleId="1172" w:customStyle="1">
    <w:name w:val="标题二自定义"/>
    <w:basedOn w:val="965"/>
    <w:next w:val="963"/>
    <w:link w:val="1171"/>
    <w:uiPriority w:val="99"/>
    <w:qFormat/>
    <w:pPr>
      <w:ind w:firstLine="420"/>
      <w:keepLines w:val="0"/>
      <w:keepNext w:val="0"/>
      <w:spacing w:before="0" w:after="0" w:line="720" w:lineRule="auto"/>
      <w:outlineLvl w:val="9"/>
    </w:pPr>
    <w:rPr>
      <w:rFonts w:ascii="宋体" w:hAnsi="宋体" w:eastAsia="宋体"/>
      <w:b w:val="0"/>
      <w:sz w:val="21"/>
      <w:szCs w:val="21"/>
    </w:rPr>
  </w:style>
  <w:style w:type="character" w:styleId="1173" w:customStyle="1">
    <w:name w:val="批注主题 字符"/>
    <w:link w:val="976"/>
    <w:uiPriority w:val="99"/>
    <w:qFormat/>
    <w:rPr>
      <w:rFonts w:ascii="Calibri" w:hAnsi="Calibri"/>
      <w:b/>
      <w:bCs/>
      <w:sz w:val="21"/>
      <w:szCs w:val="24"/>
    </w:rPr>
  </w:style>
  <w:style w:type="character" w:styleId="1174" w:customStyle="1">
    <w:name w:val="标题 3 字符"/>
    <w:link w:val="966"/>
    <w:uiPriority w:val="9"/>
    <w:qFormat/>
    <w:rPr>
      <w:rFonts w:ascii="Calibri" w:hAnsi="Calibri"/>
      <w:b/>
      <w:bCs/>
      <w:sz w:val="32"/>
      <w:szCs w:val="32"/>
    </w:rPr>
  </w:style>
  <w:style w:type="character" w:styleId="1175" w:customStyle="1">
    <w:name w:val="p141"/>
    <w:uiPriority w:val="0"/>
    <w:qFormat/>
    <w:rPr>
      <w:color w:val="000000"/>
      <w:sz w:val="28"/>
      <w:szCs w:val="28"/>
      <w:u w:val="none"/>
    </w:rPr>
  </w:style>
  <w:style w:type="character" w:styleId="1176" w:customStyle="1">
    <w:name w:val="lh151"/>
    <w:uiPriority w:val="0"/>
    <w:qFormat/>
    <w:rPr>
      <w:color w:val="666666"/>
    </w:rPr>
  </w:style>
  <w:style w:type="character" w:styleId="1177" w:customStyle="1">
    <w:name w:val="页眉 字符"/>
    <w:link w:val="1002"/>
    <w:uiPriority w:val="99"/>
    <w:qFormat/>
    <w:rPr>
      <w:rFonts w:ascii="Calibri" w:hAnsi="Calibri"/>
      <w:sz w:val="18"/>
      <w:szCs w:val="18"/>
    </w:rPr>
  </w:style>
  <w:style w:type="character" w:styleId="1178" w:customStyle="1">
    <w:name w:val="批注框文本 字符"/>
    <w:link w:val="998"/>
    <w:uiPriority w:val="99"/>
    <w:qFormat/>
    <w:rPr>
      <w:rFonts w:ascii="Calibri" w:hAnsi="Calibri"/>
      <w:sz w:val="18"/>
      <w:szCs w:val="18"/>
    </w:rPr>
  </w:style>
  <w:style w:type="character" w:styleId="1179" w:customStyle="1">
    <w:name w:val="列表段落 字符"/>
    <w:link w:val="1150"/>
    <w:uiPriority w:val="0"/>
    <w:qFormat/>
    <w:rPr>
      <w:rFonts w:ascii="Calibri" w:hAnsi="Calibri"/>
      <w:sz w:val="21"/>
    </w:rPr>
  </w:style>
  <w:style w:type="character" w:styleId="1180" w:customStyle="1">
    <w:name w:val="my正文 Char"/>
    <w:link w:val="1181"/>
    <w:uiPriority w:val="0"/>
    <w:qFormat/>
    <w:rPr>
      <w:sz w:val="24"/>
    </w:rPr>
  </w:style>
  <w:style w:type="paragraph" w:styleId="1181" w:customStyle="1">
    <w:name w:val="my正文"/>
    <w:basedOn w:val="963"/>
    <w:link w:val="1180"/>
    <w:uiPriority w:val="0"/>
    <w:qFormat/>
    <w:pPr>
      <w:ind w:firstLine="480"/>
      <w:spacing w:line="360" w:lineRule="auto"/>
    </w:pPr>
    <w:rPr>
      <w:rFonts w:ascii="Times New Roman" w:hAnsi="Times New Roman"/>
      <w:sz w:val="24"/>
      <w:szCs w:val="20"/>
    </w:rPr>
  </w:style>
  <w:style w:type="character" w:styleId="1182" w:customStyle="1">
    <w:name w:val="已访问的超链接1"/>
    <w:uiPriority w:val="99"/>
    <w:qFormat/>
    <w:rPr>
      <w:color w:val="999999"/>
      <w:u w:val="none"/>
    </w:rPr>
  </w:style>
  <w:style w:type="character" w:styleId="1183" w:customStyle="1">
    <w:name w:val="font31"/>
    <w:uiPriority w:val="0"/>
    <w:qFormat/>
    <w:rPr>
      <w:rFonts w:hint="default" w:ascii="Times New Roman" w:hAnsi="Times New Roman" w:cs="Times New Roman"/>
      <w:color w:val="000000"/>
      <w:sz w:val="21"/>
      <w:szCs w:val="21"/>
      <w:u w:val="none"/>
    </w:rPr>
  </w:style>
  <w:style w:type="character" w:styleId="1184" w:customStyle="1">
    <w:name w:val="font21"/>
    <w:uiPriority w:val="0"/>
    <w:qFormat/>
    <w:rPr>
      <w:rFonts w:hint="eastAsia" w:ascii="宋体" w:hAnsi="宋体" w:eastAsia="宋体" w:cs="宋体"/>
      <w:b/>
      <w:color w:val="000000"/>
      <w:sz w:val="21"/>
      <w:szCs w:val="21"/>
      <w:u w:val="none"/>
    </w:rPr>
  </w:style>
  <w:style w:type="character" w:styleId="1185" w:customStyle="1">
    <w:name w:val="Normal Indent Char"/>
    <w:uiPriority w:val="0"/>
    <w:qFormat/>
    <w:rPr>
      <w:rFonts w:ascii="Times New Roman" w:hAnsi="Times New Roman" w:eastAsia="楷体_GB2312" w:cs="Times New Roman"/>
      <w:sz w:val="20"/>
      <w:szCs w:val="20"/>
    </w:rPr>
  </w:style>
  <w:style w:type="paragraph" w:styleId="1186" w:customStyle="1">
    <w:name w:val="xl531"/>
    <w:basedOn w:val="963"/>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87" w:customStyle="1">
    <w:name w:val="a"/>
    <w:basedOn w:val="963"/>
    <w:uiPriority w:val="0"/>
    <w:qFormat/>
    <w:pPr>
      <w:jc w:val="left"/>
      <w:spacing w:before="100" w:beforeAutospacing="1" w:after="100" w:afterAutospacing="1"/>
      <w:widowControl/>
    </w:pPr>
    <w:rPr>
      <w:rFonts w:ascii="宋体" w:hAnsi="宋体" w:cs="宋体"/>
    </w:rPr>
  </w:style>
  <w:style w:type="paragraph" w:styleId="1188" w:customStyle="1">
    <w:name w:val="xl68"/>
    <w:basedOn w:val="96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189" w:customStyle="1">
    <w:name w:val="正文2"/>
    <w:basedOn w:val="963"/>
    <w:uiPriority w:val="0"/>
    <w:qFormat/>
    <w:pPr>
      <w:ind w:firstLine="200"/>
      <w:jc w:val="left"/>
      <w:spacing w:after="160" w:line="360" w:lineRule="auto"/>
      <w:widowControl/>
    </w:pPr>
    <w:rPr>
      <w:rFonts w:ascii="Verdana" w:hAnsi="Verdana" w:eastAsia="黑体"/>
      <w:szCs w:val="20"/>
      <w:lang w:eastAsia="en-US"/>
    </w:rPr>
  </w:style>
  <w:style w:type="paragraph" w:styleId="1190" w:customStyle="1">
    <w:name w:val="xl510"/>
    <w:basedOn w:val="963"/>
    <w:uiPriority w:val="0"/>
    <w:qFormat/>
    <w:pPr>
      <w:jc w:val="center"/>
      <w:spacing w:before="100" w:beforeAutospacing="1" w:after="100" w:afterAutospacing="1"/>
      <w:shd w:val="clear" w:color="000000" w:fill="ffff00"/>
      <w:widowControl/>
    </w:pPr>
    <w:rPr>
      <w:rFonts w:ascii="宋体" w:hAnsi="宋体" w:cs="宋体"/>
      <w:color w:val="000000"/>
    </w:rPr>
  </w:style>
  <w:style w:type="paragraph" w:styleId="1191" w:customStyle="1">
    <w:name w:val="xl516"/>
    <w:basedOn w:val="963"/>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192" w:customStyle="1">
    <w:name w:val="afont"/>
    <w:basedOn w:val="963"/>
    <w:uiPriority w:val="0"/>
    <w:qFormat/>
    <w:pPr>
      <w:jc w:val="left"/>
      <w:spacing w:before="100" w:after="100" w:line="285" w:lineRule="atLeast"/>
      <w:widowControl/>
    </w:pPr>
    <w:rPr>
      <w:rFonts w:ascii="宋体" w:hAnsi="宋体"/>
      <w:sz w:val="18"/>
      <w:szCs w:val="20"/>
    </w:rPr>
  </w:style>
  <w:style w:type="paragraph" w:styleId="1193" w:customStyle="1">
    <w:name w:val="xl513"/>
    <w:basedOn w:val="963"/>
    <w:uiPriority w:val="0"/>
    <w:qFormat/>
    <w:pPr>
      <w:jc w:val="left"/>
      <w:spacing w:before="100" w:beforeAutospacing="1" w:after="100" w:afterAutospacing="1"/>
      <w:shd w:val="clear" w:color="000000" w:fill="ffffff"/>
      <w:widowControl/>
    </w:pPr>
    <w:rPr>
      <w:rFonts w:ascii="宋体" w:hAnsi="宋体" w:cs="宋体"/>
    </w:rPr>
  </w:style>
  <w:style w:type="paragraph" w:styleId="1194" w:customStyle="1">
    <w:name w:val="xl70"/>
    <w:basedOn w:val="96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195" w:customStyle="1">
    <w:name w:val="xl69"/>
    <w:basedOn w:val="96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196" w:customStyle="1">
    <w:name w:val="xl517"/>
    <w:basedOn w:val="963"/>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97" w:customStyle="1">
    <w:name w:val="财政-标题一"/>
    <w:basedOn w:val="963"/>
    <w:uiPriority w:val="0"/>
    <w:qFormat/>
    <w:pPr>
      <w:outlineLvl w:val="0"/>
    </w:pPr>
    <w:rPr>
      <w:rFonts w:eastAsia="华文中宋"/>
      <w:b/>
      <w:sz w:val="44"/>
      <w:szCs w:val="21"/>
    </w:rPr>
  </w:style>
  <w:style w:type="paragraph" w:styleId="1198" w:customStyle="1">
    <w:name w:val="1"/>
    <w:basedOn w:val="963"/>
    <w:uiPriority w:val="0"/>
    <w:qFormat/>
    <w:pPr>
      <w:ind w:left="432" w:hanging="432"/>
      <w:tabs>
        <w:tab w:val="left" w:pos="432" w:leader="none"/>
        <w:tab w:val="left" w:pos="1545" w:leader="none"/>
      </w:tabs>
    </w:pPr>
    <w:rPr>
      <w:rFonts w:ascii="宋体" w:hAnsi="宋体"/>
    </w:rPr>
  </w:style>
  <w:style w:type="paragraph" w:styleId="1199" w:customStyle="1">
    <w:name w:val="表格表头"/>
    <w:basedOn w:val="963"/>
    <w:uiPriority w:val="0"/>
    <w:qFormat/>
    <w:pPr>
      <w:jc w:val="center"/>
      <w:spacing w:line="360" w:lineRule="auto"/>
      <w:outlineLvl w:val="0"/>
    </w:pPr>
    <w:rPr>
      <w:rFonts w:ascii="宋体" w:hAnsi="宋体" w:eastAsia="黑体" w:cs="宋体"/>
      <w:szCs w:val="21"/>
    </w:rPr>
  </w:style>
  <w:style w:type="paragraph" w:styleId="1200" w:customStyle="1">
    <w:name w:val="表格文字"/>
    <w:basedOn w:val="1201"/>
    <w:uiPriority w:val="0"/>
    <w:qFormat/>
    <w:rPr>
      <w:rFonts w:ascii="Times New Roman" w:hAnsi="Times New Roman"/>
    </w:rPr>
  </w:style>
  <w:style w:type="paragraph" w:styleId="1201" w:customStyle="1">
    <w:name w:val="表格文字（两侧对齐）"/>
    <w:basedOn w:val="963"/>
    <w:uiPriority w:val="0"/>
    <w:qFormat/>
    <w:pPr>
      <w:jc w:val="left"/>
    </w:pPr>
    <w:rPr>
      <w:sz w:val="20"/>
    </w:rPr>
  </w:style>
  <w:style w:type="paragraph" w:styleId="1202" w:customStyle="1">
    <w:name w:val="xl539"/>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03" w:customStyle="1">
    <w:name w:val="xl73"/>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204" w:customStyle="1">
    <w:name w:val="标题五自定义"/>
    <w:basedOn w:val="963"/>
    <w:uiPriority w:val="0"/>
    <w:qFormat/>
    <w:pPr>
      <w:ind w:left="1985" w:hanging="992"/>
      <w:tabs>
        <w:tab w:val="left" w:pos="1985" w:leader="none"/>
      </w:tabs>
    </w:pPr>
    <w:rPr>
      <w:szCs w:val="22"/>
    </w:rPr>
  </w:style>
  <w:style w:type="paragraph" w:styleId="1205" w:customStyle="1">
    <w:name w:val="xl67"/>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06" w:customStyle="1">
    <w:name w:val="xl532"/>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07" w:customStyle="1">
    <w:name w:val="财政-标题三"/>
    <w:basedOn w:val="1208"/>
    <w:uiPriority w:val="0"/>
    <w:qFormat/>
    <w:pPr>
      <w:outlineLvl w:val="2"/>
    </w:pPr>
    <w:rPr>
      <w:sz w:val="32"/>
    </w:rPr>
  </w:style>
  <w:style w:type="paragraph" w:styleId="1208" w:customStyle="1">
    <w:name w:val="财政-标题二"/>
    <w:basedOn w:val="1197"/>
    <w:uiPriority w:val="0"/>
    <w:qFormat/>
    <w:pPr>
      <w:outlineLvl w:val="1"/>
    </w:pPr>
    <w:rPr>
      <w:sz w:val="36"/>
    </w:rPr>
  </w:style>
  <w:style w:type="paragraph" w:styleId="1209" w:customStyle="1">
    <w:name w:val="Char1 Char Char Char"/>
    <w:basedOn w:val="963"/>
    <w:uiPriority w:val="0"/>
    <w:qFormat/>
    <w:pPr>
      <w:ind w:left="840" w:hanging="420"/>
      <w:tabs>
        <w:tab w:val="left" w:pos="840" w:leader="none"/>
      </w:tabs>
    </w:pPr>
    <w:rPr>
      <w:rFonts w:ascii="Times New Roman" w:hAnsi="Times New Roman"/>
    </w:rPr>
  </w:style>
  <w:style w:type="paragraph" w:styleId="1210" w:customStyle="1">
    <w:name w:val="xl534"/>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211" w:customStyle="1">
    <w:name w:val="正文段"/>
    <w:basedOn w:val="963"/>
    <w:uiPriority w:val="0"/>
    <w:qFormat/>
    <w:pPr>
      <w:ind w:firstLine="454"/>
      <w:spacing w:after="240" w:line="240" w:lineRule="atLeast"/>
      <w:widowControl/>
    </w:pPr>
    <w:rPr>
      <w:rFonts w:ascii="宋体" w:hAnsi="Times New Roman"/>
      <w:szCs w:val="20"/>
    </w:rPr>
  </w:style>
  <w:style w:type="paragraph" w:styleId="1212" w:customStyle="1">
    <w:name w:val="_Style 72"/>
    <w:next w:val="963"/>
    <w:uiPriority w:val="99"/>
    <w:qFormat/>
    <w:pPr>
      <w:jc w:val="both"/>
      <w:widowControl w:val="off"/>
    </w:pPr>
    <w:rPr>
      <w:rFonts w:ascii="宋体" w:hAnsi="宋体" w:eastAsia="宋体" w:cs="Times New Roman"/>
      <w:sz w:val="24"/>
      <w:szCs w:val="24"/>
      <w:lang w:val="en-US" w:eastAsia="zh-CN" w:bidi="ar-SA"/>
    </w:rPr>
  </w:style>
  <w:style w:type="paragraph" w:styleId="1213" w:customStyle="1">
    <w:name w:val="Normal_541"/>
    <w:next w:val="963"/>
    <w:uiPriority w:val="0"/>
    <w:qFormat/>
    <w:pPr>
      <w:jc w:val="both"/>
      <w:widowControl w:val="off"/>
    </w:pPr>
    <w:rPr>
      <w:rFonts w:ascii="Times New Roman" w:hAnsi="Times New Roman" w:eastAsia="宋体" w:cs="Times New Roman"/>
      <w:sz w:val="21"/>
      <w:szCs w:val="21"/>
      <w:lang w:val="en-US" w:eastAsia="zh-CN" w:bidi="ar-SA"/>
    </w:rPr>
  </w:style>
  <w:style w:type="paragraph" w:styleId="1214" w:customStyle="1">
    <w:name w:val="xl522"/>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215" w:customStyle="1">
    <w:name w:val="xl541"/>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16" w:customStyle="1">
    <w:name w:val="xl537"/>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17" w:customStyle="1">
    <w:name w:val="xl512"/>
    <w:basedOn w:val="963"/>
    <w:uiPriority w:val="0"/>
    <w:qFormat/>
    <w:pPr>
      <w:jc w:val="center"/>
      <w:spacing w:before="100" w:beforeAutospacing="1" w:after="100" w:afterAutospacing="1"/>
      <w:widowControl/>
    </w:pPr>
    <w:rPr>
      <w:rFonts w:ascii="宋体" w:hAnsi="宋体" w:cs="宋体"/>
      <w:color w:val="000000"/>
    </w:rPr>
  </w:style>
  <w:style w:type="paragraph" w:styleId="1218" w:customStyle="1">
    <w:name w:val="xl71"/>
    <w:basedOn w:val="96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219" w:customStyle="1">
    <w:name w:val="xl509"/>
    <w:basedOn w:val="963"/>
    <w:uiPriority w:val="0"/>
    <w:qFormat/>
    <w:pPr>
      <w:jc w:val="center"/>
      <w:spacing w:before="100" w:beforeAutospacing="1" w:after="100" w:afterAutospacing="1"/>
      <w:shd w:val="clear" w:color="000000" w:fill="ffffff"/>
      <w:widowControl/>
    </w:pPr>
    <w:rPr>
      <w:rFonts w:ascii="宋体" w:hAnsi="宋体" w:cs="宋体"/>
      <w:color w:val="000000"/>
    </w:rPr>
  </w:style>
  <w:style w:type="paragraph" w:styleId="1220" w:customStyle="1">
    <w:name w:val="xl528"/>
    <w:basedOn w:val="9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21" w:customStyle="1">
    <w:name w:val="xl529"/>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22" w:customStyle="1">
    <w:name w:val="xl523"/>
    <w:basedOn w:val="96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223" w:customStyle="1">
    <w:name w:val="标题一自定义"/>
    <w:basedOn w:val="964"/>
    <w:next w:val="963"/>
    <w:uiPriority w:val="99"/>
    <w:qFormat/>
    <w:pPr>
      <w:ind w:left="425" w:hanging="425"/>
      <w:pageBreakBefore/>
      <w:spacing w:before="0" w:after="0" w:line="360" w:lineRule="auto"/>
      <w:tabs>
        <w:tab w:val="left" w:pos="432" w:leader="none"/>
        <w:tab w:val="left" w:pos="1440" w:leader="none"/>
      </w:tabs>
    </w:pPr>
    <w:rPr>
      <w:rFonts w:eastAsia="黑体"/>
      <w:b w:val="0"/>
    </w:rPr>
  </w:style>
  <w:style w:type="paragraph" w:styleId="1224" w:customStyle="1">
    <w:name w:val="TOC 标题1"/>
    <w:basedOn w:val="964"/>
    <w:next w:val="963"/>
    <w:uiPriority w:val="39"/>
    <w:qFormat/>
    <w:pPr>
      <w:jc w:val="left"/>
      <w:spacing w:before="240" w:after="0" w:line="259" w:lineRule="auto"/>
      <w:widowControl/>
      <w:outlineLvl w:val="9"/>
    </w:pPr>
    <w:rPr>
      <w:rFonts w:ascii="Times New Roman" w:hAnsi="Times New Roman" w:eastAsia="黑体"/>
      <w:b w:val="0"/>
      <w:bCs w:val="0"/>
      <w:color w:val="365f91"/>
      <w:sz w:val="32"/>
      <w:szCs w:val="32"/>
    </w:rPr>
  </w:style>
  <w:style w:type="paragraph" w:styleId="1225" w:customStyle="1">
    <w:name w:val="xl538"/>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26" w:customStyle="1">
    <w:name w:val="xl527"/>
    <w:basedOn w:val="963"/>
    <w:uiPriority w:val="0"/>
    <w:qFormat/>
    <w:pPr>
      <w:spacing w:before="100" w:beforeAutospacing="1" w:after="100" w:afterAutospacing="1"/>
      <w:widowControl/>
    </w:pPr>
    <w:rPr>
      <w:rFonts w:ascii="宋体" w:hAnsi="宋体" w:cs="宋体"/>
      <w:color w:val="ff0000"/>
    </w:rPr>
  </w:style>
  <w:style w:type="paragraph" w:styleId="1227" w:customStyle="1">
    <w:name w:val="Plain Text*"/>
    <w:basedOn w:val="963"/>
    <w:uiPriority w:val="6"/>
    <w:qFormat/>
    <w:pPr>
      <w:jc w:val="left"/>
      <w:widowControl/>
    </w:pPr>
    <w:rPr>
      <w:rFonts w:ascii="宋体" w:hAnsi="宋体" w:eastAsia="楷体_GB2312" w:cs="Courier New"/>
      <w:sz w:val="26"/>
      <w:szCs w:val="20"/>
      <w:lang w:val="zh-CN"/>
    </w:rPr>
  </w:style>
  <w:style w:type="paragraph" w:styleId="1228" w:customStyle="1">
    <w:name w:val="xl511"/>
    <w:basedOn w:val="963"/>
    <w:uiPriority w:val="0"/>
    <w:qFormat/>
    <w:pPr>
      <w:jc w:val="center"/>
      <w:spacing w:before="100" w:beforeAutospacing="1" w:after="100" w:afterAutospacing="1"/>
      <w:widowControl/>
    </w:pPr>
    <w:rPr>
      <w:rFonts w:ascii="宋体" w:hAnsi="宋体" w:cs="宋体"/>
      <w:color w:val="ff0000"/>
    </w:rPr>
  </w:style>
  <w:style w:type="paragraph" w:styleId="1229" w:customStyle="1">
    <w:name w:val="列出段落3"/>
    <w:basedOn w:val="963"/>
    <w:uiPriority w:val="0"/>
    <w:qFormat/>
    <w:pPr>
      <w:ind w:firstLine="420"/>
    </w:pPr>
    <w:rPr>
      <w:rFonts w:ascii="Times New Roman" w:hAnsi="Times New Roman" w:eastAsia="文鼎CS仿宋体"/>
      <w:spacing w:val="-4"/>
      <w:sz w:val="32"/>
    </w:rPr>
  </w:style>
  <w:style w:type="paragraph" w:styleId="1230" w:customStyle="1">
    <w:name w:val="列出段落2"/>
    <w:basedOn w:val="963"/>
    <w:uiPriority w:val="0"/>
    <w:qFormat/>
    <w:pPr>
      <w:ind w:firstLine="420"/>
    </w:pPr>
    <w:rPr>
      <w:rFonts w:ascii="宋体" w:hAnsi="宋体"/>
    </w:rPr>
  </w:style>
  <w:style w:type="paragraph" w:styleId="1231" w:customStyle="1">
    <w:name w:val="Table Paragraph"/>
    <w:basedOn w:val="963"/>
    <w:uiPriority w:val="1"/>
    <w:qFormat/>
    <w:rPr>
      <w:rFonts w:ascii="宋体" w:hAnsi="宋体"/>
    </w:rPr>
  </w:style>
  <w:style w:type="paragraph" w:styleId="1232" w:customStyle="1">
    <w:name w:val="xl519"/>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33" w:customStyle="1">
    <w:name w:val="xl524"/>
    <w:basedOn w:val="963"/>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34" w:customStyle="1">
    <w:name w:val="标题四自定义"/>
    <w:basedOn w:val="963"/>
    <w:uiPriority w:val="99"/>
    <w:qFormat/>
    <w:pPr>
      <w:ind w:left="738" w:hanging="738"/>
      <w:tabs>
        <w:tab w:val="left" w:pos="1134" w:leader="none"/>
      </w:tabs>
    </w:pPr>
    <w:rPr>
      <w:szCs w:val="22"/>
    </w:rPr>
  </w:style>
  <w:style w:type="paragraph" w:styleId="1235" w:customStyle="1">
    <w:name w:val="font8"/>
    <w:basedOn w:val="963"/>
    <w:uiPriority w:val="0"/>
    <w:qFormat/>
    <w:pPr>
      <w:jc w:val="left"/>
      <w:spacing w:before="100" w:beforeAutospacing="1" w:after="100" w:afterAutospacing="1"/>
      <w:widowControl/>
    </w:pPr>
    <w:rPr>
      <w:rFonts w:ascii="宋体" w:hAnsi="宋体" w:cs="宋体"/>
      <w:sz w:val="18"/>
      <w:szCs w:val="18"/>
    </w:rPr>
  </w:style>
  <w:style w:type="paragraph" w:styleId="1236" w:customStyle="1">
    <w:name w:val="Item Step"/>
    <w:basedOn w:val="963"/>
    <w:uiPriority w:val="0"/>
    <w:qFormat/>
    <w:pPr>
      <w:ind w:left="1701" w:hanging="567"/>
      <w:jc w:val="left"/>
      <w:widowControl/>
      <w:tabs>
        <w:tab w:val="left" w:pos="1440" w:leader="none"/>
      </w:tabs>
    </w:pPr>
    <w:rPr>
      <w:rFonts w:ascii="Times New Roman" w:hAnsi="Times New Roman"/>
    </w:rPr>
  </w:style>
  <w:style w:type="paragraph" w:styleId="1237" w:customStyle="1">
    <w:name w:val="大标题"/>
    <w:basedOn w:val="963"/>
    <w:uiPriority w:val="0"/>
    <w:qFormat/>
    <w:pPr>
      <w:jc w:val="center"/>
    </w:pPr>
    <w:rPr>
      <w:rFonts w:ascii="Times New Roman" w:hAnsi="Times New Roman" w:eastAsia="黑体" w:cs="宋体"/>
      <w:sz w:val="44"/>
      <w:szCs w:val="20"/>
    </w:rPr>
  </w:style>
  <w:style w:type="paragraph" w:styleId="1238" w:customStyle="1">
    <w:name w:val="xl75"/>
    <w:basedOn w:val="963"/>
    <w:uiPriority w:val="0"/>
    <w:qFormat/>
    <w:pPr>
      <w:jc w:val="center"/>
      <w:spacing w:before="100" w:beforeAutospacing="1" w:after="100" w:afterAutospacing="1"/>
      <w:widowControl/>
    </w:pPr>
    <w:rPr>
      <w:rFonts w:ascii="Times New Roman" w:hAnsi="Times New Roman"/>
      <w:szCs w:val="21"/>
    </w:rPr>
  </w:style>
  <w:style w:type="paragraph" w:styleId="1239" w:customStyle="1">
    <w:name w:val="投标文件正文"/>
    <w:basedOn w:val="963"/>
    <w:uiPriority w:val="0"/>
    <w:qFormat/>
    <w:pPr>
      <w:ind w:firstLine="560"/>
      <w:spacing w:line="440" w:lineRule="exact"/>
    </w:pPr>
    <w:rPr>
      <w:rFonts w:ascii="仿宋_GB2312" w:hAnsi="Times New Roman" w:eastAsia="仿宋_GB2312"/>
      <w:bCs/>
      <w:sz w:val="28"/>
      <w:szCs w:val="28"/>
    </w:rPr>
  </w:style>
  <w:style w:type="paragraph" w:styleId="1240" w:customStyle="1">
    <w:name w:val="样式1"/>
    <w:basedOn w:val="964"/>
    <w:uiPriority w:val="0"/>
    <w:qFormat/>
    <w:pPr>
      <w:jc w:val="center"/>
      <w:spacing w:before="120" w:after="120" w:line="480" w:lineRule="auto"/>
    </w:pPr>
    <w:rPr>
      <w:rFonts w:ascii="Times New Roman" w:hAnsi="Times New Roman" w:eastAsia="黑体"/>
      <w:b w:val="0"/>
      <w:iCs/>
      <w:sz w:val="32"/>
      <w:szCs w:val="32"/>
    </w:rPr>
  </w:style>
  <w:style w:type="paragraph" w:styleId="1241" w:customStyle="1">
    <w:name w:val="xl530"/>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42" w:customStyle="1">
    <w:name w:val="财政-标题四"/>
    <w:basedOn w:val="1207"/>
    <w:uiPriority w:val="0"/>
    <w:qFormat/>
    <w:pPr>
      <w:outlineLvl w:val="3"/>
    </w:pPr>
    <w:rPr>
      <w:sz w:val="30"/>
    </w:rPr>
  </w:style>
  <w:style w:type="paragraph" w:styleId="1243" w:customStyle="1">
    <w:name w:val="xl521"/>
    <w:basedOn w:val="9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44" w:customStyle="1">
    <w:name w:val="xl536"/>
    <w:basedOn w:val="963"/>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45" w:customStyle="1">
    <w:name w:val="xl525"/>
    <w:basedOn w:val="963"/>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46" w:customStyle="1">
    <w:name w:val="列出段落4"/>
    <w:basedOn w:val="963"/>
    <w:uiPriority w:val="0"/>
    <w:qFormat/>
    <w:pPr>
      <w:ind w:firstLine="420"/>
      <w:spacing w:line="360" w:lineRule="auto"/>
    </w:pPr>
    <w:rPr>
      <w:rFonts w:ascii="Times New Roman" w:hAnsi="Times New Roman"/>
      <w:szCs w:val="22"/>
    </w:rPr>
  </w:style>
  <w:style w:type="paragraph" w:styleId="1247" w:customStyle="1">
    <w:name w:val="xl74"/>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48" w:customStyle="1">
    <w:name w:val="xl526"/>
    <w:basedOn w:val="963"/>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49" w:customStyle="1">
    <w:name w:val="正文 New"/>
    <w:uiPriority w:val="0"/>
    <w:qFormat/>
    <w:pPr>
      <w:jc w:val="both"/>
      <w:widowControl w:val="off"/>
    </w:pPr>
    <w:rPr>
      <w:rFonts w:ascii="Cambria" w:hAnsi="Cambria" w:eastAsia="宋体" w:cs="Times New Roman"/>
      <w:sz w:val="21"/>
      <w:szCs w:val="24"/>
      <w:lang w:val="en-US" w:eastAsia="zh-CN" w:bidi="ar-SA"/>
    </w:rPr>
  </w:style>
  <w:style w:type="paragraph" w:styleId="1250" w:customStyle="1">
    <w:name w:val="三级标题3"/>
    <w:basedOn w:val="966"/>
    <w:uiPriority w:val="0"/>
    <w:qFormat/>
    <w:pPr>
      <w:ind w:left="5670" w:hanging="709"/>
      <w:keepNext w:val="0"/>
      <w:spacing w:before="120" w:after="120" w:line="360" w:lineRule="auto"/>
      <w:widowControl/>
      <w:tabs>
        <w:tab w:val="left" w:pos="5812" w:leader="none"/>
      </w:tabs>
    </w:pPr>
    <w:rPr>
      <w:rFonts w:ascii="宋体" w:hAnsi="宋体"/>
      <w:caps/>
      <w:color w:val="000000"/>
      <w:szCs w:val="24"/>
    </w:rPr>
  </w:style>
  <w:style w:type="paragraph" w:styleId="1251" w:customStyle="1">
    <w:name w:val="手册正文"/>
    <w:basedOn w:val="963"/>
    <w:uiPriority w:val="0"/>
    <w:qFormat/>
    <w:pPr>
      <w:ind w:firstLine="200"/>
      <w:spacing w:line="500" w:lineRule="exact"/>
    </w:pPr>
    <w:rPr>
      <w:rFonts w:ascii="Arial" w:hAnsi="Arial"/>
      <w:szCs w:val="20"/>
    </w:rPr>
  </w:style>
  <w:style w:type="paragraph" w:styleId="1252" w:customStyle="1">
    <w:name w:val="xl518"/>
    <w:basedOn w:val="963"/>
    <w:uiPriority w:val="0"/>
    <w:qFormat/>
    <w:pPr>
      <w:jc w:val="left"/>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b/>
      <w:bCs/>
      <w:color w:val="000000"/>
    </w:rPr>
  </w:style>
  <w:style w:type="paragraph" w:styleId="1253" w:customStyle="1">
    <w:name w:val="纯文本11"/>
    <w:basedOn w:val="963"/>
    <w:uiPriority w:val="0"/>
    <w:qFormat/>
    <w:rPr>
      <w:rFonts w:ascii="宋体" w:hAnsi="Courier New" w:eastAsia="楷体_GB2312"/>
      <w:sz w:val="28"/>
      <w:szCs w:val="20"/>
    </w:rPr>
  </w:style>
  <w:style w:type="paragraph" w:styleId="1254" w:customStyle="1">
    <w:name w:val="Bullet"/>
    <w:basedOn w:val="963"/>
    <w:uiPriority w:val="0"/>
    <w:qFormat/>
    <w:pPr>
      <w:ind w:firstLine="420"/>
      <w:spacing w:before="60" w:after="60" w:line="288" w:lineRule="auto"/>
      <w:widowControl/>
    </w:pPr>
    <w:rPr>
      <w:rFonts w:ascii="宋体" w:hAnsi="宋体"/>
      <w:bCs/>
      <w:szCs w:val="21"/>
    </w:rPr>
  </w:style>
  <w:style w:type="paragraph" w:styleId="1255" w:customStyle="1">
    <w:name w:val="xl535"/>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56" w:customStyle="1">
    <w:name w:val="zhengwen3"/>
    <w:basedOn w:val="1189"/>
    <w:uiPriority w:val="0"/>
    <w:qFormat/>
    <w:pPr>
      <w:ind w:left="738" w:hanging="738"/>
      <w:jc w:val="both"/>
      <w:spacing w:after="0" w:line="240" w:lineRule="auto"/>
      <w:widowControl w:val="off"/>
      <w:tabs>
        <w:tab w:val="left" w:pos="0" w:leader="none"/>
        <w:tab w:val="left" w:pos="1134" w:leader="none"/>
      </w:tabs>
    </w:pPr>
    <w:rPr>
      <w:rFonts w:ascii="Times New Roman" w:hAnsi="Times New Roman" w:eastAsia="宋体"/>
      <w:sz w:val="24"/>
      <w:szCs w:val="21"/>
      <w:lang w:eastAsia="zh-CN"/>
    </w:rPr>
  </w:style>
  <w:style w:type="paragraph" w:styleId="1257" w:customStyle="1">
    <w:name w:val="xl514"/>
    <w:basedOn w:val="963"/>
    <w:uiPriority w:val="0"/>
    <w:qFormat/>
    <w:pPr>
      <w:jc w:val="left"/>
      <w:spacing w:before="100" w:beforeAutospacing="1" w:after="100" w:afterAutospacing="1"/>
      <w:shd w:val="clear" w:color="000000" w:fill="ffffff"/>
      <w:widowControl/>
    </w:pPr>
    <w:rPr>
      <w:rFonts w:ascii="宋体" w:hAnsi="宋体" w:cs="宋体"/>
    </w:rPr>
  </w:style>
  <w:style w:type="paragraph" w:styleId="1258" w:customStyle="1">
    <w:name w:val="xl72"/>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259" w:customStyle="1">
    <w:name w:val="xl520"/>
    <w:basedOn w:val="96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60">
    <w:name w:val="No Spacing"/>
    <w:basedOn w:val="963"/>
    <w:uiPriority w:val="1"/>
    <w:qFormat/>
    <w:pPr>
      <w:jc w:val="left"/>
      <w:widowControl/>
    </w:pPr>
    <w:rPr>
      <w:sz w:val="24"/>
      <w:szCs w:val="32"/>
      <w:lang w:eastAsia="en-US" w:bidi="en-US"/>
    </w:rPr>
  </w:style>
  <w:style w:type="paragraph" w:styleId="1261" w:customStyle="1">
    <w:name w:val="Javis"/>
    <w:basedOn w:val="963"/>
    <w:uiPriority w:val="0"/>
    <w:qFormat/>
    <w:pPr>
      <w:ind w:left="15" w:right="15" w:firstLine="480"/>
      <w:spacing w:line="360" w:lineRule="auto"/>
    </w:pPr>
    <w:rPr>
      <w:rFonts w:ascii="Times New Roman" w:hAnsi="Times New Roman" w:cs="宋体"/>
      <w:szCs w:val="20"/>
    </w:rPr>
  </w:style>
  <w:style w:type="paragraph" w:styleId="1262" w:customStyle="1">
    <w:name w:val="样式 正文文本缩进 2 + Times New Roman 首行缩进:  1.06 厘米 行距: 固定值 30 磅"/>
    <w:basedOn w:val="997"/>
    <w:uiPriority w:val="0"/>
    <w:qFormat/>
    <w:pPr>
      <w:ind w:left="0" w:firstLine="601"/>
      <w:spacing w:line="540" w:lineRule="exact"/>
      <w:tabs>
        <w:tab w:val="clear" w:pos="630" w:leader="none"/>
      </w:tabs>
    </w:pPr>
    <w:rPr>
      <w:rFonts w:ascii="Times New Roman" w:hAnsi="Times New Roman"/>
      <w:sz w:val="28"/>
      <w:szCs w:val="28"/>
    </w:rPr>
  </w:style>
  <w:style w:type="paragraph" w:styleId="1263" w:customStyle="1">
    <w:name w:val="xl515"/>
    <w:basedOn w:val="96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264" w:customStyle="1">
    <w:name w:val="列出段落111"/>
    <w:basedOn w:val="963"/>
    <w:uiPriority w:val="0"/>
    <w:qFormat/>
    <w:pPr>
      <w:ind w:firstLine="420"/>
    </w:pPr>
    <w:rPr>
      <w:szCs w:val="20"/>
    </w:rPr>
  </w:style>
  <w:style w:type="paragraph" w:styleId="1265" w:customStyle="1">
    <w:name w:val="xl540"/>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66" w:customStyle="1">
    <w:name w:val="p25"/>
    <w:basedOn w:val="963"/>
    <w:uiPriority w:val="0"/>
    <w:qFormat/>
    <w:pPr>
      <w:jc w:val="left"/>
      <w:widowControl/>
    </w:pPr>
    <w:rPr>
      <w:rFonts w:ascii="黑体" w:hAnsi="黑体" w:eastAsia="黑体" w:cs="黑体"/>
      <w:sz w:val="26"/>
      <w:szCs w:val="26"/>
    </w:rPr>
  </w:style>
  <w:style w:type="paragraph" w:styleId="1267" w:customStyle="1">
    <w:name w:val="xl533"/>
    <w:basedOn w:val="9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68" w:customStyle="1">
    <w:name w:val="一级条标题"/>
    <w:basedOn w:val="963"/>
    <w:next w:val="1030"/>
    <w:uiPriority w:val="0"/>
    <w:qFormat/>
    <w:pPr>
      <w:ind w:left="420"/>
      <w:widowControl/>
      <w:outlineLvl w:val="2"/>
    </w:pPr>
    <w:rPr>
      <w:rFonts w:ascii="黑体" w:hAnsi="Calibri" w:eastAsia="黑体" w:cs="黑体"/>
      <w:szCs w:val="21"/>
    </w:rPr>
  </w:style>
  <w:style w:type="paragraph" w:styleId="1269" w:customStyle="1">
    <w:name w:val="文本块1"/>
    <w:basedOn w:val="963"/>
    <w:uiPriority w:val="0"/>
    <w:qFormat/>
    <w:pPr>
      <w:ind w:left="420" w:right="-294"/>
      <w:spacing w:line="320" w:lineRule="exact"/>
      <w:tabs>
        <w:tab w:val="left" w:pos="405" w:leader="none"/>
      </w:tabs>
    </w:pPr>
    <w:rPr>
      <w:rFonts w:ascii="宋体"/>
      <w:sz w:val="24"/>
    </w:rPr>
  </w:style>
  <w:style w:type="numbering" w:styleId="12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微软用户</dc:creator>
  <cp:lastModifiedBy>金健</cp:lastModifiedBy>
  <cp:revision>7</cp:revision>
  <dcterms:created xsi:type="dcterms:W3CDTF">2024-09-20T08:39:00Z</dcterms:created>
  <dcterms:modified xsi:type="dcterms:W3CDTF">2026-05-08T07:11:32Z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5D5B2B3087E94046A6B3DCE1CC701231_13</vt:lpwstr>
  </property>
  <property fmtid="{D5CDD505-2E9C-101B-9397-08002B2CF9AE}" pid="4" name="KSOTemplateDocerSaveRecord">
    <vt:lpwstr>eyJoZGlkIjoiYmE1MmVhYzQ1MmJmMmRiNDM3YWUxNGZiMDAzYWViMWMiLCJ1c2VySWQiOiIxMTM0NDg2NzI5In0=</vt:lpwstr>
  </property>
</Properties>
</file>