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E8C23">
      <w:pPr>
        <w:rPr>
          <w:rFonts w:ascii="宋体" w:hAnsi="宋体" w:eastAsia="宋体" w:cs="宋体"/>
          <w:b/>
          <w:color w:val="000000" w:themeColor="text1"/>
          <w:sz w:val="72"/>
          <w:highlight w:val="none"/>
          <w14:textFill>
            <w14:solidFill>
              <w14:schemeClr w14:val="tx1"/>
            </w14:solidFill>
          </w14:textFill>
        </w:rPr>
      </w:pPr>
      <w:bookmarkStart w:id="44" w:name="_GoBack"/>
      <w:r>
        <w:rPr>
          <w:rFonts w:hint="eastAsia" w:ascii="宋体" w:hAnsi="宋体" w:eastAsia="宋体" w:cs="宋体"/>
          <w:b/>
          <w:i/>
          <w:color w:val="000000" w:themeColor="text1"/>
          <w:sz w:val="21"/>
          <w:szCs w:val="21"/>
          <w:highlight w:val="none"/>
          <w14:textFill>
            <w14:solidFill>
              <w14:schemeClr w14:val="tx1"/>
            </w14:solidFill>
          </w14:textFill>
        </w:rPr>
        <w:t xml:space="preserve"> </w:t>
      </w:r>
    </w:p>
    <w:p w14:paraId="423CC354">
      <w:pPr>
        <w:jc w:val="center"/>
        <w:rPr>
          <w:rFonts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苏 州 市 政 府 采 购</w:t>
      </w:r>
    </w:p>
    <w:p w14:paraId="5201ED0E">
      <w:pPr>
        <w:jc w:val="center"/>
        <w:rPr>
          <w:rFonts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招 标 文 件</w:t>
      </w:r>
    </w:p>
    <w:p w14:paraId="2093C4C0">
      <w:pPr>
        <w:ind w:left="-424"/>
        <w:rPr>
          <w:rFonts w:hint="default" w:ascii="宋体" w:hAnsi="宋体" w:eastAsia="宋体" w:cs="宋体"/>
          <w:b/>
          <w:color w:val="000000" w:themeColor="text1"/>
          <w:sz w:val="72"/>
          <w:highlight w:val="none"/>
          <w:lang w:val="en-US" w:eastAsia="zh-CN"/>
          <w14:textFill>
            <w14:solidFill>
              <w14:schemeClr w14:val="tx1"/>
            </w14:solidFill>
          </w14:textFill>
        </w:rPr>
      </w:pPr>
    </w:p>
    <w:p w14:paraId="70FEBF8B">
      <w:pPr>
        <w:tabs>
          <w:tab w:val="left" w:pos="6760"/>
        </w:tabs>
        <w:ind w:left="-140" w:firstLine="137"/>
        <w:rPr>
          <w:rFonts w:ascii="宋体" w:hAnsi="宋体" w:eastAsia="宋体" w:cs="宋体"/>
          <w:b/>
          <w:color w:val="000000" w:themeColor="text1"/>
          <w:sz w:val="72"/>
          <w:highlight w:val="none"/>
          <w14:textFill>
            <w14:solidFill>
              <w14:schemeClr w14:val="tx1"/>
            </w14:solidFill>
          </w14:textFill>
        </w:rPr>
      </w:pPr>
    </w:p>
    <w:p w14:paraId="348C1570">
      <w:pPr>
        <w:spacing w:line="360" w:lineRule="auto"/>
        <w:ind w:firstLine="1405"/>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招标编号：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JSZC-320500-CXJT-G2026-0008</w:t>
      </w:r>
    </w:p>
    <w:p w14:paraId="0B55A7E7">
      <w:pPr>
        <w:spacing w:line="360" w:lineRule="auto"/>
        <w:ind w:left="2515" w:hanging="1124"/>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招标人：</w:t>
      </w:r>
      <w:r>
        <w:rPr>
          <w:rFonts w:hint="eastAsia" w:ascii="宋体" w:hAnsi="宋体" w:eastAsia="宋体" w:cs="宋体"/>
          <w:b/>
          <w:bCs/>
          <w:color w:val="000000" w:themeColor="text1"/>
          <w:sz w:val="28"/>
          <w:szCs w:val="28"/>
          <w:highlight w:val="none"/>
          <w:lang w:eastAsia="zh-CN"/>
          <w14:textFill>
            <w14:solidFill>
              <w14:schemeClr w14:val="tx1"/>
            </w14:solidFill>
          </w14:textFill>
        </w:rPr>
        <w:t>苏州市水利水务信息调度指挥中心</w:t>
      </w:r>
    </w:p>
    <w:p w14:paraId="22B445CF">
      <w:pPr>
        <w:spacing w:line="360" w:lineRule="auto"/>
        <w:ind w:firstLine="1405"/>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招标代理机构：</w:t>
      </w:r>
      <w:r>
        <w:rPr>
          <w:rFonts w:hint="eastAsia" w:ascii="宋体" w:hAnsi="宋体" w:eastAsia="宋体" w:cs="宋体"/>
          <w:b/>
          <w:bCs/>
          <w:color w:val="000000" w:themeColor="text1"/>
          <w:sz w:val="28"/>
          <w:szCs w:val="28"/>
          <w:highlight w:val="none"/>
          <w:lang w:eastAsia="zh-CN"/>
          <w14:textFill>
            <w14:solidFill>
              <w14:schemeClr w14:val="tx1"/>
            </w14:solidFill>
          </w14:textFill>
        </w:rPr>
        <w:t>诚信金泰建设管理（苏州）有限公司</w:t>
      </w:r>
    </w:p>
    <w:p w14:paraId="52DB6879">
      <w:pPr>
        <w:spacing w:line="360" w:lineRule="auto"/>
        <w:ind w:left="2796" w:hanging="1405"/>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项目名称：</w:t>
      </w:r>
      <w:r>
        <w:rPr>
          <w:rFonts w:hint="eastAsia" w:ascii="宋体" w:hAnsi="宋体" w:eastAsia="宋体" w:cs="宋体"/>
          <w:b/>
          <w:bCs/>
          <w:color w:val="000000" w:themeColor="text1"/>
          <w:sz w:val="28"/>
          <w:szCs w:val="28"/>
          <w:highlight w:val="none"/>
          <w:lang w:eastAsia="zh-CN"/>
          <w14:textFill>
            <w14:solidFill>
              <w14:schemeClr w14:val="tx1"/>
            </w14:solidFill>
          </w14:textFill>
        </w:rPr>
        <w:t>2026年智水苏州室外硬件</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设备</w:t>
      </w:r>
      <w:r>
        <w:rPr>
          <w:rFonts w:hint="eastAsia" w:ascii="宋体" w:hAnsi="宋体" w:eastAsia="宋体" w:cs="宋体"/>
          <w:b/>
          <w:bCs/>
          <w:color w:val="000000" w:themeColor="text1"/>
          <w:sz w:val="28"/>
          <w:szCs w:val="28"/>
          <w:highlight w:val="none"/>
          <w:lang w:eastAsia="zh-CN"/>
          <w14:textFill>
            <w14:solidFill>
              <w14:schemeClr w14:val="tx1"/>
            </w14:solidFill>
          </w14:textFill>
        </w:rPr>
        <w:t>运维项目</w:t>
      </w:r>
    </w:p>
    <w:p w14:paraId="7100267F">
      <w:pPr>
        <w:spacing w:line="360" w:lineRule="auto"/>
        <w:ind w:firstLine="1405"/>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采购类别：服务类</w:t>
      </w:r>
    </w:p>
    <w:p w14:paraId="76957133">
      <w:pPr>
        <w:rPr>
          <w:rFonts w:ascii="宋体" w:hAnsi="宋体" w:eastAsia="宋体" w:cs="宋体"/>
          <w:b/>
          <w:color w:val="000000" w:themeColor="text1"/>
          <w:sz w:val="28"/>
          <w:szCs w:val="28"/>
          <w:highlight w:val="none"/>
          <w14:textFill>
            <w14:solidFill>
              <w14:schemeClr w14:val="tx1"/>
            </w14:solidFill>
          </w14:textFill>
        </w:rPr>
      </w:pPr>
    </w:p>
    <w:p w14:paraId="4AD7261A">
      <w:pPr>
        <w:pStyle w:val="2"/>
        <w:rPr>
          <w:rFonts w:ascii="宋体" w:hAnsi="宋体" w:eastAsia="宋体" w:cs="宋体"/>
          <w:b/>
          <w:color w:val="000000" w:themeColor="text1"/>
          <w:sz w:val="28"/>
          <w:szCs w:val="28"/>
          <w:highlight w:val="none"/>
          <w14:textFill>
            <w14:solidFill>
              <w14:schemeClr w14:val="tx1"/>
            </w14:solidFill>
          </w14:textFill>
        </w:rPr>
      </w:pPr>
    </w:p>
    <w:p w14:paraId="7C5D3703">
      <w:pPr>
        <w:rPr>
          <w:rFonts w:ascii="宋体" w:hAnsi="宋体" w:eastAsia="宋体" w:cs="宋体"/>
          <w:b/>
          <w:color w:val="000000" w:themeColor="text1"/>
          <w:sz w:val="28"/>
          <w:szCs w:val="28"/>
          <w:highlight w:val="none"/>
          <w14:textFill>
            <w14:solidFill>
              <w14:schemeClr w14:val="tx1"/>
            </w14:solidFill>
          </w14:textFill>
        </w:rPr>
      </w:pPr>
    </w:p>
    <w:p w14:paraId="1C801984">
      <w:pPr>
        <w:pStyle w:val="2"/>
        <w:rPr>
          <w:rFonts w:ascii="宋体" w:hAnsi="宋体" w:eastAsia="宋体" w:cs="宋体"/>
          <w:b/>
          <w:color w:val="000000" w:themeColor="text1"/>
          <w:sz w:val="28"/>
          <w:szCs w:val="28"/>
          <w:highlight w:val="none"/>
          <w14:textFill>
            <w14:solidFill>
              <w14:schemeClr w14:val="tx1"/>
            </w14:solidFill>
          </w14:textFill>
        </w:rPr>
      </w:pPr>
    </w:p>
    <w:p w14:paraId="661E9736">
      <w:pPr>
        <w:rPr>
          <w:rFonts w:ascii="宋体" w:hAnsi="宋体" w:eastAsia="宋体" w:cs="宋体"/>
          <w:b/>
          <w:color w:val="000000" w:themeColor="text1"/>
          <w:sz w:val="28"/>
          <w:szCs w:val="28"/>
          <w:highlight w:val="none"/>
          <w14:textFill>
            <w14:solidFill>
              <w14:schemeClr w14:val="tx1"/>
            </w14:solidFill>
          </w14:textFill>
        </w:rPr>
      </w:pPr>
    </w:p>
    <w:p w14:paraId="1A7FBED6">
      <w:pPr>
        <w:pStyle w:val="2"/>
        <w:rPr>
          <w:rFonts w:ascii="宋体" w:hAnsi="宋体" w:eastAsia="宋体" w:cs="宋体"/>
          <w:b/>
          <w:color w:val="000000" w:themeColor="text1"/>
          <w:sz w:val="28"/>
          <w:szCs w:val="28"/>
          <w:highlight w:val="none"/>
          <w14:textFill>
            <w14:solidFill>
              <w14:schemeClr w14:val="tx1"/>
            </w14:solidFill>
          </w14:textFill>
        </w:rPr>
      </w:pPr>
    </w:p>
    <w:p w14:paraId="280209C6">
      <w:pPr>
        <w:rPr>
          <w:rFonts w:ascii="宋体" w:hAnsi="宋体" w:eastAsia="宋体" w:cs="宋体"/>
          <w:b/>
          <w:color w:val="000000" w:themeColor="text1"/>
          <w:sz w:val="28"/>
          <w:szCs w:val="28"/>
          <w:highlight w:val="none"/>
          <w14:textFill>
            <w14:solidFill>
              <w14:schemeClr w14:val="tx1"/>
            </w14:solidFill>
          </w14:textFill>
        </w:rPr>
      </w:pPr>
    </w:p>
    <w:p w14:paraId="0E3F8044">
      <w:pPr>
        <w:pStyle w:val="2"/>
        <w:rPr>
          <w:rFonts w:ascii="宋体" w:hAnsi="宋体" w:eastAsia="宋体" w:cs="宋体"/>
          <w:b/>
          <w:color w:val="000000" w:themeColor="text1"/>
          <w:sz w:val="28"/>
          <w:szCs w:val="28"/>
          <w:highlight w:val="none"/>
          <w14:textFill>
            <w14:solidFill>
              <w14:schemeClr w14:val="tx1"/>
            </w14:solidFill>
          </w14:textFill>
        </w:rPr>
      </w:pPr>
    </w:p>
    <w:p w14:paraId="2EC75D7B">
      <w:pPr>
        <w:rPr>
          <w:rFonts w:hint="eastAsia" w:ascii="宋体" w:hAnsi="宋体" w:eastAsia="宋体" w:cs="宋体"/>
          <w:color w:val="000000" w:themeColor="text1"/>
          <w:highlight w:val="none"/>
          <w14:textFill>
            <w14:solidFill>
              <w14:schemeClr w14:val="tx1"/>
            </w14:solidFill>
          </w14:textFill>
        </w:rPr>
      </w:pPr>
    </w:p>
    <w:p w14:paraId="55A6CF55">
      <w:pPr>
        <w:pStyle w:val="2"/>
        <w:rPr>
          <w:rFonts w:hAnsi="宋体" w:cs="宋体"/>
          <w:color w:val="000000" w:themeColor="text1"/>
          <w:highlight w:val="none"/>
          <w14:textFill>
            <w14:solidFill>
              <w14:schemeClr w14:val="tx1"/>
            </w14:solidFill>
          </w14:textFill>
        </w:rPr>
      </w:pPr>
    </w:p>
    <w:p w14:paraId="71FB29A5">
      <w:pPr>
        <w:rPr>
          <w:rFonts w:ascii="宋体" w:hAnsi="宋体" w:eastAsia="宋体" w:cs="宋体"/>
          <w:color w:val="000000" w:themeColor="text1"/>
          <w:highlight w:val="none"/>
          <w14:textFill>
            <w14:solidFill>
              <w14:schemeClr w14:val="tx1"/>
            </w14:solidFill>
          </w14:textFill>
        </w:rPr>
      </w:pPr>
    </w:p>
    <w:p w14:paraId="55C432E8">
      <w:pPr>
        <w:pStyle w:val="2"/>
        <w:rPr>
          <w:rFonts w:hAnsi="宋体" w:cs="宋体"/>
          <w:color w:val="000000" w:themeColor="text1"/>
          <w:highlight w:val="none"/>
          <w14:textFill>
            <w14:solidFill>
              <w14:schemeClr w14:val="tx1"/>
            </w14:solidFill>
          </w14:textFill>
        </w:rPr>
      </w:pPr>
    </w:p>
    <w:p w14:paraId="2E6519CC">
      <w:pPr>
        <w:jc w:val="center"/>
        <w:rPr>
          <w:rFonts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二〇二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14:textFill>
            <w14:solidFill>
              <w14:schemeClr w14:val="tx1"/>
            </w14:solidFill>
          </w14:textFill>
        </w:rPr>
        <w:t>月</w:t>
      </w:r>
    </w:p>
    <w:p w14:paraId="17F071A9">
      <w:pPr>
        <w:tabs>
          <w:tab w:val="left" w:pos="7730"/>
        </w:tabs>
        <w:rPr>
          <w:rFonts w:ascii="宋体" w:hAnsi="宋体" w:eastAsia="宋体" w:cs="宋体"/>
          <w:color w:val="000000" w:themeColor="text1"/>
          <w:sz w:val="36"/>
          <w:szCs w:val="36"/>
          <w:highlight w:val="none"/>
          <w14:textFill>
            <w14:solidFill>
              <w14:schemeClr w14:val="tx1"/>
            </w14:solidFill>
          </w14:textFill>
        </w:rPr>
        <w:sectPr>
          <w:headerReference r:id="rId4" w:type="first"/>
          <w:footerReference r:id="rId6" w:type="first"/>
          <w:headerReference r:id="rId3" w:type="default"/>
          <w:footerReference r:id="rId5" w:type="even"/>
          <w:pgSz w:w="11906" w:h="16838"/>
          <w:pgMar w:top="1440" w:right="1800" w:bottom="1440" w:left="1800" w:header="851" w:footer="992" w:gutter="0"/>
          <w:pgNumType w:start="1"/>
          <w:cols w:space="720" w:num="1"/>
          <w:docGrid w:linePitch="360" w:charSpace="0"/>
        </w:sectPr>
      </w:pPr>
    </w:p>
    <w:p w14:paraId="2B12B9E0">
      <w:pPr>
        <w:tabs>
          <w:tab w:val="left" w:pos="7730"/>
        </w:tabs>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前附表</w:t>
      </w:r>
    </w:p>
    <w:tbl>
      <w:tblPr>
        <w:tblStyle w:val="52"/>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18"/>
        <w:gridCol w:w="6626"/>
      </w:tblGrid>
      <w:tr w14:paraId="56485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46" w:type="dxa"/>
            <w:noWrap w:val="0"/>
            <w:vAlign w:val="center"/>
          </w:tcPr>
          <w:p w14:paraId="61D7694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418" w:type="dxa"/>
            <w:noWrap w:val="0"/>
            <w:vAlign w:val="center"/>
          </w:tcPr>
          <w:p w14:paraId="775EC5B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w:t>
            </w:r>
          </w:p>
        </w:tc>
        <w:tc>
          <w:tcPr>
            <w:tcW w:w="6626" w:type="dxa"/>
            <w:noWrap w:val="0"/>
            <w:vAlign w:val="center"/>
          </w:tcPr>
          <w:p w14:paraId="4C3DFDB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内容</w:t>
            </w:r>
          </w:p>
        </w:tc>
      </w:tr>
      <w:tr w14:paraId="4DBA6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noWrap w:val="0"/>
            <w:vAlign w:val="center"/>
          </w:tcPr>
          <w:p w14:paraId="2A73E50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418" w:type="dxa"/>
            <w:noWrap w:val="0"/>
            <w:vAlign w:val="center"/>
          </w:tcPr>
          <w:p w14:paraId="7F457438">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项目名称</w:t>
            </w:r>
          </w:p>
        </w:tc>
        <w:tc>
          <w:tcPr>
            <w:tcW w:w="6626" w:type="dxa"/>
            <w:noWrap w:val="0"/>
            <w:vAlign w:val="center"/>
          </w:tcPr>
          <w:p w14:paraId="2685C6FC">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2026年智水苏州室外硬件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设备</w:t>
            </w:r>
            <w:r>
              <w:rPr>
                <w:rFonts w:hint="eastAsia" w:ascii="宋体" w:hAnsi="宋体" w:eastAsia="宋体" w:cs="宋体"/>
                <w:bCs/>
                <w:color w:val="000000" w:themeColor="text1"/>
                <w:sz w:val="21"/>
                <w:szCs w:val="21"/>
                <w:highlight w:val="none"/>
                <w:lang w:eastAsia="zh-CN"/>
                <w14:textFill>
                  <w14:solidFill>
                    <w14:schemeClr w14:val="tx1"/>
                  </w14:solidFill>
                </w14:textFill>
              </w:rPr>
              <w:t>运维项目</w:t>
            </w:r>
          </w:p>
        </w:tc>
      </w:tr>
      <w:tr w14:paraId="3CD0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746" w:type="dxa"/>
            <w:noWrap w:val="0"/>
            <w:vAlign w:val="center"/>
          </w:tcPr>
          <w:p w14:paraId="267FC36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418" w:type="dxa"/>
            <w:noWrap w:val="0"/>
            <w:vAlign w:val="center"/>
          </w:tcPr>
          <w:p w14:paraId="285255E1">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服务期限</w:t>
            </w:r>
          </w:p>
        </w:tc>
        <w:tc>
          <w:tcPr>
            <w:tcW w:w="6626" w:type="dxa"/>
            <w:noWrap w:val="0"/>
            <w:vAlign w:val="center"/>
          </w:tcPr>
          <w:p w14:paraId="100B20A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24个月</w:t>
            </w:r>
            <w:r>
              <w:rPr>
                <w:rFonts w:hint="eastAsia" w:ascii="宋体" w:hAnsi="宋体" w:eastAsia="宋体" w:cs="宋体"/>
                <w:bCs w:val="0"/>
                <w:color w:val="000000" w:themeColor="text1"/>
                <w:sz w:val="21"/>
                <w:szCs w:val="21"/>
                <w:highlight w:val="none"/>
                <w14:textFill>
                  <w14:solidFill>
                    <w14:schemeClr w14:val="tx1"/>
                  </w14:solidFill>
                </w14:textFill>
              </w:rPr>
              <w:t>（具体起始时间以招标人通知为准）</w:t>
            </w:r>
          </w:p>
        </w:tc>
      </w:tr>
      <w:tr w14:paraId="569C6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46" w:type="dxa"/>
            <w:noWrap w:val="0"/>
            <w:vAlign w:val="center"/>
          </w:tcPr>
          <w:p w14:paraId="73024FB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418" w:type="dxa"/>
            <w:noWrap w:val="0"/>
            <w:vAlign w:val="center"/>
          </w:tcPr>
          <w:p w14:paraId="6ECE2C2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采购预算</w:t>
            </w:r>
          </w:p>
        </w:tc>
        <w:tc>
          <w:tcPr>
            <w:tcW w:w="6626" w:type="dxa"/>
            <w:noWrap w:val="0"/>
            <w:vAlign w:val="center"/>
          </w:tcPr>
          <w:p w14:paraId="4A7E090F">
            <w:pPr>
              <w:pBdr>
                <w:top w:val="none" w:color="auto" w:sz="0" w:space="0"/>
                <w:left w:val="none" w:color="auto" w:sz="0" w:space="0"/>
                <w:bottom w:val="none" w:color="auto" w:sz="0" w:space="0"/>
                <w:right w:val="none" w:color="auto" w:sz="0" w:space="0"/>
              </w:pBdr>
              <w:spacing w:line="360" w:lineRule="auto"/>
              <w:ind w:firstLine="0"/>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贰佰叁拾柒万玖仟柒佰柒拾元整（¥2379770.00</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lang w:eastAsia="zh-CN"/>
                <w14:textFill>
                  <w14:solidFill>
                    <w14:schemeClr w14:val="tx1"/>
                  </w14:solidFill>
                </w14:textFill>
              </w:rPr>
              <w:t>）</w:t>
            </w:r>
          </w:p>
        </w:tc>
      </w:tr>
      <w:tr w14:paraId="5CCD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46" w:type="dxa"/>
            <w:noWrap w:val="0"/>
            <w:vAlign w:val="center"/>
          </w:tcPr>
          <w:p w14:paraId="1B071F6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418" w:type="dxa"/>
            <w:noWrap w:val="0"/>
            <w:vAlign w:val="center"/>
          </w:tcPr>
          <w:p w14:paraId="6157B54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资格条件</w:t>
            </w:r>
          </w:p>
        </w:tc>
        <w:tc>
          <w:tcPr>
            <w:tcW w:w="6626" w:type="dxa"/>
            <w:noWrap w:val="0"/>
            <w:vAlign w:val="center"/>
          </w:tcPr>
          <w:p w14:paraId="63AC72A9">
            <w:pPr>
              <w:spacing w:line="360" w:lineRule="auto"/>
              <w:jc w:val="left"/>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详见招标公告</w:t>
            </w:r>
          </w:p>
        </w:tc>
      </w:tr>
      <w:tr w14:paraId="78B7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46" w:type="dxa"/>
            <w:noWrap w:val="0"/>
            <w:vAlign w:val="center"/>
          </w:tcPr>
          <w:p w14:paraId="5522CB1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418" w:type="dxa"/>
            <w:noWrap w:val="0"/>
            <w:vAlign w:val="center"/>
          </w:tcPr>
          <w:p w14:paraId="6E8EB58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联合体投标</w:t>
            </w:r>
          </w:p>
        </w:tc>
        <w:tc>
          <w:tcPr>
            <w:tcW w:w="6626" w:type="dxa"/>
            <w:noWrap w:val="0"/>
            <w:vAlign w:val="center"/>
          </w:tcPr>
          <w:p w14:paraId="4A153EE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本项目不接受联合体</w:t>
            </w:r>
          </w:p>
        </w:tc>
      </w:tr>
      <w:tr w14:paraId="76B0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46" w:type="dxa"/>
            <w:noWrap w:val="0"/>
            <w:vAlign w:val="center"/>
          </w:tcPr>
          <w:p w14:paraId="6854089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418" w:type="dxa"/>
            <w:noWrap w:val="0"/>
            <w:vAlign w:val="center"/>
          </w:tcPr>
          <w:p w14:paraId="12C999D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现场考察</w:t>
            </w:r>
          </w:p>
        </w:tc>
        <w:tc>
          <w:tcPr>
            <w:tcW w:w="6626" w:type="dxa"/>
            <w:noWrap w:val="0"/>
            <w:vAlign w:val="center"/>
          </w:tcPr>
          <w:p w14:paraId="0CBADF93">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不组织。</w:t>
            </w:r>
          </w:p>
        </w:tc>
      </w:tr>
      <w:tr w14:paraId="3BF35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46" w:type="dxa"/>
            <w:noWrap w:val="0"/>
            <w:vAlign w:val="center"/>
          </w:tcPr>
          <w:p w14:paraId="1CD0720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418" w:type="dxa"/>
            <w:noWrap w:val="0"/>
            <w:vAlign w:val="center"/>
          </w:tcPr>
          <w:p w14:paraId="0DD5626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投标答疑会</w:t>
            </w:r>
          </w:p>
        </w:tc>
        <w:tc>
          <w:tcPr>
            <w:tcW w:w="6626" w:type="dxa"/>
            <w:noWrap w:val="0"/>
            <w:vAlign w:val="center"/>
          </w:tcPr>
          <w:p w14:paraId="60451DA2">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不召开</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投标人如有疑问需要澄清，可通过公告中的联系方式及时提出，招标人或招标代理机构将予以解答，但答复内容不得涉及商业秘密</w:t>
            </w:r>
          </w:p>
        </w:tc>
      </w:tr>
      <w:tr w14:paraId="4509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6" w:type="dxa"/>
            <w:noWrap w:val="0"/>
            <w:vAlign w:val="center"/>
          </w:tcPr>
          <w:p w14:paraId="0B6CFFA5">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418" w:type="dxa"/>
            <w:noWrap w:val="0"/>
            <w:vAlign w:val="center"/>
          </w:tcPr>
          <w:p w14:paraId="08B342B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w:t>
            </w:r>
          </w:p>
          <w:p w14:paraId="7BB23D1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份数</w:t>
            </w:r>
          </w:p>
        </w:tc>
        <w:tc>
          <w:tcPr>
            <w:tcW w:w="6626" w:type="dxa"/>
            <w:noWrap w:val="0"/>
            <w:vAlign w:val="center"/>
          </w:tcPr>
          <w:p w14:paraId="7ED071C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中标单位中标后，提供纸质投标文件，送至招标代理机构</w:t>
            </w:r>
          </w:p>
        </w:tc>
      </w:tr>
      <w:tr w14:paraId="0A78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46" w:type="dxa"/>
            <w:shd w:val="clear" w:color="auto" w:fill="auto"/>
            <w:noWrap w:val="0"/>
            <w:vAlign w:val="center"/>
          </w:tcPr>
          <w:p w14:paraId="3A2819F3">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418" w:type="dxa"/>
            <w:noWrap w:val="0"/>
            <w:vAlign w:val="center"/>
          </w:tcPr>
          <w:p w14:paraId="28B1FAA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投标货币</w:t>
            </w:r>
          </w:p>
        </w:tc>
        <w:tc>
          <w:tcPr>
            <w:tcW w:w="6626" w:type="dxa"/>
            <w:noWrap w:val="0"/>
            <w:vAlign w:val="center"/>
          </w:tcPr>
          <w:p w14:paraId="558BBDD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人民币</w:t>
            </w:r>
          </w:p>
        </w:tc>
      </w:tr>
      <w:tr w14:paraId="1B29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746" w:type="dxa"/>
            <w:shd w:val="clear" w:color="auto" w:fill="auto"/>
            <w:noWrap w:val="0"/>
            <w:vAlign w:val="center"/>
          </w:tcPr>
          <w:p w14:paraId="4EC41A76">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418" w:type="dxa"/>
            <w:noWrap w:val="0"/>
            <w:vAlign w:val="center"/>
          </w:tcPr>
          <w:p w14:paraId="65ACC01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投标保证金</w:t>
            </w:r>
          </w:p>
        </w:tc>
        <w:tc>
          <w:tcPr>
            <w:tcW w:w="6626" w:type="dxa"/>
            <w:noWrap w:val="0"/>
            <w:vAlign w:val="center"/>
          </w:tcPr>
          <w:p w14:paraId="42EC64C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不提交，招标文件内关于投标保证金的相关规定均不适用</w:t>
            </w:r>
          </w:p>
        </w:tc>
      </w:tr>
      <w:tr w14:paraId="3E39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46" w:type="dxa"/>
            <w:shd w:val="clear" w:color="auto" w:fill="auto"/>
            <w:noWrap w:val="0"/>
            <w:vAlign w:val="center"/>
          </w:tcPr>
          <w:p w14:paraId="48DAC173">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418" w:type="dxa"/>
            <w:noWrap w:val="0"/>
            <w:vAlign w:val="center"/>
          </w:tcPr>
          <w:p w14:paraId="525320B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投标文件有效期</w:t>
            </w:r>
          </w:p>
        </w:tc>
        <w:tc>
          <w:tcPr>
            <w:tcW w:w="6626" w:type="dxa"/>
            <w:noWrap w:val="0"/>
            <w:vAlign w:val="center"/>
          </w:tcPr>
          <w:p w14:paraId="7BE316D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90</w:t>
            </w:r>
            <w:r>
              <w:rPr>
                <w:rFonts w:hint="eastAsia" w:ascii="宋体" w:hAnsi="宋体" w:eastAsia="宋体" w:cs="宋体"/>
                <w:color w:val="000000" w:themeColor="text1"/>
                <w:sz w:val="21"/>
                <w:szCs w:val="21"/>
                <w:highlight w:val="none"/>
                <w14:textFill>
                  <w14:solidFill>
                    <w14:schemeClr w14:val="tx1"/>
                  </w14:solidFill>
                </w14:textFill>
              </w:rPr>
              <w:t>日历天（从投标截止之日算起）</w:t>
            </w:r>
          </w:p>
        </w:tc>
      </w:tr>
      <w:tr w14:paraId="5D4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46" w:type="dxa"/>
            <w:vMerge w:val="restart"/>
            <w:shd w:val="clear" w:color="auto" w:fill="auto"/>
            <w:noWrap w:val="0"/>
            <w:vAlign w:val="center"/>
          </w:tcPr>
          <w:p w14:paraId="5C456BDF">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p w14:paraId="4C06BBE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1418" w:type="dxa"/>
            <w:noWrap w:val="0"/>
            <w:vAlign w:val="center"/>
          </w:tcPr>
          <w:p w14:paraId="3994F68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投标截止时间</w:t>
            </w:r>
          </w:p>
        </w:tc>
        <w:tc>
          <w:tcPr>
            <w:tcW w:w="6626" w:type="dxa"/>
            <w:noWrap w:val="0"/>
            <w:vAlign w:val="center"/>
          </w:tcPr>
          <w:p w14:paraId="2D5CA1CE">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w:t>
            </w:r>
            <w:r>
              <w:rPr>
                <w:rFonts w:hint="eastAsia" w:ascii="宋体" w:hAnsi="宋体" w:eastAsia="宋体" w:cs="宋体"/>
                <w:color w:val="000000" w:themeColor="text1"/>
                <w:sz w:val="21"/>
                <w:szCs w:val="21"/>
                <w:highlight w:val="none"/>
                <w:lang w:eastAsia="zh-CN"/>
                <w14:textFill>
                  <w14:solidFill>
                    <w14:schemeClr w14:val="tx1"/>
                  </w14:solidFill>
                </w14:textFill>
              </w:rPr>
              <w:t>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月</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lang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lang w:eastAsia="zh-CN"/>
                <w14:textFill>
                  <w14:solidFill>
                    <w14:schemeClr w14:val="tx1"/>
                  </w14:solidFill>
                </w14:textFill>
              </w:rPr>
              <w:t>时30分</w:t>
            </w:r>
          </w:p>
        </w:tc>
      </w:tr>
      <w:tr w14:paraId="44E3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46" w:type="dxa"/>
            <w:vMerge w:val="continue"/>
            <w:shd w:val="clear" w:color="auto" w:fill="auto"/>
            <w:noWrap w:val="0"/>
            <w:vAlign w:val="center"/>
          </w:tcPr>
          <w:p w14:paraId="0F74F12C">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c>
          <w:tcPr>
            <w:tcW w:w="1418" w:type="dxa"/>
            <w:noWrap w:val="0"/>
            <w:vAlign w:val="center"/>
          </w:tcPr>
          <w:p w14:paraId="3194F9B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投标地点</w:t>
            </w:r>
          </w:p>
        </w:tc>
        <w:tc>
          <w:tcPr>
            <w:tcW w:w="6626" w:type="dxa"/>
            <w:noWrap w:val="0"/>
            <w:vAlign w:val="center"/>
          </w:tcPr>
          <w:p w14:paraId="6F38925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r>
              <w:rPr>
                <w:rFonts w:hint="eastAsia" w:ascii="宋体" w:hAnsi="宋体" w:eastAsia="宋体" w:cs="宋体"/>
                <w:color w:val="000000" w:themeColor="text1"/>
                <w:sz w:val="21"/>
                <w:szCs w:val="21"/>
                <w:highlight w:val="none"/>
                <w:lang w:eastAsia="zh-CN"/>
                <w14:textFill>
                  <w14:solidFill>
                    <w14:schemeClr w14:val="tx1"/>
                  </w14:solidFill>
                </w14:textFill>
              </w:rPr>
              <w:t>“苏采云”</w:t>
            </w:r>
            <w:r>
              <w:rPr>
                <w:rFonts w:hint="eastAsia" w:ascii="宋体" w:hAnsi="宋体" w:eastAsia="宋体" w:cs="宋体"/>
                <w:color w:val="000000" w:themeColor="text1"/>
                <w:sz w:val="21"/>
                <w:szCs w:val="21"/>
                <w:highlight w:val="none"/>
                <w14:textFill>
                  <w14:solidFill>
                    <w14:schemeClr w14:val="tx1"/>
                  </w14:solidFill>
                </w14:textFill>
              </w:rPr>
              <w:t>系统（网址：http://jszfcg.jsczt.cn/）</w:t>
            </w:r>
          </w:p>
        </w:tc>
      </w:tr>
      <w:tr w14:paraId="76B0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46" w:type="dxa"/>
            <w:noWrap w:val="0"/>
            <w:vAlign w:val="center"/>
          </w:tcPr>
          <w:p w14:paraId="14935F0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18" w:type="dxa"/>
            <w:noWrap w:val="0"/>
            <w:vAlign w:val="center"/>
          </w:tcPr>
          <w:p w14:paraId="51CCD0F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开标时间和</w:t>
            </w:r>
          </w:p>
          <w:p w14:paraId="1CAAAAA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p>
        </w:tc>
        <w:tc>
          <w:tcPr>
            <w:tcW w:w="6626" w:type="dxa"/>
            <w:noWrap w:val="0"/>
            <w:vAlign w:val="center"/>
          </w:tcPr>
          <w:p w14:paraId="53B97F48">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w:t>
            </w:r>
            <w:r>
              <w:rPr>
                <w:rFonts w:hint="eastAsia" w:ascii="宋体" w:hAnsi="宋体" w:eastAsia="宋体" w:cs="宋体"/>
                <w:color w:val="000000" w:themeColor="text1"/>
                <w:sz w:val="21"/>
                <w:szCs w:val="21"/>
                <w:highlight w:val="none"/>
                <w:lang w:eastAsia="zh-CN"/>
                <w14:textFill>
                  <w14:solidFill>
                    <w14:schemeClr w14:val="tx1"/>
                  </w14:solidFill>
                </w14:textFill>
              </w:rPr>
              <w:t>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月</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lang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lang w:eastAsia="zh-CN"/>
                <w14:textFill>
                  <w14:solidFill>
                    <w14:schemeClr w14:val="tx1"/>
                  </w14:solidFill>
                </w14:textFill>
              </w:rPr>
              <w:t>时30分</w:t>
            </w:r>
          </w:p>
          <w:p w14:paraId="7722ED8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r>
              <w:rPr>
                <w:rFonts w:hint="eastAsia" w:ascii="宋体" w:hAnsi="宋体" w:eastAsia="宋体" w:cs="宋体"/>
                <w:color w:val="000000" w:themeColor="text1"/>
                <w:sz w:val="21"/>
                <w:szCs w:val="21"/>
                <w:highlight w:val="none"/>
                <w:lang w:eastAsia="zh-CN"/>
                <w14:textFill>
                  <w14:solidFill>
                    <w14:schemeClr w14:val="tx1"/>
                  </w14:solidFill>
                </w14:textFill>
              </w:rPr>
              <w:t>“苏采云”</w:t>
            </w:r>
            <w:r>
              <w:rPr>
                <w:rFonts w:hint="eastAsia" w:ascii="宋体" w:hAnsi="宋体" w:eastAsia="宋体" w:cs="宋体"/>
                <w:color w:val="000000" w:themeColor="text1"/>
                <w:sz w:val="21"/>
                <w:szCs w:val="21"/>
                <w:highlight w:val="none"/>
                <w14:textFill>
                  <w14:solidFill>
                    <w14:schemeClr w14:val="tx1"/>
                  </w14:solidFill>
                </w14:textFill>
              </w:rPr>
              <w:t>系统（网址：http://jszfcg.jsczt.cn/）</w:t>
            </w:r>
          </w:p>
        </w:tc>
      </w:tr>
      <w:tr w14:paraId="50C8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shd w:val="clear" w:color="auto" w:fill="auto"/>
            <w:noWrap w:val="0"/>
            <w:vAlign w:val="center"/>
          </w:tcPr>
          <w:p w14:paraId="30D325A5">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418" w:type="dxa"/>
            <w:noWrap w:val="0"/>
            <w:vAlign w:val="center"/>
          </w:tcPr>
          <w:p w14:paraId="2619E73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评标办法</w:t>
            </w:r>
          </w:p>
        </w:tc>
        <w:tc>
          <w:tcPr>
            <w:tcW w:w="6626" w:type="dxa"/>
            <w:noWrap w:val="0"/>
            <w:vAlign w:val="center"/>
          </w:tcPr>
          <w:p w14:paraId="32A8051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综合评分法</w:t>
            </w:r>
          </w:p>
        </w:tc>
      </w:tr>
      <w:tr w14:paraId="4B86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46" w:type="dxa"/>
            <w:shd w:val="clear" w:color="auto" w:fill="auto"/>
            <w:noWrap w:val="0"/>
            <w:vAlign w:val="center"/>
          </w:tcPr>
          <w:p w14:paraId="37DAAD57">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418" w:type="dxa"/>
            <w:noWrap w:val="0"/>
            <w:vAlign w:val="center"/>
          </w:tcPr>
          <w:p w14:paraId="30A9D19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定标办法</w:t>
            </w:r>
          </w:p>
        </w:tc>
        <w:tc>
          <w:tcPr>
            <w:tcW w:w="6626" w:type="dxa"/>
            <w:noWrap w:val="0"/>
            <w:vAlign w:val="center"/>
          </w:tcPr>
          <w:p w14:paraId="3C63218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招标人根据评标委员会推荐的中标候选供应商顺序确定中标单位。</w:t>
            </w:r>
          </w:p>
        </w:tc>
      </w:tr>
      <w:tr w14:paraId="386D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46" w:type="dxa"/>
            <w:shd w:val="clear" w:color="auto" w:fill="auto"/>
            <w:noWrap w:val="0"/>
            <w:vAlign w:val="center"/>
          </w:tcPr>
          <w:p w14:paraId="44F0E187">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1418" w:type="dxa"/>
            <w:noWrap w:val="0"/>
            <w:vAlign w:val="center"/>
          </w:tcPr>
          <w:p w14:paraId="4304D3C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6626" w:type="dxa"/>
            <w:noWrap w:val="0"/>
            <w:vAlign w:val="center"/>
          </w:tcPr>
          <w:p w14:paraId="053B1A2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sym w:font="Wingdings" w:char="00A8"/>
            </w:r>
            <w:r>
              <w:rPr>
                <w:rFonts w:hint="eastAsia" w:ascii="宋体" w:hAnsi="宋体" w:eastAsia="宋体" w:cs="宋体"/>
                <w:b/>
                <w:bCs/>
                <w:color w:val="000000" w:themeColor="text1"/>
                <w:sz w:val="21"/>
                <w:szCs w:val="21"/>
                <w:highlight w:val="none"/>
                <w:lang w:eastAsia="zh-CN"/>
                <w14:textFill>
                  <w14:solidFill>
                    <w14:schemeClr w14:val="tx1"/>
                  </w14:solidFill>
                </w14:textFill>
              </w:rPr>
              <w:t>提交</w:t>
            </w:r>
          </w:p>
          <w:p w14:paraId="40862DF8">
            <w:pPr>
              <w:keepNext w:val="0"/>
              <w:keepLines w:val="0"/>
              <w:pBdr>
                <w:top w:val="none" w:color="000000" w:sz="0" w:space="0"/>
                <w:left w:val="none" w:color="000000" w:sz="0" w:space="0"/>
                <w:bottom w:val="none" w:color="000000" w:sz="0" w:space="0"/>
                <w:right w:val="none" w:color="000000" w:sz="0" w:space="0"/>
              </w:pBd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sym w:font="Wingdings" w:char="00FE"/>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不</w:t>
            </w:r>
            <w:r>
              <w:rPr>
                <w:rFonts w:hint="eastAsia" w:ascii="宋体" w:hAnsi="宋体" w:eastAsia="宋体" w:cs="宋体"/>
                <w:b/>
                <w:bCs/>
                <w:color w:val="000000" w:themeColor="text1"/>
                <w:sz w:val="21"/>
                <w:szCs w:val="21"/>
                <w:highlight w:val="none"/>
                <w:lang w:eastAsia="zh-CN"/>
                <w14:textFill>
                  <w14:solidFill>
                    <w14:schemeClr w14:val="tx1"/>
                  </w14:solidFill>
                </w14:textFill>
              </w:rPr>
              <w:t>提交</w:t>
            </w:r>
          </w:p>
        </w:tc>
      </w:tr>
      <w:tr w14:paraId="07DE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46" w:type="dxa"/>
            <w:shd w:val="clear" w:color="auto" w:fill="auto"/>
            <w:noWrap w:val="0"/>
            <w:vAlign w:val="center"/>
          </w:tcPr>
          <w:p w14:paraId="1915EF2F">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418" w:type="dxa"/>
            <w:noWrap w:val="0"/>
            <w:vAlign w:val="center"/>
          </w:tcPr>
          <w:p w14:paraId="5AA1876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签订合同</w:t>
            </w:r>
          </w:p>
        </w:tc>
        <w:tc>
          <w:tcPr>
            <w:tcW w:w="6626" w:type="dxa"/>
            <w:noWrap w:val="0"/>
            <w:vAlign w:val="center"/>
          </w:tcPr>
          <w:p w14:paraId="3776E81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中标通知书发出之日起30日内</w:t>
            </w:r>
          </w:p>
        </w:tc>
      </w:tr>
      <w:tr w14:paraId="2F28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46" w:type="dxa"/>
            <w:shd w:val="clear" w:color="auto" w:fill="auto"/>
            <w:noWrap w:val="0"/>
            <w:vAlign w:val="center"/>
          </w:tcPr>
          <w:p w14:paraId="100FA806">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1418" w:type="dxa"/>
            <w:noWrap w:val="0"/>
            <w:vAlign w:val="center"/>
          </w:tcPr>
          <w:p w14:paraId="0C86EB6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代理服务费</w:t>
            </w:r>
          </w:p>
        </w:tc>
        <w:tc>
          <w:tcPr>
            <w:tcW w:w="6626" w:type="dxa"/>
            <w:noWrap w:val="0"/>
            <w:vAlign w:val="center"/>
          </w:tcPr>
          <w:p w14:paraId="3CE5759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代理</w:t>
            </w:r>
            <w:r>
              <w:rPr>
                <w:rFonts w:hint="eastAsia" w:ascii="宋体" w:hAnsi="宋体" w:eastAsia="宋体" w:cs="宋体"/>
                <w:color w:val="000000" w:themeColor="text1"/>
                <w:sz w:val="21"/>
                <w:szCs w:val="21"/>
                <w:highlight w:val="none"/>
                <w14:textFill>
                  <w14:solidFill>
                    <w14:schemeClr w14:val="tx1"/>
                  </w14:solidFill>
                </w14:textFill>
              </w:rPr>
              <w:t>收费标准：按以下方式差额定率累计后收取，预算金额100万元以下部分的费率为预算金额的1.5%；预算金额100-500万元部分的费率为预算金额的1.1%。预算金额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500</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1000</w:t>
            </w:r>
            <w:r>
              <w:rPr>
                <w:rFonts w:hint="eastAsia" w:ascii="宋体" w:hAnsi="宋体" w:eastAsia="宋体" w:cs="宋体"/>
                <w:color w:val="000000" w:themeColor="text1"/>
                <w:sz w:val="21"/>
                <w:szCs w:val="21"/>
                <w:highlight w:val="none"/>
                <w14:textFill>
                  <w14:solidFill>
                    <w14:schemeClr w14:val="tx1"/>
                  </w14:solidFill>
                </w14:textFill>
              </w:rPr>
              <w:t>万元部分的费率为预算金额的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0.8</w:t>
            </w:r>
            <w:r>
              <w:rPr>
                <w:rFonts w:hint="eastAsia" w:ascii="宋体" w:hAnsi="宋体" w:eastAsia="宋体" w:cs="宋体"/>
                <w:color w:val="000000" w:themeColor="text1"/>
                <w:sz w:val="21"/>
                <w:szCs w:val="21"/>
                <w:highlight w:val="none"/>
                <w14:textFill>
                  <w14:solidFill>
                    <w14:schemeClr w14:val="tx1"/>
                  </w14:solidFill>
                </w14:textFill>
              </w:rPr>
              <w:t>%按照差额累进法计算。</w:t>
            </w:r>
          </w:p>
          <w:p w14:paraId="6E21A837">
            <w:pPr>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根据省</w:t>
            </w:r>
            <w:r>
              <w:rPr>
                <w:rFonts w:hint="eastAsia" w:ascii="宋体" w:hAnsi="宋体" w:eastAsia="宋体" w:cs="宋体"/>
                <w:color w:val="000000" w:themeColor="text1"/>
                <w:sz w:val="21"/>
                <w:szCs w:val="21"/>
                <w:highlight w:val="none"/>
                <w:lang w:val="en-US" w:eastAsia="zh-CN"/>
                <w14:textFill>
                  <w14:solidFill>
                    <w14:schemeClr w14:val="tx1"/>
                  </w14:solidFill>
                </w14:textFill>
              </w:rPr>
              <w:t>财政</w:t>
            </w:r>
            <w:r>
              <w:rPr>
                <w:rFonts w:hint="eastAsia" w:ascii="宋体" w:hAnsi="宋体" w:eastAsia="宋体" w:cs="宋体"/>
                <w:color w:val="000000" w:themeColor="text1"/>
                <w:sz w:val="21"/>
                <w:szCs w:val="21"/>
                <w:highlight w:val="none"/>
                <w:lang w:eastAsia="zh-CN"/>
                <w14:textFill>
                  <w14:solidFill>
                    <w14:schemeClr w14:val="tx1"/>
                  </w14:solidFill>
                </w14:textFill>
              </w:rPr>
              <w:t>厅《关于进一步规范政府采购活动相关费用管理的通知》（苏财规〔2026〕1号）相关要求，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代理服务费由采购人支付</w:t>
            </w:r>
          </w:p>
          <w:p w14:paraId="1E8FACD4">
            <w:pP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w:t>
            </w:r>
            <w:r>
              <w:rPr>
                <w:rFonts w:hint="eastAsia" w:ascii="宋体" w:hAnsi="宋体" w:eastAsia="宋体" w:cs="宋体"/>
                <w:color w:val="000000" w:themeColor="text1"/>
                <w:sz w:val="21"/>
                <w:szCs w:val="21"/>
                <w:highlight w:val="none"/>
                <w:lang w:eastAsia="zh-CN"/>
                <w14:textFill>
                  <w14:solidFill>
                    <w14:schemeClr w14:val="tx1"/>
                  </w14:solidFill>
                </w14:textFill>
              </w:rPr>
              <w:t>代理服务费</w:t>
            </w:r>
            <w:r>
              <w:rPr>
                <w:rFonts w:hint="eastAsia" w:ascii="宋体" w:hAnsi="宋体" w:eastAsia="宋体" w:cs="宋体"/>
                <w:color w:val="000000" w:themeColor="text1"/>
                <w:sz w:val="21"/>
                <w:szCs w:val="21"/>
                <w:highlight w:val="none"/>
                <w:lang w:val="en-US" w:eastAsia="zh-CN"/>
                <w14:textFill>
                  <w14:solidFill>
                    <w14:schemeClr w14:val="tx1"/>
                  </w14:solidFill>
                </w14:textFill>
              </w:rPr>
              <w:t>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30177.00元。</w:t>
            </w:r>
          </w:p>
        </w:tc>
      </w:tr>
      <w:tr w14:paraId="3620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46" w:type="dxa"/>
            <w:shd w:val="clear" w:color="auto" w:fill="auto"/>
            <w:noWrap w:val="0"/>
            <w:vAlign w:val="center"/>
          </w:tcPr>
          <w:p w14:paraId="31C5F47F">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1418" w:type="dxa"/>
            <w:noWrap w:val="0"/>
            <w:vAlign w:val="center"/>
          </w:tcPr>
          <w:p w14:paraId="2613B45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监督电话</w:t>
            </w:r>
          </w:p>
        </w:tc>
        <w:tc>
          <w:tcPr>
            <w:tcW w:w="6626" w:type="dxa"/>
            <w:noWrap w:val="0"/>
            <w:vAlign w:val="center"/>
          </w:tcPr>
          <w:p w14:paraId="1E6D433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苏州市政府采购监督电话：0512-68616651</w:t>
            </w:r>
          </w:p>
        </w:tc>
      </w:tr>
      <w:tr w14:paraId="6170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46" w:type="dxa"/>
            <w:shd w:val="clear" w:color="auto" w:fill="auto"/>
            <w:noWrap w:val="0"/>
            <w:vAlign w:val="center"/>
          </w:tcPr>
          <w:p w14:paraId="5C933231">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1418" w:type="dxa"/>
            <w:noWrap w:val="0"/>
            <w:vAlign w:val="center"/>
          </w:tcPr>
          <w:p w14:paraId="58C8F51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特别提醒</w:t>
            </w:r>
          </w:p>
        </w:tc>
        <w:tc>
          <w:tcPr>
            <w:tcW w:w="6626" w:type="dxa"/>
            <w:noWrap w:val="0"/>
            <w:vAlign w:val="center"/>
          </w:tcPr>
          <w:p w14:paraId="073F6F5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本项目采用电子网上招投标。</w:t>
            </w:r>
          </w:p>
          <w:p w14:paraId="2B37055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需要通过CA证书，使用政府采购客户端工具制作电子投标文件，并在提交投标文件上传截止时间之前对投标文件进行加密并上传；</w:t>
            </w:r>
          </w:p>
          <w:p w14:paraId="5CE9A12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需携带加密文件的CA证书，在项目开启后，开始解密投标文件，请</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预留足够的解密时间。</w:t>
            </w:r>
          </w:p>
        </w:tc>
      </w:tr>
    </w:tbl>
    <w:p w14:paraId="7B580044">
      <w:pPr>
        <w:jc w:val="center"/>
        <w:rPr>
          <w:rFonts w:hint="eastAsia" w:ascii="宋体" w:hAnsi="宋体" w:eastAsia="宋体" w:cs="宋体"/>
          <w:b/>
          <w:color w:val="000000" w:themeColor="text1"/>
          <w:sz w:val="21"/>
          <w:szCs w:val="21"/>
          <w:highlight w:val="none"/>
          <w14:textFill>
            <w14:solidFill>
              <w14:schemeClr w14:val="tx1"/>
            </w14:solidFill>
          </w14:textFill>
        </w:rPr>
      </w:pPr>
    </w:p>
    <w:p w14:paraId="0E887285">
      <w:pPr>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p>
    <w:p w14:paraId="0320FB74">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目  录</w:t>
      </w:r>
    </w:p>
    <w:p w14:paraId="3CE3FEC3">
      <w:pPr>
        <w:jc w:val="center"/>
        <w:rPr>
          <w:rFonts w:hint="eastAsia" w:ascii="宋体" w:hAnsi="宋体" w:eastAsia="宋体" w:cs="宋体"/>
          <w:color w:val="000000" w:themeColor="text1"/>
          <w:sz w:val="21"/>
          <w:szCs w:val="21"/>
          <w:highlight w:val="none"/>
          <w14:textFill>
            <w14:solidFill>
              <w14:schemeClr w14:val="tx1"/>
            </w14:solidFill>
          </w14:textFill>
        </w:rPr>
      </w:pPr>
    </w:p>
    <w:p w14:paraId="69EC0030">
      <w:pPr>
        <w:jc w:val="center"/>
        <w:rPr>
          <w:rFonts w:hint="eastAsia" w:ascii="宋体" w:hAnsi="宋体" w:eastAsia="宋体" w:cs="宋体"/>
          <w:color w:val="000000" w:themeColor="text1"/>
          <w:sz w:val="21"/>
          <w:szCs w:val="21"/>
          <w:highlight w:val="none"/>
          <w14:textFill>
            <w14:solidFill>
              <w14:schemeClr w14:val="tx1"/>
            </w14:solidFill>
          </w14:textFill>
        </w:rPr>
      </w:pPr>
    </w:p>
    <w:p w14:paraId="3CABF6C3">
      <w:pPr>
        <w:jc w:val="center"/>
        <w:rPr>
          <w:rFonts w:hint="eastAsia" w:ascii="宋体" w:hAnsi="宋体" w:eastAsia="宋体" w:cs="宋体"/>
          <w:color w:val="000000" w:themeColor="text1"/>
          <w:sz w:val="21"/>
          <w:szCs w:val="21"/>
          <w:highlight w:val="none"/>
          <w14:textFill>
            <w14:solidFill>
              <w14:schemeClr w14:val="tx1"/>
            </w14:solidFill>
          </w14:textFill>
        </w:rPr>
      </w:pPr>
    </w:p>
    <w:p w14:paraId="12449D60">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TOC  \* MERGEFORMAT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第一章 招标公告</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_Toc160701720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639BE8E3">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第二章 投标人须知</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_Toc160701721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205E16F1">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第三章 投标文件格式</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_Toc160701722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27</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4EB6A235">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第四章 采购内容</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_Toc160701726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43</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3F59DBCD">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第五章 合同主要条款</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_Toc160701727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47</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2A3891A6">
      <w:pPr>
        <w:pStyle w:val="36"/>
        <w:tabs>
          <w:tab w:val="right" w:leader="dot" w:pos="9604"/>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第六章 评标办法及标准</w:t>
      </w:r>
      <w:r>
        <w:rPr>
          <w:rFonts w:hint="eastAsia" w:ascii="宋体" w:hAnsi="宋体" w:eastAsia="宋体" w:cs="宋体"/>
          <w:b/>
          <w:color w:val="000000" w:themeColor="text1"/>
          <w:sz w:val="21"/>
          <w:szCs w:val="21"/>
          <w:highlight w:val="none"/>
          <w14:textFill>
            <w14:solidFill>
              <w14:schemeClr w14:val="tx1"/>
            </w14:solidFill>
          </w14:textFill>
        </w:rPr>
        <w:tab/>
      </w: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PAGEREF _Toc160701728 \h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b/>
          <w:color w:val="000000" w:themeColor="text1"/>
          <w:sz w:val="21"/>
          <w:szCs w:val="21"/>
          <w:highlight w:val="none"/>
          <w14:textFill>
            <w14:solidFill>
              <w14:schemeClr w14:val="tx1"/>
            </w14:solidFill>
          </w14:textFill>
        </w:rPr>
        <w:t>80</w:t>
      </w: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11D6B9CE">
      <w:pPr>
        <w:spacing w:line="48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fldChar w:fldCharType="end"/>
      </w:r>
    </w:p>
    <w:p w14:paraId="6DF3F807">
      <w:pPr>
        <w:jc w:val="center"/>
        <w:rPr>
          <w:rFonts w:hint="eastAsia" w:ascii="宋体" w:hAnsi="宋体" w:eastAsia="宋体" w:cs="宋体"/>
          <w:color w:val="000000" w:themeColor="text1"/>
          <w:sz w:val="21"/>
          <w:szCs w:val="21"/>
          <w:highlight w:val="none"/>
          <w14:textFill>
            <w14:solidFill>
              <w14:schemeClr w14:val="tx1"/>
            </w14:solidFill>
          </w14:textFill>
        </w:rPr>
      </w:pPr>
    </w:p>
    <w:p w14:paraId="18B8EFFD">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2FEA0062">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419204BC">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39C5648B">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bookmarkStart w:id="0" w:name="_Toc388026583"/>
    </w:p>
    <w:p w14:paraId="424FFBFE">
      <w:pPr>
        <w:pStyle w:val="3"/>
        <w:jc w:val="center"/>
        <w:rPr>
          <w:rFonts w:hint="eastAsia" w:ascii="宋体" w:hAnsi="宋体" w:eastAsia="宋体" w:cs="宋体"/>
          <w:color w:val="000000" w:themeColor="text1"/>
          <w:sz w:val="21"/>
          <w:szCs w:val="21"/>
          <w:highlight w:val="none"/>
          <w14:textFill>
            <w14:solidFill>
              <w14:schemeClr w14:val="tx1"/>
            </w14:solidFill>
          </w14:textFill>
        </w:rPr>
      </w:pPr>
      <w:bookmarkStart w:id="1" w:name="_Toc494471870"/>
      <w:bookmarkStart w:id="2" w:name="_Toc160701720"/>
      <w:r>
        <w:rPr>
          <w:rFonts w:hint="eastAsia" w:ascii="宋体" w:hAnsi="宋体" w:eastAsia="宋体" w:cs="宋体"/>
          <w:color w:val="000000" w:themeColor="text1"/>
          <w:sz w:val="21"/>
          <w:szCs w:val="21"/>
          <w:highlight w:val="none"/>
          <w14:textFill>
            <w14:solidFill>
              <w14:schemeClr w14:val="tx1"/>
            </w14:solidFill>
          </w14:textFill>
        </w:rPr>
        <w:t xml:space="preserve">第一章 </w:t>
      </w:r>
      <w:bookmarkEnd w:id="0"/>
      <w:bookmarkEnd w:id="1"/>
      <w:r>
        <w:rPr>
          <w:rFonts w:hint="eastAsia" w:ascii="宋体" w:hAnsi="宋体" w:eastAsia="宋体" w:cs="宋体"/>
          <w:color w:val="000000" w:themeColor="text1"/>
          <w:sz w:val="21"/>
          <w:szCs w:val="21"/>
          <w:highlight w:val="none"/>
          <w14:textFill>
            <w14:solidFill>
              <w14:schemeClr w14:val="tx1"/>
            </w14:solidFill>
          </w14:textFill>
        </w:rPr>
        <w:t>招标公告</w:t>
      </w:r>
      <w:bookmarkEnd w:id="2"/>
    </w:p>
    <w:p w14:paraId="53327DBC">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bookmarkStart w:id="3" w:name="OLE_LINK16"/>
      <w:bookmarkStart w:id="4" w:name="OLE_LINK37"/>
      <w:r>
        <w:rPr>
          <w:rFonts w:hint="eastAsia" w:ascii="宋体" w:hAnsi="宋体" w:eastAsia="宋体" w:cs="宋体"/>
          <w:color w:val="000000" w:themeColor="text1"/>
          <w:sz w:val="21"/>
          <w:szCs w:val="21"/>
          <w:highlight w:val="none"/>
          <w14:textFill>
            <w14:solidFill>
              <w14:schemeClr w14:val="tx1"/>
            </w14:solidFill>
          </w14:textFill>
        </w:rPr>
        <w:t>项目概况</w:t>
      </w:r>
    </w:p>
    <w:p w14:paraId="6A5C3302">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lang w:eastAsia="zh-CN"/>
          <w14:textFill>
            <w14:solidFill>
              <w14:schemeClr w14:val="tx1"/>
            </w14:solidFill>
          </w14:textFill>
        </w:rPr>
        <w:t>2026年智水苏州室外硬件运维项目</w:t>
      </w:r>
      <w:r>
        <w:rPr>
          <w:rFonts w:hint="eastAsia" w:ascii="宋体" w:hAnsi="宋体" w:eastAsia="宋体" w:cs="宋体"/>
          <w:color w:val="000000" w:themeColor="text1"/>
          <w:sz w:val="21"/>
          <w:szCs w:val="21"/>
          <w:highlight w:val="none"/>
          <w14:textFill>
            <w14:solidFill>
              <w14:schemeClr w14:val="tx1"/>
            </w14:solidFill>
          </w14:textFill>
        </w:rPr>
        <w:t>招标项目的潜在投标人应在</w:t>
      </w:r>
      <w:r>
        <w:rPr>
          <w:rFonts w:hint="eastAsia" w:ascii="宋体" w:hAnsi="宋体" w:eastAsia="宋体" w:cs="宋体"/>
          <w:color w:val="000000" w:themeColor="text1"/>
          <w:sz w:val="21"/>
          <w:szCs w:val="21"/>
          <w:highlight w:val="none"/>
          <w:u w:val="single"/>
          <w14:textFill>
            <w14:solidFill>
              <w14:schemeClr w14:val="tx1"/>
            </w14:solidFill>
          </w14:textFill>
        </w:rPr>
        <w:t>“苏采云”系统</w:t>
      </w:r>
      <w:r>
        <w:rPr>
          <w:rFonts w:hint="eastAsia" w:ascii="宋体" w:hAnsi="宋体" w:eastAsia="宋体" w:cs="宋体"/>
          <w:color w:val="000000" w:themeColor="text1"/>
          <w:sz w:val="21"/>
          <w:szCs w:val="21"/>
          <w:highlight w:val="none"/>
          <w14:textFill>
            <w14:solidFill>
              <w14:schemeClr w14:val="tx1"/>
            </w14:solidFill>
          </w14:textFill>
        </w:rPr>
        <w:t>获取招标文件，并于</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u w:val="single"/>
          <w14:textFill>
            <w14:solidFill>
              <w14:schemeClr w14:val="tx1"/>
            </w14:solidFill>
          </w14:textFill>
        </w:rPr>
        <w:t>点30分</w:t>
      </w:r>
      <w:r>
        <w:rPr>
          <w:rFonts w:hint="eastAsia" w:ascii="宋体" w:hAnsi="宋体" w:eastAsia="宋体" w:cs="宋体"/>
          <w:color w:val="000000" w:themeColor="text1"/>
          <w:sz w:val="21"/>
          <w:szCs w:val="21"/>
          <w:highlight w:val="none"/>
          <w14:textFill>
            <w14:solidFill>
              <w14:schemeClr w14:val="tx1"/>
            </w14:solidFill>
          </w14:textFill>
        </w:rPr>
        <w:t>（北京时间）前递交投标文件。</w:t>
      </w:r>
    </w:p>
    <w:bookmarkEnd w:id="3"/>
    <w:bookmarkEnd w:id="4"/>
    <w:p w14:paraId="68120E8A">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5" w:name="_Toc160701721"/>
      <w:bookmarkStart w:id="6" w:name="_Toc494471871"/>
      <w:bookmarkStart w:id="7" w:name="_Toc388026584"/>
      <w:r>
        <w:rPr>
          <w:rStyle w:val="55"/>
          <w:rFonts w:hint="eastAsia" w:ascii="宋体" w:hAnsi="宋体" w:eastAsia="宋体" w:cs="宋体"/>
          <w:b/>
          <w:bCs/>
          <w:color w:val="000000" w:themeColor="text1"/>
          <w:sz w:val="21"/>
          <w:szCs w:val="21"/>
          <w:highlight w:val="none"/>
          <w14:textFill>
            <w14:solidFill>
              <w14:schemeClr w14:val="tx1"/>
            </w14:solidFill>
          </w14:textFill>
        </w:rPr>
        <w:t>一、项目基本情况</w:t>
      </w:r>
    </w:p>
    <w:p w14:paraId="753BA87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项目编号：</w:t>
      </w:r>
      <w:r>
        <w:rPr>
          <w:rFonts w:hint="eastAsia" w:ascii="宋体" w:hAnsi="宋体" w:eastAsia="宋体" w:cs="宋体"/>
          <w:color w:val="000000" w:themeColor="text1"/>
          <w:sz w:val="21"/>
          <w:szCs w:val="21"/>
          <w:highlight w:val="none"/>
          <w:lang w:eastAsia="zh-CN"/>
          <w14:textFill>
            <w14:solidFill>
              <w14:schemeClr w14:val="tx1"/>
            </w14:solidFill>
          </w14:textFill>
        </w:rPr>
        <w:t>JSZC-320500-CXJT-G2026-0008</w:t>
      </w:r>
      <w:r>
        <w:rPr>
          <w:rFonts w:hint="eastAsia" w:ascii="宋体" w:hAnsi="宋体" w:eastAsia="宋体" w:cs="宋体"/>
          <w:color w:val="000000" w:themeColor="text1"/>
          <w:sz w:val="21"/>
          <w:szCs w:val="21"/>
          <w:highlight w:val="none"/>
          <w14:textFill>
            <w14:solidFill>
              <w14:schemeClr w14:val="tx1"/>
            </w14:solidFill>
          </w14:textFill>
        </w:rPr>
        <w:t> </w:t>
      </w:r>
    </w:p>
    <w:p w14:paraId="7E44A4DD">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项目名称：2026年智水苏州室外硬件设备运维项目 </w:t>
      </w:r>
    </w:p>
    <w:p w14:paraId="034C226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预算金额：237.977000万元 </w:t>
      </w:r>
    </w:p>
    <w:p w14:paraId="64635CA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最高限价（如有）：贰佰叁拾柒万玖仟柒佰柒拾元整（¥2379770.00元） </w:t>
      </w:r>
    </w:p>
    <w:p w14:paraId="1237D70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采购需求：具体详见第四章采购内容。</w:t>
      </w:r>
    </w:p>
    <w:p w14:paraId="4234A54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合同履行期限：24个月 </w:t>
      </w:r>
    </w:p>
    <w:p w14:paraId="031DDF0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本项目（是/否）接受联合体投标：否</w:t>
      </w:r>
    </w:p>
    <w:p w14:paraId="519C1D7D">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二、申请人的资格要求：</w:t>
      </w:r>
    </w:p>
    <w:p w14:paraId="49E02A2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（一）满足《中华人民共和国政府采购法》第二十二条规定：</w:t>
      </w:r>
    </w:p>
    <w:p w14:paraId="7809CCE0">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1.具有独立承担民事责任的能力；</w:t>
      </w:r>
    </w:p>
    <w:p w14:paraId="5B90506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2.具有良好的商业信誉和健全的财务会计制度；</w:t>
      </w:r>
    </w:p>
    <w:p w14:paraId="303B050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3.具有履行合同所必需的设备和专业技术能力；</w:t>
      </w:r>
    </w:p>
    <w:p w14:paraId="478A0C5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4.具有依法缴纳税收和社会保障资金的良好记录；</w:t>
      </w:r>
    </w:p>
    <w:p w14:paraId="60658C8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5.参加政府采购活动近三年内，在经营活动中没有重大违法记录；</w:t>
      </w:r>
    </w:p>
    <w:p w14:paraId="7309196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6.根据政府采购法及相关法规，招标代理人将对供应商进行信用查询。对列入失信被执行人、重大税收违法案件当事人名单、政府采购严重违法失信行为记录名单的供应商，拒绝其参与政府采购活动；</w:t>
      </w:r>
    </w:p>
    <w:p w14:paraId="520D0B24">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7.法律、行政法规规定的其他条件。</w:t>
      </w:r>
    </w:p>
    <w:p w14:paraId="63015C6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（二）落实政府采购政策需满足的资格要求：本项目专门面向中小企业，所属行业为其他未列明行业，供应商应为中小微企业或残疾人福利性单位或监狱企业。</w:t>
      </w:r>
    </w:p>
    <w:p w14:paraId="33D5333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（三）本项目的特定资格要求： </w:t>
      </w:r>
    </w:p>
    <w:p w14:paraId="15A9F35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1.未被“信用中国”网站（www.creditchina.gov.cn）列入失信被执行人、重大税收违法案件当事人名单、政府采购严重失信行为记录名单。</w:t>
      </w:r>
    </w:p>
    <w:p w14:paraId="640ADBF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p>
    <w:p w14:paraId="55D42F77">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本次招标为重新招标项目，不接受一标段的中标人苏州苏高新数字经济产业发展有限公司参与投标。</w:t>
      </w:r>
    </w:p>
    <w:p w14:paraId="6340CBD5">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三、获取招标文件</w:t>
      </w:r>
    </w:p>
    <w:p w14:paraId="6B30882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时间：自招标文件公告发布之日起5个工作日 </w:t>
      </w:r>
    </w:p>
    <w:p w14:paraId="3372CDA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地点：苏采云政府采购一体化平台 </w:t>
      </w:r>
    </w:p>
    <w:p w14:paraId="7D76F7E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方式：苏采云系统自行下载 </w:t>
      </w:r>
    </w:p>
    <w:p w14:paraId="61F7A19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售价：0.00元 </w:t>
      </w:r>
    </w:p>
    <w:p w14:paraId="28D2D8B5">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四、提交投标文件截止时间、开标时间和地点</w:t>
      </w:r>
    </w:p>
    <w:p w14:paraId="0C29242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2026-0</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13:30</w:t>
      </w:r>
      <w:r>
        <w:rPr>
          <w:rFonts w:hint="eastAsia" w:ascii="宋体" w:hAnsi="宋体" w:eastAsia="宋体" w:cs="宋体"/>
          <w:color w:val="000000" w:themeColor="text1"/>
          <w:sz w:val="21"/>
          <w:szCs w:val="21"/>
          <w:highlight w:val="none"/>
          <w14:textFill>
            <w14:solidFill>
              <w14:schemeClr w14:val="tx1"/>
            </w14:solidFill>
          </w14:textFill>
        </w:rPr>
        <w:t xml:space="preserve"> （北京时间）</w:t>
      </w:r>
    </w:p>
    <w:p w14:paraId="486ADB9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地点：苏采云政府采购一体化平台 </w:t>
      </w:r>
    </w:p>
    <w:p w14:paraId="4BDDBFCB">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五、公告期限</w:t>
      </w:r>
    </w:p>
    <w:p w14:paraId="62A19E3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自本公告发布之日起5个工作日。</w:t>
      </w:r>
    </w:p>
    <w:p w14:paraId="3F2D8B49">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六、其他补充事宜</w:t>
      </w:r>
    </w:p>
    <w:p w14:paraId="0B79B43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1、本项目需要使用CA数字证书制作、上传电子投标文件完成电子投标，请供应商在参加投标活动前办理好CA数字证书申领及电子签章等操作。</w:t>
      </w:r>
    </w:p>
    <w:p w14:paraId="4F3677B4">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有关供应商注册、报名、下载电子招标文件、制作上传电子投标文件、不见面开标及其他注意事项登录苏州政府采购网，在“下载中心”栏目下载“苏采云系统供应商操作手册”查阅。</w:t>
      </w:r>
    </w:p>
    <w:p w14:paraId="289D79F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p>
    <w:p w14:paraId="3A7FCF3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3、采购文件获取（网上获取）</w:t>
      </w:r>
    </w:p>
    <w:p w14:paraId="38AA6574">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p>
    <w:p w14:paraId="5E534EAD">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8D6D33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4、制作、提交电子响应文件：</w:t>
      </w:r>
    </w:p>
    <w:p w14:paraId="2B575CF0">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1004D6E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34BE6B4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p>
    <w:p w14:paraId="3396098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5、开标</w:t>
      </w:r>
    </w:p>
    <w:p w14:paraId="129AA82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5.1本项目采用不见面开标，投标人开标时无需到开标现场进行解密，采取网上开标大厅解密电子投标文件，投标人远程解密要求如下：</w:t>
      </w:r>
    </w:p>
    <w:p w14:paraId="2FEF014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1）投标人使用CA数字证书进行远程解密，解密的CA数字证书与生成加密电子投标文件时的CA数字证书需为同一个CA数字证书，否则无法解密，造成的后果由投标人自行负责。</w:t>
      </w:r>
    </w:p>
    <w:p w14:paraId="75DBF74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2）投标人登录苏采云系统，点击开标大厅，选择开标项目，完成不见面开标流程。</w:t>
      </w:r>
    </w:p>
    <w:p w14:paraId="784A133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3）投标截止时间后根据系统提示解密电子投标文件。解密时间为30分钟，未在规定时间内完成解密，其投标文件将被拒绝，不参与后续投标流程。</w:t>
      </w:r>
    </w:p>
    <w:p w14:paraId="688AD28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4）在开标、评标过程中投标人代表须在网上不见面开标系统中保持在线状态，以应对可能发生的澄清、说明等回复，由于投标人代表不在线所造成的一切后果由投标人自行承担。</w:t>
      </w:r>
    </w:p>
    <w:p w14:paraId="09F24BC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有关苏采云系统驱动安装，登录苏州政府采购网，点击页面底部苏采云图标，进入苏采云政府采购一体化平台，点击“驱动下载”，下载“政务CA、方正签章控件驱动安装包及安装说明”文件，按要求安装驱动。</w:t>
      </w:r>
    </w:p>
    <w:p w14:paraId="0E59E01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7、投标保证金：本项目无需缴纳投标保证金。</w:t>
      </w:r>
    </w:p>
    <w:p w14:paraId="7195AEE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8、苏州市财政局政府采购管理处监督电话：0512-68616651。</w:t>
      </w:r>
    </w:p>
    <w:p w14:paraId="219CA0C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9、政府采购履约资金扶持政策：中标供应商可凭政府采购合同办理融资贷款，详情请见江苏政府采购网“政采贷”专栏。</w:t>
      </w:r>
    </w:p>
    <w:p w14:paraId="3183BE72">
      <w:pPr>
        <w:pStyle w:val="4"/>
        <w:keepNext w:val="0"/>
        <w:keepLines w:val="0"/>
        <w:pageBreakBefore w:val="0"/>
        <w:widowControl/>
        <w:suppressLineNumbers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5"/>
          <w:rFonts w:hint="eastAsia" w:ascii="宋体" w:hAnsi="宋体" w:eastAsia="宋体" w:cs="宋体"/>
          <w:b/>
          <w:bCs/>
          <w:color w:val="000000" w:themeColor="text1"/>
          <w:sz w:val="21"/>
          <w:szCs w:val="21"/>
          <w:highlight w:val="none"/>
          <w14:textFill>
            <w14:solidFill>
              <w14:schemeClr w14:val="tx1"/>
            </w14:solidFill>
          </w14:textFill>
        </w:rPr>
        <w:t>七、对本次招标提出询问，请按以下方式联系。</w:t>
      </w:r>
    </w:p>
    <w:p w14:paraId="70BE78A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1.采购人信息 </w:t>
      </w:r>
    </w:p>
    <w:p w14:paraId="02C1C9B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单位名称：苏州市水利水务信息调度指挥中心</w:t>
      </w:r>
    </w:p>
    <w:p w14:paraId="1846693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单位地址：苏州市高新区玉山路11号</w:t>
      </w:r>
    </w:p>
    <w:p w14:paraId="163269A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贾甜博</w:t>
      </w:r>
    </w:p>
    <w:p w14:paraId="0F9828D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联系电话：18</w:t>
      </w:r>
      <w:r>
        <w:rPr>
          <w:rFonts w:hint="eastAsia" w:ascii="宋体" w:hAnsi="宋体" w:eastAsia="宋体" w:cs="宋体"/>
          <w:color w:val="000000" w:themeColor="text1"/>
          <w:sz w:val="21"/>
          <w:szCs w:val="21"/>
          <w:highlight w:val="none"/>
          <w:lang w:val="en-US" w:eastAsia="zh-CN"/>
          <w14:textFill>
            <w14:solidFill>
              <w14:schemeClr w14:val="tx1"/>
            </w14:solidFill>
          </w14:textFill>
        </w:rPr>
        <w:t>014004512</w:t>
      </w:r>
    </w:p>
    <w:p w14:paraId="12D6208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2.采购代理机构信息（如有）</w:t>
      </w:r>
    </w:p>
    <w:p w14:paraId="3316021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单位名称：诚信金泰建设管理（苏州）有限公司</w:t>
      </w:r>
    </w:p>
    <w:p w14:paraId="557BA81B">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单位地址：苏州市吴中区盘蠡新村25-1幢</w:t>
      </w:r>
    </w:p>
    <w:p w14:paraId="7CECD01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联系人：徐珊珊</w:t>
      </w:r>
    </w:p>
    <w:p w14:paraId="3BC4599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联系电话：17312310992</w:t>
      </w:r>
    </w:p>
    <w:p w14:paraId="55F11EC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3.项目联系方式</w:t>
      </w:r>
    </w:p>
    <w:p w14:paraId="1FAB61A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项目联系人：徐珊珊</w:t>
      </w:r>
    </w:p>
    <w:p w14:paraId="552F5A5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电话：17312310992</w:t>
      </w:r>
    </w:p>
    <w:p w14:paraId="41335D1B">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p w14:paraId="392085E0">
      <w:pPr>
        <w:pStyle w:val="3"/>
        <w:spacing w:line="56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 投标人须知</w:t>
      </w:r>
      <w:bookmarkEnd w:id="5"/>
      <w:bookmarkEnd w:id="6"/>
      <w:bookmarkEnd w:id="7"/>
    </w:p>
    <w:p w14:paraId="767F4372">
      <w:pPr>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一、说明和释义</w:t>
      </w:r>
    </w:p>
    <w:p w14:paraId="32A8A69C">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 说明</w:t>
      </w:r>
    </w:p>
    <w:p w14:paraId="1D5A2F5B">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1.1本招标文件仅适用于</w:t>
      </w:r>
      <w:r>
        <w:rPr>
          <w:rFonts w:hint="eastAsia" w:ascii="宋体" w:hAnsi="宋体" w:eastAsia="宋体" w:cs="宋体"/>
          <w:bCs/>
          <w:color w:val="000000" w:themeColor="text1"/>
          <w:sz w:val="21"/>
          <w:szCs w:val="21"/>
          <w:highlight w:val="none"/>
          <w:lang w:eastAsia="zh-CN"/>
          <w14:textFill>
            <w14:solidFill>
              <w14:schemeClr w14:val="tx1"/>
            </w14:solidFill>
          </w14:textFill>
        </w:rPr>
        <w:t>诚信金泰建设管理（苏州）有限公司</w:t>
      </w:r>
      <w:r>
        <w:rPr>
          <w:rFonts w:hint="eastAsia" w:ascii="宋体" w:hAnsi="宋体" w:eastAsia="宋体" w:cs="宋体"/>
          <w:color w:val="000000" w:themeColor="text1"/>
          <w:sz w:val="21"/>
          <w:szCs w:val="21"/>
          <w:highlight w:val="none"/>
          <w14:textFill>
            <w14:solidFill>
              <w14:schemeClr w14:val="tx1"/>
            </w14:solidFill>
          </w14:textFill>
        </w:rPr>
        <w:t>组织的招标活动。</w:t>
      </w:r>
    </w:p>
    <w:p w14:paraId="0151FF1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1.2本次招标活动及因本次招标产生的合同受中国法律制约和保护。</w:t>
      </w:r>
    </w:p>
    <w:p w14:paraId="39E42B6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1.3本招标文件的解释权属于</w:t>
      </w:r>
      <w:r>
        <w:rPr>
          <w:rFonts w:hint="eastAsia" w:ascii="宋体" w:hAnsi="宋体" w:eastAsia="宋体" w:cs="宋体"/>
          <w:bCs/>
          <w:color w:val="000000" w:themeColor="text1"/>
          <w:sz w:val="21"/>
          <w:szCs w:val="21"/>
          <w:highlight w:val="none"/>
          <w:lang w:eastAsia="zh-CN"/>
          <w14:textFill>
            <w14:solidFill>
              <w14:schemeClr w14:val="tx1"/>
            </w14:solidFill>
          </w14:textFill>
        </w:rPr>
        <w:t>诚信金泰建设管理（苏州）有限公司</w:t>
      </w:r>
      <w:r>
        <w:rPr>
          <w:rFonts w:hint="eastAsia" w:ascii="宋体" w:hAnsi="宋体" w:eastAsia="宋体" w:cs="宋体"/>
          <w:color w:val="000000" w:themeColor="text1"/>
          <w:sz w:val="21"/>
          <w:szCs w:val="21"/>
          <w:highlight w:val="none"/>
          <w14:textFill>
            <w14:solidFill>
              <w14:schemeClr w14:val="tx1"/>
            </w14:solidFill>
          </w14:textFill>
        </w:rPr>
        <w:t>。</w:t>
      </w:r>
    </w:p>
    <w:p w14:paraId="5E72895B">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 词语释义</w:t>
      </w:r>
    </w:p>
    <w:p w14:paraId="10F22C8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2.1招标人：指依法进行政府采购的国家机关、事业单位、团体组织。</w:t>
      </w:r>
    </w:p>
    <w:p w14:paraId="5604F50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2.2供应商：指向招标人提供货物、工程或服务的法人、其他组织或者自然人。</w:t>
      </w:r>
    </w:p>
    <w:p w14:paraId="11158F2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2.3投标单位/投标人：指参加政府采购货物服务投标活动的供应商。</w:t>
      </w:r>
    </w:p>
    <w:p w14:paraId="24D008E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2.4招标代理机构：指依法接受招标人委托，从事货物、工程和服务等政府采购招标代理业务的社会中介机构。</w:t>
      </w:r>
    </w:p>
    <w:p w14:paraId="00BD372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2.5招标采购单位：招标人及招标代理机构的统称。</w:t>
      </w:r>
    </w:p>
    <w:p w14:paraId="5E818E3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2.6评标委员会： 是指在招标投标和政府采购活动中，依法由招标人代表和有关技术、经济等方面的专家组建，负责对投标文件进行评审并提出评审意见的临时性权威机构。</w:t>
      </w:r>
    </w:p>
    <w:p w14:paraId="2482E5D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2.7响应：投标人根据招标人或招标代理机构发布的招标文件，编制投标文件并按规定投标的行为。</w:t>
      </w:r>
    </w:p>
    <w:p w14:paraId="5EF0DF2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2.8知识产权：指专利权、商标权、著作权等无形财产专有权的统称。</w:t>
      </w:r>
    </w:p>
    <w:p w14:paraId="0A621397">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2.9天：日历日。</w:t>
      </w:r>
    </w:p>
    <w:p w14:paraId="5DD98E0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2.10服务地点：合同中明确约定的乙方履行服务的最终地点。</w:t>
      </w:r>
    </w:p>
    <w:p w14:paraId="2C71C7C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2.11不可抗力：不能预见、不能避免并且不能克服的客观情况。</w:t>
      </w:r>
    </w:p>
    <w:p w14:paraId="4070720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2.12 实质性响应：满足有关本次采购标的、数量、质量、价款或者报酬、履行期限、履行地点和方式、违约责任和解决争议方法等要求。</w:t>
      </w:r>
    </w:p>
    <w:p w14:paraId="5622580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2.13书面形式：指书面文字、合同书、信件和传真等可以有形地表现所载内容的形式。</w:t>
      </w:r>
    </w:p>
    <w:p w14:paraId="321E9A03">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 投标人</w:t>
      </w:r>
    </w:p>
    <w:p w14:paraId="155A5E0E">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 合格投标人的基本条件</w:t>
      </w:r>
    </w:p>
    <w:p w14:paraId="1100C4E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详见招标公告</w:t>
      </w:r>
    </w:p>
    <w:p w14:paraId="3F7AE228">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4．合格投标人的特定条件、落实政府采购政策需满足的资格要求</w:t>
      </w:r>
    </w:p>
    <w:p w14:paraId="3F27F2A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详见招标公告</w:t>
      </w:r>
    </w:p>
    <w:p w14:paraId="63884F40">
      <w:pPr>
        <w:spacing w:line="360" w:lineRule="auto"/>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投标人必须进入苏采云系统进行网上报名，否则不能参加本次招标活动。</w:t>
      </w:r>
    </w:p>
    <w:p w14:paraId="0A81F468">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6. 投标人代表</w:t>
      </w:r>
    </w:p>
    <w:p w14:paraId="2CAE9FE0">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6.1指全权代表投标人参加投标活动并签署投标文件的人，如果投标人代表不是法人代表，须持有《法人代表授权委托书》（详见统一格式）。</w:t>
      </w:r>
    </w:p>
    <w:p w14:paraId="43906D61">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7. 联合投标（本项目不接受联合体投标）</w:t>
      </w:r>
    </w:p>
    <w:p w14:paraId="75816820">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接受联合体投标的，由两个或两个以上法人组成一个联合体以一个投标人的身份共同投标时，联合体各方均应当符合政府采购法第二十二条第一款规定的条件。同时还应符合以下要求：</w:t>
      </w:r>
    </w:p>
    <w:p w14:paraId="1414F19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7.1联合体各方中至少应当有一方符合本招标文件规定的投标人资格条件的特定条件。</w:t>
      </w:r>
    </w:p>
    <w:p w14:paraId="2401870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7.2联合体各方应签订联合投标协议（详见统一格式)，明确联合体的牵头人，明确约定各方拟承担的工作和责任，并将该联合投标协议随投标文件一并提交给招标代理机构。联合体牵头人应被授权作为联合体所有成员的代表承担责任和接受指令，并负责整个合同的全面履行。</w:t>
      </w:r>
    </w:p>
    <w:p w14:paraId="2127FFF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7.3联合体各成员之间签订的联合体协议书应与投标文件一起递交。</w:t>
      </w:r>
    </w:p>
    <w:p w14:paraId="1AE5A8C0">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7.4参加联合体的各成员不得再以自己名义单独投标，也不得同时参加两个或两个以上的联合体投标。如有违反将取消该联合体各成员的投标资格。</w:t>
      </w:r>
    </w:p>
    <w:p w14:paraId="0F803794">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7.5联合体各方应当共同与招标人签订合同，就采购合同约定的事项对招标人承担连带责任。 </w:t>
      </w:r>
    </w:p>
    <w:p w14:paraId="156AE82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7.6 除非另有规定或说明，本文中“投标人”一词亦指联合体各成员。</w:t>
      </w:r>
    </w:p>
    <w:p w14:paraId="2DB26570">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8. 投标费用 </w:t>
      </w:r>
    </w:p>
    <w:p w14:paraId="12BE534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8.1投标人应自行承担所有准备及参加投标的相关费用。不论投标结果如何，招标人和招标代理机构在任何情况下均无义务也无责任承担这些费用。</w:t>
      </w:r>
    </w:p>
    <w:p w14:paraId="247FD4E3">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 招标文件说明</w:t>
      </w:r>
    </w:p>
    <w:p w14:paraId="7A6922C0">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9. 招标文件</w:t>
      </w:r>
    </w:p>
    <w:p w14:paraId="5D6EBDC7">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CFA07A">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10.现场考察（如涉及）</w:t>
      </w:r>
    </w:p>
    <w:p w14:paraId="48608DF5">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10.1投标人应按</w:t>
      </w:r>
      <w:r>
        <w:rPr>
          <w:rFonts w:hint="eastAsia" w:ascii="宋体" w:hAnsi="宋体" w:eastAsia="宋体" w:cs="宋体"/>
          <w:bCs/>
          <w:color w:val="000000" w:themeColor="text1"/>
          <w:sz w:val="21"/>
          <w:szCs w:val="21"/>
          <w:highlight w:val="none"/>
          <w14:textFill>
            <w14:solidFill>
              <w14:schemeClr w14:val="tx1"/>
            </w14:solidFill>
          </w14:textFill>
        </w:rPr>
        <w:t>招标文件中所述时间</w:t>
      </w:r>
      <w:r>
        <w:rPr>
          <w:rFonts w:hint="eastAsia" w:ascii="宋体" w:hAnsi="宋体" w:eastAsia="宋体" w:cs="宋体"/>
          <w:color w:val="000000" w:themeColor="text1"/>
          <w:sz w:val="21"/>
          <w:szCs w:val="21"/>
          <w:highlight w:val="none"/>
          <w14:textFill>
            <w14:solidFill>
              <w14:schemeClr w14:val="tx1"/>
            </w14:solidFill>
          </w14:textFill>
        </w:rPr>
        <w:t>对有关现场和周围环境进行考察，以获取编制投标文件和签署合同所需的信息。考察现场所发生的费用由投标人自己承担。</w:t>
      </w:r>
    </w:p>
    <w:p w14:paraId="67AFD11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10.2招标采购单位向投标人提供的有关现场的资料和数据，是招标采购单位现有的并认为能使投标人可利用的资料。招标采购单位对投标人由此而做出的推论、理解和结论概不负责。</w:t>
      </w:r>
    </w:p>
    <w:p w14:paraId="26C2309B">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 经招标采购单位允许，投标人可为考察目的进入招标采购单位的项目现场，但投标人不得因此使招标采购单位承担有关的责任和蒙受损失。投标人应承担考察现场的责任和风险。</w:t>
      </w:r>
    </w:p>
    <w:p w14:paraId="7D88A381">
      <w:pPr>
        <w:spacing w:line="360" w:lineRule="auto"/>
        <w:ind w:firstLine="48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p>
    <w:p w14:paraId="01C6862E">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11.招标文件的澄清和修改</w:t>
      </w:r>
    </w:p>
    <w:p w14:paraId="3C6694C5">
      <w:pPr>
        <w:spacing w:line="360" w:lineRule="auto"/>
        <w:ind w:firstLine="48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11.1</w:t>
      </w:r>
      <w:r>
        <w:rPr>
          <w:rFonts w:hint="eastAsia" w:ascii="宋体" w:hAnsi="宋体" w:eastAsia="宋体" w:cs="宋体"/>
          <w:color w:val="000000" w:themeColor="text1"/>
          <w:sz w:val="21"/>
          <w:szCs w:val="21"/>
          <w:highlight w:val="none"/>
          <w14:textFill>
            <w14:solidFill>
              <w14:schemeClr w14:val="tx1"/>
            </w14:solidFill>
          </w14:textFill>
        </w:rPr>
        <w:t>投标人如有疑问需要澄清，可通过公告中的联系方式及时提出，招标人或招标代理机构将予以解答，但答复内容不得涉及商业秘密。</w:t>
      </w:r>
    </w:p>
    <w:p w14:paraId="767B0478">
      <w:pPr>
        <w:spacing w:line="360" w:lineRule="auto"/>
        <w:ind w:firstLine="48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11.2迟于前附表规定时间的询问或提交的疑问</w:t>
      </w:r>
      <w:r>
        <w:rPr>
          <w:rFonts w:hint="eastAsia" w:ascii="宋体" w:hAnsi="宋体" w:eastAsia="宋体" w:cs="宋体"/>
          <w:color w:val="000000" w:themeColor="text1"/>
          <w:sz w:val="21"/>
          <w:szCs w:val="21"/>
          <w:highlight w:val="none"/>
          <w14:textFill>
            <w14:solidFill>
              <w14:schemeClr w14:val="tx1"/>
            </w14:solidFill>
          </w14:textFill>
        </w:rPr>
        <w:t>提出的</w:t>
      </w:r>
      <w:r>
        <w:rPr>
          <w:rFonts w:hint="eastAsia" w:ascii="宋体" w:hAnsi="宋体" w:eastAsia="宋体" w:cs="宋体"/>
          <w:bCs/>
          <w:color w:val="000000" w:themeColor="text1"/>
          <w:sz w:val="21"/>
          <w:szCs w:val="21"/>
          <w:highlight w:val="none"/>
          <w14:textFill>
            <w14:solidFill>
              <w14:schemeClr w14:val="tx1"/>
            </w14:solidFill>
          </w14:textFill>
        </w:rPr>
        <w:t>，招标人和招标代理机构有权拒绝回答，也不承担由此带来的对投标人投标结果的影响。</w:t>
      </w:r>
    </w:p>
    <w:p w14:paraId="45FF401E">
      <w:pPr>
        <w:spacing w:line="360" w:lineRule="auto"/>
        <w:ind w:firstLine="48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11.3在投标截止时间15日前，招标采购单位无论出于自己的考虑，还是出于对投标人提问的澄清，均可对已发出的招标文件进行必要澄清或者修改。</w:t>
      </w:r>
    </w:p>
    <w:p w14:paraId="34E9BE8E">
      <w:pPr>
        <w:spacing w:line="360" w:lineRule="auto"/>
        <w:ind w:firstLine="48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11.4为使投标人有足够的时间按招标文件的修改要求考虑修正投标文件，或出于其他原因，招标采购单位有权推迟投标截止日期和开标日期，将此变更通知所有招标文件的收受人。</w:t>
      </w:r>
    </w:p>
    <w:p w14:paraId="66FDA8F0">
      <w:pPr>
        <w:spacing w:line="360" w:lineRule="auto"/>
        <w:ind w:firstLine="48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11.5招标文件的更正（含澄清、修改等）内容与原招标文件在同一内容上表述不一致时，以发出日期最接近开标时间的公告为准。</w:t>
      </w:r>
    </w:p>
    <w:p w14:paraId="44E257ED">
      <w:pPr>
        <w:spacing w:line="360" w:lineRule="auto"/>
        <w:ind w:firstLine="48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11.6招标文件的更正（含澄清、修改等）内容将在财政部门指定的政府采购信息发布媒体上发布，作为招标文件的组成部分，对投标人起约束作用。</w:t>
      </w:r>
    </w:p>
    <w:p w14:paraId="178FB161">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 投标文件说明</w:t>
      </w:r>
    </w:p>
    <w:p w14:paraId="2C5F6225">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12. 投标文件计量单位和使用文字</w:t>
      </w:r>
    </w:p>
    <w:p w14:paraId="72B6125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12.1投标文件中所使用的计量单位，除招标文件中有特殊要求外，均应使用中华人民共和国法定计量单位。</w:t>
      </w:r>
    </w:p>
    <w:p w14:paraId="5996C12B">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12.2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73635FA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bookmarkStart w:id="8" w:name="_Toc217446047"/>
      <w:r>
        <w:rPr>
          <w:rFonts w:hint="eastAsia" w:ascii="宋体" w:hAnsi="宋体" w:eastAsia="宋体" w:cs="宋体"/>
          <w:color w:val="000000" w:themeColor="text1"/>
          <w:sz w:val="21"/>
          <w:szCs w:val="21"/>
          <w:highlight w:val="none"/>
          <w14:textFill>
            <w14:solidFill>
              <w14:schemeClr w14:val="tx1"/>
            </w14:solidFill>
          </w14:textFill>
        </w:rPr>
        <w:t>3. 知识产权</w:t>
      </w:r>
      <w:bookmarkEnd w:id="8"/>
    </w:p>
    <w:p w14:paraId="1C77A94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p>
    <w:p w14:paraId="260E173E">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14. 投标文件的组成</w:t>
      </w:r>
    </w:p>
    <w:p w14:paraId="449523EF">
      <w:pPr>
        <w:pStyle w:val="275"/>
        <w:spacing w:line="360" w:lineRule="auto"/>
        <w:ind w:firstLine="470"/>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基本目录：</w:t>
      </w:r>
    </w:p>
    <w:p w14:paraId="65C1016C">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1、封面；</w:t>
      </w:r>
    </w:p>
    <w:p w14:paraId="4A51EF87">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2、开标一览表（系统自动生成）；</w:t>
      </w:r>
    </w:p>
    <w:p w14:paraId="104DDC27">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3、法定代表人授权委托书（如有授权）；</w:t>
      </w:r>
    </w:p>
    <w:p w14:paraId="423D2546">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4、法定代表人身份证扫描件、授权委托人身份证扫描件签公章（如有授权）；</w:t>
      </w:r>
    </w:p>
    <w:p w14:paraId="3C70BBF2">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lang w:eastAsia="zh-CN"/>
          <w14:textFill>
            <w14:solidFill>
              <w14:schemeClr w14:val="tx1"/>
            </w14:solidFill>
          </w14:textFill>
        </w:rPr>
        <w:t>授权委托人社保缴纳证明签公章（如有授权）；</w:t>
      </w:r>
    </w:p>
    <w:p w14:paraId="3486AFBA">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6、《项目负责人情况一览表》、《人员配备一览表》；</w:t>
      </w:r>
    </w:p>
    <w:p w14:paraId="2D70BB74">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7、企业类似业绩一览表；</w:t>
      </w:r>
    </w:p>
    <w:p w14:paraId="5792D773">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8、投标（响应）保证承诺书；</w:t>
      </w:r>
    </w:p>
    <w:p w14:paraId="6EADA1E1">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lang w:eastAsia="zh-CN"/>
          <w14:textFill>
            <w14:solidFill>
              <w14:schemeClr w14:val="tx1"/>
            </w14:solidFill>
          </w14:textFill>
        </w:rPr>
        <w:t>情况表；</w:t>
      </w:r>
    </w:p>
    <w:p w14:paraId="1D4177C4">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10、项目服务方案；</w:t>
      </w:r>
    </w:p>
    <w:p w14:paraId="2406196A">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11、采购需求所涉及到的其他材料等。</w:t>
      </w:r>
    </w:p>
    <w:p w14:paraId="0939BA00">
      <w:pPr>
        <w:pStyle w:val="275"/>
        <w:spacing w:line="360" w:lineRule="auto"/>
        <w:ind w:firstLine="470"/>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资格条件：</w:t>
      </w:r>
    </w:p>
    <w:p w14:paraId="4A902D03">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12、响应供应商营业执照副本扫描件；</w:t>
      </w:r>
    </w:p>
    <w:p w14:paraId="28AF0A50">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13、响应供应商具有良好的商业信誉和健全的财务会计制度。提供包括但不限于最近一期财务报表或经审计的财务报告，其他组织、自然人及成立未满一年的法人应提供银行出具的资信证明；</w:t>
      </w:r>
    </w:p>
    <w:p w14:paraId="2406DBCD">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14、响应供应商具有履行合同所必需的设备和专业技术能力，提供证明材料或承诺函；</w:t>
      </w:r>
    </w:p>
    <w:p w14:paraId="65D1F43A">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15、响应供应商具有依法缴纳税收和社会保障资金的良好记录：提供税务登记证（如有）和近三个月内依法缴纳税收的凭据；提供近三个月内依法缴纳社会保险的凭据的相关材料。供应商如依法享受缓缴、免缴税收、社会保障资金的应提供相关主管部门出具的证明材料；</w:t>
      </w:r>
    </w:p>
    <w:p w14:paraId="0D5E6340">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16、响应供应商参加政府采购活动前3年内在经营活动中没有重大违法记录的书面声明函；</w:t>
      </w:r>
    </w:p>
    <w:p w14:paraId="2CFDFC37">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17、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p>
    <w:p w14:paraId="6149A518">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18、落实政府采购政策需满足的资格要求：</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本项目专门面向中小企业，所属行业为其他未列明行业</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应为中小微企业或残疾人福利性单位或监狱企业。提供对应的《中小企业声明函》或《残疾人福利性单位声明函》或省级以上监狱管理局、戒毒管理局（含新疆生产建设兵团）出具的属于监狱企业的证明文件；</w:t>
      </w:r>
    </w:p>
    <w:p w14:paraId="62812251">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19、</w:t>
      </w:r>
      <w:r>
        <w:rPr>
          <w:rFonts w:hint="eastAsia" w:ascii="宋体" w:hAnsi="宋体" w:eastAsia="宋体" w:cs="宋体"/>
          <w:color w:val="000000" w:themeColor="text1"/>
          <w:sz w:val="21"/>
          <w:szCs w:val="21"/>
          <w:highlight w:val="none"/>
          <w14:textFill>
            <w14:solidFill>
              <w14:schemeClr w14:val="tx1"/>
            </w14:solidFill>
          </w14:textFill>
        </w:rPr>
        <w:t>符合本项目特殊资格要求的证明材料以及其它有关资格证明文件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A1B9725">
      <w:pPr>
        <w:pStyle w:val="275"/>
        <w:spacing w:line="360" w:lineRule="auto"/>
        <w:ind w:firstLine="470"/>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符合条件：</w:t>
      </w:r>
    </w:p>
    <w:p w14:paraId="36332D7C">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lang w:eastAsia="zh-CN"/>
          <w14:textFill>
            <w14:solidFill>
              <w14:schemeClr w14:val="tx1"/>
            </w14:solidFill>
          </w14:textFill>
        </w:rPr>
        <w:t>投标函（详见投标文件格式）；</w:t>
      </w:r>
    </w:p>
    <w:p w14:paraId="3E942378">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投标报价表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分项报价明细表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w:t>
      </w:r>
      <w:r>
        <w:rPr>
          <w:rFonts w:hint="eastAsia" w:ascii="宋体" w:hAnsi="宋体" w:eastAsia="宋体" w:cs="宋体"/>
          <w:color w:val="000000" w:themeColor="text1"/>
          <w:sz w:val="21"/>
          <w:szCs w:val="21"/>
          <w:highlight w:val="none"/>
          <w:lang w:eastAsia="zh-CN"/>
          <w14:textFill>
            <w14:solidFill>
              <w14:schemeClr w14:val="tx1"/>
            </w14:solidFill>
          </w14:textFill>
        </w:rPr>
        <w:t>）(详见投标文件格式)；</w:t>
      </w:r>
    </w:p>
    <w:p w14:paraId="5239B492">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r>
        <w:rPr>
          <w:rFonts w:hint="eastAsia" w:ascii="宋体" w:hAnsi="宋体" w:eastAsia="宋体" w:cs="宋体"/>
          <w:color w:val="000000" w:themeColor="text1"/>
          <w:sz w:val="21"/>
          <w:szCs w:val="21"/>
          <w:highlight w:val="none"/>
          <w:lang w:eastAsia="zh-CN"/>
          <w14:textFill>
            <w14:solidFill>
              <w14:schemeClr w14:val="tx1"/>
            </w14:solidFill>
          </w14:textFill>
        </w:rPr>
        <w:t>《服务要求偏离表》、《商务条款偏离表》（详见投标文件格式）；</w:t>
      </w:r>
    </w:p>
    <w:p w14:paraId="58603599">
      <w:pPr>
        <w:pStyle w:val="275"/>
        <w:spacing w:line="360" w:lineRule="auto"/>
        <w:ind w:firstLine="46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23、项目相关的符合性审查证明文件。（如有要求则必须提供相应材料，否则将被认定为未实质性响应招标文件要求）；</w:t>
      </w:r>
    </w:p>
    <w:p w14:paraId="60D329B3">
      <w:pPr>
        <w:pStyle w:val="275"/>
        <w:spacing w:line="360" w:lineRule="auto"/>
        <w:ind w:firstLine="470"/>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综合评审评分项：</w:t>
      </w:r>
    </w:p>
    <w:p w14:paraId="5BF3666D">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24、</w:t>
      </w:r>
      <w:r>
        <w:rPr>
          <w:rFonts w:hint="eastAsia" w:ascii="宋体" w:hAnsi="宋体" w:eastAsia="宋体" w:cs="宋体"/>
          <w:color w:val="000000" w:themeColor="text1"/>
          <w:sz w:val="21"/>
          <w:szCs w:val="21"/>
          <w:highlight w:val="none"/>
          <w:lang w:eastAsia="zh-CN"/>
          <w14:textFill>
            <w14:solidFill>
              <w14:schemeClr w14:val="tx1"/>
            </w14:solidFill>
          </w14:textFill>
        </w:rPr>
        <w:t>招标文件评分标准中规定提交的其他相关材料；</w:t>
      </w:r>
    </w:p>
    <w:p w14:paraId="34EC20DC">
      <w:pPr>
        <w:pStyle w:val="275"/>
        <w:spacing w:line="360" w:lineRule="auto"/>
        <w:ind w:firstLine="470"/>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价格折扣文件：</w:t>
      </w:r>
    </w:p>
    <w:p w14:paraId="0E2000EF">
      <w:pPr>
        <w:pStyle w:val="275"/>
        <w:spacing w:line="360" w:lineRule="auto"/>
        <w:ind w:firstLine="468"/>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sz w:val="21"/>
          <w:szCs w:val="21"/>
          <w:highlight w:val="none"/>
          <w:lang w:eastAsia="zh-CN"/>
          <w14:textFill>
            <w14:solidFill>
              <w14:schemeClr w14:val="tx1"/>
            </w14:solidFill>
          </w14:textFill>
        </w:rPr>
        <w:t>提供对应的《中小企业声明函》或《残疾人福利性单位声明函》或省级以上监狱管理局、戒毒管理局（含新疆生产建设兵团）出具的属于监狱企业的证明文件。</w:t>
      </w:r>
    </w:p>
    <w:p w14:paraId="079F5ED9">
      <w:pPr>
        <w:pStyle w:val="13"/>
        <w:tabs>
          <w:tab w:val="left" w:pos="0"/>
        </w:tabs>
        <w:spacing w:line="360" w:lineRule="auto"/>
        <w:jc w:val="both"/>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注：</w:t>
      </w:r>
      <w:r>
        <w:rPr>
          <w:rFonts w:hint="eastAsia" w:ascii="宋体" w:hAnsi="宋体" w:eastAsia="宋体" w:cs="宋体"/>
          <w:b/>
          <w:color w:val="000000" w:themeColor="text1"/>
          <w:sz w:val="21"/>
          <w:szCs w:val="21"/>
          <w:highlight w:val="none"/>
          <w14:textFill>
            <w14:solidFill>
              <w14:schemeClr w14:val="tx1"/>
            </w14:solidFill>
          </w14:textFill>
        </w:rPr>
        <w:t>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p>
    <w:p w14:paraId="4BB32285">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15. 投标文件编制要求</w:t>
      </w:r>
    </w:p>
    <w:p w14:paraId="2A331D84">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w:t>
      </w:r>
      <w:bookmarkStart w:id="9" w:name="_Hlk140247794"/>
      <w:r>
        <w:rPr>
          <w:rFonts w:hint="eastAsia" w:ascii="宋体" w:hAnsi="宋体" w:eastAsia="宋体" w:cs="宋体"/>
          <w:color w:val="000000" w:themeColor="text1"/>
          <w:sz w:val="21"/>
          <w:szCs w:val="21"/>
          <w:highlight w:val="none"/>
          <w14:textFill>
            <w14:solidFill>
              <w14:schemeClr w14:val="tx1"/>
            </w14:solidFill>
          </w14:textFill>
        </w:rPr>
        <w:t>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p>
    <w:p w14:paraId="08B8676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p>
    <w:p w14:paraId="27EDD88B">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请投标人务必保管好编制递交电子投标（响应）文件时使用的CA，如因丢失、损坏等原因更换CA锁时，需重新制作电子投标（响应）文件并递交，否则可能无法解密，因此导致的响应失败等不利后果由投标人自行承担。</w:t>
      </w:r>
    </w:p>
    <w:p w14:paraId="3464640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p>
    <w:p w14:paraId="4F6B52FD">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投标文件未按照招标文件要求加盖CA电子公章的，投标无效。</w:t>
      </w:r>
    </w:p>
    <w:p w14:paraId="4A6D1B6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bookmarkStart w:id="10" w:name="_Hlk158134955"/>
      <w:r>
        <w:rPr>
          <w:rFonts w:hint="eastAsia" w:ascii="宋体" w:hAnsi="宋体" w:eastAsia="宋体" w:cs="宋体"/>
          <w:color w:val="000000" w:themeColor="text1"/>
          <w:sz w:val="21"/>
          <w:szCs w:val="21"/>
          <w:highlight w:val="none"/>
          <w14:textFill>
            <w14:solidFill>
              <w14:schemeClr w14:val="tx1"/>
            </w14:solidFill>
          </w14:textFill>
        </w:rPr>
        <w:t>联合体投标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：如招标（采购）公告中允许联合体投标，联合体投标的投标（响应）文件制作上传操作如下：</w:t>
      </w:r>
    </w:p>
    <w:p w14:paraId="24CA7A2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第一步：在投标（响应）文件中上传联合体投标协议书。</w:t>
      </w:r>
    </w:p>
    <w:p w14:paraId="540C6AF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第二步；在投标（响应）文件中，由联合体中的牵头人制作投标（响应）文件。</w:t>
      </w:r>
      <w:bookmarkEnd w:id="10"/>
    </w:p>
    <w:p w14:paraId="7381439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如投标（响应）文件制作机器码信息一致，视为不同供应商使用同一台电脑编制投标（响应）文件，投标（响应）无效。</w:t>
      </w:r>
      <w:bookmarkEnd w:id="9"/>
    </w:p>
    <w:p w14:paraId="5802F7A5">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15.3《开标一览表》为在开标仪式上唱标的内容，要求按格式填写，统一规范，不得自行增减内容。</w:t>
      </w:r>
    </w:p>
    <w:p w14:paraId="3BB683A9">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16. 投标报价（编制）要求的说明</w:t>
      </w:r>
    </w:p>
    <w:p w14:paraId="1BA05CF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16.1除非合同中另有规定，投标人对《开标一览表》的报价应包含完成全部服务内容所需的人工费用、税费、利润、其它临时性杂项应急服务费用、劳保与培训、政策性文件规定及合同包含的所有风险、责任等服务过程中所需的全部费用。同时，除非合同条款中另有规定，否则，供应商所报价格在合同实施期间不因市场因素变化而变动。</w:t>
      </w:r>
    </w:p>
    <w:p w14:paraId="4BF8B51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16.2投标人应对招标文件内所要采购的全部内容进行报价，只投其中部分内容者，其标书将被拒绝。</w:t>
      </w:r>
    </w:p>
    <w:p w14:paraId="2677D75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16.3一项投标内容只允许一个报价，招标采购单位不接受任何有选择性的投标报价。</w:t>
      </w:r>
    </w:p>
    <w:p w14:paraId="5763F46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16.4投标文件报价中的单价和总价全部采用人民币表示，除非合同的特殊条款另有规定。</w:t>
      </w:r>
    </w:p>
    <w:p w14:paraId="2E8936F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16.5</w:t>
      </w:r>
      <w:r>
        <w:rPr>
          <w:rFonts w:hint="eastAsia" w:ascii="宋体" w:hAnsi="宋体" w:eastAsia="宋体" w:cs="宋体"/>
          <w:bCs/>
          <w:color w:val="000000" w:themeColor="text1"/>
          <w:sz w:val="21"/>
          <w:szCs w:val="21"/>
          <w:highlight w:val="none"/>
          <w14:textFill>
            <w14:solidFill>
              <w14:schemeClr w14:val="tx1"/>
            </w14:solidFill>
          </w14:textFill>
        </w:rPr>
        <w:t>最低报价不能作为中标的保证</w:t>
      </w:r>
      <w:r>
        <w:rPr>
          <w:rFonts w:hint="eastAsia" w:ascii="宋体" w:hAnsi="宋体" w:eastAsia="宋体" w:cs="宋体"/>
          <w:color w:val="000000" w:themeColor="text1"/>
          <w:sz w:val="21"/>
          <w:szCs w:val="21"/>
          <w:highlight w:val="none"/>
          <w14:textFill>
            <w14:solidFill>
              <w14:schemeClr w14:val="tx1"/>
            </w14:solidFill>
          </w14:textFill>
        </w:rPr>
        <w:t>。</w:t>
      </w:r>
    </w:p>
    <w:p w14:paraId="242AA4AA">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17. 投标保证金</w:t>
      </w:r>
    </w:p>
    <w:p w14:paraId="2D259803">
      <w:pPr>
        <w:spacing w:line="360" w:lineRule="auto"/>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本项目不提交，文件内关于投标保证金的相关规定均不适用。</w:t>
      </w:r>
    </w:p>
    <w:p w14:paraId="25D35733">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18. 投标文件的有效期</w:t>
      </w:r>
    </w:p>
    <w:p w14:paraId="1C45EAF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18.1在本招标文件前附表规定的投标文件有效期内，投标人所提交的投标文件应保持有效。有效期短于这个规定期限的投标文件，将被认定为未实质性响应招标文件要求。</w:t>
      </w:r>
    </w:p>
    <w:p w14:paraId="676659D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p>
    <w:p w14:paraId="4EF4AAE6">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 投标文件的递交</w:t>
      </w:r>
    </w:p>
    <w:p w14:paraId="0A1BAD90">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19. 投标截止时间</w:t>
      </w:r>
    </w:p>
    <w:p w14:paraId="7ADDC8D8">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19.1电子投标文件上传截止时间之前对投标文件进行加密并上传，否则视为放弃参加该采购项目。</w:t>
      </w:r>
    </w:p>
    <w:p w14:paraId="7E2B39A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19.2招标采购单位推迟投标截止时间时，应以书面形式通知所有投标人。在这种情况下，招标采购单位和投标人的权利和义务将受到新的截止期的约束。</w:t>
      </w:r>
    </w:p>
    <w:p w14:paraId="45ECE06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19.3在投标截止时间以后送达的投标文件，招标采购单位拒绝接收。</w:t>
      </w:r>
    </w:p>
    <w:p w14:paraId="0D1A991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19.4在投标截止时间止招标采购单位收到该项目的投标文件少于三份，招标采购单位有权宣布该项目本次招标失败。</w:t>
      </w:r>
    </w:p>
    <w:p w14:paraId="4B71F1BC">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20. 投标文件的修改和撤回</w:t>
      </w:r>
    </w:p>
    <w:p w14:paraId="25229080">
      <w:pPr>
        <w:spacing w:line="360" w:lineRule="auto"/>
        <w:ind w:firstLine="50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投标人在提交投标文件后可对其投标文件进行修改或撤回，但须在投标截止时间之前。</w:t>
      </w:r>
    </w:p>
    <w:p w14:paraId="450C5F20">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六、开标和评标</w:t>
      </w:r>
    </w:p>
    <w:p w14:paraId="7D0E525C">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21. 开标</w:t>
      </w:r>
    </w:p>
    <w:p w14:paraId="179A97A8">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21.1开标由招标人或者招标代理机构主持，投标人参加。评标委员会成员不得参加开标活动。</w:t>
      </w:r>
    </w:p>
    <w:p w14:paraId="7C161FFA">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21.2本项目为不见面开标（开启）项目，开标阶段供应商在【解密环节】必须使用 CA证书解密电子投标（响应）文件，请供应商确保电脑、系统及其他设备（视频输入输出设备等）无误，且开启直至项目结束始终保持系统在线状态。</w:t>
      </w:r>
    </w:p>
    <w:p w14:paraId="761610DE">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bookmarkStart w:id="11" w:name="_Hlk90652960"/>
      <w:r>
        <w:rPr>
          <w:rFonts w:hint="eastAsia" w:ascii="宋体" w:hAnsi="宋体" w:eastAsia="宋体" w:cs="宋体"/>
          <w:color w:val="000000" w:themeColor="text1"/>
          <w:sz w:val="21"/>
          <w:szCs w:val="21"/>
          <w:highlight w:val="none"/>
          <w14:textFill>
            <w14:solidFill>
              <w14:schemeClr w14:val="tx1"/>
            </w14:solidFill>
          </w14:textFill>
        </w:rPr>
        <w:t>21.3线上参加（观看）开标（开启）会方式：登录“苏采云”系统，点击“开标大厅”，选择对应项目，点击进入不见面开标系统。</w:t>
      </w:r>
    </w:p>
    <w:p w14:paraId="612180F6">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21.4开标时，投标人对开标过程和开标记录有疑义，以及认为招标人、招标代理机构相关工作人员有需要回避的情形的，应当场通过不见面开标系统的“留言板”栏目提出询问或者回避申请。招标人、招标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
    </w:p>
    <w:p w14:paraId="0C093141">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bookmarkStart w:id="12" w:name="_Hlk158135485"/>
      <w:r>
        <w:rPr>
          <w:rFonts w:hint="eastAsia" w:ascii="宋体" w:hAnsi="宋体" w:eastAsia="宋体" w:cs="宋体"/>
          <w:color w:val="000000" w:themeColor="text1"/>
          <w:sz w:val="21"/>
          <w:szCs w:val="21"/>
          <w:highlight w:val="none"/>
          <w14:textFill>
            <w14:solidFill>
              <w14:schemeClr w14:val="tx1"/>
            </w14:solidFill>
          </w14:textFill>
        </w:rPr>
        <w:t>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2"/>
      <w:r>
        <w:rPr>
          <w:rFonts w:hint="eastAsia" w:ascii="宋体" w:hAnsi="宋体" w:eastAsia="宋体" w:cs="宋体"/>
          <w:color w:val="000000" w:themeColor="text1"/>
          <w:sz w:val="21"/>
          <w:szCs w:val="21"/>
          <w:highlight w:val="none"/>
          <w14:textFill>
            <w14:solidFill>
              <w14:schemeClr w14:val="tx1"/>
            </w14:solidFill>
          </w14:textFill>
        </w:rPr>
        <w:t>。</w:t>
      </w:r>
    </w:p>
    <w:p w14:paraId="6F687665">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21.6投标人在“苏采云”系统规定的时间内未成功解密电子投标文件的，投标无效。</w:t>
      </w:r>
    </w:p>
    <w:p w14:paraId="6C434311">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21.7投标人电脑环境最低要求：谷歌浏览器，版本可直接网上下载最新版本即可。如需收听现场语音需配置放音设备，如视频直播、互动交流使用异常，请刷新网页，如仍无法解决，请联系技术支持。</w:t>
      </w:r>
    </w:p>
    <w:p w14:paraId="23BBD422">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21.8至投标文件提交截止时间，递交投标文件的投标人不足三家的，不得开标。</w:t>
      </w:r>
    </w:p>
    <w:p w14:paraId="225B6592">
      <w:pPr>
        <w:tabs>
          <w:tab w:val="left" w:pos="142"/>
          <w:tab w:val="left" w:pos="60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21.9投标人未参加开标的，视同认可开标结果。</w:t>
      </w:r>
    </w:p>
    <w:p w14:paraId="5E2BE3AF">
      <w:pPr>
        <w:tabs>
          <w:tab w:val="center" w:pos="4479"/>
        </w:tabs>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22.资格审查</w:t>
      </w:r>
    </w:p>
    <w:p w14:paraId="31A1735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22.1招标人或招标代理机构在开标后，评标前按照招标文件投标人须知第3款、第4款和第14款资格审查证明文件的规定对投标人的资格进行资格审查。</w:t>
      </w:r>
    </w:p>
    <w:p w14:paraId="29CE6A2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22.2未通过资格审查的投标人为无效投标人，招标人或招标代理机构将未通过资格审查的投标人名单和原因提交评标委员会，以便编制评标报告；通过资格审查的投标人将提交评标委员会进行符合性审查。</w:t>
      </w:r>
    </w:p>
    <w:p w14:paraId="01330C0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22.3招标人或招标代理机构现场告知未通过资格审查的投标人未通过的原因。</w:t>
      </w:r>
    </w:p>
    <w:p w14:paraId="45562EE3">
      <w:pPr>
        <w:tabs>
          <w:tab w:val="center" w:pos="4479"/>
        </w:tabs>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23.评标工作的组织</w:t>
      </w:r>
    </w:p>
    <w:p w14:paraId="13661DD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招标人或者招标代理机构负责组织评标工作，并履行下列职责：</w:t>
      </w:r>
    </w:p>
    <w:p w14:paraId="5D6DBD9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23.1核对评审专家身份和招标人代表授权函，对评审专家在政府采购活动中的职责履行情况予以记录，并及时将有关违法违规行为向财政部门报告；</w:t>
      </w:r>
    </w:p>
    <w:p w14:paraId="1CAD969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23.2宣布评标纪律；</w:t>
      </w:r>
    </w:p>
    <w:p w14:paraId="27159728">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23.3公布投标人名单，告知评审专家应当回避的情形；</w:t>
      </w:r>
    </w:p>
    <w:p w14:paraId="2D13D4CE">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23.4组织评标委员会推选评标组长，招标人代表不得担任组长；</w:t>
      </w:r>
    </w:p>
    <w:p w14:paraId="74531E6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23.5在评标期间采取必要的通讯管理措施，保证评标活动不受外界干扰；</w:t>
      </w:r>
    </w:p>
    <w:p w14:paraId="311085E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23.6根据评标委员会的要求介绍政府采购相关政策法规、招标文件；</w:t>
      </w:r>
    </w:p>
    <w:p w14:paraId="363C08D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23.7维护评标秩序，监督评标委员会依照招标文件规定的评标程序、方法和标准进行独立评审，及时制止和纠正招标人代表、评审专家的倾向性言论或者违法违规行为；</w:t>
      </w:r>
    </w:p>
    <w:p w14:paraId="3AD13B2B">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23.8核对评标结果，有《政府采购货物和服务招标投标管理办法》第六十四条规定情形的，要求评标委员会复核或者书面说明理由，评标委员会拒绝的，应予记录并向本级财政部门报告；</w:t>
      </w:r>
    </w:p>
    <w:p w14:paraId="6C03F4A5">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23.9评审工作完成后，按照规定向评审专家支付劳务报酬和异地评审差旅费，不得向评审专家以外的其他人员支付评审劳务报酬；</w:t>
      </w:r>
    </w:p>
    <w:p w14:paraId="6592496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23.10处理与评标有关的其他事项。</w:t>
      </w:r>
    </w:p>
    <w:p w14:paraId="223AD193">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招标人可以在评标前说明项目背景和采购需求，说明内容不得含有歧视性、倾向性意见，不得超出招标文件所述范围。说明应当提交书面材料，并随招标文件一并存档。</w:t>
      </w:r>
    </w:p>
    <w:p w14:paraId="59EF58FD">
      <w:pPr>
        <w:tabs>
          <w:tab w:val="center" w:pos="4479"/>
        </w:tabs>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24. 评标委员会</w:t>
      </w:r>
      <w:r>
        <w:rPr>
          <w:rFonts w:hint="eastAsia" w:ascii="宋体" w:hAnsi="宋体" w:eastAsia="宋体" w:cs="宋体"/>
          <w:b/>
          <w:color w:val="000000" w:themeColor="text1"/>
          <w:sz w:val="21"/>
          <w:szCs w:val="21"/>
          <w:highlight w:val="none"/>
          <w14:textFill>
            <w14:solidFill>
              <w14:schemeClr w14:val="tx1"/>
            </w14:solidFill>
          </w14:textFill>
        </w:rPr>
        <w:tab/>
      </w:r>
    </w:p>
    <w:p w14:paraId="6222A41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24.1评标委员会由招标采购单位依法组建，负责本项目的评标事务。</w:t>
      </w:r>
    </w:p>
    <w:p w14:paraId="736B7C1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24.2评标委员会独立履行下列职责：</w:t>
      </w:r>
    </w:p>
    <w:p w14:paraId="39397D4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24.2.1审查、评价投标文件是否符合招标文件的商务、技术等实质性要求；</w:t>
      </w:r>
    </w:p>
    <w:p w14:paraId="13AA4EC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24.2.2要求投标人对投标文件有关事项作出澄清或者说明；</w:t>
      </w:r>
    </w:p>
    <w:p w14:paraId="6131FB6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24.2.3对投标文件进行比较和评价；</w:t>
      </w:r>
    </w:p>
    <w:p w14:paraId="0F27EE2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24.2.4确定中标候选人名单，以及根据招标人委托直接确定中标人；</w:t>
      </w:r>
    </w:p>
    <w:p w14:paraId="6501B98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24.2.5向招标人、招标代理机构或者有关部门报告评标中发现的违法行为。</w:t>
      </w:r>
    </w:p>
    <w:p w14:paraId="32C5937D">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24.3评标委员会成员应当履行下列义务：</w:t>
      </w:r>
    </w:p>
    <w:p w14:paraId="77D79B6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24.3.1遵纪守法，客观、公正、廉洁地履行职责；</w:t>
      </w:r>
    </w:p>
    <w:p w14:paraId="2208E5F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24.3.2按照招标文件规定的评标办法和评标标准进行评标，对评审意见承担个人责任；</w:t>
      </w:r>
    </w:p>
    <w:p w14:paraId="58946D06">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24.3.3对评标过程和结果，以及投标人的商业秘密保密；</w:t>
      </w:r>
    </w:p>
    <w:p w14:paraId="13D009A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24.3.4参与评标报告的起草；</w:t>
      </w:r>
    </w:p>
    <w:p w14:paraId="0FC19DE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24.3.5配合相关部门的投诉处理工作；</w:t>
      </w:r>
    </w:p>
    <w:p w14:paraId="696A8E8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24.3.6配合招标采购单位答复供应商提出的质疑。</w:t>
      </w:r>
    </w:p>
    <w:p w14:paraId="765175C8">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25. 评标内容的保密</w:t>
      </w:r>
    </w:p>
    <w:p w14:paraId="2A37D3C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25.1公开开标后，直到宣布授予中标单位商合同为止，凡属于审查、澄清、评价和比较投标的所有资料，有关授予合同的信息都不应向投标人或与评标无关的其他人泄露。</w:t>
      </w:r>
    </w:p>
    <w:p w14:paraId="7E5A224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25.2 在投标文件的审查、澄清、评价和比较以及授予合同的过程中，投标人对招标采购单位和评标委员会成员施加影响的任何行为，都将取消其投标资格。</w:t>
      </w:r>
    </w:p>
    <w:p w14:paraId="18DE049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25.3在评标期间，招标采购单位将通过指定联络人与投标人进行联系。</w:t>
      </w:r>
    </w:p>
    <w:p w14:paraId="7E60EA1E">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26.符合性审查</w:t>
      </w:r>
    </w:p>
    <w:p w14:paraId="2264C00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26.1评标委员会依据招标文件的规定对投标文件进行符合性审查。存在以下情形，符合性审查不合格：</w:t>
      </w:r>
    </w:p>
    <w:p w14:paraId="366CCE4B">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1）投标文件存在招标文件投标人须知第29款“无效投标”规定情形的；</w:t>
      </w:r>
    </w:p>
    <w:p w14:paraId="71759C2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2）投标文件载明的有效期短于招标文件规定；</w:t>
      </w:r>
    </w:p>
    <w:p w14:paraId="35284367">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3）投标文件载明的招标项目完成期限不满足招标文件规定；</w:t>
      </w:r>
    </w:p>
    <w:p w14:paraId="07CA6E28">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4）投标文件载明的履约保证、付款方式不满足招标文件规定；</w:t>
      </w:r>
    </w:p>
    <w:p w14:paraId="65BE45B0">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5）投标文件未按招标文件规定的格式填写或递交，内容不全或关键字迹模糊、无法辨认的，从而影响投标文件有效性；</w:t>
      </w:r>
    </w:p>
    <w:p w14:paraId="24E39361">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6）不同投标人的投标文件以及投标文件制作过程出现了评标委员会认为不应当雷同的情况的；</w:t>
      </w:r>
    </w:p>
    <w:p w14:paraId="7DE6F7B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7）不同投标人的投标文件存在“视为串通投标”的情形；</w:t>
      </w:r>
    </w:p>
    <w:p w14:paraId="68CA1EF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8）投标人的报价存在选择性的；</w:t>
      </w:r>
    </w:p>
    <w:p w14:paraId="12A50F2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9）投标人的报价或响应只响应了项目中部分招标内容；</w:t>
      </w:r>
    </w:p>
    <w:p w14:paraId="4C2416A9">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10）投标人拒绝修正错误影响评标的；</w:t>
      </w:r>
    </w:p>
    <w:p w14:paraId="76C66C00">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11）投标文件不符合招标文件规定的其他实质性条款；</w:t>
      </w:r>
    </w:p>
    <w:p w14:paraId="5A70C14D">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12）不同投标文件存在“机器码”一致情形；</w:t>
      </w:r>
    </w:p>
    <w:p w14:paraId="151EDA2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13）投标文件存在招标文件规定的其他无效投标情形的。</w:t>
      </w:r>
    </w:p>
    <w:p w14:paraId="30878F7A">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26.2对于不允许偏离的实质性要求和条件，招标人或者招标代理机构应当在招标文件中规定，并以醒目的方式标明。</w:t>
      </w:r>
    </w:p>
    <w:p w14:paraId="417675DE">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26.3投标人不能通过修正或撤销不符之处而使其投标成为实质性响应的投标。</w:t>
      </w:r>
    </w:p>
    <w:p w14:paraId="67A51E6F">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27.投标澄清</w:t>
      </w:r>
    </w:p>
    <w:p w14:paraId="2F8B4628">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p>
    <w:p w14:paraId="666170B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bookmarkStart w:id="13" w:name="_Hlk158140503"/>
      <w:bookmarkStart w:id="14" w:name="_Hlk158140452"/>
      <w:bookmarkStart w:id="15" w:name="_Hlk90656398"/>
      <w:r>
        <w:rPr>
          <w:rFonts w:hint="eastAsia" w:ascii="宋体" w:hAnsi="宋体" w:eastAsia="宋体" w:cs="宋体"/>
          <w:color w:val="000000" w:themeColor="text1"/>
          <w:sz w:val="21"/>
          <w:szCs w:val="21"/>
          <w:highlight w:val="none"/>
          <w14:textFill>
            <w14:solidFill>
              <w14:schemeClr w14:val="tx1"/>
            </w14:solidFill>
          </w14:textFill>
        </w:rPr>
        <w:t>本项目采用线上澄清</w:t>
      </w:r>
      <w:bookmarkEnd w:id="13"/>
      <w:r>
        <w:rPr>
          <w:rFonts w:hint="eastAsia" w:ascii="宋体" w:hAnsi="宋体" w:eastAsia="宋体" w:cs="宋体"/>
          <w:color w:val="000000" w:themeColor="text1"/>
          <w:sz w:val="21"/>
          <w:szCs w:val="21"/>
          <w:highlight w:val="none"/>
          <w14:textFill>
            <w14:solidFill>
              <w14:schemeClr w14:val="tx1"/>
            </w14:solidFill>
          </w14:textFill>
        </w:rPr>
        <w:t>。</w:t>
      </w:r>
      <w:bookmarkEnd w:id="14"/>
    </w:p>
    <w:p w14:paraId="6078F5D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p>
    <w:p w14:paraId="375A975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接到评标委员会澄清、说明和更正要求的投标人如未按规定做出澄清、说明和更正，其风险由投标人自行承担。</w:t>
      </w:r>
      <w:bookmarkEnd w:id="15"/>
    </w:p>
    <w:p w14:paraId="580947FA">
      <w:pPr>
        <w:pStyle w:val="13"/>
        <w:spacing w:line="360" w:lineRule="auto"/>
        <w:ind w:firstLine="482"/>
        <w:jc w:val="both"/>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28.投标报价评审</w:t>
      </w:r>
    </w:p>
    <w:p w14:paraId="22DC434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28.1投标文件报价出现前后不一致的，除招标文件另有规定外，按照下列规定修正：</w:t>
      </w:r>
    </w:p>
    <w:p w14:paraId="6749F9F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28.1.1投标文件中开标一览表（报价表）内容与投标文件中相应内容不一致的，以开标一览表（报价表）为准；</w:t>
      </w:r>
    </w:p>
    <w:p w14:paraId="20F3515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28.1.2大写金额和小写金额不一致的，以大写金额为准；</w:t>
      </w:r>
    </w:p>
    <w:p w14:paraId="043008CB">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28.1.3单价金额小数点或者百分比有明显错位的，以开标一览表的总价为准，并修改单价；</w:t>
      </w:r>
    </w:p>
    <w:p w14:paraId="4E619E4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28.1.4总价金额与按单价汇总金额不一致的，以单价金额计算结果为准。</w:t>
      </w:r>
    </w:p>
    <w:p w14:paraId="0BD9F503">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同时出现两种以上不一致的，按照前款规定的顺序修正。修正后的报价按照《政府采购货物和服务招标投标管理办法》第五十一条第二款的规定经投标人确认后产生约束力，投标人不确认的，其投标无效。</w:t>
      </w:r>
    </w:p>
    <w:p w14:paraId="7EF0158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p>
    <w:p w14:paraId="6859C69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28.3价格分应当采用低价优先法计算，即满足招标文件要求且投标价格最低的投标报价为评标基准价，其价格分为满分。其他投标人的价格分统一按照下列公式计算：投标报价得分=(评标基准价／投标报价)×100×价格权值。</w:t>
      </w:r>
    </w:p>
    <w:p w14:paraId="597DD19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28.4评标过程中，不得去掉报价中的最高报价和最低报价。因落实政府采购政策进行价格调整的，以调整后的价格计算评标基准价和投标报价。</w:t>
      </w:r>
    </w:p>
    <w:p w14:paraId="1CD8758F">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29.无效投标</w:t>
      </w:r>
    </w:p>
    <w:p w14:paraId="3877E9A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投标人存在下列情况之一的，投标无效:</w:t>
      </w:r>
    </w:p>
    <w:p w14:paraId="57C8113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29.1投标文件未按招标文件要求签署、签章的；</w:t>
      </w:r>
    </w:p>
    <w:p w14:paraId="62577E8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29.2不具备招标文件中规定的资格要求的；</w:t>
      </w:r>
    </w:p>
    <w:p w14:paraId="308CC4A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29.3报价超过招标文件中规定的最高限价的；</w:t>
      </w:r>
    </w:p>
    <w:p w14:paraId="4BF246F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29.4投标文件含有招标人不能接受的附加条件的；</w:t>
      </w:r>
    </w:p>
    <w:p w14:paraId="0527BF76">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29.5法律、法规和招标文件规定的其他无效情形。</w:t>
      </w:r>
    </w:p>
    <w:p w14:paraId="653534DE">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29.6</w:t>
      </w:r>
      <w:r>
        <w:rPr>
          <w:rFonts w:hint="eastAsia" w:ascii="宋体" w:hAnsi="宋体" w:eastAsia="宋体" w:cs="宋体"/>
          <w:color w:val="000000" w:themeColor="text1"/>
          <w:sz w:val="21"/>
          <w:szCs w:val="21"/>
          <w:highlight w:val="none"/>
          <w:lang w:val="zh-CN"/>
          <w14:textFill>
            <w14:solidFill>
              <w14:schemeClr w14:val="tx1"/>
            </w14:solidFill>
          </w14:textFill>
        </w:rPr>
        <w:t>投标人未对电子投标文件进行解密或解密失败的。</w:t>
      </w:r>
    </w:p>
    <w:p w14:paraId="2F01D668">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30.废标</w:t>
      </w:r>
    </w:p>
    <w:p w14:paraId="0205358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30.1 在招标采购中，出现下列情形之一的，该项目应予废标： </w:t>
      </w:r>
    </w:p>
    <w:p w14:paraId="4BD4F6CC">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30.1.1该项目符合专业条件的供应商或者对招标文件作实质响应的供应商不足三家的；</w:t>
      </w:r>
    </w:p>
    <w:p w14:paraId="60576C1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30.1.2出现影响采购公正的违法、违规行为的；</w:t>
      </w:r>
    </w:p>
    <w:p w14:paraId="59163C9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30.1.3投标人的报价均超过了最高限价，招标人不能支付的；</w:t>
      </w:r>
    </w:p>
    <w:p w14:paraId="1FEAE80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30.1.4因重大变故，采购任务取消的。</w:t>
      </w:r>
    </w:p>
    <w:p w14:paraId="5651B10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30.2 废标后，招标人应当将废标理由通知所有投标人。</w:t>
      </w:r>
    </w:p>
    <w:p w14:paraId="1CB2557D">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31. 投标文件的评价和比较</w:t>
      </w:r>
    </w:p>
    <w:p w14:paraId="30BFE463">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31.1评标委员会按招标文件规定的评标方法和标准，仅对资格性检查和符合性检查合格的投标文件进行商务和技术评估，综合比较与评价。</w:t>
      </w:r>
    </w:p>
    <w:p w14:paraId="107B601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31.2评价和比较采用的办法：综合评分法，具体内容详见招标文件第六章。</w:t>
      </w:r>
    </w:p>
    <w:p w14:paraId="12DEB39B">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31.3 最低的投标报价或最高的折扣比例是中标的重要条件，但不是唯一条件。</w:t>
      </w:r>
    </w:p>
    <w:p w14:paraId="7A3B69C8">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七、授予合同</w:t>
      </w:r>
    </w:p>
    <w:p w14:paraId="2E74BD61">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32. 中标单位商的确认</w:t>
      </w:r>
    </w:p>
    <w:p w14:paraId="34578B4D">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32.1评标委员会按招标文件规定的评标方法和标准进行详细评审后，按招标采购单位的委托向招标采购单位推荐中标候选单位。</w:t>
      </w:r>
    </w:p>
    <w:p w14:paraId="3C61A88F">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32.2招标代理机构应当在评标结束后2个工作日内将评标报告送招标人。招标人应当自收到评标报告之日起5个工作日内，在评标报告确定的中标候选人名单中按顺序确定中标人。中标候选人并列的，由招标人自主确定中标人。招标人在收到评标报告5个工作日内未按评标报告推荐的中标候选人顺序确定中标人，又不能说明合法理由的，视同按评标报告推荐的顺序确定排名第一的中标候选人为中标人。</w:t>
      </w:r>
    </w:p>
    <w:p w14:paraId="6F60D614">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32.3</w:t>
      </w:r>
      <w:r>
        <w:rPr>
          <w:rFonts w:hint="eastAsia" w:ascii="宋体" w:hAnsi="宋体" w:eastAsia="宋体" w:cs="宋体"/>
          <w:b/>
          <w:bCs/>
          <w:color w:val="000000" w:themeColor="text1"/>
          <w:sz w:val="21"/>
          <w:szCs w:val="21"/>
          <w:highlight w:val="none"/>
          <w14:textFill>
            <w14:solidFill>
              <w14:schemeClr w14:val="tx1"/>
            </w14:solidFill>
          </w14:textFill>
        </w:rPr>
        <w:t>本项目中标单位商数量：1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家</w:t>
      </w:r>
      <w:r>
        <w:rPr>
          <w:rFonts w:hint="eastAsia" w:ascii="宋体" w:hAnsi="宋体" w:eastAsia="宋体" w:cs="宋体"/>
          <w:b/>
          <w:bCs/>
          <w:color w:val="000000" w:themeColor="text1"/>
          <w:sz w:val="21"/>
          <w:szCs w:val="21"/>
          <w:highlight w:val="none"/>
          <w14:textFill>
            <w14:solidFill>
              <w14:schemeClr w14:val="tx1"/>
            </w14:solidFill>
          </w14:textFill>
        </w:rPr>
        <w:t>。</w:t>
      </w:r>
    </w:p>
    <w:p w14:paraId="37671CFE">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32.4招标人或者招标代理机构自中标人确定之日起2个工作日内在省级以上财政部门指定的媒体上公告中标结果。中标公告期限为1个工作日。</w:t>
      </w:r>
    </w:p>
    <w:p w14:paraId="3F190243">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33. 合同授予标准</w:t>
      </w:r>
    </w:p>
    <w:p w14:paraId="18D875C3">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33.1招标采购单位将把合同授予其投标文件在实质上响应招标文件要求和按本须知规定评选出的投标人。确定为中标的投标人必须具有实施本合同的能力和资源。</w:t>
      </w:r>
    </w:p>
    <w:p w14:paraId="4E1E450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33.2政府采购合同履行中，招标人需追加与合同标的物相同的货物、工程或者服务的，在不改变合同其他条款的前提下，可以与中标单位商签订补充合同，但所有补充合同的采购金额不得超过原合同采购金额的百分之十。</w:t>
      </w:r>
    </w:p>
    <w:p w14:paraId="25333702">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34. 中标通知书</w:t>
      </w:r>
    </w:p>
    <w:p w14:paraId="76F06CC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34.1在公告中标结果的同时，招标人或者招标代理机构应当向中标人发出中标通知书，中标通知书对招标人和中标单位商具有同等法律效力。中标通知书发出后，招标人不得违法改变中标结果，中标人无正当理由不得放弃中标，否则应当承担相应的法律责任。</w:t>
      </w:r>
    </w:p>
    <w:p w14:paraId="4237435C">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34.2中标通知书将成为合同的组成部分。</w:t>
      </w:r>
    </w:p>
    <w:p w14:paraId="18C25B6D">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35.告知招标结果</w:t>
      </w:r>
    </w:p>
    <w:p w14:paraId="43CDC0B0">
      <w:pPr>
        <w:pStyle w:val="13"/>
        <w:spacing w:line="360" w:lineRule="auto"/>
        <w:ind w:firstLine="480"/>
        <w:jc w:val="both"/>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w:t>
      </w:r>
      <w:r>
        <w:rPr>
          <w:rFonts w:hint="eastAsia" w:ascii="宋体" w:hAnsi="宋体" w:eastAsia="宋体" w:cs="宋体"/>
          <w:color w:val="000000" w:themeColor="text1"/>
          <w:sz w:val="21"/>
          <w:szCs w:val="21"/>
          <w:highlight w:val="none"/>
          <w:lang w:val="zh-CN"/>
          <w14:textFill>
            <w14:solidFill>
              <w14:schemeClr w14:val="tx1"/>
            </w14:solidFill>
          </w14:textFill>
        </w:rPr>
        <w:t>.1 对未通过资格审查的投标人，告知其未通过的原因。</w:t>
      </w:r>
    </w:p>
    <w:p w14:paraId="04EF4D38">
      <w:pPr>
        <w:pStyle w:val="13"/>
        <w:spacing w:line="360" w:lineRule="auto"/>
        <w:ind w:firstLine="480"/>
        <w:jc w:val="both"/>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35.2 采购单位或其委托的代理机构根据相关规定发布</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公告，</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公告发出的同时应当向</w:t>
      </w:r>
      <w:r>
        <w:rPr>
          <w:rFonts w:hint="eastAsia" w:ascii="宋体" w:hAnsi="宋体" w:eastAsia="宋体" w:cs="宋体"/>
          <w:color w:val="000000" w:themeColor="text1"/>
          <w:sz w:val="21"/>
          <w:szCs w:val="21"/>
          <w:highlight w:val="none"/>
          <w14:textFill>
            <w14:solidFill>
              <w14:schemeClr w14:val="tx1"/>
            </w14:solidFill>
          </w14:textFill>
        </w:rPr>
        <w:t>中标单位</w:t>
      </w:r>
      <w:r>
        <w:rPr>
          <w:rFonts w:hint="eastAsia" w:ascii="宋体" w:hAnsi="宋体" w:eastAsia="宋体" w:cs="宋体"/>
          <w:color w:val="000000" w:themeColor="text1"/>
          <w:sz w:val="21"/>
          <w:szCs w:val="21"/>
          <w:highlight w:val="none"/>
          <w:lang w:val="zh-CN"/>
          <w14:textFill>
            <w14:solidFill>
              <w14:schemeClr w14:val="tx1"/>
            </w14:solidFill>
          </w14:textFill>
        </w:rPr>
        <w:t>商发出《</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通知书》，请</w:t>
      </w:r>
      <w:r>
        <w:rPr>
          <w:rFonts w:hint="eastAsia" w:ascii="宋体" w:hAnsi="宋体" w:eastAsia="宋体" w:cs="宋体"/>
          <w:color w:val="000000" w:themeColor="text1"/>
          <w:sz w:val="21"/>
          <w:szCs w:val="21"/>
          <w:highlight w:val="none"/>
          <w14:textFill>
            <w14:solidFill>
              <w14:schemeClr w14:val="tx1"/>
            </w14:solidFill>
          </w14:textFill>
        </w:rPr>
        <w:t>中标单位</w:t>
      </w:r>
      <w:r>
        <w:rPr>
          <w:rFonts w:hint="eastAsia" w:ascii="宋体" w:hAnsi="宋体" w:eastAsia="宋体" w:cs="宋体"/>
          <w:color w:val="000000" w:themeColor="text1"/>
          <w:sz w:val="21"/>
          <w:szCs w:val="21"/>
          <w:highlight w:val="none"/>
          <w:lang w:val="zh-CN"/>
          <w14:textFill>
            <w14:solidFill>
              <w14:schemeClr w14:val="tx1"/>
            </w14:solidFill>
          </w14:textFill>
        </w:rPr>
        <w:t>商在</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结果公告届满之日起30日内,使用CA数字证书登录“苏采云”系统及时下载</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通知书。因系统存储空间有限，自</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结果公告届满之日起30日后，“苏采云”系统不再保证提供下载</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通知书服务,因未及时下载而造成的不利后果由</w:t>
      </w:r>
      <w:r>
        <w:rPr>
          <w:rFonts w:hint="eastAsia" w:ascii="宋体" w:hAnsi="宋体" w:eastAsia="宋体" w:cs="宋体"/>
          <w:color w:val="000000" w:themeColor="text1"/>
          <w:sz w:val="21"/>
          <w:szCs w:val="21"/>
          <w:highlight w:val="none"/>
          <w14:textFill>
            <w14:solidFill>
              <w14:schemeClr w14:val="tx1"/>
            </w14:solidFill>
          </w14:textFill>
        </w:rPr>
        <w:t>中标单位</w:t>
      </w:r>
      <w:r>
        <w:rPr>
          <w:rFonts w:hint="eastAsia" w:ascii="宋体" w:hAnsi="宋体" w:eastAsia="宋体" w:cs="宋体"/>
          <w:color w:val="000000" w:themeColor="text1"/>
          <w:sz w:val="21"/>
          <w:szCs w:val="21"/>
          <w:highlight w:val="none"/>
          <w:lang w:val="zh-CN"/>
          <w14:textFill>
            <w14:solidFill>
              <w14:schemeClr w14:val="tx1"/>
            </w14:solidFill>
          </w14:textFill>
        </w:rPr>
        <w:t>商自行承担）；对未通过资格审查的供应商，应当告知其未通过的原因；未</w:t>
      </w:r>
      <w:r>
        <w:rPr>
          <w:rFonts w:hint="eastAsia" w:ascii="宋体" w:hAnsi="宋体" w:eastAsia="宋体" w:cs="宋体"/>
          <w:color w:val="000000" w:themeColor="text1"/>
          <w:sz w:val="21"/>
          <w:szCs w:val="21"/>
          <w:highlight w:val="none"/>
          <w14:textFill>
            <w14:solidFill>
              <w14:schemeClr w14:val="tx1"/>
            </w14:solidFill>
          </w14:textFill>
        </w:rPr>
        <w:t>中标单位</w:t>
      </w:r>
      <w:r>
        <w:rPr>
          <w:rFonts w:hint="eastAsia" w:ascii="宋体" w:hAnsi="宋体" w:eastAsia="宋体" w:cs="宋体"/>
          <w:color w:val="000000" w:themeColor="text1"/>
          <w:sz w:val="21"/>
          <w:szCs w:val="21"/>
          <w:highlight w:val="none"/>
          <w:lang w:val="zh-CN"/>
          <w14:textFill>
            <w14:solidFill>
              <w14:schemeClr w14:val="tx1"/>
            </w14:solidFill>
          </w14:textFill>
        </w:rPr>
        <w:t>商须在</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公告发出之日起2个工作日内向招标代理机构另行提供用以接收《未</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zh-CN"/>
          <w14:textFill>
            <w14:solidFill>
              <w14:schemeClr w14:val="tx1"/>
            </w14:solidFill>
          </w14:textFill>
        </w:rPr>
        <w:t>通知书》的电子邮件地址，未按时提供电子邮件地址或提供信息有误的，视为自动放弃并自行承担相应后果。</w:t>
      </w:r>
    </w:p>
    <w:p w14:paraId="788A78E0">
      <w:pPr>
        <w:spacing w:line="360" w:lineRule="auto"/>
        <w:ind w:firstLine="482"/>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36.履约保证金</w:t>
      </w:r>
    </w:p>
    <w:p w14:paraId="77964562">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详见前附表</w:t>
      </w:r>
      <w:r>
        <w:rPr>
          <w:rFonts w:hint="eastAsia" w:ascii="宋体" w:hAnsi="宋体" w:eastAsia="宋体" w:cs="宋体"/>
          <w:color w:val="000000" w:themeColor="text1"/>
          <w:sz w:val="21"/>
          <w:szCs w:val="21"/>
          <w:highlight w:val="none"/>
          <w14:textFill>
            <w14:solidFill>
              <w14:schemeClr w14:val="tx1"/>
            </w14:solidFill>
          </w14:textFill>
        </w:rPr>
        <w:t>。</w:t>
      </w:r>
    </w:p>
    <w:p w14:paraId="6F2966DE">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37. 合同的签订</w:t>
      </w:r>
    </w:p>
    <w:p w14:paraId="49BAA1C5">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37.1招标人应当自中标通知书发出之日起15日内，按照招标文件和中标人投标文件的规定，与中标人签订书面合同。所签订的合同不得对招标文件确定的事项和中标人投标文件作实质性修改。</w:t>
      </w:r>
    </w:p>
    <w:p w14:paraId="547E33F2">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37.2签订合同及合同条款应以招标文件和中标单位商的投标文件及其澄清文件为依据。</w:t>
      </w:r>
    </w:p>
    <w:p w14:paraId="638CF785">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八、其他事项</w:t>
      </w:r>
    </w:p>
    <w:p w14:paraId="4347C597">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38. 招标代理服务费</w:t>
      </w:r>
    </w:p>
    <w:p w14:paraId="00DC393F">
      <w:pPr>
        <w:pStyle w:val="13"/>
        <w:spacing w:line="360" w:lineRule="auto"/>
        <w:ind w:firstLine="48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38.1</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须按前附表的规定，按其预算总金额计算并支付招标代理服务费，该费用应在</w:t>
      </w:r>
      <w:r>
        <w:rPr>
          <w:rFonts w:hint="eastAsia" w:ascii="宋体" w:hAnsi="宋体" w:eastAsia="宋体" w:cs="宋体"/>
          <w:color w:val="000000" w:themeColor="text1"/>
          <w:sz w:val="21"/>
          <w:szCs w:val="21"/>
          <w:highlight w:val="none"/>
          <w:lang w:val="en-US" w:eastAsia="zh-CN"/>
          <w14:textFill>
            <w14:solidFill>
              <w14:schemeClr w14:val="tx1"/>
            </w14:solidFill>
          </w14:textFill>
        </w:rPr>
        <w:t>招标资料移交完成后</w:t>
      </w:r>
      <w:r>
        <w:rPr>
          <w:rFonts w:hint="eastAsia" w:ascii="宋体" w:hAnsi="宋体" w:eastAsia="宋体" w:cs="宋体"/>
          <w:color w:val="000000" w:themeColor="text1"/>
          <w:sz w:val="21"/>
          <w:szCs w:val="21"/>
          <w:highlight w:val="none"/>
          <w14:textFill>
            <w14:solidFill>
              <w14:schemeClr w14:val="tx1"/>
            </w14:solidFill>
          </w14:textFill>
        </w:rPr>
        <w:t>付清。</w:t>
      </w:r>
    </w:p>
    <w:p w14:paraId="2FD9F63C">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39. 监督和公证</w:t>
      </w:r>
    </w:p>
    <w:p w14:paraId="78DFD657">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39.1政府有关监督部门将对招投标全过程进行监督。</w:t>
      </w:r>
    </w:p>
    <w:p w14:paraId="5CCDF8CE">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39.2招标人的开标、评标过程将通过公证机关进行公证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14:paraId="460CF385">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40. 未尽事宜</w:t>
      </w:r>
    </w:p>
    <w:p w14:paraId="27068199">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40.1按《中华人民共和国政府采购法》</w:t>
      </w:r>
      <w:r>
        <w:rPr>
          <w:rStyle w:val="64"/>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《中华人民共和国政府采购法实施条例》及《政府采购货物和服务招标投标管理办法》执行。</w:t>
      </w:r>
    </w:p>
    <w:p w14:paraId="22FA051D">
      <w:pPr>
        <w:spacing w:line="360" w:lineRule="auto"/>
        <w:ind w:firstLine="482"/>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41、政府采购政策</w:t>
      </w:r>
    </w:p>
    <w:p w14:paraId="2E6D557F">
      <w:pPr>
        <w:spacing w:line="360" w:lineRule="auto"/>
        <w:ind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41.1促进中小企业发展</w:t>
      </w:r>
    </w:p>
    <w:p w14:paraId="3894B58F">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1、中小微型企业的认定：</w:t>
      </w:r>
    </w:p>
    <w:p w14:paraId="6AAC485F">
      <w:pPr>
        <w:spacing w:line="360" w:lineRule="auto"/>
        <w:ind w:firstLine="48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1"/>
          <w:szCs w:val="21"/>
          <w:highlight w:val="none"/>
          <w14:textFill>
            <w14:solidFill>
              <w14:schemeClr w14:val="tx1"/>
            </w14:solidFill>
          </w14:textFill>
        </w:rPr>
        <w:t>《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视为非实质性响应采购文件。</w:t>
      </w:r>
    </w:p>
    <w:p w14:paraId="2AF329B9">
      <w:pPr>
        <w:spacing w:line="360" w:lineRule="auto"/>
        <w:ind w:firstLine="48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p>
    <w:p w14:paraId="6427D8CE">
      <w:pPr>
        <w:spacing w:line="360" w:lineRule="auto"/>
        <w:ind w:firstLine="480"/>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themeColor="text1"/>
          <w:sz w:val="21"/>
          <w:szCs w:val="21"/>
          <w:highlight w:val="none"/>
          <w:u w:val="single"/>
          <w14:textFill>
            <w14:solidFill>
              <w14:schemeClr w14:val="tx1"/>
            </w14:solidFill>
          </w14:textFill>
        </w:rPr>
        <w:t>其他未列明行业。</w:t>
      </w:r>
    </w:p>
    <w:p w14:paraId="5E7B76DF">
      <w:pPr>
        <w:spacing w:line="360" w:lineRule="auto"/>
        <w:ind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41.2促进残疾人就业和支持监狱企业发展有关政策：</w:t>
      </w:r>
    </w:p>
    <w:p w14:paraId="77F34207">
      <w:pPr>
        <w:pStyle w:val="251"/>
        <w:spacing w:after="4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41.2.1</w:t>
      </w:r>
      <w:r>
        <w:rPr>
          <w:rFonts w:hint="eastAsia" w:ascii="宋体" w:hAnsi="宋体" w:eastAsia="宋体" w:cs="宋体"/>
          <w:color w:val="000000" w:themeColor="text1"/>
          <w:sz w:val="21"/>
          <w:szCs w:val="21"/>
          <w:highlight w:val="none"/>
          <w14:textFill>
            <w14:solidFill>
              <w14:schemeClr w14:val="tx1"/>
            </w14:solidFill>
          </w14:textFill>
        </w:rPr>
        <w:t>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未提交则视为</w:t>
      </w:r>
      <w:r>
        <w:rPr>
          <w:rFonts w:hint="eastAsia" w:ascii="宋体" w:hAnsi="宋体" w:eastAsia="宋体" w:cs="宋体"/>
          <w:b/>
          <w:bCs/>
          <w:color w:val="000000" w:themeColor="text1"/>
          <w:sz w:val="21"/>
          <w:szCs w:val="21"/>
          <w:highlight w:val="none"/>
          <w14:textFill>
            <w14:solidFill>
              <w14:schemeClr w14:val="tx1"/>
            </w14:solidFill>
          </w14:textFill>
        </w:rPr>
        <w:t>非实质性</w:t>
      </w:r>
      <w:r>
        <w:rPr>
          <w:rFonts w:hint="eastAsia" w:ascii="宋体" w:hAnsi="宋体" w:eastAsia="宋体" w:cs="宋体"/>
          <w:color w:val="000000" w:themeColor="text1"/>
          <w:sz w:val="21"/>
          <w:szCs w:val="21"/>
          <w:highlight w:val="none"/>
          <w14:textFill>
            <w14:solidFill>
              <w14:schemeClr w14:val="tx1"/>
            </w14:solidFill>
          </w14:textFill>
        </w:rPr>
        <w:t>响应采购文件。</w:t>
      </w:r>
    </w:p>
    <w:p w14:paraId="30271BE4">
      <w:pPr>
        <w:pStyle w:val="251"/>
        <w:spacing w:after="4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41.2.2</w:t>
      </w:r>
      <w:r>
        <w:rPr>
          <w:rFonts w:hint="eastAsia" w:ascii="宋体" w:hAnsi="宋体" w:eastAsia="宋体" w:cs="宋体"/>
          <w:color w:val="000000" w:themeColor="text1"/>
          <w:sz w:val="21"/>
          <w:szCs w:val="21"/>
          <w:highlight w:val="none"/>
          <w14:textFill>
            <w14:solidFill>
              <w14:schemeClr w14:val="tx1"/>
            </w14:solidFill>
          </w14:textFill>
        </w:rPr>
        <w:t>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未提交则视为</w:t>
      </w:r>
      <w:r>
        <w:rPr>
          <w:rFonts w:hint="eastAsia" w:ascii="宋体" w:hAnsi="宋体" w:eastAsia="宋体" w:cs="宋体"/>
          <w:b/>
          <w:bCs/>
          <w:color w:val="000000" w:themeColor="text1"/>
          <w:sz w:val="21"/>
          <w:szCs w:val="21"/>
          <w:highlight w:val="none"/>
          <w14:textFill>
            <w14:solidFill>
              <w14:schemeClr w14:val="tx1"/>
            </w14:solidFill>
          </w14:textFill>
        </w:rPr>
        <w:t>非实质性</w:t>
      </w:r>
      <w:r>
        <w:rPr>
          <w:rFonts w:hint="eastAsia" w:ascii="宋体" w:hAnsi="宋体" w:eastAsia="宋体" w:cs="宋体"/>
          <w:color w:val="000000" w:themeColor="text1"/>
          <w:sz w:val="21"/>
          <w:szCs w:val="21"/>
          <w:highlight w:val="none"/>
          <w14:textFill>
            <w14:solidFill>
              <w14:schemeClr w14:val="tx1"/>
            </w14:solidFill>
          </w14:textFill>
        </w:rPr>
        <w:t>响应采购文件。</w:t>
      </w:r>
    </w:p>
    <w:p w14:paraId="61D7A4E5">
      <w:pPr>
        <w:pStyle w:val="251"/>
        <w:spacing w:after="53"/>
        <w:ind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41.3信用记录</w:t>
      </w:r>
    </w:p>
    <w:p w14:paraId="50DE655D">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p>
    <w:p w14:paraId="2B4B289D">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1、查询截止时点：投标文件递交截止时间。</w:t>
      </w:r>
    </w:p>
    <w:p w14:paraId="753E0C43">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2、查询渠道：</w:t>
      </w:r>
    </w:p>
    <w:p w14:paraId="1BDCC278">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将通过苏采云系统跳转查询实现,一是</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信用中国涉及政府采购数据无缝对接查询,在评标过程中,在线实时获取并生成各供应商的信用情况,对于失信供应商将展现‘其处罚行为信息,招标人(代理机构)、评审专家等即可根据获取信息进行评审；二是“交易管理平台”与中国政府采购网相对接,实现自动跳转至“中国政府采购失信行为信息记录”查询页面,招标人(代理机构)、评审专家等进一步审核各供应商的信用情况。</w:t>
      </w:r>
    </w:p>
    <w:p w14:paraId="41E97535">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3、查询证据留存方式：</w:t>
      </w:r>
    </w:p>
    <w:p w14:paraId="0F6867DA">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存在失信信息的供应商，评审小组应填写《苏州市级政府采购供应商失信信息确认函》，由失信供应商应签名确认。同时，招标代理机构工作人员应根据评审小组确认的失信信息，登陆到来源网站页面进行复核并打印，作为证据留存。</w:t>
      </w:r>
    </w:p>
    <w:p w14:paraId="74E9AE21">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4、信用记录使用规则：</w:t>
      </w:r>
    </w:p>
    <w:p w14:paraId="3D22687B">
      <w:pPr>
        <w:pStyle w:val="251"/>
        <w:spacing w:after="53"/>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评审小组在对供应商进行资格性审查时，应根据查询结果对供应商的不良信用记录逐项甄别确认。</w:t>
      </w:r>
    </w:p>
    <w:p w14:paraId="72B601DD">
      <w:pPr>
        <w:spacing w:line="360" w:lineRule="auto"/>
        <w:ind w:firstLine="48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41.4、招标文件的质疑、澄清</w:t>
      </w:r>
    </w:p>
    <w:p w14:paraId="0CDA3CBA">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41.4.1 根据《政府采购质疑和投诉办法》财政部第94号令，供应商认为招标文件、采购过程、中标结果使自己的权益受到损害的，可以在知道或者应知其权益受到损害之日起7个工作日内，以书面形式向招标人、招标代理机构提出质疑。</w:t>
      </w:r>
    </w:p>
    <w:p w14:paraId="6E4CCA05">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41.4.2本次招标文件要求供应商在法定质疑期内一次性提出针对同一采购程序环节的质疑。</w:t>
      </w:r>
    </w:p>
    <w:p w14:paraId="4BFC95AC">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41.4.3招标人、招标代理机构收到质疑供应商在法定质疑期内发出的质疑函，应当在收到质疑函后7个工作日内作出答复，并以书面形式通知质疑供应商和其他有关供应商。</w:t>
      </w:r>
    </w:p>
    <w:p w14:paraId="4C3DC7F4">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41.4.4供应商提出质疑应当提交质疑函、报名确认单和必要的证明材料。质疑函应当包括下列内容：</w:t>
      </w:r>
    </w:p>
    <w:p w14:paraId="0B15187B">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41.4.5供应商的姓名或者名称、地址、邮编、联系人及联系电话；</w:t>
      </w:r>
    </w:p>
    <w:p w14:paraId="27467DB2">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41.4.6质疑项目的名称、编号；</w:t>
      </w:r>
    </w:p>
    <w:p w14:paraId="66551300">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41.4.7具体、明确的质疑事项和与质疑事项相关的请求；</w:t>
      </w:r>
    </w:p>
    <w:p w14:paraId="14F24874">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41.4.8事实依据；</w:t>
      </w:r>
    </w:p>
    <w:p w14:paraId="0E510907">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41.4.9必要的法律依据；</w:t>
      </w:r>
    </w:p>
    <w:p w14:paraId="62FA7A11">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41.4.10提出质疑的日期。</w:t>
      </w:r>
    </w:p>
    <w:p w14:paraId="04A292DE">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79AECE81">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41.4.11质疑联系方式详见采购公告。</w:t>
      </w:r>
    </w:p>
    <w:p w14:paraId="610CE2E6">
      <w:pPr>
        <w:spacing w:line="360" w:lineRule="auto"/>
        <w:ind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42.未尽事宜</w:t>
      </w:r>
    </w:p>
    <w:p w14:paraId="489EC7BE">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42.1按《中华人民共和国政府采购法》及其他有关法律法规的规定执行。</w:t>
      </w:r>
    </w:p>
    <w:p w14:paraId="5ACC8805">
      <w:pPr>
        <w:pStyle w:val="36"/>
        <w:spacing w:line="360" w:lineRule="auto"/>
        <w:ind w:firstLine="48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43、</w:t>
      </w:r>
      <w:r>
        <w:rPr>
          <w:rFonts w:hint="eastAsia" w:ascii="宋体" w:hAnsi="宋体" w:eastAsia="宋体" w:cs="宋体"/>
          <w:color w:val="000000" w:themeColor="text1"/>
          <w:sz w:val="21"/>
          <w:szCs w:val="21"/>
          <w:highlight w:val="none"/>
          <w14:textFill>
            <w14:solidFill>
              <w14:schemeClr w14:val="tx1"/>
            </w14:solidFill>
          </w14:textFill>
        </w:rPr>
        <w:t>凡涉及招标文件的补充说明和修改，均以苏州市政府采购网发布内容为准。</w:t>
      </w:r>
    </w:p>
    <w:p w14:paraId="0FD49C82">
      <w:pPr>
        <w:rPr>
          <w:rFonts w:hint="eastAsia" w:ascii="宋体" w:hAnsi="宋体" w:eastAsia="宋体" w:cs="宋体"/>
          <w:color w:val="000000" w:themeColor="text1"/>
          <w:sz w:val="21"/>
          <w:szCs w:val="21"/>
          <w:highlight w:val="none"/>
          <w14:textFill>
            <w14:solidFill>
              <w14:schemeClr w14:val="tx1"/>
            </w14:solidFill>
          </w14:textFill>
        </w:rPr>
      </w:pPr>
    </w:p>
    <w:p w14:paraId="1453425D">
      <w:pPr>
        <w:pStyle w:val="3"/>
        <w:jc w:val="center"/>
        <w:rPr>
          <w:rFonts w:hint="eastAsia" w:ascii="宋体" w:hAnsi="宋体" w:eastAsia="宋体" w:cs="宋体"/>
          <w:color w:val="000000" w:themeColor="text1"/>
          <w:sz w:val="21"/>
          <w:szCs w:val="21"/>
          <w:highlight w:val="none"/>
          <w14:textFill>
            <w14:solidFill>
              <w14:schemeClr w14:val="tx1"/>
            </w14:solidFill>
          </w14:textFill>
        </w:rPr>
      </w:pPr>
      <w:bookmarkStart w:id="16" w:name="_Toc160701722"/>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14:textFill>
            <w14:solidFill>
              <w14:schemeClr w14:val="tx1"/>
            </w14:solidFill>
          </w14:textFill>
        </w:rPr>
        <w:t>第三章 投标文件格式</w:t>
      </w:r>
      <w:bookmarkEnd w:id="16"/>
    </w:p>
    <w:p w14:paraId="17D52FF8">
      <w:pPr>
        <w:pStyle w:val="13"/>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说明：</w:t>
      </w:r>
    </w:p>
    <w:p w14:paraId="15188FC1">
      <w:pPr>
        <w:pStyle w:val="13"/>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对本章所有的投标书格式 ，投标方可根据自身情况进行补充和修改，但补充和修改不得造成与本格式内容有实质性的违背。</w:t>
      </w:r>
    </w:p>
    <w:p w14:paraId="3594245C">
      <w:pPr>
        <w:rPr>
          <w:rFonts w:hint="eastAsia" w:ascii="宋体" w:hAnsi="宋体" w:eastAsia="宋体" w:cs="宋体"/>
          <w:b/>
          <w:bCs/>
          <w:color w:val="000000" w:themeColor="text1"/>
          <w:sz w:val="21"/>
          <w:szCs w:val="21"/>
          <w:highlight w:val="none"/>
          <w14:textFill>
            <w14:solidFill>
              <w14:schemeClr w14:val="tx1"/>
            </w14:solidFill>
          </w14:textFill>
        </w:rPr>
      </w:pPr>
    </w:p>
    <w:p w14:paraId="480F1A11">
      <w:pPr>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bookmarkStart w:id="17" w:name="_Toc142194266"/>
      <w:bookmarkStart w:id="18" w:name="_Toc388026586"/>
      <w:r>
        <w:rPr>
          <w:rFonts w:hint="eastAsia" w:ascii="宋体" w:hAnsi="宋体" w:eastAsia="宋体" w:cs="宋体"/>
          <w:b/>
          <w:color w:val="000000" w:themeColor="text1"/>
          <w:sz w:val="21"/>
          <w:szCs w:val="21"/>
          <w:highlight w:val="none"/>
          <w14:textFill>
            <w14:solidFill>
              <w14:schemeClr w14:val="tx1"/>
            </w14:solidFill>
          </w14:textFill>
        </w:rPr>
        <w:t>一、</w:t>
      </w:r>
      <w:bookmarkEnd w:id="17"/>
      <w:r>
        <w:rPr>
          <w:rFonts w:hint="eastAsia" w:ascii="宋体" w:hAnsi="宋体" w:eastAsia="宋体" w:cs="宋体"/>
          <w:b/>
          <w:color w:val="000000" w:themeColor="text1"/>
          <w:sz w:val="21"/>
          <w:szCs w:val="21"/>
          <w:highlight w:val="none"/>
          <w14:textFill>
            <w14:solidFill>
              <w14:schemeClr w14:val="tx1"/>
            </w14:solidFill>
          </w14:textFill>
        </w:rPr>
        <w:t>投标函</w:t>
      </w:r>
    </w:p>
    <w:p w14:paraId="6E680BF4">
      <w:pPr>
        <w:pStyle w:val="256"/>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lang w:eastAsia="zh-CN"/>
          <w14:textFill>
            <w14:solidFill>
              <w14:schemeClr w14:val="tx1"/>
            </w14:solidFill>
          </w14:textFill>
        </w:rPr>
        <w:t>诚信金泰建设管理（苏州）有限公司</w:t>
      </w:r>
      <w:r>
        <w:rPr>
          <w:rFonts w:hint="eastAsia" w:ascii="宋体" w:hAnsi="宋体" w:eastAsia="宋体" w:cs="宋体"/>
          <w:color w:val="000000" w:themeColor="text1"/>
          <w:sz w:val="21"/>
          <w:szCs w:val="21"/>
          <w:highlight w:val="none"/>
          <w14:textFill>
            <w14:solidFill>
              <w14:schemeClr w14:val="tx1"/>
            </w14:solidFill>
          </w14:textFill>
        </w:rPr>
        <w:t>：</w:t>
      </w:r>
    </w:p>
    <w:p w14:paraId="2671DB45">
      <w:pPr>
        <w:pStyle w:val="256"/>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（招标编号）    </w:t>
      </w:r>
      <w:r>
        <w:rPr>
          <w:rFonts w:hint="eastAsia" w:ascii="宋体" w:hAnsi="宋体" w:eastAsia="宋体" w:cs="宋体"/>
          <w:color w:val="000000" w:themeColor="text1"/>
          <w:sz w:val="21"/>
          <w:szCs w:val="21"/>
          <w:highlight w:val="none"/>
          <w14:textFill>
            <w14:solidFill>
              <w14:schemeClr w14:val="tx1"/>
            </w14:solidFill>
          </w14:textFill>
        </w:rPr>
        <w:t>号招标文件，经仔细阅读和研究，我们决定参加投标,并向贵公司承诺：</w:t>
      </w:r>
    </w:p>
    <w:p w14:paraId="10680F34">
      <w:pPr>
        <w:pStyle w:val="256"/>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我们愿意按照招标文件的一切要求，提供包括完成该项目所需的全部内容，我们的投标报价包括包含完成全部服务内容所需的人工费用、税费、利润、其它临时性杂项应急服务费用、劳保与培训、政策性文件规定及合同包含的所有风险、责任等服务过程中所需的全部费用。</w:t>
      </w:r>
    </w:p>
    <w:p w14:paraId="73F13C4C">
      <w:pPr>
        <w:pStyle w:val="256"/>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2、如果我们的投标书被接受，我们将严格履行招标文件中规定的每一项要求，严格履行合同的责任和义务，保证按期、按质履行合同。</w:t>
      </w:r>
    </w:p>
    <w:p w14:paraId="3EC68618">
      <w:pPr>
        <w:pStyle w:val="256"/>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3、我们同意按招标文件中的规定，本投标书的有效期限为开标后</w:t>
      </w:r>
      <w:r>
        <w:rPr>
          <w:rFonts w:hint="eastAsia" w:ascii="宋体" w:hAnsi="宋体" w:eastAsia="宋体" w:cs="宋体"/>
          <w:color w:val="000000" w:themeColor="text1"/>
          <w:sz w:val="21"/>
          <w:szCs w:val="21"/>
          <w:highlight w:val="none"/>
          <w:u w:val="single"/>
          <w14:textFill>
            <w14:solidFill>
              <w14:schemeClr w14:val="tx1"/>
            </w14:solidFill>
          </w14:textFill>
        </w:rPr>
        <w:t>90</w:t>
      </w:r>
      <w:r>
        <w:rPr>
          <w:rFonts w:hint="eastAsia" w:ascii="宋体" w:hAnsi="宋体" w:eastAsia="宋体" w:cs="宋体"/>
          <w:color w:val="000000" w:themeColor="text1"/>
          <w:sz w:val="21"/>
          <w:szCs w:val="21"/>
          <w:highlight w:val="none"/>
          <w14:textFill>
            <w14:solidFill>
              <w14:schemeClr w14:val="tx1"/>
            </w14:solidFill>
          </w14:textFill>
        </w:rPr>
        <w:t>日历天，如果我们在开标后规定的投标有效期内撤回投标，我们的投标保证金可被贵方没收。</w:t>
      </w:r>
    </w:p>
    <w:p w14:paraId="7CCCD743">
      <w:pPr>
        <w:pStyle w:val="284"/>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4、我们愿意提供招标方在招标文件中要求的所有资料。也同意向贵方提供贵方可能另外要求的与其投标有关的任何证据或资料。并保证所提供的资料全部是真实的、有效的，若有虚假，我们愿承担一切责任。</w:t>
      </w:r>
    </w:p>
    <w:p w14:paraId="2D362F68">
      <w:pPr>
        <w:pStyle w:val="284"/>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5、我们认为你们有权决定中标者，还认为你们有权接受或拒绝所有的投标者。</w:t>
      </w:r>
    </w:p>
    <w:p w14:paraId="2BA468D8">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6、我们愿意遵守招标公告及招标文件中所列的收费标准。</w:t>
      </w:r>
    </w:p>
    <w:p w14:paraId="6E6CB719">
      <w:pPr>
        <w:pStyle w:val="284"/>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7、我们承诺该项投标在开标后的全过程中保持有效，不作任何更改和变动。我们同意中标后若不履行投标文件的内容要求和各项承诺及义务的即被视为违约，其中标资格将被取消，并接受相应的处罚。</w:t>
      </w:r>
    </w:p>
    <w:p w14:paraId="07D62E3E">
      <w:pPr>
        <w:pStyle w:val="284"/>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8</w:t>
      </w:r>
      <w:r>
        <w:rPr>
          <w:rFonts w:ascii="宋体" w:hAnsi="宋体" w:eastAsia="宋体" w:cs="宋体"/>
          <w:color w:val="000000" w:themeColor="text1"/>
          <w:sz w:val="21"/>
          <w:szCs w:val="21"/>
          <w:highlight w:val="none"/>
          <w14:textFill>
            <w14:solidFill>
              <w14:schemeClr w14:val="tx1"/>
            </w14:solidFill>
          </w14:textFill>
        </w:rPr>
        <w:t>、与本投标有关的通讯地址：</w:t>
      </w:r>
    </w:p>
    <w:p w14:paraId="50938449">
      <w:pPr>
        <w:pStyle w:val="284"/>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单    位：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联 系 人：</w:t>
      </w:r>
      <w:r>
        <w:rPr>
          <w:rFonts w:ascii="宋体" w:hAnsi="宋体" w:eastAsia="宋体" w:cs="宋体"/>
          <w:color w:val="000000" w:themeColor="text1"/>
          <w:sz w:val="21"/>
          <w:szCs w:val="21"/>
          <w:highlight w:val="none"/>
          <w:u w:val="single"/>
          <w14:textFill>
            <w14:solidFill>
              <w14:schemeClr w14:val="tx1"/>
            </w14:solidFill>
          </w14:textFill>
        </w:rPr>
        <w:t xml:space="preserve">                   </w:t>
      </w:r>
    </w:p>
    <w:p w14:paraId="35A0BD32">
      <w:pPr>
        <w:pStyle w:val="284"/>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地    址：</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 邮政编码：</w:t>
      </w:r>
      <w:r>
        <w:rPr>
          <w:rFonts w:ascii="宋体" w:hAnsi="宋体" w:eastAsia="宋体" w:cs="宋体"/>
          <w:color w:val="000000" w:themeColor="text1"/>
          <w:sz w:val="21"/>
          <w:szCs w:val="21"/>
          <w:highlight w:val="none"/>
          <w:u w:val="single"/>
          <w14:textFill>
            <w14:solidFill>
              <w14:schemeClr w14:val="tx1"/>
            </w14:solidFill>
          </w14:textFill>
        </w:rPr>
        <w:t xml:space="preserve">                </w:t>
      </w:r>
    </w:p>
    <w:p w14:paraId="7CB96E7E">
      <w:pPr>
        <w:pStyle w:val="284"/>
        <w:spacing w:line="360" w:lineRule="auto"/>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联系电话：</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 传    真：</w:t>
      </w:r>
      <w:r>
        <w:rPr>
          <w:rFonts w:ascii="宋体" w:hAnsi="宋体" w:eastAsia="宋体" w:cs="宋体"/>
          <w:color w:val="000000" w:themeColor="text1"/>
          <w:sz w:val="21"/>
          <w:szCs w:val="21"/>
          <w:highlight w:val="none"/>
          <w:u w:val="single"/>
          <w14:textFill>
            <w14:solidFill>
              <w14:schemeClr w14:val="tx1"/>
            </w14:solidFill>
          </w14:textFill>
        </w:rPr>
        <w:t xml:space="preserve">                    </w:t>
      </w:r>
    </w:p>
    <w:p w14:paraId="01D6274A">
      <w:pPr>
        <w:pStyle w:val="284"/>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供应商：（单位盖章）</w:t>
      </w:r>
    </w:p>
    <w:p w14:paraId="264DB258">
      <w:pPr>
        <w:pStyle w:val="284"/>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单位法定代表人或授权委托人：（签字或盖章）</w:t>
      </w:r>
    </w:p>
    <w:p w14:paraId="4FCBA0EE">
      <w:pPr>
        <w:pStyle w:val="13"/>
        <w:spacing w:line="360" w:lineRule="auto"/>
        <w:ind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bookmarkStart w:id="19" w:name="_Toc142194267"/>
      <w:r>
        <w:rPr>
          <w:rFonts w:hint="eastAsia" w:ascii="宋体" w:hAnsi="宋体" w:eastAsia="宋体" w:cs="宋体"/>
          <w:b/>
          <w:bCs/>
          <w:color w:val="000000" w:themeColor="text1"/>
          <w:sz w:val="21"/>
          <w:szCs w:val="21"/>
          <w:highlight w:val="none"/>
          <w14:textFill>
            <w14:solidFill>
              <w14:schemeClr w14:val="tx1"/>
            </w14:solidFill>
          </w14:textFill>
        </w:rPr>
        <w:t>二、</w:t>
      </w:r>
      <w:bookmarkEnd w:id="19"/>
      <w:r>
        <w:rPr>
          <w:rFonts w:hint="eastAsia" w:ascii="宋体" w:hAnsi="宋体" w:eastAsia="宋体" w:cs="宋体"/>
          <w:b/>
          <w:color w:val="000000" w:themeColor="text1"/>
          <w:sz w:val="21"/>
          <w:szCs w:val="21"/>
          <w:highlight w:val="none"/>
          <w14:textFill>
            <w14:solidFill>
              <w14:schemeClr w14:val="tx1"/>
            </w14:solidFill>
          </w14:textFill>
        </w:rPr>
        <w:t>法定代表人授权委托书</w:t>
      </w:r>
    </w:p>
    <w:p w14:paraId="222B777F">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（姓名）系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（投标人名称）的法定代表人，现授权委托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单位名称）的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（姓名）为我公司授权委托人（即代理人），以本公司的名义参加</w:t>
      </w:r>
      <w:r>
        <w:rPr>
          <w:rFonts w:hint="eastAsia" w:ascii="宋体" w:hAnsi="宋体" w:eastAsia="宋体" w:cs="宋体"/>
          <w:color w:val="000000" w:themeColor="text1"/>
          <w:sz w:val="21"/>
          <w:szCs w:val="21"/>
          <w:highlight w:val="none"/>
          <w:lang w:eastAsia="zh-CN"/>
          <w14:textFill>
            <w14:solidFill>
              <w14:schemeClr w14:val="tx1"/>
            </w14:solidFill>
          </w14:textFill>
        </w:rPr>
        <w:t>诚信金泰建设管理（苏州）有限公司</w:t>
      </w:r>
      <w:r>
        <w:rPr>
          <w:rFonts w:hint="eastAsia" w:ascii="宋体" w:hAnsi="宋体" w:eastAsia="宋体" w:cs="宋体"/>
          <w:color w:val="000000" w:themeColor="text1"/>
          <w:sz w:val="21"/>
          <w:szCs w:val="21"/>
          <w:highlight w:val="none"/>
          <w14:textFill>
            <w14:solidFill>
              <w14:schemeClr w14:val="tx1"/>
            </w14:solidFill>
          </w14:textFill>
        </w:rPr>
        <w:t>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（项目编号）   </w:t>
      </w:r>
      <w:r>
        <w:rPr>
          <w:rFonts w:hint="eastAsia" w:ascii="宋体" w:hAnsi="宋体" w:eastAsia="宋体" w:cs="宋体"/>
          <w:color w:val="000000" w:themeColor="text1"/>
          <w:sz w:val="21"/>
          <w:szCs w:val="21"/>
          <w:highlight w:val="none"/>
          <w14:textFill>
            <w14:solidFill>
              <w14:schemeClr w14:val="tx1"/>
            </w14:solidFill>
          </w14:textFill>
        </w:rPr>
        <w:t xml:space="preserve">号的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  </w:t>
      </w:r>
      <w:r>
        <w:rPr>
          <w:rFonts w:hint="eastAsia" w:ascii="宋体" w:hAnsi="宋体" w:eastAsia="宋体" w:cs="宋体"/>
          <w:color w:val="000000" w:themeColor="text1"/>
          <w:sz w:val="21"/>
          <w:szCs w:val="21"/>
          <w:highlight w:val="none"/>
          <w14:textFill>
            <w14:solidFill>
              <w14:schemeClr w14:val="tx1"/>
            </w14:solidFill>
          </w14:textFill>
        </w:rPr>
        <w:t>招标活动。代理人在开标、评标、合同谈判过程中所签署的一切文件和处理与这有关的一切事务，我均予以承认。</w:t>
      </w:r>
    </w:p>
    <w:p w14:paraId="03BC6371">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代理人在授权委托书有效期内签署的所有文件不因授权委托的撤销而失效，除非有撤销授权委托的书面通知，本授权委托书自投标开始至合同履行完毕止。</w:t>
      </w:r>
    </w:p>
    <w:p w14:paraId="5937E0E0">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代理人无转委托权。特此委托。</w:t>
      </w:r>
    </w:p>
    <w:p w14:paraId="6428AC47">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p w14:paraId="11FDFA21">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供应商：（公章）</w:t>
      </w:r>
    </w:p>
    <w:p w14:paraId="51C793FD">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法定代表人：（签字或盖章）</w:t>
      </w:r>
    </w:p>
    <w:p w14:paraId="131D9ABC">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代理人：（签字） </w:t>
      </w:r>
    </w:p>
    <w:p w14:paraId="6E60A575">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5832F29B">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p w14:paraId="2D696CBA">
      <w:pPr>
        <w:pStyle w:val="13"/>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bookmarkStart w:id="20" w:name="_Toc142194268"/>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三、</w:t>
      </w:r>
      <w:bookmarkEnd w:id="20"/>
      <w:r>
        <w:rPr>
          <w:rFonts w:hint="eastAsia" w:ascii="宋体" w:hAnsi="宋体" w:eastAsia="宋体" w:cs="宋体"/>
          <w:b/>
          <w:bCs/>
          <w:color w:val="000000" w:themeColor="text1"/>
          <w:sz w:val="21"/>
          <w:szCs w:val="21"/>
          <w:highlight w:val="none"/>
          <w14:textFill>
            <w14:solidFill>
              <w14:schemeClr w14:val="tx1"/>
            </w14:solidFill>
          </w14:textFill>
        </w:rPr>
        <w:t>投标报价表</w:t>
      </w:r>
    </w:p>
    <w:p w14:paraId="384D8FA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招标编号：</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651"/>
        <w:gridCol w:w="2018"/>
        <w:gridCol w:w="2307"/>
        <w:gridCol w:w="1647"/>
      </w:tblGrid>
      <w:tr w14:paraId="37EFB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526" w:type="pct"/>
            <w:tcBorders>
              <w:top w:val="single" w:color="auto" w:sz="4" w:space="0"/>
              <w:left w:val="single" w:color="auto" w:sz="4" w:space="0"/>
              <w:bottom w:val="single" w:color="auto" w:sz="4" w:space="0"/>
              <w:right w:val="single" w:color="auto" w:sz="4" w:space="0"/>
            </w:tcBorders>
            <w:noWrap w:val="0"/>
            <w:vAlign w:val="center"/>
          </w:tcPr>
          <w:p w14:paraId="090ECA7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969" w:type="pct"/>
            <w:tcBorders>
              <w:top w:val="single" w:color="auto" w:sz="4" w:space="0"/>
              <w:left w:val="single" w:color="auto" w:sz="4" w:space="0"/>
              <w:bottom w:val="single" w:color="auto" w:sz="4" w:space="0"/>
              <w:right w:val="single" w:color="auto" w:sz="4" w:space="0"/>
            </w:tcBorders>
            <w:noWrap w:val="0"/>
            <w:vAlign w:val="center"/>
          </w:tcPr>
          <w:p w14:paraId="7AFB796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1184" w:type="pct"/>
            <w:tcBorders>
              <w:top w:val="single" w:color="auto" w:sz="4" w:space="0"/>
              <w:left w:val="single" w:color="auto" w:sz="4" w:space="0"/>
              <w:bottom w:val="single" w:color="auto" w:sz="4" w:space="0"/>
              <w:right w:val="single" w:color="auto" w:sz="4" w:space="0"/>
            </w:tcBorders>
            <w:noWrap w:val="0"/>
            <w:vAlign w:val="center"/>
          </w:tcPr>
          <w:p w14:paraId="153DA408">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投标报价</w:t>
            </w:r>
          </w:p>
        </w:tc>
        <w:tc>
          <w:tcPr>
            <w:tcW w:w="1354" w:type="pct"/>
            <w:tcBorders>
              <w:top w:val="single" w:color="auto" w:sz="4" w:space="0"/>
              <w:left w:val="single" w:color="auto" w:sz="4" w:space="0"/>
              <w:bottom w:val="single" w:color="auto" w:sz="4" w:space="0"/>
              <w:right w:val="single" w:color="auto" w:sz="4" w:space="0"/>
            </w:tcBorders>
            <w:noWrap w:val="0"/>
            <w:vAlign w:val="center"/>
          </w:tcPr>
          <w:p w14:paraId="761C893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服务期限</w:t>
            </w:r>
          </w:p>
        </w:tc>
        <w:tc>
          <w:tcPr>
            <w:tcW w:w="966" w:type="pct"/>
            <w:tcBorders>
              <w:top w:val="single" w:color="auto" w:sz="4" w:space="0"/>
              <w:left w:val="single" w:color="auto" w:sz="4" w:space="0"/>
              <w:bottom w:val="single" w:color="auto" w:sz="4" w:space="0"/>
              <w:right w:val="single" w:color="auto" w:sz="4" w:space="0"/>
            </w:tcBorders>
            <w:noWrap w:val="0"/>
            <w:vAlign w:val="center"/>
          </w:tcPr>
          <w:p w14:paraId="141CEA10">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备注</w:t>
            </w:r>
          </w:p>
        </w:tc>
      </w:tr>
      <w:tr w14:paraId="4D77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7" w:hRule="atLeast"/>
        </w:trPr>
        <w:tc>
          <w:tcPr>
            <w:tcW w:w="526" w:type="pct"/>
            <w:tcBorders>
              <w:top w:val="single" w:color="auto" w:sz="4" w:space="0"/>
              <w:left w:val="single" w:color="auto" w:sz="4" w:space="0"/>
              <w:bottom w:val="single" w:color="auto" w:sz="4" w:space="0"/>
              <w:right w:val="single" w:color="auto" w:sz="4" w:space="0"/>
            </w:tcBorders>
            <w:noWrap w:val="0"/>
            <w:vAlign w:val="center"/>
          </w:tcPr>
          <w:p w14:paraId="383CDDA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69" w:type="pct"/>
            <w:tcBorders>
              <w:top w:val="single" w:color="auto" w:sz="4" w:space="0"/>
              <w:left w:val="single" w:color="auto" w:sz="4" w:space="0"/>
              <w:bottom w:val="single" w:color="auto" w:sz="4" w:space="0"/>
              <w:right w:val="single" w:color="auto" w:sz="4" w:space="0"/>
            </w:tcBorders>
            <w:noWrap w:val="0"/>
            <w:vAlign w:val="center"/>
          </w:tcPr>
          <w:p w14:paraId="6E69DF7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184" w:type="pct"/>
            <w:tcBorders>
              <w:top w:val="single" w:color="auto" w:sz="4" w:space="0"/>
              <w:left w:val="single" w:color="auto" w:sz="4" w:space="0"/>
              <w:bottom w:val="single" w:color="auto" w:sz="4" w:space="0"/>
              <w:right w:val="single" w:color="auto" w:sz="4" w:space="0"/>
            </w:tcBorders>
            <w:noWrap w:val="0"/>
            <w:vAlign w:val="center"/>
          </w:tcPr>
          <w:p w14:paraId="6256EC1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354" w:type="pct"/>
            <w:tcBorders>
              <w:top w:val="single" w:color="auto" w:sz="4" w:space="0"/>
              <w:left w:val="single" w:color="auto" w:sz="4" w:space="0"/>
              <w:bottom w:val="single" w:color="auto" w:sz="4" w:space="0"/>
              <w:right w:val="single" w:color="auto" w:sz="4" w:space="0"/>
            </w:tcBorders>
            <w:noWrap w:val="0"/>
            <w:vAlign w:val="center"/>
          </w:tcPr>
          <w:p w14:paraId="7E45C2A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966" w:type="pct"/>
            <w:tcBorders>
              <w:top w:val="single" w:color="auto" w:sz="4" w:space="0"/>
              <w:left w:val="single" w:color="auto" w:sz="4" w:space="0"/>
              <w:bottom w:val="single" w:color="auto" w:sz="4" w:space="0"/>
              <w:right w:val="single" w:color="auto" w:sz="4" w:space="0"/>
            </w:tcBorders>
            <w:noWrap w:val="0"/>
            <w:vAlign w:val="center"/>
          </w:tcPr>
          <w:p w14:paraId="5F3000F5">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r w14:paraId="3031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26" w:type="pct"/>
            <w:tcBorders>
              <w:top w:val="single" w:color="auto" w:sz="4" w:space="0"/>
              <w:left w:val="single" w:color="auto" w:sz="4" w:space="0"/>
              <w:bottom w:val="single" w:color="auto" w:sz="4" w:space="0"/>
              <w:right w:val="single" w:color="auto" w:sz="4" w:space="0"/>
            </w:tcBorders>
            <w:noWrap w:val="0"/>
            <w:vAlign w:val="bottom"/>
          </w:tcPr>
          <w:p w14:paraId="6E92C5A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企业规模</w:t>
            </w:r>
          </w:p>
        </w:tc>
        <w:tc>
          <w:tcPr>
            <w:tcW w:w="3507" w:type="pct"/>
            <w:gridSpan w:val="3"/>
            <w:tcBorders>
              <w:top w:val="single" w:color="auto" w:sz="4" w:space="0"/>
              <w:left w:val="single" w:color="auto" w:sz="4" w:space="0"/>
              <w:bottom w:val="single" w:color="auto" w:sz="4" w:space="0"/>
              <w:right w:val="single" w:color="auto" w:sz="4" w:space="0"/>
            </w:tcBorders>
            <w:noWrap w:val="0"/>
            <w:vAlign w:val="bottom"/>
          </w:tcPr>
          <w:p w14:paraId="5525051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□中型      □小型      □微型     □残疾人企业    □监狱企业      </w:t>
            </w:r>
          </w:p>
        </w:tc>
        <w:tc>
          <w:tcPr>
            <w:tcW w:w="966" w:type="pct"/>
            <w:tcBorders>
              <w:top w:val="single" w:color="auto" w:sz="4" w:space="0"/>
              <w:left w:val="single" w:color="auto" w:sz="4" w:space="0"/>
              <w:bottom w:val="single" w:color="auto" w:sz="4" w:space="0"/>
              <w:right w:val="single" w:color="auto" w:sz="4" w:space="0"/>
            </w:tcBorders>
            <w:noWrap w:val="0"/>
            <w:vAlign w:val="bottom"/>
          </w:tcPr>
          <w:p w14:paraId="3ABE860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bl>
    <w:p w14:paraId="185774B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DE3AC0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供应商（盖公章）：</w:t>
      </w:r>
    </w:p>
    <w:p w14:paraId="01DF202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6B4DA9B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131ADF7F">
      <w:pPr>
        <w:spacing w:line="360" w:lineRule="auto"/>
        <w:jc w:val="left"/>
        <w:rPr>
          <w:rFonts w:hint="eastAsia" w:ascii="宋体" w:hAnsi="宋体" w:eastAsia="宋体" w:cs="宋体"/>
          <w:b/>
          <w:color w:val="000000" w:themeColor="text1"/>
          <w:sz w:val="21"/>
          <w:szCs w:val="21"/>
          <w:highlight w:val="none"/>
          <w:u w:val="single"/>
          <w14:textFill>
            <w14:solidFill>
              <w14:schemeClr w14:val="tx1"/>
            </w14:solidFill>
          </w14:textFill>
        </w:rPr>
      </w:pPr>
      <w:bookmarkStart w:id="21" w:name="_Toc142194270"/>
      <w:r>
        <w:rPr>
          <w:rFonts w:hint="eastAsia" w:ascii="宋体" w:hAnsi="宋体" w:eastAsia="宋体" w:cs="宋体"/>
          <w:b/>
          <w:color w:val="000000" w:themeColor="text1"/>
          <w:sz w:val="21"/>
          <w:szCs w:val="21"/>
          <w:highlight w:val="none"/>
          <w:u w:val="single"/>
          <w14:textFill>
            <w14:solidFill>
              <w14:schemeClr w14:val="tx1"/>
            </w14:solidFill>
          </w14:textFill>
        </w:rPr>
        <w:t>注：1、本表中的报价应包含完成全部服务内容所需的人工费用、税费、利润、其它临时性杂项应急服务费用、劳保与培训、政策性文件规定及合同包含的所有风险、责任等服务过程中所需的全部费用。</w:t>
      </w:r>
    </w:p>
    <w:p w14:paraId="16BC4430">
      <w:pPr>
        <w:spacing w:line="360" w:lineRule="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2、报价金额全部采取人民币表示，投标报价精确到分。</w:t>
      </w:r>
    </w:p>
    <w:p w14:paraId="0AB1BF15">
      <w:pPr>
        <w:pStyle w:val="13"/>
        <w:spacing w:line="360" w:lineRule="auto"/>
        <w:ind w:firstLine="0"/>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四、分项报价明细表</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如有</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4AC69730">
      <w:pPr>
        <w:jc w:val="center"/>
        <w:rPr>
          <w:rFonts w:hint="eastAsia" w:ascii="宋体" w:hAnsi="宋体" w:eastAsia="宋体" w:cs="宋体"/>
          <w:color w:val="000000" w:themeColor="text1"/>
          <w:sz w:val="21"/>
          <w:szCs w:val="21"/>
          <w:highlight w:val="none"/>
          <w:u w:val="single"/>
          <w14:textFill>
            <w14:solidFill>
              <w14:schemeClr w14:val="tx1"/>
            </w14:solidFill>
          </w14:textFill>
        </w:rPr>
      </w:pPr>
    </w:p>
    <w:tbl>
      <w:tblPr>
        <w:tblStyle w:val="52"/>
        <w:tblW w:w="44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
        <w:gridCol w:w="1555"/>
        <w:gridCol w:w="842"/>
        <w:gridCol w:w="1124"/>
        <w:gridCol w:w="1119"/>
        <w:gridCol w:w="1121"/>
        <w:gridCol w:w="1121"/>
      </w:tblGrid>
      <w:tr w14:paraId="30BA3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2" w:type="pct"/>
            <w:noWrap/>
            <w:vAlign w:val="center"/>
          </w:tcPr>
          <w:p w14:paraId="3E5B80BA">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1039" w:type="pct"/>
            <w:noWrap/>
            <w:vAlign w:val="center"/>
          </w:tcPr>
          <w:p w14:paraId="1DB05CD6">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服务内容</w:t>
            </w:r>
          </w:p>
        </w:tc>
        <w:tc>
          <w:tcPr>
            <w:tcW w:w="565" w:type="pct"/>
            <w:shd w:val="clear" w:color="auto" w:fill="auto"/>
            <w:noWrap/>
            <w:vAlign w:val="center"/>
          </w:tcPr>
          <w:p w14:paraId="08862B1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数量</w:t>
            </w:r>
          </w:p>
        </w:tc>
        <w:tc>
          <w:tcPr>
            <w:tcW w:w="752" w:type="pct"/>
            <w:shd w:val="clear" w:color="auto" w:fill="auto"/>
            <w:noWrap/>
            <w:vAlign w:val="center"/>
          </w:tcPr>
          <w:p w14:paraId="6D863973">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单位</w:t>
            </w:r>
          </w:p>
        </w:tc>
        <w:tc>
          <w:tcPr>
            <w:tcW w:w="749" w:type="pct"/>
            <w:shd w:val="clear" w:color="auto" w:fill="auto"/>
            <w:noWrap/>
            <w:vAlign w:val="center"/>
          </w:tcPr>
          <w:p w14:paraId="33F3432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单价</w:t>
            </w:r>
          </w:p>
        </w:tc>
        <w:tc>
          <w:tcPr>
            <w:tcW w:w="750" w:type="pct"/>
            <w:shd w:val="clear" w:color="auto" w:fill="auto"/>
            <w:noWrap/>
            <w:vAlign w:val="center"/>
          </w:tcPr>
          <w:p w14:paraId="48B70DD6">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小计</w:t>
            </w:r>
          </w:p>
        </w:tc>
        <w:tc>
          <w:tcPr>
            <w:tcW w:w="750" w:type="pct"/>
            <w:shd w:val="clear" w:color="auto" w:fill="auto"/>
            <w:noWrap/>
            <w:vAlign w:val="center"/>
          </w:tcPr>
          <w:p w14:paraId="44D878F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备注</w:t>
            </w:r>
          </w:p>
        </w:tc>
      </w:tr>
      <w:tr w14:paraId="1B15C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2" w:type="pct"/>
            <w:noWrap/>
            <w:vAlign w:val="center"/>
          </w:tcPr>
          <w:p w14:paraId="6AA0907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039" w:type="pct"/>
            <w:noWrap/>
            <w:vAlign w:val="center"/>
          </w:tcPr>
          <w:p w14:paraId="03FD3A96">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565" w:type="pct"/>
            <w:noWrap/>
            <w:vAlign w:val="center"/>
          </w:tcPr>
          <w:p w14:paraId="7C9C631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2" w:type="pct"/>
            <w:noWrap/>
            <w:vAlign w:val="center"/>
          </w:tcPr>
          <w:p w14:paraId="040D35D7">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49" w:type="pct"/>
            <w:noWrap/>
            <w:vAlign w:val="center"/>
          </w:tcPr>
          <w:p w14:paraId="70E8626A">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50" w:type="pct"/>
            <w:noWrap/>
            <w:vAlign w:val="center"/>
          </w:tcPr>
          <w:p w14:paraId="449C82A8">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50" w:type="pct"/>
            <w:noWrap/>
            <w:vAlign w:val="center"/>
          </w:tcPr>
          <w:p w14:paraId="0516B21A">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r>
      <w:tr w14:paraId="70EB0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2" w:type="pct"/>
            <w:noWrap/>
            <w:vAlign w:val="center"/>
          </w:tcPr>
          <w:p w14:paraId="3C1CD2D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ign w:val="center"/>
          </w:tcPr>
          <w:p w14:paraId="5CB16961">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565" w:type="pct"/>
            <w:noWrap/>
            <w:vAlign w:val="center"/>
          </w:tcPr>
          <w:p w14:paraId="73228522">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52" w:type="pct"/>
            <w:noWrap/>
            <w:vAlign w:val="center"/>
          </w:tcPr>
          <w:p w14:paraId="63A5C7A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49" w:type="pct"/>
            <w:noWrap/>
            <w:vAlign w:val="center"/>
          </w:tcPr>
          <w:p w14:paraId="018B052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638BA2D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42BDEBF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4E81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2" w:type="pct"/>
            <w:noWrap/>
            <w:vAlign w:val="center"/>
          </w:tcPr>
          <w:p w14:paraId="0BE1307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ign w:val="center"/>
          </w:tcPr>
          <w:p w14:paraId="71A6C35D">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565" w:type="pct"/>
            <w:noWrap/>
            <w:vAlign w:val="center"/>
          </w:tcPr>
          <w:p w14:paraId="312C4BD7">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52" w:type="pct"/>
            <w:noWrap/>
            <w:vAlign w:val="center"/>
          </w:tcPr>
          <w:p w14:paraId="0332D46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49" w:type="pct"/>
            <w:noWrap/>
            <w:vAlign w:val="center"/>
          </w:tcPr>
          <w:p w14:paraId="49C95BA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66D00DA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6D22AA9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0647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92" w:type="pct"/>
            <w:noWrap/>
            <w:vAlign w:val="center"/>
          </w:tcPr>
          <w:p w14:paraId="463BD9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1039" w:type="pct"/>
            <w:noWrap/>
            <w:vAlign w:val="center"/>
          </w:tcPr>
          <w:p w14:paraId="0E91790B">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565" w:type="pct"/>
            <w:noWrap/>
            <w:vAlign w:val="center"/>
          </w:tcPr>
          <w:p w14:paraId="47E1C93E">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p>
        </w:tc>
        <w:tc>
          <w:tcPr>
            <w:tcW w:w="752" w:type="pct"/>
            <w:noWrap/>
            <w:vAlign w:val="center"/>
          </w:tcPr>
          <w:p w14:paraId="1D5E5F2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49" w:type="pct"/>
            <w:noWrap/>
            <w:vAlign w:val="center"/>
          </w:tcPr>
          <w:p w14:paraId="260C007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156A719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0" w:type="pct"/>
            <w:noWrap/>
            <w:vAlign w:val="center"/>
          </w:tcPr>
          <w:p w14:paraId="5B24A2C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4D2E9CD0">
      <w:pPr>
        <w:ind w:right="-200"/>
        <w:jc w:val="right"/>
        <w:rPr>
          <w:rFonts w:hint="eastAsia" w:ascii="宋体" w:hAnsi="宋体" w:eastAsia="宋体" w:cs="宋体"/>
          <w:color w:val="000000" w:themeColor="text1"/>
          <w:sz w:val="21"/>
          <w:szCs w:val="21"/>
          <w:highlight w:val="none"/>
          <w14:textFill>
            <w14:solidFill>
              <w14:schemeClr w14:val="tx1"/>
            </w14:solidFill>
          </w14:textFill>
        </w:rPr>
      </w:pPr>
    </w:p>
    <w:p w14:paraId="369895D8">
      <w:pPr>
        <w:spacing w:line="360" w:lineRule="auto"/>
        <w:ind w:right="-20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供应商名称：（公章）</w:t>
      </w:r>
    </w:p>
    <w:p w14:paraId="4EB3F3DB">
      <w:pPr>
        <w:spacing w:line="360" w:lineRule="auto"/>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w:t>
      </w:r>
      <w:r>
        <w:rPr>
          <w:rFonts w:hint="eastAsia" w:ascii="宋体" w:hAnsi="宋体" w:eastAsia="宋体" w:cs="宋体"/>
          <w:color w:val="000000" w:themeColor="text1"/>
          <w:sz w:val="21"/>
          <w:szCs w:val="21"/>
          <w:highlight w:val="none"/>
          <w14:textFill>
            <w14:solidFill>
              <w14:schemeClr w14:val="tx1"/>
            </w14:solidFill>
          </w14:textFill>
        </w:rPr>
        <w:t>被授权</w:t>
      </w:r>
      <w:r>
        <w:rPr>
          <w:rFonts w:hint="eastAsia" w:ascii="宋体" w:hAnsi="宋体" w:eastAsia="宋体" w:cs="宋体"/>
          <w:color w:val="000000" w:themeColor="text1"/>
          <w:sz w:val="21"/>
          <w:szCs w:val="21"/>
          <w:highlight w:val="none"/>
          <w:lang w:val="zh-CN"/>
          <w14:textFill>
            <w14:solidFill>
              <w14:schemeClr w14:val="tx1"/>
            </w14:solidFill>
          </w14:textFill>
        </w:rPr>
        <w:t>人：（签字或盖章）</w:t>
      </w:r>
    </w:p>
    <w:p w14:paraId="6CF2E430">
      <w:pPr>
        <w:spacing w:line="400" w:lineRule="exact"/>
        <w:ind w:right="615"/>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    期：     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日</w:t>
      </w:r>
    </w:p>
    <w:p w14:paraId="191B92C6">
      <w:pPr>
        <w:pStyle w:val="24"/>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p>
    <w:p w14:paraId="5571F861">
      <w:pPr>
        <w:pStyle w:val="13"/>
        <w:tabs>
          <w:tab w:val="left" w:pos="756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需</w:t>
      </w:r>
      <w:r>
        <w:rPr>
          <w:rFonts w:hint="eastAsia" w:ascii="宋体" w:hAnsi="宋体" w:eastAsia="宋体" w:cs="宋体"/>
          <w:color w:val="000000" w:themeColor="text1"/>
          <w:sz w:val="21"/>
          <w:szCs w:val="21"/>
          <w:highlight w:val="none"/>
          <w14:textFill>
            <w14:solidFill>
              <w14:schemeClr w14:val="tx1"/>
            </w14:solidFill>
          </w14:textFill>
        </w:rPr>
        <w:t>按“</w:t>
      </w:r>
      <w:r>
        <w:rPr>
          <w:rFonts w:hint="eastAsia" w:ascii="宋体" w:hAnsi="宋体" w:eastAsia="宋体" w:cs="宋体"/>
          <w:bCs/>
          <w:color w:val="000000" w:themeColor="text1"/>
          <w:sz w:val="21"/>
          <w:szCs w:val="21"/>
          <w:highlight w:val="none"/>
          <w14:textFill>
            <w14:solidFill>
              <w14:schemeClr w14:val="tx1"/>
            </w14:solidFill>
          </w14:textFill>
        </w:rPr>
        <w:t>分项报价明细表”的格式</w:t>
      </w:r>
      <w:r>
        <w:rPr>
          <w:rFonts w:hint="eastAsia" w:ascii="宋体" w:hAnsi="宋体" w:eastAsia="宋体" w:cs="宋体"/>
          <w:color w:val="000000" w:themeColor="text1"/>
          <w:sz w:val="21"/>
          <w:szCs w:val="21"/>
          <w:highlight w:val="none"/>
          <w14:textFill>
            <w14:solidFill>
              <w14:schemeClr w14:val="tx1"/>
            </w14:solidFill>
          </w14:textFill>
        </w:rPr>
        <w:t>详细报出投标单价</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2CA89F6">
      <w:pPr>
        <w:pStyle w:val="24"/>
        <w:numPr>
          <w:ilvl w:val="0"/>
          <w:numId w:val="0"/>
        </w:num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如果开标一览表（报价表）内容与本表内容计算比例不一致，以开标一览表（报价表）内容为准。</w:t>
      </w:r>
    </w:p>
    <w:p w14:paraId="1A7DD534">
      <w:pPr>
        <w:widowControl/>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投标人须遵循政府采购公平竞争、诚实信用原则，遵守《中华人民共和国价格法》《中华人民共和国反不正当竞争法》《禁止价格欺诈行为的规定》等相关法律法规，不得恶意低价，扰乱市场秩序。招标人、评审专家有权核实相关价格，一旦发现存在采用不诚实报价等虚假方式谋职入围的，按“政府采购法”相关规定处理。  </w:t>
      </w:r>
    </w:p>
    <w:p w14:paraId="2842A088">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p>
    <w:p w14:paraId="3CD88AA3">
      <w:pPr>
        <w:pStyle w:val="256"/>
        <w:spacing w:line="360" w:lineRule="auto"/>
        <w:ind w:firstLine="602"/>
        <w:jc w:val="center"/>
        <w:rPr>
          <w:rFonts w:hint="eastAsia" w:ascii="宋体" w:hAnsi="宋体" w:eastAsia="宋体" w:cs="宋体"/>
          <w:b/>
          <w:color w:val="000000" w:themeColor="text1"/>
          <w:spacing w:val="20"/>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五、服务要求及</w:t>
      </w:r>
      <w:r>
        <w:rPr>
          <w:rFonts w:hint="eastAsia" w:ascii="宋体" w:hAnsi="宋体" w:eastAsia="宋体" w:cs="宋体"/>
          <w:b/>
          <w:bCs/>
          <w:color w:val="000000" w:themeColor="text1"/>
          <w:sz w:val="21"/>
          <w:szCs w:val="21"/>
          <w:highlight w:val="none"/>
          <w14:textFill>
            <w14:solidFill>
              <w14:schemeClr w14:val="tx1"/>
            </w14:solidFill>
          </w14:textFill>
        </w:rPr>
        <w:t>商务条款偏离表</w:t>
      </w:r>
    </w:p>
    <w:p w14:paraId="5DDCD26A">
      <w:pPr>
        <w:keepNext/>
        <w:keepLines/>
        <w:jc w:val="center"/>
        <w:outlineLvl w:val="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服务要求偏离表</w:t>
      </w:r>
    </w:p>
    <w:p w14:paraId="7CB53AE3">
      <w:pPr>
        <w:pStyle w:val="13"/>
        <w:tabs>
          <w:tab w:val="left" w:pos="7560"/>
        </w:tabs>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招标编号∶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817"/>
        <w:gridCol w:w="2207"/>
        <w:gridCol w:w="2137"/>
        <w:gridCol w:w="1565"/>
      </w:tblGrid>
      <w:tr w14:paraId="2C3CC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727FFEC1">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066" w:type="pct"/>
            <w:noWrap w:val="0"/>
            <w:vAlign w:val="center"/>
          </w:tcPr>
          <w:p w14:paraId="1762E336">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      目</w:t>
            </w:r>
          </w:p>
        </w:tc>
        <w:tc>
          <w:tcPr>
            <w:tcW w:w="1295" w:type="pct"/>
            <w:noWrap w:val="0"/>
            <w:vAlign w:val="center"/>
          </w:tcPr>
          <w:p w14:paraId="70C63A49">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服务要求</w:t>
            </w:r>
          </w:p>
        </w:tc>
        <w:tc>
          <w:tcPr>
            <w:tcW w:w="1254" w:type="pct"/>
            <w:noWrap w:val="0"/>
            <w:vAlign w:val="center"/>
          </w:tcPr>
          <w:p w14:paraId="1EAD1FF3">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投标响应</w:t>
            </w:r>
          </w:p>
        </w:tc>
        <w:tc>
          <w:tcPr>
            <w:tcW w:w="918" w:type="pct"/>
            <w:noWrap w:val="0"/>
            <w:vAlign w:val="center"/>
          </w:tcPr>
          <w:p w14:paraId="32FD1AF0">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偏离说明</w:t>
            </w:r>
          </w:p>
        </w:tc>
      </w:tr>
      <w:tr w14:paraId="6ABE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319600E3">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066" w:type="pct"/>
            <w:noWrap w:val="0"/>
          </w:tcPr>
          <w:p w14:paraId="392250AE">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95" w:type="pct"/>
            <w:noWrap w:val="0"/>
          </w:tcPr>
          <w:p w14:paraId="13D91E48">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54" w:type="pct"/>
            <w:noWrap w:val="0"/>
          </w:tcPr>
          <w:p w14:paraId="084B7F6D">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tcPr>
          <w:p w14:paraId="1E316731">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r>
      <w:tr w14:paraId="0C3AA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2911B11B">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066" w:type="pct"/>
            <w:noWrap w:val="0"/>
          </w:tcPr>
          <w:p w14:paraId="3B017BA6">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95" w:type="pct"/>
            <w:noWrap w:val="0"/>
          </w:tcPr>
          <w:p w14:paraId="16E3AE8F">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54" w:type="pct"/>
            <w:noWrap w:val="0"/>
          </w:tcPr>
          <w:p w14:paraId="545DB971">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tcPr>
          <w:p w14:paraId="3CC6B9EB">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r>
      <w:tr w14:paraId="0ACD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356D0967">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066" w:type="pct"/>
            <w:noWrap w:val="0"/>
          </w:tcPr>
          <w:p w14:paraId="1C025C29">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95" w:type="pct"/>
            <w:noWrap w:val="0"/>
          </w:tcPr>
          <w:p w14:paraId="3EFCB871">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54" w:type="pct"/>
            <w:noWrap w:val="0"/>
          </w:tcPr>
          <w:p w14:paraId="04C1233C">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tcPr>
          <w:p w14:paraId="3D3434E8">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r>
      <w:tr w14:paraId="4D9F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353DD15C">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066" w:type="pct"/>
            <w:noWrap w:val="0"/>
          </w:tcPr>
          <w:p w14:paraId="1CE76B76">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95" w:type="pct"/>
            <w:noWrap w:val="0"/>
          </w:tcPr>
          <w:p w14:paraId="76957E1F">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54" w:type="pct"/>
            <w:noWrap w:val="0"/>
          </w:tcPr>
          <w:p w14:paraId="607A7BFD">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tcPr>
          <w:p w14:paraId="70328C24">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r>
      <w:tr w14:paraId="7F3E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noWrap w:val="0"/>
            <w:vAlign w:val="center"/>
          </w:tcPr>
          <w:p w14:paraId="1499A81E">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066" w:type="pct"/>
            <w:noWrap w:val="0"/>
          </w:tcPr>
          <w:p w14:paraId="3AE1116F">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95" w:type="pct"/>
            <w:noWrap w:val="0"/>
          </w:tcPr>
          <w:p w14:paraId="43DE4622">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1254" w:type="pct"/>
            <w:noWrap w:val="0"/>
          </w:tcPr>
          <w:p w14:paraId="66254FCB">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tcPr>
          <w:p w14:paraId="210A30C8">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p>
        </w:tc>
      </w:tr>
    </w:tbl>
    <w:p w14:paraId="3049263C">
      <w:pPr>
        <w:spacing w:line="3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1.投标人提交的投标文件应在本表中将投标文件实际响应的服务与招标文件的服务部分进行逐项对应列出对比，并在“偏离说明”项下填写以下内容：优于的，填写“正偏离”；符合的，填写“无偏离”；低于的，填写“负偏离”。</w:t>
      </w:r>
    </w:p>
    <w:p w14:paraId="04516979">
      <w:pPr>
        <w:spacing w:line="3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2.若事项较多，投标人可根据投标内容的实际情况另纸说明。</w:t>
      </w:r>
    </w:p>
    <w:p w14:paraId="1C6CE5C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1922256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43A6805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5E63D764">
      <w:pPr>
        <w:keepNext/>
        <w:keepLines/>
        <w:jc w:val="center"/>
        <w:outlineLvl w:val="1"/>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商务条款偏离表</w:t>
      </w:r>
    </w:p>
    <w:p w14:paraId="166E26AF">
      <w:pPr>
        <w:pStyle w:val="13"/>
        <w:tabs>
          <w:tab w:val="left" w:pos="7560"/>
        </w:tabs>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招标编号∶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52"/>
        <w:tblW w:w="49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48"/>
        <w:gridCol w:w="2755"/>
        <w:gridCol w:w="1827"/>
        <w:gridCol w:w="1718"/>
        <w:gridCol w:w="1469"/>
      </w:tblGrid>
      <w:tr w14:paraId="4B32AB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439" w:type="pct"/>
            <w:tcBorders>
              <w:top w:val="single" w:color="auto" w:sz="8" w:space="0"/>
              <w:left w:val="single" w:color="auto" w:sz="8" w:space="0"/>
              <w:bottom w:val="single" w:color="auto" w:sz="8" w:space="0"/>
              <w:right w:val="single" w:color="auto" w:sz="8" w:space="0"/>
            </w:tcBorders>
            <w:noWrap w:val="0"/>
            <w:vAlign w:val="center"/>
          </w:tcPr>
          <w:p w14:paraId="586D189D">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1617" w:type="pct"/>
            <w:tcBorders>
              <w:top w:val="single" w:color="auto" w:sz="8" w:space="0"/>
              <w:left w:val="single" w:color="auto" w:sz="8" w:space="0"/>
              <w:bottom w:val="single" w:color="auto" w:sz="8" w:space="0"/>
              <w:right w:val="single" w:color="auto" w:sz="8" w:space="0"/>
            </w:tcBorders>
            <w:noWrap w:val="0"/>
            <w:vAlign w:val="center"/>
          </w:tcPr>
          <w:p w14:paraId="0E5E1F50">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招标文件要求</w:t>
            </w:r>
          </w:p>
        </w:tc>
        <w:tc>
          <w:tcPr>
            <w:tcW w:w="1072" w:type="pct"/>
            <w:tcBorders>
              <w:top w:val="single" w:color="auto" w:sz="8" w:space="0"/>
              <w:left w:val="single" w:color="auto" w:sz="8" w:space="0"/>
              <w:bottom w:val="single" w:color="auto" w:sz="8" w:space="0"/>
              <w:right w:val="single" w:color="auto" w:sz="8" w:space="0"/>
            </w:tcBorders>
            <w:noWrap w:val="0"/>
            <w:vAlign w:val="center"/>
          </w:tcPr>
          <w:p w14:paraId="5E634BB3">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投标响应</w:t>
            </w:r>
          </w:p>
        </w:tc>
        <w:tc>
          <w:tcPr>
            <w:tcW w:w="1008" w:type="pct"/>
            <w:tcBorders>
              <w:top w:val="single" w:color="auto" w:sz="8" w:space="0"/>
              <w:left w:val="single" w:color="auto" w:sz="8" w:space="0"/>
              <w:bottom w:val="single" w:color="auto" w:sz="8" w:space="0"/>
              <w:right w:val="single" w:color="auto" w:sz="8" w:space="0"/>
            </w:tcBorders>
            <w:noWrap w:val="0"/>
            <w:vAlign w:val="center"/>
          </w:tcPr>
          <w:p w14:paraId="34C46D84">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偏离说明</w:t>
            </w:r>
          </w:p>
        </w:tc>
        <w:tc>
          <w:tcPr>
            <w:tcW w:w="862" w:type="pct"/>
            <w:tcBorders>
              <w:top w:val="single" w:color="auto" w:sz="8" w:space="0"/>
              <w:left w:val="single" w:color="auto" w:sz="8" w:space="0"/>
              <w:bottom w:val="single" w:color="auto" w:sz="8" w:space="0"/>
              <w:right w:val="single" w:color="auto" w:sz="8" w:space="0"/>
            </w:tcBorders>
            <w:noWrap w:val="0"/>
            <w:vAlign w:val="center"/>
          </w:tcPr>
          <w:p w14:paraId="521C81B2">
            <w:pPr>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tc>
      </w:tr>
      <w:tr w14:paraId="120687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439" w:type="pct"/>
            <w:tcBorders>
              <w:top w:val="single" w:color="auto" w:sz="8" w:space="0"/>
              <w:left w:val="single" w:color="auto" w:sz="8" w:space="0"/>
              <w:bottom w:val="single" w:color="auto" w:sz="8" w:space="0"/>
              <w:right w:val="single" w:color="auto" w:sz="8" w:space="0"/>
            </w:tcBorders>
            <w:noWrap w:val="0"/>
          </w:tcPr>
          <w:p w14:paraId="7EC22016">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p>
        </w:tc>
        <w:tc>
          <w:tcPr>
            <w:tcW w:w="1617" w:type="pct"/>
            <w:tcBorders>
              <w:top w:val="single" w:color="auto" w:sz="8" w:space="0"/>
              <w:left w:val="single" w:color="auto" w:sz="8" w:space="0"/>
              <w:bottom w:val="single" w:color="auto" w:sz="8" w:space="0"/>
              <w:right w:val="single" w:color="auto" w:sz="8" w:space="0"/>
            </w:tcBorders>
            <w:noWrap w:val="0"/>
          </w:tcPr>
          <w:p w14:paraId="6A5CD7F6">
            <w:pP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服务期限</w:t>
            </w:r>
          </w:p>
        </w:tc>
        <w:tc>
          <w:tcPr>
            <w:tcW w:w="1072" w:type="pct"/>
            <w:tcBorders>
              <w:top w:val="single" w:color="auto" w:sz="8" w:space="0"/>
              <w:left w:val="single" w:color="auto" w:sz="8" w:space="0"/>
              <w:bottom w:val="single" w:color="auto" w:sz="8" w:space="0"/>
              <w:right w:val="single" w:color="auto" w:sz="8" w:space="0"/>
            </w:tcBorders>
            <w:noWrap w:val="0"/>
          </w:tcPr>
          <w:p w14:paraId="4D0B2B95">
            <w:pPr>
              <w:rPr>
                <w:rFonts w:hint="eastAsia" w:ascii="宋体" w:hAnsi="宋体" w:eastAsia="宋体" w:cs="宋体"/>
                <w:color w:val="000000" w:themeColor="text1"/>
                <w:sz w:val="21"/>
                <w:szCs w:val="21"/>
                <w:highlight w:val="none"/>
                <w14:textFill>
                  <w14:solidFill>
                    <w14:schemeClr w14:val="tx1"/>
                  </w14:solidFill>
                </w14:textFill>
              </w:rPr>
            </w:pPr>
          </w:p>
        </w:tc>
        <w:tc>
          <w:tcPr>
            <w:tcW w:w="1008" w:type="pct"/>
            <w:tcBorders>
              <w:top w:val="single" w:color="auto" w:sz="8" w:space="0"/>
              <w:left w:val="single" w:color="auto" w:sz="8" w:space="0"/>
              <w:bottom w:val="single" w:color="auto" w:sz="8" w:space="0"/>
              <w:right w:val="single" w:color="auto" w:sz="8" w:space="0"/>
            </w:tcBorders>
            <w:noWrap w:val="0"/>
          </w:tcPr>
          <w:p w14:paraId="6E31E95E">
            <w:pPr>
              <w:rPr>
                <w:rFonts w:hint="eastAsia" w:ascii="宋体" w:hAnsi="宋体" w:eastAsia="宋体" w:cs="宋体"/>
                <w:color w:val="000000" w:themeColor="text1"/>
                <w:sz w:val="21"/>
                <w:szCs w:val="21"/>
                <w:highlight w:val="none"/>
                <w14:textFill>
                  <w14:solidFill>
                    <w14:schemeClr w14:val="tx1"/>
                  </w14:solidFill>
                </w14:textFill>
              </w:rPr>
            </w:pPr>
          </w:p>
        </w:tc>
        <w:tc>
          <w:tcPr>
            <w:tcW w:w="862" w:type="pct"/>
            <w:tcBorders>
              <w:top w:val="single" w:color="auto" w:sz="8" w:space="0"/>
              <w:left w:val="single" w:color="auto" w:sz="8" w:space="0"/>
              <w:bottom w:val="single" w:color="auto" w:sz="8" w:space="0"/>
              <w:right w:val="single" w:color="auto" w:sz="8" w:space="0"/>
            </w:tcBorders>
            <w:noWrap w:val="0"/>
          </w:tcPr>
          <w:p w14:paraId="2B7020B1">
            <w:pPr>
              <w:rPr>
                <w:rFonts w:hint="eastAsia" w:ascii="宋体" w:hAnsi="宋体" w:eastAsia="宋体" w:cs="宋体"/>
                <w:color w:val="000000" w:themeColor="text1"/>
                <w:sz w:val="21"/>
                <w:szCs w:val="21"/>
                <w:highlight w:val="none"/>
                <w14:textFill>
                  <w14:solidFill>
                    <w14:schemeClr w14:val="tx1"/>
                  </w14:solidFill>
                </w14:textFill>
              </w:rPr>
            </w:pPr>
          </w:p>
        </w:tc>
      </w:tr>
      <w:tr w14:paraId="39CFE7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439" w:type="pct"/>
            <w:tcBorders>
              <w:top w:val="single" w:color="auto" w:sz="8" w:space="0"/>
              <w:left w:val="single" w:color="auto" w:sz="8" w:space="0"/>
              <w:bottom w:val="single" w:color="auto" w:sz="8" w:space="0"/>
              <w:right w:val="single" w:color="auto" w:sz="8" w:space="0"/>
            </w:tcBorders>
            <w:noWrap w:val="0"/>
          </w:tcPr>
          <w:p w14:paraId="70234D94">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p>
        </w:tc>
        <w:tc>
          <w:tcPr>
            <w:tcW w:w="1617" w:type="pct"/>
            <w:tcBorders>
              <w:top w:val="single" w:color="auto" w:sz="8" w:space="0"/>
              <w:left w:val="single" w:color="auto" w:sz="8" w:space="0"/>
              <w:bottom w:val="single" w:color="auto" w:sz="8" w:space="0"/>
              <w:right w:val="single" w:color="auto" w:sz="8" w:space="0"/>
            </w:tcBorders>
            <w:noWrap w:val="0"/>
          </w:tcPr>
          <w:p w14:paraId="3879D8B7">
            <w:pP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服务地点</w:t>
            </w:r>
          </w:p>
        </w:tc>
        <w:tc>
          <w:tcPr>
            <w:tcW w:w="1072" w:type="pct"/>
            <w:tcBorders>
              <w:top w:val="single" w:color="auto" w:sz="8" w:space="0"/>
              <w:left w:val="single" w:color="auto" w:sz="8" w:space="0"/>
              <w:bottom w:val="single" w:color="auto" w:sz="8" w:space="0"/>
              <w:right w:val="single" w:color="auto" w:sz="8" w:space="0"/>
            </w:tcBorders>
            <w:noWrap w:val="0"/>
          </w:tcPr>
          <w:p w14:paraId="781DE16A">
            <w:pPr>
              <w:rPr>
                <w:rFonts w:hint="eastAsia" w:ascii="宋体" w:hAnsi="宋体" w:eastAsia="宋体" w:cs="宋体"/>
                <w:color w:val="000000" w:themeColor="text1"/>
                <w:sz w:val="21"/>
                <w:szCs w:val="21"/>
                <w:highlight w:val="none"/>
                <w14:textFill>
                  <w14:solidFill>
                    <w14:schemeClr w14:val="tx1"/>
                  </w14:solidFill>
                </w14:textFill>
              </w:rPr>
            </w:pPr>
          </w:p>
        </w:tc>
        <w:tc>
          <w:tcPr>
            <w:tcW w:w="1008" w:type="pct"/>
            <w:tcBorders>
              <w:top w:val="single" w:color="auto" w:sz="8" w:space="0"/>
              <w:left w:val="single" w:color="auto" w:sz="8" w:space="0"/>
              <w:bottom w:val="single" w:color="auto" w:sz="8" w:space="0"/>
              <w:right w:val="single" w:color="auto" w:sz="8" w:space="0"/>
            </w:tcBorders>
            <w:noWrap w:val="0"/>
          </w:tcPr>
          <w:p w14:paraId="54E0BBE4">
            <w:pPr>
              <w:rPr>
                <w:rFonts w:hint="eastAsia" w:ascii="宋体" w:hAnsi="宋体" w:eastAsia="宋体" w:cs="宋体"/>
                <w:color w:val="000000" w:themeColor="text1"/>
                <w:sz w:val="21"/>
                <w:szCs w:val="21"/>
                <w:highlight w:val="none"/>
                <w14:textFill>
                  <w14:solidFill>
                    <w14:schemeClr w14:val="tx1"/>
                  </w14:solidFill>
                </w14:textFill>
              </w:rPr>
            </w:pPr>
          </w:p>
        </w:tc>
        <w:tc>
          <w:tcPr>
            <w:tcW w:w="862" w:type="pct"/>
            <w:tcBorders>
              <w:top w:val="single" w:color="auto" w:sz="8" w:space="0"/>
              <w:left w:val="single" w:color="auto" w:sz="8" w:space="0"/>
              <w:bottom w:val="single" w:color="auto" w:sz="8" w:space="0"/>
              <w:right w:val="single" w:color="auto" w:sz="8" w:space="0"/>
            </w:tcBorders>
            <w:noWrap w:val="0"/>
          </w:tcPr>
          <w:p w14:paraId="50C783CA">
            <w:pPr>
              <w:rPr>
                <w:rFonts w:hint="eastAsia" w:ascii="宋体" w:hAnsi="宋体" w:eastAsia="宋体" w:cs="宋体"/>
                <w:color w:val="000000" w:themeColor="text1"/>
                <w:sz w:val="21"/>
                <w:szCs w:val="21"/>
                <w:highlight w:val="none"/>
                <w14:textFill>
                  <w14:solidFill>
                    <w14:schemeClr w14:val="tx1"/>
                  </w14:solidFill>
                </w14:textFill>
              </w:rPr>
            </w:pPr>
          </w:p>
        </w:tc>
      </w:tr>
      <w:tr w14:paraId="6498B6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439" w:type="pct"/>
            <w:tcBorders>
              <w:top w:val="single" w:color="auto" w:sz="8" w:space="0"/>
              <w:left w:val="single" w:color="auto" w:sz="8" w:space="0"/>
              <w:bottom w:val="single" w:color="auto" w:sz="8" w:space="0"/>
              <w:right w:val="single" w:color="auto" w:sz="8" w:space="0"/>
            </w:tcBorders>
            <w:noWrap w:val="0"/>
          </w:tcPr>
          <w:p w14:paraId="2D42CDE0">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p>
        </w:tc>
        <w:tc>
          <w:tcPr>
            <w:tcW w:w="1617" w:type="pct"/>
            <w:tcBorders>
              <w:top w:val="single" w:color="auto" w:sz="8" w:space="0"/>
              <w:left w:val="single" w:color="auto" w:sz="8" w:space="0"/>
              <w:bottom w:val="single" w:color="auto" w:sz="8" w:space="0"/>
              <w:right w:val="single" w:color="auto" w:sz="8" w:space="0"/>
            </w:tcBorders>
            <w:noWrap w:val="0"/>
          </w:tcPr>
          <w:p w14:paraId="7FDC161D">
            <w:pP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付款方式</w:t>
            </w:r>
          </w:p>
        </w:tc>
        <w:tc>
          <w:tcPr>
            <w:tcW w:w="1072" w:type="pct"/>
            <w:tcBorders>
              <w:top w:val="single" w:color="auto" w:sz="8" w:space="0"/>
              <w:left w:val="single" w:color="auto" w:sz="8" w:space="0"/>
              <w:bottom w:val="single" w:color="auto" w:sz="8" w:space="0"/>
              <w:right w:val="single" w:color="auto" w:sz="8" w:space="0"/>
            </w:tcBorders>
            <w:noWrap w:val="0"/>
          </w:tcPr>
          <w:p w14:paraId="5985915F">
            <w:pPr>
              <w:rPr>
                <w:rFonts w:hint="eastAsia" w:ascii="宋体" w:hAnsi="宋体" w:eastAsia="宋体" w:cs="宋体"/>
                <w:color w:val="000000" w:themeColor="text1"/>
                <w:sz w:val="21"/>
                <w:szCs w:val="21"/>
                <w:highlight w:val="none"/>
                <w14:textFill>
                  <w14:solidFill>
                    <w14:schemeClr w14:val="tx1"/>
                  </w14:solidFill>
                </w14:textFill>
              </w:rPr>
            </w:pPr>
          </w:p>
        </w:tc>
        <w:tc>
          <w:tcPr>
            <w:tcW w:w="1008" w:type="pct"/>
            <w:tcBorders>
              <w:top w:val="single" w:color="auto" w:sz="8" w:space="0"/>
              <w:left w:val="single" w:color="auto" w:sz="8" w:space="0"/>
              <w:bottom w:val="single" w:color="auto" w:sz="8" w:space="0"/>
              <w:right w:val="single" w:color="auto" w:sz="8" w:space="0"/>
            </w:tcBorders>
            <w:noWrap w:val="0"/>
          </w:tcPr>
          <w:p w14:paraId="12DECA3D">
            <w:pPr>
              <w:rPr>
                <w:rFonts w:hint="eastAsia" w:ascii="宋体" w:hAnsi="宋体" w:eastAsia="宋体" w:cs="宋体"/>
                <w:color w:val="000000" w:themeColor="text1"/>
                <w:sz w:val="21"/>
                <w:szCs w:val="21"/>
                <w:highlight w:val="none"/>
                <w14:textFill>
                  <w14:solidFill>
                    <w14:schemeClr w14:val="tx1"/>
                  </w14:solidFill>
                </w14:textFill>
              </w:rPr>
            </w:pPr>
          </w:p>
        </w:tc>
        <w:tc>
          <w:tcPr>
            <w:tcW w:w="862" w:type="pct"/>
            <w:tcBorders>
              <w:top w:val="single" w:color="auto" w:sz="8" w:space="0"/>
              <w:left w:val="single" w:color="auto" w:sz="8" w:space="0"/>
              <w:bottom w:val="single" w:color="auto" w:sz="8" w:space="0"/>
              <w:right w:val="single" w:color="auto" w:sz="8" w:space="0"/>
            </w:tcBorders>
            <w:noWrap w:val="0"/>
          </w:tcPr>
          <w:p w14:paraId="2AD87717">
            <w:pPr>
              <w:rPr>
                <w:rFonts w:hint="eastAsia" w:ascii="宋体" w:hAnsi="宋体" w:eastAsia="宋体" w:cs="宋体"/>
                <w:color w:val="000000" w:themeColor="text1"/>
                <w:sz w:val="21"/>
                <w:szCs w:val="21"/>
                <w:highlight w:val="none"/>
                <w14:textFill>
                  <w14:solidFill>
                    <w14:schemeClr w14:val="tx1"/>
                  </w14:solidFill>
                </w14:textFill>
              </w:rPr>
            </w:pPr>
          </w:p>
        </w:tc>
      </w:tr>
      <w:tr w14:paraId="677317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439" w:type="pct"/>
            <w:tcBorders>
              <w:top w:val="single" w:color="auto" w:sz="8" w:space="0"/>
              <w:left w:val="single" w:color="auto" w:sz="8" w:space="0"/>
              <w:bottom w:val="single" w:color="auto" w:sz="8" w:space="0"/>
              <w:right w:val="single" w:color="auto" w:sz="8" w:space="0"/>
            </w:tcBorders>
            <w:noWrap w:val="0"/>
          </w:tcPr>
          <w:p w14:paraId="24A9BB05">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p>
        </w:tc>
        <w:tc>
          <w:tcPr>
            <w:tcW w:w="1617" w:type="pct"/>
            <w:tcBorders>
              <w:top w:val="single" w:color="auto" w:sz="8" w:space="0"/>
              <w:left w:val="single" w:color="auto" w:sz="8" w:space="0"/>
              <w:bottom w:val="single" w:color="auto" w:sz="8" w:space="0"/>
              <w:right w:val="single" w:color="auto" w:sz="8" w:space="0"/>
            </w:tcBorders>
            <w:noWrap w:val="0"/>
          </w:tcPr>
          <w:p w14:paraId="2A082DF6">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其他商务要求</w:t>
            </w:r>
          </w:p>
        </w:tc>
        <w:tc>
          <w:tcPr>
            <w:tcW w:w="1072" w:type="pct"/>
            <w:tcBorders>
              <w:top w:val="single" w:color="auto" w:sz="8" w:space="0"/>
              <w:left w:val="single" w:color="auto" w:sz="8" w:space="0"/>
              <w:bottom w:val="single" w:color="auto" w:sz="8" w:space="0"/>
              <w:right w:val="single" w:color="auto" w:sz="8" w:space="0"/>
            </w:tcBorders>
            <w:noWrap w:val="0"/>
          </w:tcPr>
          <w:p w14:paraId="0A43926A">
            <w:pPr>
              <w:rPr>
                <w:rFonts w:hint="eastAsia" w:ascii="宋体" w:hAnsi="宋体" w:eastAsia="宋体" w:cs="宋体"/>
                <w:color w:val="000000" w:themeColor="text1"/>
                <w:sz w:val="21"/>
                <w:szCs w:val="21"/>
                <w:highlight w:val="none"/>
                <w14:textFill>
                  <w14:solidFill>
                    <w14:schemeClr w14:val="tx1"/>
                  </w14:solidFill>
                </w14:textFill>
              </w:rPr>
            </w:pPr>
          </w:p>
        </w:tc>
        <w:tc>
          <w:tcPr>
            <w:tcW w:w="1008" w:type="pct"/>
            <w:tcBorders>
              <w:top w:val="single" w:color="auto" w:sz="8" w:space="0"/>
              <w:left w:val="single" w:color="auto" w:sz="8" w:space="0"/>
              <w:bottom w:val="single" w:color="auto" w:sz="8" w:space="0"/>
              <w:right w:val="single" w:color="auto" w:sz="8" w:space="0"/>
            </w:tcBorders>
            <w:noWrap w:val="0"/>
          </w:tcPr>
          <w:p w14:paraId="0795287E">
            <w:pPr>
              <w:rPr>
                <w:rFonts w:hint="eastAsia" w:ascii="宋体" w:hAnsi="宋体" w:eastAsia="宋体" w:cs="宋体"/>
                <w:color w:val="000000" w:themeColor="text1"/>
                <w:sz w:val="21"/>
                <w:szCs w:val="21"/>
                <w:highlight w:val="none"/>
                <w14:textFill>
                  <w14:solidFill>
                    <w14:schemeClr w14:val="tx1"/>
                  </w14:solidFill>
                </w14:textFill>
              </w:rPr>
            </w:pPr>
          </w:p>
        </w:tc>
        <w:tc>
          <w:tcPr>
            <w:tcW w:w="862" w:type="pct"/>
            <w:tcBorders>
              <w:top w:val="single" w:color="auto" w:sz="8" w:space="0"/>
              <w:left w:val="single" w:color="auto" w:sz="8" w:space="0"/>
              <w:bottom w:val="single" w:color="auto" w:sz="8" w:space="0"/>
              <w:right w:val="single" w:color="auto" w:sz="8" w:space="0"/>
            </w:tcBorders>
            <w:noWrap w:val="0"/>
          </w:tcPr>
          <w:p w14:paraId="3673CCB3">
            <w:pPr>
              <w:rPr>
                <w:rFonts w:hint="eastAsia" w:ascii="宋体" w:hAnsi="宋体" w:eastAsia="宋体" w:cs="宋体"/>
                <w:color w:val="000000" w:themeColor="text1"/>
                <w:sz w:val="21"/>
                <w:szCs w:val="21"/>
                <w:highlight w:val="none"/>
                <w14:textFill>
                  <w14:solidFill>
                    <w14:schemeClr w14:val="tx1"/>
                  </w14:solidFill>
                </w14:textFill>
              </w:rPr>
            </w:pPr>
          </w:p>
        </w:tc>
      </w:tr>
    </w:tbl>
    <w:p w14:paraId="5579D657">
      <w:pPr>
        <w:spacing w:line="3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1.供应商提交的投标文件应在本表中将投标文件实际响应的商务部分与招标文件的商务部分进行逐项对应列出对比，并在“偏离说明”项下填写以下内容：优于的，填写“正偏离”；符合的，填写“无偏离”；低于的，填写“负偏离”。</w:t>
      </w:r>
    </w:p>
    <w:p w14:paraId="7D73CCCA">
      <w:pPr>
        <w:spacing w:line="3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2.若事项较多，投标人可根据投标内容的实际情况另纸说明。</w:t>
      </w:r>
    </w:p>
    <w:p w14:paraId="65F00A9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7FA1B7D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44ECC0E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443FC31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p>
    <w:p w14:paraId="40F7D60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六、项目服务方案</w:t>
      </w:r>
    </w:p>
    <w:tbl>
      <w:tblPr>
        <w:tblStyle w:val="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B9A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5000" w:type="pct"/>
            <w:noWrap w:val="0"/>
          </w:tcPr>
          <w:p w14:paraId="468987B0">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提示：1、供应商应针对本次招标项目特点制定详细的实施方案。</w:t>
            </w:r>
          </w:p>
          <w:p w14:paraId="5EDEEF84">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2、供应商可根据自身情况编写，本页不够可另加页附后。</w:t>
            </w:r>
          </w:p>
        </w:tc>
      </w:tr>
      <w:tr w14:paraId="4ADB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5" w:hRule="atLeast"/>
        </w:trPr>
        <w:tc>
          <w:tcPr>
            <w:tcW w:w="5000" w:type="pct"/>
            <w:noWrap w:val="0"/>
          </w:tcPr>
          <w:p w14:paraId="3C5CE8FA">
            <w:pPr>
              <w:rPr>
                <w:rFonts w:hint="eastAsia" w:ascii="宋体" w:hAnsi="宋体" w:eastAsia="宋体" w:cs="宋体"/>
                <w:b/>
                <w:color w:val="000000" w:themeColor="text1"/>
                <w:sz w:val="21"/>
                <w:szCs w:val="21"/>
                <w:highlight w:val="none"/>
                <w14:textFill>
                  <w14:solidFill>
                    <w14:schemeClr w14:val="tx1"/>
                  </w14:solidFill>
                </w14:textFill>
              </w:rPr>
            </w:pPr>
          </w:p>
          <w:p w14:paraId="28453B20">
            <w:pPr>
              <w:rPr>
                <w:rFonts w:hint="eastAsia" w:ascii="宋体" w:hAnsi="宋体" w:eastAsia="宋体" w:cs="宋体"/>
                <w:b/>
                <w:color w:val="000000" w:themeColor="text1"/>
                <w:sz w:val="21"/>
                <w:szCs w:val="21"/>
                <w:highlight w:val="none"/>
                <w14:textFill>
                  <w14:solidFill>
                    <w14:schemeClr w14:val="tx1"/>
                  </w14:solidFill>
                </w14:textFill>
              </w:rPr>
            </w:pPr>
          </w:p>
          <w:p w14:paraId="1B6A334F">
            <w:pPr>
              <w:rPr>
                <w:rFonts w:hint="eastAsia" w:ascii="宋体" w:hAnsi="宋体" w:eastAsia="宋体" w:cs="宋体"/>
                <w:b/>
                <w:color w:val="000000" w:themeColor="text1"/>
                <w:sz w:val="21"/>
                <w:szCs w:val="21"/>
                <w:highlight w:val="none"/>
                <w14:textFill>
                  <w14:solidFill>
                    <w14:schemeClr w14:val="tx1"/>
                  </w14:solidFill>
                </w14:textFill>
              </w:rPr>
            </w:pPr>
          </w:p>
          <w:p w14:paraId="5BD3CDFC">
            <w:pPr>
              <w:rPr>
                <w:rFonts w:hint="eastAsia" w:ascii="宋体" w:hAnsi="宋体" w:eastAsia="宋体" w:cs="宋体"/>
                <w:b/>
                <w:color w:val="000000" w:themeColor="text1"/>
                <w:sz w:val="21"/>
                <w:szCs w:val="21"/>
                <w:highlight w:val="none"/>
                <w14:textFill>
                  <w14:solidFill>
                    <w14:schemeClr w14:val="tx1"/>
                  </w14:solidFill>
                </w14:textFill>
              </w:rPr>
            </w:pPr>
          </w:p>
          <w:p w14:paraId="0459DB0D">
            <w:pPr>
              <w:rPr>
                <w:rFonts w:hint="eastAsia" w:ascii="宋体" w:hAnsi="宋体" w:eastAsia="宋体" w:cs="宋体"/>
                <w:b/>
                <w:color w:val="000000" w:themeColor="text1"/>
                <w:sz w:val="21"/>
                <w:szCs w:val="21"/>
                <w:highlight w:val="none"/>
                <w14:textFill>
                  <w14:solidFill>
                    <w14:schemeClr w14:val="tx1"/>
                  </w14:solidFill>
                </w14:textFill>
              </w:rPr>
            </w:pPr>
          </w:p>
          <w:p w14:paraId="5F86CD55">
            <w:pPr>
              <w:rPr>
                <w:rFonts w:hint="eastAsia" w:ascii="宋体" w:hAnsi="宋体" w:eastAsia="宋体" w:cs="宋体"/>
                <w:b/>
                <w:color w:val="000000" w:themeColor="text1"/>
                <w:sz w:val="21"/>
                <w:szCs w:val="21"/>
                <w:highlight w:val="none"/>
                <w14:textFill>
                  <w14:solidFill>
                    <w14:schemeClr w14:val="tx1"/>
                  </w14:solidFill>
                </w14:textFill>
              </w:rPr>
            </w:pPr>
          </w:p>
          <w:p w14:paraId="7FC4FE7D">
            <w:pPr>
              <w:rPr>
                <w:rFonts w:hint="eastAsia" w:ascii="宋体" w:hAnsi="宋体" w:eastAsia="宋体" w:cs="宋体"/>
                <w:b/>
                <w:color w:val="000000" w:themeColor="text1"/>
                <w:sz w:val="21"/>
                <w:szCs w:val="21"/>
                <w:highlight w:val="none"/>
                <w14:textFill>
                  <w14:solidFill>
                    <w14:schemeClr w14:val="tx1"/>
                  </w14:solidFill>
                </w14:textFill>
              </w:rPr>
            </w:pPr>
          </w:p>
          <w:p w14:paraId="4582D821">
            <w:pPr>
              <w:rPr>
                <w:rFonts w:hint="eastAsia" w:ascii="宋体" w:hAnsi="宋体" w:eastAsia="宋体" w:cs="宋体"/>
                <w:b/>
                <w:color w:val="000000" w:themeColor="text1"/>
                <w:sz w:val="21"/>
                <w:szCs w:val="21"/>
                <w:highlight w:val="none"/>
                <w14:textFill>
                  <w14:solidFill>
                    <w14:schemeClr w14:val="tx1"/>
                  </w14:solidFill>
                </w14:textFill>
              </w:rPr>
            </w:pPr>
          </w:p>
          <w:p w14:paraId="0CBA8BCE">
            <w:pPr>
              <w:rPr>
                <w:rFonts w:hint="eastAsia" w:ascii="宋体" w:hAnsi="宋体" w:eastAsia="宋体" w:cs="宋体"/>
                <w:b/>
                <w:color w:val="000000" w:themeColor="text1"/>
                <w:sz w:val="21"/>
                <w:szCs w:val="21"/>
                <w:highlight w:val="none"/>
                <w14:textFill>
                  <w14:solidFill>
                    <w14:schemeClr w14:val="tx1"/>
                  </w14:solidFill>
                </w14:textFill>
              </w:rPr>
            </w:pPr>
          </w:p>
          <w:p w14:paraId="6F73FABB">
            <w:pPr>
              <w:rPr>
                <w:rFonts w:hint="eastAsia" w:ascii="宋体" w:hAnsi="宋体" w:eastAsia="宋体" w:cs="宋体"/>
                <w:b/>
                <w:color w:val="000000" w:themeColor="text1"/>
                <w:sz w:val="21"/>
                <w:szCs w:val="21"/>
                <w:highlight w:val="none"/>
                <w14:textFill>
                  <w14:solidFill>
                    <w14:schemeClr w14:val="tx1"/>
                  </w14:solidFill>
                </w14:textFill>
              </w:rPr>
            </w:pPr>
          </w:p>
          <w:p w14:paraId="47BF9B83">
            <w:pPr>
              <w:rPr>
                <w:rFonts w:hint="eastAsia" w:ascii="宋体" w:hAnsi="宋体" w:eastAsia="宋体" w:cs="宋体"/>
                <w:b/>
                <w:color w:val="000000" w:themeColor="text1"/>
                <w:sz w:val="21"/>
                <w:szCs w:val="21"/>
                <w:highlight w:val="none"/>
                <w14:textFill>
                  <w14:solidFill>
                    <w14:schemeClr w14:val="tx1"/>
                  </w14:solidFill>
                </w14:textFill>
              </w:rPr>
            </w:pPr>
          </w:p>
          <w:p w14:paraId="010C4A96">
            <w:pPr>
              <w:rPr>
                <w:rFonts w:hint="eastAsia" w:ascii="宋体" w:hAnsi="宋体" w:eastAsia="宋体" w:cs="宋体"/>
                <w:b/>
                <w:color w:val="000000" w:themeColor="text1"/>
                <w:sz w:val="21"/>
                <w:szCs w:val="21"/>
                <w:highlight w:val="none"/>
                <w14:textFill>
                  <w14:solidFill>
                    <w14:schemeClr w14:val="tx1"/>
                  </w14:solidFill>
                </w14:textFill>
              </w:rPr>
            </w:pPr>
          </w:p>
          <w:p w14:paraId="341F3FF8">
            <w:pPr>
              <w:rPr>
                <w:rFonts w:hint="eastAsia" w:ascii="宋体" w:hAnsi="宋体" w:eastAsia="宋体" w:cs="宋体"/>
                <w:b/>
                <w:color w:val="000000" w:themeColor="text1"/>
                <w:sz w:val="21"/>
                <w:szCs w:val="21"/>
                <w:highlight w:val="none"/>
                <w14:textFill>
                  <w14:solidFill>
                    <w14:schemeClr w14:val="tx1"/>
                  </w14:solidFill>
                </w14:textFill>
              </w:rPr>
            </w:pPr>
          </w:p>
          <w:p w14:paraId="5EE309BE">
            <w:pPr>
              <w:rPr>
                <w:rFonts w:hint="eastAsia" w:ascii="宋体" w:hAnsi="宋体" w:eastAsia="宋体" w:cs="宋体"/>
                <w:b/>
                <w:color w:val="000000" w:themeColor="text1"/>
                <w:sz w:val="21"/>
                <w:szCs w:val="21"/>
                <w:highlight w:val="none"/>
                <w14:textFill>
                  <w14:solidFill>
                    <w14:schemeClr w14:val="tx1"/>
                  </w14:solidFill>
                </w14:textFill>
              </w:rPr>
            </w:pPr>
          </w:p>
          <w:p w14:paraId="2D5089BA">
            <w:pPr>
              <w:rPr>
                <w:rFonts w:hint="eastAsia" w:ascii="宋体" w:hAnsi="宋体" w:eastAsia="宋体" w:cs="宋体"/>
                <w:b/>
                <w:color w:val="000000" w:themeColor="text1"/>
                <w:sz w:val="21"/>
                <w:szCs w:val="21"/>
                <w:highlight w:val="none"/>
                <w14:textFill>
                  <w14:solidFill>
                    <w14:schemeClr w14:val="tx1"/>
                  </w14:solidFill>
                </w14:textFill>
              </w:rPr>
            </w:pPr>
          </w:p>
          <w:p w14:paraId="5DEA7C41">
            <w:pPr>
              <w:rPr>
                <w:rFonts w:hint="eastAsia" w:ascii="宋体" w:hAnsi="宋体" w:eastAsia="宋体" w:cs="宋体"/>
                <w:color w:val="000000" w:themeColor="text1"/>
                <w:sz w:val="21"/>
                <w:szCs w:val="21"/>
                <w:highlight w:val="none"/>
                <w14:textFill>
                  <w14:solidFill>
                    <w14:schemeClr w14:val="tx1"/>
                  </w14:solidFill>
                </w14:textFill>
              </w:rPr>
            </w:pPr>
          </w:p>
          <w:p w14:paraId="63C451A2">
            <w:pPr>
              <w:pStyle w:val="5"/>
              <w:rPr>
                <w:rFonts w:hint="eastAsia" w:ascii="宋体" w:hAnsi="宋体" w:eastAsia="宋体" w:cs="宋体"/>
                <w:color w:val="000000" w:themeColor="text1"/>
                <w:sz w:val="21"/>
                <w:szCs w:val="21"/>
                <w:highlight w:val="none"/>
                <w14:textFill>
                  <w14:solidFill>
                    <w14:schemeClr w14:val="tx1"/>
                  </w14:solidFill>
                </w14:textFill>
              </w:rPr>
            </w:pPr>
          </w:p>
          <w:p w14:paraId="67D1662E">
            <w:pPr>
              <w:rPr>
                <w:rFonts w:hint="eastAsia" w:ascii="宋体" w:hAnsi="宋体" w:eastAsia="宋体" w:cs="宋体"/>
                <w:b/>
                <w:color w:val="000000" w:themeColor="text1"/>
                <w:sz w:val="21"/>
                <w:szCs w:val="21"/>
                <w:highlight w:val="none"/>
                <w14:textFill>
                  <w14:solidFill>
                    <w14:schemeClr w14:val="tx1"/>
                  </w14:solidFill>
                </w14:textFill>
              </w:rPr>
            </w:pPr>
          </w:p>
          <w:p w14:paraId="2B39270B">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单位名称（盖章）： </w:t>
            </w:r>
          </w:p>
          <w:p w14:paraId="0055961A">
            <w:pPr>
              <w:pStyle w:val="5"/>
              <w:rPr>
                <w:rFonts w:hint="eastAsia" w:ascii="宋体" w:hAnsi="宋体" w:eastAsia="宋体" w:cs="宋体"/>
                <w:color w:val="000000" w:themeColor="text1"/>
                <w:sz w:val="21"/>
                <w:szCs w:val="21"/>
                <w:highlight w:val="none"/>
                <w14:textFill>
                  <w14:solidFill>
                    <w14:schemeClr w14:val="tx1"/>
                  </w14:solidFill>
                </w14:textFill>
              </w:rPr>
            </w:pPr>
          </w:p>
        </w:tc>
      </w:tr>
    </w:tbl>
    <w:p w14:paraId="1B766835">
      <w:pPr>
        <w:pStyle w:val="4"/>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bookmarkStart w:id="22" w:name="_Toc160701723"/>
      <w:r>
        <w:rPr>
          <w:rFonts w:hint="eastAsia" w:ascii="宋体" w:hAnsi="宋体" w:eastAsia="宋体" w:cs="宋体"/>
          <w:color w:val="000000" w:themeColor="text1"/>
          <w:sz w:val="21"/>
          <w:szCs w:val="21"/>
          <w:highlight w:val="none"/>
          <w14:textFill>
            <w14:solidFill>
              <w14:schemeClr w14:val="tx1"/>
            </w14:solidFill>
          </w14:textFill>
        </w:rPr>
        <w:t>七、项目人员一览表</w:t>
      </w:r>
      <w:bookmarkEnd w:id="22"/>
    </w:p>
    <w:p w14:paraId="79D93DC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7.1项目负责人情况一览表</w:t>
      </w:r>
    </w:p>
    <w:tbl>
      <w:tblPr>
        <w:tblStyle w:val="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580"/>
        <w:gridCol w:w="1712"/>
        <w:gridCol w:w="1232"/>
        <w:gridCol w:w="985"/>
        <w:gridCol w:w="1003"/>
        <w:gridCol w:w="1161"/>
        <w:gridCol w:w="1686"/>
      </w:tblGrid>
      <w:tr w14:paraId="2BAF5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trPr>
        <w:tc>
          <w:tcPr>
            <w:tcW w:w="347" w:type="pct"/>
            <w:noWrap w:val="0"/>
            <w:vAlign w:val="center"/>
          </w:tcPr>
          <w:p w14:paraId="2F66EA8A">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024" w:type="pct"/>
            <w:noWrap w:val="0"/>
            <w:vAlign w:val="center"/>
          </w:tcPr>
          <w:p w14:paraId="1C6C8B9B">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      名</w:t>
            </w:r>
          </w:p>
        </w:tc>
        <w:tc>
          <w:tcPr>
            <w:tcW w:w="1326" w:type="pct"/>
            <w:gridSpan w:val="2"/>
            <w:noWrap w:val="0"/>
            <w:vAlign w:val="center"/>
          </w:tcPr>
          <w:p w14:paraId="0DD24E63">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p>
        </w:tc>
        <w:tc>
          <w:tcPr>
            <w:tcW w:w="599" w:type="pct"/>
            <w:noWrap w:val="0"/>
            <w:vAlign w:val="center"/>
          </w:tcPr>
          <w:p w14:paraId="3B302566">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   别</w:t>
            </w:r>
          </w:p>
        </w:tc>
        <w:tc>
          <w:tcPr>
            <w:tcW w:w="1701" w:type="pct"/>
            <w:gridSpan w:val="2"/>
            <w:noWrap w:val="0"/>
            <w:vAlign w:val="center"/>
          </w:tcPr>
          <w:p w14:paraId="6734341F">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p>
        </w:tc>
      </w:tr>
      <w:tr w14:paraId="03958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347" w:type="pct"/>
            <w:noWrap w:val="0"/>
            <w:vAlign w:val="center"/>
          </w:tcPr>
          <w:p w14:paraId="0DDABCB1">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024" w:type="pct"/>
            <w:noWrap w:val="0"/>
            <w:vAlign w:val="center"/>
          </w:tcPr>
          <w:p w14:paraId="162B8E3C">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身份证号码</w:t>
            </w:r>
          </w:p>
        </w:tc>
        <w:tc>
          <w:tcPr>
            <w:tcW w:w="1925" w:type="pct"/>
            <w:gridSpan w:val="3"/>
            <w:noWrap w:val="0"/>
            <w:vAlign w:val="center"/>
          </w:tcPr>
          <w:p w14:paraId="71CB9E0F">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p>
        </w:tc>
        <w:tc>
          <w:tcPr>
            <w:tcW w:w="694" w:type="pct"/>
            <w:noWrap w:val="0"/>
            <w:vAlign w:val="center"/>
          </w:tcPr>
          <w:p w14:paraId="0260C91F">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出生年月</w:t>
            </w:r>
          </w:p>
        </w:tc>
        <w:tc>
          <w:tcPr>
            <w:tcW w:w="1007" w:type="pct"/>
            <w:noWrap w:val="0"/>
            <w:vAlign w:val="center"/>
          </w:tcPr>
          <w:p w14:paraId="4EDFE1B9">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   月</w:t>
            </w:r>
          </w:p>
        </w:tc>
      </w:tr>
      <w:tr w14:paraId="549CB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347" w:type="pct"/>
            <w:noWrap w:val="0"/>
            <w:vAlign w:val="center"/>
          </w:tcPr>
          <w:p w14:paraId="1F9429AB">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761" w:type="pct"/>
            <w:gridSpan w:val="2"/>
            <w:noWrap w:val="0"/>
            <w:vAlign w:val="center"/>
          </w:tcPr>
          <w:p w14:paraId="30C9BC4F">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w:t>
            </w:r>
          </w:p>
        </w:tc>
        <w:tc>
          <w:tcPr>
            <w:tcW w:w="1189" w:type="pct"/>
            <w:gridSpan w:val="2"/>
            <w:noWrap w:val="0"/>
            <w:vAlign w:val="center"/>
          </w:tcPr>
          <w:p w14:paraId="6B849C1D">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1701" w:type="pct"/>
            <w:gridSpan w:val="2"/>
            <w:noWrap w:val="0"/>
            <w:vAlign w:val="center"/>
          </w:tcPr>
          <w:p w14:paraId="26148476">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r>
      <w:tr w14:paraId="34A3A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trPr>
        <w:tc>
          <w:tcPr>
            <w:tcW w:w="347" w:type="pct"/>
            <w:noWrap w:val="0"/>
            <w:vAlign w:val="center"/>
          </w:tcPr>
          <w:p w14:paraId="348A88B3">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4652" w:type="pct"/>
            <w:gridSpan w:val="6"/>
            <w:noWrap w:val="0"/>
            <w:vAlign w:val="center"/>
          </w:tcPr>
          <w:p w14:paraId="45FDB6BE">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从事类似项目工作时间：</w:t>
            </w:r>
          </w:p>
        </w:tc>
      </w:tr>
      <w:tr w14:paraId="46510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347" w:type="pct"/>
            <w:noWrap w:val="0"/>
            <w:vAlign w:val="center"/>
          </w:tcPr>
          <w:p w14:paraId="7EE6AA1A">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4652" w:type="pct"/>
            <w:gridSpan w:val="6"/>
            <w:noWrap w:val="0"/>
            <w:vAlign w:val="center"/>
          </w:tcPr>
          <w:p w14:paraId="28EB5E4E">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拥有的职称：</w:t>
            </w:r>
          </w:p>
        </w:tc>
      </w:tr>
      <w:tr w14:paraId="32E2A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58" w:hRule="atLeast"/>
        </w:trPr>
        <w:tc>
          <w:tcPr>
            <w:tcW w:w="347" w:type="pct"/>
            <w:noWrap w:val="0"/>
            <w:vAlign w:val="center"/>
          </w:tcPr>
          <w:p w14:paraId="2956A5C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4652" w:type="pct"/>
            <w:gridSpan w:val="6"/>
            <w:noWrap w:val="0"/>
          </w:tcPr>
          <w:p w14:paraId="388D36A2">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本公司承诺：</w:t>
            </w:r>
          </w:p>
          <w:p w14:paraId="525C28B2">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该项目负责人在我单位已任职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年以上且在从业经历中没有任何违法、违规而被查处的不良记录。</w:t>
            </w:r>
          </w:p>
        </w:tc>
      </w:tr>
      <w:tr w14:paraId="3225A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46" w:hRule="atLeast"/>
        </w:trPr>
        <w:tc>
          <w:tcPr>
            <w:tcW w:w="347" w:type="pct"/>
            <w:noWrap w:val="0"/>
            <w:vAlign w:val="center"/>
          </w:tcPr>
          <w:p w14:paraId="7FAB964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4652" w:type="pct"/>
            <w:gridSpan w:val="6"/>
            <w:noWrap w:val="0"/>
          </w:tcPr>
          <w:p w14:paraId="29AB1322">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其他需要说明的情况</w:t>
            </w:r>
          </w:p>
        </w:tc>
      </w:tr>
    </w:tbl>
    <w:p w14:paraId="161F587A">
      <w:pPr>
        <w:rPr>
          <w:rFonts w:hint="eastAsia" w:ascii="宋体" w:hAnsi="宋体" w:eastAsia="宋体" w:cs="宋体"/>
          <w:color w:val="000000" w:themeColor="text1"/>
          <w:sz w:val="21"/>
          <w:szCs w:val="21"/>
          <w:highlight w:val="none"/>
          <w14:textFill>
            <w14:solidFill>
              <w14:schemeClr w14:val="tx1"/>
            </w14:solidFill>
          </w14:textFill>
        </w:rPr>
      </w:pPr>
    </w:p>
    <w:p w14:paraId="4DBD98E7">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4FD1479B">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3B731DF6">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4151AEF0">
      <w:pPr>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br w:type="page" w:clear="all"/>
      </w:r>
    </w:p>
    <w:p w14:paraId="3C697041">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7.2</w:t>
      </w:r>
      <w:r>
        <w:rPr>
          <w:rFonts w:hint="eastAsia" w:ascii="宋体" w:hAnsi="宋体" w:eastAsia="宋体" w:cs="宋体"/>
          <w:b/>
          <w:color w:val="000000" w:themeColor="text1"/>
          <w:sz w:val="21"/>
          <w:szCs w:val="21"/>
          <w:highlight w:val="none"/>
          <w:lang w:val="zh-CN"/>
          <w14:textFill>
            <w14:solidFill>
              <w14:schemeClr w14:val="tx1"/>
            </w14:solidFill>
          </w14:textFill>
        </w:rPr>
        <w:t>人员配备一览表</w:t>
      </w:r>
      <w:r>
        <w:rPr>
          <w:rFonts w:hint="eastAsia" w:ascii="宋体" w:hAnsi="宋体" w:eastAsia="宋体" w:cs="宋体"/>
          <w:b/>
          <w:color w:val="000000" w:themeColor="text1"/>
          <w:sz w:val="21"/>
          <w:szCs w:val="21"/>
          <w:highlight w:val="none"/>
          <w14:textFill>
            <w14:solidFill>
              <w14:schemeClr w14:val="tx1"/>
            </w14:solidFill>
          </w14:textFill>
        </w:rPr>
        <w:t xml:space="preserve"> </w:t>
      </w:r>
    </w:p>
    <w:p w14:paraId="328757F2">
      <w:pPr>
        <w:pStyle w:val="263"/>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招标编号：</w:t>
      </w:r>
    </w:p>
    <w:tbl>
      <w:tblPr>
        <w:tblStyle w:val="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784"/>
        <w:gridCol w:w="588"/>
        <w:gridCol w:w="1374"/>
        <w:gridCol w:w="588"/>
        <w:gridCol w:w="588"/>
        <w:gridCol w:w="588"/>
        <w:gridCol w:w="980"/>
        <w:gridCol w:w="589"/>
        <w:gridCol w:w="981"/>
        <w:gridCol w:w="981"/>
      </w:tblGrid>
      <w:tr w14:paraId="1F83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0690D7B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460" w:type="pct"/>
            <w:noWrap w:val="0"/>
            <w:vAlign w:val="center"/>
          </w:tcPr>
          <w:p w14:paraId="222ACA1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姓名</w:t>
            </w:r>
          </w:p>
        </w:tc>
        <w:tc>
          <w:tcPr>
            <w:tcW w:w="345" w:type="pct"/>
            <w:noWrap w:val="0"/>
            <w:vAlign w:val="center"/>
          </w:tcPr>
          <w:p w14:paraId="1F021E0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岗位</w:t>
            </w:r>
          </w:p>
        </w:tc>
        <w:tc>
          <w:tcPr>
            <w:tcW w:w="806" w:type="pct"/>
            <w:noWrap w:val="0"/>
            <w:vAlign w:val="center"/>
          </w:tcPr>
          <w:p w14:paraId="0C8F77E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身份证号码</w:t>
            </w:r>
          </w:p>
        </w:tc>
        <w:tc>
          <w:tcPr>
            <w:tcW w:w="345" w:type="pct"/>
            <w:noWrap w:val="0"/>
            <w:vAlign w:val="center"/>
          </w:tcPr>
          <w:p w14:paraId="2D94812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年龄</w:t>
            </w:r>
          </w:p>
        </w:tc>
        <w:tc>
          <w:tcPr>
            <w:tcW w:w="345" w:type="pct"/>
            <w:noWrap w:val="0"/>
            <w:vAlign w:val="center"/>
          </w:tcPr>
          <w:p w14:paraId="45A3893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性别</w:t>
            </w:r>
          </w:p>
        </w:tc>
        <w:tc>
          <w:tcPr>
            <w:tcW w:w="345" w:type="pct"/>
            <w:noWrap w:val="0"/>
            <w:vAlign w:val="center"/>
          </w:tcPr>
          <w:p w14:paraId="4848AC8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学历</w:t>
            </w:r>
          </w:p>
        </w:tc>
        <w:tc>
          <w:tcPr>
            <w:tcW w:w="575" w:type="pct"/>
            <w:noWrap w:val="0"/>
            <w:vAlign w:val="center"/>
          </w:tcPr>
          <w:p w14:paraId="0FE41B6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所学</w:t>
            </w:r>
          </w:p>
          <w:p w14:paraId="033A2B2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专业</w:t>
            </w:r>
          </w:p>
        </w:tc>
        <w:tc>
          <w:tcPr>
            <w:tcW w:w="345" w:type="pct"/>
            <w:noWrap w:val="0"/>
            <w:vAlign w:val="center"/>
          </w:tcPr>
          <w:p w14:paraId="6E280DA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职称</w:t>
            </w:r>
          </w:p>
        </w:tc>
        <w:tc>
          <w:tcPr>
            <w:tcW w:w="575" w:type="pct"/>
            <w:noWrap w:val="0"/>
            <w:vAlign w:val="center"/>
          </w:tcPr>
          <w:p w14:paraId="43F52A5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相关工作经验年限</w:t>
            </w:r>
          </w:p>
        </w:tc>
        <w:tc>
          <w:tcPr>
            <w:tcW w:w="575" w:type="pct"/>
            <w:noWrap w:val="0"/>
            <w:vAlign w:val="center"/>
          </w:tcPr>
          <w:p w14:paraId="3408A1EA">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持证</w:t>
            </w:r>
          </w:p>
          <w:p w14:paraId="7325DAF3">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情况</w:t>
            </w:r>
          </w:p>
        </w:tc>
      </w:tr>
      <w:tr w14:paraId="7D3C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0EBC61F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460" w:type="pct"/>
            <w:noWrap w:val="0"/>
            <w:vAlign w:val="center"/>
          </w:tcPr>
          <w:p w14:paraId="0966CAEF">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595A91F6">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06" w:type="pct"/>
            <w:noWrap w:val="0"/>
            <w:vAlign w:val="center"/>
          </w:tcPr>
          <w:p w14:paraId="372DDB5B">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457BDCD1">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62E34043">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2267B634">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vAlign w:val="center"/>
          </w:tcPr>
          <w:p w14:paraId="0E7230A9">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44E63D4E">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01C159D7">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4040E349">
            <w:pPr>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2E4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7EB93E0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460" w:type="pct"/>
            <w:noWrap w:val="0"/>
            <w:vAlign w:val="center"/>
          </w:tcPr>
          <w:p w14:paraId="060BC361">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011217EC">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06" w:type="pct"/>
            <w:noWrap w:val="0"/>
            <w:vAlign w:val="center"/>
          </w:tcPr>
          <w:p w14:paraId="0133907D">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6197546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653BE4C4">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5814251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vAlign w:val="center"/>
          </w:tcPr>
          <w:p w14:paraId="5095B9C5">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664E49D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69AB936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620531C0">
            <w:pPr>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021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4A697BD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460" w:type="pct"/>
            <w:noWrap w:val="0"/>
            <w:vAlign w:val="center"/>
          </w:tcPr>
          <w:p w14:paraId="164ADD2C">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28209BC3">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06" w:type="pct"/>
            <w:noWrap w:val="0"/>
            <w:vAlign w:val="center"/>
          </w:tcPr>
          <w:p w14:paraId="4D42D3B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365BDA82">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30CD7791">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6CA349F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vAlign w:val="center"/>
          </w:tcPr>
          <w:p w14:paraId="14B94877">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319E39C3">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51D34B84">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78620849">
            <w:pPr>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4F5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16F0CE1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460" w:type="pct"/>
            <w:noWrap w:val="0"/>
            <w:vAlign w:val="center"/>
          </w:tcPr>
          <w:p w14:paraId="52C3B29E">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4BC819C5">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06" w:type="pct"/>
            <w:noWrap w:val="0"/>
            <w:vAlign w:val="center"/>
          </w:tcPr>
          <w:p w14:paraId="2FF78E21">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24F7DCB7">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521974EB">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233C127C">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vAlign w:val="center"/>
          </w:tcPr>
          <w:p w14:paraId="2786FA7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2C23B20B">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633F9576">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12EA79E4">
            <w:pPr>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3BB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78" w:type="pct"/>
            <w:noWrap w:val="0"/>
            <w:vAlign w:val="center"/>
          </w:tcPr>
          <w:p w14:paraId="1FECDA4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460" w:type="pct"/>
            <w:noWrap w:val="0"/>
            <w:vAlign w:val="center"/>
          </w:tcPr>
          <w:p w14:paraId="4A2FF95D">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0E9B1229">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806" w:type="pct"/>
            <w:noWrap w:val="0"/>
            <w:vAlign w:val="center"/>
          </w:tcPr>
          <w:p w14:paraId="125756A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557FE65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4E14A0D4">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4897ED78">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vAlign w:val="center"/>
          </w:tcPr>
          <w:p w14:paraId="1D3E2AF7">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45" w:type="pct"/>
            <w:noWrap w:val="0"/>
            <w:vAlign w:val="center"/>
          </w:tcPr>
          <w:p w14:paraId="35DCA5A3">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578B9090">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575" w:type="pct"/>
            <w:noWrap w:val="0"/>
          </w:tcPr>
          <w:p w14:paraId="3DE24CC6">
            <w:pPr>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71A9633A">
      <w:pPr>
        <w:rPr>
          <w:rFonts w:hint="eastAsia" w:ascii="宋体" w:hAnsi="宋体" w:eastAsia="宋体" w:cs="宋体"/>
          <w:color w:val="000000" w:themeColor="text1"/>
          <w:sz w:val="21"/>
          <w:szCs w:val="21"/>
          <w:highlight w:val="none"/>
          <w14:textFill>
            <w14:solidFill>
              <w14:schemeClr w14:val="tx1"/>
            </w14:solidFill>
          </w14:textFill>
        </w:rPr>
      </w:pPr>
    </w:p>
    <w:p w14:paraId="2DA49FA3">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3C9D6325">
      <w:pPr>
        <w:rPr>
          <w:rFonts w:hint="eastAsia" w:ascii="宋体" w:hAnsi="宋体" w:eastAsia="宋体" w:cs="宋体"/>
          <w:color w:val="000000" w:themeColor="text1"/>
          <w:sz w:val="21"/>
          <w:szCs w:val="21"/>
          <w:highlight w:val="none"/>
          <w14:textFill>
            <w14:solidFill>
              <w14:schemeClr w14:val="tx1"/>
            </w14:solidFill>
          </w14:textFill>
        </w:rPr>
      </w:pPr>
    </w:p>
    <w:p w14:paraId="522D9239">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6871F1C8">
      <w:pPr>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6CB81EC6">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2C1CD524">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600FEEFC">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1D130CCE">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20A02BDD">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5F72EE83">
      <w:pPr>
        <w:pStyle w:val="13"/>
        <w:spacing w:line="360" w:lineRule="auto"/>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5A7DF2D0">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p>
    <w:bookmarkEnd w:id="21"/>
    <w:p w14:paraId="09C7B00B">
      <w:pPr>
        <w:rPr>
          <w:rFonts w:hint="eastAsia" w:ascii="宋体" w:hAnsi="宋体" w:eastAsia="宋体" w:cs="宋体"/>
          <w:color w:val="000000" w:themeColor="text1"/>
          <w:sz w:val="21"/>
          <w:szCs w:val="21"/>
          <w:highlight w:val="none"/>
          <w14:textFill>
            <w14:solidFill>
              <w14:schemeClr w14:val="tx1"/>
            </w14:solidFill>
          </w14:textFill>
        </w:rPr>
      </w:pPr>
    </w:p>
    <w:p w14:paraId="0532939D">
      <w:pPr>
        <w:pStyle w:val="4"/>
        <w:spacing w:line="480" w:lineRule="exact"/>
        <w:jc w:val="center"/>
        <w:rPr>
          <w:rFonts w:hint="eastAsia" w:ascii="宋体" w:hAnsi="宋体" w:eastAsia="宋体" w:cs="宋体"/>
          <w:color w:val="000000" w:themeColor="text1"/>
          <w:sz w:val="21"/>
          <w:szCs w:val="21"/>
          <w:highlight w:val="none"/>
          <w14:textFill>
            <w14:solidFill>
              <w14:schemeClr w14:val="tx1"/>
            </w14:solidFill>
          </w14:textFill>
        </w:rPr>
      </w:pPr>
      <w:bookmarkStart w:id="23" w:name="_Toc160701724"/>
      <w:r>
        <w:rPr>
          <w:rFonts w:hint="eastAsia" w:ascii="宋体" w:hAnsi="宋体" w:eastAsia="宋体" w:cs="宋体"/>
          <w:color w:val="000000" w:themeColor="text1"/>
          <w:sz w:val="21"/>
          <w:szCs w:val="21"/>
          <w:highlight w:val="none"/>
          <w14:textFill>
            <w14:solidFill>
              <w14:schemeClr w14:val="tx1"/>
            </w14:solidFill>
          </w14:textFill>
        </w:rPr>
        <w:t>八、资格证明文件</w:t>
      </w:r>
      <w:bookmarkEnd w:id="23"/>
    </w:p>
    <w:p w14:paraId="00BAF10B">
      <w:pPr>
        <w:rPr>
          <w:rFonts w:hint="eastAsia" w:ascii="宋体" w:hAnsi="宋体" w:eastAsia="宋体" w:cs="宋体"/>
          <w:b/>
          <w:bCs/>
          <w:color w:val="000000" w:themeColor="text1"/>
          <w:sz w:val="21"/>
          <w:szCs w:val="21"/>
          <w:highlight w:val="none"/>
          <w:lang w:val="zh-CN"/>
          <w14:textFill>
            <w14:solidFill>
              <w14:schemeClr w14:val="tx1"/>
            </w14:solidFill>
          </w14:textFill>
        </w:rPr>
      </w:pPr>
      <w:bookmarkStart w:id="24" w:name="_Toc160701725"/>
      <w:r>
        <w:rPr>
          <w:rFonts w:hint="eastAsia" w:ascii="宋体" w:hAnsi="宋体" w:eastAsia="宋体" w:cs="宋体"/>
          <w:b/>
          <w:bCs/>
          <w:color w:val="000000" w:themeColor="text1"/>
          <w:sz w:val="21"/>
          <w:szCs w:val="21"/>
          <w:highlight w:val="none"/>
          <w:lang w:val="zh-CN"/>
          <w14:textFill>
            <w14:solidFill>
              <w14:schemeClr w14:val="tx1"/>
            </w14:solidFill>
          </w14:textFill>
        </w:rPr>
        <w:t>8.1、关于资格文件的声明函</w:t>
      </w:r>
      <w:bookmarkEnd w:id="24"/>
    </w:p>
    <w:p w14:paraId="4F83D088">
      <w:pPr>
        <w:pStyle w:val="13"/>
        <w:ind w:firstLine="0"/>
        <w:rPr>
          <w:rFonts w:hint="eastAsia" w:ascii="宋体" w:hAnsi="宋体" w:eastAsia="宋体" w:cs="宋体"/>
          <w:b/>
          <w:color w:val="000000" w:themeColor="text1"/>
          <w:sz w:val="21"/>
          <w:szCs w:val="21"/>
          <w:highlight w:val="none"/>
          <w14:textFill>
            <w14:solidFill>
              <w14:schemeClr w14:val="tx1"/>
            </w14:solidFill>
          </w14:textFill>
        </w:rPr>
      </w:pPr>
    </w:p>
    <w:p w14:paraId="6B95DFB4">
      <w:pPr>
        <w:pStyle w:val="13"/>
        <w:ind w:firstLine="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关于资格文件的声明函</w:t>
      </w:r>
    </w:p>
    <w:p w14:paraId="35CDD3F2">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p>
    <w:p w14:paraId="514611FD">
      <w:pPr>
        <w:pStyle w:val="13"/>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12467659">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号的招标活动进行投标。本公司所提交的投标文件中所有关于投标资格的文件、证明和陈述均是真实的、准确的。若与真实情况不符，本公司愿意承担由此而产生的一切后果。</w:t>
      </w:r>
    </w:p>
    <w:p w14:paraId="69492D1E">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2、我方已知晓竞争性招标文件要求并认真审核自身情况，在此郑重声明，我方遵守如下条款的规定：</w:t>
      </w:r>
    </w:p>
    <w:p w14:paraId="12E3E54F">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（1）除单一来源采购项目外，为采购项目提供整体设计、规范编制或者项目管理、监理、检测等服务的供应商，不得再参加该采购项目的其他采购活动。</w:t>
      </w:r>
    </w:p>
    <w:p w14:paraId="4D188298">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（2）单位负责人为同一人或者存在直接控股、管理关系的不同供应商（包含法定代表人为同一个人的两个及两个以上法人，母公司、全资子公司及其控股公司），不得参加同一合同项下的政府采购活动。</w:t>
      </w:r>
    </w:p>
    <w:p w14:paraId="7F72629F">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本声明如有虚假或不实之处，我方将失去合格供应商资格。</w:t>
      </w:r>
    </w:p>
    <w:p w14:paraId="00497042">
      <w:pPr>
        <w:rPr>
          <w:rFonts w:hint="eastAsia" w:ascii="宋体" w:hAnsi="宋体" w:eastAsia="宋体" w:cs="宋体"/>
          <w:color w:val="000000" w:themeColor="text1"/>
          <w:sz w:val="21"/>
          <w:szCs w:val="21"/>
          <w:highlight w:val="none"/>
          <w14:textFill>
            <w14:solidFill>
              <w14:schemeClr w14:val="tx1"/>
            </w14:solidFill>
          </w14:textFill>
        </w:rPr>
      </w:pPr>
    </w:p>
    <w:p w14:paraId="0505219B">
      <w:pPr>
        <w:rPr>
          <w:rFonts w:hint="eastAsia" w:ascii="宋体" w:hAnsi="宋体" w:eastAsia="宋体" w:cs="宋体"/>
          <w:color w:val="000000" w:themeColor="text1"/>
          <w:sz w:val="21"/>
          <w:szCs w:val="21"/>
          <w:highlight w:val="none"/>
          <w14:textFill>
            <w14:solidFill>
              <w14:schemeClr w14:val="tx1"/>
            </w14:solidFill>
          </w14:textFill>
        </w:rPr>
      </w:pPr>
    </w:p>
    <w:p w14:paraId="2F4D86FA">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7043C4C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18262F1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561FDB83">
      <w:pPr>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19B4625E">
      <w:pPr>
        <w:pStyle w:val="13"/>
        <w:spacing w:line="400" w:lineRule="exact"/>
        <w:ind w:firstLine="0"/>
        <w:rPr>
          <w:rFonts w:hint="eastAsia" w:ascii="宋体" w:hAnsi="宋体" w:eastAsia="宋体" w:cs="宋体"/>
          <w:color w:val="000000" w:themeColor="text1"/>
          <w:sz w:val="21"/>
          <w:szCs w:val="21"/>
          <w:highlight w:val="none"/>
          <w14:textFill>
            <w14:solidFill>
              <w14:schemeClr w14:val="tx1"/>
            </w14:solidFill>
          </w14:textFill>
        </w:rPr>
      </w:pPr>
    </w:p>
    <w:p w14:paraId="4CF2E721">
      <w:pPr>
        <w:pStyle w:val="23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14:textFill>
            <w14:solidFill>
              <w14:schemeClr w14:val="tx1"/>
            </w14:solidFill>
          </w14:textFill>
        </w:rPr>
        <w:t>8.2供应商</w:t>
      </w:r>
      <w:r>
        <w:rPr>
          <w:rFonts w:hint="eastAsia" w:ascii="宋体" w:hAnsi="宋体" w:eastAsia="宋体" w:cs="宋体"/>
          <w:color w:val="000000" w:themeColor="text1"/>
          <w:sz w:val="21"/>
          <w:szCs w:val="21"/>
          <w:highlight w:val="none"/>
          <w:lang w:val="zh-CN"/>
          <w14:textFill>
            <w14:solidFill>
              <w14:schemeClr w14:val="tx1"/>
            </w14:solidFill>
          </w14:textFill>
        </w:rPr>
        <w:t>与其他单位存在控股、管理关系情况表</w:t>
      </w:r>
    </w:p>
    <w:p w14:paraId="5367B611">
      <w:pPr>
        <w:pBdr>
          <w:top w:val="none" w:color="000000" w:sz="0" w:space="0"/>
          <w:left w:val="none" w:color="000000" w:sz="0" w:space="0"/>
          <w:bottom w:val="none" w:color="000000" w:sz="0" w:space="0"/>
          <w:right w:val="none" w:color="000000" w:sz="0" w:space="0"/>
        </w:pBdr>
        <w:spacing w:line="360" w:lineRule="auto"/>
        <w:ind w:firstLine="48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w:t>
      </w:r>
      <w:r>
        <w:rPr>
          <w:rFonts w:hint="eastAsia" w:ascii="宋体" w:hAnsi="宋体" w:eastAsia="宋体" w:cs="宋体"/>
          <w:b/>
          <w:color w:val="000000" w:themeColor="text1"/>
          <w:sz w:val="21"/>
          <w:szCs w:val="21"/>
          <w:highlight w:val="none"/>
          <w:lang w:val="zh-CN"/>
          <w14:textFill>
            <w14:solidFill>
              <w14:schemeClr w14:val="tx1"/>
            </w14:solidFill>
          </w14:textFill>
        </w:rPr>
        <w:t>与其他单位存在控股、管理关系情况表</w:t>
      </w:r>
    </w:p>
    <w:p w14:paraId="3D8C3A3F">
      <w:pPr>
        <w:pStyle w:val="268"/>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采购编号：</w:t>
      </w:r>
    </w:p>
    <w:tbl>
      <w:tblPr>
        <w:tblStyle w:val="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1"/>
        <w:gridCol w:w="4261"/>
      </w:tblGrid>
      <w:tr w14:paraId="50E67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2500" w:type="pct"/>
            <w:noWrap w:val="0"/>
          </w:tcPr>
          <w:p w14:paraId="50DB844E">
            <w:pPr>
              <w:pStyle w:val="69"/>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与</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lang w:val="zh-CN"/>
                <w14:textFill>
                  <w14:solidFill>
                    <w14:schemeClr w14:val="tx1"/>
                  </w14:solidFill>
                </w14:textFill>
              </w:rPr>
              <w:t>存在控股、管理关系的单位名称</w:t>
            </w:r>
          </w:p>
        </w:tc>
        <w:tc>
          <w:tcPr>
            <w:tcW w:w="2500" w:type="pct"/>
            <w:noWrap w:val="0"/>
          </w:tcPr>
          <w:p w14:paraId="4278221B">
            <w:pPr>
              <w:pStyle w:val="69"/>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控股、管理关系情况说明</w:t>
            </w:r>
          </w:p>
        </w:tc>
      </w:tr>
      <w:tr w14:paraId="3D8EF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2500" w:type="pct"/>
            <w:noWrap w:val="0"/>
          </w:tcPr>
          <w:p w14:paraId="5657D354">
            <w:pPr>
              <w:pStyle w:val="69"/>
              <w:rPr>
                <w:rFonts w:hint="eastAsia" w:ascii="宋体" w:hAnsi="宋体" w:eastAsia="宋体" w:cs="宋体"/>
                <w:color w:val="000000" w:themeColor="text1"/>
                <w:sz w:val="21"/>
                <w:szCs w:val="21"/>
                <w:highlight w:val="none"/>
                <w14:textFill>
                  <w14:solidFill>
                    <w14:schemeClr w14:val="tx1"/>
                  </w14:solidFill>
                </w14:textFill>
              </w:rPr>
            </w:pPr>
          </w:p>
        </w:tc>
        <w:tc>
          <w:tcPr>
            <w:tcW w:w="2500" w:type="pct"/>
            <w:noWrap w:val="0"/>
          </w:tcPr>
          <w:p w14:paraId="756AD292">
            <w:pPr>
              <w:pStyle w:val="69"/>
              <w:rPr>
                <w:rFonts w:hint="eastAsia" w:ascii="宋体" w:hAnsi="宋体" w:eastAsia="宋体" w:cs="宋体"/>
                <w:color w:val="000000" w:themeColor="text1"/>
                <w:sz w:val="21"/>
                <w:szCs w:val="21"/>
                <w:highlight w:val="none"/>
                <w14:textFill>
                  <w14:solidFill>
                    <w14:schemeClr w14:val="tx1"/>
                  </w14:solidFill>
                </w14:textFill>
              </w:rPr>
            </w:pPr>
          </w:p>
        </w:tc>
      </w:tr>
      <w:tr w14:paraId="44B68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2500" w:type="pct"/>
            <w:noWrap w:val="0"/>
          </w:tcPr>
          <w:p w14:paraId="34058918">
            <w:pPr>
              <w:pStyle w:val="69"/>
              <w:rPr>
                <w:rFonts w:hint="eastAsia" w:ascii="宋体" w:hAnsi="宋体" w:eastAsia="宋体" w:cs="宋体"/>
                <w:color w:val="000000" w:themeColor="text1"/>
                <w:sz w:val="21"/>
                <w:szCs w:val="21"/>
                <w:highlight w:val="none"/>
                <w14:textFill>
                  <w14:solidFill>
                    <w14:schemeClr w14:val="tx1"/>
                  </w14:solidFill>
                </w14:textFill>
              </w:rPr>
            </w:pPr>
          </w:p>
        </w:tc>
        <w:tc>
          <w:tcPr>
            <w:tcW w:w="2500" w:type="pct"/>
            <w:noWrap w:val="0"/>
          </w:tcPr>
          <w:p w14:paraId="18A3098D">
            <w:pPr>
              <w:pStyle w:val="69"/>
              <w:rPr>
                <w:rFonts w:hint="eastAsia" w:ascii="宋体" w:hAnsi="宋体" w:eastAsia="宋体" w:cs="宋体"/>
                <w:color w:val="000000" w:themeColor="text1"/>
                <w:sz w:val="21"/>
                <w:szCs w:val="21"/>
                <w:highlight w:val="none"/>
                <w14:textFill>
                  <w14:solidFill>
                    <w14:schemeClr w14:val="tx1"/>
                  </w14:solidFill>
                </w14:textFill>
              </w:rPr>
            </w:pPr>
          </w:p>
        </w:tc>
      </w:tr>
      <w:tr w14:paraId="273C5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2500" w:type="pct"/>
            <w:noWrap w:val="0"/>
          </w:tcPr>
          <w:p w14:paraId="550C800A">
            <w:pPr>
              <w:pStyle w:val="69"/>
              <w:rPr>
                <w:rFonts w:hint="eastAsia" w:ascii="宋体" w:hAnsi="宋体" w:eastAsia="宋体" w:cs="宋体"/>
                <w:color w:val="000000" w:themeColor="text1"/>
                <w:sz w:val="21"/>
                <w:szCs w:val="21"/>
                <w:highlight w:val="none"/>
                <w14:textFill>
                  <w14:solidFill>
                    <w14:schemeClr w14:val="tx1"/>
                  </w14:solidFill>
                </w14:textFill>
              </w:rPr>
            </w:pPr>
          </w:p>
        </w:tc>
        <w:tc>
          <w:tcPr>
            <w:tcW w:w="2500" w:type="pct"/>
            <w:noWrap w:val="0"/>
          </w:tcPr>
          <w:p w14:paraId="6B03BB9C">
            <w:pPr>
              <w:pStyle w:val="69"/>
              <w:rPr>
                <w:rFonts w:hint="eastAsia" w:ascii="宋体" w:hAnsi="宋体" w:eastAsia="宋体" w:cs="宋体"/>
                <w:color w:val="000000" w:themeColor="text1"/>
                <w:sz w:val="21"/>
                <w:szCs w:val="21"/>
                <w:highlight w:val="none"/>
                <w14:textFill>
                  <w14:solidFill>
                    <w14:schemeClr w14:val="tx1"/>
                  </w14:solidFill>
                </w14:textFill>
              </w:rPr>
            </w:pPr>
          </w:p>
        </w:tc>
      </w:tr>
      <w:tr w14:paraId="60C70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3" w:hRule="atLeast"/>
        </w:trPr>
        <w:tc>
          <w:tcPr>
            <w:tcW w:w="2500" w:type="pct"/>
            <w:noWrap w:val="0"/>
          </w:tcPr>
          <w:p w14:paraId="0321B085">
            <w:pPr>
              <w:pStyle w:val="69"/>
              <w:rPr>
                <w:rFonts w:hint="eastAsia" w:ascii="宋体" w:hAnsi="宋体" w:eastAsia="宋体" w:cs="宋体"/>
                <w:color w:val="000000" w:themeColor="text1"/>
                <w:sz w:val="21"/>
                <w:szCs w:val="21"/>
                <w:highlight w:val="none"/>
                <w14:textFill>
                  <w14:solidFill>
                    <w14:schemeClr w14:val="tx1"/>
                  </w14:solidFill>
                </w14:textFill>
              </w:rPr>
            </w:pPr>
          </w:p>
        </w:tc>
        <w:tc>
          <w:tcPr>
            <w:tcW w:w="2500" w:type="pct"/>
            <w:noWrap w:val="0"/>
          </w:tcPr>
          <w:p w14:paraId="61B53227">
            <w:pPr>
              <w:pStyle w:val="69"/>
              <w:rPr>
                <w:rFonts w:hint="eastAsia" w:ascii="宋体" w:hAnsi="宋体" w:eastAsia="宋体" w:cs="宋体"/>
                <w:color w:val="000000" w:themeColor="text1"/>
                <w:sz w:val="21"/>
                <w:szCs w:val="21"/>
                <w:highlight w:val="none"/>
                <w14:textFill>
                  <w14:solidFill>
                    <w14:schemeClr w14:val="tx1"/>
                  </w14:solidFill>
                </w14:textFill>
              </w:rPr>
            </w:pPr>
          </w:p>
        </w:tc>
      </w:tr>
    </w:tbl>
    <w:p w14:paraId="62AF55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lang w:val="zh-CN"/>
          <w14:textFill>
            <w14:solidFill>
              <w14:schemeClr w14:val="tx1"/>
            </w14:solidFill>
          </w14:textFill>
        </w:rPr>
        <w:t>须如实填写所有与之有控股管理关系的情况。</w:t>
      </w:r>
    </w:p>
    <w:p w14:paraId="539ED2BC">
      <w:pPr>
        <w:rPr>
          <w:rFonts w:hint="eastAsia" w:ascii="宋体" w:hAnsi="宋体" w:eastAsia="宋体" w:cs="宋体"/>
          <w:color w:val="000000" w:themeColor="text1"/>
          <w:sz w:val="21"/>
          <w:szCs w:val="21"/>
          <w:highlight w:val="none"/>
          <w14:textFill>
            <w14:solidFill>
              <w14:schemeClr w14:val="tx1"/>
            </w14:solidFill>
          </w14:textFill>
        </w:rPr>
      </w:pPr>
    </w:p>
    <w:p w14:paraId="417352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2BBAF0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法定代表人或代理人：（签字或签章）</w:t>
      </w:r>
    </w:p>
    <w:p w14:paraId="5C1886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48582B90">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8.3、供应商情况表</w:t>
      </w:r>
    </w:p>
    <w:p w14:paraId="4E0016D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供应商情况表</w:t>
      </w:r>
    </w:p>
    <w:p w14:paraId="058EB3B5">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单位名称（盖章）</w:t>
      </w:r>
    </w:p>
    <w:p w14:paraId="2C07067F">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招标编号：</w:t>
      </w:r>
    </w:p>
    <w:tbl>
      <w:tblPr>
        <w:tblStyle w:val="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456"/>
        <w:gridCol w:w="1791"/>
        <w:gridCol w:w="1351"/>
        <w:gridCol w:w="1781"/>
        <w:gridCol w:w="1140"/>
      </w:tblGrid>
      <w:tr w14:paraId="007BA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441" w:type="pct"/>
            <w:noWrap w:val="0"/>
          </w:tcPr>
          <w:p w14:paraId="3A128A51">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w:t>
            </w:r>
          </w:p>
        </w:tc>
        <w:tc>
          <w:tcPr>
            <w:tcW w:w="1051" w:type="pct"/>
            <w:noWrap w:val="0"/>
          </w:tcPr>
          <w:p w14:paraId="20C25357">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93" w:type="pct"/>
            <w:noWrap w:val="0"/>
          </w:tcPr>
          <w:p w14:paraId="17E1B48D">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成立日期</w:t>
            </w:r>
          </w:p>
        </w:tc>
        <w:tc>
          <w:tcPr>
            <w:tcW w:w="1713" w:type="pct"/>
            <w:gridSpan w:val="2"/>
            <w:noWrap w:val="0"/>
          </w:tcPr>
          <w:p w14:paraId="7C9CB15D">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080C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6C5EFCF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企业地址</w:t>
            </w:r>
          </w:p>
        </w:tc>
        <w:tc>
          <w:tcPr>
            <w:tcW w:w="1051" w:type="pct"/>
            <w:noWrap w:val="0"/>
          </w:tcPr>
          <w:p w14:paraId="51A3A63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793" w:type="pct"/>
            <w:noWrap w:val="0"/>
          </w:tcPr>
          <w:p w14:paraId="5992ACF1">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注册资本</w:t>
            </w:r>
          </w:p>
        </w:tc>
        <w:tc>
          <w:tcPr>
            <w:tcW w:w="1713" w:type="pct"/>
            <w:gridSpan w:val="2"/>
            <w:noWrap w:val="0"/>
          </w:tcPr>
          <w:p w14:paraId="63734CE2">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万元</w:t>
            </w:r>
          </w:p>
        </w:tc>
      </w:tr>
      <w:tr w14:paraId="4255F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703C292A">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经营范围</w:t>
            </w:r>
          </w:p>
        </w:tc>
        <w:tc>
          <w:tcPr>
            <w:tcW w:w="3558" w:type="pct"/>
            <w:gridSpan w:val="4"/>
            <w:noWrap w:val="0"/>
          </w:tcPr>
          <w:p w14:paraId="1A41D111">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376FB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05C6393C">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职工人数</w:t>
            </w:r>
          </w:p>
        </w:tc>
        <w:tc>
          <w:tcPr>
            <w:tcW w:w="1051" w:type="pct"/>
            <w:noWrap w:val="0"/>
          </w:tcPr>
          <w:p w14:paraId="29DDAB7F">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838" w:type="pct"/>
            <w:gridSpan w:val="2"/>
            <w:noWrap w:val="0"/>
          </w:tcPr>
          <w:p w14:paraId="7DF2B55C">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其中：有中高级以上职称的人数</w:t>
            </w:r>
          </w:p>
        </w:tc>
        <w:tc>
          <w:tcPr>
            <w:tcW w:w="667" w:type="pct"/>
            <w:noWrap w:val="0"/>
          </w:tcPr>
          <w:p w14:paraId="6A2CDF40">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66CAF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vAlign w:val="center"/>
          </w:tcPr>
          <w:p w14:paraId="4D82BA06">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资产总计</w:t>
            </w:r>
          </w:p>
        </w:tc>
        <w:tc>
          <w:tcPr>
            <w:tcW w:w="1051" w:type="pct"/>
            <w:noWrap w:val="0"/>
            <w:vAlign w:val="center"/>
          </w:tcPr>
          <w:p w14:paraId="4AF38BDF">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p>
        </w:tc>
        <w:tc>
          <w:tcPr>
            <w:tcW w:w="793" w:type="pct"/>
            <w:noWrap w:val="0"/>
            <w:vAlign w:val="center"/>
          </w:tcPr>
          <w:p w14:paraId="42C0B4B1">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净资产</w:t>
            </w:r>
          </w:p>
        </w:tc>
        <w:tc>
          <w:tcPr>
            <w:tcW w:w="1713" w:type="pct"/>
            <w:gridSpan w:val="2"/>
            <w:noWrap w:val="0"/>
            <w:vAlign w:val="center"/>
          </w:tcPr>
          <w:p w14:paraId="192C4BC4">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p>
        </w:tc>
      </w:tr>
      <w:tr w14:paraId="16707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vAlign w:val="center"/>
          </w:tcPr>
          <w:p w14:paraId="1E716250">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股东权益</w:t>
            </w:r>
          </w:p>
        </w:tc>
        <w:tc>
          <w:tcPr>
            <w:tcW w:w="1051" w:type="pct"/>
            <w:noWrap w:val="0"/>
            <w:vAlign w:val="center"/>
          </w:tcPr>
          <w:p w14:paraId="47AC6243">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p>
        </w:tc>
        <w:tc>
          <w:tcPr>
            <w:tcW w:w="793" w:type="pct"/>
            <w:noWrap w:val="0"/>
            <w:vAlign w:val="center"/>
          </w:tcPr>
          <w:p w14:paraId="33FE9DF6">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销售收入</w:t>
            </w:r>
          </w:p>
        </w:tc>
        <w:tc>
          <w:tcPr>
            <w:tcW w:w="1713" w:type="pct"/>
            <w:gridSpan w:val="2"/>
            <w:noWrap w:val="0"/>
            <w:vAlign w:val="center"/>
          </w:tcPr>
          <w:p w14:paraId="0B48B3DD">
            <w:pPr>
              <w:pStyle w:val="13"/>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          万元</w:t>
            </w:r>
          </w:p>
        </w:tc>
      </w:tr>
      <w:tr w14:paraId="2964D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11828F68">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实现利润</w:t>
            </w:r>
          </w:p>
        </w:tc>
        <w:tc>
          <w:tcPr>
            <w:tcW w:w="1051" w:type="pct"/>
            <w:noWrap w:val="0"/>
          </w:tcPr>
          <w:p w14:paraId="6AAA9E95">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    万元</w:t>
            </w:r>
          </w:p>
        </w:tc>
        <w:tc>
          <w:tcPr>
            <w:tcW w:w="793" w:type="pct"/>
            <w:noWrap w:val="0"/>
          </w:tcPr>
          <w:p w14:paraId="13EF45F1">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713" w:type="pct"/>
            <w:gridSpan w:val="2"/>
            <w:noWrap w:val="0"/>
          </w:tcPr>
          <w:p w14:paraId="5F104ADD">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9C84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03C2CE62">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营业面积（含厂房面积）</w:t>
            </w:r>
          </w:p>
        </w:tc>
        <w:tc>
          <w:tcPr>
            <w:tcW w:w="1051" w:type="pct"/>
            <w:noWrap w:val="0"/>
            <w:vAlign w:val="center"/>
          </w:tcPr>
          <w:p w14:paraId="313F61E1">
            <w:pPr>
              <w:pStyle w:val="13"/>
              <w:ind w:firstLine="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p>
        </w:tc>
        <w:tc>
          <w:tcPr>
            <w:tcW w:w="793" w:type="pct"/>
            <w:noWrap w:val="0"/>
          </w:tcPr>
          <w:p w14:paraId="5C6D800D">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其中：</w:t>
            </w:r>
          </w:p>
        </w:tc>
        <w:tc>
          <w:tcPr>
            <w:tcW w:w="1713" w:type="pct"/>
            <w:gridSpan w:val="2"/>
            <w:noWrap w:val="0"/>
          </w:tcPr>
          <w:p w14:paraId="3CF1AEB4">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自有面积         平方米</w:t>
            </w:r>
          </w:p>
          <w:p w14:paraId="2A2DC2A1">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承租面积         平方米</w:t>
            </w:r>
          </w:p>
        </w:tc>
      </w:tr>
      <w:tr w14:paraId="4FCE7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7" w:hRule="atLeast"/>
        </w:trPr>
        <w:tc>
          <w:tcPr>
            <w:tcW w:w="1441" w:type="pct"/>
            <w:noWrap w:val="0"/>
          </w:tcPr>
          <w:p w14:paraId="7DC3CD2F">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单位简历及内设机构情况</w:t>
            </w:r>
          </w:p>
        </w:tc>
        <w:tc>
          <w:tcPr>
            <w:tcW w:w="3558" w:type="pct"/>
            <w:gridSpan w:val="4"/>
            <w:noWrap w:val="0"/>
          </w:tcPr>
          <w:p w14:paraId="482FF29A">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2AD72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49191508">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单位优势及特长</w:t>
            </w:r>
          </w:p>
        </w:tc>
        <w:tc>
          <w:tcPr>
            <w:tcW w:w="3558" w:type="pct"/>
            <w:gridSpan w:val="4"/>
            <w:noWrap w:val="0"/>
          </w:tcPr>
          <w:p w14:paraId="3E3AB5AE">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0093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02D0B8F8">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是否处于被行政或司法机关责令停业或停止承接工程任务或停止投标资格</w:t>
            </w:r>
          </w:p>
        </w:tc>
        <w:tc>
          <w:tcPr>
            <w:tcW w:w="3558" w:type="pct"/>
            <w:gridSpan w:val="4"/>
            <w:noWrap w:val="0"/>
          </w:tcPr>
          <w:p w14:paraId="148437A3">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7033D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2DD9DAD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最近2年内在经营过程中受到何种奖励或处分（包括情况和结果）</w:t>
            </w:r>
          </w:p>
        </w:tc>
        <w:tc>
          <w:tcPr>
            <w:tcW w:w="3558" w:type="pct"/>
            <w:gridSpan w:val="4"/>
            <w:noWrap w:val="0"/>
          </w:tcPr>
          <w:p w14:paraId="4F9B7829">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7E2E7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1BD8E550">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最近3年内有无因售假、售劣或是其他原因被消费者投诉或起诉的情况及说明（包括解决方式和结果）</w:t>
            </w:r>
          </w:p>
        </w:tc>
        <w:tc>
          <w:tcPr>
            <w:tcW w:w="3558" w:type="pct"/>
            <w:gridSpan w:val="4"/>
            <w:noWrap w:val="0"/>
          </w:tcPr>
          <w:p w14:paraId="50C8150D">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F506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11E9E9D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最近3年内主要负责人有无因经济犯罪被司法机关追究的情况及说明</w:t>
            </w:r>
          </w:p>
        </w:tc>
        <w:tc>
          <w:tcPr>
            <w:tcW w:w="3558" w:type="pct"/>
            <w:gridSpan w:val="4"/>
            <w:noWrap w:val="0"/>
          </w:tcPr>
          <w:p w14:paraId="7AE9CF7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74189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1441" w:type="pct"/>
            <w:noWrap w:val="0"/>
          </w:tcPr>
          <w:p w14:paraId="57F9A7C0">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获得技术认证的工程师及简介</w:t>
            </w:r>
          </w:p>
        </w:tc>
        <w:tc>
          <w:tcPr>
            <w:tcW w:w="3558" w:type="pct"/>
            <w:gridSpan w:val="4"/>
            <w:noWrap w:val="0"/>
          </w:tcPr>
          <w:p w14:paraId="4965EF5C">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0F23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1441" w:type="pct"/>
            <w:noWrap w:val="0"/>
          </w:tcPr>
          <w:p w14:paraId="7B2DD7C8">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其他需要说明的情况</w:t>
            </w:r>
          </w:p>
        </w:tc>
        <w:tc>
          <w:tcPr>
            <w:tcW w:w="3558" w:type="pct"/>
            <w:gridSpan w:val="4"/>
            <w:noWrap w:val="0"/>
          </w:tcPr>
          <w:p w14:paraId="646C69F9">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p>
        </w:tc>
      </w:tr>
    </w:tbl>
    <w:p w14:paraId="3F848E7B">
      <w:pPr>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九、</w:t>
      </w:r>
      <w:bookmarkStart w:id="25" w:name="_Toc405820241"/>
      <w:bookmarkStart w:id="26" w:name="_Toc348785015"/>
      <w:bookmarkStart w:id="27" w:name="_Toc405820181"/>
      <w:bookmarkStart w:id="28" w:name="_Toc348785370"/>
      <w:bookmarkStart w:id="29" w:name="_Toc382997005"/>
      <w:bookmarkStart w:id="30" w:name="_Toc348784829"/>
      <w:bookmarkStart w:id="31" w:name="_Toc405820406"/>
      <w:bookmarkStart w:id="32" w:name="_Toc405820303"/>
      <w:r>
        <w:rPr>
          <w:rFonts w:hint="eastAsia" w:ascii="宋体" w:hAnsi="宋体" w:eastAsia="宋体" w:cs="宋体"/>
          <w:b/>
          <w:color w:val="000000" w:themeColor="text1"/>
          <w:sz w:val="21"/>
          <w:szCs w:val="21"/>
          <w:highlight w:val="none"/>
          <w14:textFill>
            <w14:solidFill>
              <w14:schemeClr w14:val="tx1"/>
            </w14:solidFill>
          </w14:textFill>
        </w:rPr>
        <w:t>企业类似业绩一览表</w:t>
      </w:r>
    </w:p>
    <w:p w14:paraId="36B3ABE6">
      <w:pPr>
        <w:pStyle w:val="13"/>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招标编号：</w:t>
      </w:r>
    </w:p>
    <w:tbl>
      <w:tblPr>
        <w:tblStyle w:val="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2581"/>
        <w:gridCol w:w="1618"/>
        <w:gridCol w:w="1564"/>
        <w:gridCol w:w="1771"/>
      </w:tblGrid>
      <w:tr w14:paraId="3492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095C928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515" w:type="pct"/>
            <w:noWrap w:val="0"/>
            <w:vAlign w:val="center"/>
          </w:tcPr>
          <w:p w14:paraId="39B8CEF0">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950" w:type="pct"/>
            <w:noWrap w:val="0"/>
            <w:vAlign w:val="center"/>
          </w:tcPr>
          <w:p w14:paraId="7EED8CE6">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合同签订时间</w:t>
            </w:r>
          </w:p>
        </w:tc>
        <w:tc>
          <w:tcPr>
            <w:tcW w:w="918" w:type="pct"/>
            <w:noWrap w:val="0"/>
            <w:vAlign w:val="center"/>
          </w:tcPr>
          <w:p w14:paraId="724DB5C0">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业主单位名称</w:t>
            </w:r>
          </w:p>
        </w:tc>
        <w:tc>
          <w:tcPr>
            <w:tcW w:w="1039" w:type="pct"/>
            <w:noWrap w:val="0"/>
            <w:vAlign w:val="center"/>
          </w:tcPr>
          <w:p w14:paraId="28AB274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1168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3F44A54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515" w:type="pct"/>
            <w:noWrap w:val="0"/>
            <w:vAlign w:val="center"/>
          </w:tcPr>
          <w:p w14:paraId="40D4FB3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1055272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0FA582A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4B3A073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370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34F4FAD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515" w:type="pct"/>
            <w:noWrap w:val="0"/>
            <w:vAlign w:val="center"/>
          </w:tcPr>
          <w:p w14:paraId="2F0EBA6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6F47504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7353438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5EB783C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DF65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15E1D84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515" w:type="pct"/>
            <w:noWrap w:val="0"/>
            <w:vAlign w:val="center"/>
          </w:tcPr>
          <w:p w14:paraId="0BD9A5A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20686DB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154FD50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33C170B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87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63FE8EB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515" w:type="pct"/>
            <w:noWrap w:val="0"/>
            <w:vAlign w:val="center"/>
          </w:tcPr>
          <w:p w14:paraId="3856237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73CD860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5C11E9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55C03B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FB6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5FE1C2A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515" w:type="pct"/>
            <w:noWrap w:val="0"/>
            <w:vAlign w:val="center"/>
          </w:tcPr>
          <w:p w14:paraId="096B356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38B74E5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32B3AA2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0C42291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1E51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51E059C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1515" w:type="pct"/>
            <w:noWrap w:val="0"/>
            <w:vAlign w:val="center"/>
          </w:tcPr>
          <w:p w14:paraId="0F11E2A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2854682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5B67408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70008C7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4C6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1DFD198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0D198D6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726427A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1D0F942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6B401AC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A70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6D79F0C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48579D9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3A35C55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01C532E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62D5105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B99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48EFB4F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6B43F57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058A3B4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790642A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6DC1E7B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23D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7E816FF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76FCC42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0E0A7FD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4ECB323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2D625B1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D23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5275125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6D04CAA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1D2EE1C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6A4DF50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0963D40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6D0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3ECBB23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5E68F1B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5231578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74BC332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3DF93F3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9A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365F3AB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38ABF94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54EE00D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040B23E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734FE0D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FE7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4116C62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407EA54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21AE14A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2550266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7CCEF6C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813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pct"/>
            <w:noWrap w:val="0"/>
            <w:vAlign w:val="center"/>
          </w:tcPr>
          <w:p w14:paraId="47B2EF8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5" w:type="pct"/>
            <w:noWrap w:val="0"/>
            <w:vAlign w:val="center"/>
          </w:tcPr>
          <w:p w14:paraId="62827DC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0" w:type="pct"/>
            <w:noWrap w:val="0"/>
            <w:vAlign w:val="center"/>
          </w:tcPr>
          <w:p w14:paraId="3D38AFA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18" w:type="pct"/>
            <w:noWrap w:val="0"/>
            <w:vAlign w:val="center"/>
          </w:tcPr>
          <w:p w14:paraId="5B58EAE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39" w:type="pct"/>
            <w:noWrap w:val="0"/>
            <w:vAlign w:val="center"/>
          </w:tcPr>
          <w:p w14:paraId="0FDB47D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6F43EE53">
      <w:pPr>
        <w:rPr>
          <w:rFonts w:hint="eastAsia" w:ascii="宋体" w:hAnsi="宋体" w:eastAsia="宋体" w:cs="宋体"/>
          <w:color w:val="000000" w:themeColor="text1"/>
          <w:sz w:val="21"/>
          <w:szCs w:val="21"/>
          <w:highlight w:val="none"/>
          <w14:textFill>
            <w14:solidFill>
              <w14:schemeClr w14:val="tx1"/>
            </w14:solidFill>
          </w14:textFill>
        </w:rPr>
      </w:pPr>
    </w:p>
    <w:p w14:paraId="4B770C35">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供应商：（单位盖章）</w:t>
      </w:r>
    </w:p>
    <w:p w14:paraId="3F790FFE">
      <w:pPr>
        <w:rPr>
          <w:rFonts w:hint="eastAsia" w:ascii="宋体" w:hAnsi="宋体" w:eastAsia="宋体" w:cs="宋体"/>
          <w:color w:val="000000" w:themeColor="text1"/>
          <w:sz w:val="21"/>
          <w:szCs w:val="21"/>
          <w:highlight w:val="none"/>
          <w14:textFill>
            <w14:solidFill>
              <w14:schemeClr w14:val="tx1"/>
            </w14:solidFill>
          </w14:textFill>
        </w:rPr>
      </w:pPr>
    </w:p>
    <w:p w14:paraId="1E1C7D85">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143CF651">
      <w:pPr>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bookmarkEnd w:id="25"/>
    <w:bookmarkEnd w:id="26"/>
    <w:bookmarkEnd w:id="27"/>
    <w:bookmarkEnd w:id="28"/>
    <w:bookmarkEnd w:id="29"/>
    <w:bookmarkEnd w:id="30"/>
    <w:bookmarkEnd w:id="31"/>
    <w:bookmarkEnd w:id="32"/>
    <w:p w14:paraId="0E0EC37A">
      <w:pPr>
        <w:tabs>
          <w:tab w:val="left" w:pos="6798"/>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51BAE80">
      <w:pPr>
        <w:widowControl/>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十</w:t>
      </w:r>
      <w:r>
        <w:rPr>
          <w:rFonts w:hint="eastAsia" w:ascii="宋体" w:hAnsi="宋体" w:eastAsia="宋体" w:cs="宋体"/>
          <w:b/>
          <w:color w:val="000000" w:themeColor="text1"/>
          <w:sz w:val="21"/>
          <w:szCs w:val="21"/>
          <w:highlight w:val="none"/>
          <w:lang w:val="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投标（响应）保证承诺书</w:t>
      </w:r>
    </w:p>
    <w:p w14:paraId="591E606C">
      <w:pPr>
        <w:pStyle w:val="286"/>
        <w:ind w:firstLine="480"/>
        <w:jc w:val="center"/>
        <w:rPr>
          <w:rFonts w:hint="eastAsia" w:ascii="宋体" w:hAnsi="宋体" w:eastAsia="宋体" w:cs="宋体"/>
          <w:b/>
          <w:bCs/>
          <w:color w:val="000000" w:themeColor="text1"/>
          <w:szCs w:val="21"/>
          <w:highlight w:val="none"/>
          <w14:textFill>
            <w14:solidFill>
              <w14:schemeClr w14:val="tx1"/>
            </w14:solidFill>
          </w14:textFill>
        </w:rPr>
      </w:pPr>
    </w:p>
    <w:p w14:paraId="0080FF6F">
      <w:pPr>
        <w:pStyle w:val="286"/>
        <w:ind w:firstLine="480"/>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投标（响应）保证承诺书</w:t>
      </w:r>
    </w:p>
    <w:p w14:paraId="52171363">
      <w:pPr>
        <w:pStyle w:val="286"/>
        <w:spacing w:line="360" w:lineRule="auto"/>
        <w:ind w:firstLine="48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（招标代理机构名称）</w:t>
      </w:r>
    </w:p>
    <w:p w14:paraId="746274CE">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的投标（响应），并做出如下承诺：</w:t>
      </w:r>
    </w:p>
    <w:p w14:paraId="629719B9">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一、除不可抗力外，我单位如果发生以下行为，将在行为发生的10个工作日内，向贵方（或招标人）支付本采购文件公布的预算金额（或最高限价）的2%作为违约赔偿金。</w:t>
      </w:r>
    </w:p>
    <w:p w14:paraId="0D96DDEA">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1.自投标（响应）截止时间至本项目发布中标（成交）公告为止，撤销投标（响应）；</w:t>
      </w:r>
    </w:p>
    <w:p w14:paraId="55733F55">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2.中标（成交）后不依法与招标人签订合同；</w:t>
      </w:r>
    </w:p>
    <w:p w14:paraId="1A9F6CBD">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3.中标（成交）后不按本采购文件规定向招标人提交履约保证金（如有）；</w:t>
      </w:r>
    </w:p>
    <w:p w14:paraId="61F66AB2">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4.中标（成交）后不按本采购文件规定向贵方缴纳采购代理费。</w:t>
      </w:r>
    </w:p>
    <w:p w14:paraId="1567A008">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二、我单位知晓上述行为的法律后果，承认本承诺书作为贵方（或招标人）要求我单位履行违约赔偿义务的依据作用。</w:t>
      </w:r>
    </w:p>
    <w:p w14:paraId="331856E0">
      <w:pPr>
        <w:pStyle w:val="286"/>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p>
    <w:p w14:paraId="721E4995">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供应商：（公章）</w:t>
      </w:r>
    </w:p>
    <w:p w14:paraId="51C8E455">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021707BA">
      <w:pPr>
        <w:spacing w:line="360" w:lineRule="auto"/>
        <w:ind w:firstLine="48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54AC5FDA">
      <w:pPr>
        <w:spacing w:line="360" w:lineRule="auto"/>
        <w:ind w:firstLine="480"/>
        <w:rPr>
          <w:rFonts w:hint="eastAsia" w:ascii="宋体" w:hAnsi="宋体" w:eastAsia="宋体" w:cs="宋体"/>
          <w:color w:val="000000" w:themeColor="text1"/>
          <w:sz w:val="21"/>
          <w:szCs w:val="21"/>
          <w:highlight w:val="none"/>
          <w:lang w:val="zh-CN"/>
          <w14:textFill>
            <w14:solidFill>
              <w14:schemeClr w14:val="tx1"/>
            </w14:solidFill>
          </w14:textFill>
        </w:rPr>
      </w:pPr>
    </w:p>
    <w:p w14:paraId="78EE9C73">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十一、中小企业声明函</w:t>
      </w:r>
    </w:p>
    <w:p w14:paraId="1F9A14E8">
      <w:pPr>
        <w:spacing w:line="360" w:lineRule="auto"/>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p>
    <w:p w14:paraId="47475FB4">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sz w:val="21"/>
          <w:szCs w:val="21"/>
          <w:highlight w:val="none"/>
          <w:u w:val="single"/>
          <w14:textFill>
            <w14:solidFill>
              <w14:schemeClr w14:val="tx1"/>
            </w14:solidFill>
          </w14:textFill>
        </w:rPr>
        <w:t>（单位名称）</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eastAsia="宋体" w:cs="宋体"/>
          <w:color w:val="000000" w:themeColor="text1"/>
          <w:sz w:val="21"/>
          <w:szCs w:val="21"/>
          <w:highlight w:val="none"/>
          <w14:textFill>
            <w14:solidFill>
              <w14:schemeClr w14:val="tx1"/>
            </w14:solidFill>
          </w14:textFill>
        </w:rPr>
        <w:t>的采购活动，服务全部由符合政策要求的中小企业承接。相关企业（含联合体中的中小企业、签订分包意向协议的中小企业）的具体情况如下：</w:t>
      </w:r>
    </w:p>
    <w:p w14:paraId="7A36402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lang w:val="zh-CN"/>
          <w14:textFill>
            <w14:solidFill>
              <w14:schemeClr w14:val="tx1"/>
            </w14:solidFill>
          </w14:textFill>
        </w:rPr>
        <w:t>2026年智水苏州室外硬件运维项目</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其他未列明行业</w:t>
      </w:r>
      <w:r>
        <w:rPr>
          <w:rFonts w:hint="eastAsia" w:ascii="宋体" w:hAnsi="宋体" w:eastAsia="宋体" w:cs="宋体"/>
          <w:color w:val="000000" w:themeColor="text1"/>
          <w:sz w:val="21"/>
          <w:szCs w:val="21"/>
          <w:highlight w:val="none"/>
          <w14:textFill>
            <w14:solidFill>
              <w14:schemeClr w14:val="tx1"/>
            </w14:solidFill>
          </w14:textFill>
        </w:rPr>
        <w:t>；承建（承接）企业为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（企业名称）</w:t>
      </w:r>
      <w:r>
        <w:rPr>
          <w:rFonts w:hint="eastAsia" w:ascii="宋体" w:hAnsi="宋体" w:eastAsia="宋体" w:cs="宋体"/>
          <w:color w:val="000000" w:themeColor="text1"/>
          <w:sz w:val="21"/>
          <w:szCs w:val="21"/>
          <w:highlight w:val="none"/>
          <w14:textFill>
            <w14:solidFill>
              <w14:schemeClr w14:val="tx1"/>
            </w14:solidFill>
          </w14:textFill>
        </w:rPr>
        <w:t>，从业人员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万元，属于</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中型企业、</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小型企业、</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微型企业）</w:t>
      </w:r>
      <w:r>
        <w:rPr>
          <w:rFonts w:hint="eastAsia" w:ascii="宋体" w:hAnsi="宋体" w:eastAsia="宋体" w:cs="宋体"/>
          <w:color w:val="000000" w:themeColor="text1"/>
          <w:sz w:val="21"/>
          <w:szCs w:val="21"/>
          <w:highlight w:val="none"/>
          <w14:textFill>
            <w14:solidFill>
              <w14:schemeClr w14:val="tx1"/>
            </w14:solidFill>
          </w14:textFill>
        </w:rPr>
        <w:t>；</w:t>
      </w:r>
    </w:p>
    <w:p w14:paraId="30FBD69A">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p w14:paraId="53ADC714">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130ADAC1">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本企业对上述声明内容的真实性负责。如有虚假，将依法承担相应责任。</w:t>
      </w:r>
    </w:p>
    <w:p w14:paraId="169E5AE7">
      <w:pPr>
        <w:spacing w:line="360" w:lineRule="auto"/>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企业名称（盖章）：</w:t>
      </w:r>
    </w:p>
    <w:p w14:paraId="0E7E6C02">
      <w:pPr>
        <w:spacing w:line="360" w:lineRule="auto"/>
        <w:ind w:firstLine="6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   期：</w:t>
      </w:r>
    </w:p>
    <w:p w14:paraId="33C467B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p>
    <w:p w14:paraId="5243235F">
      <w:pPr>
        <w:numPr>
          <w:ilvl w:val="0"/>
          <w:numId w:val="4"/>
        </w:num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中小企业划分标准详见“工信部联企业〔2011〕300号通知中的《中小企业划型标准规定》”。</w:t>
      </w:r>
    </w:p>
    <w:p w14:paraId="7F608748">
      <w:pPr>
        <w:numPr>
          <w:ilvl w:val="0"/>
          <w:numId w:val="4"/>
        </w:num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如供应商认定本企业为中型、小型或微型企业，则需根据“工信部联企业〔2011〕300号”通知中的《中小企业划型标准规定》填报“中小企业声明函”</w:t>
      </w:r>
      <w:r>
        <w:rPr>
          <w:rFonts w:hint="eastAsia" w:ascii="宋体" w:hAnsi="宋体" w:eastAsia="宋体" w:cs="宋体"/>
          <w:b/>
          <w:color w:val="000000" w:themeColor="text1"/>
          <w:sz w:val="21"/>
          <w:szCs w:val="21"/>
          <w:highlight w:val="none"/>
          <w14:textFill>
            <w14:solidFill>
              <w14:schemeClr w14:val="tx1"/>
            </w14:solidFill>
          </w14:textFill>
        </w:rPr>
        <w:t>。</w:t>
      </w:r>
    </w:p>
    <w:p w14:paraId="70D2EA64">
      <w:pPr>
        <w:spacing w:line="360" w:lineRule="auto"/>
        <w:jc w:val="left"/>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3、从业人员、营业收入、资产总额填报上一年度数据，无上一年度数据的新成立企业可不填报。</w:t>
      </w:r>
    </w:p>
    <w:p w14:paraId="132E4365">
      <w:pPr>
        <w:spacing w:line="360" w:lineRule="auto"/>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4、供应商应对照中小企业划分标准和采购标的所属行业：</w:t>
      </w:r>
      <w:r>
        <w:rPr>
          <w:rFonts w:hint="eastAsia" w:ascii="宋体" w:hAnsi="宋体" w:eastAsia="宋体" w:cs="宋体"/>
          <w:b/>
          <w:bCs/>
          <w:color w:val="000000" w:themeColor="text1"/>
          <w:sz w:val="21"/>
          <w:szCs w:val="21"/>
          <w:highlight w:val="none"/>
          <w:u w:val="single"/>
          <w14:textFill>
            <w14:solidFill>
              <w14:schemeClr w14:val="tx1"/>
            </w14:solidFill>
          </w14:textFill>
        </w:rPr>
        <w:t>其他未列明行业</w:t>
      </w:r>
      <w:r>
        <w:rPr>
          <w:rFonts w:hint="eastAsia" w:ascii="宋体" w:hAnsi="宋体" w:eastAsia="宋体" w:cs="宋体"/>
          <w:b/>
          <w:color w:val="000000" w:themeColor="text1"/>
          <w:sz w:val="21"/>
          <w:szCs w:val="21"/>
          <w:highlight w:val="none"/>
          <w14:textFill>
            <w14:solidFill>
              <w14:schemeClr w14:val="tx1"/>
            </w14:solidFill>
          </w14:textFill>
        </w:rPr>
        <w:t xml:space="preserve"> ，如实、完整填报《中小企业声明函》，如未对（中型企业、小型企业、微型企业）进行勾选，视同非中、小、微企业，不享受相应扶持政策。</w:t>
      </w:r>
    </w:p>
    <w:p w14:paraId="7DFB7190">
      <w:pPr>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十二、残疾人福利性单位声明函</w:t>
      </w:r>
    </w:p>
    <w:p w14:paraId="3776BE01">
      <w:pPr>
        <w:pStyle w:val="13"/>
        <w:spacing w:line="360" w:lineRule="auto"/>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w:t>
      </w:r>
    </w:p>
    <w:p w14:paraId="3FDE9299">
      <w:pPr>
        <w:pStyle w:val="13"/>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000000" w:themeColor="text1"/>
          <w:sz w:val="21"/>
          <w:szCs w:val="21"/>
          <w:highlight w:val="none"/>
          <w:u w:val="single"/>
          <w14:textFill>
            <w14:solidFill>
              <w14:schemeClr w14:val="tx1"/>
            </w14:solidFill>
          </w14:textFill>
        </w:rPr>
        <w:t>（采购单位）</w:t>
      </w:r>
      <w:r>
        <w:rPr>
          <w:rFonts w:hint="eastAsia" w:ascii="宋体" w:hAnsi="宋体" w:eastAsia="宋体" w:cs="宋体"/>
          <w:color w:val="000000" w:themeColor="text1"/>
          <w:sz w:val="21"/>
          <w:szCs w:val="21"/>
          <w:highlight w:val="none"/>
          <w14:textFill>
            <w14:solidFill>
              <w14:schemeClr w14:val="tx1"/>
            </w14:solidFill>
          </w14:textFill>
        </w:rPr>
        <w:t xml:space="preserve"> 单位的</w:t>
      </w:r>
      <w:r>
        <w:rPr>
          <w:rFonts w:hint="eastAsia" w:ascii="宋体" w:hAnsi="宋体" w:eastAsia="宋体" w:cs="宋体"/>
          <w:color w:val="000000" w:themeColor="text1"/>
          <w:sz w:val="21"/>
          <w:szCs w:val="21"/>
          <w:highlight w:val="none"/>
          <w:u w:val="single"/>
          <w:lang w:val="zh-CN"/>
          <w14:textFill>
            <w14:solidFill>
              <w14:schemeClr w14:val="tx1"/>
            </w14:solidFill>
          </w14:textFill>
        </w:rPr>
        <w:t>（项目名称、招标编号）</w:t>
      </w:r>
      <w:r>
        <w:rPr>
          <w:rFonts w:hint="eastAsia" w:ascii="宋体" w:hAnsi="宋体" w:eastAsia="宋体" w:cs="宋体"/>
          <w:color w:val="000000" w:themeColor="text1"/>
          <w:sz w:val="21"/>
          <w:szCs w:val="21"/>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547FED3C">
      <w:pPr>
        <w:pStyle w:val="13"/>
        <w:spacing w:line="360" w:lineRule="auto"/>
        <w:ind w:firstLine="48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本单位对上述声明的真实性负责。如有虚假，将依法承担相应责任。</w:t>
      </w:r>
    </w:p>
    <w:p w14:paraId="248671E2">
      <w:pPr>
        <w:pStyle w:val="13"/>
        <w:spacing w:line="360" w:lineRule="auto"/>
        <w:ind w:firstLine="0"/>
        <w:rPr>
          <w:rFonts w:hint="eastAsia" w:ascii="宋体" w:hAnsi="宋体" w:eastAsia="宋体" w:cs="宋体"/>
          <w:b/>
          <w:bCs/>
          <w:color w:val="000000" w:themeColor="text1"/>
          <w:sz w:val="21"/>
          <w:szCs w:val="21"/>
          <w:highlight w:val="none"/>
          <w14:textFill>
            <w14:solidFill>
              <w14:schemeClr w14:val="tx1"/>
            </w14:solidFill>
          </w14:textFill>
        </w:rPr>
      </w:pPr>
    </w:p>
    <w:p w14:paraId="66D8A2F0">
      <w:pPr>
        <w:pStyle w:val="13"/>
        <w:spacing w:line="360" w:lineRule="auto"/>
        <w:ind w:firstLine="0"/>
        <w:rPr>
          <w:rFonts w:hint="eastAsia" w:ascii="宋体" w:hAnsi="宋体" w:eastAsia="宋体" w:cs="宋体"/>
          <w:b/>
          <w:bCs/>
          <w:color w:val="000000" w:themeColor="text1"/>
          <w:sz w:val="21"/>
          <w:szCs w:val="21"/>
          <w:highlight w:val="none"/>
          <w14:textFill>
            <w14:solidFill>
              <w14:schemeClr w14:val="tx1"/>
            </w14:solidFill>
          </w14:textFill>
        </w:rPr>
      </w:pPr>
    </w:p>
    <w:p w14:paraId="244F2D44">
      <w:pPr>
        <w:pStyle w:val="13"/>
        <w:spacing w:line="360" w:lineRule="auto"/>
        <w:ind w:firstLine="0"/>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供应商：         （单位盖章） </w:t>
      </w:r>
    </w:p>
    <w:p w14:paraId="446AE65A">
      <w:pPr>
        <w:pStyle w:val="13"/>
        <w:spacing w:line="360" w:lineRule="auto"/>
        <w:ind w:firstLine="0"/>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  期：       年      月    日</w:t>
      </w:r>
    </w:p>
    <w:p w14:paraId="319A90D6">
      <w:pPr>
        <w:pStyle w:val="13"/>
        <w:spacing w:line="360" w:lineRule="auto"/>
        <w:ind w:firstLine="0"/>
        <w:rPr>
          <w:rFonts w:hint="eastAsia" w:ascii="宋体" w:hAnsi="宋体" w:eastAsia="宋体" w:cs="宋体"/>
          <w:b/>
          <w:bCs/>
          <w:color w:val="000000" w:themeColor="text1"/>
          <w:sz w:val="21"/>
          <w:szCs w:val="21"/>
          <w:highlight w:val="none"/>
          <w14:textFill>
            <w14:solidFill>
              <w14:schemeClr w14:val="tx1"/>
            </w14:solidFill>
          </w14:textFill>
        </w:rPr>
      </w:pPr>
    </w:p>
    <w:p w14:paraId="00434FA4">
      <w:pPr>
        <w:spacing w:line="340" w:lineRule="exact"/>
        <w:rPr>
          <w:rFonts w:hint="eastAsia" w:ascii="宋体" w:hAnsi="宋体" w:eastAsia="宋体" w:cs="宋体"/>
          <w:color w:val="000000" w:themeColor="text1"/>
          <w:sz w:val="21"/>
          <w:szCs w:val="21"/>
          <w:highlight w:val="none"/>
          <w14:textFill>
            <w14:solidFill>
              <w14:schemeClr w14:val="tx1"/>
            </w14:solidFill>
          </w14:textFill>
        </w:rPr>
      </w:pPr>
    </w:p>
    <w:p w14:paraId="7D1C764C">
      <w:pPr>
        <w:pStyle w:val="3"/>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br w:type="page" w:clear="all"/>
      </w:r>
      <w:bookmarkStart w:id="33" w:name="_Toc494471873"/>
      <w:bookmarkStart w:id="34" w:name="_Toc160701726"/>
      <w:r>
        <w:rPr>
          <w:rFonts w:hint="eastAsia" w:ascii="宋体" w:hAnsi="宋体" w:eastAsia="宋体" w:cs="宋体"/>
          <w:color w:val="000000" w:themeColor="text1"/>
          <w:sz w:val="21"/>
          <w:szCs w:val="21"/>
          <w:highlight w:val="none"/>
          <w14:textFill>
            <w14:solidFill>
              <w14:schemeClr w14:val="tx1"/>
            </w14:solidFill>
          </w14:textFill>
        </w:rPr>
        <w:t>第四章 采购内容</w:t>
      </w:r>
      <w:bookmarkEnd w:id="18"/>
      <w:bookmarkEnd w:id="33"/>
      <w:bookmarkEnd w:id="34"/>
    </w:p>
    <w:p w14:paraId="2B8822FF">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bookmarkStart w:id="35" w:name="_Toc388026587"/>
      <w:r>
        <w:rPr>
          <w:rFonts w:hint="eastAsia" w:ascii="宋体" w:hAnsi="宋体" w:eastAsia="宋体" w:cs="宋体"/>
          <w:b/>
          <w:color w:val="000000" w:themeColor="text1"/>
          <w:sz w:val="21"/>
          <w:szCs w:val="21"/>
          <w:highlight w:val="none"/>
          <w:lang w:val="zh-CN"/>
          <w14:textFill>
            <w14:solidFill>
              <w14:schemeClr w14:val="tx1"/>
            </w14:solidFill>
          </w14:textFill>
        </w:rPr>
        <w:t>受</w:t>
      </w:r>
      <w:r>
        <w:rPr>
          <w:rFonts w:hint="eastAsia" w:ascii="宋体" w:hAnsi="宋体" w:eastAsia="宋体" w:cs="宋体"/>
          <w:b/>
          <w:color w:val="000000" w:themeColor="text1"/>
          <w:sz w:val="21"/>
          <w:szCs w:val="21"/>
          <w:highlight w:val="none"/>
          <w:u w:val="single"/>
          <w:lang w:val="zh-CN"/>
          <w14:textFill>
            <w14:solidFill>
              <w14:schemeClr w14:val="tx1"/>
            </w14:solidFill>
          </w14:textFill>
        </w:rPr>
        <w:t>苏州市水利水务信息调度指挥中心</w:t>
      </w:r>
      <w:r>
        <w:rPr>
          <w:rFonts w:hint="eastAsia" w:ascii="宋体" w:hAnsi="宋体" w:eastAsia="宋体" w:cs="宋体"/>
          <w:b/>
          <w:color w:val="000000" w:themeColor="text1"/>
          <w:sz w:val="21"/>
          <w:szCs w:val="21"/>
          <w:highlight w:val="none"/>
          <w:lang w:val="zh-CN"/>
          <w14:textFill>
            <w14:solidFill>
              <w14:schemeClr w14:val="tx1"/>
            </w14:solidFill>
          </w14:textFill>
        </w:rPr>
        <w:t>的委托，</w:t>
      </w:r>
      <w:r>
        <w:rPr>
          <w:rFonts w:hint="eastAsia" w:ascii="宋体" w:hAnsi="宋体" w:eastAsia="宋体" w:cs="宋体"/>
          <w:b/>
          <w:color w:val="000000" w:themeColor="text1"/>
          <w:sz w:val="21"/>
          <w:szCs w:val="21"/>
          <w:highlight w:val="none"/>
          <w:u w:val="single"/>
          <w:lang w:val="zh-CN"/>
          <w14:textFill>
            <w14:solidFill>
              <w14:schemeClr w14:val="tx1"/>
            </w14:solidFill>
          </w14:textFill>
        </w:rPr>
        <w:t>诚信金泰建设管理（苏州）有限公司</w:t>
      </w:r>
      <w:r>
        <w:rPr>
          <w:rFonts w:hint="eastAsia" w:ascii="宋体" w:hAnsi="宋体" w:eastAsia="宋体" w:cs="宋体"/>
          <w:b/>
          <w:color w:val="000000" w:themeColor="text1"/>
          <w:sz w:val="21"/>
          <w:szCs w:val="21"/>
          <w:highlight w:val="none"/>
          <w:lang w:val="zh-CN"/>
          <w14:textFill>
            <w14:solidFill>
              <w14:schemeClr w14:val="tx1"/>
            </w14:solidFill>
          </w14:textFill>
        </w:rPr>
        <w:t>作为招标代理人，为委托人拟采购的</w:t>
      </w:r>
      <w:r>
        <w:rPr>
          <w:rFonts w:hint="eastAsia" w:ascii="宋体" w:hAnsi="宋体" w:eastAsia="宋体" w:cs="宋体"/>
          <w:b/>
          <w:bCs/>
          <w:color w:val="000000" w:themeColor="text1"/>
          <w:sz w:val="21"/>
          <w:szCs w:val="21"/>
          <w:highlight w:val="none"/>
          <w:u w:val="single"/>
          <w:lang w:eastAsia="zh-CN"/>
          <w14:textFill>
            <w14:solidFill>
              <w14:schemeClr w14:val="tx1"/>
            </w14:solidFill>
          </w14:textFill>
        </w:rPr>
        <w:t>2026年智水苏州室外硬件运维项目</w:t>
      </w:r>
      <w:r>
        <w:rPr>
          <w:rFonts w:hint="eastAsia" w:ascii="宋体" w:hAnsi="宋体" w:eastAsia="宋体" w:cs="宋体"/>
          <w:b/>
          <w:color w:val="000000" w:themeColor="text1"/>
          <w:sz w:val="21"/>
          <w:szCs w:val="21"/>
          <w:highlight w:val="none"/>
          <w:lang w:val="zh-CN"/>
          <w14:textFill>
            <w14:solidFill>
              <w14:schemeClr w14:val="tx1"/>
            </w14:solidFill>
          </w14:textFill>
        </w:rPr>
        <w:t>进行国内公开招标。</w:t>
      </w:r>
    </w:p>
    <w:p w14:paraId="02014EB3">
      <w:pPr>
        <w:spacing w:line="360" w:lineRule="auto"/>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一、招标编号</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JSZC-320500-CXJT-G2026-0008</w:t>
      </w:r>
    </w:p>
    <w:p w14:paraId="40936A9B">
      <w:pPr>
        <w:spacing w:line="360" w:lineRule="auto"/>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二、招标内容</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2026年智水苏州室外硬件运维项目</w:t>
      </w:r>
    </w:p>
    <w:p w14:paraId="245F11EF">
      <w:pPr>
        <w:spacing w:line="360" w:lineRule="auto"/>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三、</w:t>
      </w:r>
      <w:bookmarkStart w:id="36" w:name="OLE_LINK5"/>
      <w:r>
        <w:rPr>
          <w:rFonts w:hint="eastAsia" w:ascii="宋体" w:hAnsi="宋体" w:eastAsia="宋体" w:cs="宋体"/>
          <w:b/>
          <w:bCs w:val="0"/>
          <w:color w:val="000000" w:themeColor="text1"/>
          <w:sz w:val="21"/>
          <w:szCs w:val="21"/>
          <w:highlight w:val="none"/>
          <w14:textFill>
            <w14:solidFill>
              <w14:schemeClr w14:val="tx1"/>
            </w14:solidFill>
          </w14:textFill>
        </w:rPr>
        <w:t>采购预算及最高限价</w:t>
      </w:r>
      <w:bookmarkEnd w:id="36"/>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贰佰叁拾柒万玖仟柒佰柒拾元整（¥2379770.00</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BFAC30F">
      <w:pPr>
        <w:spacing w:line="360" w:lineRule="auto"/>
        <w:ind w:firstLine="482"/>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四、采购需求：</w:t>
      </w:r>
    </w:p>
    <w:p w14:paraId="0073B5D3">
      <w:pPr>
        <w:tabs>
          <w:tab w:val="left" w:pos="42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（一）服务总体要求：</w:t>
      </w:r>
    </w:p>
    <w:p w14:paraId="72130843">
      <w:pPr>
        <w:tabs>
          <w:tab w:val="left" w:pos="42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1.服务设备列表：详见文件《设备清单》</w:t>
      </w:r>
    </w:p>
    <w:p w14:paraId="5F30DD69">
      <w:pPr>
        <w:tabs>
          <w:tab w:val="left" w:pos="42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2.服务期限：2</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个月。</w:t>
      </w:r>
    </w:p>
    <w:p w14:paraId="70AB0040">
      <w:pPr>
        <w:tabs>
          <w:tab w:val="left" w:pos="42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驻场+</w:t>
      </w:r>
      <w:r>
        <w:rPr>
          <w:rFonts w:hint="eastAsia" w:ascii="宋体" w:hAnsi="宋体" w:eastAsia="宋体" w:cs="宋体"/>
          <w:color w:val="000000" w:themeColor="text1"/>
          <w:sz w:val="21"/>
          <w:szCs w:val="21"/>
          <w:highlight w:val="none"/>
          <w14:textFill>
            <w14:solidFill>
              <w14:schemeClr w14:val="tx1"/>
            </w14:solidFill>
          </w14:textFill>
        </w:rPr>
        <w:t>野外巡检</w:t>
      </w:r>
    </w:p>
    <w:p w14:paraId="668B9D2E">
      <w:pPr>
        <w:tabs>
          <w:tab w:val="left" w:pos="567"/>
        </w:tabs>
        <w:wordWrap/>
        <w:adjustRightInd w:val="0"/>
        <w:snapToGrid w:val="0"/>
        <w:spacing w:line="360" w:lineRule="auto"/>
        <w:ind w:left="0" w:firstLine="422"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★乙方须组建不少于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人的运维技术支持团队，具体配置包括：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河道水位、流量设备运维</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巡查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人员1</w:t>
      </w:r>
      <w:r>
        <w:rPr>
          <w:rFonts w:hint="eastAsia" w:ascii="宋体" w:hAnsi="宋体" w:eastAsia="宋体" w:cs="宋体"/>
          <w:b/>
          <w:bCs/>
          <w:color w:val="000000" w:themeColor="text1"/>
          <w:sz w:val="21"/>
          <w:szCs w:val="21"/>
          <w:highlight w:val="none"/>
          <w14:textFill>
            <w14:solidFill>
              <w14:schemeClr w14:val="tx1"/>
            </w14:solidFill>
          </w14:textFill>
        </w:rPr>
        <w:t>人、技术</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人员</w:t>
      </w:r>
      <w:r>
        <w:rPr>
          <w:rFonts w:hint="eastAsia" w:ascii="宋体" w:hAnsi="宋体" w:eastAsia="宋体" w:cs="宋体"/>
          <w:b/>
          <w:bCs/>
          <w:color w:val="000000" w:themeColor="text1"/>
          <w:sz w:val="21"/>
          <w:szCs w:val="21"/>
          <w:highlight w:val="none"/>
          <w14:textFill>
            <w14:solidFill>
              <w14:schemeClr w14:val="tx1"/>
            </w14:solidFill>
          </w14:textFill>
        </w:rPr>
        <w:t>1人，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无人机</w:t>
      </w:r>
      <w:r>
        <w:rPr>
          <w:rFonts w:hint="eastAsia" w:ascii="宋体" w:hAnsi="宋体" w:eastAsia="宋体" w:cs="宋体"/>
          <w:b/>
          <w:bCs/>
          <w:color w:val="000000" w:themeColor="text1"/>
          <w:sz w:val="21"/>
          <w:szCs w:val="21"/>
          <w:highlight w:val="none"/>
          <w14:textFill>
            <w14:solidFill>
              <w14:schemeClr w14:val="tx1"/>
            </w14:solidFill>
          </w14:textFill>
        </w:rPr>
        <w:t>运维</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无人机飞行人员1人，测绘数据分析人员1人，飞行平台运维人员1人，</w:t>
      </w:r>
      <w:r>
        <w:rPr>
          <w:rFonts w:hint="eastAsia" w:ascii="宋体" w:hAnsi="宋体" w:eastAsia="宋体" w:cs="宋体"/>
          <w:b/>
          <w:bCs/>
          <w:color w:val="000000" w:themeColor="text1"/>
          <w:sz w:val="21"/>
          <w:szCs w:val="21"/>
          <w:highlight w:val="none"/>
          <w14:textFill>
            <w14:solidFill>
              <w14:schemeClr w14:val="tx1"/>
            </w14:solidFill>
          </w14:textFill>
        </w:rPr>
        <w:t>并于汛期（5月至9月）增派巡查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人员</w:t>
      </w:r>
      <w:r>
        <w:rPr>
          <w:rFonts w:hint="eastAsia" w:ascii="宋体" w:hAnsi="宋体" w:eastAsia="宋体" w:cs="宋体"/>
          <w:b/>
          <w:bCs/>
          <w:color w:val="000000" w:themeColor="text1"/>
          <w:sz w:val="21"/>
          <w:szCs w:val="21"/>
          <w:highlight w:val="none"/>
          <w14:textFill>
            <w14:solidFill>
              <w14:schemeClr w14:val="tx1"/>
            </w14:solidFill>
          </w14:textFill>
        </w:rPr>
        <w:t>2人；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另</w:t>
      </w:r>
      <w:r>
        <w:rPr>
          <w:rFonts w:hint="eastAsia" w:ascii="宋体" w:hAnsi="宋体" w:eastAsia="宋体" w:cs="宋体"/>
          <w:color w:val="000000" w:themeColor="text1"/>
          <w:sz w:val="21"/>
          <w:szCs w:val="21"/>
          <w:highlight w:val="none"/>
          <w14:textFill>
            <w14:solidFill>
              <w14:schemeClr w14:val="tx1"/>
            </w14:solidFill>
          </w14:textFill>
        </w:rPr>
        <w:t>须</w:t>
      </w:r>
      <w:r>
        <w:rPr>
          <w:rFonts w:hint="eastAsia" w:ascii="宋体" w:hAnsi="宋体" w:eastAsia="宋体" w:cs="宋体"/>
          <w:color w:val="000000" w:themeColor="text1"/>
          <w:sz w:val="21"/>
          <w:szCs w:val="21"/>
          <w:highlight w:val="none"/>
          <w:lang w:val="en-US" w:eastAsia="zh-CN"/>
          <w14:textFill>
            <w14:solidFill>
              <w14:schemeClr w14:val="tx1"/>
            </w14:solidFill>
          </w14:textFill>
        </w:rPr>
        <w:t>在上述人员中</w:t>
      </w:r>
      <w:r>
        <w:rPr>
          <w:rFonts w:hint="eastAsia" w:ascii="宋体" w:hAnsi="宋体" w:eastAsia="宋体" w:cs="宋体"/>
          <w:color w:val="000000" w:themeColor="text1"/>
          <w:sz w:val="21"/>
          <w:szCs w:val="21"/>
          <w:highlight w:val="none"/>
          <w14:textFill>
            <w14:solidFill>
              <w14:schemeClr w14:val="tx1"/>
            </w14:solidFill>
          </w14:textFill>
        </w:rPr>
        <w:t>指定1名经甲方认可的管理人员驻场，负责与甲方对接，统筹资源、监督执行、汇报情况、控制质量、管理变更及应急事项，以保障项目高效运作。</w:t>
      </w:r>
    </w:p>
    <w:p w14:paraId="7EC15456">
      <w:pPr>
        <w:tabs>
          <w:tab w:val="left" w:pos="42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4.乙方应提供专业化技术服务，主要负责以下工作：</w:t>
      </w:r>
    </w:p>
    <w:p w14:paraId="75A78137">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（1）《设备维护清单》中所有设备保障供电。</w:t>
      </w:r>
    </w:p>
    <w:p w14:paraId="26BF9D9E">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（2）免费维护维修《设备维护清单》范围内的所有设备（提供配件），保障其稳定运行。</w:t>
      </w:r>
    </w:p>
    <w:p w14:paraId="28EC3160">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（3）免费提供《设备维护清单》范围内所有设备的技术支持</w:t>
      </w:r>
      <w:r>
        <w:rPr>
          <w:rFonts w:hint="eastAsia" w:ascii="宋体" w:hAnsi="宋体" w:eastAsia="宋体" w:cs="宋体"/>
          <w:color w:val="000000" w:themeColor="text1"/>
          <w:sz w:val="21"/>
          <w:szCs w:val="21"/>
          <w:highlight w:val="none"/>
          <w:lang w:val="en-US" w:eastAsia="zh-CN"/>
          <w14:textFill>
            <w14:solidFill>
              <w14:schemeClr w14:val="tx1"/>
            </w14:solidFill>
          </w14:textFill>
        </w:rPr>
        <w:t>和网络安全</w:t>
      </w:r>
      <w:r>
        <w:rPr>
          <w:rFonts w:hint="eastAsia" w:ascii="宋体" w:hAnsi="宋体" w:eastAsia="宋体" w:cs="宋体"/>
          <w:color w:val="000000" w:themeColor="text1"/>
          <w:sz w:val="21"/>
          <w:szCs w:val="21"/>
          <w:highlight w:val="none"/>
          <w14:textFill>
            <w14:solidFill>
              <w14:schemeClr w14:val="tx1"/>
            </w14:solidFill>
          </w14:textFill>
        </w:rPr>
        <w:t>服务。</w:t>
      </w:r>
    </w:p>
    <w:p w14:paraId="232B6CAA">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（4）建立设备清单范围内的所有硬件设备各种故障的恢复流程及应急措施。</w:t>
      </w:r>
    </w:p>
    <w:p w14:paraId="65ADE0C6">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（5）在系统升级、重大节假日、防汛期间等对系统设备稳定运行要求较高的特殊情况时，根据甲方要求，由乙方安排工程师到指定场所24小时值班。</w:t>
      </w:r>
    </w:p>
    <w:p w14:paraId="3E9FF86B">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（6）乙方需定期安排人员对设备进行巡检，及时维修，</w:t>
      </w:r>
      <w:r>
        <w:rPr>
          <w:rFonts w:hint="eastAsia" w:ascii="宋体" w:hAnsi="宋体" w:eastAsia="宋体" w:cs="宋体"/>
          <w:color w:val="000000" w:themeColor="text1"/>
          <w:sz w:val="21"/>
          <w:szCs w:val="21"/>
          <w:highlight w:val="none"/>
          <w:lang w:val="en-US" w:eastAsia="zh-CN"/>
          <w14:textFill>
            <w14:solidFill>
              <w14:schemeClr w14:val="tx1"/>
            </w14:solidFill>
          </w14:textFill>
        </w:rPr>
        <w:t>同时按照甲方要求，提交包括但不限于每日、每周、</w:t>
      </w:r>
      <w:r>
        <w:rPr>
          <w:rFonts w:hint="eastAsia" w:ascii="宋体" w:hAnsi="宋体" w:eastAsia="宋体" w:cs="宋体"/>
          <w:color w:val="000000" w:themeColor="text1"/>
          <w:sz w:val="21"/>
          <w:szCs w:val="21"/>
          <w:highlight w:val="none"/>
          <w14:textFill>
            <w14:solidFill>
              <w14:schemeClr w14:val="tx1"/>
            </w14:solidFill>
          </w14:textFill>
        </w:rPr>
        <w:t>每月</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半年度、年度设备</w:t>
      </w:r>
      <w:r>
        <w:rPr>
          <w:rFonts w:hint="eastAsia" w:ascii="宋体" w:hAnsi="宋体" w:eastAsia="宋体" w:cs="宋体"/>
          <w:color w:val="000000" w:themeColor="text1"/>
          <w:sz w:val="21"/>
          <w:szCs w:val="21"/>
          <w:highlight w:val="none"/>
          <w14:textFill>
            <w14:solidFill>
              <w14:schemeClr w14:val="tx1"/>
            </w14:solidFill>
          </w14:textFill>
        </w:rPr>
        <w:t>巡查报告</w:t>
      </w:r>
      <w:r>
        <w:rPr>
          <w:rFonts w:hint="eastAsia" w:ascii="宋体" w:hAnsi="宋体" w:eastAsia="宋体" w:cs="宋体"/>
          <w:color w:val="000000" w:themeColor="text1"/>
          <w:sz w:val="21"/>
          <w:szCs w:val="21"/>
          <w:highlight w:val="none"/>
          <w:lang w:val="en-US" w:eastAsia="zh-CN"/>
          <w14:textFill>
            <w14:solidFill>
              <w14:schemeClr w14:val="tx1"/>
            </w14:solidFill>
          </w14:textFill>
        </w:rPr>
        <w:t>等相关台账内容</w:t>
      </w:r>
      <w:r>
        <w:rPr>
          <w:rFonts w:hint="eastAsia" w:ascii="宋体" w:hAnsi="宋体" w:eastAsia="宋体" w:cs="宋体"/>
          <w:color w:val="000000" w:themeColor="text1"/>
          <w:sz w:val="21"/>
          <w:szCs w:val="21"/>
          <w:highlight w:val="none"/>
          <w14:textFill>
            <w14:solidFill>
              <w14:schemeClr w14:val="tx1"/>
            </w14:solidFill>
          </w14:textFill>
        </w:rPr>
        <w:t>。</w:t>
      </w:r>
    </w:p>
    <w:p w14:paraId="294A83E6">
      <w:pPr>
        <w:tabs>
          <w:tab w:val="left" w:pos="567"/>
        </w:tabs>
        <w:wordWrap/>
        <w:adjustRightInd w:val="0"/>
        <w:snapToGrid w:val="0"/>
        <w:spacing w:line="360" w:lineRule="auto"/>
        <w:ind w:left="0" w:firstLine="630" w:firstLineChars="3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 乙方须免费提供绘图服务，包括提供1台支持A0幅面彩色打印的绘图仪（含2年配套耗材）及1台高性能绘图计算机，2年服务期，确保满足项目绘图需求。</w:t>
      </w:r>
    </w:p>
    <w:p w14:paraId="78820A11">
      <w:pPr>
        <w:tabs>
          <w:tab w:val="left" w:pos="567"/>
        </w:tabs>
        <w:wordWrap/>
        <w:adjustRightInd w:val="0"/>
        <w:snapToGrid w:val="0"/>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（8）乙方须免费提供钉钉宜搭等主流低代码平台的会员服务，并应结合本项目实际管理需求，负责定制开发、部署并交付一套专属的项目管理系统，以实现项目流程的数字化与智能化管理。</w:t>
      </w:r>
    </w:p>
    <w:p w14:paraId="58EA8147">
      <w:pPr>
        <w:tabs>
          <w:tab w:val="left" w:pos="567"/>
        </w:tabs>
        <w:adjustRightInd w:val="0"/>
        <w:snapToGrid w:val="0"/>
        <w:spacing w:line="360" w:lineRule="auto"/>
        <w:ind w:firstLine="420" w:firstLineChars="200"/>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（9）流量计安装位置、校测方案、校测报告均需组织专家评审。</w:t>
      </w:r>
    </w:p>
    <w:p w14:paraId="687283F5">
      <w:pPr>
        <w:pStyle w:val="2"/>
        <w:ind w:left="0" w:leftChars="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对现有设备位置信息进行系统性梳理与校准，统一提供基于国家大地坐标系（CGCS2000）的精确坐标数据，并同步转换为高德地图等主流互联网地图平台所采用的坐标系（如GCJ-02）下的位置信息，确保设备定位数据在专业测绘与大众应用等多场景下的准确性与兼容性。</w:t>
      </w:r>
    </w:p>
    <w:p w14:paraId="533E67D0">
      <w:pPr>
        <w:pStyle w:val="2"/>
        <w:tabs>
          <w:tab w:val="left" w:pos="420"/>
        </w:tabs>
        <w:wordWrap/>
        <w:adjustRightInd w:val="0"/>
        <w:snapToGrid w:val="0"/>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14:textFill>
            <w14:solidFill>
              <w14:schemeClr w14:val="tx1"/>
            </w14:solidFill>
          </w14:textFill>
        </w:rPr>
        <w:t>）《设备维护清单》及维护需求：</w:t>
      </w:r>
    </w:p>
    <w:tbl>
      <w:tblPr>
        <w:tblStyle w:val="5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2"/>
        <w:gridCol w:w="1119"/>
        <w:gridCol w:w="2915"/>
        <w:gridCol w:w="1525"/>
        <w:gridCol w:w="640"/>
        <w:gridCol w:w="641"/>
      </w:tblGrid>
      <w:tr w14:paraId="3247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blHeader/>
          <w:jc w:val="center"/>
        </w:trPr>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902EF">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大项名称</w:t>
            </w:r>
          </w:p>
        </w:tc>
        <w:tc>
          <w:tcPr>
            <w:tcW w:w="6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DE95">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明细名称</w:t>
            </w:r>
          </w:p>
        </w:tc>
        <w:tc>
          <w:tcPr>
            <w:tcW w:w="1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29521">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运维需求</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4CE9">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设备品牌型号</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4640">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数量</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9E698">
            <w:pPr>
              <w:keepNext w:val="0"/>
              <w:keepLines w:val="0"/>
              <w:widowControl/>
              <w:suppressLineNumbers w:val="0"/>
              <w:ind w:left="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单位</w:t>
            </w:r>
          </w:p>
        </w:tc>
      </w:tr>
      <w:tr w14:paraId="6F0FE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A381E">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水位设备运维</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ACCAE">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遥测终端</w:t>
            </w:r>
          </w:p>
        </w:tc>
        <w:tc>
          <w:tcPr>
            <w:tcW w:w="1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7E6EC1">
            <w:pPr>
              <w:keepNext w:val="0"/>
              <w:keepLines w:val="0"/>
              <w:widowControl/>
              <w:suppressLineNumbers w:val="0"/>
              <w:ind w:left="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1.每日远程查看水位在线情况及数据变化；</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2.每月现场巡检维护服务，汛期增加频次；</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3.提供设备正常运行所需的配件及相应维修服务；</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4.每年汛期前后需定期校准，确保水位、潮位数据真实可靠；</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5.保证设备月平均在线率95%以上（客观因素导致无法在线情况除外）。</w:t>
            </w: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8186">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弘泰VT-1001E</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A374DDA">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0F9D9">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47A44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29A7E">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B6D76">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雷达式水位计</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B15D7">
            <w:pPr>
              <w:ind w:left="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B1ECF">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海川博通HC.WLX-1</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F008A10">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A5DAE">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2E4A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FB8D2">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3ABD7">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遥测终端</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8B31E">
            <w:pPr>
              <w:ind w:left="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78D8A">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弘泰VT-1001E</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7CC0C8B">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8534E">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57F81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5" w:hRule="atLeast"/>
          <w:jc w:val="center"/>
        </w:trPr>
        <w:tc>
          <w:tcPr>
            <w:tcW w:w="9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57E5E">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A928">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浮子式水位计</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3180E">
            <w:pPr>
              <w:ind w:left="0"/>
              <w:jc w:val="left"/>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BF88F">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南水WFH-2A</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6367B7">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A074F">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6E4B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5" w:hRule="atLeast"/>
          <w:jc w:val="center"/>
        </w:trPr>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15D1">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江苏省水资源管理信息系统一期工程（苏州分工程）设备运维</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6E38">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取水计量、地下水水位计、遥测设施</w:t>
            </w:r>
          </w:p>
        </w:tc>
        <w:tc>
          <w:tcPr>
            <w:tcW w:w="1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CD04B">
            <w:pPr>
              <w:keepNext w:val="0"/>
              <w:keepLines w:val="0"/>
              <w:widowControl/>
              <w:suppressLineNumbers w:val="0"/>
              <w:ind w:left="0"/>
              <w:jc w:val="left"/>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1.每日通过江苏省水资源管理信息系统平台在线巡查监测站；</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2.每2个月对苏州分中心测站设备开展日常巡检维护；</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3.每2个月对苏州市级地下水位、流量现场与平台校对数据；</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4.及时处理故障测站等问题；</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5.按要求做好停用测站和新增测站的取消、迁建和新建工作；</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6.保障苏州分中心监测站月平均在线率95%以上（不可抗力、特殊因素除外）；</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7.做好运维成果档案，每2个月提交运维记录，每年提供年度运维报告。</w:t>
            </w: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27312">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D2D43">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58</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6E55D">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项</w:t>
            </w:r>
          </w:p>
        </w:tc>
      </w:tr>
      <w:tr w14:paraId="339CD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jc w:val="center"/>
        </w:trPr>
        <w:tc>
          <w:tcPr>
            <w:tcW w:w="987" w:type="pct"/>
            <w:vMerge w:val="restart"/>
            <w:tcBorders>
              <w:top w:val="single" w:color="000000" w:sz="4" w:space="0"/>
              <w:left w:val="single" w:color="000000" w:sz="4" w:space="0"/>
              <w:right w:val="single" w:color="000000" w:sz="4" w:space="0"/>
            </w:tcBorders>
            <w:shd w:val="clear" w:color="auto" w:fill="auto"/>
            <w:vAlign w:val="center"/>
          </w:tcPr>
          <w:p w14:paraId="4278B5FF">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无人机设备运维</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CBE57">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智能巡检无人机</w:t>
            </w:r>
          </w:p>
        </w:tc>
        <w:tc>
          <w:tcPr>
            <w:tcW w:w="1709" w:type="pct"/>
            <w:vMerge w:val="restart"/>
            <w:tcBorders>
              <w:top w:val="single" w:color="000000" w:sz="4" w:space="0"/>
              <w:left w:val="single" w:color="000000" w:sz="4" w:space="0"/>
              <w:right w:val="single" w:color="000000" w:sz="4" w:space="0"/>
            </w:tcBorders>
            <w:shd w:val="clear" w:color="auto" w:fill="auto"/>
            <w:vAlign w:val="center"/>
          </w:tcPr>
          <w:p w14:paraId="7E59EF02">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1.每周1次无人机飞行服务，做好影响拼接和数据处理，提供飞行报告；</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2.每周对无人机场、无人机开展巡检和维护工作，提供巡检报告；</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3.需购买无人机相关保险，操作人员需有无人机操作许可证等；</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4.免费提供无人机配套软件升级以及技术支撑等服务,做好网络安全的日常维护和整改工作；</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5.根据甲方工作开展需要，适当增加飞行频次</w:t>
            </w: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B3FA172">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FOY-M210</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0FEE4">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5CC40">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61428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jc w:val="center"/>
        </w:trPr>
        <w:tc>
          <w:tcPr>
            <w:tcW w:w="987" w:type="pct"/>
            <w:vMerge w:val="continue"/>
            <w:tcBorders>
              <w:left w:val="single" w:color="000000" w:sz="4" w:space="0"/>
              <w:right w:val="single" w:color="000000" w:sz="4" w:space="0"/>
            </w:tcBorders>
            <w:shd w:val="clear" w:color="auto" w:fill="auto"/>
            <w:vAlign w:val="center"/>
          </w:tcPr>
          <w:p w14:paraId="5425DFE7">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0CDD4">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无人机智能巡检机场</w:t>
            </w:r>
          </w:p>
        </w:tc>
        <w:tc>
          <w:tcPr>
            <w:tcW w:w="1709" w:type="pct"/>
            <w:vMerge w:val="continue"/>
            <w:tcBorders>
              <w:left w:val="single" w:color="000000" w:sz="4" w:space="0"/>
              <w:right w:val="single" w:color="000000" w:sz="4" w:space="0"/>
            </w:tcBorders>
            <w:shd w:val="clear" w:color="auto" w:fill="auto"/>
            <w:vAlign w:val="center"/>
          </w:tcPr>
          <w:p w14:paraId="0CBE7BA3">
            <w:pPr>
              <w:keepNext w:val="0"/>
              <w:keepLines w:val="0"/>
              <w:widowControl/>
              <w:suppressLineNumbers w:val="0"/>
              <w:ind w:left="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E81F5">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复亚智能FOY2.1.1</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72AAA">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54091">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32F6F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2" w:hRule="atLeast"/>
          <w:jc w:val="center"/>
        </w:trPr>
        <w:tc>
          <w:tcPr>
            <w:tcW w:w="987" w:type="pct"/>
            <w:vMerge w:val="continue"/>
            <w:tcBorders>
              <w:left w:val="single" w:color="000000" w:sz="4" w:space="0"/>
              <w:right w:val="single" w:color="000000" w:sz="4" w:space="0"/>
            </w:tcBorders>
            <w:shd w:val="clear" w:color="auto" w:fill="auto"/>
            <w:vAlign w:val="center"/>
          </w:tcPr>
          <w:p w14:paraId="129A62C9">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656" w:type="pct"/>
            <w:vMerge w:val="restart"/>
            <w:tcBorders>
              <w:top w:val="single" w:color="000000" w:sz="4" w:space="0"/>
              <w:left w:val="single" w:color="000000" w:sz="4" w:space="0"/>
              <w:right w:val="single" w:color="000000" w:sz="4" w:space="0"/>
            </w:tcBorders>
            <w:shd w:val="clear" w:color="auto" w:fill="auto"/>
            <w:vAlign w:val="center"/>
          </w:tcPr>
          <w:p w14:paraId="3D48023A">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无人机配套远程控制平台</w:t>
            </w:r>
          </w:p>
        </w:tc>
        <w:tc>
          <w:tcPr>
            <w:tcW w:w="1709" w:type="pct"/>
            <w:vMerge w:val="continue"/>
            <w:tcBorders>
              <w:left w:val="single" w:color="000000" w:sz="4" w:space="0"/>
              <w:right w:val="single" w:color="000000" w:sz="4" w:space="0"/>
            </w:tcBorders>
            <w:shd w:val="clear" w:color="auto" w:fill="auto"/>
            <w:vAlign w:val="center"/>
          </w:tcPr>
          <w:p w14:paraId="3774EB6D">
            <w:pPr>
              <w:keepNext w:val="0"/>
              <w:keepLines w:val="0"/>
              <w:widowControl/>
              <w:suppressLineNumbers w:val="0"/>
              <w:ind w:left="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14100">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ZFRT-中飞遥感人机远程控制平台</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387AE">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5C2A">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4DC1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987" w:type="pct"/>
            <w:vMerge w:val="continue"/>
            <w:tcBorders>
              <w:left w:val="single" w:color="000000" w:sz="4" w:space="0"/>
              <w:right w:val="single" w:color="000000" w:sz="4" w:space="0"/>
            </w:tcBorders>
            <w:shd w:val="clear" w:color="auto" w:fill="auto"/>
            <w:vAlign w:val="center"/>
          </w:tcPr>
          <w:p w14:paraId="2718AF35">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656" w:type="pct"/>
            <w:vMerge w:val="continue"/>
            <w:tcBorders>
              <w:left w:val="single" w:color="000000" w:sz="4" w:space="0"/>
              <w:right w:val="single" w:color="000000" w:sz="4" w:space="0"/>
            </w:tcBorders>
            <w:shd w:val="clear" w:color="auto" w:fill="auto"/>
            <w:vAlign w:val="center"/>
          </w:tcPr>
          <w:p w14:paraId="75E89D32">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1709" w:type="pct"/>
            <w:vMerge w:val="continue"/>
            <w:tcBorders>
              <w:left w:val="single" w:color="000000" w:sz="4" w:space="0"/>
              <w:right w:val="single" w:color="000000" w:sz="4" w:space="0"/>
            </w:tcBorders>
            <w:shd w:val="clear" w:color="auto" w:fill="auto"/>
            <w:vAlign w:val="center"/>
          </w:tcPr>
          <w:p w14:paraId="6A824E0F">
            <w:pPr>
              <w:keepNext w:val="0"/>
              <w:keepLines w:val="0"/>
              <w:widowControl/>
              <w:suppressLineNumbers w:val="0"/>
              <w:ind w:left="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74DB">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ZFRT-无人机任务管理系统</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E284">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E4DF2">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53E60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4" w:hRule="atLeast"/>
          <w:jc w:val="center"/>
        </w:trPr>
        <w:tc>
          <w:tcPr>
            <w:tcW w:w="987" w:type="pct"/>
            <w:vMerge w:val="continue"/>
            <w:tcBorders>
              <w:left w:val="single" w:color="000000" w:sz="4" w:space="0"/>
              <w:bottom w:val="single" w:color="000000" w:sz="4" w:space="0"/>
              <w:right w:val="single" w:color="000000" w:sz="4" w:space="0"/>
            </w:tcBorders>
            <w:shd w:val="clear" w:color="auto" w:fill="auto"/>
            <w:vAlign w:val="center"/>
          </w:tcPr>
          <w:p w14:paraId="35B1D2FB">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656" w:type="pct"/>
            <w:vMerge w:val="continue"/>
            <w:tcBorders>
              <w:left w:val="single" w:color="000000" w:sz="4" w:space="0"/>
              <w:bottom w:val="single" w:color="000000" w:sz="4" w:space="0"/>
              <w:right w:val="single" w:color="000000" w:sz="4" w:space="0"/>
            </w:tcBorders>
            <w:shd w:val="clear" w:color="auto" w:fill="auto"/>
            <w:vAlign w:val="center"/>
          </w:tcPr>
          <w:p w14:paraId="580A4656">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1709" w:type="pct"/>
            <w:vMerge w:val="continue"/>
            <w:tcBorders>
              <w:left w:val="single" w:color="000000" w:sz="4" w:space="0"/>
              <w:bottom w:val="single" w:color="000000" w:sz="4" w:space="0"/>
              <w:right w:val="single" w:color="000000" w:sz="4" w:space="0"/>
            </w:tcBorders>
            <w:shd w:val="clear" w:color="auto" w:fill="auto"/>
            <w:vAlign w:val="center"/>
          </w:tcPr>
          <w:p w14:paraId="66A02F92">
            <w:pPr>
              <w:keepNext w:val="0"/>
              <w:keepLines w:val="0"/>
              <w:widowControl/>
              <w:suppressLineNumbers w:val="0"/>
              <w:ind w:left="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FBC57">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ZFRT-影像拼接及数据处理系统</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CF0B">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3C2B">
            <w:pPr>
              <w:jc w:val="left"/>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套</w:t>
            </w:r>
          </w:p>
        </w:tc>
      </w:tr>
      <w:tr w14:paraId="1BC16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restart"/>
            <w:tcBorders>
              <w:top w:val="single" w:color="000000" w:sz="4" w:space="0"/>
              <w:left w:val="single" w:color="000000" w:sz="4" w:space="0"/>
              <w:bottom w:val="nil"/>
              <w:right w:val="single" w:color="000000" w:sz="4" w:space="0"/>
            </w:tcBorders>
            <w:shd w:val="clear" w:color="auto" w:fill="auto"/>
            <w:vAlign w:val="center"/>
          </w:tcPr>
          <w:p w14:paraId="4D48BD7A">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流量设备运维</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653E7">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ADCP流量计</w:t>
            </w:r>
          </w:p>
        </w:tc>
        <w:tc>
          <w:tcPr>
            <w:tcW w:w="17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29C9C4">
            <w:pPr>
              <w:keepNext w:val="0"/>
              <w:keepLines w:val="0"/>
              <w:widowControl/>
              <w:numPr>
                <w:ilvl w:val="0"/>
                <w:numId w:val="5"/>
              </w:numPr>
              <w:suppressLineNumbers w:val="0"/>
              <w:ind w:left="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每日检查数据在线情况，进行合理性分析，并做好记录；</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2.每月下载1次在线数据，并根据记录修正缺失或异常数据；</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3.每月开展1次到站检查维护工作；（重点检查ADCP设备、水位计、遥测终端、测流软件、电池电压以及现场测量设备三维姿态，汛期依据甲方需求，适当增加）</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4.保证设备月平均在线率90%以上（客观因素导致无法在线情况除外）</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5.需协调流量设备厂商做好校测等配合工作；</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6.每月5日前提交上月流量资料整编成果；</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7.根据甲方工作开展需要，适当增加到站检查维护频次。（如汛期、台风期间）；</w:t>
            </w:r>
          </w:p>
          <w:p w14:paraId="72DB3EB9">
            <w:pPr>
              <w:keepNext w:val="0"/>
              <w:keepLines w:val="0"/>
              <w:widowControl/>
              <w:numPr>
                <w:ilvl w:val="0"/>
                <w:numId w:val="6"/>
              </w:numPr>
              <w:suppressLineNumbers w:val="0"/>
              <w:jc w:val="left"/>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根据甲方实际工作需要，免费提供流量站迁移服务，将设备迁移至甲方指定地点；</w:t>
            </w:r>
          </w:p>
          <w:p w14:paraId="260A841D">
            <w:pPr>
              <w:pStyle w:val="2"/>
              <w:numPr>
                <w:ilvl w:val="0"/>
                <w:numId w:val="6"/>
              </w:numPr>
              <w:ind w:firstLine="0"/>
              <w:rPr>
                <w:rFonts w:hint="default" w:hAnsi="宋体" w:cs="宋体"/>
                <w:i w:val="0"/>
                <w:iCs w:val="0"/>
                <w:color w:val="000000" w:themeColor="text1"/>
                <w:sz w:val="21"/>
                <w:szCs w:val="21"/>
                <w:highlight w:val="none"/>
                <w:u w:val="none"/>
                <w:lang w:val="en-US" w:eastAsia="zh-CN"/>
                <w14:textFill>
                  <w14:solidFill>
                    <w14:schemeClr w14:val="tx1"/>
                  </w14:solidFill>
                </w14:textFill>
              </w:rPr>
            </w:pPr>
            <w:r>
              <w:rPr>
                <w:rFonts w:hint="eastAsia" w:hAnsi="宋体" w:cs="宋体"/>
                <w:i w:val="0"/>
                <w:iCs w:val="0"/>
                <w:color w:val="000000" w:themeColor="text1"/>
                <w:sz w:val="21"/>
                <w:szCs w:val="21"/>
                <w:highlight w:val="none"/>
                <w:u w:val="none"/>
                <w:lang w:val="en-US" w:eastAsia="zh-CN"/>
                <w14:textFill>
                  <w14:solidFill>
                    <w14:schemeClr w14:val="tx1"/>
                  </w14:solidFill>
                </w14:textFill>
              </w:rPr>
              <w:t>需提供本地化运维服务。</w:t>
            </w: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74379">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弘泰HT-HRV600</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057E7">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21</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9A3FE">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46098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nil"/>
              <w:right w:val="single" w:color="000000" w:sz="4" w:space="0"/>
            </w:tcBorders>
            <w:shd w:val="clear" w:color="auto" w:fill="auto"/>
            <w:vAlign w:val="center"/>
          </w:tcPr>
          <w:p w14:paraId="118BBA22">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500A3">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ADCP流量计</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9A80E">
            <w:pPr>
              <w:ind w:left="0"/>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F0DAD">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TRDI HI-HRV600</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15728">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D32F1">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20031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nil"/>
              <w:right w:val="single" w:color="000000" w:sz="4" w:space="0"/>
            </w:tcBorders>
            <w:shd w:val="clear" w:color="auto" w:fill="auto"/>
            <w:vAlign w:val="center"/>
          </w:tcPr>
          <w:p w14:paraId="0A240892">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60850">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遥测终端</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5EDB8">
            <w:pPr>
              <w:ind w:left="0"/>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928A4">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弘泰VT-1001E</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178D6">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23</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7B5B9">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2EF47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nil"/>
              <w:right w:val="single" w:color="000000" w:sz="4" w:space="0"/>
            </w:tcBorders>
            <w:shd w:val="clear" w:color="auto" w:fill="auto"/>
            <w:vAlign w:val="center"/>
          </w:tcPr>
          <w:p w14:paraId="2448980C">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0BFA5">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ADCP流量计</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3C92A">
            <w:pPr>
              <w:ind w:left="0"/>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A68B878">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南京灵快</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96D3C">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C0401">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018D8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9024F">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58911">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遥测终端</w:t>
            </w:r>
          </w:p>
        </w:tc>
        <w:tc>
          <w:tcPr>
            <w:tcW w:w="17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CB869">
            <w:pPr>
              <w:ind w:left="0"/>
              <w:rPr>
                <w:rFonts w:hint="eastAsia" w:ascii="宋体" w:hAnsi="宋体" w:eastAsia="宋体" w:cs="宋体"/>
                <w:i w:val="0"/>
                <w:iCs w:val="0"/>
                <w:color w:val="000000" w:themeColor="text1"/>
                <w:sz w:val="21"/>
                <w:szCs w:val="21"/>
                <w:highlight w:val="none"/>
                <w:u w:val="none"/>
                <w14:textFill>
                  <w14:solidFill>
                    <w14:schemeClr w14:val="tx1"/>
                  </w14:solidFill>
                </w14:textFill>
              </w:rPr>
            </w:pP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0B38B27">
            <w:pPr>
              <w:keepNext w:val="0"/>
              <w:keepLines w:val="0"/>
              <w:widowControl/>
              <w:suppressLineNumbers w:val="0"/>
              <w:ind w:left="0"/>
              <w:jc w:val="center"/>
              <w:textAlignment w:val="bottom"/>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B058B">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E103F">
            <w:pPr>
              <w:keepNext w:val="0"/>
              <w:keepLines w:val="0"/>
              <w:widowControl/>
              <w:suppressLineNumbers w:val="0"/>
              <w:ind w:left="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台</w:t>
            </w:r>
          </w:p>
        </w:tc>
      </w:tr>
      <w:tr w14:paraId="6DD4B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9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03B63">
            <w:pPr>
              <w:ind w:left="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流量设备校测</w:t>
            </w:r>
          </w:p>
        </w:tc>
        <w:tc>
          <w:tcPr>
            <w:tcW w:w="6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9BDB">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ADCP流量计</w:t>
            </w:r>
          </w:p>
        </w:tc>
        <w:tc>
          <w:tcPr>
            <w:tcW w:w="17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7AD01">
            <w:pPr>
              <w:numPr>
                <w:ilvl w:val="0"/>
                <w:numId w:val="7"/>
              </w:numPr>
              <w:ind w:left="0"/>
              <w:rPr>
                <w:rFonts w:hint="eastAsia" w:ascii="宋体" w:hAnsi="宋体" w:eastAsia="宋体" w:cs="宋体"/>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sz w:val="21"/>
                <w:szCs w:val="21"/>
                <w:highlight w:val="none"/>
                <w:u w:val="none"/>
                <w14:textFill>
                  <w14:solidFill>
                    <w14:schemeClr w14:val="tx1"/>
                  </w14:solidFill>
                </w14:textFill>
              </w:rPr>
              <w:t>“乙方须对共计24个流量监测站点开展</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校</w:t>
            </w:r>
            <w:r>
              <w:rPr>
                <w:rFonts w:hint="eastAsia" w:ascii="宋体" w:hAnsi="宋体" w:eastAsia="宋体" w:cs="宋体"/>
                <w:color w:val="000000" w:themeColor="text1"/>
                <w:sz w:val="21"/>
                <w:szCs w:val="21"/>
                <w:highlight w:val="none"/>
                <w:u w:val="none"/>
                <w14:textFill>
                  <w14:solidFill>
                    <w14:schemeClr w14:val="tx1"/>
                  </w14:solidFill>
                </w14:textFill>
              </w:rPr>
              <w:t>测工作，每个站点每年的测次不得少于12次。每次测流结果须经甲方审核确认后方为</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合格</w:t>
            </w:r>
            <w:r>
              <w:rPr>
                <w:rFonts w:hint="eastAsia" w:ascii="宋体" w:hAnsi="宋体" w:eastAsia="宋体" w:cs="宋体"/>
                <w:color w:val="000000" w:themeColor="text1"/>
                <w:sz w:val="21"/>
                <w:szCs w:val="21"/>
                <w:highlight w:val="none"/>
                <w:u w:val="none"/>
                <w14:textFill>
                  <w14:solidFill>
                    <w14:schemeClr w14:val="tx1"/>
                  </w14:solidFill>
                </w14:textFill>
              </w:rPr>
              <w:t>；未经甲方确认的测次，不计入年度测次统计</w:t>
            </w:r>
            <w:r>
              <w:rPr>
                <w:rFonts w:hint="eastAsia" w:ascii="宋体" w:hAnsi="宋体" w:eastAsia="宋体" w:cs="宋体"/>
                <w:color w:val="000000" w:themeColor="text1"/>
                <w:sz w:val="21"/>
                <w:szCs w:val="21"/>
                <w:highlight w:val="none"/>
                <w:u w:val="none"/>
                <w:lang w:eastAsia="zh-CN"/>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p>
          <w:p w14:paraId="3DDCF05B">
            <w:pPr>
              <w:numPr>
                <w:ilvl w:val="0"/>
                <w:numId w:val="7"/>
              </w:numPr>
              <w:ind w:left="0"/>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测点位置同河道流量站点位</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w:t>
            </w:r>
          </w:p>
          <w:p w14:paraId="0156A634">
            <w:pPr>
              <w:numPr>
                <w:ilvl w:val="0"/>
                <w:numId w:val="7"/>
              </w:numPr>
              <w:ind w:left="0"/>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对迁移至新位置的流量计进行校测； </w:t>
            </w:r>
          </w:p>
          <w:p w14:paraId="1F7AF850">
            <w:pPr>
              <w:numPr>
                <w:ilvl w:val="0"/>
                <w:numId w:val="7"/>
              </w:numPr>
              <w:rPr>
                <w:rFonts w:hint="default"/>
                <w:color w:val="000000" w:themeColor="text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根据甲方实际工作需要，对个别重点流量站适当增加校测次数。</w:t>
            </w:r>
          </w:p>
        </w:tc>
        <w:tc>
          <w:tcPr>
            <w:tcW w:w="8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294A1">
            <w:pPr>
              <w:keepNext w:val="0"/>
              <w:keepLines w:val="0"/>
              <w:widowControl/>
              <w:suppressLineNumbers w:val="0"/>
              <w:ind w:left="0"/>
              <w:jc w:val="center"/>
              <w:textAlignment w:val="bottom"/>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同流量计运维</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00F4">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24</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02224">
            <w:pPr>
              <w:keepNext w:val="0"/>
              <w:keepLines w:val="0"/>
              <w:widowControl/>
              <w:suppressLineNumbers w:val="0"/>
              <w:ind w:left="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站</w:t>
            </w:r>
          </w:p>
        </w:tc>
      </w:tr>
    </w:tbl>
    <w:p w14:paraId="23B5BB70">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其他详细技术标准、专项考核细则及特殊设备运维规范详见附件</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《设备运维管理要求》（试行）。</w:t>
      </w:r>
    </w:p>
    <w:p w14:paraId="7895A257">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（二）服务内容要求</w:t>
      </w:r>
    </w:p>
    <w:p w14:paraId="1DBCF451">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1.对</w:t>
      </w:r>
      <w:r>
        <w:rPr>
          <w:rFonts w:hint="eastAsia" w:ascii="宋体" w:hAnsi="宋体" w:eastAsia="宋体" w:cs="宋体"/>
          <w:color w:val="000000" w:themeColor="text1"/>
          <w:sz w:val="21"/>
          <w:szCs w:val="21"/>
          <w:highlight w:val="none"/>
          <w:lang w:val="en-US" w:eastAsia="zh-CN"/>
          <w14:textFill>
            <w14:solidFill>
              <w14:schemeClr w14:val="tx1"/>
            </w14:solidFill>
          </w14:textFill>
        </w:rPr>
        <w:t>运维技术</w:t>
      </w:r>
      <w:r>
        <w:rPr>
          <w:rFonts w:hint="eastAsia" w:ascii="宋体" w:hAnsi="宋体" w:eastAsia="宋体" w:cs="宋体"/>
          <w:color w:val="000000" w:themeColor="text1"/>
          <w:sz w:val="21"/>
          <w:szCs w:val="21"/>
          <w:highlight w:val="none"/>
          <w14:textFill>
            <w14:solidFill>
              <w14:schemeClr w14:val="tx1"/>
            </w14:solidFill>
          </w14:textFill>
        </w:rPr>
        <w:t>人员要求：</w:t>
      </w:r>
    </w:p>
    <w:p w14:paraId="6808170D">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投标单位选派具备相应技术能力的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运维</w:t>
      </w:r>
      <w:r>
        <w:rPr>
          <w:rFonts w:hint="eastAsia" w:ascii="宋体" w:hAnsi="宋体" w:eastAsia="宋体" w:cs="宋体"/>
          <w:color w:val="000000" w:themeColor="text1"/>
          <w:sz w:val="21"/>
          <w:szCs w:val="21"/>
          <w:highlight w:val="none"/>
          <w14:textFill>
            <w14:solidFill>
              <w14:schemeClr w14:val="tx1"/>
            </w14:solidFill>
          </w14:textFill>
        </w:rPr>
        <w:t>工程师，能够迅速定位故障，并提供相应解决方案。驻场人员的工作时间服从采购人的工作与作息时间要求（特殊情况除外），不得以任何理由推诿、拖延安排的工作。如发生3次以上违反采购人的规章制度、作息时间、不服从工作安排等违纪事件，采购人有权利要求中标人更换驻场工程师及中止合同并拒绝付款。</w:t>
      </w:r>
    </w:p>
    <w:p w14:paraId="1A9DC157">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中标人需提交人员管理办法。</w:t>
      </w:r>
    </w:p>
    <w:p w14:paraId="7198B5C6">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在合同服务期间，中标人不能擅自更换或撤离服务人员。如有人员调整，需提前30日书面告知采购人，得到采购人的认可同意，调整的服务人员需具备同等的服务能力。</w:t>
      </w:r>
    </w:p>
    <w:p w14:paraId="1DFCE834">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当被维护系统发生大规模故障时或甲乙双方共同认定，需要除驻场工程师外的更多技术工程师协助完成工作时，由中标人调配其他工程师参与维护工作；</w:t>
      </w:r>
    </w:p>
    <w:p w14:paraId="4DE33A43">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在服务期内做好本项目的技术服务工作；</w:t>
      </w:r>
    </w:p>
    <w:p w14:paraId="199C870C">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驻场时间：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根据甲方工作时间确定，5</w:t>
      </w:r>
      <w:r>
        <w:rPr>
          <w:rFonts w:hint="eastAsia" w:ascii="宋体" w:hAnsi="宋体" w:eastAsia="宋体" w:cs="宋体"/>
          <w:color w:val="000000" w:themeColor="text1"/>
          <w:sz w:val="21"/>
          <w:szCs w:val="21"/>
          <w:highlight w:val="none"/>
          <w14:textFill>
            <w14:solidFill>
              <w14:schemeClr w14:val="tx1"/>
            </w14:solidFill>
          </w14:textFill>
        </w:rPr>
        <w:t>天*</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小时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早8点30-晚5点30，中间休息1小时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，根据项目特点，驻场地点由</w:t>
      </w:r>
      <w:r>
        <w:rPr>
          <w:rFonts w:hint="eastAsia" w:ascii="宋体" w:hAnsi="宋体" w:eastAsia="宋体" w:cs="宋体"/>
          <w:color w:val="000000" w:themeColor="text1"/>
          <w:sz w:val="21"/>
          <w:szCs w:val="21"/>
          <w:highlight w:val="none"/>
          <w:lang w:val="en-US" w:eastAsia="zh-CN"/>
          <w14:textFill>
            <w14:solidFill>
              <w14:schemeClr w14:val="tx1"/>
            </w14:solidFill>
          </w14:textFill>
        </w:rPr>
        <w:t>甲方指定场所</w:t>
      </w:r>
      <w:r>
        <w:rPr>
          <w:rFonts w:hint="eastAsia" w:ascii="宋体" w:hAnsi="宋体" w:eastAsia="宋体" w:cs="宋体"/>
          <w:color w:val="000000" w:themeColor="text1"/>
          <w:sz w:val="21"/>
          <w:szCs w:val="21"/>
          <w:highlight w:val="none"/>
          <w14:textFill>
            <w14:solidFill>
              <w14:schemeClr w14:val="tx1"/>
            </w14:solidFill>
          </w14:textFill>
        </w:rPr>
        <w:t>提供。汛期（5月1日-9月30日）根据甲方要求，须安排1-</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人在甲方指定地点参与24小时值班值守。</w:t>
      </w:r>
    </w:p>
    <w:p w14:paraId="6D6F53F5">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2.驻场时间外的紧急响应式支持要求：</w:t>
      </w:r>
    </w:p>
    <w:p w14:paraId="1C46FDDC">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（1）技术支持热线：乙方应提供7×24技术支持热线服务。</w:t>
      </w:r>
    </w:p>
    <w:p w14:paraId="03A3EED7">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（2）故障报修热线：乙方应提供7×24故障报修服务热线电话，当产品发生故障时，甲方可以通过热线电话获得服务支持。乙方项目相关管理人员、技术工程师的电话要保持24小时开通，随时处理各种突发事件。</w:t>
      </w:r>
    </w:p>
    <w:p w14:paraId="190A6A06">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3.故障报修要求：</w:t>
      </w:r>
    </w:p>
    <w:p w14:paraId="0F7D88F3">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（1）乙方应具有快速故障诊断机制，包括故障诊断专家、知识库和相关工作流程。乙方接到甲方的故障报修电话后，应及时对故障进行分析确认，必要时可要求甲方提供有关问 题日志。</w:t>
      </w:r>
    </w:p>
    <w:p w14:paraId="4750D223">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（2）乙方根据故障诊断结果，采取包括更换产品以及其它相应措施，确保最短时间内恢复产品正常使用。</w:t>
      </w:r>
    </w:p>
    <w:p w14:paraId="6194A9A0">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（3）乙方应具有应急处理流程，当现场工程师遇到不能按时解决的疑难问题时，能够得到有效的后援支持。</w:t>
      </w:r>
    </w:p>
    <w:p w14:paraId="5EE8441A">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（4）故障等级定义及时间要求如下：</w:t>
      </w:r>
    </w:p>
    <w:p w14:paraId="086D42A5">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①故障等级要以采购人工程师判断级别为准，具体故障级别定义参考上表。</w:t>
      </w:r>
    </w:p>
    <w:p w14:paraId="5F3C2DBD">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②响应时间，指在所选择服务等级允许的服务时间内接到故障电话起，乙方所能够提供的正确的故障判断或有效解决方案的时间。</w:t>
      </w:r>
    </w:p>
    <w:p w14:paraId="15E62412">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③人员到达现场时间，指乙方做出响应后派驻维护人员到达指定故障地点的时间。</w:t>
      </w:r>
    </w:p>
    <w:p w14:paraId="4FE5E3F0">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④故障排除时间，指乙方做出响应后到故障完全解决的时间。</w:t>
      </w:r>
    </w:p>
    <w:p w14:paraId="1EFEA9C8">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4.保密需求：服务期防汛、抗旱会议内容涉及社会稳定，中标后乙方所有工作人员需与甲方（采购人）签署保密协议，对相关服务提供保密承诺。</w:t>
      </w:r>
    </w:p>
    <w:p w14:paraId="5CCA76DA">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计划性支持要求：因系统架构变更、应用调整、新业务上线投产等原因需要对该项目内维保产品进行变更操作时（包括安装、卸装、配置、调试等服务内容），以及甲方业务应用重要时段（如重大节假日、重大会议等关键业务时段），乙方要指派具有相关设备维保资历和经验的专业服务人员到现场实地操作和特护，如指定服务人员不能到现场服务，或在未得到甲方认可的情况下临时更换不符合规定条件的服务人员，甲方可单方面解除合同，另行安排服务商，并保留追究现乙方经济赔偿的权利。</w:t>
      </w:r>
    </w:p>
    <w:p w14:paraId="0FAD4255">
      <w:pPr>
        <w:tabs>
          <w:tab w:val="left" w:pos="567"/>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服务文档交付：乙方应主动与甲方技术部门及时沟通服务情况，按时提供年度服务方案和服务计划、年度服务总结报告（包括服务年度内技术服务总结报告和建议）；定期提供服务月报和年报（报告内容应包括维护服务内容、工作性质及服务时间统计、维护工作分析及评价并提供合理化建议），并对每一次重大故障和问题的原因、解决办法、完成情况等形成报告，详细记录故障时间、故障类型、处理时间、解决方法、维护质量、预防措施和维护人员等信息。每次维护工作结束时，乙方工程师要详细填写维护报告，并在15日内报送甲方相关部门，并由甲方相关部门填写意见和签字确认。</w:t>
      </w:r>
    </w:p>
    <w:p w14:paraId="2762993F">
      <w:pPr>
        <w:tabs>
          <w:tab w:val="left" w:pos="420"/>
        </w:tabs>
        <w:wordWrap/>
        <w:adjustRightInd w:val="0"/>
        <w:snapToGrid w:val="0"/>
        <w:spacing w:line="360" w:lineRule="auto"/>
        <w:ind w:left="0" w:firstLine="0" w:firstLineChars="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7.以上服务内容要求为</w:t>
      </w:r>
      <w:r>
        <w:rPr>
          <w:rFonts w:hint="eastAsia" w:ascii="宋体" w:hAnsi="宋体" w:eastAsia="宋体" w:cs="宋体"/>
          <w:color w:val="000000" w:themeColor="text1"/>
          <w:sz w:val="21"/>
          <w:szCs w:val="21"/>
          <w:highlight w:val="none"/>
          <w14:textFill>
            <w14:solidFill>
              <w14:schemeClr w14:val="tx1"/>
            </w14:solidFill>
          </w14:textFill>
        </w:rPr>
        <w:t>运维服务的基本要求，其他详细技术标准、专项考核细则及特殊设备运维规范详见附件《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设备运维管理要求</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投标人须完整响应主文件及附件中的所有条款，附件内容与主文件具有同等法律效力。</w:t>
      </w:r>
    </w:p>
    <w:p w14:paraId="51AD2362">
      <w:pPr>
        <w:pStyle w:val="2"/>
        <w:ind w:firstLine="0"/>
        <w:rPr>
          <w:rFonts w:hint="eastAsia" w:ascii="宋体" w:hAnsi="宋体" w:eastAsia="宋体" w:cs="宋体"/>
          <w:b/>
          <w:bCs/>
          <w:color w:val="000000" w:themeColor="text1"/>
          <w:sz w:val="21"/>
          <w:szCs w:val="21"/>
          <w:highlight w:val="none"/>
          <w14:textFill>
            <w14:solidFill>
              <w14:schemeClr w14:val="tx1"/>
            </w14:solidFill>
          </w14:textFill>
        </w:rPr>
      </w:pPr>
    </w:p>
    <w:p w14:paraId="47A4C3FC">
      <w:pPr>
        <w:tabs>
          <w:tab w:val="left" w:pos="420"/>
        </w:tabs>
        <w:wordWrap/>
        <w:adjustRightInd w:val="0"/>
        <w:snapToGrid w:val="0"/>
        <w:spacing w:line="360" w:lineRule="auto"/>
        <w:ind w:left="0" w:firstLine="0" w:firstLineChars="0"/>
        <w:rPr>
          <w:rFonts w:hint="eastAsia" w:ascii="宋体" w:hAnsi="宋体" w:eastAsia="宋体" w:cs="宋体"/>
          <w:b/>
          <w:bCs/>
          <w:color w:val="000000" w:themeColor="text1"/>
          <w:sz w:val="21"/>
          <w:szCs w:val="21"/>
          <w:highlight w:val="none"/>
          <w14:textFill>
            <w14:solidFill>
              <w14:schemeClr w14:val="tx1"/>
            </w14:solidFill>
          </w14:textFill>
        </w:rPr>
      </w:pPr>
      <w:bookmarkStart w:id="37" w:name="_Toc160701727"/>
      <w:bookmarkStart w:id="38" w:name="_Toc494471874"/>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bCs/>
          <w:color w:val="000000" w:themeColor="text1"/>
          <w:sz w:val="21"/>
          <w:szCs w:val="21"/>
          <w:highlight w:val="none"/>
          <w14:textFill>
            <w14:solidFill>
              <w14:schemeClr w14:val="tx1"/>
            </w14:solidFill>
          </w14:textFill>
        </w:rPr>
        <w:t>、综合说明</w:t>
      </w:r>
    </w:p>
    <w:p w14:paraId="16FF6601">
      <w:pPr>
        <w:tabs>
          <w:tab w:val="left" w:pos="420"/>
          <w:tab w:val="left" w:pos="54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1.投标人按照招标文件的要求提交投标文件，并对所提供的全部资料的真实性承担法律责任。</w:t>
      </w:r>
    </w:p>
    <w:p w14:paraId="5EF8E477">
      <w:pPr>
        <w:tabs>
          <w:tab w:val="left" w:pos="420"/>
          <w:tab w:val="left" w:pos="54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b/>
          <w:color w:val="000000" w:themeColor="text1"/>
          <w:sz w:val="21"/>
          <w:szCs w:val="21"/>
          <w:highlight w:val="none"/>
          <w14:textFill>
            <w14:solidFill>
              <w14:schemeClr w14:val="tx1"/>
            </w14:solidFill>
          </w14:textFill>
        </w:rPr>
        <w:t>遇到法律法规规定的最低工资调整，其中人工费用相应浮动，由供应商自行承担。</w:t>
      </w:r>
    </w:p>
    <w:p w14:paraId="0D619A9A">
      <w:pPr>
        <w:tabs>
          <w:tab w:val="left" w:pos="420"/>
          <w:tab w:val="left" w:pos="54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3.中标人将根据招标文件、投标文件的相关约定，承担合同责任，履行合同义务。</w:t>
      </w:r>
    </w:p>
    <w:p w14:paraId="7474B29A">
      <w:pPr>
        <w:tabs>
          <w:tab w:val="left" w:pos="420"/>
          <w:tab w:val="left" w:pos="540"/>
        </w:tabs>
        <w:wordWrap/>
        <w:adjustRightInd w:val="0"/>
        <w:snapToGrid w:val="0"/>
        <w:spacing w:line="360" w:lineRule="auto"/>
        <w:ind w:left="0"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9DDE1E4">
      <w:pPr>
        <w:pStyle w:val="3"/>
        <w:keepNext w:val="0"/>
        <w:keepLines w:val="0"/>
        <w:widowControl/>
        <w:wordWrap w:val="0"/>
        <w:ind w:left="0" w:firstLine="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bookmarkStart w:id="39" w:name="_Toc105397794"/>
      <w:r>
        <w:rPr>
          <w:rFonts w:hint="eastAsia" w:ascii="宋体" w:hAnsi="宋体" w:eastAsia="宋体" w:cs="宋体"/>
          <w:b/>
          <w:color w:val="000000" w:themeColor="text1"/>
          <w:sz w:val="21"/>
          <w:szCs w:val="21"/>
          <w:highlight w:val="none"/>
          <w14:textFill>
            <w14:solidFill>
              <w14:schemeClr w14:val="tx1"/>
            </w14:solidFill>
          </w14:textFill>
        </w:rPr>
        <w:t xml:space="preserve">第五章 </w:t>
      </w:r>
      <w:bookmarkStart w:id="40" w:name="合同的特殊条款"/>
      <w:bookmarkEnd w:id="40"/>
      <w:r>
        <w:rPr>
          <w:rFonts w:hint="eastAsia" w:ascii="宋体" w:hAnsi="宋体" w:eastAsia="宋体" w:cs="宋体"/>
          <w:b/>
          <w:color w:val="000000" w:themeColor="text1"/>
          <w:sz w:val="21"/>
          <w:szCs w:val="21"/>
          <w:highlight w:val="none"/>
          <w14:textFill>
            <w14:solidFill>
              <w14:schemeClr w14:val="tx1"/>
            </w14:solidFill>
          </w14:textFill>
        </w:rPr>
        <w:t>合同及主要条款</w:t>
      </w:r>
      <w:bookmarkEnd w:id="39"/>
    </w:p>
    <w:p w14:paraId="4D8631C6">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项目名称：</w:t>
      </w:r>
    </w:p>
    <w:p w14:paraId="7954A0E8">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项目编号：</w:t>
      </w:r>
    </w:p>
    <w:p w14:paraId="4114E22C">
      <w:pPr>
        <w:widowControl/>
        <w:wordWrap w:val="0"/>
        <w:ind w:left="1024"/>
        <w:rPr>
          <w:rFonts w:hint="eastAsia" w:ascii="宋体" w:hAnsi="宋体" w:eastAsia="宋体" w:cs="宋体"/>
          <w:b w:val="0"/>
          <w:bCs w:val="0"/>
          <w:color w:val="000000" w:themeColor="text1"/>
          <w:sz w:val="21"/>
          <w:szCs w:val="21"/>
          <w:highlight w:val="none"/>
          <w14:textFill>
            <w14:solidFill>
              <w14:schemeClr w14:val="tx1"/>
            </w14:solidFill>
          </w14:textFill>
        </w:rPr>
      </w:pPr>
    </w:p>
    <w:p w14:paraId="0F18E957">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甲方：</w:t>
      </w:r>
    </w:p>
    <w:p w14:paraId="267EDC81">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地址：</w:t>
      </w:r>
    </w:p>
    <w:p w14:paraId="2208DF1B">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电话：</w:t>
      </w:r>
    </w:p>
    <w:p w14:paraId="5662034D">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传真：</w:t>
      </w:r>
    </w:p>
    <w:p w14:paraId="0235AC26">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p>
    <w:p w14:paraId="269EFD48">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乙方：</w:t>
      </w:r>
    </w:p>
    <w:p w14:paraId="13147C95">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地址：</w:t>
      </w:r>
    </w:p>
    <w:p w14:paraId="12B39DAA">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电话：</w:t>
      </w:r>
    </w:p>
    <w:p w14:paraId="4F32F154">
      <w:pPr>
        <w:widowControl/>
        <w:wordWrap/>
        <w:spacing w:line="360" w:lineRule="auto"/>
        <w:ind w:left="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传真：</w:t>
      </w:r>
    </w:p>
    <w:p w14:paraId="7A05DDCB">
      <w:pPr>
        <w:widowControl/>
        <w:wordWrap w:val="0"/>
        <w:spacing w:line="360" w:lineRule="auto"/>
        <w:ind w:left="0" w:firstLine="420"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p>
    <w:p w14:paraId="74CDA3C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p>
    <w:p w14:paraId="43700D0C">
      <w:pPr>
        <w:widowControl w:val="0"/>
        <w:wordWrap/>
        <w:spacing w:line="360" w:lineRule="auto"/>
        <w:ind w:left="0" w:firstLine="0" w:firstLineChars="0"/>
        <w:rPr>
          <w:rFonts w:hint="eastAsia" w:ascii="宋体" w:hAnsi="宋体" w:eastAsia="宋体" w:cs="宋体"/>
          <w:b w:val="0"/>
          <w:bCs w:val="0"/>
          <w:color w:val="000000" w:themeColor="text1"/>
          <w:kern w:val="2"/>
          <w:sz w:val="21"/>
          <w:szCs w:val="21"/>
          <w:highlight w:val="none"/>
          <w14:textFill>
            <w14:solidFill>
              <w14:schemeClr w14:val="tx1"/>
            </w14:solidFill>
          </w14:textFill>
        </w:rPr>
      </w:pPr>
    </w:p>
    <w:p w14:paraId="0F5B15E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一、定义</w:t>
      </w:r>
    </w:p>
    <w:p w14:paraId="58DB034B">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以下术语有特定的含义：</w:t>
      </w:r>
    </w:p>
    <w:p w14:paraId="2CE81D5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服务是指根据合同规定乙方应承担</w:t>
      </w:r>
      <w:r>
        <w:rPr>
          <w:rFonts w:hint="eastAsia" w:ascii="宋体" w:hAnsi="宋体" w:eastAsia="宋体" w:cs="宋体"/>
          <w:b w:val="0"/>
          <w:bCs w:val="0"/>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kern w:val="2"/>
          <w:sz w:val="21"/>
          <w:szCs w:val="21"/>
          <w:highlight w:val="none"/>
          <w14:textFill>
            <w14:solidFill>
              <w14:schemeClr w14:val="tx1"/>
            </w14:solidFill>
          </w14:textFill>
        </w:rPr>
        <w:t>等工作和合同中规定乙方应承担的其它义务。</w:t>
      </w:r>
    </w:p>
    <w:p w14:paraId="289EE5FF">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合同价款是指根据成交单位的投标文件和合同规定，乙方在正确地履行合同义务后甲方应支付给乙方的价款。</w:t>
      </w:r>
    </w:p>
    <w:p w14:paraId="1C537173">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甲方是指合同中明确规定的实际购买和接受服务的单位。</w:t>
      </w:r>
    </w:p>
    <w:p w14:paraId="5A787FC7">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乙方是指合同中规定的提供服务的单位。</w:t>
      </w:r>
    </w:p>
    <w:p w14:paraId="4B94055A">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损失是指合同一方因不履行合同义务而导致另一方及第三方的各种损失的费用，还包括守约方为减轻损失或维护权利而需支付的各种调查费用、车旅费用、律师费用等。</w:t>
      </w:r>
    </w:p>
    <w:p w14:paraId="4A9FC891">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二、合同项目及期限</w:t>
      </w:r>
    </w:p>
    <w:p w14:paraId="4C00E5F4">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2.1乙方负责</w:t>
      </w:r>
      <w:r>
        <w:rPr>
          <w:rFonts w:hint="eastAsia" w:ascii="宋体" w:hAnsi="宋体" w:eastAsia="宋体" w:cs="宋体"/>
          <w:b w:val="0"/>
          <w:bCs w:val="0"/>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kern w:val="2"/>
          <w:sz w:val="21"/>
          <w:szCs w:val="21"/>
          <w:highlight w:val="none"/>
          <w14:textFill>
            <w14:solidFill>
              <w14:schemeClr w14:val="tx1"/>
            </w14:solidFill>
          </w14:textFill>
        </w:rPr>
        <w:t>的服务工作。</w:t>
      </w:r>
    </w:p>
    <w:p w14:paraId="166650D0">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2.2服务期限：</w:t>
      </w:r>
    </w:p>
    <w:p w14:paraId="5E928218">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2.3服务地点：根据甲方指定地点。</w:t>
      </w:r>
    </w:p>
    <w:p w14:paraId="48742B23">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p>
    <w:p w14:paraId="3F1D763B">
      <w:pPr>
        <w:widowControl w:val="0"/>
        <w:numPr>
          <w:ilvl w:val="0"/>
          <w:numId w:val="8"/>
        </w:numPr>
        <w:wordWrap/>
        <w:spacing w:line="360" w:lineRule="auto"/>
        <w:ind w:left="840" w:hanging="420" w:firstLineChars="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合同总价款：大写人民币</w:t>
      </w:r>
      <w:r>
        <w:rPr>
          <w:rFonts w:hint="eastAsia" w:ascii="宋体" w:hAnsi="宋体" w:eastAsia="宋体" w:cs="宋体"/>
          <w:b w:val="0"/>
          <w:bCs w:val="0"/>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kern w:val="2"/>
          <w:sz w:val="21"/>
          <w:szCs w:val="21"/>
          <w:highlight w:val="none"/>
          <w14:textFill>
            <w14:solidFill>
              <w14:schemeClr w14:val="tx1"/>
            </w14:solidFill>
          </w14:textFill>
        </w:rPr>
        <w:t>元整，小写￥</w:t>
      </w:r>
      <w:r>
        <w:rPr>
          <w:rFonts w:hint="eastAsia" w:ascii="宋体" w:hAnsi="宋体" w:eastAsia="宋体" w:cs="宋体"/>
          <w:b w:val="0"/>
          <w:bCs w:val="0"/>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kern w:val="2"/>
          <w:sz w:val="21"/>
          <w:szCs w:val="21"/>
          <w:highlight w:val="none"/>
          <w14:textFill>
            <w14:solidFill>
              <w14:schemeClr w14:val="tx1"/>
            </w14:solidFill>
          </w14:textFill>
        </w:rPr>
        <w:t>。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p>
    <w:p w14:paraId="0DA7FA71">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三</w:t>
      </w:r>
      <w:r>
        <w:rPr>
          <w:rFonts w:hint="eastAsia" w:ascii="宋体" w:hAnsi="宋体" w:eastAsia="宋体" w:cs="宋体"/>
          <w:b w:val="0"/>
          <w:bCs w:val="0"/>
          <w:color w:val="000000" w:themeColor="text1"/>
          <w:kern w:val="2"/>
          <w:sz w:val="21"/>
          <w:szCs w:val="21"/>
          <w:highlight w:val="none"/>
          <w14:textFill>
            <w14:solidFill>
              <w14:schemeClr w14:val="tx1"/>
            </w14:solidFill>
          </w14:textFill>
        </w:rPr>
        <w:t>、考核</w:t>
      </w:r>
    </w:p>
    <w:p w14:paraId="0B6FC66D">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考核参照</w:t>
      </w:r>
      <w:r>
        <w:rPr>
          <w:rFonts w:hint="eastAsia" w:ascii="宋体" w:hAnsi="宋体" w:eastAsia="宋体" w:cs="宋体"/>
          <w:b w:val="0"/>
          <w:bCs w:val="0"/>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1"/>
          <w:szCs w:val="21"/>
          <w:highlight w:val="none"/>
          <w14:textFill>
            <w14:solidFill>
              <w14:schemeClr w14:val="tx1"/>
            </w14:solidFill>
          </w14:textFill>
        </w:rPr>
        <w:t>202</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6</w:t>
      </w:r>
      <w:r>
        <w:rPr>
          <w:rFonts w:hint="eastAsia" w:ascii="宋体" w:hAnsi="宋体" w:eastAsia="宋体" w:cs="宋体"/>
          <w:b w:val="0"/>
          <w:bCs w:val="0"/>
          <w:color w:val="000000" w:themeColor="text1"/>
          <w:kern w:val="2"/>
          <w:sz w:val="21"/>
          <w:szCs w:val="21"/>
          <w:highlight w:val="none"/>
          <w14:textFill>
            <w14:solidFill>
              <w14:schemeClr w14:val="tx1"/>
            </w14:solidFill>
          </w14:textFill>
        </w:rPr>
        <w:t>年智水苏州硬件运维管理考核办法</w:t>
      </w:r>
      <w:r>
        <w:rPr>
          <w:rFonts w:hint="eastAsia" w:ascii="宋体" w:hAnsi="宋体" w:eastAsia="宋体" w:cs="宋体"/>
          <w:b w:val="0"/>
          <w:bCs w:val="0"/>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1"/>
          <w:szCs w:val="21"/>
          <w:highlight w:val="none"/>
          <w14:textFill>
            <w14:solidFill>
              <w14:schemeClr w14:val="tx1"/>
            </w14:solidFill>
          </w14:textFill>
        </w:rPr>
        <w:t>（详见附件1）。</w:t>
      </w:r>
    </w:p>
    <w:p w14:paraId="2523FBEC">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考核以百分制的方式进行，</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每月进行考核</w:t>
      </w:r>
      <w:r>
        <w:rPr>
          <w:rFonts w:hint="eastAsia" w:ascii="宋体" w:hAnsi="宋体" w:eastAsia="宋体" w:cs="宋体"/>
          <w:b w:val="0"/>
          <w:bCs w:val="0"/>
          <w:color w:val="000000" w:themeColor="text1"/>
          <w:kern w:val="2"/>
          <w:sz w:val="21"/>
          <w:szCs w:val="21"/>
          <w:highlight w:val="none"/>
          <w14:textFill>
            <w14:solidFill>
              <w14:schemeClr w14:val="tx1"/>
            </w14:solidFill>
          </w14:textFill>
        </w:rPr>
        <w:t>，甲方针对已完成的维保质量进行考核评分（每期实际付款金额与考评结果挂钩）。</w:t>
      </w:r>
    </w:p>
    <w:p w14:paraId="1AFFBF2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每个考核周期综合得分在90分（含）以上的：按100%比例支付当期服务费用。</w:t>
      </w:r>
    </w:p>
    <w:p w14:paraId="22102D5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每个考核周期综合得分在80分（含）以上不满90分的：减按90%比例支付当期服务费用。</w:t>
      </w:r>
    </w:p>
    <w:p w14:paraId="61568B56">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每个考核周期综合得分在70分（含）以上不满80分的：减按80%比例支付当期服务费用。</w:t>
      </w:r>
    </w:p>
    <w:p w14:paraId="2DA09A9F">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每个考核周期综合得分在60分（含）以上不满70分的：减按70%比例支付当期服务费用。</w:t>
      </w:r>
    </w:p>
    <w:p w14:paraId="0BFFF286">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每个考核周期综合得分低于60分的：全额扣减当期服务费用</w:t>
      </w:r>
    </w:p>
    <w:p w14:paraId="1E60A272">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四</w:t>
      </w:r>
      <w:r>
        <w:rPr>
          <w:rFonts w:hint="eastAsia" w:ascii="宋体" w:hAnsi="宋体" w:eastAsia="宋体" w:cs="宋体"/>
          <w:b w:val="0"/>
          <w:bCs w:val="0"/>
          <w:color w:val="000000" w:themeColor="text1"/>
          <w:kern w:val="2"/>
          <w:sz w:val="21"/>
          <w:szCs w:val="21"/>
          <w:highlight w:val="none"/>
          <w14:textFill>
            <w14:solidFill>
              <w14:schemeClr w14:val="tx1"/>
            </w14:solidFill>
          </w14:textFill>
        </w:rPr>
        <w:t>、</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验收和</w:t>
      </w:r>
      <w:r>
        <w:rPr>
          <w:rFonts w:hint="eastAsia" w:ascii="宋体" w:hAnsi="宋体" w:eastAsia="宋体" w:cs="宋体"/>
          <w:b w:val="0"/>
          <w:bCs w:val="0"/>
          <w:color w:val="000000" w:themeColor="text1"/>
          <w:kern w:val="2"/>
          <w:sz w:val="21"/>
          <w:szCs w:val="21"/>
          <w:highlight w:val="none"/>
          <w14:textFill>
            <w14:solidFill>
              <w14:schemeClr w14:val="tx1"/>
            </w14:solidFill>
          </w14:textFill>
        </w:rPr>
        <w:t>付款</w:t>
      </w:r>
    </w:p>
    <w:p w14:paraId="1B76AEEE">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w:t>
      </w:r>
      <w:r>
        <w:rPr>
          <w:rFonts w:hint="eastAsia" w:ascii="宋体" w:hAnsi="宋体" w:eastAsia="宋体" w:cs="宋体"/>
          <w:b w:val="0"/>
          <w:bCs w:val="0"/>
          <w:color w:val="000000" w:themeColor="text1"/>
          <w:kern w:val="2"/>
          <w:sz w:val="21"/>
          <w:szCs w:val="21"/>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验收</w:t>
      </w:r>
    </w:p>
    <w:p w14:paraId="761C5CB1">
      <w:pPr>
        <w:widowControl w:val="0"/>
        <w:wordWrap/>
        <w:autoSpaceDE w:val="0"/>
        <w:autoSpaceDN w:val="0"/>
        <w:adjustRightInd w:val="0"/>
        <w:spacing w:line="360" w:lineRule="auto"/>
        <w:ind w:left="0" w:firstLine="420" w:firstLineChars="200"/>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乙方应负责组织召开项目专家评审会。项目的最终验收，以通过专家评审作为验收标准。”</w:t>
      </w:r>
    </w:p>
    <w:p w14:paraId="23CACE59">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2"/>
          <w:sz w:val="21"/>
          <w:szCs w:val="21"/>
          <w:highlight w:val="none"/>
          <w14:textFill>
            <w14:solidFill>
              <w14:schemeClr w14:val="tx1"/>
            </w14:solidFill>
          </w14:textFill>
        </w:rPr>
        <w:t>.付款步骤：</w:t>
      </w:r>
    </w:p>
    <w:p w14:paraId="4E884720">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（1）支付步骤</w:t>
      </w:r>
    </w:p>
    <w:p w14:paraId="0319FC5F">
      <w:pPr>
        <w:widowControl w:val="0"/>
        <w:wordWrap/>
        <w:autoSpaceDE w:val="0"/>
        <w:autoSpaceDN w:val="0"/>
        <w:adjustRightInd w:val="0"/>
        <w:spacing w:line="360" w:lineRule="auto"/>
        <w:ind w:left="0" w:firstLine="422"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14:textFill>
            <w14:solidFill>
              <w14:schemeClr w14:val="tx1"/>
            </w14:solidFill>
          </w14:textFill>
        </w:rPr>
        <w:t>预付款：</w:t>
      </w:r>
      <w:r>
        <w:rPr>
          <w:rFonts w:hint="eastAsia" w:ascii="宋体" w:hAnsi="宋体" w:eastAsia="宋体" w:cs="宋体"/>
          <w:color w:val="000000" w:themeColor="text1"/>
          <w:kern w:val="2"/>
          <w:sz w:val="21"/>
          <w:szCs w:val="21"/>
          <w:highlight w:val="none"/>
          <w14:textFill>
            <w14:solidFill>
              <w14:schemeClr w14:val="tx1"/>
            </w14:solidFill>
          </w14:textFill>
        </w:rPr>
        <w:t>自本合同签订生效之日起，甲方向乙方支付合同总价的10%作为预付款。</w:t>
      </w:r>
    </w:p>
    <w:p w14:paraId="6CEEFA22">
      <w:pPr>
        <w:widowControl w:val="0"/>
        <w:wordWrap/>
        <w:autoSpaceDE w:val="0"/>
        <w:autoSpaceDN w:val="0"/>
        <w:adjustRightInd w:val="0"/>
        <w:spacing w:line="360" w:lineRule="auto"/>
        <w:ind w:left="0" w:leftChars="0" w:firstLine="422"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14:textFill>
            <w14:solidFill>
              <w14:schemeClr w14:val="tx1"/>
            </w14:solidFill>
          </w14:textFill>
        </w:rPr>
        <w:t>进度款：</w:t>
      </w:r>
      <w:r>
        <w:rPr>
          <w:rFonts w:hint="eastAsia" w:ascii="宋体" w:hAnsi="宋体" w:eastAsia="宋体" w:cs="宋体"/>
          <w:color w:val="000000" w:themeColor="text1"/>
          <w:kern w:val="2"/>
          <w:sz w:val="21"/>
          <w:szCs w:val="21"/>
          <w:highlight w:val="none"/>
          <w14:textFill>
            <w14:solidFill>
              <w14:schemeClr w14:val="tx1"/>
            </w14:solidFill>
          </w14:textFill>
        </w:rPr>
        <w:t>项目实施期间实行月度考核，</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自运维期</w:t>
      </w:r>
      <w:r>
        <w:rPr>
          <w:rFonts w:hint="eastAsia" w:ascii="宋体" w:hAnsi="宋体" w:eastAsia="宋体" w:cs="宋体"/>
          <w:color w:val="000000" w:themeColor="text1"/>
          <w:kern w:val="2"/>
          <w:sz w:val="21"/>
          <w:szCs w:val="21"/>
          <w:highlight w:val="none"/>
          <w14:textFill>
            <w14:solidFill>
              <w14:schemeClr w14:val="tx1"/>
            </w14:solidFill>
          </w14:textFill>
        </w:rPr>
        <w:t>第四个月开始，乙方考核合格后，甲方按月支付合同总价4%的进度款。</w:t>
      </w:r>
    </w:p>
    <w:p w14:paraId="40EE2879">
      <w:pPr>
        <w:widowControl w:val="0"/>
        <w:wordWrap/>
        <w:autoSpaceDE w:val="0"/>
        <w:autoSpaceDN w:val="0"/>
        <w:adjustRightInd w:val="0"/>
        <w:spacing w:line="360" w:lineRule="auto"/>
        <w:ind w:left="0" w:firstLine="422" w:firstLineChars="200"/>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14:textFill>
            <w14:solidFill>
              <w14:schemeClr w14:val="tx1"/>
            </w14:solidFill>
          </w14:textFill>
        </w:rPr>
        <w:t>尾款：</w:t>
      </w:r>
      <w:r>
        <w:rPr>
          <w:rFonts w:hint="eastAsia" w:ascii="宋体" w:hAnsi="宋体" w:eastAsia="宋体" w:cs="宋体"/>
          <w:color w:val="000000" w:themeColor="text1"/>
          <w:kern w:val="2"/>
          <w:sz w:val="21"/>
          <w:szCs w:val="21"/>
          <w:highlight w:val="none"/>
          <w14:textFill>
            <w14:solidFill>
              <w14:schemeClr w14:val="tx1"/>
            </w14:solidFill>
          </w14:textFill>
        </w:rPr>
        <w:t>项目全部完成并经甲方验收</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通过</w:t>
      </w:r>
      <w:r>
        <w:rPr>
          <w:rFonts w:hint="eastAsia" w:ascii="宋体" w:hAnsi="宋体" w:eastAsia="宋体" w:cs="宋体"/>
          <w:color w:val="000000" w:themeColor="text1"/>
          <w:kern w:val="2"/>
          <w:sz w:val="21"/>
          <w:szCs w:val="21"/>
          <w:highlight w:val="none"/>
          <w14:textFill>
            <w14:solidFill>
              <w14:schemeClr w14:val="tx1"/>
            </w14:solidFill>
          </w14:textFill>
        </w:rPr>
        <w:t>后，甲方向乙方一次性支付合同剩余全部款项。</w:t>
      </w:r>
    </w:p>
    <w:p w14:paraId="189D30BD">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（2）在签订合同时，乙方明确表示无需预付款或者主动要求降低预付款比例的，甲方可不适用上述关于预付款的规定。</w:t>
      </w:r>
    </w:p>
    <w:p w14:paraId="11471019">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20526C4F">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2.根据国家现行税法对甲方征收的与本合同有关的税费均由甲方承担；根据国家现行税法对乙方征收的与本合同有关的一切税费均由乙方承担。如乙方在履约过程中产生额外的收益，归甲方所有。</w:t>
      </w:r>
    </w:p>
    <w:p w14:paraId="71EE0725">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3.支付方式：本次货款以数字人民币形式支付。乙方账户信息如下：</w:t>
      </w:r>
    </w:p>
    <w:p w14:paraId="7D78C4C6">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开户名称：</w:t>
      </w:r>
    </w:p>
    <w:p w14:paraId="3CA0CBB9">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开户银行：</w:t>
      </w:r>
    </w:p>
    <w:p w14:paraId="72E77283">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数字人民币账户（数币钱包ID）：</w:t>
      </w:r>
    </w:p>
    <w:p w14:paraId="46F65993">
      <w:pPr>
        <w:widowControl w:val="0"/>
        <w:wordWrap/>
        <w:autoSpaceDE w:val="0"/>
        <w:autoSpaceDN w:val="0"/>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五、甲、乙双方的责任</w:t>
      </w:r>
    </w:p>
    <w:p w14:paraId="3766FE08">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1.甲方责任：</w:t>
      </w:r>
    </w:p>
    <w:p w14:paraId="0106FECB">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1.1依本合同约定按期支付合同款项；</w:t>
      </w:r>
    </w:p>
    <w:p w14:paraId="6610492D">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1.2依本合同约定及时组织验收；</w:t>
      </w:r>
    </w:p>
    <w:p w14:paraId="74001675">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1.3协助乙方进行项目的相关协调工作及约定期限内提供相关资料以利于开展项目。</w:t>
      </w:r>
    </w:p>
    <w:p w14:paraId="02233142">
      <w:pPr>
        <w:widowControl/>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2.乙方责任：</w:t>
      </w:r>
    </w:p>
    <w:p w14:paraId="7BECD142">
      <w:pPr>
        <w:widowControl/>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乙方负责完成本次采购要求的全部服务工作，乙方应按招标文件以及合同约定的技术规范、标准进行实施，并保证按期、保质保量完成项目的实施工作，对提交的项目质量负责。</w:t>
      </w:r>
    </w:p>
    <w:p w14:paraId="085A5458">
      <w:pPr>
        <w:widowControl/>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六、违约责任</w:t>
      </w:r>
    </w:p>
    <w:p w14:paraId="618C75B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1.甲方违约责任：</w:t>
      </w:r>
    </w:p>
    <w:p w14:paraId="30A4E54D">
      <w:pPr>
        <w:widowControl w:val="0"/>
        <w:wordWrap/>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1.1在合同生效后，甲方无故要求解除合同的，应向乙方偿付合同总价款5%的违约金，违约金不足以补偿损失的，乙方有权要求甲方补足。</w:t>
      </w:r>
    </w:p>
    <w:p w14:paraId="38B7D53F">
      <w:pPr>
        <w:widowControl w:val="0"/>
        <w:wordWrap/>
        <w:adjustRightInd w:val="0"/>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1.2甲方逾期付款的应按照逾期付款金额的每天万分之四支付逾期付款违约金，总额不超总价款的5%。</w:t>
      </w:r>
    </w:p>
    <w:p w14:paraId="45797A50">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2.乙方的违约责任：</w:t>
      </w:r>
    </w:p>
    <w:p w14:paraId="4AE59BDB">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2.1 在合同生效后，乙方无故要求解除合同的，应向甲方偿付合同总价款5%的违约金，违约金不足以补偿损失的，甲方有权要求乙方补足。</w:t>
      </w:r>
    </w:p>
    <w:p w14:paraId="1E3F8D7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2.2乙方未按合同规定的质量要求提供服务，不能完成合同时，甲方有权解除合同，乙方向甲方偿付合同总价款5%的违约金，违约金不足以补偿损失的甲方有权要求乙方补足。</w:t>
      </w:r>
    </w:p>
    <w:p w14:paraId="1AC348BD">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2.3乙方必须自己完成合同内容，不得自行分包，否则，甲方有权按乙方不能完成合同处理。</w:t>
      </w:r>
    </w:p>
    <w:p w14:paraId="1628B106">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2.4乙方应执行国家有关规定（如苏州最低工资标准和其他规定），负责乙方员工的生病、事故、伤残、死亡和劳务纠纷，甲方不承担任何相关责任。</w:t>
      </w:r>
    </w:p>
    <w:p w14:paraId="2042DA62">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2.5乙方负有对自己员工的安全责任，甲方不承担任何相关责任。</w:t>
      </w:r>
    </w:p>
    <w:p w14:paraId="757CC184">
      <w:pPr>
        <w:widowControl/>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七、不可抗力</w:t>
      </w:r>
    </w:p>
    <w:p w14:paraId="396807BC">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1.如果乙方和甲方因不可抗力而导致合同实施延误或不能履行合同义务，不应该承担误期赔偿或不能履行合同义务的责任。因乙方或甲方先延误或不能履行合同而后遇不可抗力的情形除外。 </w:t>
      </w:r>
    </w:p>
    <w:p w14:paraId="6E9908B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2.本条所述的“不可抗力”系指那些双方无法控制，不可预见的事件，但不包括双方的违约或疏忽。这些事件包括但不限于：战争、严重火灾、洪水、台风、地震以及其它双方商定的事件。 </w:t>
      </w:r>
    </w:p>
    <w:p w14:paraId="10D742C0">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14:paraId="3C3E4FBD">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八、争端的解决 </w:t>
      </w:r>
    </w:p>
    <w:p w14:paraId="46C7D0B0">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1.甲方和乙方应通过友好协商，解决在执行本合同过程中所发生的或与本合同有关的一切争端。如从协商开始十天内仍不能解决，可向有关合同管理部门提请调解。 </w:t>
      </w:r>
    </w:p>
    <w:p w14:paraId="5283F094">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2.如果调解不成，双方中的任何一方可向人民法院提起诉讼。诉讼由合同签订地人民法院管辖。 </w:t>
      </w:r>
    </w:p>
    <w:p w14:paraId="454C1480">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3.诉讼费由败诉方负担。</w:t>
      </w:r>
    </w:p>
    <w:p w14:paraId="4C1BEC9D">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4.因合同部分履行引发诉讼的，在诉讼期间，除正在进行诉讼的部分外，本合同的其它部分应继续执行。</w:t>
      </w:r>
    </w:p>
    <w:p w14:paraId="56AB6EAF">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九、违约终止合同</w:t>
      </w:r>
    </w:p>
    <w:p w14:paraId="35B080D4">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1.在甲方因乙方违约而按合同约定采取的任何补救措施不受影响的情况下，甲方可在下列情况下向乙方发出书面通知，提出终止部分或全部合同。</w:t>
      </w:r>
    </w:p>
    <w:p w14:paraId="5F6111A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1.1 如果乙方未能在合同规定的限期或甲方同意延长的限期内提供部分或全部服务。</w:t>
      </w:r>
    </w:p>
    <w:p w14:paraId="752406D1">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1.2 如果乙方未能履行合同规定的其它任何义务。</w:t>
      </w:r>
    </w:p>
    <w:p w14:paraId="4220A47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p>
    <w:p w14:paraId="62D7067C">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如果甲方根据以上的规定，终止了全部或部分合同，甲方可以依其认为适当的条件和方法购买与未提供服务类似的服务，乙方应对购买类似服务所超出的那部分费用负责。并且，乙方应继续履行合同中未终止的部分。 </w:t>
      </w:r>
    </w:p>
    <w:p w14:paraId="136F59EA">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3.如果甲方违约，应承担相应的违约责任。 </w:t>
      </w:r>
    </w:p>
    <w:p w14:paraId="5A1040B5">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十、破产终止合同：如果乙方破产或丧失清偿能力，甲方可在任何时候以书面形式通知乙方终止合同而不给乙方补偿。该终止合同将不损害或影响甲方已经采取或将要采取任何补救措施的权力。 </w:t>
      </w:r>
    </w:p>
    <w:p w14:paraId="7E39BB66">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p>
    <w:p w14:paraId="5C6278A3">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十二、合同转让和分包：本项目不得转</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包，</w:t>
      </w:r>
      <w:r>
        <w:rPr>
          <w:rFonts w:hint="eastAsia" w:ascii="宋体" w:hAnsi="宋体" w:eastAsia="宋体" w:cs="宋体"/>
          <w:b w:val="0"/>
          <w:bCs w:val="0"/>
          <w:color w:val="000000" w:themeColor="text1"/>
          <w:kern w:val="2"/>
          <w:sz w:val="21"/>
          <w:szCs w:val="21"/>
          <w:highlight w:val="none"/>
          <w14:textFill>
            <w14:solidFill>
              <w14:schemeClr w14:val="tx1"/>
            </w14:solidFill>
          </w14:textFill>
        </w:rPr>
        <w:t>未经甲方同意不可擅自分包本项目。</w:t>
      </w:r>
    </w:p>
    <w:p w14:paraId="6F80F2E8">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十三、需要补充的合同条款：（根据评审过程中或者商务谈判时商定的条款和条件在订立合同时标明）。</w:t>
      </w:r>
    </w:p>
    <w:p w14:paraId="5338AEE9">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十四、合同生效</w:t>
      </w:r>
    </w:p>
    <w:p w14:paraId="3AE1FA18">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1.双方签约人为各自法定代表人或被授权代表。</w:t>
      </w:r>
    </w:p>
    <w:p w14:paraId="1244AA5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2.本合同系指本文件及其附件中的所有部分，招标文件、成交单位的投标文件、中标通知书、中标人在采购过程中的澄清和承诺等为本合同不可缺少的组成部分。</w:t>
      </w:r>
    </w:p>
    <w:p w14:paraId="0B0E0414">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3.本合同自甲乙双方签字盖章之日起生效。</w:t>
      </w:r>
    </w:p>
    <w:p w14:paraId="799859CE">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4.本合同壹式肆份，甲乙双方各执贰份，各份具有同等法律效力。</w:t>
      </w:r>
    </w:p>
    <w:p w14:paraId="098FEED2">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5.本合同应按照中华人民共和国的现行法律进行解释。</w:t>
      </w:r>
    </w:p>
    <w:p w14:paraId="2A7E57D1">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6.合同修改：除甲乙双方签署书面修改、补充协议，并成为本合同不可分割的一部分之外，本合同条件不得有任何变化或修改。 </w:t>
      </w:r>
    </w:p>
    <w:p w14:paraId="6780909F">
      <w:pPr>
        <w:wordWrap w:val="0"/>
        <w:spacing w:line="360" w:lineRule="exact"/>
        <w:ind w:left="0" w:firstLine="0" w:firstLineChars="0"/>
        <w:jc w:val="both"/>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p>
    <w:p w14:paraId="4A81153D">
      <w:pPr>
        <w:widowControl w:val="0"/>
        <w:wordWrap/>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甲方（公章）：                                      乙方（公章）：</w:t>
      </w:r>
    </w:p>
    <w:p w14:paraId="4870DA5C">
      <w:pPr>
        <w:widowControl w:val="0"/>
        <w:wordWrap/>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 xml:space="preserve">法定代表人或授权代表（签字或盖章）：                法定代表人或授权代表（签字或盖章）： </w:t>
      </w:r>
    </w:p>
    <w:p w14:paraId="60E36F73">
      <w:pPr>
        <w:widowControl w:val="0"/>
        <w:wordWrap/>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 xml:space="preserve">签约日期：                                          签约日期： </w:t>
      </w:r>
    </w:p>
    <w:p w14:paraId="54F84343">
      <w:pPr>
        <w:wordWrap w:val="0"/>
        <w:spacing w:line="360" w:lineRule="exact"/>
        <w:ind w:left="400" w:firstLine="420" w:firstLineChars="200"/>
        <w:jc w:val="both"/>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p>
    <w:p w14:paraId="28CEB954">
      <w:pPr>
        <w:widowControl w:val="0"/>
        <w:wordWrap/>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合同签定地：</w:t>
      </w:r>
    </w:p>
    <w:p w14:paraId="7C054D7A">
      <w:pPr>
        <w:widowControl/>
        <w:wordWrap/>
        <w:spacing w:line="240" w:lineRule="auto"/>
        <w:ind w:left="0" w:firstLine="0" w:firstLineChars="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r>
    </w:p>
    <w:p w14:paraId="007A2FB1">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附件1：</w:t>
      </w:r>
    </w:p>
    <w:p w14:paraId="3B2CEA43">
      <w:pPr>
        <w:widowControl w:val="0"/>
        <w:wordWrap/>
        <w:spacing w:line="360" w:lineRule="auto"/>
        <w:ind w:left="0"/>
        <w:jc w:val="center"/>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《202</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6</w:t>
      </w:r>
      <w:r>
        <w:rPr>
          <w:rFonts w:hint="eastAsia" w:ascii="宋体" w:hAnsi="宋体" w:eastAsia="宋体" w:cs="宋体"/>
          <w:b w:val="0"/>
          <w:bCs w:val="0"/>
          <w:color w:val="000000" w:themeColor="text1"/>
          <w:kern w:val="2"/>
          <w:sz w:val="21"/>
          <w:szCs w:val="21"/>
          <w:highlight w:val="none"/>
          <w14:textFill>
            <w14:solidFill>
              <w14:schemeClr w14:val="tx1"/>
            </w14:solidFill>
          </w14:textFill>
        </w:rPr>
        <w:t>年智水苏州硬件运维管理考核办法》</w:t>
      </w:r>
    </w:p>
    <w:p w14:paraId="27476127">
      <w:pPr>
        <w:widowControl w:val="0"/>
        <w:wordWrap/>
        <w:spacing w:after="50" w:line="360" w:lineRule="exact"/>
        <w:rPr>
          <w:rFonts w:hint="eastAsia" w:ascii="宋体" w:hAnsi="宋体" w:eastAsia="宋体" w:cs="宋体"/>
          <w:b w:val="0"/>
          <w:bCs w:val="0"/>
          <w:color w:val="000000" w:themeColor="text1"/>
          <w:kern w:val="2"/>
          <w:sz w:val="21"/>
          <w:szCs w:val="21"/>
          <w:highlight w:val="none"/>
          <w14:textFill>
            <w14:solidFill>
              <w14:schemeClr w14:val="tx1"/>
            </w14:solidFill>
          </w14:textFill>
        </w:rPr>
      </w:pPr>
    </w:p>
    <w:p w14:paraId="354C4154">
      <w:pPr>
        <w:widowControl w:val="0"/>
        <w:wordWrap/>
        <w:spacing w:after="50" w:line="360" w:lineRule="exact"/>
        <w:ind w:left="420"/>
        <w:rPr>
          <w:rFonts w:hint="eastAsia" w:ascii="宋体" w:hAnsi="宋体" w:eastAsia="宋体" w:cs="宋体"/>
          <w:b/>
          <w:bCs/>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14:textFill>
            <w14:solidFill>
              <w14:schemeClr w14:val="tx1"/>
            </w14:solidFill>
          </w14:textFill>
        </w:rPr>
        <w:t>（一）考核内容</w:t>
      </w:r>
    </w:p>
    <w:p w14:paraId="4FE7EFFF">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1、基础保障。</w:t>
      </w:r>
    </w:p>
    <w:p w14:paraId="68E76F6C">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2、台帐资料。</w:t>
      </w:r>
    </w:p>
    <w:p w14:paraId="300C8811">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3、维护质量。</w:t>
      </w:r>
    </w:p>
    <w:p w14:paraId="2955388F">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4、紧急响应。</w:t>
      </w:r>
    </w:p>
    <w:p w14:paraId="181BE153">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5、企业形象。</w:t>
      </w:r>
    </w:p>
    <w:p w14:paraId="1E0072F1">
      <w:pPr>
        <w:widowControl w:val="0"/>
        <w:wordWrap/>
        <w:spacing w:after="50" w:line="360" w:lineRule="exact"/>
        <w:ind w:left="0" w:firstLine="56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6</w:t>
      </w:r>
      <w:r>
        <w:rPr>
          <w:rFonts w:hint="eastAsia" w:ascii="宋体" w:hAnsi="宋体" w:eastAsia="宋体" w:cs="宋体"/>
          <w:b w:val="0"/>
          <w:bCs w:val="0"/>
          <w:color w:val="000000" w:themeColor="text1"/>
          <w:kern w:val="2"/>
          <w:sz w:val="21"/>
          <w:szCs w:val="21"/>
          <w:highlight w:val="none"/>
          <w14:textFill>
            <w14:solidFill>
              <w14:schemeClr w14:val="tx1"/>
            </w14:solidFill>
          </w14:textFill>
        </w:rPr>
        <w:t>、重点事项交办情况。</w:t>
      </w:r>
    </w:p>
    <w:p w14:paraId="22726053">
      <w:pPr>
        <w:pStyle w:val="2"/>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7、</w:t>
      </w: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《设备运维管理要求》（试行）</w:t>
      </w:r>
    </w:p>
    <w:p w14:paraId="08C47621">
      <w:pPr>
        <w:widowControl w:val="0"/>
        <w:wordWrap/>
        <w:spacing w:after="50" w:line="360" w:lineRule="auto"/>
        <w:ind w:left="0" w:firstLine="422" w:firstLineChars="200"/>
        <w:jc w:val="left"/>
        <w:rPr>
          <w:rFonts w:hint="eastAsia" w:ascii="宋体" w:hAnsi="宋体" w:eastAsia="宋体" w:cs="宋体"/>
          <w:b/>
          <w:bCs/>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14:textFill>
            <w14:solidFill>
              <w14:schemeClr w14:val="tx1"/>
            </w14:solidFill>
          </w14:textFill>
        </w:rPr>
        <w:t>（二）考核标准</w:t>
      </w:r>
    </w:p>
    <w:tbl>
      <w:tblPr>
        <w:tblStyle w:val="5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3"/>
        <w:gridCol w:w="823"/>
        <w:gridCol w:w="2448"/>
        <w:gridCol w:w="2846"/>
        <w:gridCol w:w="1156"/>
        <w:gridCol w:w="456"/>
      </w:tblGrid>
      <w:tr w14:paraId="27BB6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65A42">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BBC7DD">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63100F">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要求</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4775">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评分标准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554C">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考核方式</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2950">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得分</w:t>
            </w:r>
          </w:p>
        </w:tc>
      </w:tr>
      <w:tr w14:paraId="492D6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810A1">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基础保障（10分）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2EF17">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定员定岗（10分）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2B9DCC">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配备1名专职项目经理，对接甲方运维管理交办事项，其他维护人员数量按照招标文件要求执行。</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89DE">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每缺一名维护人员扣1分；未按时按要求甲方交办事项，每次扣2分。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864B">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lang w:val="en-US"/>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查人员花名册，现场核对，考勤表</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C8EA">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36763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45BE29">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台帐资料（20分）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0E48B">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计划和总结（10分）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42784">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按甲方要求按时提供年度和月度服务总结报告。</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29B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未按时提供扣2分；不符合财务绩效考核指标要求，每项扣1分。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5C13">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现场查阅</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7FEF">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0BFCF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2994C">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BB534">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巡检报告（10分）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B081F">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按照《设备维护清单》分类建立巡检台账，巡检表格清晰易懂，每月认真如实填写巡检、维护情况，包括自查情况汇总，并按招标要求时限报送甲方填写意见和签字确认。根据甲方需要，按时提供周报，日报服务。</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8133">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不符合财务绩效考核指标要求、填写内容不实、有歧义的每次每件扣1分，不按时上报、漏报的每次扣1分。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F6BF">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现场查阅</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32CEA">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601D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5FD823">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维护质量（50分）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27CEB">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水资源测站设备维护（10分）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E7C66">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每日通过省水资源系统平台在线巡查监测站；每2月至少一次站点巡查，全面检查维护设备；每2月校对市级地下水位、流量现场与平台数据；每季度检查养护取水计量设施及太阳能电池板；每年养护投入式水位传感器，每2年养护蓄电池及防雷接地；保障苏州分中心监测站月均在线率95%以上。</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7150">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在线率低于95%，每少1%，扣1分。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5E25">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8776">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73E1C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5" w:hRule="atLeast"/>
        </w:trPr>
        <w:tc>
          <w:tcPr>
            <w:tcW w:w="0" w:type="auto"/>
            <w:vMerge w:val="continue"/>
            <w:tcBorders>
              <w:left w:val="single" w:color="000000" w:sz="4" w:space="0"/>
              <w:right w:val="single" w:color="000000" w:sz="4" w:space="0"/>
            </w:tcBorders>
            <w:shd w:val="clear" w:color="auto" w:fill="auto"/>
            <w:vAlign w:val="center"/>
          </w:tcPr>
          <w:p w14:paraId="2D9046A5">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3F3DC">
            <w:pPr>
              <w:keepNext w:val="0"/>
              <w:keepLines w:val="0"/>
              <w:widowControl/>
              <w:suppressLineNumbers w:val="0"/>
              <w:wordWrap w:val="0"/>
              <w:ind w:left="0" w:leftChars="0"/>
              <w:jc w:val="center"/>
              <w:textAlignment w:val="cente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无人机设备维护（10分）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82310">
            <w:pPr>
              <w:keepNext w:val="0"/>
              <w:keepLines w:val="0"/>
              <w:widowControl/>
              <w:suppressLineNumbers w:val="0"/>
              <w:wordWrap w:val="0"/>
              <w:ind w:left="0" w:leftChars="0"/>
              <w:jc w:val="left"/>
              <w:textAlignment w:val="cente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严格按照项目作业方案、航线规划及空域管理要求每周飞一次，负责无人机及机库现场日常巡检、清洁、保养与环境维护，完成无人机航拍、巡检数据的接收、整理、备份与质量检查和无人机云平台等系统的日常运行与状态监控，每周巡视不少于1次。</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D88D">
            <w:pPr>
              <w:keepNext w:val="0"/>
              <w:keepLines w:val="0"/>
              <w:widowControl/>
              <w:suppressLineNumbers w:val="0"/>
              <w:wordWrap w:val="0"/>
              <w:ind w:left="0" w:leftChars="0"/>
              <w:jc w:val="left"/>
              <w:textAlignment w:val="cente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巡查记录不及时扣1分，巡查记录不真实扣1分/每处。</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6E059">
            <w:pPr>
              <w:keepNext w:val="0"/>
              <w:keepLines w:val="0"/>
              <w:widowControl/>
              <w:suppressLineNumbers w:val="0"/>
              <w:wordWrap w:val="0"/>
              <w:ind w:left="0" w:leftChars="0"/>
              <w:jc w:val="left"/>
              <w:textAlignment w:val="cente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54BA">
            <w:pPr>
              <w:widowControl/>
              <w:wordWrap w:val="0"/>
              <w:ind w:left="1024" w:leftChars="0"/>
              <w:jc w:val="center"/>
              <w:rPr>
                <w:rFonts w:hint="eastAsia" w:ascii="宋体" w:hAnsi="宋体" w:eastAsia="宋体" w:cs="宋体"/>
                <w:b w:val="0"/>
                <w:bCs w:val="0"/>
                <w:i w:val="0"/>
                <w:iCs w:val="0"/>
                <w:color w:val="000000" w:themeColor="text1"/>
                <w:sz w:val="21"/>
                <w:szCs w:val="21"/>
                <w:highlight w:val="none"/>
                <w:u w:val="none"/>
                <w:lang w:val="en-US" w:eastAsia="zh-CN" w:bidi="ar-SA"/>
                <w14:textFill>
                  <w14:solidFill>
                    <w14:schemeClr w14:val="tx1"/>
                  </w14:solidFill>
                </w14:textFill>
              </w:rPr>
            </w:pPr>
          </w:p>
        </w:tc>
      </w:tr>
      <w:tr w14:paraId="50438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72597">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553F1">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河道水位、流量设备维护（10分）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444D4">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负责河道水位计、流量计设备基础状态监控、周期性现场巡检及应急响应辅助,同时完成设备在线巡查、技术故障处理、系统优化及资料整理、数据汇总等工作，保证设备月平均在线率90%以上。</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1BF0">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在线率低于90%，每少1%，扣1分。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7C7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4531">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13A81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D741E">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3558E">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流量校测（10分）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C1DED">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负责对24个流量监测点位进行流量校测，每个点位每年测10次，汛前汛后各测流1次，配合流量设备厂商做好校准等作，根据甲方要求提供校测成果材料。</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3C2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未按甲方要求及时校测，每次扣1分。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135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5A1B">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2BE9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3DC62">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B7F6F">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所有设备正常运行（5分）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FE06B0">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保障《设备维护清单》中的所有设备正常供电，及时提供配件和维修，确保设备及网络稳定运行。</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68D1">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设备因配件不到位、维修不及时影响甲方工作的，每次扣1分。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EB86">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60EC1">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7C263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26B66">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E435B">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问题处理率（5分）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DAA04">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发现偷盗、恶意破坏、船只撞损等非常规情况，需第一时间报警并通知甲方协助挽回损失。</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60B11">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未第一时间上报的一次扣1分；未及时处理一次扣2分；因上报不及时产生重大后果的一次扣3分。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C5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C9B35">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2F9ED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6328B">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紧急响应（10分）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D11DA">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处理及时率（10分）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461F7">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项目经理接到甲方反馈应第一时间安排人员处理问题，及时如实上报处理结果，现场记录情况及工作照片需在3日内上报；保证信息畅通，相关管理人员、技术工程师电话必须24小时有人接听。</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A648D">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未及时安排处理紧急抢修每次扣1分；超时或不报抢修进展的每次扣2分；无抢修台账的扣1分；上报情况与实际不符每次扣2分；造成严重影响的扣3分；出现关机、无人接听、无法联系等情况，15分钟内联系不到的每次扣1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B05C">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日常检查、抽查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1DDC">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691B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24F98">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企业形象（10分）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17EC8">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安全生产（5分）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0E500">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维护时周边设置有统一的安全标示、装置，设置安全围护；定期对维护人员进行安全培训，做好安全台帐。</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87A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不按规定的每次扣2分；未设置安全维护造成人员伤亡或财产损失的应承担相应责任，并扣3分。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189F">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60B9">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5A3E4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F4C8B">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3ABD2">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文明作业（5分）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0DC04">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维护人员文明作业, 保持良好工作态度和形象，不得同附近居民争吵；维护过程产生的废弃物需妥善处置，不得随意丢弃。</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2EE8">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 xml:space="preserve">不文明作业每次扣1分；维护过程收到附近行人投诉的每次扣1分；随意丢弃废弃物的每次扣1分。 </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750A4">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抽查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D350">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7AC4F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B2EB8">
            <w:pPr>
              <w:keepNext w:val="0"/>
              <w:keepLines w:val="0"/>
              <w:widowControl/>
              <w:suppressLineNumbers w:val="0"/>
              <w:wordWrap w:val="0"/>
              <w:ind w:left="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重点事项办理情况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071A7">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7ACE0">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乙方需第一时间跟踪完成甲方交办的重点事项</w:t>
            </w:r>
          </w:p>
        </w:tc>
        <w:tc>
          <w:tcPr>
            <w:tcW w:w="2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88EF">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乙方未及时跟踪反馈事项办理进度，每次扣除1000元；未按时办理完成，每次扣除2000元。</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E3BA">
            <w:pPr>
              <w:keepNext w:val="0"/>
              <w:keepLines w:val="0"/>
              <w:widowControl/>
              <w:suppressLineNumbers w:val="0"/>
              <w:wordWrap w:val="0"/>
              <w:ind w:left="0"/>
              <w:jc w:val="left"/>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根据实际情况考核</w:t>
            </w: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0F20">
            <w:pPr>
              <w:widowControl/>
              <w:wordWrap w:val="0"/>
              <w:ind w:left="1024"/>
              <w:jc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r w14:paraId="59F34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5E658">
            <w:pPr>
              <w:keepNext w:val="0"/>
              <w:keepLines w:val="0"/>
              <w:widowControl/>
              <w:suppressLineNumbers w:val="0"/>
              <w:wordWrap w:val="0"/>
              <w:ind w:left="0" w:leftChars="0"/>
              <w:jc w:val="center"/>
              <w:textAlignment w:val="cente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其他</w:t>
            </w:r>
          </w:p>
        </w:tc>
        <w:tc>
          <w:tcPr>
            <w:tcW w:w="767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F96142">
            <w:pPr>
              <w:keepNext w:val="0"/>
              <w:keepLines w:val="0"/>
              <w:widowControl/>
              <w:suppressLineNumbers w:val="0"/>
              <w:wordWrap w:val="0"/>
              <w:ind w:left="0" w:leftChars="0"/>
              <w:jc w:val="left"/>
              <w:textAlignment w:val="cente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以上评分内容为室外硬件设备运维服务的核心考核要求，其他管理要求详见《设备运维管理要求》（试行）中规定的全流程管理标准</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7A89">
            <w:pPr>
              <w:keepNext w:val="0"/>
              <w:keepLines w:val="0"/>
              <w:widowControl/>
              <w:suppressLineNumbers w:val="0"/>
              <w:wordWrap w:val="0"/>
              <w:ind w:left="0" w:leftChars="0"/>
              <w:jc w:val="left"/>
              <w:textAlignment w:val="cente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根据实际情况考核</w:t>
            </w: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8AC2E">
            <w:pPr>
              <w:keepNext w:val="0"/>
              <w:keepLines w:val="0"/>
              <w:widowControl/>
              <w:suppressLineNumbers w:val="0"/>
              <w:wordWrap w:val="0"/>
              <w:ind w:left="0" w:leftChars="0"/>
              <w:jc w:val="center"/>
              <w:textAlignment w:val="center"/>
              <w:rPr>
                <w:rFonts w:hint="eastAsia" w:ascii="宋体" w:hAnsi="宋体" w:eastAsia="宋体" w:cs="宋体"/>
                <w:b w:val="0"/>
                <w:bCs w:val="0"/>
                <w:i w:val="0"/>
                <w:iCs w:val="0"/>
                <w:color w:val="000000" w:themeColor="text1"/>
                <w:sz w:val="21"/>
                <w:szCs w:val="21"/>
                <w:highlight w:val="none"/>
                <w:u w:val="none"/>
                <w14:textFill>
                  <w14:solidFill>
                    <w14:schemeClr w14:val="tx1"/>
                  </w14:solidFill>
                </w14:textFill>
              </w:rPr>
            </w:pPr>
          </w:p>
        </w:tc>
      </w:tr>
    </w:tbl>
    <w:p w14:paraId="51844839">
      <w:pPr>
        <w:widowControl w:val="0"/>
        <w:tabs>
          <w:tab w:val="left" w:pos="0"/>
        </w:tabs>
        <w:wordWrap/>
        <w:snapToGrid w:val="0"/>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p>
    <w:p w14:paraId="76BE26F6">
      <w:pPr>
        <w:widowControl w:val="0"/>
        <w:tabs>
          <w:tab w:val="left" w:pos="0"/>
        </w:tabs>
        <w:wordWrap/>
        <w:snapToGrid w:val="0"/>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考核得分：                      签名：                         日期：</w:t>
      </w:r>
    </w:p>
    <w:p w14:paraId="4CE7E3AE">
      <w:pPr>
        <w:widowControl w:val="0"/>
        <w:tabs>
          <w:tab w:val="left" w:pos="0"/>
        </w:tabs>
        <w:wordWrap/>
        <w:snapToGrid w:val="0"/>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p>
    <w:p w14:paraId="3FFB2103">
      <w:pPr>
        <w:widowControl w:val="0"/>
        <w:tabs>
          <w:tab w:val="left" w:pos="0"/>
        </w:tabs>
        <w:wordWrap/>
        <w:snapToGrid w:val="0"/>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 xml:space="preserve">代表方：运行科            监理方（画圈形式选择）   </w:t>
      </w:r>
    </w:p>
    <w:p w14:paraId="1C01EB8E">
      <w:pPr>
        <w:widowControl w:val="0"/>
        <w:tabs>
          <w:tab w:val="left" w:pos="0"/>
        </w:tabs>
        <w:wordWrap/>
        <w:snapToGrid w:val="0"/>
        <w:spacing w:line="360" w:lineRule="auto"/>
        <w:ind w:left="0"/>
        <w:rPr>
          <w:rFonts w:hint="eastAsia" w:ascii="宋体" w:hAnsi="宋体" w:eastAsia="宋体" w:cs="宋体"/>
          <w:b w:val="0"/>
          <w:bCs w:val="0"/>
          <w:color w:val="000000" w:themeColor="text1"/>
          <w:kern w:val="2"/>
          <w:sz w:val="21"/>
          <w:szCs w:val="21"/>
          <w:highlight w:val="none"/>
          <w14:textFill>
            <w14:solidFill>
              <w14:schemeClr w14:val="tx1"/>
            </w14:solidFill>
          </w14:textFill>
        </w:rPr>
        <w:sectPr>
          <w:headerReference r:id="rId8" w:type="first"/>
          <w:footerReference r:id="rId10" w:type="first"/>
          <w:headerReference r:id="rId7" w:type="default"/>
          <w:footerReference r:id="rId9" w:type="default"/>
          <w:pgSz w:w="11906" w:h="16838"/>
          <w:pgMar w:top="1440" w:right="1800" w:bottom="1440" w:left="1800" w:header="567" w:footer="567" w:gutter="0"/>
          <w:cols w:space="720" w:num="1"/>
          <w:titlePg/>
          <w:docGrid w:type="lines" w:linePitch="332" w:charSpace="0"/>
        </w:sectPr>
      </w:pPr>
    </w:p>
    <w:p w14:paraId="7A024145">
      <w:pPr>
        <w:widowControl w:val="0"/>
        <w:wordWrap/>
        <w:spacing w:line="360" w:lineRule="auto"/>
        <w:ind w:left="0" w:firstLine="420" w:firstLineChars="200"/>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附件</w:t>
      </w:r>
      <w:r>
        <w:rPr>
          <w:rFonts w:hint="eastAsia" w:ascii="宋体" w:hAnsi="宋体" w:eastAsia="宋体" w:cs="宋体"/>
          <w:b w:val="0"/>
          <w:bCs w:val="0"/>
          <w:color w:val="000000" w:themeColor="text1"/>
          <w:kern w:val="2"/>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2"/>
          <w:sz w:val="21"/>
          <w:szCs w:val="21"/>
          <w:highlight w:val="none"/>
          <w14:textFill>
            <w14:solidFill>
              <w14:schemeClr w14:val="tx1"/>
            </w14:solidFill>
          </w14:textFill>
        </w:rPr>
        <w:t>：</w:t>
      </w:r>
    </w:p>
    <w:p w14:paraId="364892D0">
      <w:pPr>
        <w:wordWrap w:val="0"/>
        <w:spacing w:line="360" w:lineRule="exact"/>
        <w:ind w:left="0" w:firstLine="0"/>
        <w:jc w:val="cente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p>
    <w:p w14:paraId="6DF909D4">
      <w:pPr>
        <w:wordWrap w:val="0"/>
        <w:spacing w:line="360" w:lineRule="exact"/>
        <w:ind w:left="0" w:firstLine="0"/>
        <w:jc w:val="cente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《设备运维管理要求》（试行）</w:t>
      </w:r>
    </w:p>
    <w:p w14:paraId="5BEBFF44">
      <w:pPr>
        <w:pStyle w:val="2"/>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6602150">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1.人员管理</w:t>
      </w:r>
    </w:p>
    <w:p w14:paraId="5812F74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为规范运维标段人员管理，保障服务连续性与工作效率，特制定本制度，适用于所有驻场及运维相关人员。</w:t>
      </w:r>
    </w:p>
    <w:p w14:paraId="627A2EF1">
      <w:pPr>
        <w:wordWrap w:val="0"/>
        <w:spacing w:line="360" w:lineRule="exact"/>
        <w:ind w:left="0" w:firstLine="422"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1.1.考勤管理（每日钉钉等办公软件打卡）</w:t>
      </w:r>
    </w:p>
    <w:p w14:paraId="3C7403A2">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（1）工作时间与人员配置</w:t>
      </w:r>
    </w:p>
    <w:p w14:paraId="5D2A7422">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运维人员工作时间须与甲方保持一致，人员数量及岗位配备需严格符合招标文件要求。</w:t>
      </w:r>
    </w:p>
    <w:p w14:paraId="768E6834">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（2）日常考勤扣款规则</w:t>
      </w:r>
    </w:p>
    <w:p w14:paraId="59AD42F1">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每月每人可缺卡2次，超出后每缺卡1次扣200元；每迟到/早退1次扣100元；每旷工1天扣500元。</w:t>
      </w:r>
    </w:p>
    <w:p w14:paraId="51A5F088">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（3）严重违规认定与处理</w:t>
      </w:r>
    </w:p>
    <w:p w14:paraId="22CCBBF6">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出现以下任一情形，视为严重违反运维管理制度：</w:t>
      </w:r>
    </w:p>
    <w:p w14:paraId="3B3E4CC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每月单人缺卡≥5次，或标段月累计缺卡≥15次；</w:t>
      </w:r>
    </w:p>
    <w:p w14:paraId="606B71C7">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每月单人迟到≥5次，或标段月累计迟到≥20次；</w:t>
      </w:r>
    </w:p>
    <w:p w14:paraId="62DD6A02">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每月单人旷工≥3次，或标段月累计旷工≥10次。</w:t>
      </w:r>
    </w:p>
    <w:p w14:paraId="2856DF0A">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处理方式：</w:t>
      </w:r>
    </w:p>
    <w:p w14:paraId="1EF1A3AC">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运维方须提交书面情况说明；甲方扣除该运维项不低于10%的月度运维费用；若造成甲方实际损失超出上述扣款，按实际损失另行处理；</w:t>
      </w:r>
    </w:p>
    <w:p w14:paraId="5D8932A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交通事故、生病、自然灾害等特殊情况，经与甲方协商一致后，可不计入考勤管理。</w:t>
      </w:r>
    </w:p>
    <w:p w14:paraId="4A5E751C">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1.2.驻场人员管理</w:t>
      </w:r>
    </w:p>
    <w:p w14:paraId="7CC99DC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（1）驻场配置要求</w:t>
      </w:r>
    </w:p>
    <w:p w14:paraId="17EBC930">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每标段须配置1名驻场项目经理，驻场地点由甲方指定，主要协助甲方开展项目管理工作；经甲方书面批准后可外出协助运维工作，且须提前履行报备手续。</w:t>
      </w:r>
    </w:p>
    <w:p w14:paraId="3DEFA4D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（2）响应时效与扣款规则</w:t>
      </w:r>
    </w:p>
    <w:p w14:paraId="4EF673E0">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驻场项目经理须严格响应甲方工作安排：工作日驻场期间：15分钟内响应，外场工作期间：30分钟内响应，节假日期间：1小时内响应。</w:t>
      </w:r>
    </w:p>
    <w:p w14:paraId="6D4B432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未达标处理：</w:t>
      </w:r>
    </w:p>
    <w:p w14:paraId="2C1FCB3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单次2小时内未响应，扣200元/次；每月不响应次数≥5次，每次扣500元。</w:t>
      </w:r>
    </w:p>
    <w:p w14:paraId="1C24D643">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1.3.核心团队稳定性管理</w:t>
      </w:r>
    </w:p>
    <w:p w14:paraId="772339CC">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（1）稳定要求</w:t>
      </w:r>
    </w:p>
    <w:p w14:paraId="28859AA9">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除汛期（5-9月）因应急需求临时增配的人员外，项目经理、运维技术人员、巡检人员等核心运维团队须保持相对稳定，原则上不得随意更换。</w:t>
      </w:r>
    </w:p>
    <w:p w14:paraId="02AAFCD0">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（2）人员更换流程</w:t>
      </w:r>
    </w:p>
    <w:p w14:paraId="3BD59B3A">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因员工离职、不可抗力等特殊原因确需更换的，须提前15个工作日向甲方提交书面申请，经甲方书面同意后方可实施；</w:t>
      </w:r>
    </w:p>
    <w:p w14:paraId="395E1C58">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同一岗位12个月内更换不得超过1次，且更换后须通过甲方组织的岗前能力验证，确保运维连续性不受影响。</w:t>
      </w:r>
    </w:p>
    <w:p w14:paraId="5B47B974">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（3）违约责任</w:t>
      </w:r>
    </w:p>
    <w:p w14:paraId="074D7007">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若因人员频繁变动导致服务质量下降，甲方有权按合同约定追究违约责任并执行扣款。</w:t>
      </w:r>
    </w:p>
    <w:p w14:paraId="42DBCE0B">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1.4.外出与请假管理</w:t>
      </w:r>
    </w:p>
    <w:p w14:paraId="422384FC">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因公外出：所有运维人员因公外出须提前履行报备手续，说明外出事由、时间及地点。</w:t>
      </w:r>
    </w:p>
    <w:p w14:paraId="6FB3863D">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因私请假：所有运维人员因私请假须提前提交书面报告，经审批通过后方可离岗。</w:t>
      </w:r>
    </w:p>
    <w:p w14:paraId="0CBA34E1">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2.项目管理</w:t>
      </w:r>
    </w:p>
    <w:p w14:paraId="29F50C8D">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2.1.工作记录管理</w:t>
      </w:r>
    </w:p>
    <w:p w14:paraId="7E0A259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所有运维工作（日常巡检、设备维修、耗材更换、日报登记、耗材入库等），均需在钉钉等办公平台上登记记录；未在平台上登记的工作内容，视为未开展。</w:t>
      </w:r>
    </w:p>
    <w:p w14:paraId="0F7A57ED">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2.2.日报管理</w:t>
      </w:r>
    </w:p>
    <w:p w14:paraId="69F4628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每标段项目经理须于次日11点前汇报前一日工作内容，实行日报制度；周末、节假日可延迟至上班第一天下班前报告。</w:t>
      </w:r>
    </w:p>
    <w:p w14:paraId="5B47CC8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日报内容需包含所属设备在线情况、前一天工作内容小结、问题及建议等；</w:t>
      </w:r>
    </w:p>
    <w:p w14:paraId="7A3F634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日报内容不合理、失实、不准确、不完整或漏报，经甲方运维科室及分管领导综合评定不合格后，扣100-300元；日报无故不上报，扣500元。</w:t>
      </w:r>
    </w:p>
    <w:p w14:paraId="3D67786A">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2.3.周报管理</w:t>
      </w:r>
    </w:p>
    <w:p w14:paraId="6FB171FB">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各标段须按要求提交周报（具体要求按甲方统一规范执行）。</w:t>
      </w:r>
    </w:p>
    <w:p w14:paraId="2C7AD54F">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2.4.月报管理</w:t>
      </w:r>
    </w:p>
    <w:p w14:paraId="62E07617">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每标段须提供月报，若甲方运维科室及分管领导综合评定不合格，扣500-1000元。月报需在下个月10日前提交，逾期扣1000元；无故不提交月报，扣2000元。</w:t>
      </w:r>
    </w:p>
    <w:p w14:paraId="700C1B4D">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2.5.月度运维养护计划管理</w:t>
      </w:r>
    </w:p>
    <w:p w14:paraId="1D24D598">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各标段须按要求制定并提交每月运维养护计划（具体要求按甲方统一规范执行）。</w:t>
      </w:r>
    </w:p>
    <w:p w14:paraId="135547E2">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2.6.年度总结报告</w:t>
      </w:r>
    </w:p>
    <w:p w14:paraId="1DDF7100">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每标段须提供年度总结报告，若甲方运维科室及分管领导综合评定不合格，扣2000-3000元。</w:t>
      </w:r>
    </w:p>
    <w:p w14:paraId="25B51A12">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年度总结报告需在下一年度第一个月底前提供，逾期扣2000元；无故不提交年度总结报告，扣5000元。</w:t>
      </w:r>
    </w:p>
    <w:p w14:paraId="05F39DB2">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2.7.工作留痕管理</w:t>
      </w:r>
    </w:p>
    <w:p w14:paraId="2C6BEBCD">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所有工作需拍照留痕，须使用水印相机，注明时间、地点、工作内容、巡检人员等重要信息，并上传至钉钉。</w:t>
      </w:r>
    </w:p>
    <w:p w14:paraId="4A477991">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2.8.抽查与违规管理</w:t>
      </w:r>
    </w:p>
    <w:p w14:paraId="434E58A4">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甲方项目负责人对运维工作进行随机抽查，经甲方运维科室及分管领导综合评定不合格后，扣200-5000元；</w:t>
      </w:r>
    </w:p>
    <w:p w14:paraId="40AFED6B">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运维过程中，若乙方存在推诿扯皮、消极怠工情况，经评定不合格后，扣500-1000元；</w:t>
      </w:r>
    </w:p>
    <w:p w14:paraId="20A19338">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运维中未按规定采取相关安全措施（如未戴安全帽、未穿安全衣、井下作业未通风等不规范操作），经评定不合格后，每次扣500-1000元。</w:t>
      </w:r>
    </w:p>
    <w:p w14:paraId="1214285B">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3.水位站、流量站运维</w:t>
      </w:r>
    </w:p>
    <w:p w14:paraId="0D75546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水位站、流量站运维参照《河流流量测验规范》（GB 50179-2015）、《水文测站运行维护技术规范》（SL 61-2015）等标准运维。</w:t>
      </w:r>
    </w:p>
    <w:p w14:paraId="1C8F4A52">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3.1.日常运维与巡检管理</w:t>
      </w:r>
    </w:p>
    <w:p w14:paraId="7B932CCE">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每日需在物联网平台查看设备在线和数据准确情况，形成日志并上传至钉钉；每月需完成现场巡察全覆盖，每少巡检1台设备扣200元；每月每台设备须完成校准并留存校准记录，无校准记录每台扣100元。</w:t>
      </w:r>
    </w:p>
    <w:p w14:paraId="6FE36884">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3.2.在线情况与设备状态管理</w:t>
      </w:r>
    </w:p>
    <w:p w14:paraId="2D066E5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设备长期不在线超过1周，每点每天扣除100元；甲方随机抽查中发现设备数据不准确，每台扣100元；发现设备故障，每台扣100元，若24小时内未处理则追加扣200元。</w:t>
      </w:r>
    </w:p>
    <w:p w14:paraId="2B545144">
      <w:pPr>
        <w:wordWrap w:val="0"/>
        <w:spacing w:line="360" w:lineRule="exact"/>
        <w:ind w:left="0" w:firstLine="422"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3.3现场管理与安全规范</w:t>
      </w:r>
    </w:p>
    <w:p w14:paraId="171EBA2E">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甲方随机抽查中，未按河边施工安全规范佩戴安全设施，每次扣200元；发现设备问题存在漏报、瞒报，每次扣200元。</w:t>
      </w:r>
    </w:p>
    <w:p w14:paraId="4BF254EE">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3.4.设备迁移与年度报告</w:t>
      </w:r>
    </w:p>
    <w:p w14:paraId="630992E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因市政施工等影响，需配合甲方将设备迁移至指定地点，该服务为免费服务；需提供水位、流量运维设备年报，全面评估设备状态并给出下年度维护重点建议；若甲方运维科室及分管领导综合评定不合格，扣2000-3000元。</w:t>
      </w:r>
    </w:p>
    <w:p w14:paraId="34794C8D">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4.水资源测站运维</w:t>
      </w:r>
    </w:p>
    <w:p w14:paraId="2D2A0884">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水资源测站运维参照苏水资〔2013〕7号 江苏省水资源管理信息系统运维管理办法、《苏州市取水口监测计量体系管理效能提升行动方案（2022-2025）》等标准运维。</w:t>
      </w:r>
    </w:p>
    <w:p w14:paraId="44132BF5">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4.1.水量测站运维</w:t>
      </w:r>
    </w:p>
    <w:p w14:paraId="3866C4AD">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负责每日通过省水资源系统平台在线巡查监测站，每少巡检1台设备扣200元；每月至少一次站点巡查，全面检查维护设备，每少巡检1台设备扣200元；每两月校对市级地下水位、流量现场与平台数据，每少校对一台设备扣200元；每季度检查养护取水计量设施及太阳能电池板，每少检查一台设备扣200元；每年养护投入式水位传感器，每两年养护蓄电池及防雷接地，每少养护一台设备扣200元；保障苏州分中心监测站月均在线率95%以上，每低1%扣款500元；做好运维档案，每两月提交记录，每年提供年度报告，若甲方运维科室及分管领导综合评定报告不合格，扣2000-3000元。</w:t>
      </w:r>
    </w:p>
    <w:p w14:paraId="51ACD044">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4.2.水位测站运维</w:t>
      </w:r>
    </w:p>
    <w:p w14:paraId="2F899526">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负责每日通过省水资源系统平台在线巡查监测站，每少巡检1台设备扣200元；每月至少一次站点巡查，全面检查维护设备，及时处理问题并记录，每少巡检1台设备扣200元；每两月校对市级地下水位、流量现场与平台数据，每少校对一台设备扣200元；每季度检查养护取水计量设施及太阳能电池板，每少检查一台设备扣200元；每年养护投入式水位传感器，每两年养护蓄电池及防雷接地，每少养护一台设备扣200元；及时处置故障测站，按要求管理停用及新增测站；保障苏州分中心监测站月均在线率95%以上，每低1%扣款500元；做好运维档案，每两月提交记录，每年提供年度报告，若甲方运维科室及分管领导综合评定报告不合格，扣2000-3000元。</w:t>
      </w:r>
    </w:p>
    <w:p w14:paraId="027A5584">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5.无人机运维</w:t>
      </w:r>
    </w:p>
    <w:p w14:paraId="58DAE71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无人机运维参照《水利无人机遥感应用技术规程》（SL/T 801-2020）、《无人机巡检作业技术规范》（MH/T 1065-2018）等标准运维。</w:t>
      </w:r>
    </w:p>
    <w:p w14:paraId="31C39E40">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5.1.日常巡检管理</w:t>
      </w:r>
    </w:p>
    <w:p w14:paraId="1CF5B4E1">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严格按照项目作业方案、航线规划及空域管理要求，执行无人机自动/手动飞行任务。负责飞行前设备检查：无人机外观、电池电量、GPS/RTK信号、云台、避障系统、图传链路等，形成日志并上传至钉钉；负责飞行任务记录：填写飞行日志、起降时间、飞行架次、飞行里程、作业区域、异常情况等，每少一次记录扣200元。</w:t>
      </w:r>
    </w:p>
    <w:p w14:paraId="305689E0">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5.2.无人机库管理</w:t>
      </w:r>
    </w:p>
    <w:p w14:paraId="60120C6B">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负责每月对无人机及机库现场日常巡检、清洁、保养与环境维护，没少保养一次扣200元；每月对无人机进行清洁：机身、云台、镜头、桨叶、散热口除尘除污，检查有无磕碰、变形、裂纹，每少清洁一次扣200元；每月对机库（无人机机场）进行巡检：舱门开合、密封防水、内部温湿度、散热、防尘滤网、干燥剂状态、接地与防雷检查，每少巡检一次扣200元。</w:t>
      </w:r>
    </w:p>
    <w:p w14:paraId="3C95C5BE">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5.3.台账及报告管理</w:t>
      </w:r>
    </w:p>
    <w:p w14:paraId="02775BE7">
      <w:pPr>
        <w:wordWrap w:val="0"/>
        <w:spacing w:line="360" w:lineRule="exact"/>
        <w:ind w:firstLine="420" w:firstLineChars="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记录巡检与养护台账，上报设备损耗、故障、需更换备件等情况，每少一次台账扣100元；对数据进行分类归档与成果交付，确保数据可追溯、可查询、可复用，每缺一次成果扣200元；做好运维档案，每两月提交记录，每年提供年度报告，若甲方运维科室及分管领导综合评定报告不合格，扣2000-3000元。</w:t>
      </w:r>
    </w:p>
    <w:p w14:paraId="59AF46DC">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6.流量设备校测</w:t>
      </w:r>
    </w:p>
    <w:p w14:paraId="5B9D60A3">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流量校测针对已建设的24台流量站进行流量校测比对，每年度每个测量校测次数不少于12次。测量需满足《河流流量测验规范》（GB 50179-2015）等规范要求。所有校测结果需要经进行专家评审，对无法率定出校正关系的测站需做说明，并由业主及专家进行审议;对受工情、水情条件以及安装选址限制无法率定出关系线的测站，需分析原因并根据比测情况提出调整建议。</w:t>
      </w:r>
    </w:p>
    <w:p w14:paraId="68435F69">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6.1.测量断面选取</w:t>
      </w:r>
    </w:p>
    <w:p w14:paraId="22DAA56D">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现场测量点位需在流量站上下游200米内，且选取的点位满足满足河道顺直、稳定、无分流、无回流、无漩涡，水流与断面垂直；河床稳定，无明显冲淤变化，若选址不合理，每一个点扣500元。</w:t>
      </w:r>
    </w:p>
    <w:p w14:paraId="09CDCB69">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6.2.测量频次</w:t>
      </w:r>
    </w:p>
    <w:p w14:paraId="3A7353CA">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每个流量站点年度日常测量10次，汛前、汛后需额外补充测量各1次，单站点合计年测量不少于12次，每少一次扣500元。</w:t>
      </w:r>
    </w:p>
    <w:p w14:paraId="0D4E9B9D">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6.3.数据整编</w:t>
      </w:r>
    </w:p>
    <w:p w14:paraId="280C227E">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（1）现场记录</w:t>
      </w:r>
    </w:p>
    <w:p w14:paraId="48346EDB">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完整记录：断面号、水位、水温、天气、测速历时、测点流速、仪器编号、观测人。异常数据（跳变、负值、不合理）当场复测并注明原因。每少一次记录扣200元。</w:t>
      </w:r>
    </w:p>
    <w:p w14:paraId="66BBCF6F">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（2）数据处理</w:t>
      </w:r>
    </w:p>
    <w:p w14:paraId="233D6258">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依据现场原始测量数据对流速、水位等测量数据进行处理，最终得出流量测量结果。</w:t>
      </w:r>
    </w:p>
    <w:p w14:paraId="7B826E56">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6.4.台账与报告管理</w:t>
      </w:r>
    </w:p>
    <w:p w14:paraId="5F6846C2">
      <w:pPr>
        <w:wordWrap w:val="0"/>
        <w:spacing w:line="360" w:lineRule="exact"/>
        <w:ind w:left="0" w:firstLine="420" w:firstLineChars="20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14:textFill>
            <w14:solidFill>
              <w14:schemeClr w14:val="tx1"/>
            </w14:solidFill>
          </w14:textFill>
        </w:rPr>
        <w:t>记录巡检与养护台账，每少一次台账扣100元；对数据进行分类归档与成果交付，确保数据可追溯、可查询、可复用，每缺一次成果扣200元；做好运维档案，每两月提交记录，每年提供年度报告，若甲方运维科室及分管领导综合评定报告不合格，扣2000-3000元。</w:t>
      </w:r>
    </w:p>
    <w:p w14:paraId="7FD9D99E">
      <w:pPr>
        <w:wordWrap w:val="0"/>
        <w:spacing w:line="360" w:lineRule="exact"/>
        <w:ind w:left="0" w:firstLine="422" w:firstLineChars="200"/>
        <w:jc w:val="left"/>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7.保密要求</w:t>
      </w:r>
    </w:p>
    <w:p w14:paraId="2EC78296">
      <w:pPr>
        <w:wordWrap w:val="0"/>
        <w:spacing w:line="360" w:lineRule="exact"/>
        <w:ind w:left="0" w:firstLine="420" w:firstLineChars="200"/>
        <w:jc w:val="left"/>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运维单位须严格恪守甲方的保密管理制度，并与甲方正式签署《单位保密协议》及《运维人员个人保密承诺书》。若发生泄密事件，一经核实，甲方有权依据违规情节轻重及造成的后果，在当期运维费用中直接扣除1,000元至10,000元作为违约金；情节严重造成重大损失的，甲方保留进一步追究法律责任的权利。</w:t>
      </w:r>
    </w:p>
    <w:p w14:paraId="3630BCF7">
      <w:pPr>
        <w:pStyle w:val="2"/>
        <w:ind w:left="0" w:leftChars="0" w:firstLine="0" w:firstLineChars="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39C13552">
      <w:pPr>
        <w:wordWrap w:val="0"/>
        <w:spacing w:line="360" w:lineRule="exact"/>
        <w:ind w:left="400" w:firstLine="420" w:firstLineChars="200"/>
        <w:jc w:val="both"/>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p>
    <w:bookmarkEnd w:id="35"/>
    <w:bookmarkEnd w:id="37"/>
    <w:bookmarkEnd w:id="38"/>
    <w:p w14:paraId="4034953F">
      <w:pPr>
        <w:rPr>
          <w:rFonts w:hint="eastAsia" w:ascii="宋体" w:hAnsi="宋体" w:eastAsia="宋体" w:cs="宋体"/>
          <w:b w:val="0"/>
          <w:bCs w:val="0"/>
          <w:color w:val="000000" w:themeColor="text1"/>
          <w:sz w:val="21"/>
          <w:szCs w:val="21"/>
          <w:highlight w:val="none"/>
          <w14:textFill>
            <w14:solidFill>
              <w14:schemeClr w14:val="tx1"/>
            </w14:solidFill>
          </w14:textFill>
        </w:rPr>
      </w:pPr>
      <w:bookmarkStart w:id="41" w:name="_Toc388026588"/>
      <w:bookmarkStart w:id="42" w:name="_Toc494471875"/>
      <w:bookmarkStart w:id="43" w:name="_Toc160701728"/>
    </w:p>
    <w:p w14:paraId="633753E9">
      <w:pPr>
        <w:pStyle w:val="297"/>
        <w:shd w:val="clear" w:color="auto" w:fill="FFFFFF"/>
        <w:snapToGrid w:val="0"/>
        <w:spacing w:line="240" w:lineRule="auto"/>
        <w:ind w:firstLine="0" w:firstLineChars="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r>
    </w:p>
    <w:p w14:paraId="27E5D8AF">
      <w:pPr>
        <w:pStyle w:val="3"/>
        <w:spacing w:before="0" w:after="0" w:line="579"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p>
    <w:p w14:paraId="60F79B2D">
      <w:pPr>
        <w:pStyle w:val="3"/>
        <w:spacing w:before="0" w:after="0" w:line="579"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第六章 评标办法及标准</w:t>
      </w:r>
      <w:bookmarkEnd w:id="41"/>
      <w:bookmarkEnd w:id="42"/>
      <w:bookmarkEnd w:id="43"/>
    </w:p>
    <w:p w14:paraId="7D28911B">
      <w:pPr>
        <w:numPr>
          <w:ilvl w:val="0"/>
          <w:numId w:val="9"/>
        </w:numPr>
        <w:spacing w:line="2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评标办法：</w:t>
      </w:r>
    </w:p>
    <w:p w14:paraId="633130AF">
      <w:pPr>
        <w:pStyle w:val="2"/>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p>
    <w:p w14:paraId="2E858E19">
      <w:pPr>
        <w:pStyle w:val="256"/>
        <w:spacing w:line="360" w:lineRule="auto"/>
        <w:ind w:firstLine="48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1、本次招标评标采用为综合评分法，即在满足招标文件实质性要求前提下，评标委员会按照招标文件中规定的评分标准和各项因素进行综合评审后，按评标总得分高低顺序推荐中标候选供应商。</w:t>
      </w:r>
    </w:p>
    <w:p w14:paraId="133A1EA7">
      <w:pPr>
        <w:pStyle w:val="256"/>
        <w:spacing w:line="360" w:lineRule="auto"/>
        <w:ind w:firstLine="48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2、评标时，评标委员会成员按照招标文件规定的评分标准，独立对每个供应商的投标文件进行评价、打分。将评委对投标文件的除价格部分外的其他因素评分，并按算术平均法汇总，计算出每个供应商的除价格部分外的其他因素评审得分（保留小数点后两位）。价格标得分按法规规定的计算公式直接计算取得。除价格部分外的其他因素评审得分和价格标得分相加即为供应商的评标总得分。</w:t>
      </w:r>
    </w:p>
    <w:p w14:paraId="6A292262">
      <w:pPr>
        <w:pStyle w:val="256"/>
        <w:spacing w:line="360" w:lineRule="auto"/>
        <w:ind w:firstLine="480"/>
        <w:jc w:val="lef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3、异常低价问题执行“苏财购〔2025］62号”文件。</w:t>
      </w:r>
    </w:p>
    <w:p w14:paraId="034B1453">
      <w:pPr>
        <w:pStyle w:val="256"/>
        <w:spacing w:line="360" w:lineRule="auto"/>
        <w:ind w:firstLine="48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1"/>
          <w:szCs w:val="21"/>
          <w:highlight w:val="none"/>
          <w14:textFill>
            <w14:solidFill>
              <w14:schemeClr w14:val="tx1"/>
            </w14:solidFill>
          </w14:textFill>
        </w:rPr>
        <w:t>、中标候选人并列的，以投标报价较低者优先作为中标候选人，如果投标报价也相同的，则由招标单位组织以抽签方式确定中标候选人。</w:t>
      </w:r>
    </w:p>
    <w:p w14:paraId="080D11B8">
      <w:pPr>
        <w:spacing w:line="360" w:lineRule="auto"/>
        <w:ind w:firstLine="48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1"/>
          <w:szCs w:val="21"/>
          <w:highlight w:val="none"/>
          <w14:textFill>
            <w14:solidFill>
              <w14:schemeClr w14:val="tx1"/>
            </w14:solidFill>
          </w14:textFill>
        </w:rPr>
        <w:t>、针对中小型企业、残疾人福利企业和监狱企业的评审：</w:t>
      </w:r>
    </w:p>
    <w:p w14:paraId="46DAF44A">
      <w:pPr>
        <w:spacing w:line="360" w:lineRule="auto"/>
        <w:ind w:firstLine="48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w:t>
      </w:r>
    </w:p>
    <w:p w14:paraId="6FB66886">
      <w:pPr>
        <w:spacing w:line="360" w:lineRule="auto"/>
        <w:ind w:firstLine="48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供应商必须提供《中小企业声明函》或《残疾人福利性单位声明函》或由省级以上监狱管理局、戒毒管理局（含新疆生产建设兵团）出具的属于监狱企业的证明文件。</w:t>
      </w:r>
    </w:p>
    <w:p w14:paraId="7C894E8A">
      <w:pPr>
        <w:wordWrap/>
        <w:spacing w:line="360" w:lineRule="auto"/>
        <w:ind w:left="0" w:firstLine="480" w:firstLineChars="0"/>
        <w:jc w:val="center"/>
        <w:rPr>
          <w:rFonts w:hint="eastAsia" w:ascii="宋体" w:hAnsi="宋体" w:eastAsia="宋体" w:cs="宋体"/>
          <w:b w:val="0"/>
          <w:bCs w:val="0"/>
          <w:color w:val="000000" w:themeColor="text1"/>
          <w:sz w:val="21"/>
          <w:szCs w:val="21"/>
          <w:highlight w:val="none"/>
          <w14:textFill>
            <w14:solidFill>
              <w14:schemeClr w14:val="tx1"/>
            </w14:solidFill>
          </w14:textFill>
        </w:rPr>
      </w:pPr>
    </w:p>
    <w:p w14:paraId="73188CC4">
      <w:pPr>
        <w:wordWrap/>
        <w:spacing w:line="240" w:lineRule="auto"/>
        <w:ind w:left="0" w:firstLine="0" w:firstLineChars="0"/>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br w:type="page"/>
      </w:r>
    </w:p>
    <w:p w14:paraId="3FA20E38">
      <w:pPr>
        <w:pStyle w:val="297"/>
        <w:shd w:val="clear" w:color="auto" w:fill="FFFFFF"/>
        <w:snapToGrid w:val="0"/>
        <w:spacing w:line="240" w:lineRule="auto"/>
        <w:ind w:firstLine="0" w:firstLineChars="0"/>
        <w:jc w:val="left"/>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pPr>
    </w:p>
    <w:p w14:paraId="02BEC45E">
      <w:pPr>
        <w:pStyle w:val="297"/>
        <w:shd w:val="clear" w:color="auto" w:fill="FFFFFF"/>
        <w:snapToGrid w:val="0"/>
        <w:spacing w:line="240" w:lineRule="auto"/>
        <w:ind w:firstLine="0" w:firstLineChars="0"/>
        <w:jc w:val="left"/>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(一）价格分：</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0分</w:t>
      </w:r>
    </w:p>
    <w:p w14:paraId="1D7A383A">
      <w:pPr>
        <w:pStyle w:val="297"/>
        <w:shd w:val="clear" w:color="auto" w:fill="FFFFFF"/>
        <w:snapToGrid w:val="0"/>
        <w:spacing w:line="240" w:lineRule="auto"/>
        <w:ind w:firstLine="0" w:firstLineChars="0"/>
        <w:jc w:val="left"/>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t>第一步：投标报价低于或等于财政预算价格（或最高限价）的，为有效投标报价。超财政预算（或最高限价）的投标报价为无效投标报价。</w:t>
      </w:r>
    </w:p>
    <w:p w14:paraId="460019B8">
      <w:pPr>
        <w:pStyle w:val="297"/>
        <w:shd w:val="clear" w:color="auto" w:fill="FFFFFF"/>
        <w:snapToGrid w:val="0"/>
        <w:spacing w:line="240" w:lineRule="auto"/>
        <w:ind w:firstLine="0" w:firstLineChars="0"/>
        <w:jc w:val="left"/>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t>第二步：在所有有效投标报价中满足招标文件要求，且投标价格最低的投标报价为评标基准价，其他投标人的价格分按照下列公式计算（计算结果四舍五入保留两位小数）。</w:t>
      </w:r>
    </w:p>
    <w:p w14:paraId="09932C29">
      <w:pPr>
        <w:pStyle w:val="297"/>
        <w:shd w:val="clear" w:color="auto" w:fill="FFFFFF"/>
        <w:snapToGrid w:val="0"/>
        <w:spacing w:line="240" w:lineRule="auto"/>
        <w:ind w:firstLine="0" w:firstLineChars="0"/>
        <w:jc w:val="left"/>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t>投标报价得分＝（评标基准价/投标报价）×</w:t>
      </w: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1</w:t>
      </w:r>
      <w:r>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t>0％×100</w:t>
      </w:r>
    </w:p>
    <w:p w14:paraId="75FEE133">
      <w:pPr>
        <w:pStyle w:val="297"/>
        <w:shd w:val="clear" w:color="auto" w:fill="FFFFFF"/>
        <w:snapToGrid w:val="0"/>
        <w:spacing w:line="240" w:lineRule="auto"/>
        <w:ind w:firstLine="0" w:firstLineChars="0"/>
        <w:jc w:val="left"/>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（二）技术及商务部分（90分）</w:t>
      </w:r>
    </w:p>
    <w:tbl>
      <w:tblPr>
        <w:tblStyle w:val="52"/>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1265"/>
        <w:gridCol w:w="5572"/>
        <w:gridCol w:w="668"/>
      </w:tblGrid>
      <w:tr w14:paraId="0467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597" w:type="pct"/>
            <w:tcBorders>
              <w:top w:val="single" w:color="auto" w:sz="4" w:space="0"/>
              <w:left w:val="single" w:color="auto" w:sz="4" w:space="0"/>
              <w:bottom w:val="single" w:color="auto" w:sz="4" w:space="0"/>
              <w:right w:val="single" w:color="auto" w:sz="4" w:space="0"/>
            </w:tcBorders>
            <w:noWrap w:val="0"/>
            <w:vAlign w:val="center"/>
          </w:tcPr>
          <w:p w14:paraId="66546C6B">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评审类别</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37E7AFDF">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评审项</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09B7F255">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评审规则</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40628CC">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分值</w:t>
            </w:r>
          </w:p>
        </w:tc>
      </w:tr>
      <w:tr w14:paraId="7585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597" w:type="pct"/>
            <w:vMerge w:val="restart"/>
            <w:tcBorders>
              <w:top w:val="nil"/>
              <w:left w:val="single" w:color="auto" w:sz="4" w:space="0"/>
              <w:right w:val="single" w:color="auto" w:sz="4" w:space="0"/>
            </w:tcBorders>
            <w:noWrap w:val="0"/>
            <w:vAlign w:val="center"/>
          </w:tcPr>
          <w:p w14:paraId="7702DA5D">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技术部分(60分)</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00669D2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对本项目需求理解</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36D43E79">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阐述对该项目的需求理解情况，包括但不限于项目情况、项目现状、服务目标、重难点分析等，</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分析需求</w:t>
            </w:r>
            <w:r>
              <w:rPr>
                <w:rFonts w:hint="eastAsia" w:ascii="宋体" w:hAnsi="宋体" w:eastAsia="宋体" w:cs="宋体"/>
                <w:color w:val="000000" w:themeColor="text1"/>
                <w:sz w:val="21"/>
                <w:szCs w:val="21"/>
                <w:highlight w:val="none"/>
                <w14:textFill>
                  <w14:solidFill>
                    <w14:schemeClr w14:val="tx1"/>
                  </w14:solidFill>
                </w14:textFill>
              </w:rPr>
              <w:t>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分析需求</w:t>
            </w:r>
            <w:r>
              <w:rPr>
                <w:rFonts w:hint="eastAsia" w:ascii="宋体" w:hAnsi="宋体" w:eastAsia="宋体" w:cs="宋体"/>
                <w:color w:val="000000" w:themeColor="text1"/>
                <w:sz w:val="21"/>
                <w:szCs w:val="21"/>
                <w:highlight w:val="none"/>
                <w14:textFill>
                  <w14:solidFill>
                    <w14:schemeClr w14:val="tx1"/>
                  </w14:solidFill>
                </w14:textFill>
              </w:rPr>
              <w:t>较准确、内容较完整的得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lang w:val="en-US" w:eastAsia="zh-CN"/>
                <w14:textFill>
                  <w14:solidFill>
                    <w14:schemeClr w14:val="tx1"/>
                  </w14:solidFill>
                </w14:textFill>
              </w:rPr>
              <w:t>分析需求</w:t>
            </w:r>
            <w:r>
              <w:rPr>
                <w:rFonts w:hint="eastAsia" w:ascii="宋体" w:hAnsi="宋体" w:eastAsia="宋体" w:cs="宋体"/>
                <w:color w:val="000000" w:themeColor="text1"/>
                <w:sz w:val="21"/>
                <w:szCs w:val="21"/>
                <w:highlight w:val="none"/>
                <w14:textFill>
                  <w14:solidFill>
                    <w14:schemeClr w14:val="tx1"/>
                  </w14:solidFill>
                </w14:textFill>
              </w:rPr>
              <w:t>较差，内容缺失的得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340375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10分</w:t>
            </w:r>
          </w:p>
        </w:tc>
      </w:tr>
      <w:tr w14:paraId="120C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0" w:type="auto"/>
            <w:vMerge w:val="continue"/>
            <w:tcBorders>
              <w:left w:val="single" w:color="auto" w:sz="4" w:space="0"/>
              <w:right w:val="single" w:color="auto" w:sz="4" w:space="0"/>
            </w:tcBorders>
            <w:noWrap w:val="0"/>
            <w:vAlign w:val="center"/>
          </w:tcPr>
          <w:p w14:paraId="3227A763">
            <w:pPr>
              <w:rPr>
                <w:rFonts w:hint="eastAsia" w:ascii="宋体" w:hAnsi="宋体" w:eastAsia="宋体" w:cs="宋体"/>
                <w:bCs/>
                <w:color w:val="000000" w:themeColor="text1"/>
                <w:sz w:val="21"/>
                <w:szCs w:val="21"/>
                <w:highlight w:val="none"/>
                <w14:textFill>
                  <w14:solidFill>
                    <w14:schemeClr w14:val="tx1"/>
                  </w14:solidFill>
                </w14:textFill>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1ADF4BA4">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服务体系建设</w:t>
            </w:r>
            <w:r>
              <w:rPr>
                <w:rFonts w:hint="eastAsia" w:ascii="宋体" w:hAnsi="宋体" w:eastAsia="宋体" w:cs="宋体"/>
                <w:color w:val="000000" w:themeColor="text1"/>
                <w:sz w:val="21"/>
                <w:szCs w:val="21"/>
                <w:highlight w:val="none"/>
                <w:lang w:val="en-US" w:eastAsia="zh-CN"/>
                <w14:textFill>
                  <w14:solidFill>
                    <w14:schemeClr w14:val="tx1"/>
                  </w14:solidFill>
                </w14:textFill>
              </w:rPr>
              <w:t>方案</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0C0BD9E0">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投标单位针对本项目所提供的服务体系建设方案准确、内容完整的得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14:textFill>
                  <w14:solidFill>
                    <w14:schemeClr w14:val="tx1"/>
                  </w14:solidFill>
                </w14:textFill>
              </w:rPr>
              <w:t>分；方案较准确、内容较完整的得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分；方案较差，内容缺失的得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D0C24EA">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2267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0" w:type="auto"/>
            <w:vMerge w:val="continue"/>
            <w:tcBorders>
              <w:left w:val="single" w:color="auto" w:sz="4" w:space="0"/>
              <w:right w:val="single" w:color="auto" w:sz="4" w:space="0"/>
            </w:tcBorders>
            <w:noWrap w:val="0"/>
            <w:vAlign w:val="center"/>
          </w:tcPr>
          <w:p w14:paraId="508CA23C">
            <w:pPr>
              <w:rPr>
                <w:rFonts w:hint="eastAsia" w:ascii="宋体" w:hAnsi="宋体" w:eastAsia="宋体" w:cs="宋体"/>
                <w:bCs/>
                <w:color w:val="000000" w:themeColor="text1"/>
                <w:sz w:val="21"/>
                <w:szCs w:val="21"/>
                <w:highlight w:val="none"/>
                <w14:textFill>
                  <w14:solidFill>
                    <w14:schemeClr w14:val="tx1"/>
                  </w14:solidFill>
                </w14:textFill>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6227E6B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维护的服务承诺和响应时间</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0AB7D84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投标单位针对本项目的承诺完整，响应时间合理、及时的得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分；承诺较完整，响应时间较合理、及时的得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分；承诺完整性一般，响应时间合理性、及时性一般的得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7F1FEA9">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50B6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0" w:type="auto"/>
            <w:vMerge w:val="continue"/>
            <w:tcBorders>
              <w:left w:val="single" w:color="auto" w:sz="4" w:space="0"/>
              <w:right w:val="single" w:color="auto" w:sz="4" w:space="0"/>
            </w:tcBorders>
            <w:noWrap w:val="0"/>
            <w:vAlign w:val="center"/>
          </w:tcPr>
          <w:p w14:paraId="21F5C581">
            <w:pPr>
              <w:rPr>
                <w:rFonts w:hint="eastAsia" w:ascii="宋体" w:hAnsi="宋体" w:eastAsia="宋体" w:cs="宋体"/>
                <w:bCs/>
                <w:color w:val="000000" w:themeColor="text1"/>
                <w:sz w:val="21"/>
                <w:szCs w:val="21"/>
                <w:highlight w:val="none"/>
                <w14:textFill>
                  <w14:solidFill>
                    <w14:schemeClr w14:val="tx1"/>
                  </w14:solidFill>
                </w14:textFill>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68824FA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应急维护服务方案</w:t>
            </w:r>
          </w:p>
        </w:tc>
        <w:tc>
          <w:tcPr>
            <w:tcW w:w="5572" w:type="dxa"/>
            <w:tcBorders>
              <w:top w:val="single" w:color="auto" w:sz="4" w:space="0"/>
              <w:left w:val="single" w:color="auto" w:sz="4" w:space="0"/>
              <w:bottom w:val="single" w:color="auto" w:sz="4" w:space="0"/>
              <w:right w:val="single" w:color="auto" w:sz="4" w:space="0"/>
            </w:tcBorders>
            <w:noWrap w:val="0"/>
            <w:vAlign w:val="center"/>
          </w:tcPr>
          <w:p w14:paraId="4C7427F3">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方案完整、操作性强，根据可能发生的故障问题提供有效可行的、保证系统正常运行的应急维护服务方案，内容完整的得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分；方案较准确、内容较完整的得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分；方案较差，内容缺失的得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0C79AACC">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34A78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0" w:type="auto"/>
            <w:vMerge w:val="continue"/>
            <w:tcBorders>
              <w:left w:val="single" w:color="auto" w:sz="4" w:space="0"/>
              <w:right w:val="single" w:color="auto" w:sz="4" w:space="0"/>
            </w:tcBorders>
            <w:noWrap w:val="0"/>
            <w:vAlign w:val="center"/>
          </w:tcPr>
          <w:p w14:paraId="3EE61D6C">
            <w:pPr>
              <w:rPr>
                <w:rFonts w:hint="eastAsia" w:ascii="宋体" w:hAnsi="宋体" w:eastAsia="宋体" w:cs="宋体"/>
                <w:bCs/>
                <w:color w:val="000000" w:themeColor="text1"/>
                <w:sz w:val="21"/>
                <w:szCs w:val="21"/>
                <w:highlight w:val="none"/>
                <w14:textFill>
                  <w14:solidFill>
                    <w14:schemeClr w14:val="tx1"/>
                  </w14:solidFill>
                </w14:textFill>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19BA7C05">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文档</w:t>
            </w:r>
            <w:r>
              <w:rPr>
                <w:rFonts w:hint="eastAsia" w:ascii="宋体" w:hAnsi="宋体" w:eastAsia="宋体" w:cs="宋体"/>
                <w:color w:val="000000" w:themeColor="text1"/>
                <w:sz w:val="21"/>
                <w:szCs w:val="21"/>
                <w:highlight w:val="none"/>
                <w:lang w:val="en-US" w:eastAsia="zh-CN"/>
                <w14:textFill>
                  <w14:solidFill>
                    <w14:schemeClr w14:val="tx1"/>
                  </w14:solidFill>
                </w14:textFill>
              </w:rPr>
              <w:t>管理方案</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7D010D0E">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投标单位针对本项目的维护文档方案完整、内容健全的得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分；维护文档较完整、内容较健全的得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分；维护文档完整性、健全性一般的得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D1E7126">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0BBEA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0" w:type="auto"/>
            <w:vMerge w:val="continue"/>
            <w:tcBorders>
              <w:left w:val="single" w:color="auto" w:sz="4" w:space="0"/>
              <w:right w:val="single" w:color="auto" w:sz="4" w:space="0"/>
            </w:tcBorders>
            <w:noWrap w:val="0"/>
            <w:vAlign w:val="center"/>
          </w:tcPr>
          <w:p w14:paraId="6EC65782">
            <w:pPr>
              <w:rPr>
                <w:rFonts w:hint="eastAsia" w:ascii="宋体" w:hAnsi="宋体" w:eastAsia="宋体" w:cs="宋体"/>
                <w:bCs/>
                <w:color w:val="000000" w:themeColor="text1"/>
                <w:sz w:val="21"/>
                <w:szCs w:val="21"/>
                <w:highlight w:val="none"/>
                <w14:textFill>
                  <w14:solidFill>
                    <w14:schemeClr w14:val="tx1"/>
                  </w14:solidFill>
                </w14:textFill>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7D55E8E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保密制度及方案</w:t>
            </w:r>
          </w:p>
        </w:tc>
        <w:tc>
          <w:tcPr>
            <w:tcW w:w="5572" w:type="dxa"/>
            <w:tcBorders>
              <w:top w:val="single" w:color="auto" w:sz="4" w:space="0"/>
              <w:left w:val="single" w:color="auto" w:sz="4" w:space="0"/>
              <w:bottom w:val="single" w:color="auto" w:sz="4" w:space="0"/>
              <w:right w:val="single" w:color="auto" w:sz="4" w:space="0"/>
            </w:tcBorders>
            <w:noWrap w:val="0"/>
            <w:vAlign w:val="center"/>
          </w:tcPr>
          <w:p w14:paraId="1FA5AAD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驻场服务的过程中能保护招标人的资料、信息等内容，对建立完好的保密管理规范等方案，内容完整的得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分；方案较准确、内容较完整的得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分；方案较差，内容缺失的得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FC17CD3">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tc>
      </w:tr>
      <w:tr w14:paraId="2175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trPr>
        <w:tc>
          <w:tcPr>
            <w:tcW w:w="597" w:type="pct"/>
            <w:vMerge w:val="restart"/>
            <w:tcBorders>
              <w:top w:val="nil"/>
              <w:left w:val="single" w:color="auto" w:sz="4" w:space="0"/>
              <w:bottom w:val="single" w:color="auto" w:sz="4" w:space="0"/>
              <w:right w:val="single" w:color="auto" w:sz="4" w:space="0"/>
            </w:tcBorders>
            <w:noWrap w:val="0"/>
            <w:vAlign w:val="center"/>
          </w:tcPr>
          <w:p w14:paraId="00E6F00C">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商务部分（30分）</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4AE99931">
            <w:pPr>
              <w:pStyle w:val="297"/>
              <w:snapToGrid w:val="0"/>
              <w:spacing w:line="240" w:lineRule="auto"/>
              <w:ind w:firstLine="0" w:firstLineChars="0"/>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项目组成员配备</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11F821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（1）项目经理具备自动化专业高级职称及以上职称得3分，具备注册安全工程师证书的得3分，最高得6分；</w:t>
            </w:r>
          </w:p>
          <w:p w14:paraId="35148A8C">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（2）除项目经理外的其他人员具有：</w:t>
            </w:r>
          </w:p>
          <w:p w14:paraId="50F3C524">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①网络工程师证书、信息系统项目管理师的有一名得2分，最高得4分；</w:t>
            </w:r>
          </w:p>
          <w:p w14:paraId="72312073">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②注册安全工程师或机电设备维修工中级及以上证书的，有一名得2分，最高得6分。</w:t>
            </w:r>
          </w:p>
          <w:p w14:paraId="044618AC">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注：以上人员一人持多证，不重复计分。</w:t>
            </w:r>
          </w:p>
          <w:p w14:paraId="1815AE8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（提供相关人员有效证书、投标单位为其缴纳的近期社保证明复印件，未提供不得分）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0DA430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16分</w:t>
            </w:r>
          </w:p>
        </w:tc>
      </w:tr>
      <w:tr w14:paraId="40F0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1F571F0">
            <w:pPr>
              <w:rPr>
                <w:rFonts w:hint="eastAsia" w:ascii="宋体" w:hAnsi="宋体" w:eastAsia="宋体" w:cs="宋体"/>
                <w:bCs/>
                <w:color w:val="000000" w:themeColor="text1"/>
                <w:sz w:val="21"/>
                <w:szCs w:val="21"/>
                <w:highlight w:val="none"/>
                <w14:textFill>
                  <w14:solidFill>
                    <w14:schemeClr w14:val="tx1"/>
                  </w14:solidFill>
                </w14:textFill>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7F5B1F0F">
            <w:pPr>
              <w:pStyle w:val="297"/>
              <w:snapToGrid w:val="0"/>
              <w:spacing w:line="240" w:lineRule="auto"/>
              <w:ind w:firstLine="0" w:firstLineChars="0"/>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认证体系</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13BC2E52">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投标人具有有效期内的：</w:t>
            </w:r>
          </w:p>
          <w:p w14:paraId="1E22800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①质量管理体系认证；</w:t>
            </w:r>
          </w:p>
          <w:p w14:paraId="6738146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②环境管理体系认证；</w:t>
            </w:r>
          </w:p>
          <w:p w14:paraId="5190A0E5">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③职业健康安全管理体系认证；</w:t>
            </w:r>
          </w:p>
          <w:p w14:paraId="4AEA9B34">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④信息安全管理体系认证；</w:t>
            </w:r>
          </w:p>
          <w:p w14:paraId="6464D944">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⑤信息技术服务管理体系认证；</w:t>
            </w:r>
          </w:p>
          <w:p w14:paraId="51A9968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⑥信用评价AAA级信用企业证书。</w:t>
            </w:r>
          </w:p>
          <w:p w14:paraId="457FC67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每提供1项得1分，最高得6分。</w:t>
            </w:r>
          </w:p>
          <w:p w14:paraId="16AB5690">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（提供有效期内的证书复印件，不提供不得分）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3A47A0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6分</w:t>
            </w:r>
          </w:p>
        </w:tc>
      </w:tr>
      <w:tr w14:paraId="2B720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800A9D3">
            <w:pPr>
              <w:rPr>
                <w:rFonts w:hint="eastAsia" w:ascii="宋体" w:hAnsi="宋体" w:eastAsia="宋体" w:cs="宋体"/>
                <w:bCs/>
                <w:color w:val="000000" w:themeColor="text1"/>
                <w:sz w:val="21"/>
                <w:szCs w:val="21"/>
                <w:highlight w:val="none"/>
                <w14:textFill>
                  <w14:solidFill>
                    <w14:schemeClr w14:val="tx1"/>
                  </w14:solidFill>
                </w14:textFill>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1809D29A">
            <w:pPr>
              <w:pStyle w:val="297"/>
              <w:snapToGrid w:val="0"/>
              <w:spacing w:line="240" w:lineRule="auto"/>
              <w:ind w:firstLine="0" w:firstLineChars="0"/>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类似业绩</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359DE4E">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投标单位自202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年1月1日起至今（以合同签订之日为准）签订的硬件运维项目业绩，每提供一份合同得2分，最高8分。</w:t>
            </w:r>
          </w:p>
          <w:p w14:paraId="26CEF2C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（提供合同复印件，不提供不得分）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DA4033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8分</w:t>
            </w:r>
          </w:p>
        </w:tc>
      </w:tr>
    </w:tbl>
    <w:p w14:paraId="6D0A2CAD">
      <w:pPr>
        <w:wordWrap/>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6A7E71CC">
      <w:pPr>
        <w:wordWrap/>
        <w:spacing w:line="360" w:lineRule="auto"/>
        <w:ind w:left="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（注：投标文件中需提供合同复印件，不提供相关证明不得分。）</w:t>
      </w:r>
    </w:p>
    <w:p w14:paraId="230E8DC7">
      <w:pPr>
        <w:widowControl/>
        <w:spacing w:line="360" w:lineRule="auto"/>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p w14:paraId="6C70099F">
      <w:pPr>
        <w:widowControl/>
        <w:spacing w:line="360" w:lineRule="auto"/>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1.针对评分标准中评分的每一条，供应商均应提供相关资料并作出相应说明供评委评判，不提供相关资料的视为不具备该项得分的条件。</w:t>
      </w:r>
    </w:p>
    <w:p w14:paraId="66191ABE">
      <w:pPr>
        <w:widowControl/>
        <w:spacing w:line="360" w:lineRule="auto"/>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2.投标文件中如出现前后不一致时，评委有权请供应商澄清说明，澄清说明事项涉及评分时，评委有权酌情扣分。</w:t>
      </w:r>
    </w:p>
    <w:p w14:paraId="2F4FD5A2">
      <w:pPr>
        <w:widowControl/>
        <w:spacing w:line="360" w:lineRule="auto"/>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供应商必须保证全部投标资料的真实性，如有虚假或对招标文件所要求说明的情况故意隐瞒或虚报，视为不实质性投标招标文件，为无效投标，已中标的将取消中标资格，按“提供虚假材料谋取中标、成交”相关处理办法处理。</w:t>
      </w:r>
    </w:p>
    <w:p w14:paraId="3800DF3D">
      <w:pPr>
        <w:spacing w:line="4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p>
    <w:p w14:paraId="32D29534">
      <w:pPr>
        <w:widowControl/>
        <w:spacing w:line="360" w:lineRule="auto"/>
        <w:ind w:left="482"/>
        <w:jc w:val="right"/>
        <w:rPr>
          <w:rFonts w:hint="eastAsia" w:ascii="宋体" w:hAnsi="宋体" w:eastAsia="宋体" w:cs="宋体"/>
          <w:b w:val="0"/>
          <w:bCs w:val="0"/>
          <w:color w:val="000000" w:themeColor="text1"/>
          <w:sz w:val="21"/>
          <w:szCs w:val="21"/>
          <w:highlight w:val="none"/>
          <w:lang w:val="zh-TW"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zh-TW" w:eastAsia="zh-CN"/>
          <w14:textFill>
            <w14:solidFill>
              <w14:schemeClr w14:val="tx1"/>
            </w14:solidFill>
          </w14:textFill>
        </w:rPr>
        <w:t>（全文完）</w:t>
      </w:r>
    </w:p>
    <w:bookmarkEnd w:id="44"/>
    <w:sectPr>
      <w:headerReference r:id="rId12" w:type="first"/>
      <w:footerReference r:id="rId14" w:type="first"/>
      <w:headerReference r:id="rId11" w:type="default"/>
      <w:footerReference r:id="rId13" w:type="default"/>
      <w:pgSz w:w="11906" w:h="16838"/>
      <w:pgMar w:top="1440" w:right="1800" w:bottom="1440" w:left="1800" w:header="851" w:footer="992" w:gutter="0"/>
      <w:pgNumType w:start="75"/>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E88DA71-68F6-49EC-97ED-D73832E6B47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AA0BD47-8DB6-4691-84B1-CACD2454AF38}"/>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rif">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98352">
    <w:pPr>
      <w:pStyle w:val="33"/>
      <w:framePr w:wrap="around" w:vAnchor="text" w:hAnchor="margin" w:xAlign="right" w:y="1"/>
      <w:rPr>
        <w:rStyle w:val="57"/>
      </w:rPr>
    </w:pPr>
    <w:r>
      <w:fldChar w:fldCharType="begin"/>
    </w:r>
    <w:r>
      <w:rPr>
        <w:rStyle w:val="57"/>
      </w:rPr>
      <w:instrText xml:space="preserve">PAGE  </w:instrText>
    </w:r>
    <w:r>
      <w:fldChar w:fldCharType="end"/>
    </w:r>
  </w:p>
  <w:p w14:paraId="536EBB3B">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8236">
    <w:pPr>
      <w:pStyle w:val="3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B7E12">
    <w:pPr>
      <w:wordWrap w:val="0"/>
      <w:ind w:left="0" w:firstLine="0"/>
      <w:jc w:val="center"/>
      <w:rPr>
        <w:rFonts w:ascii="Calibri" w:hAnsi="Calibri" w:eastAsia="宋体" w:cs="宋体"/>
        <w:lang w:val="en-US" w:eastAsia="zh-CN" w:bidi="ar-SA"/>
      </w:rPr>
    </w:pPr>
    <w:r>
      <w:rPr>
        <w:rFonts w:ascii="Calibri" w:hAnsi="Calibri" w:eastAsia="宋体" w:cs="宋体"/>
        <w:lang w:val="en-US" w:eastAsia="zh-CN" w:bidi="ar-SA"/>
      </w:rP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14:paraId="22066827">
                          <w:pPr>
                            <w:wordWrap w:val="0"/>
                            <w:ind w:left="0" w:firstLine="0"/>
                            <w:jc w:val="both"/>
                            <w:rPr>
                              <w:rFonts w:ascii="Calibri" w:hAnsi="Calibri" w:eastAsia="宋体" w:cs="宋体"/>
                              <w:sz w:val="20"/>
                              <w:szCs w:val="13"/>
                              <w:lang w:val="en-US" w:eastAsia="zh-CN" w:bidi="ar-SA"/>
                            </w:rPr>
                          </w:pPr>
                          <w:r>
                            <w:rPr>
                              <w:rFonts w:hint="eastAsia" w:ascii="Calibri" w:hAnsi="Calibri" w:eastAsia="宋体" w:cs="宋体"/>
                              <w:sz w:val="20"/>
                              <w:szCs w:val="13"/>
                              <w:lang w:val="en-US" w:eastAsia="zh-CN" w:bidi="ar-SA"/>
                            </w:rPr>
                            <w:fldChar w:fldCharType="begin"/>
                          </w:r>
                          <w:r>
                            <w:rPr>
                              <w:rFonts w:hint="eastAsia" w:ascii="Calibri" w:hAnsi="Calibri" w:eastAsia="宋体" w:cs="宋体"/>
                              <w:sz w:val="20"/>
                              <w:szCs w:val="13"/>
                              <w:lang w:val="en-US" w:eastAsia="zh-CN" w:bidi="ar-SA"/>
                            </w:rPr>
                            <w:instrText xml:space="preserve"> PAGE  \* MERGEFORMAT </w:instrText>
                          </w:r>
                          <w:r>
                            <w:rPr>
                              <w:rFonts w:hint="eastAsia" w:ascii="Calibri" w:hAnsi="Calibri" w:eastAsia="宋体" w:cs="宋体"/>
                              <w:sz w:val="20"/>
                              <w:szCs w:val="13"/>
                              <w:lang w:val="en-US" w:eastAsia="zh-CN" w:bidi="ar-SA"/>
                            </w:rPr>
                            <w:fldChar w:fldCharType="separate"/>
                          </w:r>
                          <w:r>
                            <w:rPr>
                              <w:rFonts w:ascii="Calibri" w:hAnsi="Calibri" w:eastAsia="宋体" w:cs="宋体"/>
                              <w:sz w:val="20"/>
                              <w:szCs w:val="13"/>
                              <w:lang w:val="en-US" w:eastAsia="zh-CN" w:bidi="ar-SA"/>
                            </w:rPr>
                            <w:t>21</w:t>
                          </w:r>
                          <w:r>
                            <w:rPr>
                              <w:rFonts w:hint="eastAsia" w:ascii="Calibri" w:hAnsi="Calibri" w:eastAsia="宋体" w:cs="宋体"/>
                              <w:sz w:val="20"/>
                              <w:szCs w:val="13"/>
                              <w:lang w:val="en-US" w:eastAsia="zh-CN" w:bidi="ar-SA"/>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41.1pt;margin-top:0.1pt;height:21.25pt;width:18pt;mso-position-horizontal-relative:margin;z-index:251661312;mso-width-relative:page;mso-height-relative:page;" filled="f" stroked="f" coordsize="21600,21600" o:gfxdata="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4rqNZ1gAAAAcBAAAPAAAAAAAAAAEAIAAAACIAAABkcnMvZG93bnJldi54&#10;bWxQSwECFAAUAAAACACHTuJAmWOJHcMBAAB/AwAADgAAAAAAAAABACAAAAAlAQAAZHJzL2Uyb0Rv&#10;Yy54bWxQSwUGAAAAAAYABgBZAQAAWgUAAAAA&#10;">
              <v:fill on="f" focussize="0,0"/>
              <v:stroke on="f"/>
              <v:imagedata o:title=""/>
              <o:lock v:ext="edit" aspectratio="f"/>
              <v:textbox inset="0mm,0mm,0mm,0mm">
                <w:txbxContent>
                  <w:p w14:paraId="22066827">
                    <w:pPr>
                      <w:wordWrap w:val="0"/>
                      <w:ind w:left="0" w:firstLine="0"/>
                      <w:jc w:val="both"/>
                      <w:rPr>
                        <w:rFonts w:ascii="Calibri" w:hAnsi="Calibri" w:eastAsia="宋体" w:cs="宋体"/>
                        <w:sz w:val="20"/>
                        <w:szCs w:val="13"/>
                        <w:lang w:val="en-US" w:eastAsia="zh-CN" w:bidi="ar-SA"/>
                      </w:rPr>
                    </w:pPr>
                    <w:r>
                      <w:rPr>
                        <w:rFonts w:hint="eastAsia" w:ascii="Calibri" w:hAnsi="Calibri" w:eastAsia="宋体" w:cs="宋体"/>
                        <w:sz w:val="20"/>
                        <w:szCs w:val="13"/>
                        <w:lang w:val="en-US" w:eastAsia="zh-CN" w:bidi="ar-SA"/>
                      </w:rPr>
                      <w:fldChar w:fldCharType="begin"/>
                    </w:r>
                    <w:r>
                      <w:rPr>
                        <w:rFonts w:hint="eastAsia" w:ascii="Calibri" w:hAnsi="Calibri" w:eastAsia="宋体" w:cs="宋体"/>
                        <w:sz w:val="20"/>
                        <w:szCs w:val="13"/>
                        <w:lang w:val="en-US" w:eastAsia="zh-CN" w:bidi="ar-SA"/>
                      </w:rPr>
                      <w:instrText xml:space="preserve"> PAGE  \* MERGEFORMAT </w:instrText>
                    </w:r>
                    <w:r>
                      <w:rPr>
                        <w:rFonts w:hint="eastAsia" w:ascii="Calibri" w:hAnsi="Calibri" w:eastAsia="宋体" w:cs="宋体"/>
                        <w:sz w:val="20"/>
                        <w:szCs w:val="13"/>
                        <w:lang w:val="en-US" w:eastAsia="zh-CN" w:bidi="ar-SA"/>
                      </w:rPr>
                      <w:fldChar w:fldCharType="separate"/>
                    </w:r>
                    <w:r>
                      <w:rPr>
                        <w:rFonts w:ascii="Calibri" w:hAnsi="Calibri" w:eastAsia="宋体" w:cs="宋体"/>
                        <w:sz w:val="20"/>
                        <w:szCs w:val="13"/>
                        <w:lang w:val="en-US" w:eastAsia="zh-CN" w:bidi="ar-SA"/>
                      </w:rPr>
                      <w:t>21</w:t>
                    </w:r>
                    <w:r>
                      <w:rPr>
                        <w:rFonts w:hint="eastAsia" w:ascii="Calibri" w:hAnsi="Calibri" w:eastAsia="宋体" w:cs="宋体"/>
                        <w:sz w:val="20"/>
                        <w:szCs w:val="13"/>
                        <w:lang w:val="en-US" w:eastAsia="zh-CN" w:bidi="ar-SA"/>
                      </w:rPr>
                      <w:fldChar w:fldCharType="end"/>
                    </w:r>
                  </w:p>
                </w:txbxContent>
              </v:textbox>
            </v:shape>
          </w:pict>
        </mc:Fallback>
      </mc:AlternateContent>
    </w:r>
  </w:p>
  <w:p w14:paraId="59271D1C">
    <w:pPr>
      <w:widowControl/>
      <w:tabs>
        <w:tab w:val="center" w:pos="4153"/>
        <w:tab w:val="right" w:pos="8306"/>
      </w:tabs>
      <w:wordWrap w:val="0"/>
      <w:snapToGrid w:val="0"/>
      <w:ind w:left="0"/>
      <w:jc w:val="left"/>
      <w:rPr>
        <w:rFonts w:hint="default" w:ascii="Times New Roman" w:hAnsi="Times New Roman" w:eastAsia="宋体" w:cs="宋体"/>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B3687">
    <w:pPr>
      <w:wordWrap w:val="0"/>
      <w:ind w:left="0" w:firstLine="0"/>
      <w:jc w:val="center"/>
      <w:rPr>
        <w:rFonts w:ascii="Calibri" w:hAnsi="Calibri" w:eastAsia="宋体" w:cs="宋体"/>
        <w:lang w:val="en-US" w:eastAsia="zh-CN" w:bidi="ar-SA"/>
      </w:rPr>
    </w:pPr>
    <w:r>
      <w:rPr>
        <w:rFonts w:ascii="Calibri" w:hAnsi="Calibri" w:eastAsia="宋体" w:cs="宋体"/>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9FDA0D">
                          <w:pPr>
                            <w:wordWrap w:val="0"/>
                            <w:ind w:left="0" w:firstLine="0"/>
                            <w:jc w:val="both"/>
                            <w:rPr>
                              <w:rFonts w:ascii="Calibri" w:hAnsi="Calibri" w:eastAsia="宋体" w:cs="宋体"/>
                              <w:lang w:val="en-US" w:eastAsia="zh-CN" w:bidi="ar-SA"/>
                            </w:rPr>
                          </w:pPr>
                          <w:r>
                            <w:rPr>
                              <w:rFonts w:hint="eastAsia" w:ascii="Calibri" w:hAnsi="Calibri" w:eastAsia="宋体" w:cs="宋体"/>
                              <w:lang w:val="en-US" w:eastAsia="zh-CN" w:bidi="ar-SA"/>
                            </w:rPr>
                            <w:fldChar w:fldCharType="begin"/>
                          </w:r>
                          <w:r>
                            <w:rPr>
                              <w:rFonts w:hint="eastAsia" w:ascii="Calibri" w:hAnsi="Calibri" w:eastAsia="宋体" w:cs="宋体"/>
                              <w:lang w:val="en-US" w:eastAsia="zh-CN" w:bidi="ar-SA"/>
                            </w:rPr>
                            <w:instrText xml:space="preserve"> PAGE  \* MERGEFORMAT </w:instrText>
                          </w:r>
                          <w:r>
                            <w:rPr>
                              <w:rFonts w:hint="eastAsia" w:ascii="Calibri" w:hAnsi="Calibri" w:eastAsia="宋体" w:cs="宋体"/>
                              <w:lang w:val="en-US" w:eastAsia="zh-CN" w:bidi="ar-SA"/>
                            </w:rPr>
                            <w:fldChar w:fldCharType="separate"/>
                          </w:r>
                          <w:r>
                            <w:rPr>
                              <w:rFonts w:ascii="Calibri" w:hAnsi="Calibri" w:eastAsia="宋体" w:cs="宋体"/>
                              <w:lang w:val="en-US" w:eastAsia="zh-CN" w:bidi="ar-SA"/>
                            </w:rPr>
                            <w:t>2</w:t>
                          </w:r>
                          <w:r>
                            <w:rPr>
                              <w:rFonts w:hint="eastAsia" w:ascii="Calibri" w:hAnsi="Calibri" w:eastAsia="宋体" w:cs="宋体"/>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789FDA0D">
                    <w:pPr>
                      <w:wordWrap w:val="0"/>
                      <w:ind w:left="0" w:firstLine="0"/>
                      <w:jc w:val="both"/>
                      <w:rPr>
                        <w:rFonts w:ascii="Calibri" w:hAnsi="Calibri" w:eastAsia="宋体" w:cs="宋体"/>
                        <w:lang w:val="en-US" w:eastAsia="zh-CN" w:bidi="ar-SA"/>
                      </w:rPr>
                    </w:pPr>
                    <w:r>
                      <w:rPr>
                        <w:rFonts w:hint="eastAsia" w:ascii="Calibri" w:hAnsi="Calibri" w:eastAsia="宋体" w:cs="宋体"/>
                        <w:lang w:val="en-US" w:eastAsia="zh-CN" w:bidi="ar-SA"/>
                      </w:rPr>
                      <w:fldChar w:fldCharType="begin"/>
                    </w:r>
                    <w:r>
                      <w:rPr>
                        <w:rFonts w:hint="eastAsia" w:ascii="Calibri" w:hAnsi="Calibri" w:eastAsia="宋体" w:cs="宋体"/>
                        <w:lang w:val="en-US" w:eastAsia="zh-CN" w:bidi="ar-SA"/>
                      </w:rPr>
                      <w:instrText xml:space="preserve"> PAGE  \* MERGEFORMAT </w:instrText>
                    </w:r>
                    <w:r>
                      <w:rPr>
                        <w:rFonts w:hint="eastAsia" w:ascii="Calibri" w:hAnsi="Calibri" w:eastAsia="宋体" w:cs="宋体"/>
                        <w:lang w:val="en-US" w:eastAsia="zh-CN" w:bidi="ar-SA"/>
                      </w:rPr>
                      <w:fldChar w:fldCharType="separate"/>
                    </w:r>
                    <w:r>
                      <w:rPr>
                        <w:rFonts w:ascii="Calibri" w:hAnsi="Calibri" w:eastAsia="宋体" w:cs="宋体"/>
                        <w:lang w:val="en-US" w:eastAsia="zh-CN" w:bidi="ar-SA"/>
                      </w:rPr>
                      <w:t>2</w:t>
                    </w:r>
                    <w:r>
                      <w:rPr>
                        <w:rFonts w:hint="eastAsia" w:ascii="Calibri" w:hAnsi="Calibri" w:eastAsia="宋体" w:cs="宋体"/>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3371D">
    <w:pPr>
      <w:pStyle w:val="33"/>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2725420</wp:posOffset>
              </wp:positionH>
              <wp:positionV relativeFrom="paragraph">
                <wp:posOffset>121920</wp:posOffset>
              </wp:positionV>
              <wp:extent cx="288925" cy="310515"/>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288924" cy="310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08E31F">
                          <w:pPr>
                            <w:pStyle w:val="33"/>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8" o:spid="_x0000_s1026" o:spt="202" type="#_x0000_t202" style="position:absolute;left:0pt;margin-left:214.6pt;margin-top:9.6pt;height:24.45pt;width:22.75pt;mso-position-horizontal-relative:margin;z-index:251659264;mso-width-relative:page;mso-height-relative:page;" filled="f" stroked="f" coordsize="21600,21600" o:gfxdata="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CDJen2AAAAAkBAAAPAAAAAAAAAAEAIAAAACIA&#10;AABkcnMvZG93bnJldi54bWxQSwECFAAUAAAACACHTuJAnvpEmkICAABvBAAADgAAAAAAAAABACAA&#10;AAAnAQAAZHJzL2Uyb0RvYy54bWxQSwUGAAAAAAYABgBZAQAA2wUAAAAA&#10;">
              <v:fill on="f" focussize="0,0"/>
              <v:stroke on="f" weight="0.5pt"/>
              <v:imagedata o:title=""/>
              <o:lock v:ext="edit" aspectratio="f"/>
              <v:textbox inset="0mm,0mm,0mm,0mm">
                <w:txbxContent>
                  <w:p w14:paraId="6A08E31F">
                    <w:pPr>
                      <w:pStyle w:val="33"/>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835B">
    <w:pPr>
      <w:pStyle w:val="33"/>
      <w:jc w:val="center"/>
    </w:pPr>
    <w:r>
      <w:rPr>
        <w:sz w:val="18"/>
      </w:rPr>
      <mc:AlternateContent>
        <mc:Choice Requires="wps">
          <w:drawing>
            <wp:anchor distT="0" distB="0" distL="114300" distR="114300" simplePos="0" relativeHeight="251660288" behindDoc="0" locked="0" layoutInCell="1" allowOverlap="1">
              <wp:simplePos x="0" y="0"/>
              <wp:positionH relativeFrom="margin">
                <wp:posOffset>2746375</wp:posOffset>
              </wp:positionH>
              <wp:positionV relativeFrom="paragraph">
                <wp:posOffset>0</wp:posOffset>
              </wp:positionV>
              <wp:extent cx="340360" cy="147955"/>
              <wp:effectExtent l="0" t="0" r="0" b="0"/>
              <wp:wrapNone/>
              <wp:docPr id="2" name="文本框 9"/>
              <wp:cNvGraphicFramePr/>
              <a:graphic xmlns:a="http://schemas.openxmlformats.org/drawingml/2006/main">
                <a:graphicData uri="http://schemas.microsoft.com/office/word/2010/wordprocessingShape">
                  <wps:wsp>
                    <wps:cNvSpPr txBox="1"/>
                    <wps:spPr bwMode="auto">
                      <a:xfrm>
                        <a:off x="0" y="0"/>
                        <a:ext cx="340360" cy="147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78915">
                          <w:pPr>
                            <w:pStyle w:val="3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9" o:spid="_x0000_s1026" o:spt="202" type="#_x0000_t202" style="position:absolute;left:0pt;margin-left:216.25pt;margin-top:0pt;height:11.65pt;width:26.8pt;mso-position-horizontal-relative:margin;z-index:251660288;mso-width-relative:page;mso-height-relative:page;" filled="f" stroked="f" coordsize="21600,21600" o:gfxdata="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VpSGA1wAAAAcBAAAPAAAAAAAAAAEAIAAAACIA&#10;AABkcnMvZG93bnJldi54bWxQSwECFAAUAAAACACHTuJAnldRu0MCAABvBAAADgAAAAAAAAABACAA&#10;AAAmAQAAZHJzL2Uyb0RvYy54bWxQSwUGAAAAAAYABgBZAQAA2wUAAAAA&#10;">
              <v:fill on="f" focussize="0,0"/>
              <v:stroke on="f" weight="0.5pt"/>
              <v:imagedata o:title=""/>
              <o:lock v:ext="edit" aspectratio="f"/>
              <v:textbox inset="0mm,0mm,0mm,0mm">
                <w:txbxContent>
                  <w:p w14:paraId="56B78915">
                    <w:pPr>
                      <w:pStyle w:val="3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2AA57">
    <w:pPr>
      <w:pStyle w:val="35"/>
      <w:ind w:right="90"/>
      <w:jc w:val="center"/>
      <w:rPr>
        <w:rFonts w:hint="eastAsia" w:ascii="宋体" w:hAnsi="宋体" w:eastAsia="宋体" w:cs="宋体"/>
        <w:lang w:eastAsia="zh-CN"/>
      </w:rPr>
    </w:pPr>
    <w:r>
      <w:rPr>
        <w:rFonts w:hint="eastAsia" w:ascii="宋体" w:hAnsi="宋体" w:eastAsia="宋体" w:cs="宋体"/>
        <w:u w:val="single"/>
      </w:rPr>
      <w:t>政府采购公开招标文件                              招标编号：</w:t>
    </w:r>
    <w:r>
      <w:rPr>
        <w:rFonts w:hint="eastAsia" w:ascii="宋体" w:hAnsi="宋体" w:eastAsia="宋体" w:cs="宋体"/>
        <w:u w:val="single"/>
        <w:lang w:eastAsia="zh-CN"/>
      </w:rPr>
      <w:t>JSZC-320500-CXJT-G2026-0008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7CD02">
    <w:pPr>
      <w:pStyle w:val="35"/>
      <w:jc w:val="both"/>
    </w:pPr>
    <w:r>
      <w:rPr>
        <w:rFonts w:hint="eastAsia" w:hAnsi="宋体" w:eastAsia="宋体"/>
      </w:rPr>
      <w:t>政府采购</w:t>
    </w:r>
    <w:r>
      <w:rPr>
        <w:rFonts w:hAnsi="宋体" w:eastAsia="宋体"/>
      </w:rPr>
      <w:t>招标文件</w:t>
    </w:r>
    <w:r>
      <w:rPr>
        <w:rFonts w:hint="eastAsia" w:eastAsia="宋体"/>
      </w:rPr>
      <w:tab/>
    </w:r>
    <w:r>
      <w:rPr>
        <w:rFonts w:hint="eastAsia" w:hAnsi="宋体" w:eastAsia="宋体"/>
        <w:lang w:val="en-US" w:eastAsia="zh-CN"/>
      </w:rPr>
      <w:t xml:space="preserve">   </w:t>
    </w:r>
    <w:r>
      <w:rPr>
        <w:rFonts w:hint="eastAsia" w:hAnsi="宋体" w:eastAsia="宋体"/>
      </w:rPr>
      <w:tab/>
    </w:r>
    <w:r>
      <w:rPr>
        <w:rFonts w:hint="eastAsia" w:hAnsi="宋体" w:eastAsia="宋体"/>
        <w:lang w:eastAsia="zh-CN"/>
      </w:rPr>
      <w:t>JSZC-320500-CXJT-G2026-0008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C753E">
    <w:pPr>
      <w:pStyle w:val="35"/>
      <w:ind w:right="90"/>
      <w:jc w:val="center"/>
      <w:rPr>
        <w:rFonts w:hint="eastAsia" w:ascii="宋体" w:hAnsi="宋体" w:eastAsia="宋体" w:cs="宋体"/>
        <w:lang w:eastAsia="zh-CN"/>
      </w:rPr>
    </w:pPr>
    <w:r>
      <w:rPr>
        <w:rFonts w:hint="eastAsia" w:ascii="宋体" w:hAnsi="宋体" w:eastAsia="宋体" w:cs="宋体"/>
        <w:u w:val="single"/>
      </w:rPr>
      <w:t>政府采购公开招标文件                              招标编号：</w:t>
    </w:r>
    <w:r>
      <w:rPr>
        <w:rFonts w:hint="eastAsia" w:ascii="宋体" w:hAnsi="宋体" w:eastAsia="宋体" w:cs="宋体"/>
        <w:u w:val="single"/>
        <w:lang w:eastAsia="zh-CN"/>
      </w:rPr>
      <w:t>JSZC-320500-CXJT-G2026-0008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FD6B9">
    <w:pPr>
      <w:pStyle w:val="35"/>
      <w:jc w:val="both"/>
    </w:pPr>
    <w:r>
      <w:rPr>
        <w:rFonts w:hint="eastAsia" w:hAnsi="宋体" w:eastAsia="宋体"/>
      </w:rPr>
      <w:t>政府采购</w:t>
    </w:r>
    <w:r>
      <w:rPr>
        <w:rFonts w:hAnsi="宋体" w:eastAsia="宋体"/>
      </w:rPr>
      <w:t>招标文件</w:t>
    </w:r>
    <w:r>
      <w:rPr>
        <w:rFonts w:hint="eastAsia" w:eastAsia="宋体"/>
      </w:rPr>
      <w:tab/>
    </w:r>
    <w:r>
      <w:rPr>
        <w:rFonts w:hint="eastAsia" w:hAnsi="宋体" w:eastAsia="宋体"/>
        <w:lang w:val="en-US" w:eastAsia="zh-CN"/>
      </w:rPr>
      <w:t xml:space="preserve">   </w:t>
    </w:r>
    <w:r>
      <w:rPr>
        <w:rFonts w:hint="eastAsia" w:hAnsi="宋体" w:eastAsia="宋体"/>
      </w:rPr>
      <w:tab/>
    </w:r>
    <w:r>
      <w:rPr>
        <w:rFonts w:hint="eastAsia" w:hAnsi="宋体" w:eastAsia="宋体"/>
        <w:lang w:eastAsia="zh-CN"/>
      </w:rPr>
      <w:t>JSZC-320500-CXJT-G2026-0008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69395">
    <w:pPr>
      <w:pStyle w:val="35"/>
      <w:ind w:right="90"/>
      <w:jc w:val="center"/>
      <w:rPr>
        <w:rFonts w:ascii="宋体" w:hAnsi="宋体" w:eastAsia="宋体" w:cs="宋体"/>
        <w:u w:val="single"/>
      </w:rPr>
    </w:pPr>
    <w:r>
      <w:rPr>
        <w:rFonts w:hint="eastAsia" w:ascii="宋体" w:hAnsi="宋体" w:eastAsia="宋体" w:cs="宋体"/>
        <w:u w:val="single"/>
      </w:rPr>
      <w:t>政府采购公开招标文件                                        招标编号：</w:t>
    </w:r>
    <w:r>
      <w:rPr>
        <w:rFonts w:hint="eastAsia" w:ascii="宋体" w:hAnsi="宋体" w:eastAsia="宋体" w:cs="宋体"/>
        <w:u w:val="single"/>
        <w:lang w:eastAsia="zh-CN"/>
      </w:rPr>
      <w:t>JSZC-320500-CXJT-G2026-0008</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ADD51">
    <w:pPr>
      <w:pStyle w:val="35"/>
      <w:ind w:right="90"/>
      <w:jc w:val="center"/>
      <w:rPr>
        <w:rFonts w:hint="eastAsia" w:ascii="宋体" w:hAnsi="宋体" w:eastAsia="宋体" w:cs="宋体"/>
        <w:u w:val="single"/>
      </w:rPr>
    </w:pPr>
    <w:r>
      <w:rPr>
        <w:rFonts w:hint="eastAsia" w:ascii="宋体" w:hAnsi="宋体" w:eastAsia="宋体" w:cs="宋体"/>
        <w:u w:val="single"/>
      </w:rPr>
      <w:t>政府采购公开招标文件                                      招标编号：</w:t>
    </w:r>
    <w:r>
      <w:rPr>
        <w:rFonts w:hint="eastAsia" w:ascii="宋体" w:hAnsi="宋体" w:eastAsia="宋体" w:cs="宋体"/>
        <w:u w:val="single"/>
        <w:lang w:eastAsia="zh-CN"/>
      </w:rPr>
      <w:t>JSZC-320500-CXJT-G2026-0008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0"/>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9FCFF88"/>
    <w:multiLevelType w:val="singleLevel"/>
    <w:tmpl w:val="D9FCFF88"/>
    <w:lvl w:ilvl="0" w:tentative="0">
      <w:start w:val="1"/>
      <w:numFmt w:val="decimal"/>
      <w:lvlText w:val="%1."/>
      <w:lvlJc w:val="left"/>
      <w:pPr>
        <w:tabs>
          <w:tab w:val="left" w:pos="312"/>
        </w:tabs>
      </w:pPr>
    </w:lvl>
  </w:abstractNum>
  <w:abstractNum w:abstractNumId="3">
    <w:nsid w:val="DA58D4AF"/>
    <w:multiLevelType w:val="singleLevel"/>
    <w:tmpl w:val="DA58D4AF"/>
    <w:lvl w:ilvl="0" w:tentative="0">
      <w:start w:val="8"/>
      <w:numFmt w:val="decimal"/>
      <w:lvlText w:val="%1."/>
      <w:lvlJc w:val="left"/>
      <w:pPr>
        <w:tabs>
          <w:tab w:val="left" w:pos="312"/>
        </w:tabs>
      </w:pPr>
    </w:lvl>
  </w:abstractNum>
  <w:abstractNum w:abstractNumId="4">
    <w:nsid w:val="DDBFDBF2"/>
    <w:multiLevelType w:val="singleLevel"/>
    <w:tmpl w:val="DDBFDBF2"/>
    <w:lvl w:ilvl="0" w:tentative="0">
      <w:start w:val="1"/>
      <w:numFmt w:val="decimal"/>
      <w:lvlText w:val="%1."/>
      <w:lvlJc w:val="left"/>
      <w:pPr>
        <w:tabs>
          <w:tab w:val="left" w:pos="312"/>
        </w:tabs>
      </w:pPr>
    </w:lvl>
  </w:abstractNum>
  <w:abstractNum w:abstractNumId="5">
    <w:nsid w:val="FBFECBF0"/>
    <w:multiLevelType w:val="singleLevel"/>
    <w:tmpl w:val="FBFECBF0"/>
    <w:lvl w:ilvl="0" w:tentative="0">
      <w:start w:val="1"/>
      <w:numFmt w:val="chineseCounting"/>
      <w:suff w:val="nothing"/>
      <w:lvlText w:val="%1、"/>
      <w:lvlJc w:val="left"/>
      <w:rPr>
        <w:rFonts w:hint="eastAsia"/>
      </w:rPr>
    </w:lvl>
  </w:abstractNum>
  <w:abstractNum w:abstractNumId="6">
    <w:nsid w:val="0053208E"/>
    <w:multiLevelType w:val="multilevel"/>
    <w:tmpl w:val="0053208E"/>
    <w:lvl w:ilvl="0" w:tentative="0">
      <w:start w:val="1"/>
      <w:numFmt w:val="bullet"/>
      <w:pStyle w:val="15"/>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2C71A3B"/>
    <w:multiLevelType w:val="multilevel"/>
    <w:tmpl w:val="42C71A3B"/>
    <w:lvl w:ilvl="0" w:tentative="0">
      <w:start w:val="1"/>
      <w:numFmt w:val="japaneseCounting"/>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59ADCABA"/>
    <w:multiLevelType w:val="multilevel"/>
    <w:tmpl w:val="59ADCABA"/>
    <w:lvl w:ilvl="0" w:tentative="0">
      <w:start w:val="1"/>
      <w:numFmt w:val="bullet"/>
      <w:pStyle w:val="25"/>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8"/>
  </w:num>
  <w:num w:numId="4">
    <w:abstractNumId w:val="0"/>
  </w:num>
  <w:num w:numId="5">
    <w:abstractNumId w:val="2"/>
  </w:num>
  <w:num w:numId="6">
    <w:abstractNumId w:val="3"/>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F4D8B"/>
    <w:rsid w:val="069A036D"/>
    <w:rsid w:val="076745CB"/>
    <w:rsid w:val="08796389"/>
    <w:rsid w:val="09001172"/>
    <w:rsid w:val="12B26899"/>
    <w:rsid w:val="15EA4245"/>
    <w:rsid w:val="16791F91"/>
    <w:rsid w:val="176A13AC"/>
    <w:rsid w:val="1A3603F8"/>
    <w:rsid w:val="1FC609D3"/>
    <w:rsid w:val="20537C8D"/>
    <w:rsid w:val="29954B1C"/>
    <w:rsid w:val="2B6E3615"/>
    <w:rsid w:val="2BDFEF72"/>
    <w:rsid w:val="2D504D62"/>
    <w:rsid w:val="2F9318E9"/>
    <w:rsid w:val="30F85A69"/>
    <w:rsid w:val="343926B5"/>
    <w:rsid w:val="352333A1"/>
    <w:rsid w:val="369D7D65"/>
    <w:rsid w:val="37761FD0"/>
    <w:rsid w:val="37A96438"/>
    <w:rsid w:val="3BAD0DB4"/>
    <w:rsid w:val="3CEA6192"/>
    <w:rsid w:val="3E1E6276"/>
    <w:rsid w:val="3E1F2AAF"/>
    <w:rsid w:val="3F932535"/>
    <w:rsid w:val="3FC42F58"/>
    <w:rsid w:val="3FFFAEB1"/>
    <w:rsid w:val="40964869"/>
    <w:rsid w:val="40E9792E"/>
    <w:rsid w:val="41C76457"/>
    <w:rsid w:val="42727FCF"/>
    <w:rsid w:val="43247B7B"/>
    <w:rsid w:val="442D7C56"/>
    <w:rsid w:val="4578622E"/>
    <w:rsid w:val="46B138F5"/>
    <w:rsid w:val="484F6FAE"/>
    <w:rsid w:val="486F3950"/>
    <w:rsid w:val="48733E98"/>
    <w:rsid w:val="48B65B11"/>
    <w:rsid w:val="497D28AF"/>
    <w:rsid w:val="4C2F73A7"/>
    <w:rsid w:val="50C844FD"/>
    <w:rsid w:val="51AB479B"/>
    <w:rsid w:val="51C761DE"/>
    <w:rsid w:val="54964FE3"/>
    <w:rsid w:val="55B6370E"/>
    <w:rsid w:val="58C30943"/>
    <w:rsid w:val="5ACA133E"/>
    <w:rsid w:val="5B893F60"/>
    <w:rsid w:val="5D4C689D"/>
    <w:rsid w:val="5EDB5071"/>
    <w:rsid w:val="66C22E6C"/>
    <w:rsid w:val="67B83316"/>
    <w:rsid w:val="6DEF8A75"/>
    <w:rsid w:val="6ED24CBD"/>
    <w:rsid w:val="6ED93F14"/>
    <w:rsid w:val="6F5F4F9F"/>
    <w:rsid w:val="6FBD19A3"/>
    <w:rsid w:val="71B5367C"/>
    <w:rsid w:val="73907074"/>
    <w:rsid w:val="740D568C"/>
    <w:rsid w:val="75E8609E"/>
    <w:rsid w:val="78AE3180"/>
    <w:rsid w:val="78DE6D35"/>
    <w:rsid w:val="79C561EF"/>
    <w:rsid w:val="7CFE3CE9"/>
    <w:rsid w:val="7FAB6FC5"/>
    <w:rsid w:val="7FFF84F1"/>
    <w:rsid w:val="9EFFEBC8"/>
    <w:rsid w:val="B7CB77BF"/>
    <w:rsid w:val="D6BA5A2B"/>
    <w:rsid w:val="D7FBCE52"/>
    <w:rsid w:val="DD7DF1CD"/>
    <w:rsid w:val="DDB21593"/>
    <w:rsid w:val="DFFF88FA"/>
    <w:rsid w:val="F3D86B90"/>
    <w:rsid w:val="FBF70D34"/>
    <w:rsid w:val="FCC9B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0" w:semiHidden="0" w:name="toc 7"/>
    <w:lsdException w:qFormat="1" w:uiPriority="39" w:semiHidden="0" w:name="toc 8"/>
    <w:lsdException w:qFormat="1" w:unhideWhenUsed="0" w:uiPriority="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semiHidden="0" w:name="List Bullet 5"/>
    <w:lsdException w:uiPriority="99"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semiHidden="0" w:name="Body Text 3"/>
    <w:lsdException w:qFormat="1" w:uiPriority="99" w:semiHidden="0" w:name="Body Text Indent 2"/>
    <w:lsdException w:qFormat="1" w:uiPriority="99"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楷体_GB2312" w:cs="Times New Roman"/>
      <w:sz w:val="26"/>
      <w:lang w:val="en-US" w:eastAsia="zh-CN" w:bidi="ar-SA"/>
    </w:rPr>
  </w:style>
  <w:style w:type="paragraph" w:styleId="3">
    <w:name w:val="heading 1"/>
    <w:basedOn w:val="1"/>
    <w:next w:val="1"/>
    <w:qFormat/>
    <w:uiPriority w:val="9"/>
    <w:pPr>
      <w:keepNext/>
      <w:keepLines/>
      <w:spacing w:before="340" w:after="330" w:line="578" w:lineRule="auto"/>
      <w:outlineLvl w:val="0"/>
    </w:pPr>
    <w:rPr>
      <w:b/>
      <w:sz w:val="44"/>
    </w:rPr>
  </w:style>
  <w:style w:type="paragraph" w:styleId="4">
    <w:name w:val="heading 2"/>
    <w:basedOn w:val="1"/>
    <w:next w:val="1"/>
    <w:link w:val="221"/>
    <w:qFormat/>
    <w:uiPriority w:val="9"/>
    <w:pPr>
      <w:keepNext/>
      <w:keepLines/>
      <w:spacing w:before="260" w:after="260" w:line="416" w:lineRule="auto"/>
      <w:outlineLvl w:val="1"/>
    </w:pPr>
    <w:rPr>
      <w:rFonts w:ascii="Cambria" w:hAnsi="Cambria" w:eastAsia="宋体"/>
      <w:b/>
      <w:bCs/>
      <w:sz w:val="32"/>
      <w:szCs w:val="32"/>
    </w:rPr>
  </w:style>
  <w:style w:type="paragraph" w:styleId="5">
    <w:name w:val="heading 3"/>
    <w:basedOn w:val="1"/>
    <w:next w:val="1"/>
    <w:link w:val="222"/>
    <w:qFormat/>
    <w:uiPriority w:val="0"/>
    <w:pPr>
      <w:keepNext/>
      <w:keepLines/>
      <w:spacing w:before="260" w:after="260" w:line="416" w:lineRule="auto"/>
      <w:outlineLvl w:val="2"/>
    </w:pPr>
    <w:rPr>
      <w:b/>
      <w:bCs/>
      <w:sz w:val="32"/>
      <w:szCs w:val="32"/>
    </w:rPr>
  </w:style>
  <w:style w:type="paragraph" w:styleId="6">
    <w:name w:val="heading 4"/>
    <w:basedOn w:val="1"/>
    <w:next w:val="1"/>
    <w:link w:val="7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8"/>
    <w:unhideWhenUsed/>
    <w:qFormat/>
    <w:uiPriority w:val="9"/>
    <w:pPr>
      <w:keepNext/>
      <w:keepLines/>
      <w:spacing w:before="320" w:after="200"/>
      <w:outlineLvl w:val="8"/>
    </w:pPr>
    <w:rPr>
      <w:rFonts w:ascii="Arial" w:hAnsi="Arial" w:eastAsia="Arial" w:cs="Arial"/>
      <w:i/>
      <w:iCs/>
      <w:sz w:val="21"/>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link w:val="226"/>
    <w:unhideWhenUsed/>
    <w:qFormat/>
    <w:uiPriority w:val="99"/>
    <w:pPr>
      <w:ind w:firstLine="570"/>
    </w:pPr>
    <w:rPr>
      <w:rFonts w:ascii="宋体" w:eastAsia="宋体"/>
      <w:sz w:val="28"/>
    </w:rPr>
  </w:style>
  <w:style w:type="paragraph" w:styleId="12">
    <w:name w:val="toc 7"/>
    <w:next w:val="1"/>
    <w:qFormat/>
    <w:uiPriority w:val="0"/>
    <w:pPr>
      <w:ind w:left="2125"/>
      <w:jc w:val="both"/>
    </w:pPr>
    <w:rPr>
      <w:rFonts w:hint="default" w:ascii="Times New Roman" w:hAnsi="Times New Roman" w:eastAsia="宋体" w:cs="Times New Roman"/>
      <w:sz w:val="21"/>
      <w:lang w:val="en-US" w:eastAsia="zh-CN" w:bidi="ar-SA"/>
    </w:rPr>
  </w:style>
  <w:style w:type="paragraph" w:styleId="13">
    <w:name w:val="Normal Indent"/>
    <w:basedOn w:val="1"/>
    <w:next w:val="1"/>
    <w:link w:val="223"/>
    <w:unhideWhenUsed/>
    <w:qFormat/>
    <w:uiPriority w:val="0"/>
    <w:pPr>
      <w:ind w:firstLine="420"/>
      <w:jc w:val="left"/>
    </w:pPr>
    <w:rPr>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List Bullet"/>
    <w:basedOn w:val="3"/>
    <w:next w:val="1"/>
    <w:unhideWhenUsed/>
    <w:qFormat/>
    <w:uiPriority w:val="99"/>
    <w:pPr>
      <w:numPr>
        <w:ilvl w:val="0"/>
        <w:numId w:val="1"/>
      </w:numPr>
    </w:pPr>
  </w:style>
  <w:style w:type="paragraph" w:styleId="16">
    <w:name w:val="Document Map"/>
    <w:basedOn w:val="1"/>
    <w:link w:val="224"/>
    <w:unhideWhenUsed/>
    <w:qFormat/>
    <w:uiPriority w:val="99"/>
    <w:rPr>
      <w:rFonts w:ascii="宋体" w:eastAsia="宋体"/>
      <w:sz w:val="18"/>
      <w:szCs w:val="18"/>
    </w:rPr>
  </w:style>
  <w:style w:type="paragraph" w:styleId="17">
    <w:name w:val="annotation text"/>
    <w:basedOn w:val="3"/>
    <w:next w:val="1"/>
    <w:link w:val="225"/>
    <w:qFormat/>
    <w:uiPriority w:val="0"/>
    <w:pPr>
      <w:jc w:val="left"/>
    </w:pPr>
    <w:rPr>
      <w:rFonts w:eastAsia="宋体"/>
      <w:sz w:val="24"/>
    </w:rPr>
  </w:style>
  <w:style w:type="paragraph" w:styleId="18">
    <w:name w:val="Body Text 3"/>
    <w:basedOn w:val="1"/>
    <w:unhideWhenUsed/>
    <w:qFormat/>
    <w:uiPriority w:val="99"/>
    <w:pPr>
      <w:jc w:val="center"/>
    </w:pPr>
    <w:rPr>
      <w:rFonts w:ascii="宋体" w:hAnsi="宋体"/>
    </w:rPr>
  </w:style>
  <w:style w:type="paragraph" w:styleId="19">
    <w:name w:val="Body Text"/>
    <w:basedOn w:val="1"/>
    <w:next w:val="13"/>
    <w:unhideWhenUsed/>
    <w:qFormat/>
    <w:uiPriority w:val="99"/>
    <w:rPr>
      <w:rFonts w:ascii="楷体_GB2312"/>
      <w:b/>
      <w:bCs/>
      <w:sz w:val="28"/>
    </w:rPr>
  </w:style>
  <w:style w:type="paragraph" w:styleId="20">
    <w:name w:val="List Number 3"/>
    <w:basedOn w:val="3"/>
    <w:next w:val="1"/>
    <w:unhideWhenUsed/>
    <w:qFormat/>
    <w:uiPriority w:val="99"/>
    <w:pPr>
      <w:numPr>
        <w:ilvl w:val="0"/>
        <w:numId w:val="2"/>
      </w:numPr>
    </w:pPr>
  </w:style>
  <w:style w:type="paragraph" w:styleId="21">
    <w:name w:val="Block Text"/>
    <w:basedOn w:val="1"/>
    <w:qFormat/>
    <w:uiPriority w:val="0"/>
    <w:pPr>
      <w:spacing w:line="360" w:lineRule="auto"/>
      <w:ind w:left="630" w:right="-609" w:firstLine="420"/>
    </w:pPr>
    <w:rPr>
      <w:rFonts w:hint="eastAsia" w:ascii="仿宋_GB2312" w:eastAsia="仿宋_GB2312"/>
      <w:szCs w:val="20"/>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ind w:left="840"/>
    </w:pPr>
  </w:style>
  <w:style w:type="paragraph" w:styleId="24">
    <w:name w:val="Plain Text"/>
    <w:basedOn w:val="1"/>
    <w:link w:val="227"/>
    <w:unhideWhenUsed/>
    <w:qFormat/>
    <w:uiPriority w:val="0"/>
    <w:rPr>
      <w:rFonts w:ascii="宋体" w:hAnsi="Courier New"/>
    </w:rPr>
  </w:style>
  <w:style w:type="paragraph" w:styleId="25">
    <w:name w:val="List Bullet 5"/>
    <w:basedOn w:val="3"/>
    <w:next w:val="26"/>
    <w:unhideWhenUsed/>
    <w:qFormat/>
    <w:uiPriority w:val="99"/>
    <w:pPr>
      <w:numPr>
        <w:ilvl w:val="0"/>
        <w:numId w:val="3"/>
      </w:numPr>
    </w:pPr>
  </w:style>
  <w:style w:type="paragraph" w:customStyle="1" w:styleId="26">
    <w:name w:val="正文首行缩进1"/>
    <w:next w:val="20"/>
    <w:qFormat/>
    <w:uiPriority w:val="0"/>
    <w:pPr>
      <w:spacing w:after="120" w:line="360" w:lineRule="auto"/>
      <w:ind w:left="420" w:firstLine="2724"/>
    </w:pPr>
    <w:rPr>
      <w:rFonts w:hint="default" w:ascii="Calibri" w:hAnsi="Calibri" w:eastAsia="宋体" w:cs="宋体"/>
      <w:sz w:val="21"/>
      <w:szCs w:val="22"/>
      <w:lang w:val="en-US" w:eastAsia="zh-CN" w:bidi="ar-SA"/>
    </w:rPr>
  </w:style>
  <w:style w:type="paragraph" w:styleId="27">
    <w:name w:val="toc 8"/>
    <w:basedOn w:val="1"/>
    <w:next w:val="1"/>
    <w:unhideWhenUsed/>
    <w:qFormat/>
    <w:uiPriority w:val="39"/>
    <w:pPr>
      <w:spacing w:after="57"/>
      <w:ind w:left="1984" w:right="0" w:firstLine="0"/>
    </w:pPr>
  </w:style>
  <w:style w:type="paragraph" w:styleId="28">
    <w:name w:val="Date"/>
    <w:basedOn w:val="1"/>
    <w:next w:val="1"/>
    <w:unhideWhenUsed/>
    <w:qFormat/>
    <w:uiPriority w:val="99"/>
    <w:rPr>
      <w:rFonts w:ascii="宋体" w:hAnsi="宋体"/>
      <w:sz w:val="24"/>
    </w:rPr>
  </w:style>
  <w:style w:type="paragraph" w:styleId="29">
    <w:name w:val="Body Text Indent 2"/>
    <w:basedOn w:val="1"/>
    <w:link w:val="228"/>
    <w:unhideWhenUsed/>
    <w:qFormat/>
    <w:uiPriority w:val="99"/>
    <w:pPr>
      <w:spacing w:after="120" w:line="480" w:lineRule="auto"/>
      <w:ind w:left="420"/>
    </w:pPr>
  </w:style>
  <w:style w:type="paragraph" w:styleId="30">
    <w:name w:val="endnote text"/>
    <w:basedOn w:val="1"/>
    <w:link w:val="215"/>
    <w:semiHidden/>
    <w:unhideWhenUsed/>
    <w:qFormat/>
    <w:uiPriority w:val="99"/>
    <w:pPr>
      <w:spacing w:after="0" w:line="240" w:lineRule="auto"/>
    </w:pPr>
    <w:rPr>
      <w:sz w:val="20"/>
    </w:rPr>
  </w:style>
  <w:style w:type="paragraph" w:styleId="31">
    <w:name w:val="Balloon Text"/>
    <w:basedOn w:val="1"/>
    <w:next w:val="32"/>
    <w:link w:val="229"/>
    <w:qFormat/>
    <w:uiPriority w:val="0"/>
    <w:rPr>
      <w:sz w:val="18"/>
      <w:szCs w:val="18"/>
    </w:rPr>
  </w:style>
  <w:style w:type="paragraph" w:customStyle="1" w:styleId="32">
    <w:name w:val="正文缩进1"/>
    <w:next w:val="1"/>
    <w:qFormat/>
    <w:uiPriority w:val="0"/>
    <w:pPr>
      <w:ind w:left="3400"/>
      <w:jc w:val="both"/>
    </w:pPr>
    <w:rPr>
      <w:rFonts w:hint="default" w:ascii="Times New Roman" w:hAnsi="Times New Roman" w:eastAsia="宋体" w:cs="Times New Roman"/>
      <w:sz w:val="21"/>
      <w:lang w:val="en-US" w:eastAsia="zh-CN" w:bidi="ar-SA"/>
    </w:rPr>
  </w:style>
  <w:style w:type="paragraph" w:styleId="33">
    <w:name w:val="footer"/>
    <w:basedOn w:val="1"/>
    <w:link w:val="230"/>
    <w:unhideWhenUsed/>
    <w:qFormat/>
    <w:uiPriority w:val="99"/>
    <w:pPr>
      <w:tabs>
        <w:tab w:val="center" w:pos="4153"/>
        <w:tab w:val="right" w:pos="8306"/>
      </w:tabs>
      <w:jc w:val="left"/>
    </w:pPr>
    <w:rPr>
      <w:sz w:val="18"/>
    </w:rPr>
  </w:style>
  <w:style w:type="paragraph" w:styleId="34">
    <w:name w:val="envelope return"/>
    <w:basedOn w:val="1"/>
    <w:qFormat/>
    <w:uiPriority w:val="0"/>
    <w:rPr>
      <w:rFonts w:ascii="Arial" w:hAnsi="Arial"/>
    </w:rPr>
  </w:style>
  <w:style w:type="paragraph" w:styleId="35">
    <w:name w:val="header"/>
    <w:basedOn w:val="1"/>
    <w:link w:val="231"/>
    <w:unhideWhenUsed/>
    <w:qFormat/>
    <w:uiPriority w:val="99"/>
    <w:pPr>
      <w:pBdr>
        <w:bottom w:val="none" w:color="auto" w:sz="0" w:space="1"/>
      </w:pBdr>
      <w:tabs>
        <w:tab w:val="center" w:pos="4153"/>
        <w:tab w:val="right" w:pos="8306"/>
      </w:tabs>
      <w:jc w:val="center"/>
    </w:pPr>
    <w:rPr>
      <w:sz w:val="18"/>
    </w:rPr>
  </w:style>
  <w:style w:type="paragraph" w:styleId="36">
    <w:name w:val="toc 1"/>
    <w:basedOn w:val="1"/>
    <w:next w:val="1"/>
    <w:unhideWhenUsed/>
    <w:qFormat/>
    <w:uiPriority w:val="39"/>
    <w:pPr>
      <w:jc w:val="left"/>
    </w:pPr>
    <w:rPr>
      <w:sz w:val="24"/>
    </w:rPr>
  </w:style>
  <w:style w:type="paragraph" w:styleId="37">
    <w:name w:val="toc 4"/>
    <w:basedOn w:val="1"/>
    <w:next w:val="1"/>
    <w:unhideWhenUsed/>
    <w:qFormat/>
    <w:uiPriority w:val="39"/>
    <w:pPr>
      <w:spacing w:after="57"/>
      <w:ind w:left="850" w:right="0" w:firstLine="0"/>
    </w:pPr>
  </w:style>
  <w:style w:type="paragraph" w:styleId="38">
    <w:name w:val="Subtitle"/>
    <w:basedOn w:val="1"/>
    <w:link w:val="232"/>
    <w:qFormat/>
    <w:uiPriority w:val="0"/>
    <w:pPr>
      <w:spacing w:before="240" w:after="60" w:line="312" w:lineRule="auto"/>
      <w:jc w:val="center"/>
      <w:outlineLvl w:val="1"/>
    </w:pPr>
    <w:rPr>
      <w:rFonts w:ascii="Arial" w:hAnsi="Arial" w:eastAsia="宋体"/>
      <w:b/>
      <w:bCs/>
      <w:sz w:val="32"/>
      <w:szCs w:val="32"/>
    </w:rPr>
  </w:style>
  <w:style w:type="paragraph" w:styleId="39">
    <w:name w:val="footnote text"/>
    <w:basedOn w:val="1"/>
    <w:link w:val="214"/>
    <w:semiHidden/>
    <w:unhideWhenUsed/>
    <w:qFormat/>
    <w:uiPriority w:val="99"/>
    <w:pPr>
      <w:spacing w:after="40" w:line="240" w:lineRule="auto"/>
    </w:pPr>
    <w:rPr>
      <w:sz w:val="18"/>
    </w:rPr>
  </w:style>
  <w:style w:type="paragraph" w:styleId="40">
    <w:name w:val="toc 6"/>
    <w:basedOn w:val="1"/>
    <w:next w:val="1"/>
    <w:unhideWhenUsed/>
    <w:qFormat/>
    <w:uiPriority w:val="39"/>
    <w:pPr>
      <w:spacing w:after="57"/>
      <w:ind w:left="1417" w:right="0" w:firstLine="0"/>
    </w:pPr>
  </w:style>
  <w:style w:type="paragraph" w:styleId="41">
    <w:name w:val="Body Text Indent 3"/>
    <w:basedOn w:val="1"/>
    <w:unhideWhenUsed/>
    <w:qFormat/>
    <w:uiPriority w:val="99"/>
    <w:pPr>
      <w:widowControl/>
      <w:spacing w:after="120"/>
      <w:ind w:left="420"/>
      <w:jc w:val="left"/>
    </w:pPr>
    <w:rPr>
      <w:rFonts w:eastAsia="宋体"/>
      <w:sz w:val="16"/>
      <w:szCs w:val="16"/>
    </w:rPr>
  </w:style>
  <w:style w:type="paragraph" w:styleId="42">
    <w:name w:val="table of figures"/>
    <w:basedOn w:val="1"/>
    <w:next w:val="1"/>
    <w:unhideWhenUsed/>
    <w:qFormat/>
    <w:uiPriority w:val="99"/>
    <w:pPr>
      <w:spacing w:after="0" w:afterAutospacing="0"/>
    </w:pPr>
  </w:style>
  <w:style w:type="paragraph" w:styleId="43">
    <w:name w:val="toc 2"/>
    <w:basedOn w:val="1"/>
    <w:next w:val="1"/>
    <w:unhideWhenUsed/>
    <w:qFormat/>
    <w:uiPriority w:val="39"/>
    <w:pPr>
      <w:ind w:left="420"/>
    </w:pPr>
  </w:style>
  <w:style w:type="paragraph" w:styleId="44">
    <w:name w:val="toc 9"/>
    <w:basedOn w:val="1"/>
    <w:next w:val="1"/>
    <w:semiHidden/>
    <w:qFormat/>
    <w:uiPriority w:val="0"/>
    <w:pPr>
      <w:ind w:left="3360"/>
    </w:pPr>
  </w:style>
  <w:style w:type="paragraph" w:styleId="45">
    <w:name w:val="Body Text 2"/>
    <w:basedOn w:val="1"/>
    <w:qFormat/>
    <w:uiPriority w:val="0"/>
    <w:pPr>
      <w:spacing w:before="0" w:after="120" w:line="480" w:lineRule="auto"/>
      <w:ind w:firstLine="1024"/>
    </w:pPr>
  </w:style>
  <w:style w:type="paragraph" w:styleId="46">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7">
    <w:name w:val="index 1"/>
    <w:basedOn w:val="1"/>
    <w:next w:val="1"/>
    <w:semiHidden/>
    <w:qFormat/>
    <w:uiPriority w:val="0"/>
  </w:style>
  <w:style w:type="paragraph" w:styleId="48">
    <w:name w:val="Title"/>
    <w:basedOn w:val="1"/>
    <w:next w:val="1"/>
    <w:link w:val="80"/>
    <w:qFormat/>
    <w:uiPriority w:val="10"/>
    <w:pPr>
      <w:spacing w:before="300" w:after="200"/>
      <w:contextualSpacing/>
    </w:pPr>
    <w:rPr>
      <w:sz w:val="48"/>
      <w:szCs w:val="48"/>
    </w:rPr>
  </w:style>
  <w:style w:type="paragraph" w:styleId="49">
    <w:name w:val="annotation subject"/>
    <w:basedOn w:val="17"/>
    <w:next w:val="17"/>
    <w:semiHidden/>
    <w:qFormat/>
    <w:uiPriority w:val="0"/>
    <w:rPr>
      <w:bCs/>
    </w:rPr>
  </w:style>
  <w:style w:type="paragraph" w:styleId="50">
    <w:name w:val="Body Text First Indent"/>
    <w:basedOn w:val="19"/>
    <w:next w:val="1"/>
    <w:unhideWhenUsed/>
    <w:qFormat/>
    <w:uiPriority w:val="99"/>
    <w:pPr>
      <w:ind w:firstLine="420"/>
    </w:pPr>
  </w:style>
  <w:style w:type="paragraph" w:styleId="51">
    <w:name w:val="Body Text First Indent 2"/>
    <w:basedOn w:val="2"/>
    <w:link w:val="233"/>
    <w:unhideWhenUsed/>
    <w:qFormat/>
    <w:uiPriority w:val="99"/>
    <w:pPr>
      <w:spacing w:after="120"/>
      <w:ind w:left="420" w:firstLine="420"/>
    </w:pPr>
  </w:style>
  <w:style w:type="table" w:styleId="53">
    <w:name w:val="Table Grid"/>
    <w:basedOn w:val="52"/>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5">
    <w:name w:val="Strong"/>
    <w:qFormat/>
    <w:uiPriority w:val="22"/>
    <w:rPr>
      <w:b/>
      <w:bCs/>
    </w:rPr>
  </w:style>
  <w:style w:type="character" w:styleId="56">
    <w:name w:val="endnote reference"/>
    <w:basedOn w:val="54"/>
    <w:semiHidden/>
    <w:unhideWhenUsed/>
    <w:qFormat/>
    <w:uiPriority w:val="99"/>
    <w:rPr>
      <w:vertAlign w:val="superscript"/>
    </w:rPr>
  </w:style>
  <w:style w:type="character" w:styleId="57">
    <w:name w:val="page number"/>
    <w:unhideWhenUsed/>
    <w:qFormat/>
    <w:uiPriority w:val="0"/>
  </w:style>
  <w:style w:type="character" w:styleId="58">
    <w:name w:val="FollowedHyperlink"/>
    <w:unhideWhenUsed/>
    <w:qFormat/>
    <w:uiPriority w:val="99"/>
    <w:rPr>
      <w:color w:val="07519A"/>
      <w:u w:val="none"/>
    </w:rPr>
  </w:style>
  <w:style w:type="character" w:styleId="59">
    <w:name w:val="Emphasis"/>
    <w:qFormat/>
    <w:uiPriority w:val="20"/>
  </w:style>
  <w:style w:type="character" w:styleId="60">
    <w:name w:val="HTML Definition"/>
    <w:unhideWhenUsed/>
    <w:qFormat/>
    <w:uiPriority w:val="99"/>
  </w:style>
  <w:style w:type="character" w:styleId="61">
    <w:name w:val="HTML Variable"/>
    <w:unhideWhenUsed/>
    <w:qFormat/>
    <w:uiPriority w:val="99"/>
    <w:rPr>
      <w:color w:val="666666"/>
      <w:sz w:val="18"/>
      <w:szCs w:val="18"/>
      <w:shd w:val="clear" w:color="auto" w:fill="FFFFFF"/>
    </w:rPr>
  </w:style>
  <w:style w:type="character" w:styleId="62">
    <w:name w:val="Hyperlink"/>
    <w:unhideWhenUsed/>
    <w:qFormat/>
    <w:uiPriority w:val="99"/>
    <w:rPr>
      <w:color w:val="07519A"/>
      <w:u w:val="none"/>
    </w:rPr>
  </w:style>
  <w:style w:type="character" w:styleId="63">
    <w:name w:val="HTML Code"/>
    <w:unhideWhenUsed/>
    <w:qFormat/>
    <w:uiPriority w:val="99"/>
    <w:rPr>
      <w:rFonts w:hint="default" w:ascii="serif" w:hAnsi="serif" w:eastAsia="serif" w:cs="serif"/>
      <w:sz w:val="21"/>
      <w:szCs w:val="21"/>
    </w:rPr>
  </w:style>
  <w:style w:type="character" w:styleId="64">
    <w:name w:val="annotation reference"/>
    <w:qFormat/>
    <w:uiPriority w:val="0"/>
    <w:rPr>
      <w:sz w:val="21"/>
      <w:szCs w:val="21"/>
    </w:rPr>
  </w:style>
  <w:style w:type="character" w:styleId="65">
    <w:name w:val="HTML Cite"/>
    <w:unhideWhenUsed/>
    <w:qFormat/>
    <w:uiPriority w:val="99"/>
  </w:style>
  <w:style w:type="character" w:styleId="66">
    <w:name w:val="footnote reference"/>
    <w:basedOn w:val="54"/>
    <w:unhideWhenUsed/>
    <w:qFormat/>
    <w:uiPriority w:val="99"/>
    <w:rPr>
      <w:vertAlign w:val="superscript"/>
    </w:rPr>
  </w:style>
  <w:style w:type="character" w:styleId="67">
    <w:name w:val="HTML Keyboard"/>
    <w:unhideWhenUsed/>
    <w:qFormat/>
    <w:uiPriority w:val="99"/>
    <w:rPr>
      <w:rFonts w:ascii="serif" w:hAnsi="serif" w:eastAsia="serif" w:cs="serif"/>
      <w:sz w:val="21"/>
      <w:szCs w:val="21"/>
    </w:rPr>
  </w:style>
  <w:style w:type="character" w:styleId="68">
    <w:name w:val="HTML Sample"/>
    <w:unhideWhenUsed/>
    <w:qFormat/>
    <w:uiPriority w:val="99"/>
    <w:rPr>
      <w:rFonts w:hint="default" w:ascii="serif" w:hAnsi="serif" w:eastAsia="serif" w:cs="serif"/>
      <w:sz w:val="21"/>
      <w:szCs w:val="21"/>
    </w:rPr>
  </w:style>
  <w:style w:type="paragraph" w:customStyle="1" w:styleId="69">
    <w:name w:val="正文文本缩进1"/>
    <w:basedOn w:val="1"/>
    <w:next w:val="1"/>
    <w:qFormat/>
    <w:uiPriority w:val="0"/>
    <w:pPr>
      <w:ind w:firstLine="570"/>
    </w:pPr>
    <w:rPr>
      <w:rFonts w:ascii="宋体" w:eastAsia="宋体"/>
      <w:sz w:val="28"/>
    </w:rPr>
  </w:style>
  <w:style w:type="character" w:customStyle="1" w:styleId="70">
    <w:name w:val="Heading 1 Char"/>
    <w:basedOn w:val="54"/>
    <w:qFormat/>
    <w:uiPriority w:val="9"/>
    <w:rPr>
      <w:rFonts w:ascii="Arial" w:hAnsi="Arial" w:eastAsia="Arial" w:cs="Arial"/>
      <w:sz w:val="40"/>
      <w:szCs w:val="40"/>
    </w:rPr>
  </w:style>
  <w:style w:type="character" w:customStyle="1" w:styleId="71">
    <w:name w:val="Heading 2 Char"/>
    <w:basedOn w:val="54"/>
    <w:qFormat/>
    <w:uiPriority w:val="9"/>
    <w:rPr>
      <w:rFonts w:ascii="Arial" w:hAnsi="Arial" w:eastAsia="Arial" w:cs="Arial"/>
      <w:sz w:val="34"/>
    </w:rPr>
  </w:style>
  <w:style w:type="character" w:customStyle="1" w:styleId="72">
    <w:name w:val="Heading 3 Char"/>
    <w:basedOn w:val="54"/>
    <w:qFormat/>
    <w:uiPriority w:val="9"/>
    <w:rPr>
      <w:rFonts w:ascii="Arial" w:hAnsi="Arial" w:eastAsia="Arial" w:cs="Arial"/>
      <w:sz w:val="30"/>
      <w:szCs w:val="30"/>
    </w:rPr>
  </w:style>
  <w:style w:type="character" w:customStyle="1" w:styleId="73">
    <w:name w:val="Heading 4 Char"/>
    <w:basedOn w:val="54"/>
    <w:link w:val="6"/>
    <w:qFormat/>
    <w:uiPriority w:val="9"/>
    <w:rPr>
      <w:rFonts w:ascii="Arial" w:hAnsi="Arial" w:eastAsia="Arial" w:cs="Arial"/>
      <w:b/>
      <w:bCs/>
      <w:sz w:val="26"/>
      <w:szCs w:val="26"/>
    </w:rPr>
  </w:style>
  <w:style w:type="character" w:customStyle="1" w:styleId="74">
    <w:name w:val="Heading 5 Char"/>
    <w:basedOn w:val="54"/>
    <w:link w:val="7"/>
    <w:qFormat/>
    <w:uiPriority w:val="9"/>
    <w:rPr>
      <w:rFonts w:ascii="Arial" w:hAnsi="Arial" w:eastAsia="Arial" w:cs="Arial"/>
      <w:b/>
      <w:bCs/>
      <w:sz w:val="24"/>
      <w:szCs w:val="24"/>
    </w:rPr>
  </w:style>
  <w:style w:type="character" w:customStyle="1" w:styleId="75">
    <w:name w:val="Heading 6 Char"/>
    <w:basedOn w:val="54"/>
    <w:link w:val="8"/>
    <w:qFormat/>
    <w:uiPriority w:val="9"/>
    <w:rPr>
      <w:rFonts w:ascii="Arial" w:hAnsi="Arial" w:eastAsia="Arial" w:cs="Arial"/>
      <w:b/>
      <w:bCs/>
      <w:sz w:val="22"/>
      <w:szCs w:val="22"/>
    </w:rPr>
  </w:style>
  <w:style w:type="character" w:customStyle="1" w:styleId="76">
    <w:name w:val="Heading 7 Char"/>
    <w:basedOn w:val="54"/>
    <w:link w:val="9"/>
    <w:qFormat/>
    <w:uiPriority w:val="9"/>
    <w:rPr>
      <w:rFonts w:ascii="Arial" w:hAnsi="Arial" w:eastAsia="Arial" w:cs="Arial"/>
      <w:b/>
      <w:bCs/>
      <w:i/>
      <w:iCs/>
      <w:sz w:val="22"/>
      <w:szCs w:val="22"/>
    </w:rPr>
  </w:style>
  <w:style w:type="character" w:customStyle="1" w:styleId="77">
    <w:name w:val="Heading 8 Char"/>
    <w:basedOn w:val="54"/>
    <w:link w:val="10"/>
    <w:qFormat/>
    <w:uiPriority w:val="9"/>
    <w:rPr>
      <w:rFonts w:ascii="Arial" w:hAnsi="Arial" w:eastAsia="Arial" w:cs="Arial"/>
      <w:i/>
      <w:iCs/>
      <w:sz w:val="22"/>
      <w:szCs w:val="22"/>
    </w:rPr>
  </w:style>
  <w:style w:type="character" w:customStyle="1" w:styleId="78">
    <w:name w:val="Heading 9 Char"/>
    <w:basedOn w:val="54"/>
    <w:link w:val="11"/>
    <w:qFormat/>
    <w:uiPriority w:val="9"/>
    <w:rPr>
      <w:rFonts w:ascii="Arial" w:hAnsi="Arial" w:eastAsia="Arial" w:cs="Arial"/>
      <w:i/>
      <w:iCs/>
      <w:sz w:val="21"/>
      <w:szCs w:val="21"/>
    </w:rPr>
  </w:style>
  <w:style w:type="paragraph" w:styleId="79">
    <w:name w:val="No Spacing"/>
    <w:qFormat/>
    <w:uiPriority w:val="1"/>
    <w:pPr>
      <w:spacing w:before="0" w:after="0" w:line="240" w:lineRule="auto"/>
    </w:pPr>
    <w:rPr>
      <w:rFonts w:hint="default" w:ascii="Times New Roman" w:hAnsi="Times New Roman" w:eastAsia="宋体" w:cs="Times New Roman"/>
    </w:rPr>
  </w:style>
  <w:style w:type="character" w:customStyle="1" w:styleId="80">
    <w:name w:val="Title Char"/>
    <w:basedOn w:val="54"/>
    <w:link w:val="48"/>
    <w:qFormat/>
    <w:uiPriority w:val="10"/>
    <w:rPr>
      <w:sz w:val="48"/>
      <w:szCs w:val="48"/>
    </w:rPr>
  </w:style>
  <w:style w:type="character" w:customStyle="1" w:styleId="81">
    <w:name w:val="Subtitle Char"/>
    <w:basedOn w:val="54"/>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Header Char"/>
    <w:basedOn w:val="54"/>
    <w:qFormat/>
    <w:uiPriority w:val="99"/>
  </w:style>
  <w:style w:type="character" w:customStyle="1" w:styleId="87">
    <w:name w:val="Footer Char"/>
    <w:basedOn w:val="54"/>
    <w:qFormat/>
    <w:uiPriority w:val="99"/>
  </w:style>
  <w:style w:type="character" w:customStyle="1" w:styleId="88">
    <w:name w:val="Caption Char"/>
    <w:qFormat/>
    <w:uiPriority w:val="99"/>
  </w:style>
  <w:style w:type="table" w:customStyle="1" w:styleId="89">
    <w:name w:val="Table Grid Light"/>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5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5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6 Colorful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5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5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5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5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5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1">
    <w:name w:val="Grid Table 7 Colorful - Accent 4"/>
    <w:basedOn w:val="5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5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5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5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5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5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5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5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5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5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5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5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5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5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5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5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link w:val="39"/>
    <w:qFormat/>
    <w:uiPriority w:val="99"/>
    <w:rPr>
      <w:sz w:val="18"/>
    </w:rPr>
  </w:style>
  <w:style w:type="character" w:customStyle="1" w:styleId="215">
    <w:name w:val="Endnote Text Char"/>
    <w:link w:val="30"/>
    <w:qFormat/>
    <w:uiPriority w:val="99"/>
    <w:rPr>
      <w:sz w:val="20"/>
    </w:r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正文2"/>
    <w:basedOn w:val="1"/>
    <w:next w:val="1"/>
    <w:qFormat/>
    <w:uiPriority w:val="0"/>
    <w:pPr>
      <w:shd w:val="clear" w:color="auto" w:fill="FFFFFF"/>
      <w:spacing w:line="360" w:lineRule="auto"/>
      <w:ind w:hanging="2155"/>
    </w:pPr>
    <w:rPr>
      <w:rFonts w:ascii="宋体" w:hAnsi="宋体"/>
    </w:rPr>
  </w:style>
  <w:style w:type="paragraph" w:customStyle="1" w:styleId="218">
    <w:name w:val="首行缩进"/>
    <w:basedOn w:val="1"/>
    <w:qFormat/>
    <w:uiPriority w:val="0"/>
    <w:pPr>
      <w:ind w:firstLine="480"/>
    </w:pPr>
    <w:rPr>
      <w:lang w:val="zh-CN"/>
    </w:rPr>
  </w:style>
  <w:style w:type="paragraph" w:customStyle="1" w:styleId="219">
    <w:name w:val="列出段落1"/>
    <w:basedOn w:val="1"/>
    <w:qFormat/>
    <w:uiPriority w:val="34"/>
    <w:pPr>
      <w:ind w:firstLine="420"/>
    </w:pPr>
    <w:rPr>
      <w:rFonts w:ascii="Calibri" w:hAnsi="Calibri" w:eastAsia="宋体"/>
    </w:rPr>
  </w:style>
  <w:style w:type="paragraph" w:customStyle="1" w:styleId="220">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221">
    <w:name w:val="标题 2 Char"/>
    <w:link w:val="4"/>
    <w:qFormat/>
    <w:uiPriority w:val="9"/>
    <w:rPr>
      <w:rFonts w:ascii="Cambria" w:hAnsi="Cambria" w:eastAsia="宋体" w:cs="Times New Roman"/>
      <w:b/>
      <w:bCs/>
      <w:sz w:val="32"/>
      <w:szCs w:val="32"/>
    </w:rPr>
  </w:style>
  <w:style w:type="character" w:customStyle="1" w:styleId="222">
    <w:name w:val="标题 3 Char"/>
    <w:link w:val="5"/>
    <w:qFormat/>
    <w:uiPriority w:val="0"/>
    <w:rPr>
      <w:rFonts w:eastAsia="楷体_GB2312"/>
      <w:b/>
      <w:bCs/>
      <w:sz w:val="32"/>
      <w:szCs w:val="32"/>
    </w:rPr>
  </w:style>
  <w:style w:type="character" w:customStyle="1" w:styleId="223">
    <w:name w:val="正文缩进 Char"/>
    <w:link w:val="13"/>
    <w:qFormat/>
    <w:uiPriority w:val="0"/>
    <w:rPr>
      <w:rFonts w:eastAsia="楷体_GB2312"/>
      <w:sz w:val="24"/>
    </w:rPr>
  </w:style>
  <w:style w:type="character" w:customStyle="1" w:styleId="224">
    <w:name w:val="文档结构图 Char"/>
    <w:link w:val="16"/>
    <w:semiHidden/>
    <w:qFormat/>
    <w:uiPriority w:val="99"/>
    <w:rPr>
      <w:rFonts w:ascii="宋体"/>
      <w:sz w:val="18"/>
      <w:szCs w:val="18"/>
    </w:rPr>
  </w:style>
  <w:style w:type="character" w:customStyle="1" w:styleId="225">
    <w:name w:val="批注文字 Char"/>
    <w:link w:val="17"/>
    <w:semiHidden/>
    <w:qFormat/>
    <w:uiPriority w:val="0"/>
    <w:rPr>
      <w:rFonts w:eastAsia="宋体"/>
      <w:b/>
      <w:sz w:val="24"/>
    </w:rPr>
  </w:style>
  <w:style w:type="character" w:customStyle="1" w:styleId="226">
    <w:name w:val="正文文本缩进 Char"/>
    <w:link w:val="2"/>
    <w:qFormat/>
    <w:uiPriority w:val="99"/>
    <w:rPr>
      <w:rFonts w:ascii="宋体"/>
      <w:sz w:val="28"/>
    </w:rPr>
  </w:style>
  <w:style w:type="character" w:customStyle="1" w:styleId="227">
    <w:name w:val="纯文本 Char"/>
    <w:link w:val="24"/>
    <w:qFormat/>
    <w:uiPriority w:val="0"/>
    <w:rPr>
      <w:rFonts w:ascii="宋体" w:hAnsi="Courier New" w:eastAsia="楷体_GB2312"/>
      <w:sz w:val="26"/>
    </w:rPr>
  </w:style>
  <w:style w:type="character" w:customStyle="1" w:styleId="228">
    <w:name w:val="正文文本缩进 2 Char"/>
    <w:link w:val="29"/>
    <w:semiHidden/>
    <w:qFormat/>
    <w:uiPriority w:val="99"/>
    <w:rPr>
      <w:rFonts w:eastAsia="楷体_GB2312"/>
      <w:sz w:val="26"/>
    </w:rPr>
  </w:style>
  <w:style w:type="character" w:customStyle="1" w:styleId="229">
    <w:name w:val="批注框文本 Char"/>
    <w:link w:val="31"/>
    <w:qFormat/>
    <w:uiPriority w:val="0"/>
    <w:rPr>
      <w:rFonts w:eastAsia="楷体_GB2312"/>
      <w:sz w:val="18"/>
      <w:szCs w:val="18"/>
    </w:rPr>
  </w:style>
  <w:style w:type="character" w:customStyle="1" w:styleId="230">
    <w:name w:val="页脚 Char"/>
    <w:link w:val="33"/>
    <w:qFormat/>
    <w:uiPriority w:val="99"/>
    <w:rPr>
      <w:rFonts w:eastAsia="楷体_GB2312"/>
      <w:sz w:val="18"/>
    </w:rPr>
  </w:style>
  <w:style w:type="character" w:customStyle="1" w:styleId="231">
    <w:name w:val="页眉 Char"/>
    <w:link w:val="35"/>
    <w:qFormat/>
    <w:uiPriority w:val="99"/>
    <w:rPr>
      <w:rFonts w:eastAsia="楷体_GB2312"/>
      <w:sz w:val="18"/>
    </w:rPr>
  </w:style>
  <w:style w:type="character" w:customStyle="1" w:styleId="232">
    <w:name w:val="副标题 Char"/>
    <w:link w:val="38"/>
    <w:qFormat/>
    <w:uiPriority w:val="0"/>
    <w:rPr>
      <w:rFonts w:ascii="Arial" w:hAnsi="Arial" w:cs="Arial"/>
      <w:b/>
      <w:bCs/>
      <w:sz w:val="32"/>
      <w:szCs w:val="32"/>
    </w:rPr>
  </w:style>
  <w:style w:type="character" w:customStyle="1" w:styleId="233">
    <w:name w:val="正文首行缩进 2 Char"/>
    <w:link w:val="51"/>
    <w:qFormat/>
    <w:uiPriority w:val="99"/>
  </w:style>
  <w:style w:type="paragraph" w:customStyle="1" w:styleId="234">
    <w:name w:val="正文文本1"/>
    <w:basedOn w:val="1"/>
    <w:unhideWhenUsed/>
    <w:qFormat/>
    <w:uiPriority w:val="99"/>
    <w:rPr>
      <w:rFonts w:ascii="楷体_GB2312"/>
      <w:b/>
      <w:bCs/>
      <w:sz w:val="28"/>
    </w:rPr>
  </w:style>
  <w:style w:type="paragraph" w:customStyle="1" w:styleId="235">
    <w:name w:val="Char Char Char Char Char Char Char Char Char Char Char Char Char"/>
    <w:basedOn w:val="3"/>
    <w:next w:val="1"/>
    <w:qFormat/>
    <w:uiPriority w:val="0"/>
    <w:pPr>
      <w:spacing w:before="0" w:after="160" w:line="240" w:lineRule="exact"/>
      <w:ind w:firstLine="3584"/>
    </w:pPr>
  </w:style>
  <w:style w:type="character" w:customStyle="1" w:styleId="236">
    <w:name w:val="font61"/>
    <w:qFormat/>
    <w:uiPriority w:val="0"/>
    <w:rPr>
      <w:rFonts w:hint="eastAsia" w:ascii="宋体" w:hAnsi="宋体" w:eastAsia="宋体" w:cs="宋体"/>
      <w:b/>
      <w:color w:val="000000"/>
      <w:sz w:val="20"/>
      <w:szCs w:val="20"/>
      <w:u w:val="none"/>
    </w:rPr>
  </w:style>
  <w:style w:type="character" w:customStyle="1" w:styleId="237">
    <w:name w:val="bds_nopic2"/>
    <w:qFormat/>
    <w:uiPriority w:val="0"/>
  </w:style>
  <w:style w:type="character" w:customStyle="1" w:styleId="238">
    <w:name w:val="font41"/>
    <w:basedOn w:val="54"/>
    <w:qFormat/>
    <w:uiPriority w:val="0"/>
    <w:rPr>
      <w:rFonts w:hint="eastAsia" w:ascii="宋体" w:hAnsi="宋体" w:eastAsia="宋体" w:cs="宋体"/>
      <w:b/>
      <w:color w:val="000000"/>
      <w:sz w:val="24"/>
      <w:szCs w:val="24"/>
      <w:u w:val="none"/>
    </w:rPr>
  </w:style>
  <w:style w:type="character" w:customStyle="1" w:styleId="239">
    <w:name w:val="正文文本缩进 字符"/>
    <w:qFormat/>
    <w:uiPriority w:val="99"/>
    <w:rPr>
      <w:rFonts w:ascii="宋体"/>
      <w:sz w:val="28"/>
    </w:rPr>
  </w:style>
  <w:style w:type="character" w:customStyle="1" w:styleId="240">
    <w:name w:val="bds_more"/>
    <w:qFormat/>
    <w:uiPriority w:val="0"/>
  </w:style>
  <w:style w:type="character" w:customStyle="1" w:styleId="241">
    <w:name w:val="fontstrikethrough"/>
    <w:qFormat/>
    <w:uiPriority w:val="0"/>
    <w:rPr>
      <w:strike/>
    </w:rPr>
  </w:style>
  <w:style w:type="character" w:customStyle="1" w:styleId="242">
    <w:name w:val="font01"/>
    <w:qFormat/>
    <w:uiPriority w:val="0"/>
    <w:rPr>
      <w:rFonts w:hint="eastAsia" w:ascii="宋体" w:hAnsi="宋体" w:eastAsia="宋体" w:cs="宋体"/>
      <w:color w:val="000000"/>
      <w:sz w:val="20"/>
      <w:szCs w:val="20"/>
      <w:u w:val="none"/>
    </w:rPr>
  </w:style>
  <w:style w:type="character" w:customStyle="1" w:styleId="243">
    <w:name w:val="bds_more1"/>
    <w:qFormat/>
    <w:uiPriority w:val="0"/>
    <w:rPr>
      <w:rFonts w:hint="eastAsia" w:ascii="宋体" w:hAnsi="宋体" w:eastAsia="宋体" w:cs="宋体"/>
    </w:rPr>
  </w:style>
  <w:style w:type="character" w:customStyle="1" w:styleId="244">
    <w:name w:val="font81"/>
    <w:basedOn w:val="54"/>
    <w:qFormat/>
    <w:uiPriority w:val="0"/>
    <w:rPr>
      <w:rFonts w:ascii="宋体" w:hAnsi="宋体" w:eastAsia="宋体" w:cs="宋体"/>
      <w:b/>
      <w:color w:val="000000"/>
      <w:sz w:val="24"/>
      <w:szCs w:val="24"/>
      <w:u w:val="none"/>
    </w:rPr>
  </w:style>
  <w:style w:type="character" w:customStyle="1" w:styleId="245">
    <w:name w:val="font11"/>
    <w:qFormat/>
    <w:uiPriority w:val="0"/>
    <w:rPr>
      <w:rFonts w:hint="eastAsia" w:ascii="宋体" w:hAnsi="宋体" w:eastAsia="宋体" w:cs="宋体"/>
      <w:b/>
      <w:color w:val="000000"/>
      <w:sz w:val="20"/>
      <w:szCs w:val="20"/>
      <w:u w:val="none"/>
    </w:rPr>
  </w:style>
  <w:style w:type="character" w:customStyle="1" w:styleId="246">
    <w:name w:val="font21"/>
    <w:qFormat/>
    <w:uiPriority w:val="0"/>
    <w:rPr>
      <w:rFonts w:hint="default" w:ascii="Arial" w:hAnsi="Arial" w:cs="Arial"/>
      <w:color w:val="000000"/>
      <w:sz w:val="20"/>
      <w:szCs w:val="20"/>
      <w:u w:val="none"/>
    </w:rPr>
  </w:style>
  <w:style w:type="character" w:customStyle="1" w:styleId="247">
    <w:name w:val="Plain Text Char1"/>
    <w:link w:val="248"/>
    <w:qFormat/>
    <w:uiPriority w:val="0"/>
    <w:rPr>
      <w:rFonts w:ascii="宋体" w:hAnsi="Courier New" w:eastAsia="楷体_GB2312"/>
      <w:sz w:val="26"/>
    </w:rPr>
  </w:style>
  <w:style w:type="paragraph" w:customStyle="1" w:styleId="248">
    <w:name w:val="纯文本1"/>
    <w:basedOn w:val="1"/>
    <w:link w:val="247"/>
    <w:qFormat/>
    <w:uiPriority w:val="0"/>
    <w:rPr>
      <w:rFonts w:ascii="宋体" w:hAnsi="Courier New"/>
    </w:rPr>
  </w:style>
  <w:style w:type="character" w:customStyle="1" w:styleId="249">
    <w:name w:val="font71"/>
    <w:basedOn w:val="54"/>
    <w:qFormat/>
    <w:uiPriority w:val="0"/>
    <w:rPr>
      <w:rFonts w:ascii="宋体" w:hAnsi="宋体" w:eastAsia="宋体" w:cs="宋体"/>
      <w:b/>
      <w:color w:val="000000"/>
      <w:sz w:val="24"/>
      <w:szCs w:val="24"/>
      <w:u w:val="none"/>
    </w:rPr>
  </w:style>
  <w:style w:type="character" w:customStyle="1" w:styleId="250">
    <w:name w:val="_正文段落 Char"/>
    <w:link w:val="251"/>
    <w:qFormat/>
    <w:uiPriority w:val="0"/>
    <w:rPr>
      <w:rFonts w:ascii="宋体" w:hAnsi="宋体"/>
      <w:sz w:val="24"/>
      <w:szCs w:val="24"/>
    </w:rPr>
  </w:style>
  <w:style w:type="paragraph" w:customStyle="1" w:styleId="251">
    <w:name w:val="_正文段落"/>
    <w:basedOn w:val="1"/>
    <w:link w:val="250"/>
    <w:qFormat/>
    <w:uiPriority w:val="0"/>
    <w:pPr>
      <w:spacing w:line="360" w:lineRule="auto"/>
      <w:ind w:firstLine="480"/>
    </w:pPr>
    <w:rPr>
      <w:rFonts w:ascii="宋体" w:hAnsi="宋体" w:eastAsia="宋体"/>
      <w:sz w:val="24"/>
      <w:szCs w:val="24"/>
    </w:rPr>
  </w:style>
  <w:style w:type="character" w:customStyle="1" w:styleId="252">
    <w:name w:val="fontborder"/>
    <w:qFormat/>
    <w:uiPriority w:val="0"/>
  </w:style>
  <w:style w:type="character" w:customStyle="1" w:styleId="253">
    <w:name w:val="bds_nopic"/>
    <w:qFormat/>
    <w:uiPriority w:val="0"/>
  </w:style>
  <w:style w:type="character" w:customStyle="1" w:styleId="254">
    <w:name w:val="bds_nopic1"/>
    <w:qFormat/>
    <w:uiPriority w:val="0"/>
  </w:style>
  <w:style w:type="character" w:customStyle="1" w:styleId="255">
    <w:name w:val="Plain Text Char Char"/>
    <w:link w:val="256"/>
    <w:qFormat/>
    <w:uiPriority w:val="0"/>
    <w:rPr>
      <w:rFonts w:ascii="宋体" w:hAnsi="Courier New" w:eastAsia="楷体_GB2312"/>
      <w:sz w:val="26"/>
      <w:lang w:val="en-US" w:eastAsia="zh-CN" w:bidi="ar-SA"/>
    </w:rPr>
  </w:style>
  <w:style w:type="paragraph" w:customStyle="1" w:styleId="256">
    <w:name w:val="纯文本2"/>
    <w:basedOn w:val="1"/>
    <w:link w:val="255"/>
    <w:qFormat/>
    <w:uiPriority w:val="0"/>
    <w:rPr>
      <w:rFonts w:ascii="宋体" w:hAnsi="Courier New"/>
    </w:rPr>
  </w:style>
  <w:style w:type="character" w:customStyle="1" w:styleId="257">
    <w:name w:val="bds_more2"/>
    <w:qFormat/>
    <w:uiPriority w:val="0"/>
  </w:style>
  <w:style w:type="character" w:customStyle="1" w:styleId="258">
    <w:name w:val="font12"/>
    <w:qFormat/>
    <w:uiPriority w:val="0"/>
    <w:rPr>
      <w:rFonts w:hint="eastAsia" w:ascii="宋体" w:hAnsi="宋体" w:eastAsia="宋体" w:cs="宋体"/>
      <w:b/>
      <w:color w:val="000000"/>
      <w:sz w:val="20"/>
      <w:szCs w:val="20"/>
      <w:u w:val="none"/>
    </w:rPr>
  </w:style>
  <w:style w:type="character" w:customStyle="1" w:styleId="259">
    <w:name w:val="font51"/>
    <w:qFormat/>
    <w:uiPriority w:val="0"/>
    <w:rPr>
      <w:rFonts w:hint="eastAsia" w:ascii="宋体" w:hAnsi="宋体" w:eastAsia="宋体" w:cs="宋体"/>
      <w:b/>
      <w:color w:val="000000"/>
      <w:sz w:val="24"/>
      <w:szCs w:val="24"/>
      <w:u w:val="none"/>
    </w:rPr>
  </w:style>
  <w:style w:type="character" w:customStyle="1" w:styleId="260">
    <w:name w:val="font112"/>
    <w:qFormat/>
    <w:uiPriority w:val="0"/>
    <w:rPr>
      <w:rFonts w:hint="eastAsia" w:ascii="宋体" w:hAnsi="宋体" w:eastAsia="宋体" w:cs="宋体"/>
      <w:color w:val="000000"/>
      <w:sz w:val="20"/>
      <w:szCs w:val="20"/>
      <w:u w:val="none"/>
    </w:rPr>
  </w:style>
  <w:style w:type="character" w:customStyle="1" w:styleId="261">
    <w:name w:val="正文首行缩进 2 Char1"/>
    <w:qFormat/>
    <w:uiPriority w:val="0"/>
  </w:style>
  <w:style w:type="character" w:customStyle="1" w:styleId="262">
    <w:name w:val="font111"/>
    <w:qFormat/>
    <w:uiPriority w:val="0"/>
    <w:rPr>
      <w:rFonts w:hint="eastAsia" w:ascii="宋体" w:hAnsi="宋体" w:eastAsia="宋体" w:cs="宋体"/>
      <w:color w:val="000000"/>
      <w:sz w:val="20"/>
      <w:szCs w:val="20"/>
      <w:u w:val="none"/>
    </w:rPr>
  </w:style>
  <w:style w:type="paragraph" w:customStyle="1" w:styleId="263">
    <w:name w:val="p18"/>
    <w:basedOn w:val="1"/>
    <w:qFormat/>
    <w:uiPriority w:val="0"/>
    <w:pPr>
      <w:widowControl/>
      <w:ind w:firstLine="420"/>
      <w:jc w:val="left"/>
    </w:pPr>
    <w:rPr>
      <w:rFonts w:eastAsia="宋体"/>
      <w:sz w:val="24"/>
      <w:szCs w:val="24"/>
    </w:rPr>
  </w:style>
  <w:style w:type="paragraph" w:customStyle="1" w:styleId="264">
    <w:name w:val="纯文本21"/>
    <w:basedOn w:val="1"/>
    <w:qFormat/>
    <w:uiPriority w:val="0"/>
    <w:rPr>
      <w:rFonts w:ascii="宋体" w:hAnsi="Courier New"/>
    </w:rPr>
  </w:style>
  <w:style w:type="paragraph" w:customStyle="1" w:styleId="265">
    <w:name w:val="Andy_正文"/>
    <w:basedOn w:val="1"/>
    <w:next w:val="31"/>
    <w:qFormat/>
    <w:uiPriority w:val="0"/>
    <w:pPr>
      <w:spacing w:line="360" w:lineRule="auto"/>
      <w:ind w:firstLine="480"/>
    </w:pPr>
    <w:rPr>
      <w:rFonts w:ascii="Calibri"/>
      <w:sz w:val="24"/>
    </w:rPr>
  </w:style>
  <w:style w:type="paragraph" w:customStyle="1" w:styleId="266">
    <w:name w:val="Char Char4"/>
    <w:basedOn w:val="1"/>
    <w:next w:val="1"/>
    <w:qFormat/>
    <w:uiPriority w:val="0"/>
    <w:pPr>
      <w:shd w:val="clear" w:color="auto" w:fill="000080"/>
      <w:spacing w:line="360" w:lineRule="auto"/>
    </w:pPr>
  </w:style>
  <w:style w:type="paragraph" w:customStyle="1" w:styleId="267">
    <w:name w:val="TableOfAuthoring"/>
    <w:basedOn w:val="1"/>
    <w:next w:val="1"/>
    <w:qFormat/>
    <w:uiPriority w:val="0"/>
    <w:pPr>
      <w:ind w:left="420"/>
    </w:pPr>
    <w:rPr>
      <w:rFonts w:ascii="Calibri" w:hAnsi="Calibri"/>
      <w:szCs w:val="24"/>
    </w:rPr>
  </w:style>
  <w:style w:type="paragraph" w:customStyle="1" w:styleId="268">
    <w:name w:val="正文缩进111"/>
    <w:basedOn w:val="1"/>
    <w:next w:val="1"/>
    <w:qFormat/>
    <w:uiPriority w:val="0"/>
    <w:pPr>
      <w:ind w:firstLine="420"/>
      <w:jc w:val="left"/>
    </w:pPr>
    <w:rPr>
      <w:sz w:val="24"/>
    </w:rPr>
  </w:style>
  <w:style w:type="paragraph" w:customStyle="1" w:styleId="269">
    <w:name w:val="表格字体"/>
    <w:basedOn w:val="1"/>
    <w:qFormat/>
    <w:uiPriority w:val="0"/>
    <w:pPr>
      <w:widowControl/>
      <w:spacing w:line="400" w:lineRule="exact"/>
    </w:pPr>
    <w:rPr>
      <w:rFonts w:hint="eastAsia" w:cs="宋体"/>
      <w:bCs/>
      <w:color w:val="000000"/>
      <w:sz w:val="24"/>
      <w:szCs w:val="18"/>
    </w:rPr>
  </w:style>
  <w:style w:type="paragraph" w:customStyle="1" w:styleId="270">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1">
    <w:name w:val="Char"/>
    <w:basedOn w:val="1"/>
    <w:qFormat/>
    <w:uiPriority w:val="0"/>
    <w:rPr>
      <w:rFonts w:ascii="Tahoma" w:hAnsi="Tahoma" w:eastAsia="宋体"/>
      <w:sz w:val="24"/>
    </w:rPr>
  </w:style>
  <w:style w:type="paragraph" w:customStyle="1" w:styleId="272">
    <w:name w:val="03 正文"/>
    <w:basedOn w:val="1"/>
    <w:qFormat/>
    <w:uiPriority w:val="0"/>
    <w:pPr>
      <w:widowControl/>
      <w:spacing w:line="500" w:lineRule="atLeast"/>
      <w:ind w:firstLine="420"/>
    </w:pPr>
    <w:rPr>
      <w:szCs w:val="22"/>
    </w:rPr>
  </w:style>
  <w:style w:type="paragraph" w:customStyle="1" w:styleId="273">
    <w:name w:val="正文 A"/>
    <w:qFormat/>
    <w:uiPriority w:val="0"/>
    <w:pPr>
      <w:framePr w:wrap="around" w:vAnchor="margin" w:hAnchor="text" w:yAlign="top"/>
      <w:widowControl w:val="0"/>
      <w:jc w:val="both"/>
    </w:pPr>
    <w:rPr>
      <w:rFonts w:hint="default" w:ascii="Times New Roman" w:hAnsi="Arial Unicode MS" w:eastAsia="Arial Unicode MS" w:cs="Arial Unicode MS"/>
      <w:color w:val="000000"/>
      <w:sz w:val="21"/>
      <w:szCs w:val="21"/>
      <w:lang w:val="en-US" w:eastAsia="zh-CN" w:bidi="ar-SA"/>
    </w:rPr>
  </w:style>
  <w:style w:type="paragraph" w:customStyle="1" w:styleId="274">
    <w:name w:val="列出段落11"/>
    <w:basedOn w:val="1"/>
    <w:qFormat/>
    <w:uiPriority w:val="34"/>
    <w:pPr>
      <w:ind w:firstLine="420"/>
    </w:pPr>
    <w:rPr>
      <w:rFonts w:ascii="Calibri" w:hAnsi="Calibri" w:eastAsia="宋体"/>
    </w:rPr>
  </w:style>
  <w:style w:type="paragraph" w:customStyle="1" w:styleId="275">
    <w:name w:val="Style1"/>
    <w:basedOn w:val="1"/>
    <w:qFormat/>
    <w:uiPriority w:val="0"/>
    <w:pPr>
      <w:tabs>
        <w:tab w:val="left" w:pos="-720"/>
      </w:tabs>
    </w:pPr>
    <w:rPr>
      <w:spacing w:val="-3"/>
      <w:sz w:val="24"/>
      <w:szCs w:val="24"/>
      <w:lang w:val="en-AU" w:eastAsia="en-US"/>
    </w:rPr>
  </w:style>
  <w:style w:type="paragraph" w:styleId="276">
    <w:name w:val="List Paragraph"/>
    <w:basedOn w:val="1"/>
    <w:next w:val="277"/>
    <w:qFormat/>
    <w:uiPriority w:val="0"/>
    <w:pPr>
      <w:ind w:firstLine="420"/>
    </w:pPr>
  </w:style>
  <w:style w:type="paragraph" w:customStyle="1" w:styleId="277">
    <w:name w:val="xl91"/>
    <w:basedOn w:val="3"/>
    <w:next w:val="278"/>
    <w:qFormat/>
    <w:uiPriority w:val="0"/>
    <w:pPr>
      <w:spacing w:before="280" w:after="280" w:line="240" w:lineRule="auto"/>
      <w:ind w:firstLine="3584"/>
    </w:pPr>
  </w:style>
  <w:style w:type="paragraph" w:customStyle="1" w:styleId="278">
    <w:name w:val="xl76"/>
    <w:basedOn w:val="3"/>
    <w:next w:val="45"/>
    <w:qFormat/>
    <w:uiPriority w:val="0"/>
    <w:pPr>
      <w:spacing w:before="280" w:after="280" w:line="240" w:lineRule="auto"/>
      <w:ind w:firstLine="3584"/>
      <w:jc w:val="center"/>
    </w:pPr>
  </w:style>
  <w:style w:type="paragraph" w:customStyle="1" w:styleId="279">
    <w:name w:val="目录 21"/>
    <w:next w:val="1"/>
    <w:qFormat/>
    <w:uiPriority w:val="0"/>
    <w:pPr>
      <w:jc w:val="both"/>
    </w:pPr>
    <w:rPr>
      <w:rFonts w:hint="default" w:ascii="Times New Roman" w:hAnsi="Times New Roman" w:eastAsia="宋体" w:cs="Times New Roman"/>
      <w:sz w:val="21"/>
      <w:lang w:val="en-US" w:eastAsia="zh-CN" w:bidi="ar-SA"/>
    </w:rPr>
  </w:style>
  <w:style w:type="paragraph" w:customStyle="1" w:styleId="280">
    <w:name w:val="正文1"/>
    <w:basedOn w:val="1"/>
    <w:next w:val="1"/>
    <w:qFormat/>
    <w:uiPriority w:val="0"/>
    <w:pPr>
      <w:spacing w:before="120" w:line="360" w:lineRule="auto"/>
      <w:ind w:left="420" w:firstLine="527"/>
    </w:pPr>
    <w:rPr>
      <w:rFonts w:ascii="宋体" w:hAnsi="宋体"/>
    </w:rPr>
  </w:style>
  <w:style w:type="paragraph" w:customStyle="1" w:styleId="281">
    <w:name w:val="_Style 11"/>
    <w:basedOn w:val="2"/>
    <w:next w:val="50"/>
    <w:unhideWhenUsed/>
    <w:qFormat/>
    <w:uiPriority w:val="0"/>
    <w:pPr>
      <w:spacing w:line="360" w:lineRule="exact"/>
      <w:ind w:firstLine="420"/>
    </w:pPr>
    <w:rPr>
      <w:rFonts w:ascii="Times New Roman"/>
    </w:rPr>
  </w:style>
  <w:style w:type="paragraph" w:customStyle="1" w:styleId="282">
    <w:name w:val="正文首行缩进两字符"/>
    <w:basedOn w:val="1"/>
    <w:qFormat/>
    <w:uiPriority w:val="0"/>
    <w:pPr>
      <w:spacing w:line="360" w:lineRule="auto"/>
      <w:ind w:firstLine="200"/>
    </w:pPr>
    <w:rPr>
      <w:rFonts w:eastAsia="宋体"/>
      <w:sz w:val="21"/>
      <w:szCs w:val="24"/>
    </w:rPr>
  </w:style>
  <w:style w:type="paragraph" w:customStyle="1" w:styleId="283">
    <w:name w:val="_Style 1"/>
    <w:basedOn w:val="1"/>
    <w:qFormat/>
    <w:uiPriority w:val="34"/>
    <w:pPr>
      <w:ind w:firstLine="420"/>
    </w:pPr>
  </w:style>
  <w:style w:type="paragraph" w:customStyle="1" w:styleId="284">
    <w:name w:val="Plain Text1"/>
    <w:basedOn w:val="1"/>
    <w:qFormat/>
    <w:uiPriority w:val="0"/>
    <w:rPr>
      <w:rFonts w:hint="eastAsia" w:ascii="宋体" w:hAnsi="Courier New"/>
    </w:rPr>
  </w:style>
  <w:style w:type="paragraph" w:customStyle="1" w:styleId="285">
    <w:name w:val="Default"/>
    <w:qFormat/>
    <w:uiPriority w:val="99"/>
    <w:pPr>
      <w:widowControl w:val="0"/>
      <w:ind w:firstLine="5120"/>
    </w:pPr>
    <w:rPr>
      <w:rFonts w:hint="default" w:ascii="Calibri" w:hAnsi="Calibri" w:eastAsia="宋体" w:cs="宋体"/>
      <w:sz w:val="21"/>
      <w:szCs w:val="22"/>
      <w:lang w:val="en-US" w:eastAsia="zh-CN" w:bidi="ar-SA"/>
    </w:rPr>
  </w:style>
  <w:style w:type="paragraph" w:customStyle="1" w:styleId="2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87">
    <w:name w:val="正文文本缩进11"/>
    <w:basedOn w:val="1"/>
    <w:next w:val="1"/>
    <w:qFormat/>
    <w:uiPriority w:val="0"/>
    <w:pPr>
      <w:ind w:firstLine="570"/>
    </w:pPr>
    <w:rPr>
      <w:rFonts w:ascii="宋体" w:eastAsia="宋体"/>
      <w:sz w:val="28"/>
    </w:rPr>
  </w:style>
  <w:style w:type="paragraph" w:customStyle="1" w:styleId="288">
    <w:name w:val="font7"/>
    <w:basedOn w:val="1"/>
    <w:qFormat/>
    <w:uiPriority w:val="0"/>
    <w:pPr>
      <w:widowControl/>
      <w:spacing w:before="100" w:beforeAutospacing="1" w:after="100" w:afterAutospacing="1"/>
      <w:jc w:val="left"/>
    </w:pPr>
    <w:rPr>
      <w:rFonts w:eastAsia="宋体"/>
      <w:sz w:val="20"/>
    </w:rPr>
  </w:style>
  <w:style w:type="paragraph" w:customStyle="1" w:styleId="289">
    <w:name w:val="_Style 27"/>
    <w:basedOn w:val="1"/>
    <w:next w:val="276"/>
    <w:qFormat/>
    <w:uiPriority w:val="34"/>
    <w:pPr>
      <w:ind w:firstLine="420"/>
    </w:pPr>
    <w:rPr>
      <w:szCs w:val="22"/>
    </w:rPr>
  </w:style>
  <w:style w:type="paragraph" w:customStyle="1" w:styleId="290">
    <w:name w:val="p0"/>
    <w:basedOn w:val="1"/>
    <w:qFormat/>
    <w:uiPriority w:val="0"/>
    <w:pPr>
      <w:widowControl/>
      <w:jc w:val="left"/>
    </w:pPr>
    <w:rPr>
      <w:rFonts w:eastAsia="宋体"/>
      <w:sz w:val="24"/>
      <w:szCs w:val="24"/>
    </w:rPr>
  </w:style>
  <w:style w:type="character" w:customStyle="1" w:styleId="291">
    <w:name w:val="15"/>
    <w:qFormat/>
    <w:uiPriority w:val="0"/>
    <w:rPr>
      <w:rFonts w:hint="default" w:ascii="Times New Roman" w:hAnsi="Times New Roman" w:cs="Times New Roman"/>
      <w:b/>
    </w:rPr>
  </w:style>
  <w:style w:type="paragraph" w:customStyle="1" w:styleId="292">
    <w:name w:val="列出段落3"/>
    <w:basedOn w:val="1"/>
    <w:next w:val="293"/>
    <w:qFormat/>
    <w:uiPriority w:val="34"/>
    <w:pPr>
      <w:ind w:firstLine="420"/>
    </w:pPr>
  </w:style>
  <w:style w:type="paragraph" w:customStyle="1" w:styleId="293">
    <w:name w:val="索引 11"/>
    <w:basedOn w:val="1"/>
    <w:next w:val="1"/>
    <w:qFormat/>
    <w:uiPriority w:val="0"/>
  </w:style>
  <w:style w:type="paragraph" w:customStyle="1" w:styleId="294">
    <w:name w:val="TableOfAuthoring1"/>
    <w:basedOn w:val="1"/>
    <w:next w:val="1"/>
    <w:qFormat/>
    <w:uiPriority w:val="0"/>
    <w:pPr>
      <w:ind w:left="420"/>
    </w:pPr>
    <w:rPr>
      <w:rFonts w:ascii="Calibri" w:hAnsi="Calibri"/>
      <w:szCs w:val="24"/>
    </w:rPr>
  </w:style>
  <w:style w:type="character" w:customStyle="1" w:styleId="295">
    <w:name w:val="font31"/>
    <w:basedOn w:val="54"/>
    <w:qFormat/>
    <w:uiPriority w:val="0"/>
    <w:rPr>
      <w:rFonts w:hint="default" w:ascii="Times New Roman" w:hAnsi="Times New Roman" w:cs="Times New Roman"/>
      <w:color w:val="000000"/>
      <w:sz w:val="24"/>
      <w:szCs w:val="24"/>
      <w:u w:val="none"/>
    </w:rPr>
  </w:style>
  <w:style w:type="paragraph" w:customStyle="1" w:styleId="296">
    <w:name w:val="Plain Text"/>
    <w:basedOn w:val="1"/>
    <w:qFormat/>
    <w:uiPriority w:val="0"/>
    <w:pPr>
      <w:adjustRightInd w:val="0"/>
      <w:textAlignment w:val="baseline"/>
    </w:pPr>
    <w:rPr>
      <w:rFonts w:ascii="宋体" w:hAnsi="Courier New"/>
    </w:rPr>
  </w:style>
  <w:style w:type="paragraph" w:customStyle="1" w:styleId="297">
    <w:name w:val="批注文字1"/>
    <w:basedOn w:val="1"/>
    <w:qFormat/>
    <w:uiPriority w:val="0"/>
    <w:pPr>
      <w:widowControl/>
      <w:shd w:val="clear" w:color="auto" w:fill="FFFFFF"/>
      <w:spacing w:line="560" w:lineRule="exact"/>
      <w:ind w:firstLine="627" w:firstLineChars="200"/>
      <w:jc w:val="left"/>
    </w:pPr>
    <w:rPr>
      <w:rFonts w:ascii="仿宋_GB2312" w:hAnsi="仿宋_GB2312" w:eastAsia="宋体" w:cs="仿宋_GB2312"/>
      <w:color w:val="0F1115"/>
      <w:sz w:val="24"/>
      <w:szCs w:val="40"/>
      <w:shd w:val="clear" w:color="auto" w:fill="FFFFFF"/>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96526-FE97-4964-BEE6-0D1F2CCA4AE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17601</Words>
  <Characters>18792</Characters>
  <TotalTime>22</TotalTime>
  <ScaleCrop>false</ScaleCrop>
  <LinksUpToDate>false</LinksUpToDate>
  <CharactersWithSpaces>19311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2025-09-03T03:15:00Z</dcterms:created>
  <dc:creator>wei</dc:creator>
  <cp:lastModifiedBy>诚信金泰建设管理（苏州）有限公司</cp:lastModifiedBy>
  <dcterms:modified xsi:type="dcterms:W3CDTF">2026-05-15T06:18:33Z</dcterms:modified>
  <dc:title>苏  州  政  府  采  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433B4B3599474906BBC815571C353843_13</vt:lpwstr>
  </property>
  <property fmtid="{D5CDD505-2E9C-101B-9397-08002B2CF9AE}" pid="4" name="KSOTemplateDocerSaveRecord">
    <vt:lpwstr>eyJoZGlkIjoiNjE0ZTgyMDUwYmUwZmM1YThiMmY2YzA4NmFkZDllZDIiLCJ1c2VySWQiOiI3MDgyNTg5NDUifQ==</vt:lpwstr>
  </property>
</Properties>
</file>