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ind w:firstLine="0"/>
        <w:rPr>
          <w:rFonts w:hint="eastAsia" w:ascii="方正仿宋_GBK" w:hAnsi="方正仿宋_GBK" w:eastAsia="方正仿宋_GBK" w:cs="方正仿宋_GBK"/>
          <w:b/>
          <w:bCs/>
          <w:sz w:val="84"/>
          <w:highlight w:val="none"/>
        </w:rPr>
      </w:pPr>
      <w:r>
        <w:rPr>
          <w:rFonts w:hint="eastAsia" w:ascii="方正仿宋_GBK" w:hAnsi="方正仿宋_GBK" w:eastAsia="方正仿宋_GBK" w:cs="方正仿宋_GBK"/>
          <w:b/>
          <w:bCs/>
          <w:sz w:val="84"/>
          <w:highlight w:val="none"/>
        </w:rPr>
      </w:r>
      <w:r/>
    </w:p>
    <w:p>
      <w:pPr>
        <w:pStyle w:val="1057"/>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1057"/>
        <w:ind w:firstLine="0"/>
        <w:rPr>
          <w:rFonts w:hint="eastAsia"/>
          <w:b/>
          <w:bCs/>
          <w:sz w:val="32"/>
          <w:highlight w:val="none"/>
        </w:rPr>
      </w:pPr>
      <w:r>
        <w:rPr>
          <w:rFonts w:hint="eastAsia"/>
          <w:b/>
          <w:bCs/>
          <w:sz w:val="32"/>
          <w:highlight w:val="none"/>
        </w:rPr>
      </w:r>
      <w:r/>
    </w:p>
    <w:p>
      <w:pPr>
        <w:pStyle w:val="1057"/>
        <w:ind w:firstLine="0"/>
        <w:rPr>
          <w:rFonts w:hint="eastAsia"/>
          <w:b/>
          <w:bCs/>
          <w:sz w:val="32"/>
          <w:highlight w:val="none"/>
        </w:rPr>
      </w:pPr>
      <w:r>
        <w:rPr>
          <w:rFonts w:hint="eastAsia"/>
          <w:b/>
          <w:bCs/>
          <w:sz w:val="32"/>
          <w:highlight w:val="none"/>
        </w:rPr>
      </w:r>
      <w:r/>
    </w:p>
    <w:p>
      <w:pPr>
        <w:pStyle w:val="1057"/>
        <w:ind w:firstLine="0"/>
        <w:rPr>
          <w:rFonts w:hint="eastAsia" w:eastAsia="宋体"/>
          <w:b/>
          <w:bCs/>
          <w:sz w:val="32"/>
          <w:highlight w:val="none"/>
          <w:lang w:eastAsia="zh-CN"/>
        </w:rPr>
      </w:pPr>
      <w:r>
        <w:rPr>
          <w:rFonts w:hint="eastAsia"/>
          <w:b/>
          <w:bCs/>
          <w:sz w:val="32"/>
          <w:highlight w:val="none"/>
        </w:rPr>
        <w:t xml:space="preserve">项目名称：</w:t>
      </w:r>
      <w:r>
        <w:rPr>
          <w:rFonts w:hint="eastAsia"/>
          <w:b/>
          <w:bCs/>
          <w:sz w:val="32"/>
          <w:highlight w:val="none"/>
          <w:lang w:eastAsia="zh-CN"/>
        </w:rPr>
        <w:t xml:space="preserve">南通市城市照明管理处路灯主材（幸余路灯杆灯具）（重新采购）</w:t>
      </w:r>
      <w:r>
        <w:rPr>
          <w:rFonts w:hint="eastAsia" w:eastAsia="宋体"/>
          <w:b/>
          <w:bCs/>
          <w:sz w:val="32"/>
          <w:highlight w:val="none"/>
          <w:lang w:eastAsia="zh-CN"/>
        </w:rPr>
      </w:r>
      <w:r/>
    </w:p>
    <w:p>
      <w:pPr>
        <w:pStyle w:val="1057"/>
        <w:ind w:firstLine="0"/>
        <w:rPr>
          <w:rFonts w:hint="eastAsia" w:eastAsia="宋体"/>
          <w:b/>
          <w:bCs/>
          <w:sz w:val="32"/>
          <w:highlight w:val="none"/>
          <w:lang w:eastAsia="zh-CN"/>
        </w:rPr>
      </w:pPr>
      <w:r>
        <w:rPr>
          <w:rFonts w:hint="eastAsia"/>
          <w:b/>
          <w:bCs/>
          <w:sz w:val="32"/>
          <w:highlight w:val="none"/>
        </w:rPr>
        <w:t xml:space="preserve">项目编号：</w:t>
      </w:r>
      <w:r>
        <w:rPr>
          <w:rFonts w:hint="eastAsia"/>
          <w:b/>
          <w:bCs/>
          <w:sz w:val="32"/>
          <w:highlight w:val="none"/>
          <w:lang w:eastAsia="zh-CN"/>
        </w:rPr>
        <w:t xml:space="preserve">JSZC-320600-XXDF-G2026-0009</w:t>
      </w:r>
      <w:r>
        <w:rPr>
          <w:rFonts w:hint="eastAsia" w:eastAsia="宋体"/>
          <w:b/>
          <w:bCs/>
          <w:sz w:val="32"/>
          <w:highlight w:val="none"/>
          <w:lang w:eastAsia="zh-CN"/>
        </w:rPr>
      </w:r>
      <w:r/>
    </w:p>
    <w:p>
      <w:pPr>
        <w:pStyle w:val="967"/>
        <w:rPr>
          <w:rFonts w:hint="eastAsia"/>
          <w:b/>
          <w:sz w:val="30"/>
          <w:szCs w:val="30"/>
          <w:highlight w:val="none"/>
        </w:rPr>
      </w:pPr>
      <w:r>
        <w:rPr>
          <w:rFonts w:hint="eastAsia"/>
          <w:b/>
          <w:sz w:val="30"/>
          <w:szCs w:val="30"/>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1057"/>
        <w:ind w:firstLine="0"/>
        <w:spacing w:before="0" w:after="0"/>
        <w:rPr>
          <w:rFonts w:hint="eastAsia" w:ascii="宋体" w:hAnsi="宋体"/>
          <w:highlight w:val="none"/>
        </w:rPr>
      </w:pPr>
      <w:r>
        <w:rPr>
          <w:rFonts w:hint="eastAsia" w:ascii="宋体" w:hAnsi="宋体"/>
          <w:highlight w:val="none"/>
        </w:rPr>
      </w:r>
      <w:r/>
    </w:p>
    <w:p>
      <w:pPr>
        <w:pStyle w:val="967"/>
        <w:ind w:left="3205" w:hanging="1928"/>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采 购 人： </w:t>
      </w:r>
      <w:r>
        <w:rPr>
          <w:rFonts w:hint="eastAsia" w:ascii="宋体" w:hAnsi="宋体" w:cs="宋体"/>
          <w:b/>
          <w:bCs/>
          <w:sz w:val="32"/>
          <w:szCs w:val="32"/>
          <w:highlight w:val="none"/>
          <w:u w:val="single"/>
        </w:rPr>
        <w:t xml:space="preserve">南通市城市照明管理处</w:t>
      </w:r>
      <w:r>
        <w:rPr>
          <w:rFonts w:hint="eastAsia" w:ascii="宋体" w:hAnsi="宋体" w:cs="宋体"/>
          <w:b/>
          <w:bCs/>
          <w:sz w:val="32"/>
          <w:szCs w:val="32"/>
          <w:highlight w:val="none"/>
          <w:u w:val="single"/>
        </w:rPr>
      </w:r>
      <w:r/>
    </w:p>
    <w:p>
      <w:pPr>
        <w:pStyle w:val="967"/>
        <w:ind w:firstLine="1285"/>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代理机构： </w:t>
      </w:r>
      <w:r>
        <w:rPr>
          <w:rFonts w:hint="eastAsia" w:ascii="宋体" w:hAnsi="宋体" w:cs="宋体"/>
          <w:b/>
          <w:bCs/>
          <w:sz w:val="32"/>
          <w:szCs w:val="32"/>
          <w:highlight w:val="none"/>
          <w:u w:val="single"/>
        </w:rPr>
        <w:t xml:space="preserve">江苏新东方工程管理咨询有限公司</w:t>
      </w:r>
      <w:r>
        <w:rPr>
          <w:rFonts w:hint="eastAsia" w:ascii="宋体" w:hAnsi="宋体" w:cs="宋体"/>
          <w:b/>
          <w:bCs/>
          <w:sz w:val="32"/>
          <w:szCs w:val="32"/>
          <w:highlight w:val="none"/>
        </w:rPr>
      </w:r>
      <w:r/>
    </w:p>
    <w:p>
      <w:pPr>
        <w:pStyle w:val="967"/>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t xml:space="preserve">二〇二六年</w:t>
      </w:r>
      <w:r>
        <w:rPr>
          <w:rFonts w:hint="eastAsia" w:ascii="宋体" w:hAnsi="宋体" w:cs="宋体"/>
          <w:b/>
          <w:sz w:val="36"/>
          <w:szCs w:val="36"/>
          <w:highlight w:val="none"/>
          <w:lang w:eastAsia="zh-CN"/>
        </w:rPr>
        <w:t xml:space="preserve">四</w:t>
      </w:r>
      <w:r>
        <w:rPr>
          <w:rFonts w:hint="eastAsia" w:ascii="宋体" w:hAnsi="宋体" w:cs="宋体"/>
          <w:b/>
          <w:sz w:val="36"/>
          <w:szCs w:val="36"/>
          <w:highlight w:val="none"/>
        </w:rPr>
        <w:t xml:space="preserve">月 </w:t>
      </w:r>
      <w:r>
        <w:rPr>
          <w:rFonts w:hint="eastAsia" w:ascii="宋体" w:hAnsi="宋体" w:cs="宋体"/>
          <w:b/>
          <w:sz w:val="36"/>
          <w:szCs w:val="36"/>
          <w:highlight w:val="none"/>
        </w:rPr>
      </w:r>
      <w:r/>
    </w:p>
    <w:p>
      <w:pPr>
        <w:pStyle w:val="1057"/>
        <w:ind w:firstLine="0"/>
        <w:rPr>
          <w:rFonts w:hint="eastAsia"/>
          <w:highlight w:val="none"/>
          <w:u w:val="single"/>
        </w:rPr>
      </w:pPr>
      <w:r>
        <w:rPr>
          <w:rFonts w:hint="eastAsia"/>
          <w:highlight w:val="none"/>
          <w:u w:val="single"/>
        </w:rPr>
      </w:r>
      <w:r/>
    </w:p>
    <w:p>
      <w:pPr>
        <w:pStyle w:val="1057"/>
        <w:ind w:firstLine="0"/>
        <w:rPr>
          <w:rFonts w:hint="eastAsia"/>
          <w:highlight w:val="none"/>
        </w:rPr>
      </w:pPr>
      <w:r>
        <w:rPr>
          <w:rFonts w:hint="eastAsia"/>
          <w:highlight w:val="none"/>
        </w:rPr>
      </w:r>
      <w:r/>
    </w:p>
    <w:p>
      <w:pPr>
        <w:pStyle w:val="967"/>
        <w:jc w:val="center"/>
        <w:spacing w:line="480" w:lineRule="auto"/>
        <w:rPr>
          <w:rFonts w:hint="eastAsia"/>
          <w:highlight w:val="none"/>
        </w:rPr>
        <w:sectPr>
          <w:footerReference w:type="default" r:id="rId10"/>
          <w:footnotePr/>
          <w:endnotePr/>
          <w:type w:val="nextPage"/>
          <w:pgSz w:w="11906" w:h="16839" w:orient="portrait"/>
          <w:pgMar w:top="1431" w:right="1719" w:bottom="1153" w:left="1700" w:header="0" w:footer="994" w:gutter="0"/>
          <w:cols w:num="1" w:sep="0" w:space="1701" w:equalWidth="1"/>
          <w:docGrid w:linePitch="360"/>
        </w:sect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highlight w:val="none"/>
        </w:rPr>
      </w:r>
      <w:r/>
    </w:p>
    <w:p>
      <w:pPr>
        <w:pStyle w:val="967"/>
        <w:jc w:val="center"/>
        <w:spacing w:line="480" w:lineRule="auto"/>
        <w:rPr>
          <w:rFonts w:hint="eastAsia" w:ascii="黑体" w:hAnsi="Arial" w:eastAsia="黑体"/>
          <w:b/>
          <w:sz w:val="44"/>
          <w:highlight w:val="none"/>
        </w:rPr>
        <w:outlineLvl w:val="0"/>
      </w:pPr>
      <w:r>
        <w:rPr>
          <w:rFonts w:hint="eastAsia"/>
          <w:highlight w:val="none"/>
        </w:rPr>
        <w:t xml:space="preserve"> </w:t>
      </w:r>
      <w:r>
        <w:rPr>
          <w:rFonts w:hint="eastAsia" w:ascii="黑体" w:hAnsi="Arial" w:eastAsia="黑体"/>
          <w:b/>
          <w:sz w:val="44"/>
          <w:highlight w:val="none"/>
        </w:rPr>
        <w:t xml:space="preserve">总  目  录</w:t>
      </w:r>
      <w:r>
        <w:rPr>
          <w:rFonts w:hint="eastAsia" w:ascii="黑体" w:hAnsi="Arial" w:eastAsia="黑体"/>
          <w:b/>
          <w:sz w:val="44"/>
          <w:highlight w:val="none"/>
        </w:rPr>
      </w:r>
      <w:r/>
    </w:p>
    <w:p>
      <w:pPr>
        <w:pStyle w:val="967"/>
        <w:spacing w:line="480" w:lineRule="auto"/>
        <w:rPr>
          <w:rFonts w:hint="eastAsia" w:ascii="方正仿宋_GB2312" w:hAnsi="Arial" w:eastAsia="方正仿宋_GB2312"/>
          <w:b/>
          <w:sz w:val="28"/>
          <w:highlight w:val="none"/>
        </w:rPr>
      </w:pPr>
      <w:r>
        <w:rPr>
          <w:rFonts w:hint="eastAsia" w:ascii="方正仿宋_GB2312" w:hAnsi="Arial" w:eastAsia="方正仿宋_GB2312"/>
          <w:b/>
          <w:sz w:val="28"/>
          <w:highlight w:val="none"/>
        </w:rPr>
      </w:r>
      <w:r/>
    </w:p>
    <w:p>
      <w:pPr>
        <w:pStyle w:val="967"/>
        <w:numPr>
          <w:ilvl w:val="0"/>
          <w:numId w:val="4"/>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……………………………………2</w:t>
      </w:r>
      <w:r>
        <w:rPr>
          <w:rFonts w:hint="eastAsia" w:ascii="黑体" w:hAnsi="Showcard Gothic" w:eastAsia="黑体"/>
          <w:sz w:val="32"/>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………………………………6</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……………………………………20</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……………………………………23</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………………………34</w:t>
      </w:r>
      <w:r>
        <w:rPr>
          <w:rFonts w:hint="eastAsia" w:ascii="黑体" w:hAnsi="Showcard Gothic" w:eastAsia="黑体"/>
          <w:sz w:val="36"/>
          <w:highlight w:val="none"/>
        </w:rPr>
      </w:r>
      <w:r/>
    </w:p>
    <w:p>
      <w:pPr>
        <w:pStyle w:val="967"/>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………………………………43</w:t>
      </w:r>
      <w:r>
        <w:rPr>
          <w:rFonts w:hint="eastAsia" w:ascii="黑体" w:hAnsi="Showcard Gothic" w:eastAsia="黑体"/>
          <w:sz w:val="36"/>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sectPr>
          <w:footerReference w:type="default" r:id="rId11"/>
          <w:footnotePr/>
          <w:endnotePr/>
          <w:type w:val="nextPage"/>
          <w:pgSz w:w="11906" w:h="16839" w:orient="portrait"/>
          <w:pgMar w:top="1431" w:right="1719" w:bottom="1153" w:left="1700" w:header="0" w:footer="994" w:gutter="0"/>
          <w:pgNumType w:start="1"/>
          <w:cols w:num="1" w:sep="0" w:space="1701" w:equalWidth="1"/>
          <w:docGrid w:linePitch="360"/>
        </w:sectPr>
      </w:pPr>
      <w:r>
        <w:rPr>
          <w:rFonts w:hint="eastAsia"/>
          <w:highlight w:val="none"/>
        </w:rPr>
      </w:r>
      <w:r/>
    </w:p>
    <w:p>
      <w:pPr>
        <w:pStyle w:val="968"/>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p>
    <w:p>
      <w:pPr>
        <w:pStyle w:val="967"/>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bCs/>
          <w:sz w:val="24"/>
          <w:szCs w:val="24"/>
          <w:highlight w:val="none"/>
        </w:rPr>
        <w:t xml:space="preserve">南通市城市照明管理处</w:t>
      </w:r>
      <w:r>
        <w:rPr>
          <w:rFonts w:hint="eastAsia" w:ascii="宋体" w:hAnsi="宋体"/>
          <w:sz w:val="24"/>
          <w:szCs w:val="24"/>
          <w:highlight w:val="none"/>
        </w:rPr>
        <w:t xml:space="preserve">的委托</w:t>
      </w:r>
      <w:r>
        <w:rPr>
          <w:rFonts w:hint="eastAsia" w:ascii="宋体" w:hAnsi="宋体"/>
          <w:bCs/>
          <w:sz w:val="24"/>
          <w:szCs w:val="24"/>
          <w:highlight w:val="none"/>
        </w:rPr>
        <w:t xml:space="preserve">，江苏新东方工程管理咨询有限公司就</w:t>
      </w:r>
      <w:r>
        <w:rPr>
          <w:rFonts w:hint="eastAsia" w:ascii="宋体" w:hAnsi="宋体"/>
          <w:bCs/>
          <w:sz w:val="24"/>
          <w:szCs w:val="24"/>
          <w:highlight w:val="none"/>
          <w:u w:val="single"/>
          <w:lang w:eastAsia="zh-CN"/>
        </w:rPr>
        <w:t xml:space="preserve">南通市城市照明管理处路灯主材（幸余路灯杆灯具）（重新采购）</w:t>
      </w:r>
      <w:r>
        <w:rPr>
          <w:rFonts w:hint="eastAsia" w:ascii="宋体" w:hAnsi="宋体"/>
          <w:bCs/>
          <w:sz w:val="24"/>
          <w:szCs w:val="24"/>
          <w:highlight w:val="none"/>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JSZC-320600-XXDF-G2026-0009</w:t>
      </w:r>
      <w:r>
        <w:rPr>
          <w:rFonts w:hint="eastAsia" w:ascii="宋体" w:hAnsi="宋体"/>
          <w:sz w:val="24"/>
          <w:szCs w:val="24"/>
          <w:highlight w:val="none"/>
        </w:rPr>
        <w:t xml:space="preserve"> </w:t>
      </w:r>
      <w:r>
        <w:rPr>
          <w:rFonts w:hint="eastAsia" w:ascii="宋体" w:hAnsi="宋体"/>
          <w:bCs/>
          <w:sz w:val="24"/>
          <w:szCs w:val="24"/>
          <w:highlight w:val="none"/>
        </w:rPr>
        <w:t xml:space="preserve">)项目</w:t>
      </w:r>
      <w:r>
        <w:rPr>
          <w:rFonts w:hint="eastAsia" w:ascii="宋体" w:hAnsi="宋体"/>
          <w:sz w:val="24"/>
          <w:szCs w:val="24"/>
          <w:highlight w:val="none"/>
        </w:rPr>
        <w:t xml:space="preserve">进行公开招标采购，欢迎符合条件的投标人投标。</w:t>
      </w:r>
      <w:r>
        <w:rPr>
          <w:rFonts w:ascii="宋体" w:hAnsi="宋体"/>
          <w:sz w:val="24"/>
          <w:szCs w:val="24"/>
          <w:highlight w:val="none"/>
        </w:rPr>
      </w:r>
      <w:r/>
    </w:p>
    <w:p>
      <w:pPr>
        <w:pStyle w:val="96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6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highlight w:val="none"/>
          <w:u w:val="single"/>
          <w:lang w:eastAsia="zh-CN"/>
        </w:rPr>
        <w:t xml:space="preserve">南通市城市照明管理处路灯主材（幸余路灯杆灯具）（重新采购）</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 </w:t>
      </w:r>
      <w:r>
        <w:rPr>
          <w:rFonts w:hint="eastAsia" w:ascii="宋体" w:hAnsi="宋体"/>
          <w:bCs/>
          <w:sz w:val="24"/>
          <w:szCs w:val="24"/>
          <w:highlight w:val="none"/>
          <w:u w:val="single"/>
        </w:rPr>
        <w:t xml:space="preserve">0</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21</w:t>
      </w:r>
      <w:r>
        <w:rPr>
          <w:rFonts w:hint="eastAsia" w:ascii="宋体" w:hAnsi="宋体"/>
          <w:bCs/>
          <w:sz w:val="24"/>
          <w:szCs w:val="24"/>
          <w:highlight w:val="none"/>
          <w:u w:val="single"/>
        </w:rPr>
        <w:t xml:space="preserve">日</w:t>
      </w:r>
      <w:r>
        <w:rPr>
          <w:rFonts w:hint="eastAsia" w:ascii="宋体" w:hAnsi="宋体"/>
          <w:bCs/>
          <w:sz w:val="24"/>
          <w:szCs w:val="24"/>
          <w:highlight w:val="none"/>
          <w:u w:val="single"/>
        </w:rPr>
        <w:t xml:space="preserve">14点00分（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70"/>
        <w:spacing w:before="145" w:after="145" w:line="360" w:lineRule="auto"/>
        <w:rPr>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967"/>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JSZC-320600-XXDF-G2026-0009</w:t>
      </w:r>
      <w:r>
        <w:rPr>
          <w:rFonts w:hint="eastAsia" w:ascii="宋体" w:hAnsi="宋体" w:eastAsia="宋体"/>
          <w:sz w:val="24"/>
          <w:szCs w:val="24"/>
          <w:highlight w:val="none"/>
          <w:lang w:eastAsia="zh-CN"/>
        </w:rPr>
      </w:r>
      <w:r/>
    </w:p>
    <w:p>
      <w:pPr>
        <w:pStyle w:val="967"/>
        <w:ind w:firstLine="480"/>
        <w:spacing w:line="360" w:lineRule="auto"/>
        <w:rPr>
          <w:rFonts w:hint="eastAsia" w:ascii="宋体" w:hAnsi="宋体" w:eastAsia="宋体"/>
          <w:bCs/>
          <w:sz w:val="24"/>
          <w:szCs w:val="24"/>
          <w:highlight w:val="none"/>
          <w:lang w:eastAsia="zh-CN"/>
        </w:rPr>
      </w:pPr>
      <w:r>
        <w:rPr>
          <w:rFonts w:hint="eastAsia" w:ascii="宋体" w:hAnsi="宋体"/>
          <w:sz w:val="24"/>
          <w:szCs w:val="24"/>
          <w:highlight w:val="none"/>
        </w:rPr>
        <w:t xml:space="preserve">2.项目名称：</w:t>
      </w:r>
      <w:bookmarkEnd w:id="11"/>
      <w:r>
        <w:rPr>
          <w:rFonts w:hint="eastAsia" w:ascii="宋体" w:hAnsi="宋体"/>
          <w:bCs/>
          <w:sz w:val="24"/>
          <w:szCs w:val="24"/>
          <w:highlight w:val="none"/>
          <w:lang w:eastAsia="zh-CN"/>
        </w:rPr>
        <w:t xml:space="preserve">南通市城市照明管理处路灯主材（幸余路灯杆灯具）（重新采购）</w:t>
      </w:r>
      <w:r>
        <w:rPr>
          <w:rFonts w:hint="eastAsia" w:ascii="宋体" w:hAnsi="宋体" w:eastAsia="宋体"/>
          <w:bCs/>
          <w:sz w:val="24"/>
          <w:szCs w:val="24"/>
          <w:highlight w:val="none"/>
          <w:lang w:eastAsia="zh-CN"/>
        </w:rPr>
      </w:r>
      <w:r/>
    </w:p>
    <w:p>
      <w:pPr>
        <w:pStyle w:val="967"/>
        <w:ind w:firstLine="480"/>
        <w:spacing w:line="360" w:lineRule="auto"/>
        <w:rPr>
          <w:rFonts w:ascii="宋体" w:hAnsi="宋体" w:cs="宋体"/>
          <w:sz w:val="24"/>
          <w:szCs w:val="24"/>
          <w:highlight w:val="none"/>
        </w:rPr>
      </w:pPr>
      <w:r/>
      <w:bookmarkStart w:id="12" w:name="_Toc35393622"/>
      <w:r/>
      <w:bookmarkStart w:id="13" w:name="_Toc28359003"/>
      <w:r/>
      <w:bookmarkStart w:id="14" w:name="_Toc38985264"/>
      <w:r/>
      <w:bookmarkStart w:id="15" w:name="_Toc28359080"/>
      <w:r/>
      <w:bookmarkStart w:id="16" w:name="_Toc35393791"/>
      <w:r>
        <w:rPr>
          <w:rFonts w:hint="eastAsia" w:ascii="宋体" w:hAnsi="宋体"/>
          <w:sz w:val="24"/>
          <w:szCs w:val="24"/>
          <w:highlight w:val="none"/>
        </w:rPr>
        <w:t xml:space="preserve">3.预算金额：</w:t>
      </w:r>
      <w:r>
        <w:rPr>
          <w:rFonts w:hint="eastAsia"/>
          <w:sz w:val="24"/>
          <w:highlight w:val="none"/>
        </w:rPr>
        <w:t xml:space="preserve">人民币</w:t>
      </w:r>
      <w:r>
        <w:rPr>
          <w:rFonts w:hint="eastAsia" w:ascii="宋体" w:hAnsi="宋体"/>
          <w:sz w:val="24"/>
          <w:szCs w:val="24"/>
          <w:highlight w:val="none"/>
        </w:rPr>
        <w:t xml:space="preserve">170.9万元</w:t>
      </w:r>
      <w:r>
        <w:rPr>
          <w:rFonts w:ascii="宋体" w:hAnsi="宋体" w:cs="宋体"/>
          <w:sz w:val="24"/>
          <w:szCs w:val="24"/>
          <w:highlight w:val="none"/>
        </w:rPr>
      </w:r>
      <w:r/>
    </w:p>
    <w:p>
      <w:pPr>
        <w:pStyle w:val="967"/>
        <w:ind w:firstLine="480"/>
        <w:spacing w:line="360" w:lineRule="auto"/>
        <w:rPr>
          <w:sz w:val="24"/>
          <w:highlight w:val="none"/>
        </w:rPr>
      </w:pPr>
      <w:r>
        <w:rPr>
          <w:rFonts w:hint="eastAsia" w:ascii="宋体" w:hAnsi="宋体"/>
          <w:sz w:val="24"/>
          <w:szCs w:val="24"/>
          <w:highlight w:val="none"/>
        </w:rPr>
        <w:t xml:space="preserve">4.最高限价：170.9万元。</w:t>
      </w:r>
      <w:r>
        <w:rPr>
          <w:rFonts w:hint="eastAsia" w:ascii="宋体" w:hAnsi="宋体" w:cs="宋体"/>
          <w:b/>
          <w:sz w:val="24"/>
          <w:szCs w:val="32"/>
          <w:highlight w:val="none"/>
        </w:rPr>
        <w:t xml:space="preserve">超过最高限价的为无效响应文件</w:t>
      </w:r>
      <w:r>
        <w:rPr>
          <w:rFonts w:hint="eastAsia" w:ascii="宋体" w:hAnsi="宋体" w:cs="宋体"/>
          <w:sz w:val="24"/>
          <w:szCs w:val="24"/>
          <w:highlight w:val="none"/>
        </w:rPr>
        <w:t xml:space="preserve">。</w:t>
      </w:r>
      <w:r>
        <w:rPr>
          <w:sz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5.采购需求：详见招标文件第四部分“项目需求”，请仔细研究。</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6.合同履行期限：详见招标文件第四部分“项目需求”。</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7.所属行业：工业。</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8.本项目是否接受联合体投标：否。</w:t>
      </w:r>
      <w:r>
        <w:rPr>
          <w:rFonts w:hint="eastAsia" w:ascii="宋体" w:hAnsi="宋体" w:cs="宋体"/>
          <w:sz w:val="24"/>
          <w:szCs w:val="24"/>
          <w:highlight w:val="none"/>
        </w:rPr>
      </w:r>
      <w:r/>
    </w:p>
    <w:p>
      <w:pPr>
        <w:pStyle w:val="970"/>
        <w:spacing w:before="145" w:after="145" w:line="360" w:lineRule="auto"/>
        <w:rPr>
          <w:highlight w:val="none"/>
        </w:rPr>
      </w:pPr>
      <w:r>
        <w:rPr>
          <w:rFonts w:hint="eastAsia"/>
          <w:highlight w:val="none"/>
        </w:rPr>
        <w:t xml:space="preserve">二、申请人的资格要求：</w:t>
      </w:r>
      <w:bookmarkEnd w:id="12"/>
      <w:r/>
      <w:bookmarkEnd w:id="13"/>
      <w:r/>
      <w:bookmarkEnd w:id="14"/>
      <w:r/>
      <w:bookmarkEnd w:id="15"/>
      <w:r/>
      <w:bookmarkEnd w:id="16"/>
      <w:r>
        <w:rPr>
          <w:highlight w:val="none"/>
        </w:rPr>
      </w:r>
      <w:r/>
    </w:p>
    <w:p>
      <w:pPr>
        <w:pStyle w:val="967"/>
        <w:ind w:firstLine="482"/>
        <w:spacing w:line="360" w:lineRule="auto"/>
        <w:rPr>
          <w:rFonts w:hint="eastAsia" w:ascii="宋体" w:hAnsi="宋体"/>
          <w:b/>
          <w:bCs/>
          <w:sz w:val="24"/>
          <w:szCs w:val="24"/>
          <w:highlight w:val="none"/>
        </w:rPr>
      </w:pPr>
      <w:r/>
      <w:bookmarkStart w:id="17" w:name="_Toc35393623"/>
      <w:r/>
      <w:bookmarkStart w:id="18" w:name="_Toc28359004"/>
      <w:r/>
      <w:bookmarkStart w:id="19" w:name="_Toc35393792"/>
      <w:r/>
      <w:bookmarkStart w:id="20" w:name="_Toc28359081"/>
      <w:r/>
      <w:bookmarkStart w:id="21" w:name="_Toc38985265"/>
      <w:r>
        <w:rPr>
          <w:rFonts w:hint="eastAsia" w:ascii="宋体" w:hAnsi="宋体"/>
          <w:b/>
          <w:bCs/>
          <w:sz w:val="24"/>
          <w:szCs w:val="24"/>
          <w:highlight w:val="none"/>
        </w:rPr>
        <w:t xml:space="preserve">（一</w:t>
      </w:r>
      <w:r>
        <w:rPr>
          <w:rFonts w:ascii="宋体" w:hAnsi="宋体"/>
          <w:b/>
          <w:bCs/>
          <w:sz w:val="24"/>
          <w:szCs w:val="24"/>
          <w:highlight w:val="none"/>
        </w:rPr>
        <w:t xml:space="preserve">）</w:t>
      </w:r>
      <w:r>
        <w:rPr>
          <w:rFonts w:hint="eastAsia" w:ascii="宋体" w:hAnsi="宋体"/>
          <w:b/>
          <w:bCs/>
          <w:sz w:val="24"/>
          <w:szCs w:val="24"/>
          <w:highlight w:val="none"/>
        </w:rPr>
        <w:t xml:space="preserve">通用</w:t>
      </w:r>
      <w:r>
        <w:rPr>
          <w:rFonts w:ascii="宋体" w:hAnsi="宋体"/>
          <w:b/>
          <w:bCs/>
          <w:sz w:val="24"/>
          <w:szCs w:val="24"/>
          <w:highlight w:val="none"/>
        </w:rPr>
        <w:t xml:space="preserve">资格要求</w:t>
      </w:r>
      <w:r>
        <w:rPr>
          <w:rFonts w:hint="eastAsia" w:ascii="宋体" w:hAnsi="宋体"/>
          <w:b/>
          <w:bCs/>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67"/>
        <w:ind w:firstLine="480"/>
        <w:spacing w:line="360" w:lineRule="auto"/>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highlight w:val="none"/>
        </w:rPr>
      </w:r>
      <w:r/>
    </w:p>
    <w:p>
      <w:pPr>
        <w:pStyle w:val="967"/>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（二）落实政府采购政策需满足的资格要求：</w:t>
      </w:r>
      <w:r>
        <w:rPr>
          <w:rFonts w:hint="eastAsia" w:ascii="宋体" w:hAnsi="宋体" w:eastAsia="宋体" w:cs="Times New Roman"/>
          <w:b/>
          <w:bCs/>
          <w:sz w:val="24"/>
          <w:szCs w:val="24"/>
          <w:highlight w:val="none"/>
        </w:rPr>
      </w:r>
      <w:r/>
    </w:p>
    <w:p>
      <w:pPr>
        <w:pStyle w:val="96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本项目专门面向中小企业采购。</w:t>
      </w:r>
      <w:r>
        <w:rPr>
          <w:rFonts w:hint="eastAsia" w:ascii="宋体" w:hAnsi="宋体" w:eastAsia="宋体" w:cs="Times New Roman"/>
          <w:sz w:val="24"/>
          <w:szCs w:val="24"/>
          <w:highlight w:val="none"/>
        </w:rPr>
      </w:r>
      <w:r/>
    </w:p>
    <w:p>
      <w:pPr>
        <w:pStyle w:val="96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（1）本项目属于</w:t>
      </w:r>
      <w:r>
        <w:rPr>
          <w:rFonts w:hint="eastAsia" w:ascii="宋体" w:hAnsi="宋体" w:eastAsia="宋体" w:cs="Times New Roman"/>
          <w:sz w:val="24"/>
          <w:szCs w:val="24"/>
          <w:highlight w:val="none"/>
          <w:u w:val="single"/>
        </w:rPr>
        <w:t xml:space="preserve">货物类</w:t>
      </w:r>
      <w:r>
        <w:rPr>
          <w:rFonts w:hint="eastAsia" w:ascii="宋体" w:hAnsi="宋体" w:eastAsia="宋体" w:cs="Times New Roman"/>
          <w:sz w:val="24"/>
          <w:szCs w:val="24"/>
          <w:highlight w:val="none"/>
        </w:rPr>
        <w:t xml:space="preserve">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Times New Roman"/>
          <w:sz w:val="24"/>
          <w:szCs w:val="24"/>
          <w:highlight w:val="none"/>
          <w:lang w:eastAsia="zh-CN"/>
        </w:rPr>
        <w:t xml:space="preserve">投标人</w:t>
      </w:r>
      <w:r>
        <w:rPr>
          <w:rFonts w:hint="eastAsia" w:ascii="宋体" w:hAnsi="宋体" w:eastAsia="宋体" w:cs="Times New Roman"/>
          <w:sz w:val="24"/>
          <w:szCs w:val="24"/>
          <w:highlight w:val="none"/>
        </w:rPr>
        <w:t xml:space="preserve">企业规模。（</w:t>
      </w:r>
      <w:r>
        <w:rPr>
          <w:rFonts w:hint="eastAsia" w:ascii="宋体" w:hAnsi="宋体" w:eastAsia="宋体" w:cs="Times New Roman"/>
          <w:sz w:val="24"/>
          <w:szCs w:val="24"/>
          <w:highlight w:val="none"/>
          <w:lang w:eastAsia="zh-CN"/>
        </w:rPr>
        <w:t xml:space="preserve">投标人</w:t>
      </w:r>
      <w:r>
        <w:rPr>
          <w:rFonts w:hint="eastAsia" w:ascii="宋体" w:hAnsi="宋体" w:eastAsia="宋体" w:cs="Times New Roman"/>
          <w:sz w:val="24"/>
          <w:szCs w:val="24"/>
          <w:highlight w:val="none"/>
        </w:rPr>
        <w:t xml:space="preserve">必须提供中小企业声明函（见格式））</w:t>
      </w:r>
      <w:r>
        <w:rPr>
          <w:rFonts w:hint="eastAsia" w:ascii="宋体" w:hAnsi="宋体" w:eastAsia="宋体" w:cs="Times New Roman"/>
          <w:sz w:val="24"/>
          <w:szCs w:val="24"/>
          <w:highlight w:val="none"/>
        </w:rPr>
      </w:r>
      <w:r/>
    </w:p>
    <w:p>
      <w:pPr>
        <w:pStyle w:val="96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（2）中小微企业划型标准请对照《关于印发中小企业划型标准规定的通知》（工信部联企业〔2011〕300号）（详见格式）。本项目采购标的对应的行业主要为</w:t>
      </w:r>
      <w:r>
        <w:rPr>
          <w:rFonts w:hint="eastAsia" w:ascii="宋体" w:hAnsi="宋体" w:eastAsia="宋体" w:cs="Times New Roman"/>
          <w:sz w:val="24"/>
          <w:szCs w:val="24"/>
          <w:highlight w:val="none"/>
          <w:u w:val="single"/>
        </w:rPr>
        <w:t xml:space="preserve">工业。</w:t>
      </w:r>
      <w:r>
        <w:rPr>
          <w:rFonts w:hint="eastAsia" w:ascii="宋体" w:hAnsi="宋体" w:eastAsia="宋体" w:cs="Times New Roman"/>
          <w:sz w:val="24"/>
          <w:szCs w:val="24"/>
          <w:highlight w:val="none"/>
        </w:rPr>
      </w:r>
      <w:r/>
    </w:p>
    <w:p>
      <w:pPr>
        <w:pStyle w:val="967"/>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注：本项目专门面向中小微型企业采购，不享受价格扣除优惠。</w:t>
      </w:r>
      <w:r>
        <w:rPr>
          <w:rFonts w:ascii="宋体" w:hAnsi="宋体"/>
          <w:b/>
          <w:bCs/>
          <w:sz w:val="24"/>
          <w:szCs w:val="24"/>
          <w:highlight w:val="none"/>
        </w:rPr>
      </w:r>
      <w:r/>
    </w:p>
    <w:p>
      <w:pPr>
        <w:pStyle w:val="967"/>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w:t>
      </w:r>
      <w:r>
        <w:rPr>
          <w:rFonts w:hint="eastAsia" w:ascii="宋体" w:hAnsi="宋体"/>
          <w:b/>
          <w:bCs/>
          <w:sz w:val="24"/>
          <w:szCs w:val="24"/>
          <w:highlight w:val="none"/>
          <w:lang w:eastAsia="zh-CN"/>
        </w:rPr>
        <w:t xml:space="preserve">三</w:t>
      </w:r>
      <w:r>
        <w:rPr>
          <w:rFonts w:hint="eastAsia" w:ascii="宋体" w:hAnsi="宋体"/>
          <w:b/>
          <w:bCs/>
          <w:sz w:val="24"/>
          <w:szCs w:val="24"/>
          <w:highlight w:val="none"/>
        </w:rPr>
        <w:t xml:space="preserve">）本项目的特定资格要求:</w:t>
      </w:r>
      <w:r>
        <w:rPr>
          <w:rFonts w:hint="eastAsia" w:ascii="宋体" w:hAnsi="宋体"/>
          <w:b/>
          <w:bCs/>
          <w:sz w:val="24"/>
          <w:szCs w:val="24"/>
          <w:highlight w:val="none"/>
        </w:rPr>
      </w:r>
      <w:r/>
    </w:p>
    <w:p>
      <w:pPr>
        <w:pStyle w:val="96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投标人须为灯杆、LED灯具的专业生产厂家。</w:t>
      </w:r>
      <w:r>
        <w:rPr>
          <w:rFonts w:hint="eastAsia" w:ascii="宋体" w:hAnsi="宋体"/>
          <w:sz w:val="24"/>
          <w:szCs w:val="24"/>
          <w:highlight w:val="none"/>
        </w:rPr>
      </w:r>
      <w:r/>
    </w:p>
    <w:p>
      <w:pPr>
        <w:pStyle w:val="967"/>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（四）其他要求：</w:t>
      </w:r>
      <w:r>
        <w:rPr>
          <w:rFonts w:hint="eastAsia" w:ascii="宋体" w:hAnsi="宋体"/>
          <w:sz w:val="24"/>
          <w:szCs w:val="24"/>
          <w:highlight w:val="none"/>
        </w:rPr>
        <w:t xml:space="preserve">本项目不接受分包。</w:t>
      </w:r>
      <w:r>
        <w:rPr>
          <w:rFonts w:hint="eastAsia" w:ascii="宋体" w:hAnsi="宋体" w:eastAsia="宋体"/>
          <w:sz w:val="24"/>
          <w:szCs w:val="24"/>
          <w:highlight w:val="none"/>
          <w:lang w:eastAsia="zh-CN"/>
        </w:rPr>
      </w:r>
      <w:r/>
    </w:p>
    <w:p>
      <w:pPr>
        <w:pStyle w:val="970"/>
        <w:spacing w:before="145" w:after="145" w:line="360" w:lineRule="auto"/>
        <w:rPr>
          <w:highlight w:val="none"/>
        </w:rPr>
      </w:pPr>
      <w:r>
        <w:rPr>
          <w:rFonts w:hint="eastAsia"/>
          <w:highlight w:val="none"/>
        </w:rPr>
        <w:t xml:space="preserve">三、获取招标文件</w:t>
      </w:r>
      <w:bookmarkEnd w:id="17"/>
      <w:r/>
      <w:bookmarkEnd w:id="18"/>
      <w:r/>
      <w:bookmarkEnd w:id="19"/>
      <w:r/>
      <w:bookmarkEnd w:id="20"/>
      <w:r/>
      <w:bookmarkEnd w:id="21"/>
      <w:r>
        <w:rPr>
          <w:highlight w:val="none"/>
        </w:rPr>
      </w:r>
      <w:r/>
    </w:p>
    <w:p>
      <w:pPr>
        <w:pStyle w:val="967"/>
        <w:ind w:firstLine="540"/>
        <w:spacing w:line="360" w:lineRule="auto"/>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1.时间：自招标文件公告发布之日起至</w:t>
      </w:r>
      <w:r>
        <w:rPr>
          <w:rFonts w:hint="eastAsia" w:ascii="宋体" w:hAnsi="宋体"/>
          <w:bCs/>
          <w:sz w:val="24"/>
          <w:szCs w:val="24"/>
          <w:highlight w:val="none"/>
          <w:u w:val="single"/>
        </w:rPr>
        <w:t xml:space="preserve">2026年</w:t>
      </w:r>
      <w:r>
        <w:rPr>
          <w:rFonts w:hint="eastAsia" w:ascii="宋体" w:hAnsi="宋体"/>
          <w:bCs/>
          <w:sz w:val="24"/>
          <w:szCs w:val="24"/>
          <w:highlight w:val="none"/>
          <w:u w:val="single"/>
        </w:rPr>
        <w:t xml:space="preserve"> 0</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15</w:t>
      </w:r>
      <w:r>
        <w:rPr>
          <w:rFonts w:hint="eastAsia" w:ascii="宋体" w:hAnsi="宋体"/>
          <w:bCs/>
          <w:sz w:val="24"/>
          <w:szCs w:val="24"/>
          <w:highlight w:val="none"/>
          <w:u w:val="single"/>
        </w:rPr>
        <w:t xml:space="preserve"> 日</w:t>
      </w:r>
      <w:r>
        <w:rPr>
          <w:rFonts w:hint="eastAsia" w:ascii="宋体" w:hAnsi="宋体" w:cs="宋体"/>
          <w:sz w:val="24"/>
          <w:szCs w:val="24"/>
          <w:highlight w:val="none"/>
        </w:rPr>
        <w:t xml:space="preserve">。</w:t>
      </w:r>
      <w:r>
        <w:rPr>
          <w:rFonts w:ascii="宋体" w:hAnsi="宋体" w:cs="宋体"/>
          <w:sz w:val="24"/>
          <w:szCs w:val="24"/>
          <w:highlight w:val="none"/>
        </w:rPr>
      </w:r>
      <w:r/>
    </w:p>
    <w:p>
      <w:pPr>
        <w:pStyle w:val="967"/>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2.方式：网上注册登记成功后系统免费下载招标文件。</w:t>
      </w:r>
      <w:r>
        <w:rPr>
          <w:rFonts w:ascii="宋体" w:hAnsi="宋体" w:cs="宋体"/>
          <w:sz w:val="24"/>
          <w:szCs w:val="24"/>
          <w:highlight w:val="none"/>
          <w:u w:val="single"/>
        </w:rPr>
      </w:r>
      <w:r/>
    </w:p>
    <w:p>
      <w:pPr>
        <w:pStyle w:val="970"/>
        <w:spacing w:before="145" w:after="145" w:line="360" w:lineRule="auto"/>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Pr>
          <w:highlight w:val="none"/>
        </w:rPr>
      </w:r>
      <w:r/>
    </w:p>
    <w:p>
      <w:pPr>
        <w:pStyle w:val="967"/>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2026年 </w:t>
      </w:r>
      <w:r>
        <w:rPr>
          <w:rFonts w:hint="eastAsia" w:ascii="宋体" w:hAnsi="宋体"/>
          <w:bCs/>
          <w:sz w:val="24"/>
          <w:szCs w:val="24"/>
          <w:highlight w:val="none"/>
          <w:u w:val="single"/>
        </w:rPr>
        <w:t xml:space="preserve">0</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21</w:t>
      </w:r>
      <w:r>
        <w:rPr>
          <w:rFonts w:hint="eastAsia" w:ascii="宋体" w:hAnsi="宋体"/>
          <w:bCs/>
          <w:sz w:val="24"/>
          <w:szCs w:val="24"/>
          <w:highlight w:val="none"/>
          <w:u w:val="single"/>
        </w:rPr>
        <w:t xml:space="preserve">日14点00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67"/>
        <w:ind w:firstLine="480"/>
        <w:spacing w:line="360" w:lineRule="auto"/>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970"/>
        <w:spacing w:before="145" w:after="145" w:line="360" w:lineRule="auto"/>
        <w:rPr>
          <w:highlight w:val="none"/>
        </w:rPr>
      </w:pPr>
      <w:r/>
      <w:bookmarkStart w:id="27" w:name="_Toc35393794"/>
      <w:r/>
      <w:bookmarkStart w:id="28" w:name="_Toc35393625"/>
      <w:r/>
      <w:bookmarkStart w:id="29" w:name="_Toc38985267"/>
      <w:r/>
      <w:bookmarkStart w:id="30" w:name="_Toc28359007"/>
      <w:r/>
      <w:bookmarkStart w:id="31" w:name="_Toc28359084"/>
      <w:r>
        <w:rPr>
          <w:rFonts w:hint="eastAsia"/>
          <w:highlight w:val="none"/>
        </w:rPr>
        <w:t xml:space="preserve">五、公告期限</w:t>
      </w:r>
      <w:bookmarkEnd w:id="27"/>
      <w:r/>
      <w:bookmarkEnd w:id="28"/>
      <w:r/>
      <w:bookmarkEnd w:id="29"/>
      <w:r/>
      <w:bookmarkEnd w:id="30"/>
      <w:r/>
      <w:bookmarkEnd w:id="31"/>
      <w:r>
        <w:rPr>
          <w:highlight w:val="none"/>
        </w:rPr>
      </w:r>
      <w:r/>
    </w:p>
    <w:p>
      <w:pPr>
        <w:pStyle w:val="967"/>
        <w:ind w:firstLine="480"/>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970"/>
        <w:spacing w:before="145" w:after="145" w:line="360" w:lineRule="auto"/>
        <w:rPr>
          <w:highlight w:val="none"/>
        </w:rPr>
      </w:pPr>
      <w:r>
        <w:rPr>
          <w:rFonts w:hint="eastAsia"/>
          <w:highlight w:val="none"/>
        </w:rPr>
        <w:t xml:space="preserve">六、其他补充事宜</w:t>
      </w:r>
      <w:bookmarkEnd w:id="32"/>
      <w:r/>
      <w:bookmarkEnd w:id="33"/>
      <w:r/>
      <w:bookmarkEnd w:id="34"/>
      <w:r>
        <w:rPr>
          <w:highlight w:val="none"/>
        </w:rPr>
      </w:r>
      <w:r/>
    </w:p>
    <w:p>
      <w:pPr>
        <w:pStyle w:val="967"/>
        <w:ind w:firstLine="480"/>
        <w:spacing w:line="480" w:lineRule="exact"/>
        <w:rPr>
          <w:rFonts w:hint="eastAsia" w:ascii="宋体" w:hAnsi="宋体" w:cs="宋体"/>
          <w:sz w:val="24"/>
          <w:szCs w:val="24"/>
          <w:highlight w:val="none"/>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b/>
          <w:bCs/>
          <w:sz w:val="24"/>
          <w:szCs w:val="24"/>
          <w:highlight w:val="none"/>
        </w:rPr>
        <w:t xml:space="preserve">有样品，详见项目需求。</w:t>
      </w:r>
      <w:r>
        <w:rPr>
          <w:rFonts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6.2领取CA和办理电子签章请至南通市政务服务中心裙楼四楼（南通市公共资源交中心）CA办理窗口办理，详见《江苏省政府采购数字证书(投标人) CA及电子签章办理指南》），请及时进行注册并按要求制作、上传电子投标文件。</w:t>
      </w:r>
      <w:r>
        <w:rPr>
          <w:rFonts w:hint="eastAsia" w:ascii="宋体" w:hAnsi="宋体"/>
          <w:bCs/>
          <w:sz w:val="24"/>
          <w:szCs w:val="24"/>
          <w:highlight w:val="none"/>
        </w:rPr>
      </w:r>
      <w:r/>
    </w:p>
    <w:p>
      <w:pPr>
        <w:pStyle w:val="967"/>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6.3开标当天投标人应及时登录“苏采云”不见面开标大厅，并</w:t>
      </w:r>
      <w:r>
        <w:rPr>
          <w:rFonts w:hint="eastAsia" w:ascii="宋体" w:hAnsi="宋体"/>
          <w:bCs/>
          <w:sz w:val="24"/>
          <w:szCs w:val="24"/>
          <w:highlight w:val="none"/>
        </w:rPr>
        <w:t xml:space="preserve">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967"/>
        <w:ind w:firstLine="480"/>
        <w:spacing w:line="480" w:lineRule="exact"/>
        <w:rPr>
          <w:rFonts w:ascii="宋体" w:hAnsi="宋体"/>
          <w:bCs/>
          <w:sz w:val="24"/>
          <w:szCs w:val="24"/>
          <w:highlight w:val="none"/>
        </w:rPr>
      </w:pPr>
      <w:r>
        <w:rPr>
          <w:rFonts w:hint="eastAsia" w:ascii="宋体" w:hAnsi="宋体" w:cs="宋体"/>
          <w:sz w:val="24"/>
          <w:szCs w:val="24"/>
          <w:highlight w:val="none"/>
        </w:rPr>
        <w:t xml:space="preserve">7.获取招标文件时间：自招</w:t>
      </w:r>
      <w:r>
        <w:rPr>
          <w:rFonts w:hint="eastAsia" w:ascii="宋体" w:hAnsi="宋体" w:cs="宋体"/>
          <w:sz w:val="24"/>
          <w:szCs w:val="24"/>
          <w:highlight w:val="none"/>
        </w:rPr>
        <w:t xml:space="preserve">标文件公告发布之日起至</w:t>
      </w:r>
      <w:r>
        <w:rPr>
          <w:rFonts w:hint="eastAsia" w:ascii="宋体" w:hAnsi="宋体"/>
          <w:b/>
          <w:sz w:val="24"/>
          <w:szCs w:val="24"/>
          <w:highlight w:val="none"/>
          <w:u w:val="single"/>
        </w:rPr>
        <w:t xml:space="preserve">2026年 0</w:t>
      </w:r>
      <w:r>
        <w:rPr>
          <w:rFonts w:hint="eastAsia" w:ascii="宋体" w:hAnsi="宋体"/>
          <w:b/>
          <w:sz w:val="24"/>
          <w:szCs w:val="24"/>
          <w:highlight w:val="none"/>
          <w:u w:val="single"/>
          <w:lang w:val="en-US" w:eastAsia="zh-CN"/>
        </w:rPr>
        <w:t xml:space="preserve">5</w:t>
      </w:r>
      <w:r>
        <w:rPr>
          <w:rFonts w:hint="eastAsia" w:ascii="宋体" w:hAnsi="宋体"/>
          <w:b/>
          <w:sz w:val="24"/>
          <w:szCs w:val="24"/>
          <w:highlight w:val="none"/>
          <w:u w:val="single"/>
        </w:rPr>
        <w:t xml:space="preserve">月 </w:t>
      </w:r>
      <w:r>
        <w:rPr>
          <w:rFonts w:hint="eastAsia" w:ascii="宋体" w:hAnsi="宋体"/>
          <w:b/>
          <w:sz w:val="24"/>
          <w:szCs w:val="24"/>
          <w:highlight w:val="none"/>
          <w:u w:val="single"/>
          <w:lang w:val="en-US" w:eastAsia="zh-CN"/>
        </w:rPr>
        <w:t xml:space="preserve">15</w:t>
      </w:r>
      <w:r>
        <w:rPr>
          <w:rFonts w:hint="eastAsia" w:ascii="宋体" w:hAnsi="宋体"/>
          <w:b/>
          <w:sz w:val="24"/>
          <w:szCs w:val="24"/>
          <w:highlight w:val="none"/>
          <w:u w:val="single"/>
        </w:rPr>
        <w:t xml:space="preserve"> 日</w:t>
      </w:r>
      <w:r>
        <w:rPr>
          <w:rFonts w:hint="eastAsia" w:ascii="宋体" w:hAnsi="宋体" w:cs="宋体"/>
          <w:sz w:val="24"/>
          <w:szCs w:val="24"/>
          <w:highlight w:val="none"/>
        </w:rPr>
        <w:t xml:space="preserve">。</w:t>
      </w:r>
      <w:r>
        <w:rPr>
          <w:rFonts w:ascii="宋体" w:hAnsi="宋体"/>
          <w:bCs/>
          <w:sz w:val="24"/>
          <w:szCs w:val="24"/>
          <w:highlight w:val="none"/>
        </w:rPr>
      </w:r>
      <w:r/>
    </w:p>
    <w:p>
      <w:pPr>
        <w:pStyle w:val="970"/>
        <w:spacing w:before="145" w:after="145" w:line="360" w:lineRule="auto"/>
        <w:rPr>
          <w:highlight w:val="none"/>
        </w:rPr>
      </w:pPr>
      <w:r>
        <w:rPr>
          <w:rFonts w:hint="eastAsia"/>
          <w:highlight w:val="none"/>
        </w:rPr>
        <w:t xml:space="preserve">七、本次招标联系方式</w:t>
      </w:r>
      <w:bookmarkEnd w:id="35"/>
      <w:r/>
      <w:bookmarkEnd w:id="36"/>
      <w:r/>
      <w:bookmarkEnd w:id="37"/>
      <w:r/>
      <w:bookmarkEnd w:id="38"/>
      <w:r/>
      <w:bookmarkEnd w:id="39"/>
      <w:r>
        <w:rPr>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1.采购人信息</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名 称：南通市城市照明管理处</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bookmarkStart w:id="40" w:name="_Toc28359086"/>
      <w:r/>
      <w:bookmarkStart w:id="41" w:name="_Toc28359009"/>
      <w:r>
        <w:rPr>
          <w:rFonts w:hint="eastAsia" w:ascii="宋体" w:hAnsi="宋体"/>
          <w:sz w:val="24"/>
          <w:szCs w:val="24"/>
          <w:highlight w:val="none"/>
        </w:rPr>
        <w:t xml:space="preserve">地址：南通市长和路138号</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联系人：马女士</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联系方式：0513-83579293</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2.江苏新东方工程管理咨询有限公司信息</w:t>
      </w:r>
      <w:bookmarkEnd w:id="40"/>
      <w:r/>
      <w:bookmarkEnd w:id="41"/>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地　址：南通市崇川区外环东路12号2楼南侧</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联系人：张</w:t>
      </w:r>
      <w:r>
        <w:rPr>
          <w:rFonts w:hint="eastAsia" w:ascii="宋体" w:hAnsi="宋体"/>
          <w:sz w:val="24"/>
          <w:szCs w:val="24"/>
          <w:highlight w:val="none"/>
          <w:lang w:eastAsia="zh-CN"/>
        </w:rPr>
        <w:t xml:space="preserve">女士</w:t>
      </w:r>
      <w:r>
        <w:rPr>
          <w:rFonts w:hint="eastAsia" w:ascii="宋体" w:hAnsi="宋体" w:eastAsia="宋体"/>
          <w:sz w:val="24"/>
          <w:szCs w:val="24"/>
          <w:highlight w:val="none"/>
          <w:lang w:eastAsia="zh-CN"/>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联系方式：</w:t>
      </w:r>
      <w:bookmarkStart w:id="42" w:name="_Toc28359087"/>
      <w:r/>
      <w:bookmarkStart w:id="43" w:name="_Toc28359010"/>
      <w:r>
        <w:rPr>
          <w:rFonts w:hint="eastAsia" w:ascii="宋体" w:hAnsi="宋体"/>
          <w:sz w:val="24"/>
          <w:szCs w:val="24"/>
          <w:highlight w:val="none"/>
        </w:rPr>
        <w:t xml:space="preserve">0513-85679898 </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3.软件技术支持：0519-86722801</w:t>
      </w:r>
      <w:r>
        <w:rPr>
          <w:rFonts w:hint="eastAsia" w:ascii="宋体" w:hAnsi="宋体"/>
          <w:sz w:val="24"/>
          <w:szCs w:val="24"/>
          <w:highlight w:val="none"/>
        </w:rPr>
      </w:r>
      <w:r/>
    </w:p>
    <w:p>
      <w:pPr>
        <w:pStyle w:val="967"/>
        <w:ind w:firstLine="480"/>
        <w:jc w:val="left"/>
        <w:spacing w:line="480" w:lineRule="exact"/>
        <w:shd w:val="clear" w:color="auto" w:fill="ffffff"/>
        <w:widowControl/>
        <w:rPr>
          <w:rFonts w:hint="eastAsia" w:ascii="宋体" w:hAnsi="宋体"/>
          <w:sz w:val="24"/>
          <w:highlight w:val="none"/>
        </w:rPr>
      </w:pPr>
      <w:r>
        <w:rPr>
          <w:rFonts w:hint="eastAsia" w:ascii="宋体" w:hAnsi="宋体"/>
          <w:sz w:val="24"/>
          <w:szCs w:val="24"/>
          <w:highlight w:val="none"/>
        </w:rPr>
        <w:t xml:space="preserve"> 那家铭: 0513-59001950</w:t>
      </w:r>
      <w:bookmarkEnd w:id="42"/>
      <w:r/>
      <w:bookmarkEnd w:id="43"/>
      <w:r>
        <w:rPr>
          <w:rFonts w:hint="eastAsia" w:ascii="宋体" w:hAnsi="宋体"/>
          <w:sz w:val="24"/>
          <w:highlight w:val="none"/>
        </w:rPr>
      </w:r>
      <w:r/>
    </w:p>
    <w:p>
      <w:pPr>
        <w:pStyle w:val="967"/>
        <w:ind w:right="840"/>
        <w:rPr>
          <w:rFonts w:hint="eastAsia" w:ascii="宋体" w:hAnsi="宋体"/>
          <w:sz w:val="24"/>
          <w:szCs w:val="24"/>
          <w:highlight w:val="none"/>
        </w:rPr>
      </w:pPr>
      <w:r>
        <w:rPr>
          <w:rFonts w:hint="eastAsia" w:ascii="宋体" w:hAnsi="宋体"/>
          <w:sz w:val="24"/>
          <w:szCs w:val="24"/>
          <w:highlight w:val="none"/>
        </w:rPr>
      </w:r>
      <w:r/>
    </w:p>
    <w:p>
      <w:pPr>
        <w:pStyle w:val="1035"/>
        <w:ind w:firstLine="0"/>
        <w:jc w:val="center"/>
        <w:rPr>
          <w:rFonts w:hint="eastAsia" w:ascii="黑体" w:eastAsia="黑体"/>
          <w:b/>
          <w:bCs/>
          <w:highlight w:val="none"/>
        </w:rPr>
        <w:outlineLvl w:val="0"/>
      </w:pPr>
      <w:r>
        <w:rPr>
          <w:rFonts w:hint="eastAsia" w:ascii="宋体" w:hAnsi="宋体"/>
          <w:sz w:val="24"/>
          <w:szCs w:val="24"/>
          <w:highlight w:val="none"/>
        </w:rPr>
        <w:br w:type="page" w:clear="all"/>
      </w:r>
      <w:bookmarkStart w:id="44" w:name="_Toc120614211"/>
      <w:r>
        <w:rPr>
          <w:rFonts w:hint="eastAsia" w:ascii="黑体" w:eastAsia="黑体"/>
          <w:sz w:val="44"/>
          <w:szCs w:val="44"/>
          <w:highlight w:val="none"/>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黑体" w:eastAsia="黑体"/>
          <w:sz w:val="44"/>
          <w:szCs w:val="44"/>
          <w:highlight w:val="none"/>
        </w:rPr>
        <w:t xml:space="preserve">投标人须知</w:t>
      </w:r>
      <w:bookmarkEnd w:id="45"/>
      <w:r/>
      <w:bookmarkEnd w:id="46"/>
      <w:r/>
      <w:bookmarkEnd w:id="47"/>
      <w:r/>
      <w:bookmarkEnd w:id="48"/>
      <w:r>
        <w:rPr>
          <w:rFonts w:hint="eastAsia" w:ascii="黑体" w:eastAsia="黑体"/>
          <w:b/>
          <w:bCs/>
          <w:highlight w:val="none"/>
        </w:rPr>
      </w:r>
      <w:r/>
    </w:p>
    <w:p>
      <w:pPr>
        <w:pStyle w:val="970"/>
        <w:spacing w:before="145" w:after="145" w:line="360" w:lineRule="auto"/>
        <w:rPr>
          <w:rFonts w:hint="eastAsia"/>
          <w:highlight w:val="none"/>
        </w:rPr>
      </w:pPr>
      <w:r/>
      <w:bookmarkStart w:id="49" w:name="_Toc20823275"/>
      <w:r/>
      <w:bookmarkStart w:id="50" w:name="_Toc513029203"/>
      <w:r/>
      <w:bookmarkStart w:id="51" w:name="_Toc16938519"/>
      <w:r/>
      <w:bookmarkStart w:id="52" w:name="_Toc120614214"/>
      <w:r>
        <w:rPr>
          <w:rFonts w:hint="eastAsia"/>
          <w:highlight w:val="none"/>
        </w:rPr>
        <w:t xml:space="preserve">一、总则</w:t>
      </w:r>
      <w:bookmarkEnd w:id="49"/>
      <w:r/>
      <w:bookmarkEnd w:id="50"/>
      <w:r/>
      <w:bookmarkEnd w:id="51"/>
      <w:r/>
      <w:bookmarkEnd w:id="52"/>
      <w:r>
        <w:rPr>
          <w:rFonts w:hint="eastAsia"/>
          <w:highlight w:val="none"/>
        </w:rPr>
      </w:r>
      <w:r/>
    </w:p>
    <w:p>
      <w:pPr>
        <w:pStyle w:val="971"/>
        <w:spacing w:before="0" w:after="0" w:line="240" w:lineRule="auto"/>
        <w:rPr>
          <w:rFonts w:hint="eastAsia"/>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71"/>
        <w:spacing w:before="0" w:after="0" w:line="240" w:lineRule="auto"/>
        <w:rPr>
          <w:rFonts w:hint="eastAsia"/>
          <w:b w:val="0"/>
          <w:bCs w:val="0"/>
          <w:highlight w:val="none"/>
        </w:rPr>
      </w:pPr>
      <w:r/>
      <w:bookmarkStart w:id="58" w:name="_Toc513029205"/>
      <w:r/>
      <w:bookmarkStart w:id="59" w:name="_Toc16938521"/>
      <w:r/>
      <w:bookmarkStart w:id="60" w:name="_Toc20823277"/>
      <w:r>
        <w:rPr>
          <w:rFonts w:hint="eastAsia"/>
          <w:b w:val="0"/>
          <w:bCs w:val="0"/>
          <w:highlight w:val="none"/>
        </w:rPr>
        <w:t xml:space="preserve">2、合格的</w:t>
      </w:r>
      <w:bookmarkEnd w:id="58"/>
      <w:r/>
      <w:bookmarkEnd w:id="59"/>
      <w:r/>
      <w:bookmarkEnd w:id="60"/>
      <w:r>
        <w:rPr>
          <w:rFonts w:hint="eastAsia"/>
          <w:b w:val="0"/>
          <w:bCs w:val="0"/>
          <w:highlight w:val="none"/>
        </w:rPr>
        <w:t xml:space="preserve">投标人</w:t>
      </w:r>
      <w:r>
        <w:rPr>
          <w:rFonts w:hint="eastAsia"/>
          <w:b w:val="0"/>
          <w:bCs w:val="0"/>
          <w:highlight w:val="none"/>
        </w:rPr>
      </w:r>
      <w:r/>
    </w:p>
    <w:p>
      <w:pPr>
        <w:pStyle w:val="96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2.1满足招标公告中投标人的资格要求的规定。</w:t>
      </w:r>
      <w:r>
        <w:rPr>
          <w:rFonts w:hint="eastAsia" w:ascii="宋体" w:hAnsi="宋体"/>
          <w:sz w:val="24"/>
          <w:szCs w:val="24"/>
          <w:highlight w:val="none"/>
        </w:rPr>
      </w:r>
      <w:r/>
    </w:p>
    <w:p>
      <w:pPr>
        <w:pStyle w:val="96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61" w:name="_Toc20823278"/>
      <w:r/>
      <w:bookmarkStart w:id="62" w:name="_Toc513029206"/>
      <w:r/>
      <w:bookmarkStart w:id="63" w:name="_Toc16938522"/>
      <w:r>
        <w:rPr>
          <w:rFonts w:hint="eastAsia"/>
          <w:b w:val="0"/>
          <w:bCs w:val="0"/>
          <w:highlight w:val="none"/>
        </w:rPr>
        <w:t xml:space="preserve">3、适用法律</w:t>
      </w:r>
      <w:bookmarkEnd w:id="61"/>
      <w:r/>
      <w:bookmarkEnd w:id="62"/>
      <w:r/>
      <w:bookmarkEnd w:id="63"/>
      <w:r>
        <w:rPr>
          <w:rFonts w:hint="eastAsia"/>
          <w:b w:val="0"/>
          <w:bCs w:val="0"/>
          <w:highlight w:val="none"/>
        </w:rPr>
      </w:r>
      <w:r/>
    </w:p>
    <w:p>
      <w:pPr>
        <w:pStyle w:val="967"/>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971"/>
        <w:spacing w:before="0" w:after="0" w:line="240" w:lineRule="auto"/>
        <w:rPr>
          <w:rFonts w:hint="eastAsia"/>
          <w:b w:val="0"/>
          <w:bCs w:val="0"/>
          <w:highlight w:val="none"/>
        </w:rPr>
      </w:pPr>
      <w:r/>
      <w:bookmarkStart w:id="64" w:name="_Toc513029207"/>
      <w:r/>
      <w:bookmarkStart w:id="65" w:name="_Toc20823279"/>
      <w:r/>
      <w:bookmarkStart w:id="66" w:name="_Toc462564067"/>
      <w:r/>
      <w:bookmarkStart w:id="67" w:name="_Toc16938523"/>
      <w:r>
        <w:rPr>
          <w:rFonts w:hint="eastAsia"/>
          <w:b w:val="0"/>
          <w:bCs w:val="0"/>
          <w:highlight w:val="none"/>
        </w:rPr>
        <w:t xml:space="preserve">4、投标费用</w:t>
      </w:r>
      <w:bookmarkEnd w:id="64"/>
      <w:r/>
      <w:bookmarkEnd w:id="65"/>
      <w:r/>
      <w:bookmarkEnd w:id="66"/>
      <w:r/>
      <w:bookmarkEnd w:id="67"/>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cs="宋体"/>
          <w:sz w:val="24"/>
          <w:szCs w:val="24"/>
          <w:highlight w:val="none"/>
        </w:rPr>
        <w:t xml:space="preserve">江苏新东方工程管理咨询有限公司</w:t>
      </w:r>
      <w:r>
        <w:rPr>
          <w:rFonts w:hint="eastAsia" w:ascii="宋体" w:hAnsi="宋体"/>
          <w:sz w:val="24"/>
          <w:highlight w:val="none"/>
        </w:rPr>
        <w:t xml:space="preserve">（以下简称采购代理机构）在任何情况下均无义务和责任承担这些费用。</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4.2本次招标采购代理机构和采购人不收取标书工本费与中标服务费。</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4.3本项目招标代理服务费由采购人支付。</w:t>
      </w:r>
      <w:r>
        <w:rPr>
          <w:rFonts w:hint="eastAsia" w:ascii="宋体" w:hAnsi="宋体"/>
          <w:sz w:val="24"/>
          <w:highlight w:val="none"/>
        </w:rPr>
      </w:r>
      <w:r/>
    </w:p>
    <w:p>
      <w:pPr>
        <w:pStyle w:val="971"/>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96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70"/>
        <w:spacing w:before="145" w:after="145" w:line="360" w:lineRule="auto"/>
        <w:rPr>
          <w:rFonts w:hint="eastAsia"/>
          <w:highlight w:val="none"/>
        </w:rPr>
      </w:pPr>
      <w:r/>
      <w:bookmarkStart w:id="68" w:name="_Toc513029209"/>
      <w:r/>
      <w:bookmarkStart w:id="69" w:name="_Toc16938525"/>
      <w:r/>
      <w:bookmarkStart w:id="70" w:name="_Toc120614215"/>
      <w:r/>
      <w:bookmarkStart w:id="71" w:name="_Toc20823281"/>
      <w:r>
        <w:rPr>
          <w:rFonts w:hint="eastAsia"/>
          <w:highlight w:val="none"/>
        </w:rPr>
        <w:t xml:space="preserve">二、招标文件</w:t>
      </w:r>
      <w:bookmarkEnd w:id="68"/>
      <w:r/>
      <w:bookmarkEnd w:id="69"/>
      <w:r/>
      <w:bookmarkEnd w:id="70"/>
      <w:r/>
      <w:bookmarkEnd w:id="71"/>
      <w:r>
        <w:rPr>
          <w:rFonts w:hint="eastAsia"/>
          <w:highlight w:val="none"/>
        </w:rPr>
      </w:r>
      <w:r/>
    </w:p>
    <w:p>
      <w:pPr>
        <w:pStyle w:val="971"/>
        <w:spacing w:before="0" w:after="0" w:line="240" w:lineRule="auto"/>
        <w:rPr>
          <w:rFonts w:hint="eastAsia"/>
          <w:b w:val="0"/>
          <w:bCs w:val="0"/>
          <w:highlight w:val="none"/>
        </w:rPr>
      </w:pPr>
      <w:r/>
      <w:bookmarkStart w:id="72" w:name="_Toc16938526"/>
      <w:r/>
      <w:bookmarkStart w:id="73" w:name="_Toc20823282"/>
      <w:r/>
      <w:bookmarkStart w:id="74" w:name="_Toc513029210"/>
      <w:r>
        <w:rPr>
          <w:rFonts w:hint="eastAsia"/>
          <w:b w:val="0"/>
          <w:bCs w:val="0"/>
          <w:highlight w:val="none"/>
        </w:rPr>
        <w:t xml:space="preserve">6、招标文件构成</w:t>
      </w:r>
      <w:bookmarkEnd w:id="72"/>
      <w:r/>
      <w:bookmarkEnd w:id="73"/>
      <w:r/>
      <w:bookmarkEnd w:id="74"/>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96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967"/>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请仔细检查招标文件是否齐全，如有缺漏请立即与采购代理机构联系解决。</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71"/>
        <w:spacing w:before="0" w:after="0" w:line="240" w:lineRule="auto"/>
        <w:rPr>
          <w:rFonts w:hint="eastAsia"/>
          <w:b w:val="0"/>
          <w:bCs w:val="0"/>
          <w:highlight w:val="none"/>
        </w:rPr>
      </w:pPr>
      <w:r/>
      <w:bookmarkStart w:id="75" w:name="_Toc462564070"/>
      <w:r/>
      <w:bookmarkStart w:id="76" w:name="_Toc16938527"/>
      <w:r/>
      <w:bookmarkStart w:id="77" w:name="_Toc20823283"/>
      <w:r/>
      <w:bookmarkStart w:id="78" w:name="_Toc513029211"/>
      <w:r>
        <w:rPr>
          <w:rFonts w:hint="eastAsia"/>
          <w:b w:val="0"/>
          <w:bCs w:val="0"/>
          <w:highlight w:val="none"/>
        </w:rPr>
        <w:t xml:space="preserve">7、招标文件的澄清</w:t>
      </w:r>
      <w:bookmarkEnd w:id="75"/>
      <w:r/>
      <w:bookmarkEnd w:id="76"/>
      <w:r/>
      <w:bookmarkEnd w:id="77"/>
      <w:r/>
      <w:bookmarkEnd w:id="78"/>
      <w:r>
        <w:rPr>
          <w:rFonts w:hint="eastAsia"/>
          <w:b w:val="0"/>
          <w:bCs w:val="0"/>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highlight w:val="none"/>
        </w:rPr>
        <w:t xml:space="preserve"> 任何要求对招标文件进行澄清的投标人，应在投标截止期</w:t>
      </w:r>
      <w:r>
        <w:rPr>
          <w:rFonts w:hint="eastAsia" w:ascii="方正仿宋_GB2312" w:hAnsi="方正仿宋_GB2312"/>
          <w:b/>
          <w:sz w:val="24"/>
          <w:szCs w:val="24"/>
          <w:highlight w:val="none"/>
        </w:rPr>
        <w:t xml:space="preserve">十日</w:t>
      </w:r>
      <w:r>
        <w:rPr>
          <w:rFonts w:hint="eastAsia" w:ascii="方正仿宋_GB2312" w:hAnsi="方正仿宋_GB2312"/>
          <w:sz w:val="24"/>
          <w:szCs w:val="24"/>
          <w:highlight w:val="none"/>
        </w:rPr>
        <w:t xml:space="preserve">前</w:t>
      </w:r>
      <w:r>
        <w:rPr>
          <w:rFonts w:hint="eastAsia" w:ascii="宋体" w:hAnsi="宋体"/>
          <w:sz w:val="24"/>
          <w:highlight w:val="none"/>
        </w:rPr>
        <w:t xml:space="preserve">按招标公告中的通讯地址，以书面形式通知采购代理机构。采购人有权对发出的招标文件进行必要的澄清或修改。</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79" w:name="_Toc20823284"/>
      <w:r/>
      <w:bookmarkStart w:id="80" w:name="_Toc513029212"/>
      <w:r/>
      <w:bookmarkStart w:id="81" w:name="_Toc462564071"/>
      <w:r/>
      <w:bookmarkStart w:id="82" w:name="_Toc16938528"/>
      <w:r>
        <w:rPr>
          <w:rFonts w:hint="eastAsia"/>
          <w:b w:val="0"/>
          <w:bCs w:val="0"/>
          <w:highlight w:val="none"/>
        </w:rPr>
        <w:t xml:space="preserve">8、招标文件的修改</w:t>
      </w:r>
      <w:bookmarkEnd w:id="79"/>
      <w:r/>
      <w:bookmarkEnd w:id="80"/>
      <w:r/>
      <w:bookmarkEnd w:id="81"/>
      <w:r/>
      <w:bookmarkEnd w:id="82"/>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方正仿宋_GB2312" w:hAnsi="方正仿宋_GB2312"/>
          <w:sz w:val="24"/>
          <w:highlight w:val="none"/>
        </w:rPr>
        <w:t xml:space="preserve">前</w:t>
      </w:r>
      <w:r>
        <w:rPr>
          <w:rFonts w:hint="eastAsia" w:ascii="宋体" w:hAnsi="宋体"/>
          <w:sz w:val="24"/>
          <w:highlight w:val="none"/>
        </w:rPr>
        <w:t xml:space="preserve">，采购代理机构可以对招标文件进行修改。</w:t>
      </w:r>
      <w:r>
        <w:rPr>
          <w:rFonts w:hint="eastAsia" w:ascii="宋体" w:hAnsi="宋体"/>
          <w:sz w:val="24"/>
          <w:highlight w:val="none"/>
        </w:rPr>
      </w:r>
      <w:r/>
    </w:p>
    <w:p>
      <w:pPr>
        <w:pStyle w:val="967"/>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采购代理机构</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67"/>
        <w:contextualSpacing/>
        <w:ind w:firstLine="480"/>
        <w:spacing w:line="360" w:lineRule="auto"/>
        <w:rPr>
          <w:rFonts w:ascii="宋体" w:hAnsi="宋体" w:cs="宋体"/>
          <w:b/>
          <w:bCs/>
          <w:sz w:val="24"/>
          <w:szCs w:val="24"/>
          <w:highlight w:val="none"/>
          <w:u w:val="single"/>
        </w:rPr>
      </w:pPr>
      <w:r>
        <w:rPr>
          <w:rFonts w:hint="eastAsia" w:ascii="宋体" w:hAnsi="宋体" w:cs="宋体"/>
          <w:b/>
          <w:bCs/>
          <w:sz w:val="24"/>
          <w:szCs w:val="24"/>
          <w:highlight w:val="none"/>
          <w:u w:val="single"/>
        </w:rPr>
        <w:t xml:space="preserve">8.4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ascii="宋体" w:hAnsi="宋体" w:cs="宋体"/>
          <w:b/>
          <w:bCs/>
          <w:sz w:val="24"/>
          <w:szCs w:val="24"/>
          <w:highlight w:val="none"/>
          <w:u w:val="single"/>
        </w:rPr>
      </w:r>
      <w:r/>
    </w:p>
    <w:p>
      <w:pPr>
        <w:pStyle w:val="970"/>
        <w:spacing w:before="145" w:after="145" w:line="360" w:lineRule="auto"/>
        <w:rPr>
          <w:rFonts w:hint="eastAsia"/>
          <w:highlight w:val="none"/>
        </w:rPr>
      </w:pPr>
      <w:r/>
      <w:bookmarkStart w:id="83" w:name="_Toc16938529"/>
      <w:r/>
      <w:bookmarkStart w:id="84" w:name="_Toc462564072"/>
      <w:r/>
      <w:bookmarkStart w:id="85" w:name="_Toc20823285"/>
      <w:r/>
      <w:bookmarkStart w:id="86" w:name="_Toc120614216"/>
      <w:r/>
      <w:bookmarkStart w:id="87" w:name="_Toc513029213"/>
      <w:r>
        <w:rPr>
          <w:rFonts w:hint="eastAsia"/>
          <w:highlight w:val="none"/>
        </w:rPr>
        <w:t xml:space="preserve">三、投标文件的编制</w:t>
      </w:r>
      <w:bookmarkEnd w:id="83"/>
      <w:r/>
      <w:bookmarkEnd w:id="84"/>
      <w:r/>
      <w:bookmarkEnd w:id="85"/>
      <w:r/>
      <w:bookmarkEnd w:id="86"/>
      <w:r/>
      <w:bookmarkEnd w:id="87"/>
      <w:r>
        <w:rPr>
          <w:rFonts w:hint="eastAsia"/>
          <w:highlight w:val="none"/>
        </w:rPr>
      </w:r>
      <w:r/>
    </w:p>
    <w:p>
      <w:pPr>
        <w:pStyle w:val="971"/>
        <w:spacing w:before="0" w:after="0" w:line="240" w:lineRule="auto"/>
        <w:rPr>
          <w:rFonts w:hint="eastAsia"/>
          <w:bCs w:val="0"/>
          <w:highlight w:val="none"/>
        </w:rPr>
      </w:pPr>
      <w:r/>
      <w:bookmarkStart w:id="88" w:name="_Toc20823286"/>
      <w:r/>
      <w:bookmarkStart w:id="89" w:name="_Toc513029214"/>
      <w:r/>
      <w:bookmarkStart w:id="90" w:name="_Toc16938530"/>
      <w:r/>
      <w:bookmarkStart w:id="91" w:name="_Toc462564073"/>
      <w:r>
        <w:rPr>
          <w:rFonts w:hint="eastAsia"/>
          <w:b w:val="0"/>
          <w:bCs w:val="0"/>
          <w:highlight w:val="none"/>
        </w:rPr>
        <w:t xml:space="preserve">9、投标文件的语言及度量衡单位</w:t>
      </w:r>
      <w:bookmarkEnd w:id="88"/>
      <w:r/>
      <w:bookmarkEnd w:id="89"/>
      <w:r/>
      <w:bookmarkEnd w:id="90"/>
      <w:r/>
      <w:bookmarkEnd w:id="91"/>
      <w:r>
        <w:rPr>
          <w:rFonts w:hint="eastAsia"/>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971"/>
        <w:spacing w:before="0" w:after="0" w:line="240" w:lineRule="auto"/>
        <w:rPr>
          <w:rFonts w:hint="eastAsia"/>
          <w:b w:val="0"/>
          <w:bCs w:val="0"/>
          <w:highlight w:val="none"/>
        </w:rPr>
      </w:pPr>
      <w:r/>
      <w:bookmarkStart w:id="92" w:name="_Toc16938531"/>
      <w:r/>
      <w:bookmarkStart w:id="93" w:name="_Toc20823287"/>
      <w:r/>
      <w:bookmarkStart w:id="94" w:name="_Toc513029215"/>
      <w:r/>
      <w:bookmarkStart w:id="95" w:name="_Toc462564074"/>
      <w:r>
        <w:rPr>
          <w:rFonts w:hint="eastAsia"/>
          <w:b w:val="0"/>
          <w:bCs w:val="0"/>
          <w:highlight w:val="none"/>
        </w:rPr>
        <w:t xml:space="preserve">10、投标文件构成</w:t>
      </w:r>
      <w:bookmarkEnd w:id="92"/>
      <w:r/>
      <w:bookmarkEnd w:id="93"/>
      <w:r/>
      <w:bookmarkEnd w:id="94"/>
      <w:r/>
      <w:bookmarkEnd w:id="95"/>
      <w:r>
        <w:rPr>
          <w:rFonts w:hint="eastAsia"/>
          <w:b w:val="0"/>
          <w:bCs w:val="0"/>
          <w:highlight w:val="none"/>
        </w:rPr>
      </w:r>
      <w:r/>
    </w:p>
    <w:p>
      <w:pPr>
        <w:pStyle w:val="967"/>
        <w:ind w:firstLine="480"/>
        <w:spacing w:line="440" w:lineRule="exact"/>
        <w:rPr>
          <w:rFonts w:hint="eastAsia"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w:t>
      </w:r>
      <w:r>
        <w:rPr>
          <w:rFonts w:hint="eastAsia" w:ascii="宋体" w:hAnsi="宋体"/>
          <w:sz w:val="24"/>
          <w:highlight w:val="none"/>
          <w:u w:val="single"/>
        </w:rPr>
        <w:t xml:space="preserve">资格证明文件</w:t>
      </w:r>
      <w:r>
        <w:rPr>
          <w:rFonts w:hint="eastAsia" w:ascii="宋体" w:hAnsi="宋体"/>
          <w:sz w:val="24"/>
          <w:highlight w:val="none"/>
        </w:rPr>
        <w:t xml:space="preserve">、</w:t>
      </w:r>
      <w:r>
        <w:rPr>
          <w:rFonts w:hint="eastAsia" w:ascii="宋体" w:hAnsi="宋体"/>
          <w:sz w:val="24"/>
          <w:highlight w:val="none"/>
          <w:u w:val="single"/>
        </w:rPr>
        <w:t xml:space="preserve">符合性证明文件</w:t>
      </w:r>
      <w:r>
        <w:rPr>
          <w:rFonts w:hint="eastAsia" w:ascii="宋体" w:hAnsi="宋体"/>
          <w:sz w:val="24"/>
          <w:highlight w:val="none"/>
        </w:rPr>
        <w:t xml:space="preserve">、</w:t>
      </w:r>
      <w:r>
        <w:rPr>
          <w:rFonts w:hint="eastAsia" w:ascii="宋体" w:hAnsi="宋体"/>
          <w:sz w:val="24"/>
          <w:highlight w:val="none"/>
          <w:u w:val="single"/>
        </w:rPr>
        <w:t xml:space="preserve">投标分项报价表</w:t>
      </w:r>
      <w:r>
        <w:rPr>
          <w:rFonts w:hint="eastAsia" w:ascii="宋体" w:hAnsi="宋体"/>
          <w:sz w:val="24"/>
          <w:highlight w:val="none"/>
        </w:rPr>
        <w:t xml:space="preserve">、</w:t>
      </w:r>
      <w:r>
        <w:rPr>
          <w:rFonts w:hint="eastAsia" w:ascii="宋体" w:hAnsi="宋体"/>
          <w:sz w:val="24"/>
          <w:highlight w:val="none"/>
          <w:u w:val="single"/>
        </w:rPr>
        <w:t xml:space="preserve">技术要求响应及偏离表</w:t>
      </w:r>
      <w:r>
        <w:rPr>
          <w:rFonts w:hint="eastAsia" w:ascii="宋体" w:hAnsi="宋体"/>
          <w:sz w:val="24"/>
          <w:highlight w:val="none"/>
        </w:rPr>
        <w:t xml:space="preserve">、</w:t>
      </w:r>
      <w:r>
        <w:rPr>
          <w:rFonts w:hint="eastAsia" w:ascii="宋体" w:hAnsi="宋体"/>
          <w:sz w:val="24"/>
          <w:highlight w:val="none"/>
          <w:u w:val="single"/>
        </w:rPr>
        <w:t xml:space="preserve">商务要求响应及偏离表</w:t>
      </w:r>
      <w:r>
        <w:rPr>
          <w:rFonts w:hint="eastAsia" w:ascii="宋体" w:hAnsi="宋体"/>
          <w:sz w:val="24"/>
          <w:highlight w:val="none"/>
        </w:rPr>
        <w:t xml:space="preserve">、</w:t>
      </w:r>
      <w:r>
        <w:rPr>
          <w:rFonts w:hint="eastAsia" w:ascii="宋体" w:hAnsi="宋体"/>
          <w:sz w:val="24"/>
          <w:highlight w:val="none"/>
          <w:u w:val="single"/>
        </w:rPr>
        <w:t xml:space="preserve">其他证明文件</w:t>
      </w:r>
      <w:r>
        <w:rPr>
          <w:rFonts w:hint="eastAsia" w:ascii="宋体" w:hAnsi="宋体"/>
          <w:sz w:val="24"/>
          <w:highlight w:val="none"/>
        </w:rPr>
        <w:t xml:space="preserve">、</w:t>
      </w:r>
      <w:r>
        <w:rPr>
          <w:rFonts w:hint="eastAsia" w:ascii="宋体" w:hAnsi="宋体"/>
          <w:sz w:val="24"/>
          <w:highlight w:val="none"/>
          <w:u w:val="single"/>
        </w:rPr>
        <w:t xml:space="preserve">投标函</w:t>
      </w:r>
      <w:r>
        <w:rPr>
          <w:rFonts w:hint="eastAsia" w:ascii="宋体" w:hAnsi="宋体"/>
          <w:sz w:val="24"/>
          <w:highlight w:val="none"/>
        </w:rPr>
        <w:t xml:space="preserve">、</w:t>
      </w:r>
      <w:r>
        <w:rPr>
          <w:rFonts w:hint="eastAsia" w:ascii="宋体" w:hAnsi="宋体"/>
          <w:sz w:val="24"/>
          <w:highlight w:val="none"/>
          <w:u w:val="single"/>
        </w:rPr>
        <w:t xml:space="preserve">开标一览表</w:t>
      </w:r>
      <w:r>
        <w:rPr>
          <w:rFonts w:hint="eastAsia" w:ascii="宋体" w:hAnsi="宋体"/>
          <w:sz w:val="24"/>
          <w:highlight w:val="none"/>
        </w:rPr>
        <w:t xml:space="preserve">等部分。</w:t>
      </w:r>
      <w:r>
        <w:rPr>
          <w:rFonts w:hint="eastAsia" w:ascii="宋体" w:hAnsi="宋体"/>
          <w:sz w:val="24"/>
          <w:highlight w:val="none"/>
        </w:rPr>
      </w:r>
      <w:r/>
    </w:p>
    <w:p>
      <w:pPr>
        <w:pStyle w:val="967"/>
        <w:ind w:firstLine="480"/>
        <w:spacing w:line="440" w:lineRule="exact"/>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rPr>
          <w:rFonts w:hint="eastAsia" w:ascii="宋体" w:hAnsi="宋体"/>
          <w:sz w:val="24"/>
          <w:highlight w:val="none"/>
        </w:rPr>
      </w:r>
      <w:r/>
    </w:p>
    <w:p>
      <w:pPr>
        <w:pStyle w:val="971"/>
        <w:spacing w:before="0" w:after="0" w:line="240" w:lineRule="auto"/>
        <w:rPr>
          <w:rFonts w:hint="eastAsia"/>
          <w:b w:val="0"/>
          <w:bCs w:val="0"/>
          <w:highlight w:val="none"/>
        </w:rPr>
      </w:pPr>
      <w:r/>
      <w:bookmarkStart w:id="96" w:name="_Hlt26668975"/>
      <w:r/>
      <w:bookmarkEnd w:id="96"/>
      <w:r/>
      <w:bookmarkStart w:id="97" w:name="_Hlt26954838"/>
      <w:r/>
      <w:bookmarkEnd w:id="97"/>
      <w:r/>
      <w:bookmarkStart w:id="98" w:name="_Hlt26670360"/>
      <w:r/>
      <w:bookmarkEnd w:id="98"/>
      <w:r/>
      <w:bookmarkStart w:id="99" w:name="_Toc14577357"/>
      <w:r/>
      <w:bookmarkStart w:id="100" w:name="_Toc513029219"/>
      <w:r/>
      <w:bookmarkStart w:id="101" w:name="_Toc49090509"/>
      <w:r/>
      <w:bookmarkStart w:id="102" w:name="_Toc49090507"/>
      <w:r/>
      <w:bookmarkStart w:id="103" w:name="_Toc14577354"/>
      <w:r/>
      <w:bookmarkStart w:id="104" w:name="_Toc513029216"/>
      <w:r>
        <w:rPr>
          <w:rFonts w:hint="eastAsia"/>
          <w:b w:val="0"/>
          <w:bCs w:val="0"/>
          <w:highlight w:val="none"/>
        </w:rPr>
        <w:t xml:space="preserve">11、证明投标人及投标标的符合招标文件规定的文件</w:t>
      </w:r>
      <w:bookmarkEnd w:id="99"/>
      <w:r/>
      <w:bookmarkEnd w:id="100"/>
      <w:r/>
      <w:bookmarkEnd w:id="101"/>
      <w:r>
        <w:rPr>
          <w:rFonts w:hint="eastAsia"/>
          <w:b w:val="0"/>
          <w:bCs w:val="0"/>
          <w:highlight w:val="none"/>
        </w:rPr>
      </w:r>
      <w:r/>
    </w:p>
    <w:p>
      <w:pPr>
        <w:pStyle w:val="967"/>
        <w:spacing w:line="480" w:lineRule="exact"/>
        <w:rPr>
          <w:rFonts w:hint="eastAsia" w:ascii="宋体" w:hAnsi="宋体"/>
          <w:sz w:val="24"/>
          <w:szCs w:val="24"/>
          <w:highlight w:val="none"/>
        </w:rPr>
      </w:pPr>
      <w:r/>
      <w:bookmarkEnd w:id="102"/>
      <w:r/>
      <w:bookmarkEnd w:id="103"/>
      <w:r/>
      <w:bookmarkEnd w:id="104"/>
      <w:r/>
      <w:bookmarkStart w:id="105" w:name="_Toc14577355"/>
      <w:r/>
      <w:bookmarkStart w:id="106"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12、投标分项报价</w:t>
      </w:r>
      <w:bookmarkEnd w:id="105"/>
      <w:r/>
      <w:bookmarkStart w:id="107" w:name="_Hlt26670373"/>
      <w:r/>
      <w:bookmarkEnd w:id="107"/>
      <w:r>
        <w:rPr>
          <w:rFonts w:hint="eastAsia"/>
          <w:b w:val="0"/>
          <w:bCs w:val="0"/>
          <w:highlight w:val="none"/>
        </w:rPr>
        <w:t xml:space="preserve">表</w:t>
      </w:r>
      <w:bookmarkEnd w:id="106"/>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投标人应按照招标文件规定格式填报投标分项报价表</w:t>
      </w:r>
      <w:bookmarkStart w:id="108" w:name="_Hlt26670399"/>
      <w:r/>
      <w:bookmarkEnd w:id="108"/>
      <w:r>
        <w:rPr>
          <w:rFonts w:hint="eastAsia" w:ascii="宋体" w:hAnsi="宋体"/>
          <w:sz w:val="24"/>
          <w:highlight w:val="none"/>
        </w:rPr>
        <w:t xml:space="preserve">。</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09" w:name="_Hlt26670486"/>
      <w:r/>
      <w:bookmarkEnd w:id="109"/>
      <w:r/>
      <w:bookmarkStart w:id="110" w:name="_Hlt26670482"/>
      <w:r/>
      <w:bookmarkEnd w:id="110"/>
      <w:r/>
      <w:bookmarkStart w:id="111" w:name="_Hlt26954731"/>
      <w:r/>
      <w:bookmarkEnd w:id="111"/>
      <w:r/>
      <w:bookmarkStart w:id="112" w:name="_Hlt26670425"/>
      <w:r/>
      <w:bookmarkEnd w:id="112"/>
      <w:r/>
      <w:bookmarkStart w:id="113" w:name="_Hlt26954842"/>
      <w:r/>
      <w:bookmarkEnd w:id="113"/>
      <w:r/>
      <w:bookmarkStart w:id="114" w:name="_Hlt26668983"/>
      <w:r/>
      <w:bookmarkEnd w:id="114"/>
      <w:r/>
      <w:bookmarkStart w:id="115" w:name="_Hlt26670403"/>
      <w:r/>
      <w:bookmarkEnd w:id="115"/>
      <w:r/>
      <w:bookmarkStart w:id="116" w:name="_Hlt26954844"/>
      <w:r/>
      <w:bookmarkEnd w:id="116"/>
      <w:r/>
      <w:bookmarkStart w:id="117" w:name="_Hlt26954846"/>
      <w:r/>
      <w:bookmarkEnd w:id="117"/>
      <w:r/>
      <w:bookmarkStart w:id="118" w:name="_Hlt26954848"/>
      <w:r/>
      <w:bookmarkEnd w:id="118"/>
      <w:r>
        <w:rPr>
          <w:rFonts w:hint="eastAsia"/>
          <w:b w:val="0"/>
          <w:bCs w:val="0"/>
          <w:highlight w:val="none"/>
        </w:rPr>
        <w:t xml:space="preserve">13、技术要求响应及偏离表、商务要求响应及偏离表</w:t>
      </w:r>
      <w:r>
        <w:rPr>
          <w:rFonts w:hint="eastAsia"/>
          <w:b w:val="0"/>
          <w:bCs w:val="0"/>
          <w:highlight w:val="none"/>
        </w:rPr>
      </w:r>
      <w:r/>
    </w:p>
    <w:p>
      <w:pPr>
        <w:pStyle w:val="967"/>
        <w:ind w:firstLine="480"/>
        <w:spacing w:line="500" w:lineRule="exact"/>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967"/>
        <w:ind w:firstLine="480"/>
        <w:spacing w:line="50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p>
    <w:p>
      <w:pPr>
        <w:pStyle w:val="971"/>
        <w:spacing w:before="0" w:after="0" w:line="240" w:lineRule="auto"/>
        <w:rPr>
          <w:rFonts w:hint="eastAsia"/>
          <w:b w:val="0"/>
          <w:bCs w:val="0"/>
          <w:highlight w:val="none"/>
        </w:rPr>
      </w:pPr>
      <w:r/>
      <w:bookmarkStart w:id="119" w:name="_Toc49090510"/>
      <w:r/>
      <w:bookmarkStart w:id="120" w:name="_Toc14577359"/>
      <w:r>
        <w:rPr>
          <w:rFonts w:hint="eastAsia"/>
          <w:b w:val="0"/>
          <w:bCs w:val="0"/>
          <w:highlight w:val="none"/>
        </w:rPr>
        <w:t xml:space="preserve">14、投标函和开标一览表</w:t>
      </w:r>
      <w:r>
        <w:rPr>
          <w:rFonts w:hint="eastAsia"/>
          <w:b w:val="0"/>
          <w:bCs w:val="0"/>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67"/>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971"/>
        <w:spacing w:before="0" w:after="0" w:line="240" w:lineRule="auto"/>
        <w:rPr>
          <w:rFonts w:hint="eastAsia"/>
          <w:b w:val="0"/>
          <w:bCs w:val="0"/>
          <w:highlight w:val="none"/>
        </w:rPr>
      </w:pPr>
      <w:r/>
      <w:bookmarkEnd w:id="119"/>
      <w:r/>
      <w:bookmarkEnd w:id="120"/>
      <w:r/>
      <w:bookmarkStart w:id="121" w:name="_Hlt26670489"/>
      <w:r/>
      <w:bookmarkEnd w:id="121"/>
      <w:r/>
      <w:bookmarkStart w:id="122" w:name="_Hlt26954850"/>
      <w:r/>
      <w:bookmarkEnd w:id="122"/>
      <w:r/>
      <w:bookmarkStart w:id="123" w:name="_Hlt26954734"/>
      <w:r/>
      <w:bookmarkEnd w:id="123"/>
      <w:r/>
      <w:bookmarkStart w:id="124" w:name="_Toc14577360"/>
      <w:r/>
      <w:bookmarkStart w:id="125" w:name="_Toc49090511"/>
      <w:r>
        <w:rPr>
          <w:rFonts w:hint="eastAsia"/>
          <w:b w:val="0"/>
          <w:bCs w:val="0"/>
          <w:highlight w:val="none"/>
        </w:rPr>
        <w:t xml:space="preserve">15、投标有效期</w:t>
      </w:r>
      <w:bookmarkEnd w:id="124"/>
      <w:r/>
      <w:bookmarkEnd w:id="125"/>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投标有效期为采购代理机构规定的开标之日后</w:t>
      </w:r>
      <w:r>
        <w:rPr>
          <w:rFonts w:hint="eastAsia" w:ascii="方正仿宋_GB2312" w:hAnsi="方正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16、投标有效期的延长</w:t>
      </w:r>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70"/>
        <w:spacing w:before="145" w:after="145" w:line="360" w:lineRule="auto"/>
        <w:rPr>
          <w:rFonts w:hint="eastAsia"/>
          <w:highlight w:val="none"/>
        </w:rPr>
      </w:pPr>
      <w:r/>
      <w:bookmarkStart w:id="126" w:name="_Hlt26954852"/>
      <w:r/>
      <w:bookmarkEnd w:id="126"/>
      <w:r/>
      <w:bookmarkStart w:id="127" w:name="_Hlt26954739"/>
      <w:r/>
      <w:bookmarkEnd w:id="127"/>
      <w:r/>
      <w:bookmarkStart w:id="128" w:name="_Toc120614217"/>
      <w:r/>
      <w:bookmarkStart w:id="129" w:name="_Toc20823296"/>
      <w:r/>
      <w:bookmarkStart w:id="130" w:name="_Toc16938540"/>
      <w:r/>
      <w:bookmarkStart w:id="131" w:name="_Toc513029224"/>
      <w:r>
        <w:rPr>
          <w:rFonts w:hint="eastAsia"/>
          <w:highlight w:val="none"/>
        </w:rPr>
        <w:t xml:space="preserve">四、投标文件的递交</w:t>
      </w:r>
      <w:bookmarkEnd w:id="128"/>
      <w:r/>
      <w:bookmarkEnd w:id="129"/>
      <w:r/>
      <w:bookmarkEnd w:id="130"/>
      <w:r/>
      <w:bookmarkEnd w:id="131"/>
      <w:r>
        <w:rPr>
          <w:rFonts w:hint="eastAsia"/>
          <w:highlight w:val="none"/>
        </w:rPr>
      </w:r>
      <w:r/>
    </w:p>
    <w:p>
      <w:pPr>
        <w:pStyle w:val="971"/>
        <w:spacing w:before="0" w:after="0" w:line="240" w:lineRule="auto"/>
        <w:rPr>
          <w:rFonts w:hint="eastAsia" w:ascii="黑体"/>
          <w:b w:val="0"/>
          <w:bCs w:val="0"/>
          <w:highlight w:val="none"/>
        </w:rPr>
      </w:pPr>
      <w:r/>
      <w:bookmarkStart w:id="132" w:name="_Toc462564084"/>
      <w:r/>
      <w:bookmarkStart w:id="133" w:name="_Toc16938541"/>
      <w:r/>
      <w:bookmarkStart w:id="134" w:name="_Toc20823297"/>
      <w:r/>
      <w:bookmarkStart w:id="135" w:name="_Toc513029225"/>
      <w:r>
        <w:rPr>
          <w:rFonts w:hint="eastAsia"/>
          <w:b w:val="0"/>
          <w:bCs w:val="0"/>
          <w:highlight w:val="none"/>
        </w:rPr>
        <w:t xml:space="preserve">17、</w:t>
      </w:r>
      <w:r>
        <w:rPr>
          <w:rFonts w:hint="eastAsia" w:ascii="黑体"/>
          <w:b w:val="0"/>
          <w:bCs w:val="0"/>
          <w:highlight w:val="none"/>
        </w:rPr>
        <w:t xml:space="preserve">投标文件</w:t>
      </w:r>
      <w:bookmarkEnd w:id="132"/>
      <w:r/>
      <w:bookmarkEnd w:id="133"/>
      <w:r/>
      <w:bookmarkEnd w:id="134"/>
      <w:r/>
      <w:bookmarkEnd w:id="135"/>
      <w:r>
        <w:rPr>
          <w:rFonts w:hint="eastAsia" w:ascii="黑体"/>
          <w:b w:val="0"/>
          <w:bCs w:val="0"/>
          <w:highlight w:val="none"/>
        </w:rPr>
        <w:t xml:space="preserve">的递交</w:t>
      </w:r>
      <w:r>
        <w:rPr>
          <w:rFonts w:hint="eastAsia" w:ascii="黑体"/>
          <w:b w:val="0"/>
          <w:bCs w:val="0"/>
          <w:highlight w:val="none"/>
        </w:rPr>
      </w:r>
      <w:r/>
    </w:p>
    <w:p>
      <w:pPr>
        <w:pStyle w:val="967"/>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17.1 电子投标文件的递交</w:t>
      </w:r>
      <w:r>
        <w:rPr>
          <w:rFonts w:hint="eastAsia" w:ascii="宋体" w:hAnsi="宋体"/>
          <w:sz w:val="24"/>
          <w:szCs w:val="24"/>
          <w:highlight w:val="none"/>
        </w:rPr>
      </w:r>
      <w:r/>
    </w:p>
    <w:p>
      <w:pPr>
        <w:pStyle w:val="967"/>
        <w:ind w:firstLine="480"/>
        <w:spacing w:line="500" w:lineRule="exact"/>
        <w:rPr>
          <w:rFonts w:hint="eastAsia" w:ascii="宋体" w:hAnsi="宋体"/>
          <w:sz w:val="24"/>
          <w:szCs w:val="24"/>
          <w:highlight w:val="none"/>
        </w:rPr>
      </w:pPr>
      <w:r/>
      <w:bookmarkStart w:id="136" w:name="_Toc16938542"/>
      <w:r/>
      <w:bookmarkStart w:id="137" w:name="_Toc20823298"/>
      <w:r/>
      <w:bookmarkStart w:id="138" w:name="_Toc513029226"/>
      <w:r>
        <w:rPr>
          <w:rFonts w:hint="eastAsia" w:ascii="宋体" w:hAnsi="宋体"/>
          <w:sz w:val="24"/>
          <w:szCs w:val="24"/>
          <w:highlight w:val="none"/>
        </w:rPr>
        <w:t xml:space="preserve">线上提交与接收地点：投标人应当通过“苏采云”系统提交数据电文形式的投标文件（即电子投标），“苏采云”系统自动接收。</w:t>
      </w:r>
      <w:r>
        <w:rPr>
          <w:rFonts w:hint="eastAsia" w:ascii="宋体" w:hAnsi="宋体"/>
          <w:sz w:val="24"/>
          <w:szCs w:val="24"/>
          <w:highlight w:val="none"/>
        </w:rPr>
      </w:r>
      <w:r/>
    </w:p>
    <w:p>
      <w:pPr>
        <w:pStyle w:val="967"/>
        <w:contextualSpacing/>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r>
        <w:rPr>
          <w:rFonts w:hint="eastAsia" w:ascii="宋体" w:hAnsi="宋体" w:cs="宋体"/>
          <w:b/>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17.2.投标文件的密封（加密）要求：</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投标人须通过“苏采云”系统提供的政府采购客户端工具（使用“CA数字证书”）加盖电子签章。</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说明：投标人应在用CA数字证书以及自备的能够登录“苏采云”系统的电脑，在达到开标时间后，使用CA数字证书解密各自投标文件。</w:t>
      </w:r>
      <w:r>
        <w:rPr>
          <w:rFonts w:ascii="宋体" w:hAnsi="宋体" w:cs="宋体"/>
          <w:bCs/>
          <w:sz w:val="24"/>
          <w:szCs w:val="24"/>
          <w:highlight w:val="none"/>
        </w:rPr>
      </w:r>
      <w:r/>
    </w:p>
    <w:p>
      <w:pPr>
        <w:pStyle w:val="967"/>
        <w:contextualSpacing/>
        <w:ind w:firstLine="482"/>
        <w:spacing w:line="360" w:lineRule="auto"/>
        <w:rPr>
          <w:highlight w:val="none"/>
        </w:rPr>
      </w:pPr>
      <w:r>
        <w:rPr>
          <w:rFonts w:hint="eastAsia" w:ascii="宋体" w:hAnsi="宋体" w:cs="宋体"/>
          <w:bCs/>
          <w:sz w:val="24"/>
          <w:szCs w:val="24"/>
          <w:highlight w:val="none"/>
        </w:rPr>
        <w:t xml:space="preserve">投标人未按规定加密的投标文件，“苏采云”系统将拒收并提示。</w:t>
      </w:r>
      <w:r>
        <w:rPr>
          <w:highlight w:val="none"/>
        </w:rPr>
      </w:r>
      <w:r/>
    </w:p>
    <w:p>
      <w:pPr>
        <w:pStyle w:val="971"/>
        <w:rPr>
          <w:rFonts w:hint="eastAsia"/>
          <w:b w:val="0"/>
          <w:highlight w:val="none"/>
        </w:rPr>
      </w:pPr>
      <w:r>
        <w:rPr>
          <w:rFonts w:hint="eastAsia"/>
          <w:b w:val="0"/>
          <w:highlight w:val="none"/>
        </w:rPr>
        <w:t xml:space="preserve">18、投标截止</w:t>
      </w:r>
      <w:bookmarkEnd w:id="136"/>
      <w:r/>
      <w:bookmarkEnd w:id="137"/>
      <w:r/>
      <w:bookmarkEnd w:id="138"/>
      <w:r>
        <w:rPr>
          <w:rFonts w:hint="eastAsia"/>
          <w:b w:val="0"/>
          <w:highlight w:val="none"/>
        </w:rPr>
        <w:t xml:space="preserve">时间</w:t>
      </w:r>
      <w:r>
        <w:rPr>
          <w:rFonts w:hint="eastAsia"/>
          <w:b w:val="0"/>
          <w:highlight w:val="none"/>
        </w:rPr>
      </w:r>
      <w:r/>
    </w:p>
    <w:p>
      <w:pPr>
        <w:pStyle w:val="967"/>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967"/>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39" w:name="_Toc16938543"/>
      <w:r/>
      <w:bookmarkStart w:id="140" w:name="_Toc20823299"/>
      <w:r/>
      <w:bookmarkStart w:id="141" w:name="_Toc513029227"/>
      <w:r>
        <w:rPr>
          <w:rFonts w:hint="eastAsia"/>
          <w:b w:val="0"/>
          <w:bCs w:val="0"/>
          <w:highlight w:val="none"/>
        </w:rPr>
        <w:t xml:space="preserve">19、投标文件</w:t>
      </w:r>
      <w:bookmarkEnd w:id="139"/>
      <w:r/>
      <w:bookmarkEnd w:id="140"/>
      <w:r/>
      <w:bookmarkEnd w:id="141"/>
      <w:r>
        <w:rPr>
          <w:rFonts w:hint="eastAsia"/>
          <w:b w:val="0"/>
          <w:bCs w:val="0"/>
          <w:highlight w:val="none"/>
        </w:rPr>
        <w:t xml:space="preserve">的拒收</w:t>
      </w:r>
      <w:r>
        <w:rPr>
          <w:rFonts w:hint="eastAsia"/>
          <w:b w:val="0"/>
          <w:bCs w:val="0"/>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采购代理机构拒绝接收在其规定的投标截止时间后上传的任何投标文件。</w:t>
      </w:r>
      <w:r>
        <w:rPr>
          <w:rFonts w:hint="eastAsia" w:ascii="宋体" w:hAnsi="宋体"/>
          <w:bCs/>
          <w:sz w:val="24"/>
          <w:highlight w:val="none"/>
        </w:rPr>
      </w:r>
      <w:r/>
    </w:p>
    <w:p>
      <w:pPr>
        <w:pStyle w:val="971"/>
        <w:spacing w:before="0" w:after="0" w:line="240" w:lineRule="auto"/>
        <w:rPr>
          <w:rFonts w:hint="eastAsia"/>
          <w:b w:val="0"/>
          <w:bCs w:val="0"/>
          <w:highlight w:val="none"/>
        </w:rPr>
      </w:pPr>
      <w:r/>
      <w:bookmarkStart w:id="142" w:name="_Toc20823300"/>
      <w:r/>
      <w:bookmarkStart w:id="143" w:name="_Toc513029228"/>
      <w:r/>
      <w:bookmarkStart w:id="144" w:name="_Toc16938544"/>
      <w:r>
        <w:rPr>
          <w:rFonts w:hint="eastAsia"/>
          <w:b w:val="0"/>
          <w:bCs w:val="0"/>
          <w:highlight w:val="none"/>
        </w:rPr>
        <w:t xml:space="preserve">20、投标文件的撤回和修改</w:t>
      </w:r>
      <w:bookmarkEnd w:id="142"/>
      <w:r/>
      <w:bookmarkEnd w:id="143"/>
      <w:r/>
      <w:bookmarkEnd w:id="144"/>
      <w:r>
        <w:rPr>
          <w:rFonts w:hint="eastAsia"/>
          <w:b w:val="0"/>
          <w:bCs w:val="0"/>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rPr>
          <w:rFonts w:hint="eastAsia" w:ascii="宋体" w:hAnsi="宋体"/>
          <w:sz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21.1.1 电子投标文件的撤回</w:t>
      </w:r>
      <w:r>
        <w:rPr>
          <w:rFonts w:hint="eastAsia" w:ascii="宋体" w:hAnsi="宋体"/>
          <w:sz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rPr>
          <w:rFonts w:hint="eastAsia" w:ascii="宋体" w:hAnsi="宋体"/>
          <w:sz w:val="24"/>
          <w:szCs w:val="24"/>
          <w:highlight w:val="none"/>
        </w:rPr>
      </w:r>
      <w:r/>
    </w:p>
    <w:p>
      <w:pPr>
        <w:pStyle w:val="967"/>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w:t>
      </w:r>
      <w:r>
        <w:rPr>
          <w:rFonts w:hint="eastAsia" w:ascii="宋体" w:hAnsi="宋体" w:cs="宋体"/>
          <w:bCs/>
          <w:sz w:val="24"/>
          <w:szCs w:val="24"/>
          <w:highlight w:val="none"/>
        </w:rPr>
        <w:t xml:space="preserve">“苏采云”系统供应商操作手册</w:t>
      </w:r>
      <w:r>
        <w:rPr>
          <w:rFonts w:hint="eastAsia" w:ascii="宋体" w:hAnsi="宋体"/>
          <w:sz w:val="24"/>
          <w:highlight w:val="none"/>
        </w:rPr>
        <w:t xml:space="preserve">。</w:t>
      </w:r>
      <w:r>
        <w:rPr>
          <w:rFonts w:hint="eastAsia" w:ascii="宋体" w:hAnsi="宋体"/>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67"/>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70"/>
        <w:spacing w:before="145" w:after="145" w:line="360" w:lineRule="auto"/>
        <w:rPr>
          <w:rFonts w:hint="eastAsia"/>
          <w:highlight w:val="none"/>
        </w:rPr>
      </w:pPr>
      <w:r/>
      <w:bookmarkStart w:id="145" w:name="_Toc513029229"/>
      <w:r/>
      <w:bookmarkStart w:id="146" w:name="_Toc20823301"/>
      <w:r/>
      <w:bookmarkStart w:id="147" w:name="_Toc16938545"/>
      <w:r/>
      <w:bookmarkStart w:id="148" w:name="_Toc120614218"/>
      <w:r>
        <w:rPr>
          <w:rFonts w:hint="eastAsia"/>
          <w:highlight w:val="none"/>
        </w:rPr>
        <w:t xml:space="preserve">五、开标与评标</w:t>
      </w:r>
      <w:bookmarkEnd w:id="145"/>
      <w:r/>
      <w:bookmarkEnd w:id="146"/>
      <w:r/>
      <w:bookmarkEnd w:id="147"/>
      <w:r/>
      <w:bookmarkEnd w:id="148"/>
      <w:r>
        <w:rPr>
          <w:rFonts w:hint="eastAsia"/>
          <w:highlight w:val="none"/>
        </w:rPr>
      </w:r>
      <w:r/>
    </w:p>
    <w:p>
      <w:pPr>
        <w:pStyle w:val="971"/>
        <w:spacing w:before="0" w:after="0" w:line="240" w:lineRule="auto"/>
        <w:rPr>
          <w:rFonts w:hint="eastAsia"/>
          <w:b w:val="0"/>
          <w:bCs w:val="0"/>
          <w:highlight w:val="none"/>
        </w:rPr>
      </w:pPr>
      <w:r/>
      <w:bookmarkStart w:id="149" w:name="_Toc20823302"/>
      <w:r/>
      <w:bookmarkStart w:id="150" w:name="_Toc16938546"/>
      <w:r/>
      <w:bookmarkStart w:id="151" w:name="_Toc513029230"/>
      <w:r>
        <w:rPr>
          <w:rFonts w:hint="eastAsia"/>
          <w:b w:val="0"/>
          <w:bCs w:val="0"/>
          <w:highlight w:val="none"/>
        </w:rPr>
        <w:t xml:space="preserve">21、开标</w:t>
      </w:r>
      <w:bookmarkEnd w:id="149"/>
      <w:r/>
      <w:bookmarkEnd w:id="150"/>
      <w:r/>
      <w:bookmarkEnd w:id="151"/>
      <w:r>
        <w:rPr>
          <w:rFonts w:hint="eastAsia"/>
          <w:b w:val="0"/>
          <w:bCs w:val="0"/>
          <w:highlight w:val="none"/>
        </w:rPr>
      </w:r>
      <w:r/>
    </w:p>
    <w:p>
      <w:pPr>
        <w:pStyle w:val="967"/>
        <w:contextualSpacing/>
        <w:ind w:firstLine="482"/>
        <w:spacing w:line="360" w:lineRule="auto"/>
        <w:rPr>
          <w:rFonts w:ascii="宋体" w:hAnsi="宋体" w:cs="宋体"/>
          <w:bCs/>
          <w:sz w:val="24"/>
          <w:szCs w:val="24"/>
          <w:highlight w:val="none"/>
        </w:rPr>
      </w:pPr>
      <w:r/>
      <w:bookmarkStart w:id="152" w:name="_Toc16938547"/>
      <w:r/>
      <w:bookmarkStart w:id="153" w:name="_Toc513029231"/>
      <w:r/>
      <w:bookmarkStart w:id="154" w:name="_Toc20823303"/>
      <w:r>
        <w:rPr>
          <w:rFonts w:hint="eastAsia" w:ascii="宋体" w:hAnsi="宋体" w:cs="宋体"/>
          <w:bCs/>
          <w:sz w:val="24"/>
          <w:szCs w:val="24"/>
          <w:highlight w:val="none"/>
        </w:rPr>
        <w:t xml:space="preserve">21.1招标人或招标代理机构将在招标公告中规定的时间和地点组织公开开标。</w:t>
      </w:r>
      <w:r>
        <w:rPr>
          <w:rFonts w:hint="eastAsia" w:ascii="宋体" w:hAnsi="宋体" w:cs="宋体"/>
          <w:sz w:val="24"/>
          <w:szCs w:val="24"/>
          <w:highlight w:val="none"/>
        </w:rPr>
        <w:t xml:space="preserve">投标人应当按照</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规定，参加开标活动，在</w:t>
      </w:r>
      <w:r>
        <w:rPr>
          <w:rFonts w:hint="eastAsia" w:ascii="宋体" w:hAnsi="宋体" w:cs="宋体"/>
          <w:b/>
          <w:sz w:val="24"/>
          <w:szCs w:val="24"/>
          <w:highlight w:val="none"/>
        </w:rPr>
        <w:t xml:space="preserve">开标后</w:t>
      </w:r>
      <w:r>
        <w:rPr>
          <w:rFonts w:hint="eastAsia" w:ascii="宋体" w:hAnsi="宋体" w:cs="宋体"/>
          <w:b/>
          <w:sz w:val="24"/>
          <w:szCs w:val="24"/>
          <w:highlight w:val="none"/>
          <w:u w:val="single"/>
        </w:rPr>
        <w:t xml:space="preserve">30分钟</w:t>
      </w:r>
      <w:r>
        <w:rPr>
          <w:rFonts w:hint="eastAsia" w:ascii="宋体" w:hAnsi="宋体" w:cs="宋体"/>
          <w:b/>
          <w:sz w:val="24"/>
          <w:szCs w:val="24"/>
          <w:highlight w:val="none"/>
        </w:rPr>
        <w:t xml:space="preserve">之内</w:t>
      </w:r>
      <w:r>
        <w:rPr>
          <w:rFonts w:hint="eastAsia" w:ascii="宋体" w:hAnsi="宋体" w:cs="宋体"/>
          <w:sz w:val="24"/>
          <w:szCs w:val="24"/>
          <w:highlight w:val="none"/>
        </w:rPr>
        <w:t xml:space="preserve">对投标文件进行解密。</w:t>
      </w:r>
      <w:r>
        <w:rPr>
          <w:rFonts w:ascii="宋体" w:hAnsi="宋体" w:cs="宋体"/>
          <w:bCs/>
          <w:sz w:val="24"/>
          <w:szCs w:val="24"/>
          <w:highlight w:val="none"/>
        </w:rPr>
      </w:r>
      <w:r/>
    </w:p>
    <w:p>
      <w:pPr>
        <w:pStyle w:val="967"/>
        <w:contextualSpacing/>
        <w:ind w:firstLine="480"/>
        <w:spacing w:line="360" w:lineRule="auto"/>
        <w:rPr>
          <w:rFonts w:ascii="宋体" w:hAnsi="宋体" w:cs="宋体"/>
          <w:b/>
          <w:sz w:val="24"/>
          <w:szCs w:val="24"/>
          <w:highlight w:val="none"/>
        </w:rPr>
      </w:pPr>
      <w:r>
        <w:rPr>
          <w:rFonts w:hint="eastAsia" w:ascii="宋体" w:hAnsi="宋体" w:cs="宋体"/>
          <w:b/>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ascii="宋体" w:hAnsi="宋体" w:cs="宋体"/>
          <w:b/>
          <w:sz w:val="24"/>
          <w:szCs w:val="24"/>
          <w:highlight w:val="none"/>
        </w:rPr>
      </w:r>
      <w:r/>
    </w:p>
    <w:p>
      <w:pPr>
        <w:pStyle w:val="967"/>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21.2</w:t>
      </w:r>
      <w:r>
        <w:rPr>
          <w:rFonts w:hint="eastAsia" w:ascii="宋体" w:hAnsi="宋体" w:cs="宋体"/>
          <w:sz w:val="24"/>
          <w:szCs w:val="24"/>
          <w:highlight w:val="none"/>
        </w:rPr>
        <w:t xml:space="preserve">开标仪式由</w:t>
      </w:r>
      <w:r>
        <w:rPr>
          <w:rFonts w:hint="eastAsia" w:ascii="宋体" w:hAnsi="宋体" w:cs="宋体"/>
          <w:bCs/>
          <w:sz w:val="24"/>
          <w:szCs w:val="24"/>
          <w:highlight w:val="none"/>
        </w:rPr>
        <w:t xml:space="preserve">招标代理机构</w:t>
      </w:r>
      <w:r>
        <w:rPr>
          <w:rFonts w:hint="eastAsia" w:ascii="宋体" w:hAnsi="宋体" w:cs="宋体"/>
          <w:sz w:val="24"/>
          <w:szCs w:val="24"/>
          <w:highlight w:val="none"/>
        </w:rPr>
        <w:t xml:space="preserve">组织。苏采云系统将自动对项目进行开标，并宣布各投标人名称和投标价格。</w:t>
      </w:r>
      <w:r>
        <w:rPr>
          <w:rFonts w:ascii="宋体" w:hAnsi="宋体" w:cs="宋体"/>
          <w:sz w:val="24"/>
          <w:szCs w:val="24"/>
          <w:highlight w:val="none"/>
        </w:rPr>
      </w:r>
      <w:r/>
    </w:p>
    <w:p>
      <w:pPr>
        <w:pStyle w:val="967"/>
        <w:contextualSpacing/>
        <w:ind w:firstLine="482"/>
        <w:spacing w:line="360" w:lineRule="auto"/>
        <w:rPr>
          <w:rFonts w:ascii="宋体" w:hAnsi="宋体" w:cs="宋体"/>
          <w:sz w:val="24"/>
          <w:szCs w:val="24"/>
          <w:highlight w:val="none"/>
        </w:rPr>
      </w:pPr>
      <w:r>
        <w:rPr>
          <w:rFonts w:hint="eastAsia" w:ascii="宋体" w:hAnsi="宋体" w:cs="宋体"/>
          <w:bCs/>
          <w:sz w:val="24"/>
          <w:szCs w:val="24"/>
          <w:highlight w:val="none"/>
        </w:rPr>
        <w:t xml:space="preserve">21.3投标人在开标过程中涉及到的投标文件解密、开标结果确认等工作，应按照“苏采云”系统供应商操作手册规定执行。</w:t>
      </w:r>
      <w:r>
        <w:rPr>
          <w:rFonts w:ascii="宋体" w:hAnsi="宋体" w:cs="宋体"/>
          <w:sz w:val="24"/>
          <w:szCs w:val="24"/>
          <w:highlight w:val="none"/>
        </w:rPr>
      </w:r>
      <w:r/>
    </w:p>
    <w:p>
      <w:pPr>
        <w:pStyle w:val="967"/>
        <w:contextualSpacing/>
        <w:ind w:firstLine="482"/>
        <w:spacing w:line="360" w:lineRule="auto"/>
        <w:rPr>
          <w:rFonts w:ascii="宋体" w:hAnsi="宋体" w:cs="宋体"/>
          <w:b/>
          <w:sz w:val="24"/>
          <w:szCs w:val="24"/>
          <w:highlight w:val="none"/>
        </w:rPr>
      </w:pPr>
      <w:r>
        <w:rPr>
          <w:rFonts w:hint="eastAsia" w:ascii="宋体" w:hAnsi="宋体" w:cs="宋体"/>
          <w:sz w:val="24"/>
          <w:szCs w:val="24"/>
          <w:highlight w:val="none"/>
        </w:rPr>
        <w:t xml:space="preserve">21.4投标人如果对开标过程和开标记录有疑义，应当根据</w:t>
      </w:r>
      <w:r>
        <w:rPr>
          <w:rFonts w:hint="eastAsia" w:ascii="宋体" w:hAnsi="宋体" w:cs="宋体"/>
          <w:bCs/>
          <w:sz w:val="24"/>
          <w:szCs w:val="24"/>
          <w:highlight w:val="none"/>
        </w:rPr>
        <w:t xml:space="preserve">“苏采云”系统供应商操作手册</w:t>
      </w:r>
      <w:r>
        <w:rPr>
          <w:rFonts w:hint="eastAsia" w:ascii="宋体" w:hAnsi="宋体" w:cs="宋体"/>
          <w:sz w:val="24"/>
          <w:szCs w:val="24"/>
          <w:highlight w:val="none"/>
        </w:rPr>
        <w:t xml:space="preserve">规定提出，如苏采云系统中《开标记录表》宣布后5分钟内未提出的，视同认可开标结果。</w:t>
      </w:r>
      <w:r>
        <w:rPr>
          <w:rFonts w:ascii="宋体" w:hAnsi="宋体" w:cs="宋体"/>
          <w:b/>
          <w:sz w:val="24"/>
          <w:szCs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22、评标委员会</w:t>
      </w:r>
      <w:r>
        <w:rPr>
          <w:rFonts w:hint="eastAsia"/>
          <w:b w:val="0"/>
          <w:bCs w:val="0"/>
          <w:highlight w:val="none"/>
        </w:rPr>
      </w:r>
      <w:r/>
    </w:p>
    <w:p>
      <w:pPr>
        <w:pStyle w:val="967"/>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开标后，采购代理机构将立即组织评标委员会（以下简称评委会）进行评标。</w:t>
      </w:r>
      <w:r>
        <w:rPr>
          <w:rFonts w:hint="eastAsia" w:ascii="宋体" w:hAnsi="宋体"/>
          <w:b/>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rPr>
          <w:rFonts w:hint="eastAsia" w:ascii="宋体" w:hAnsi="宋体"/>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22.3评委会独立工作，负责评审所有投标文件并确定中标侯选人。</w:t>
      </w:r>
      <w:r>
        <w:rPr>
          <w:rFonts w:hint="eastAsia" w:ascii="宋体" w:hAnsi="宋体"/>
          <w:sz w:val="24"/>
          <w:szCs w:val="24"/>
          <w:highlight w:val="none"/>
        </w:rPr>
      </w:r>
      <w:r/>
    </w:p>
    <w:p>
      <w:pPr>
        <w:pStyle w:val="971"/>
        <w:spacing w:before="0" w:after="0" w:line="240" w:lineRule="auto"/>
        <w:rPr>
          <w:rFonts w:hint="eastAsia" w:ascii="黑体"/>
          <w:b w:val="0"/>
          <w:bCs w:val="0"/>
          <w:highlight w:val="none"/>
        </w:rPr>
      </w:pPr>
      <w:r>
        <w:rPr>
          <w:rFonts w:hint="eastAsia" w:ascii="黑体"/>
          <w:b w:val="0"/>
          <w:bCs w:val="0"/>
          <w:highlight w:val="none"/>
        </w:rPr>
        <w:t xml:space="preserve">23、评标过程的保密与公正</w:t>
      </w:r>
      <w:r>
        <w:rPr>
          <w:rFonts w:hint="eastAsia" w:ascii="黑体"/>
          <w:b w:val="0"/>
          <w:bCs w:val="0"/>
          <w:highlight w:val="none"/>
        </w:rPr>
      </w:r>
      <w:r/>
    </w:p>
    <w:p>
      <w:pPr>
        <w:pStyle w:val="967"/>
        <w:ind w:firstLine="480"/>
        <w:spacing w:line="500" w:lineRule="exact"/>
        <w:rPr>
          <w:rFonts w:hint="eastAsia" w:ascii="宋体" w:hAnsi="宋体"/>
          <w:bCs/>
          <w:sz w:val="24"/>
          <w:highlight w:val="none"/>
        </w:rPr>
      </w:pPr>
      <w:r/>
      <w:bookmarkEnd w:id="152"/>
      <w:r/>
      <w:bookmarkEnd w:id="153"/>
      <w:r/>
      <w:bookmarkEnd w:id="154"/>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凡是与审查、澄清、评价和比较投标的有关资料以及授标建议等，采购人、评委、采购代理机构均不得向投标人或与评标无关的其他人员透露。</w:t>
      </w:r>
      <w:r>
        <w:rPr>
          <w:rFonts w:hint="eastAsia" w:ascii="宋体" w:hAnsi="宋体"/>
          <w:bCs/>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采购代理机构和评标委员会不向未中标的投标人解释未中标原因，也不公布评标过程中的相关细节。</w:t>
      </w:r>
      <w:r>
        <w:rPr>
          <w:rFonts w:hint="eastAsia" w:ascii="宋体" w:hAnsi="宋体"/>
          <w:sz w:val="24"/>
          <w:szCs w:val="24"/>
          <w:highlight w:val="none"/>
        </w:rPr>
      </w:r>
      <w:r/>
    </w:p>
    <w:p>
      <w:pPr>
        <w:pStyle w:val="967"/>
        <w:ind w:firstLine="480"/>
        <w:spacing w:line="48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71"/>
        <w:spacing w:before="0" w:after="0" w:line="240" w:lineRule="auto"/>
        <w:rPr>
          <w:rFonts w:hint="eastAsia"/>
          <w:b w:val="0"/>
          <w:bCs w:val="0"/>
          <w:highlight w:val="none"/>
        </w:rPr>
      </w:pPr>
      <w:r/>
      <w:bookmarkStart w:id="155" w:name="_Toc16938548"/>
      <w:r/>
      <w:bookmarkStart w:id="156" w:name="_Toc20823304"/>
      <w:r/>
      <w:bookmarkStart w:id="157" w:name="_Toc513029232"/>
      <w:r>
        <w:rPr>
          <w:rFonts w:hint="eastAsia"/>
          <w:b w:val="0"/>
          <w:bCs w:val="0"/>
          <w:highlight w:val="none"/>
        </w:rPr>
        <w:t xml:space="preserve">24、投标文件的澄清</w:t>
      </w:r>
      <w:bookmarkEnd w:id="155"/>
      <w:r/>
      <w:bookmarkEnd w:id="156"/>
      <w:r/>
      <w:bookmarkEnd w:id="157"/>
      <w:r>
        <w:rPr>
          <w:rFonts w:hint="eastAsia"/>
          <w:b w:val="0"/>
          <w:bCs w:val="0"/>
          <w:highlight w:val="none"/>
        </w:rPr>
      </w:r>
      <w:r/>
    </w:p>
    <w:p>
      <w:pPr>
        <w:pStyle w:val="967"/>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67"/>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w:t>
      </w:r>
      <w:r>
        <w:rPr>
          <w:rFonts w:hint="eastAsia" w:ascii="宋体" w:hAnsi="宋体"/>
          <w:sz w:val="24"/>
          <w:szCs w:val="24"/>
          <w:highlight w:val="none"/>
        </w:rPr>
        <w:t xml:space="preserve">投标人</w:t>
      </w:r>
      <w:r>
        <w:rPr>
          <w:rFonts w:ascii="宋体" w:hAnsi="宋体"/>
          <w:sz w:val="24"/>
          <w:szCs w:val="24"/>
          <w:highlight w:val="none"/>
        </w:rPr>
        <w:t xml:space="preserve">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67"/>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rPr>
          <w:rFonts w:hint="eastAsia" w:ascii="宋体" w:hAnsi="宋体"/>
          <w:sz w:val="24"/>
          <w:szCs w:val="24"/>
          <w:highlight w:val="none"/>
        </w:rPr>
      </w:r>
      <w:r/>
    </w:p>
    <w:p>
      <w:pPr>
        <w:pStyle w:val="971"/>
        <w:spacing w:before="0" w:after="0" w:line="240" w:lineRule="auto"/>
        <w:rPr>
          <w:rFonts w:hint="eastAsia"/>
          <w:b w:val="0"/>
          <w:bCs w:val="0"/>
          <w:highlight w:val="none"/>
        </w:rPr>
      </w:pPr>
      <w:r/>
      <w:bookmarkStart w:id="158" w:name="_Toc513029233"/>
      <w:r/>
      <w:bookmarkStart w:id="159" w:name="_Toc20823305"/>
      <w:r/>
      <w:bookmarkStart w:id="160" w:name="_Toc16938549"/>
      <w:r>
        <w:rPr>
          <w:rFonts w:hint="eastAsia"/>
          <w:b w:val="0"/>
          <w:bCs w:val="0"/>
          <w:highlight w:val="none"/>
        </w:rPr>
        <w:t xml:space="preserve">25、对投标文件的初审</w:t>
      </w:r>
      <w:bookmarkEnd w:id="158"/>
      <w:r/>
      <w:bookmarkEnd w:id="159"/>
      <w:r/>
      <w:bookmarkEnd w:id="160"/>
      <w:r>
        <w:rPr>
          <w:rFonts w:hint="eastAsia"/>
          <w:b w:val="0"/>
          <w:bCs w:val="0"/>
          <w:highlight w:val="none"/>
        </w:rPr>
      </w:r>
      <w:r/>
    </w:p>
    <w:p>
      <w:pPr>
        <w:pStyle w:val="967"/>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67"/>
        <w:ind w:firstLine="480"/>
        <w:spacing w:line="460" w:lineRule="exact"/>
        <w:rPr>
          <w:rFonts w:hint="eastAsia" w:ascii="宋体" w:hAnsi="宋体"/>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w:t>
      </w:r>
      <w:r>
        <w:rPr>
          <w:rFonts w:hint="eastAsia" w:ascii="宋体" w:hAnsi="宋体"/>
          <w:sz w:val="24"/>
          <w:highlight w:val="none"/>
        </w:rPr>
        <w:t xml:space="preserve">，采购代理机构将在苏采云系统中告知未通过资格审查或符合性审查的原因，评标结束后，采购代理机构将不再告知未通过资格审查和符合性审查的原因。</w:t>
      </w:r>
      <w:r>
        <w:rPr>
          <w:rFonts w:hint="eastAsia" w:ascii="宋体" w:hAnsi="宋体"/>
          <w:sz w:val="24"/>
          <w:highlight w:val="none"/>
        </w:rPr>
      </w:r>
      <w:r/>
    </w:p>
    <w:p>
      <w:pPr>
        <w:pStyle w:val="967"/>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67"/>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67"/>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967"/>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67"/>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67"/>
        <w:ind w:firstLine="480"/>
        <w:spacing w:line="46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告知投标人</w:t>
      </w:r>
      <w:r>
        <w:rPr>
          <w:rFonts w:ascii="宋体" w:hAnsi="宋体"/>
          <w:bCs/>
          <w:sz w:val="24"/>
          <w:highlight w:val="none"/>
        </w:rPr>
        <w:t xml:space="preserve">，</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967"/>
        <w:ind w:firstLine="482"/>
        <w:spacing w:line="460" w:lineRule="exact"/>
        <w:rPr>
          <w:rFonts w:ascii="宋体" w:hAnsi="宋体"/>
          <w:b/>
          <w:sz w:val="24"/>
          <w:highlight w:val="none"/>
        </w:rPr>
      </w:pPr>
      <w:r/>
      <w:bookmarkStart w:id="161" w:name="_Toc513029234"/>
      <w:r/>
      <w:bookmarkStart w:id="162" w:name="_Toc20823306"/>
      <w:r/>
      <w:bookmarkStart w:id="163" w:name="_Toc16938550"/>
      <w:r>
        <w:rPr>
          <w:rFonts w:ascii="宋体" w:hAnsi="宋体"/>
          <w:b/>
          <w:sz w:val="24"/>
          <w:highlight w:val="none"/>
        </w:rPr>
        <w:t xml:space="preserve">2</w:t>
      </w:r>
      <w:r>
        <w:rPr>
          <w:rFonts w:hint="eastAsia" w:ascii="宋体" w:hAnsi="宋体"/>
          <w:b/>
          <w:sz w:val="24"/>
          <w:highlight w:val="none"/>
        </w:rPr>
        <w:t xml:space="preserve">5</w:t>
      </w:r>
      <w:r>
        <w:rPr>
          <w:rFonts w:ascii="宋体" w:hAnsi="宋体"/>
          <w:b/>
          <w:sz w:val="24"/>
          <w:highlight w:val="none"/>
        </w:rPr>
        <w:t xml:space="preserve">.</w:t>
      </w:r>
      <w:r>
        <w:rPr>
          <w:rFonts w:hint="eastAsia" w:ascii="宋体" w:hAnsi="宋体"/>
          <w:b/>
          <w:sz w:val="24"/>
          <w:highlight w:val="none"/>
        </w:rPr>
        <w:t xml:space="preserve">6</w:t>
      </w:r>
      <w:r>
        <w:rPr>
          <w:rFonts w:ascii="宋体" w:hAnsi="宋体"/>
          <w:b/>
          <w:sz w:val="24"/>
          <w:highlight w:val="none"/>
        </w:rPr>
        <w:t xml:space="preserve">相同品牌产品投标的评审（货物项目适用）</w:t>
      </w:r>
      <w:r>
        <w:rPr>
          <w:rFonts w:ascii="宋体" w:hAnsi="宋体"/>
          <w:b/>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bCs/>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bCs/>
          <w:sz w:val="24"/>
          <w:highlight w:val="none"/>
        </w:rPr>
      </w:r>
      <w:r/>
    </w:p>
    <w:p>
      <w:pPr>
        <w:pStyle w:val="967"/>
        <w:ind w:firstLine="480"/>
        <w:spacing w:line="460" w:lineRule="exact"/>
        <w:rPr>
          <w:rFonts w:ascii="宋体" w:hAnsi="宋体"/>
          <w:bCs/>
          <w:sz w:val="24"/>
          <w:highlight w:val="none"/>
        </w:rPr>
      </w:pPr>
      <w:r>
        <w:rPr>
          <w:rFonts w:ascii="宋体" w:hAnsi="宋体"/>
          <w:bCs/>
          <w:sz w:val="24"/>
          <w:highlight w:val="none"/>
        </w:rPr>
        <w:t xml:space="preserve">非单一产品采购项目，确定核心产品的方法在招标文件技术需求中载明。多家投标人提供的核心产品品牌相同的，按前两款规定处理。</w:t>
      </w:r>
      <w:r>
        <w:rPr>
          <w:rFonts w:ascii="宋体" w:hAnsi="宋体"/>
          <w:b/>
          <w:sz w:val="24"/>
          <w:highlight w:val="none"/>
        </w:rPr>
        <w:t xml:space="preserve">（本项目核心产品详见技术需求）</w:t>
      </w:r>
      <w:r>
        <w:rPr>
          <w:rFonts w:ascii="宋体" w:hAnsi="宋体"/>
          <w:bCs/>
          <w:sz w:val="24"/>
          <w:highlight w:val="none"/>
        </w:rPr>
      </w:r>
      <w:r/>
    </w:p>
    <w:p>
      <w:pPr>
        <w:pStyle w:val="967"/>
        <w:ind w:firstLine="540"/>
        <w:spacing w:line="460" w:lineRule="exact"/>
        <w:rPr>
          <w:rFonts w:hint="eastAsia" w:ascii="宋体" w:hAnsi="宋体"/>
          <w:sz w:val="24"/>
          <w:highlight w:val="none"/>
        </w:rPr>
      </w:pPr>
      <w:r>
        <w:rPr>
          <w:rFonts w:hint="eastAsia" w:ascii="宋体" w:hAnsi="宋体"/>
          <w:sz w:val="24"/>
          <w:highlight w:val="none"/>
        </w:rPr>
        <w:t xml:space="preserve">25.7投标人在开、评标全过程中应保持通讯畅通，及时登录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并安排专人与采购代理机构及评标委员会联系。</w:t>
      </w:r>
      <w:r>
        <w:rPr>
          <w:rFonts w:hint="eastAsia" w:ascii="宋体" w:hAnsi="宋体"/>
          <w:sz w:val="24"/>
          <w:highlight w:val="none"/>
        </w:rPr>
      </w:r>
      <w:r/>
    </w:p>
    <w:p>
      <w:pPr>
        <w:pStyle w:val="971"/>
        <w:spacing w:before="0" w:after="0" w:line="240" w:lineRule="auto"/>
        <w:rPr>
          <w:rFonts w:hint="eastAsia"/>
          <w:b w:val="0"/>
          <w:bCs w:val="0"/>
          <w:highlight w:val="none"/>
        </w:rPr>
      </w:pPr>
      <w:r>
        <w:rPr>
          <w:rFonts w:hint="eastAsia"/>
          <w:b w:val="0"/>
          <w:bCs w:val="0"/>
          <w:highlight w:val="none"/>
        </w:rPr>
        <w:t xml:space="preserve">26、</w:t>
      </w:r>
      <w:bookmarkEnd w:id="161"/>
      <w:r/>
      <w:bookmarkEnd w:id="162"/>
      <w:r/>
      <w:bookmarkEnd w:id="163"/>
      <w:r>
        <w:rPr>
          <w:rFonts w:hint="eastAsia"/>
          <w:b w:val="0"/>
          <w:bCs w:val="0"/>
          <w:highlight w:val="none"/>
        </w:rPr>
        <w:t xml:space="preserve">无效投标条款和废标条款</w:t>
      </w:r>
      <w:r>
        <w:rPr>
          <w:rFonts w:hint="eastAsia"/>
          <w:b w:val="0"/>
          <w:bCs w:val="0"/>
          <w:highlight w:val="none"/>
        </w:rPr>
      </w:r>
      <w:r/>
    </w:p>
    <w:p>
      <w:pPr>
        <w:pStyle w:val="967"/>
        <w:ind w:left="479"/>
        <w:spacing w:line="440" w:lineRule="exact"/>
        <w:rPr>
          <w:rFonts w:hint="eastAsia" w:ascii="宋体" w:hAnsi="宋体"/>
          <w:bCs/>
          <w:sz w:val="24"/>
          <w:highlight w:val="none"/>
        </w:rPr>
      </w:pPr>
      <w:r/>
      <w:bookmarkStart w:id="164" w:name="_Toc513029235"/>
      <w:r/>
      <w:bookmarkStart w:id="165" w:name="_Toc16938551"/>
      <w:r/>
      <w:bookmarkStart w:id="166" w:name="_Toc20823307"/>
      <w:r>
        <w:rPr>
          <w:rFonts w:hint="eastAsia" w:ascii="宋体" w:hAnsi="宋体"/>
          <w:bCs/>
          <w:sz w:val="24"/>
          <w:highlight w:val="none"/>
        </w:rPr>
        <w:t xml:space="preserve">26.1无效投标条款</w:t>
      </w:r>
      <w:r>
        <w:rPr>
          <w:rFonts w:hint="eastAsia" w:ascii="宋体" w:hAnsi="宋体"/>
          <w:bCs/>
          <w:sz w:val="24"/>
          <w:highlight w:val="none"/>
        </w:rPr>
      </w:r>
      <w:r/>
    </w:p>
    <w:p>
      <w:pPr>
        <w:pStyle w:val="967"/>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rPr>
          <w:rFonts w:hint="eastAsia" w:ascii="宋体" w:hAnsi="宋体"/>
          <w:bCs/>
          <w:sz w:val="24"/>
          <w:highlight w:val="none"/>
        </w:rPr>
      </w:r>
      <w:r/>
    </w:p>
    <w:p>
      <w:pPr>
        <w:pStyle w:val="967"/>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w:t>
      </w:r>
      <w:r>
        <w:rPr>
          <w:rFonts w:hint="eastAsia" w:ascii="宋体" w:hAnsi="宋体"/>
          <w:bCs/>
          <w:sz w:val="24"/>
          <w:highlight w:val="none"/>
          <w:u w:val="single"/>
        </w:rPr>
        <w:t xml:space="preserve">未通过符合性审查的</w:t>
      </w:r>
      <w:r>
        <w:rPr>
          <w:rFonts w:hint="eastAsia" w:ascii="宋体" w:hAnsi="宋体"/>
          <w:bCs/>
          <w:sz w:val="24"/>
          <w:highlight w:val="none"/>
        </w:rPr>
        <w:t xml:space="preserve">。</w:t>
      </w:r>
      <w:r>
        <w:rPr>
          <w:rFonts w:hint="eastAsia" w:ascii="宋体" w:hAnsi="宋体"/>
          <w:bCs/>
          <w:i/>
          <w:sz w:val="24"/>
          <w:highlight w:val="none"/>
          <w:u w:val="single"/>
        </w:rPr>
      </w:r>
      <w:r/>
    </w:p>
    <w:p>
      <w:pPr>
        <w:pStyle w:val="967"/>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
          <w:i/>
          <w:sz w:val="24"/>
          <w:highlight w:val="none"/>
          <w:u w:val="single"/>
        </w:rPr>
        <w:t xml:space="preserve">本招标文件中斜体且有下划线部分为实质性要求和条件</w:t>
      </w:r>
      <w:r>
        <w:rPr>
          <w:rFonts w:hint="eastAsia" w:ascii="宋体" w:hAnsi="宋体"/>
          <w:bCs/>
          <w:i/>
          <w:sz w:val="24"/>
          <w:highlight w:val="none"/>
          <w:u w:val="single"/>
        </w:rPr>
        <w:t xml:space="preserve">）。</w:t>
      </w:r>
      <w:r>
        <w:rPr>
          <w:rFonts w:hint="eastAsia" w:ascii="宋体" w:hAnsi="宋体"/>
          <w:bCs/>
          <w:i/>
          <w:sz w:val="24"/>
          <w:highlight w:val="none"/>
          <w:u w:val="singl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67"/>
        <w:ind w:firstLine="480"/>
        <w:spacing w:line="480" w:lineRule="exact"/>
        <w:rPr>
          <w:rFonts w:hint="eastAsia" w:ascii="宋体" w:hAnsi="宋体"/>
          <w:bCs/>
          <w:sz w:val="24"/>
          <w:highlight w:val="none"/>
        </w:rPr>
      </w:pPr>
      <w:r>
        <w:rPr>
          <w:rFonts w:hint="eastAsia" w:ascii="宋体" w:hAnsi="宋体"/>
          <w:bCs/>
          <w:sz w:val="24"/>
          <w:highlight w:val="none"/>
        </w:rPr>
        <w:t xml:space="preserve">26.1.12投标人的商务技术部分得分相差异常悬殊，评标委员会一致认为得分畸低者有可能影响产品质量或者不能诚信履约的。</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26.2.1符合专业条件的投标人或者对招标文件作实质响应的投标人不足三家的。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67"/>
        <w:ind w:left="479"/>
        <w:spacing w:line="44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67"/>
        <w:ind w:left="479"/>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投标截止时间结束后参加投标的投标人不足三家的处理：</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bCs/>
          <w:sz w:val="24"/>
          <w:highlight w:val="none"/>
        </w:rPr>
      </w:r>
      <w:r/>
    </w:p>
    <w:p>
      <w:pPr>
        <w:pStyle w:val="970"/>
        <w:spacing w:before="145" w:after="145" w:line="360" w:lineRule="auto"/>
        <w:rPr>
          <w:rFonts w:hint="eastAsia"/>
          <w:highlight w:val="none"/>
        </w:rPr>
      </w:pPr>
      <w:r/>
      <w:bookmarkStart w:id="167" w:name="_Toc120614219"/>
      <w:r>
        <w:rPr>
          <w:rFonts w:hint="eastAsia"/>
          <w:highlight w:val="none"/>
        </w:rPr>
        <w:t xml:space="preserve">六、</w:t>
      </w:r>
      <w:bookmarkEnd w:id="164"/>
      <w:r/>
      <w:bookmarkEnd w:id="165"/>
      <w:r/>
      <w:bookmarkEnd w:id="166"/>
      <w:r>
        <w:rPr>
          <w:rFonts w:hint="eastAsia"/>
          <w:highlight w:val="none"/>
        </w:rPr>
        <w:t xml:space="preserve">定标</w:t>
      </w:r>
      <w:bookmarkEnd w:id="167"/>
      <w:r>
        <w:rPr>
          <w:rFonts w:hint="eastAsia"/>
          <w:highlight w:val="none"/>
        </w:rPr>
      </w:r>
      <w:r/>
    </w:p>
    <w:p>
      <w:pPr>
        <w:pStyle w:val="971"/>
        <w:spacing w:before="0" w:after="0" w:line="240" w:lineRule="auto"/>
        <w:rPr>
          <w:rFonts w:hint="eastAsia" w:ascii="黑体" w:hAnsi="宋体"/>
          <w:b w:val="0"/>
          <w:sz w:val="30"/>
          <w:szCs w:val="30"/>
          <w:highlight w:val="none"/>
        </w:rPr>
      </w:pPr>
      <w:r/>
      <w:bookmarkStart w:id="168" w:name="_Toc513029238"/>
      <w:r/>
      <w:bookmarkStart w:id="169" w:name="_Toc16938554"/>
      <w:r/>
      <w:bookmarkStart w:id="170" w:name="_Toc20823310"/>
      <w:r>
        <w:rPr>
          <w:rFonts w:hint="eastAsia" w:ascii="黑体" w:hAnsi="宋体"/>
          <w:b w:val="0"/>
          <w:sz w:val="30"/>
          <w:szCs w:val="30"/>
          <w:highlight w:val="none"/>
        </w:rPr>
        <w:t xml:space="preserve">27、</w:t>
      </w:r>
      <w:bookmarkEnd w:id="168"/>
      <w:r>
        <w:rPr>
          <w:rFonts w:hint="eastAsia" w:ascii="黑体" w:hAnsi="宋体"/>
          <w:b w:val="0"/>
          <w:sz w:val="30"/>
          <w:szCs w:val="30"/>
          <w:highlight w:val="none"/>
        </w:rPr>
        <w:t xml:space="preserve">确定</w:t>
      </w:r>
      <w:bookmarkEnd w:id="169"/>
      <w:r/>
      <w:bookmarkEnd w:id="170"/>
      <w:r>
        <w:rPr>
          <w:rFonts w:hint="eastAsia" w:ascii="黑体" w:hAnsi="宋体"/>
          <w:b w:val="0"/>
          <w:sz w:val="30"/>
          <w:szCs w:val="30"/>
          <w:highlight w:val="none"/>
        </w:rPr>
        <w:t xml:space="preserve">中标单位</w:t>
      </w:r>
      <w:r>
        <w:rPr>
          <w:rFonts w:hint="eastAsia" w:ascii="黑体" w:hAnsi="宋体"/>
          <w:b w:val="0"/>
          <w:sz w:val="30"/>
          <w:szCs w:val="30"/>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rPr>
          <w:rFonts w:hint="eastAsia" w:ascii="宋体" w:hAnsi="宋体"/>
          <w:bCs/>
          <w:sz w:val="24"/>
          <w:highlight w:val="none"/>
        </w:rPr>
      </w:r>
      <w:r/>
    </w:p>
    <w:p>
      <w:pPr>
        <w:pStyle w:val="967"/>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采购人应根据评委会推荐的中标候选人确定中标人。</w:t>
      </w:r>
      <w:r>
        <w:rPr>
          <w:rFonts w:hint="eastAsia" w:ascii="宋体" w:hAnsi="宋体"/>
          <w:bCs/>
          <w:sz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采购代理机构将在“江苏政府采购网”发布中标公告，公告期限为1个工作日。</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rPr>
          <w:rFonts w:hint="eastAsia" w:ascii="宋体" w:hAnsi="宋体"/>
          <w:sz w:val="24"/>
          <w:szCs w:val="24"/>
          <w:highlight w:val="none"/>
        </w:rPr>
      </w:r>
      <w:r/>
    </w:p>
    <w:p>
      <w:pPr>
        <w:pStyle w:val="967"/>
        <w:contextualSpacing/>
        <w:ind w:firstLine="482"/>
        <w:spacing w:line="360" w:lineRule="auto"/>
        <w:rPr>
          <w:rFonts w:ascii="宋体" w:hAnsi="宋体" w:cs="宋体"/>
          <w:bCs/>
          <w:sz w:val="24"/>
          <w:szCs w:val="24"/>
          <w:highlight w:val="none"/>
        </w:rPr>
      </w:pPr>
      <w:r/>
      <w:bookmarkStart w:id="171" w:name="_Toc200451960"/>
      <w:r>
        <w:rPr>
          <w:rFonts w:hint="eastAsia" w:ascii="宋体" w:hAnsi="宋体" w:cs="宋体"/>
          <w:bCs/>
          <w:sz w:val="24"/>
          <w:szCs w:val="24"/>
          <w:highlight w:val="none"/>
        </w:rPr>
        <w:t xml:space="preserve">27.4.1提供虚假材料谋取中标的。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27.4.2向招标人或招标代理机构行贿或者评审专家提供其他不正当利益的。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27.4.3恶意竞争，报价明显低于其自身合理成本且又无法提供证明的。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27.4.4属于本文件规定的无效条件，但在评审过程中又未被评标委员会发现的。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27.4.5与评审专家、招标人、其他投标人或者招标代理机构工作人员恶意串通的。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27.4.6采取不正当手段诋毁、排挤其他投标人的。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27.4.7中标后无正当理由拒不与招标人签订政府采购合同或者未按照招标文件确定的事项签订政府采购合同的。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27.4.8将政府采购合同转包的。</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27.5.有下列情形之一的，视为投标人串通参与投标，投标无效：</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27.5.1不同投标人的投标文件由同一单位或者个人编制；</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27.5.2不同投标人委托同一单位或者个人办理投标事宜；</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27.5.3不同投标人的投标文件载明的项目管理成员或者联系人员为同一人；</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27.5.4不同投标人的投标文件异常一致或者响应报价呈规律性差异；</w:t>
      </w:r>
      <w:r>
        <w:rPr>
          <w:rFonts w:ascii="宋体" w:hAnsi="宋体" w:cs="宋体"/>
          <w:bCs/>
          <w:sz w:val="24"/>
          <w:szCs w:val="24"/>
          <w:highlight w:val="none"/>
        </w:rPr>
      </w:r>
      <w:r/>
    </w:p>
    <w:p>
      <w:pPr>
        <w:pStyle w:val="967"/>
        <w:contextualSpacing/>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27.5.5不同投标人的投标文件相互混装。</w:t>
      </w:r>
      <w:r>
        <w:rPr>
          <w:rFonts w:ascii="宋体" w:hAnsi="宋体" w:cs="宋体"/>
          <w:bCs/>
          <w:sz w:val="24"/>
          <w:szCs w:val="24"/>
          <w:highlight w:val="none"/>
        </w:rPr>
      </w:r>
      <w:r/>
    </w:p>
    <w:p>
      <w:pPr>
        <w:pStyle w:val="971"/>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28、质疑处理</w:t>
      </w:r>
      <w:bookmarkEnd w:id="171"/>
      <w:r>
        <w:rPr>
          <w:rFonts w:hint="eastAsia" w:ascii="黑体" w:hAnsi="宋体"/>
          <w:b w:val="0"/>
          <w:sz w:val="30"/>
          <w:szCs w:val="30"/>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967"/>
        <w:ind w:firstLine="480"/>
        <w:spacing w:line="480" w:lineRule="exact"/>
        <w:rPr>
          <w:rFonts w:hint="eastAsia" w:hAnsi="宋体" w:cs="宋体"/>
          <w:sz w:val="24"/>
          <w:szCs w:val="24"/>
          <w:highlight w:val="none"/>
        </w:rPr>
      </w:pPr>
      <w:r>
        <w:rPr>
          <w:rFonts w:hint="eastAsia" w:hAnsi="宋体"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 xml:space="preserve">采购人</w:t>
      </w:r>
      <w:r>
        <w:rPr>
          <w:rFonts w:hint="eastAsia" w:hAnsi="宋体" w:cs="宋体"/>
          <w:sz w:val="24"/>
          <w:szCs w:val="24"/>
          <w:highlight w:val="none"/>
        </w:rPr>
        <w:t xml:space="preserve">将只对投标人第一次质疑作出答复。</w:t>
      </w:r>
      <w:r>
        <w:rPr>
          <w:rFonts w:hint="eastAsia" w:hAnsi="宋体" w:cs="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67"/>
        <w:ind w:firstLine="480"/>
        <w:spacing w:line="480" w:lineRule="exact"/>
        <w:rPr>
          <w:rFonts w:ascii="宋体" w:hAnsi="宋体"/>
          <w:b/>
          <w:sz w:val="24"/>
          <w:szCs w:val="24"/>
          <w:highlight w:val="none"/>
        </w:rPr>
      </w:pPr>
      <w:r>
        <w:rPr>
          <w:rFonts w:hint="eastAsia" w:ascii="宋体" w:hAnsi="宋体"/>
          <w:sz w:val="24"/>
          <w:szCs w:val="24"/>
          <w:highlight w:val="none"/>
        </w:rPr>
        <w:t xml:space="preserve">28.4投标人（含</w:t>
      </w:r>
      <w:r>
        <w:rPr>
          <w:rFonts w:ascii="宋体" w:hAnsi="宋体"/>
          <w:sz w:val="24"/>
          <w:szCs w:val="24"/>
          <w:highlight w:val="none"/>
        </w:rPr>
        <w:t xml:space="preserve">潜在</w:t>
      </w:r>
      <w:r>
        <w:rPr>
          <w:rFonts w:hint="eastAsia" w:ascii="宋体" w:hAnsi="宋体"/>
          <w:sz w:val="24"/>
          <w:szCs w:val="24"/>
          <w:highlight w:val="none"/>
        </w:rPr>
        <w:t xml:space="preserve">投标人</w:t>
      </w:r>
      <w:r>
        <w:rPr>
          <w:rFonts w:ascii="宋体" w:hAnsi="宋体"/>
          <w:sz w:val="24"/>
          <w:szCs w:val="24"/>
          <w:highlight w:val="none"/>
        </w:rPr>
        <w:t xml:space="preserve">）</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投标人</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投标人对除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rPr>
        <w:t xml:space="preserve">采购代理机构</w:t>
      </w:r>
      <w:r>
        <w:rPr>
          <w:rFonts w:ascii="宋体" w:hAnsi="宋体"/>
          <w:sz w:val="24"/>
          <w:szCs w:val="24"/>
          <w:highlight w:val="none"/>
        </w:rPr>
        <w:t xml:space="preserve">提出，由</w:t>
      </w:r>
      <w:r>
        <w:rPr>
          <w:rFonts w:hint="eastAsia" w:ascii="宋体" w:hAnsi="宋体"/>
          <w:sz w:val="24"/>
          <w:szCs w:val="24"/>
          <w:highlight w:val="none"/>
        </w:rPr>
        <w:t xml:space="preserve">采购代理机构负责</w:t>
      </w:r>
      <w:r>
        <w:rPr>
          <w:rFonts w:ascii="宋体" w:hAnsi="宋体"/>
          <w:sz w:val="24"/>
          <w:szCs w:val="24"/>
          <w:highlight w:val="none"/>
        </w:rPr>
        <w:t xml:space="preserve">答复。</w:t>
      </w:r>
      <w:r>
        <w:rPr>
          <w:rFonts w:ascii="宋体" w:hAnsi="宋体"/>
          <w:b/>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采购代理机构及采购人只接收以纸质原件形式送达的质疑,建议投标人尽量通过邮寄方式提交质疑（采购人和采购代理机构不接受未填写快递运单的快件）。</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采购代理机构质疑接收人为陈先生，联系地址：</w:t>
      </w:r>
      <w:r>
        <w:rPr>
          <w:rFonts w:hint="eastAsia" w:ascii="宋体" w:hAnsi="宋体" w:cs="宋体"/>
          <w:sz w:val="24"/>
          <w:szCs w:val="24"/>
          <w:highlight w:val="none"/>
        </w:rPr>
        <w:t xml:space="preserve">南通市崇川区外环东路12号2楼南侧</w:t>
      </w:r>
      <w:r>
        <w:rPr>
          <w:rFonts w:hint="eastAsia" w:ascii="宋体" w:hAnsi="宋体"/>
          <w:sz w:val="24"/>
          <w:szCs w:val="24"/>
          <w:highlight w:val="none"/>
        </w:rPr>
        <w:t xml:space="preserve">，联系电话：</w:t>
      </w:r>
      <w:r>
        <w:rPr>
          <w:rFonts w:hint="eastAsia" w:ascii="宋体" w:hAnsi="宋体"/>
          <w:sz w:val="24"/>
          <w:szCs w:val="24"/>
          <w:highlight w:val="none"/>
        </w:rPr>
        <w:t xml:space="preserve">13167486131，0513-85679898</w:t>
      </w:r>
      <w:r>
        <w:rPr>
          <w:rFonts w:hint="eastAsia" w:ascii="宋体" w:hAnsi="宋体"/>
          <w:sz w:val="24"/>
          <w:szCs w:val="24"/>
          <w:highlight w:val="none"/>
        </w:rPr>
        <w:t xml:space="preserve">。</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未参加投标活动的投标人或在投标活动中自身权益未受到损害的投标人所提出的质疑。</w:t>
      </w:r>
      <w:r>
        <w:rPr>
          <w:rFonts w:hint="eastAsia" w:ascii="宋体" w:hAnsi="宋体"/>
          <w:sz w:val="24"/>
          <w:szCs w:val="24"/>
          <w:highlight w:val="none"/>
        </w:rPr>
      </w:r>
      <w:r/>
    </w:p>
    <w:p>
      <w:pPr>
        <w:pStyle w:val="96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28.5.5投标人组成联合体参加投标，联合体中任何一方或多方未按要求签字、盖章、加盖公章的质疑。</w:t>
      </w:r>
      <w:r>
        <w:rPr>
          <w:rFonts w:hint="eastAsia" w:ascii="宋体" w:hAnsi="宋体"/>
          <w:sz w:val="24"/>
          <w:szCs w:val="24"/>
          <w:highlight w:val="none"/>
        </w:rPr>
      </w:r>
      <w:r/>
    </w:p>
    <w:p>
      <w:pPr>
        <w:pStyle w:val="967"/>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宋体" w:hAnsi="宋体"/>
          <w:sz w:val="24"/>
          <w:szCs w:val="24"/>
          <w:highlight w:val="none"/>
        </w:rPr>
      </w:r>
      <w:r/>
    </w:p>
    <w:p>
      <w:pPr>
        <w:pStyle w:val="971"/>
        <w:spacing w:before="0" w:after="0" w:line="240" w:lineRule="auto"/>
        <w:rPr>
          <w:rFonts w:hint="eastAsia" w:ascii="黑体" w:hAnsi="宋体"/>
          <w:b w:val="0"/>
          <w:sz w:val="30"/>
          <w:szCs w:val="30"/>
          <w:highlight w:val="none"/>
        </w:rPr>
      </w:pPr>
      <w:r>
        <w:rPr>
          <w:rFonts w:hint="eastAsia" w:ascii="黑体" w:hAnsi="宋体"/>
          <w:b w:val="0"/>
          <w:sz w:val="30"/>
          <w:szCs w:val="30"/>
          <w:highlight w:val="none"/>
        </w:rPr>
        <w:t xml:space="preserve">29、中标通知书</w:t>
      </w:r>
      <w:r>
        <w:rPr>
          <w:rFonts w:hint="eastAsia" w:ascii="黑体" w:hAnsi="宋体"/>
          <w:b w:val="0"/>
          <w:sz w:val="30"/>
          <w:szCs w:val="30"/>
          <w:highlight w:val="none"/>
        </w:rPr>
      </w:r>
      <w:r/>
    </w:p>
    <w:p>
      <w:pPr>
        <w:pStyle w:val="96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96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970"/>
        <w:spacing w:before="145" w:after="145" w:line="360" w:lineRule="auto"/>
        <w:rPr>
          <w:rFonts w:hint="eastAsia"/>
          <w:highlight w:val="none"/>
        </w:rPr>
      </w:pPr>
      <w:r/>
      <w:bookmarkStart w:id="172" w:name="_Toc120614220"/>
      <w:r/>
      <w:bookmarkStart w:id="173" w:name="_Toc513029236"/>
      <w:r/>
      <w:bookmarkStart w:id="174" w:name="_Toc20823308"/>
      <w:r/>
      <w:bookmarkStart w:id="175" w:name="_Toc16938552"/>
      <w:r>
        <w:rPr>
          <w:rFonts w:hint="eastAsia"/>
          <w:highlight w:val="none"/>
        </w:rPr>
        <w:t xml:space="preserve">七、授予合同</w:t>
      </w:r>
      <w:bookmarkEnd w:id="172"/>
      <w:r>
        <w:rPr>
          <w:rFonts w:hint="eastAsia"/>
          <w:highlight w:val="none"/>
        </w:rPr>
      </w:r>
      <w:r/>
    </w:p>
    <w:p>
      <w:pPr>
        <w:pStyle w:val="971"/>
        <w:spacing w:before="0" w:after="0" w:line="240" w:lineRule="auto"/>
        <w:rPr>
          <w:rFonts w:hint="eastAsia" w:ascii="黑体" w:hAnsi="宋体"/>
          <w:b w:val="0"/>
          <w:sz w:val="30"/>
          <w:szCs w:val="30"/>
          <w:highlight w:val="none"/>
        </w:rPr>
      </w:pPr>
      <w:r/>
      <w:bookmarkEnd w:id="173"/>
      <w:r/>
      <w:bookmarkEnd w:id="174"/>
      <w:r/>
      <w:bookmarkEnd w:id="175"/>
      <w:r/>
      <w:bookmarkStart w:id="176" w:name="_Toc513029237"/>
      <w:r/>
      <w:bookmarkStart w:id="177" w:name="_Toc16938553"/>
      <w:r/>
      <w:bookmarkStart w:id="178" w:name="_Toc20823309"/>
      <w:r>
        <w:rPr>
          <w:rFonts w:hint="eastAsia" w:ascii="黑体" w:hAnsi="宋体"/>
          <w:b w:val="0"/>
          <w:sz w:val="30"/>
          <w:szCs w:val="30"/>
          <w:highlight w:val="none"/>
        </w:rPr>
        <w:t xml:space="preserve">30. 签订合同</w:t>
      </w:r>
      <w:r>
        <w:rPr>
          <w:rFonts w:hint="eastAsia" w:ascii="黑体" w:hAnsi="宋体"/>
          <w:b w:val="0"/>
          <w:sz w:val="30"/>
          <w:szCs w:val="30"/>
          <w:highlight w:val="none"/>
        </w:rPr>
      </w:r>
      <w:r/>
    </w:p>
    <w:p>
      <w:pPr>
        <w:pStyle w:val="967"/>
        <w:ind w:firstLine="480"/>
        <w:spacing w:line="360" w:lineRule="auto"/>
        <w:rPr>
          <w:rFonts w:ascii="宋体" w:hAnsi="宋体"/>
          <w:sz w:val="24"/>
          <w:szCs w:val="22"/>
          <w:highlight w:val="none"/>
        </w:rPr>
      </w:pPr>
      <w:r>
        <w:rPr>
          <w:rFonts w:hint="eastAsia" w:ascii="宋体" w:hAnsi="宋体"/>
          <w:sz w:val="24"/>
          <w:szCs w:val="22"/>
          <w:highlight w:val="none"/>
        </w:rPr>
        <w:t xml:space="preserve">30.1履约保证金：无</w:t>
      </w:r>
      <w:r>
        <w:rPr>
          <w:rFonts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30.2签订合同</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2.l中标供应商应当在中标通知书发出之日起三十日内，按照招标文件确定的事项与采购人签订政府采购合同。</w:t>
      </w:r>
      <w:r>
        <w:rPr>
          <w:rFonts w:hint="eastAsia" w:ascii="宋体" w:hAnsi="宋体"/>
          <w:sz w:val="24"/>
          <w:szCs w:val="22"/>
          <w:highlight w:val="none"/>
        </w:rPr>
      </w:r>
      <w:r/>
    </w:p>
    <w:p>
      <w:pPr>
        <w:pStyle w:val="967"/>
        <w:ind w:firstLine="360"/>
        <w:jc w:val="left"/>
        <w:spacing w:line="360" w:lineRule="auto"/>
        <w:rPr>
          <w:rFonts w:ascii="宋体" w:hAnsi="宋体" w:cs="宋体"/>
          <w:b/>
          <w:bCs/>
          <w:sz w:val="24"/>
          <w:szCs w:val="22"/>
          <w:highlight w:val="none"/>
        </w:rPr>
      </w:pPr>
      <w:r>
        <w:rPr>
          <w:rFonts w:hint="eastAsia" w:ascii="宋体" w:hAnsi="宋体" w:cs="宋体"/>
          <w:sz w:val="24"/>
          <w:szCs w:val="22"/>
          <w:highlight w:val="none"/>
        </w:rPr>
        <w:t xml:space="preserve">★</w:t>
      </w:r>
      <w:r>
        <w:rPr>
          <w:rFonts w:hint="eastAsia" w:ascii="宋体" w:hAnsi="宋体" w:cs="宋体"/>
          <w:b/>
          <w:bCs/>
          <w:sz w:val="24"/>
          <w:szCs w:val="22"/>
          <w:highlight w:val="none"/>
        </w:rPr>
        <w:t xml:space="preserve">签订合同时需做好提交各类声明函、承诺函、业绩证明、资质、职称证书等相应原件的核查准备；核查后发现虚假或违背承诺的，依照相关法律法规规定处理。</w:t>
      </w:r>
      <w:r>
        <w:rPr>
          <w:rFonts w:ascii="宋体" w:hAnsi="宋体" w:cs="宋体"/>
          <w:b/>
          <w:bCs/>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30.2.2招标文件、中标供应商的投标文件及招投标过程中有关澄清、承诺文件均应作为合同附件。</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30.3货物和服务的追加、减少和添购。</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2"/>
          <w:highlight w:val="none"/>
        </w:rPr>
      </w:r>
      <w:r/>
    </w:p>
    <w:p>
      <w:pPr>
        <w:pStyle w:val="967"/>
        <w:ind w:firstLine="480"/>
        <w:spacing w:line="360" w:lineRule="auto"/>
        <w:rPr>
          <w:rFonts w:hint="eastAsia" w:ascii="宋体" w:hAnsi="宋体"/>
          <w:sz w:val="24"/>
          <w:szCs w:val="22"/>
          <w:highlight w:val="none"/>
        </w:rPr>
      </w:pPr>
      <w:r>
        <w:rPr>
          <w:rFonts w:hint="eastAsia" w:ascii="宋体" w:hAnsi="宋体"/>
          <w:sz w:val="24"/>
          <w:szCs w:val="22"/>
          <w:highlight w:val="none"/>
        </w:rPr>
        <w:t xml:space="preserve">30.3.2采购结束后，采购人若由于各种客观原因，必须对采购项目所牵涉的货物和服务进行适当的减少时，在双方协商一致的前提下，可以按照采购时的价格水平做相应的调减，并据此签订补充合同。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sz w:val="24"/>
          <w:szCs w:val="22"/>
          <w:highlight w:val="none"/>
        </w:rPr>
      </w:r>
      <w:r/>
    </w:p>
    <w:p>
      <w:pPr>
        <w:pStyle w:val="971"/>
        <w:spacing w:before="0" w:after="0" w:line="240" w:lineRule="auto"/>
        <w:rPr>
          <w:rFonts w:ascii="黑体" w:hAnsi="宋体"/>
          <w:b w:val="0"/>
          <w:sz w:val="30"/>
          <w:szCs w:val="30"/>
          <w:highlight w:val="none"/>
        </w:rPr>
      </w:pPr>
      <w:r/>
      <w:bookmarkEnd w:id="176"/>
      <w:r/>
      <w:bookmarkEnd w:id="177"/>
      <w:r/>
      <w:bookmarkEnd w:id="178"/>
      <w:r/>
      <w:bookmarkStart w:id="179" w:name="_Toc120614221"/>
      <w:r/>
      <w:bookmarkStart w:id="180" w:name="_Toc16938558"/>
      <w:r/>
      <w:bookmarkStart w:id="181" w:name="_Toc479757207"/>
      <w:r/>
      <w:bookmarkStart w:id="182" w:name="_Toc513029242"/>
      <w:r/>
      <w:bookmarkStart w:id="183" w:name="_Toc20823314"/>
      <w:r>
        <w:rPr>
          <w:rFonts w:hint="eastAsia" w:ascii="黑体" w:hAnsi="宋体"/>
          <w:b w:val="0"/>
          <w:sz w:val="30"/>
          <w:szCs w:val="30"/>
          <w:highlight w:val="none"/>
        </w:rPr>
        <w:t xml:space="preserve">31、政府采购履约资金扶持政策</w:t>
      </w:r>
      <w:r>
        <w:rPr>
          <w:rFonts w:ascii="黑体" w:hAnsi="宋体"/>
          <w:b w:val="0"/>
          <w:sz w:val="30"/>
          <w:szCs w:val="30"/>
          <w:highlight w:val="none"/>
        </w:rPr>
      </w:r>
      <w:r/>
    </w:p>
    <w:p>
      <w:pPr>
        <w:pStyle w:val="967"/>
        <w:ind w:firstLine="480"/>
        <w:spacing w:line="360" w:lineRule="auto"/>
        <w:rPr>
          <w:rFonts w:hint="eastAsia" w:ascii="宋体" w:hAnsi="宋体"/>
          <w:sz w:val="24"/>
          <w:szCs w:val="22"/>
          <w:highlight w:val="none"/>
        </w:rPr>
        <w:outlineLvl w:val="3"/>
      </w:pPr>
      <w:r>
        <w:rPr>
          <w:rFonts w:hint="eastAsia" w:ascii="宋体" w:hAnsi="宋体"/>
          <w:sz w:val="24"/>
          <w:szCs w:val="22"/>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rPr>
          <w:rFonts w:hint="eastAsia" w:ascii="宋体" w:hAnsi="宋体"/>
          <w:sz w:val="24"/>
          <w:szCs w:val="22"/>
          <w:highlight w:val="none"/>
        </w:rPr>
      </w:r>
      <w:r/>
    </w:p>
    <w:p>
      <w:pPr>
        <w:pStyle w:val="981"/>
        <w:ind w:firstLine="0"/>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ind w:firstLine="480"/>
        <w:spacing w:line="360" w:lineRule="auto"/>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967"/>
        <w:rPr>
          <w:rFonts w:hint="eastAsia"/>
          <w:highlight w:val="none"/>
        </w:rPr>
      </w:pPr>
      <w:r>
        <w:rPr>
          <w:rFonts w:hint="eastAsia"/>
          <w:highlight w:val="none"/>
        </w:rPr>
      </w:r>
      <w:r/>
    </w:p>
    <w:p>
      <w:pPr>
        <w:pStyle w:val="1035"/>
        <w:ind w:firstLine="0"/>
        <w:rPr>
          <w:rFonts w:hint="eastAsia"/>
          <w:highlight w:val="none"/>
        </w:rPr>
      </w:pPr>
      <w:r>
        <w:rPr>
          <w:rFonts w:hint="eastAsia"/>
          <w:highlight w:val="none"/>
        </w:rPr>
      </w:r>
      <w:r/>
    </w:p>
    <w:p>
      <w:pPr>
        <w:pStyle w:val="967"/>
        <w:jc w:val="center"/>
        <w:keepLines/>
        <w:keepNext/>
        <w:pageBreakBefore/>
        <w:rPr>
          <w:rFonts w:hint="eastAsia" w:ascii="Arial" w:hAnsi="Arial" w:eastAsia="黑体"/>
          <w:b/>
          <w:bCs/>
          <w:sz w:val="36"/>
          <w:szCs w:val="36"/>
          <w:highlight w:val="none"/>
        </w:rPr>
        <w:outlineLvl w:val="0"/>
      </w:pPr>
      <w:r/>
      <w:bookmarkEnd w:id="179"/>
      <w:r/>
      <w:bookmarkEnd w:id="180"/>
      <w:r/>
      <w:bookmarkEnd w:id="181"/>
      <w:r/>
      <w:bookmarkEnd w:id="182"/>
      <w:r/>
      <w:bookmarkEnd w:id="183"/>
      <w:r/>
      <w:bookmarkStart w:id="184" w:name="_Hlt16619369"/>
      <w:r/>
      <w:bookmarkEnd w:id="184"/>
      <w:r/>
      <w:bookmarkStart w:id="185" w:name="_Toc49090575"/>
      <w:r/>
      <w:bookmarkStart w:id="186" w:name="_Toc120614281"/>
      <w:r/>
      <w:bookmarkStart w:id="187" w:name="_Toc26554093"/>
      <w:r>
        <w:rPr>
          <w:rFonts w:hint="eastAsia" w:ascii="Arial" w:hAnsi="Arial" w:eastAsia="黑体"/>
          <w:b/>
          <w:bCs/>
          <w:sz w:val="36"/>
          <w:szCs w:val="36"/>
          <w:highlight w:val="none"/>
        </w:rPr>
        <w:t xml:space="preserve">第三章   合同文本</w:t>
      </w:r>
      <w:bookmarkStart w:id="190" w:name="_Toc20823315"/>
      <w:r/>
      <w:bookmarkStart w:id="191" w:name="_Toc16938559"/>
      <w:r/>
      <w:bookmarkStart w:id="192" w:name="_Toc513029243"/>
      <w:r>
        <w:rPr>
          <w:rFonts w:hint="eastAsia" w:ascii="Arial" w:hAnsi="Arial" w:eastAsia="黑体"/>
          <w:b/>
          <w:bCs/>
          <w:sz w:val="36"/>
          <w:szCs w:val="36"/>
          <w:highlight w:val="none"/>
        </w:rPr>
      </w:r>
      <w:r/>
    </w:p>
    <w:p>
      <w:pPr>
        <w:pStyle w:val="967"/>
        <w:ind w:firstLine="560"/>
        <w:spacing w:line="480" w:lineRule="exact"/>
        <w:rPr>
          <w:rFonts w:hint="eastAsia" w:ascii="等线" w:hAnsi="等线" w:eastAsia="等线" w:cs="等线"/>
          <w:bCs/>
          <w:szCs w:val="22"/>
          <w:highlight w:val="none"/>
        </w:rPr>
      </w:pPr>
      <w:r/>
      <w:bookmarkEnd w:id="190"/>
      <w:r/>
      <w:bookmarkEnd w:id="191"/>
      <w:r/>
      <w:bookmarkEnd w:id="192"/>
      <w:r/>
      <w:bookmarkStart w:id="193" w:name="_Hlk184286209"/>
      <w:r>
        <w:rPr>
          <w:rFonts w:hint="eastAsia" w:ascii="等线" w:hAnsi="等线" w:eastAsia="等线" w:cs="等线"/>
          <w:bCs/>
          <w:sz w:val="28"/>
          <w:szCs w:val="28"/>
          <w:highlight w:val="none"/>
        </w:rPr>
        <w:t xml:space="preserve">以下为成交后签定本项目合同的通用条款，成交人不得提出实质性的修改。</w:t>
      </w:r>
      <w:r>
        <w:rPr>
          <w:rFonts w:hint="eastAsia" w:ascii="等线" w:hAnsi="等线" w:eastAsia="等线" w:cs="等线"/>
          <w:bCs/>
          <w:szCs w:val="22"/>
          <w:highlight w:val="none"/>
        </w:rPr>
      </w:r>
      <w:r/>
    </w:p>
    <w:p>
      <w:pPr>
        <w:pStyle w:val="967"/>
        <w:jc w:val="center"/>
        <w:rPr>
          <w:rFonts w:hint="eastAsia" w:ascii="等线" w:hAnsi="等线" w:eastAsia="等线" w:cs="等线"/>
          <w:sz w:val="32"/>
          <w:szCs w:val="32"/>
          <w:highlight w:val="none"/>
        </w:rPr>
      </w:pPr>
      <w:r>
        <w:rPr>
          <w:rFonts w:hint="eastAsia" w:ascii="等线" w:hAnsi="等线" w:eastAsia="等线" w:cs="等线"/>
          <w:sz w:val="32"/>
          <w:szCs w:val="32"/>
          <w:highlight w:val="none"/>
        </w:rPr>
        <w:t xml:space="preserve">南通市政府采购合同</w:t>
      </w:r>
      <w:r>
        <w:rPr>
          <w:rFonts w:hint="eastAsia" w:ascii="等线" w:hAnsi="等线" w:eastAsia="等线" w:cs="等线"/>
          <w:sz w:val="32"/>
          <w:szCs w:val="32"/>
          <w:highlight w:val="none"/>
        </w:rPr>
      </w:r>
      <w:r/>
    </w:p>
    <w:p>
      <w:pPr>
        <w:pStyle w:val="967"/>
        <w:ind w:left="-17" w:hanging="124"/>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w:t>
      </w:r>
      <w:r>
        <w:rPr>
          <w:rFonts w:hint="eastAsia" w:ascii="等线" w:hAnsi="等线" w:eastAsia="等线" w:cs="等线"/>
          <w:sz w:val="24"/>
          <w:szCs w:val="20"/>
          <w:highlight w:val="none"/>
          <w:u w:val="single"/>
        </w:rPr>
        <w:t xml:space="preserve">                            </w:t>
      </w:r>
      <w:r>
        <w:rPr>
          <w:rFonts w:hint="eastAsia" w:ascii="等线" w:hAnsi="等线" w:eastAsia="等线" w:cs="等线"/>
          <w:sz w:val="24"/>
          <w:szCs w:val="20"/>
          <w:highlight w:val="none"/>
        </w:rPr>
        <w:t xml:space="preserve">            合同编号：</w:t>
      </w:r>
      <w:r>
        <w:rPr>
          <w:rFonts w:hint="eastAsia" w:ascii="等线" w:hAnsi="等线" w:eastAsia="等线" w:cs="等线"/>
          <w:sz w:val="24"/>
          <w:szCs w:val="20"/>
          <w:highlight w:val="none"/>
          <w:u w:val="single"/>
        </w:rPr>
        <w:t xml:space="preserve">  CL/ZC-20XX-XX     </w:t>
      </w:r>
      <w:r>
        <w:rPr>
          <w:rFonts w:hint="eastAsia" w:ascii="等线" w:hAnsi="等线" w:eastAsia="等线" w:cs="等线"/>
          <w:sz w:val="24"/>
          <w:szCs w:val="20"/>
          <w:highlight w:val="none"/>
        </w:rPr>
      </w:r>
      <w:r/>
    </w:p>
    <w:p>
      <w:pPr>
        <w:pStyle w:val="967"/>
        <w:ind w:left="-140" w:hanging="1"/>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需方：</w:t>
      </w:r>
      <w:r>
        <w:rPr>
          <w:rFonts w:hint="eastAsia" w:ascii="等线" w:hAnsi="等线" w:eastAsia="等线" w:cs="等线"/>
          <w:sz w:val="24"/>
          <w:szCs w:val="20"/>
          <w:highlight w:val="none"/>
          <w:u w:val="single"/>
        </w:rPr>
        <w:t xml:space="preserve">  南通市城市照明管理处  </w:t>
      </w:r>
      <w:r>
        <w:rPr>
          <w:rFonts w:hint="eastAsia" w:ascii="等线" w:hAnsi="等线" w:eastAsia="等线" w:cs="等线"/>
          <w:sz w:val="24"/>
          <w:szCs w:val="20"/>
          <w:highlight w:val="none"/>
        </w:rPr>
        <w:t xml:space="preserve">               采购编号：</w:t>
      </w:r>
      <w:r>
        <w:rPr>
          <w:rFonts w:hint="eastAsia" w:ascii="等线" w:hAnsi="等线" w:eastAsia="等线" w:cs="等线"/>
          <w:sz w:val="24"/>
          <w:szCs w:val="20"/>
          <w:highlight w:val="none"/>
          <w:u w:val="single"/>
        </w:rPr>
        <w:t xml:space="preserve"> XXXXXXXXXXXXXXXXXXX</w:t>
      </w:r>
      <w:r>
        <w:rPr>
          <w:rFonts w:hint="eastAsia" w:ascii="等线" w:hAnsi="等线" w:eastAsia="等线" w:cs="等线"/>
          <w:sz w:val="24"/>
          <w:szCs w:val="20"/>
          <w:highlight w:val="none"/>
        </w:rPr>
      </w:r>
      <w:r/>
    </w:p>
    <w:p>
      <w:pPr>
        <w:pStyle w:val="967"/>
        <w:ind w:left="-17" w:hanging="124"/>
        <w:spacing w:line="480" w:lineRule="exact"/>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签订地点：</w:t>
      </w:r>
      <w:r>
        <w:rPr>
          <w:rFonts w:hint="eastAsia" w:ascii="等线" w:hAnsi="等线" w:eastAsia="等线" w:cs="等线"/>
          <w:sz w:val="24"/>
          <w:szCs w:val="20"/>
          <w:highlight w:val="none"/>
          <w:u w:val="single"/>
        </w:rPr>
        <w:t xml:space="preserve">  南通市教育路34#       </w:t>
      </w:r>
      <w:r>
        <w:rPr>
          <w:rFonts w:hint="eastAsia" w:ascii="等线" w:hAnsi="等线" w:eastAsia="等线" w:cs="等线"/>
          <w:sz w:val="24"/>
          <w:szCs w:val="20"/>
          <w:highlight w:val="none"/>
        </w:rPr>
        <w:t xml:space="preserve">           签订时间：</w:t>
      </w:r>
      <w:r>
        <w:rPr>
          <w:rFonts w:hint="eastAsia" w:ascii="等线" w:hAnsi="等线" w:eastAsia="等线" w:cs="等线"/>
          <w:sz w:val="24"/>
          <w:szCs w:val="20"/>
          <w:highlight w:val="none"/>
          <w:u w:val="single"/>
        </w:rPr>
        <w:t xml:space="preserve">     20XX-XX-XX     </w:t>
      </w:r>
      <w:r>
        <w:rPr>
          <w:rFonts w:hint="eastAsia" w:ascii="等线" w:hAnsi="等线" w:eastAsia="等线" w:cs="等线"/>
          <w:sz w:val="24"/>
          <w:szCs w:val="20"/>
          <w:highlight w:val="none"/>
        </w:rPr>
      </w:r>
      <w:r/>
    </w:p>
    <w:p>
      <w:pPr>
        <w:pStyle w:val="967"/>
        <w:numPr>
          <w:ilvl w:val="0"/>
          <w:numId w:val="5"/>
        </w:numP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南通市城市照明管理处通过</w:t>
      </w:r>
      <w:r>
        <w:rPr>
          <w:rFonts w:hint="eastAsia" w:ascii="等线" w:hAnsi="等线" w:eastAsia="等线" w:cs="等线"/>
          <w:sz w:val="24"/>
          <w:szCs w:val="20"/>
          <w:highlight w:val="none"/>
          <w:u w:val="single"/>
        </w:rPr>
        <w:t xml:space="preserve">  公开招标  </w:t>
      </w:r>
      <w:r>
        <w:rPr>
          <w:rFonts w:hint="eastAsia" w:ascii="等线" w:hAnsi="等线" w:eastAsia="等线" w:cs="等线"/>
          <w:sz w:val="24"/>
          <w:szCs w:val="20"/>
          <w:highlight w:val="none"/>
        </w:rPr>
        <w:t xml:space="preserve">方式，确定供方为需方的供货商。</w:t>
      </w:r>
      <w:r>
        <w:rPr>
          <w:rFonts w:hint="eastAsia" w:ascii="等线" w:hAnsi="等线" w:eastAsia="等线" w:cs="等线"/>
          <w:sz w:val="24"/>
          <w:szCs w:val="20"/>
          <w:highlight w:val="none"/>
        </w:rPr>
      </w:r>
      <w:r/>
    </w:p>
    <w:p>
      <w:pPr>
        <w:pStyle w:val="967"/>
        <w:numPr>
          <w:ilvl w:val="0"/>
          <w:numId w:val="5"/>
        </w:numPr>
        <w:spacing w:line="360" w:lineRule="auto"/>
        <w:rPr>
          <w:rFonts w:ascii="等线" w:hAnsi="等线" w:eastAsia="等线" w:cs="等线"/>
          <w:sz w:val="24"/>
          <w:szCs w:val="20"/>
          <w:highlight w:val="none"/>
        </w:rPr>
      </w:pPr>
      <w:r>
        <w:rPr>
          <w:rFonts w:hint="eastAsia" w:ascii="等线" w:hAnsi="等线" w:eastAsia="等线" w:cs="等线"/>
          <w:sz w:val="24"/>
          <w:szCs w:val="20"/>
          <w:highlight w:val="none"/>
        </w:rPr>
        <w:t xml:space="preserve">采购清单</w:t>
      </w:r>
      <w:r>
        <w:rPr>
          <w:rFonts w:ascii="等线" w:hAnsi="等线" w:eastAsia="等线" w:cs="等线"/>
          <w:sz w:val="24"/>
          <w:szCs w:val="20"/>
          <w:highlight w:val="none"/>
        </w:rPr>
      </w:r>
      <w:r/>
    </w:p>
    <w:p>
      <w:pPr>
        <w:pStyle w:val="967"/>
        <w:ind w:left="425"/>
        <w:jc w:val="right"/>
        <w:rPr>
          <w:rFonts w:ascii="等线" w:hAnsi="等线" w:eastAsia="等线" w:cs="等线"/>
          <w:szCs w:val="18"/>
          <w:highlight w:val="none"/>
        </w:rPr>
      </w:pPr>
      <w:r>
        <w:rPr>
          <w:rFonts w:hint="eastAsia" w:ascii="等线" w:hAnsi="等线" w:eastAsia="等线" w:cs="等线"/>
          <w:szCs w:val="18"/>
          <w:highlight w:val="none"/>
        </w:rPr>
        <w:t xml:space="preserve">金额单位：元</w:t>
      </w:r>
      <w:r>
        <w:rPr>
          <w:rFonts w:ascii="等线" w:hAnsi="等线" w:eastAsia="等线" w:cs="等线"/>
          <w:szCs w:val="18"/>
          <w:highlight w:val="none"/>
        </w:rPr>
      </w:r>
      <w:r/>
    </w:p>
    <w:tbl>
      <w:tblPr>
        <w:tblpPr w:horzAnchor="margin" w:tblpXSpec="center" w:vertAnchor="text" w:tblpY="572" w:leftFromText="180" w:topFromText="0" w:rightFromText="180" w:bottomFromText="0"/>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304"/>
        <w:gridCol w:w="1888"/>
        <w:gridCol w:w="3152"/>
        <w:gridCol w:w="709"/>
        <w:gridCol w:w="709"/>
        <w:gridCol w:w="709"/>
        <w:gridCol w:w="850"/>
      </w:tblGrid>
      <w:tr>
        <w:trPr>
          <w:trHeight w:val="397"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序号</w:t>
            </w:r>
            <w:r>
              <w:rPr>
                <w:rFonts w:hint="eastAsia" w:ascii="宋体" w:hAnsi="宋体" w:cs="等线"/>
                <w:sz w:val="18"/>
                <w:szCs w:val="18"/>
                <w:highlight w:val="none"/>
              </w:rPr>
            </w:r>
            <w:r/>
          </w:p>
        </w:tc>
        <w:tc>
          <w:tcPr>
            <w:tcW w:w="1304"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工程名称</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产品名称</w:t>
            </w:r>
            <w:r>
              <w:rPr>
                <w:rFonts w:hint="eastAsia" w:ascii="宋体" w:hAnsi="宋体" w:cs="等线"/>
                <w:sz w:val="18"/>
                <w:szCs w:val="18"/>
                <w:highlight w:val="none"/>
              </w:rPr>
            </w:r>
            <w:r/>
          </w:p>
        </w:tc>
        <w:tc>
          <w:tcPr>
            <w:tcW w:w="315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规格型号</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单位</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数量</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单价</w:t>
            </w: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总金额</w:t>
            </w: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bookmarkStart w:id="194" w:name="_Hlk69215943"/>
            <w:r/>
            <w:bookmarkStart w:id="195" w:name="OLE_LINK34"/>
            <w:r/>
            <w:bookmarkStart w:id="196" w:name="OLE_LINK17"/>
            <w:r/>
            <w:bookmarkStart w:id="197" w:name="OLE_LINK18"/>
            <w:r>
              <w:rPr>
                <w:highlight w:val="none"/>
              </w:rPr>
              <w:t xml:space="preserve">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幸余路(通宁大道-工农北路)拓宽改造照明工程</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60W暖白</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280W暖白</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13米双挑路灯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12米2火投光灯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bookmarkEnd w:id="194"/>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14米3火投光灯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411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幸福大道与永兴大道交叉口</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14米2火投光灯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幸福大道与顺达路交叉口</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280W暖白</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12米单挑路灯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顺达路(经九路-工农北路)</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12米2火投光灯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3152"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397" w:hRule="exact"/>
        </w:trPr>
        <w:tc>
          <w:tcPr>
            <w:gridSpan w:val="2"/>
            <w:tcW w:w="1906"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bookmarkEnd w:id="195"/>
            <w:r/>
            <w:bookmarkEnd w:id="196"/>
            <w:r/>
            <w:bookmarkEnd w:id="197"/>
            <w:r>
              <w:rPr>
                <w:rFonts w:hint="eastAsia" w:ascii="宋体" w:hAnsi="宋体" w:cs="等线"/>
                <w:sz w:val="18"/>
                <w:szCs w:val="18"/>
                <w:highlight w:val="none"/>
              </w:rPr>
              <w:t xml:space="preserve">合计</w:t>
            </w:r>
            <w:r>
              <w:rPr>
                <w:rFonts w:hint="eastAsia" w:ascii="宋体" w:hAnsi="宋体" w:cs="等线"/>
                <w:sz w:val="18"/>
                <w:szCs w:val="18"/>
                <w:highlight w:val="none"/>
              </w:rPr>
            </w:r>
            <w:r/>
          </w:p>
        </w:tc>
        <w:tc>
          <w:tcPr>
            <w:gridSpan w:val="5"/>
            <w:tcW w:w="7167"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（大写）</w:t>
            </w:r>
            <w:r>
              <w:rPr>
                <w:rFonts w:hint="eastAsia" w:ascii="宋体" w:hAnsi="宋体" w:cs="等线"/>
                <w:sz w:val="18"/>
                <w:szCs w:val="18"/>
                <w:highlight w:val="none"/>
              </w:rPr>
            </w:r>
            <w:r/>
          </w:p>
        </w:tc>
        <w:tc>
          <w:tcPr>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1587"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备注</w:t>
            </w:r>
            <w:r>
              <w:rPr>
                <w:rFonts w:hint="eastAsia" w:ascii="宋体" w:hAnsi="宋体" w:cs="等线"/>
                <w:sz w:val="18"/>
                <w:szCs w:val="18"/>
                <w:highlight w:val="none"/>
              </w:rPr>
            </w:r>
            <w:r/>
          </w:p>
        </w:tc>
        <w:tc>
          <w:tcPr>
            <w:gridSpan w:val="7"/>
            <w:tcW w:w="9321" w:type="dxa"/>
            <w:vAlign w:val="center"/>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1.报价表中应含清单明细（灯具壳体、LED可调光电源、模组等）报价单。</w:t>
            </w:r>
            <w:r>
              <w:rPr>
                <w:rFonts w:hint="eastAsia" w:ascii="宋体" w:hAnsi="宋体" w:cs="等线"/>
                <w:sz w:val="18"/>
                <w:szCs w:val="18"/>
                <w:highlight w:val="none"/>
              </w:rPr>
            </w:r>
            <w:r/>
          </w:p>
          <w:p>
            <w:pPr>
              <w:pStyle w:val="967"/>
              <w:rPr>
                <w:rFonts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2.灯杆含瓷插板等附件，灯杆门内需要有规格型号、合格标志、生产厂家的永久标识。</w:t>
            </w:r>
            <w:r>
              <w:rPr>
                <w:rFonts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3.由于市政工程的特殊性，如遇施工延期导致供货期延长的，供货单位必须考虑适当风险成本，并列入投标报价中。</w:t>
            </w:r>
            <w:r>
              <w:rPr>
                <w:rFonts w:hint="eastAsia"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4.根据工程实际变化进行调整，最终按实际供货数量为准。</w:t>
            </w:r>
            <w:r>
              <w:rPr>
                <w:rFonts w:hint="eastAsia" w:ascii="宋体" w:hAnsi="宋体" w:cs="等线"/>
                <w:sz w:val="18"/>
                <w:szCs w:val="18"/>
                <w:highlight w:val="none"/>
              </w:rPr>
            </w:r>
            <w:r/>
          </w:p>
          <w:p>
            <w:pPr>
              <w:pStyle w:val="967"/>
              <w:widowControl/>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5.根据需方实际需要进行生产安排，合同签订后安排生产数量。</w:t>
            </w:r>
            <w:r>
              <w:rPr>
                <w:rFonts w:hint="eastAsia" w:ascii="宋体" w:hAnsi="宋体" w:cs="等线"/>
                <w:sz w:val="18"/>
                <w:szCs w:val="18"/>
                <w:highlight w:val="none"/>
              </w:rPr>
            </w:r>
            <w:r/>
          </w:p>
        </w:tc>
      </w:tr>
    </w:tbl>
    <w:p>
      <w:pPr>
        <w:pStyle w:val="967"/>
        <w:ind w:left="425"/>
        <w:jc w:val="left"/>
        <w:rPr>
          <w:rFonts w:hint="eastAsia" w:ascii="等线" w:hAnsi="等线" w:eastAsia="等线" w:cs="等线"/>
          <w:szCs w:val="18"/>
          <w:highlight w:val="none"/>
        </w:rPr>
      </w:pPr>
      <w:r>
        <w:rPr>
          <w:rFonts w:hint="eastAsia" w:ascii="等线" w:hAnsi="等线" w:eastAsia="等线" w:cs="等线"/>
          <w:szCs w:val="18"/>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三、质量要求、技术标准、供方对质量负责的条件和期限：</w:t>
      </w:r>
      <w:r>
        <w:rPr>
          <w:rFonts w:hint="eastAsia" w:ascii="等线" w:hAnsi="等线" w:eastAsia="等线" w:cs="等线"/>
          <w:sz w:val="24"/>
          <w:szCs w:val="20"/>
          <w:highlight w:val="none"/>
        </w:rPr>
      </w:r>
      <w:r/>
    </w:p>
    <w:p>
      <w:pPr>
        <w:pStyle w:val="967"/>
        <w:ind w:firstLine="420"/>
        <w:spacing w:after="120"/>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3.1 质量要求：</w:t>
      </w:r>
      <w:r>
        <w:rPr>
          <w:rFonts w:hint="eastAsia" w:ascii="等线" w:hAnsi="等线" w:eastAsia="等线" w:cs="等线"/>
          <w:sz w:val="24"/>
          <w:szCs w:val="20"/>
          <w:highlight w:val="none"/>
          <w:u w:val="single"/>
        </w:rPr>
        <w:t xml:space="preserve">按照公开招标文件要求。</w:t>
      </w:r>
      <w:r>
        <w:rPr>
          <w:rFonts w:hint="eastAsia" w:ascii="等线" w:hAnsi="等线" w:eastAsia="等线" w:cs="等线"/>
          <w:sz w:val="24"/>
          <w:szCs w:val="20"/>
          <w:highlight w:val="none"/>
          <w:u w:val="single"/>
        </w:rPr>
      </w:r>
      <w:r/>
    </w:p>
    <w:p>
      <w:pPr>
        <w:pStyle w:val="967"/>
        <w:ind w:firstLine="420"/>
        <w:spacing w:after="120"/>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3.2 技术标准：</w:t>
      </w:r>
      <w:r>
        <w:rPr>
          <w:rFonts w:hint="eastAsia" w:ascii="等线" w:hAnsi="等线" w:eastAsia="等线" w:cs="等线"/>
          <w:sz w:val="24"/>
          <w:szCs w:val="20"/>
          <w:highlight w:val="none"/>
          <w:u w:val="single"/>
        </w:rPr>
        <w:t xml:space="preserve">按照公开招标文件要求。</w:t>
      </w:r>
      <w:r>
        <w:rPr>
          <w:rFonts w:hint="eastAsia" w:ascii="等线" w:hAnsi="等线" w:eastAsia="等线" w:cs="等线"/>
          <w:sz w:val="24"/>
          <w:szCs w:val="20"/>
          <w:highlight w:val="none"/>
          <w:u w:val="single"/>
        </w:rPr>
      </w:r>
      <w:r/>
    </w:p>
    <w:p>
      <w:pPr>
        <w:pStyle w:val="967"/>
        <w:ind w:firstLine="409"/>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3.3 供方对质量负责的条件和期限：质保期为3年。质保期计算日自验收合格之日开始。质保期内对本项目提供免费维护和免费更换。</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四、交（提）货地点、方式：</w:t>
      </w:r>
      <w:r>
        <w:rPr>
          <w:rFonts w:hint="eastAsia" w:ascii="等线" w:hAnsi="等线" w:eastAsia="等线" w:cs="等线"/>
          <w:sz w:val="24"/>
          <w:szCs w:val="20"/>
          <w:highlight w:val="none"/>
          <w:u w:val="single"/>
        </w:rPr>
        <w:t xml:space="preserve">按公开招标文件要求。</w:t>
      </w:r>
      <w:r>
        <w:rPr>
          <w:rFonts w:hint="eastAsia" w:ascii="等线" w:hAnsi="等线" w:eastAsia="等线" w:cs="等线"/>
          <w:sz w:val="24"/>
          <w:szCs w:val="20"/>
          <w:highlight w:val="none"/>
          <w:u w:val="single"/>
        </w:rPr>
      </w:r>
      <w:r/>
    </w:p>
    <w:p>
      <w:pPr>
        <w:pStyle w:val="967"/>
        <w:ind w:firstLine="48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供方接需方的生产通知后 20 日内完成生产。全部交付时应同时交付产品的产品合格证。</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五、需方验收前，货物损耗、运费、卸货费等由</w:t>
      </w:r>
      <w:r>
        <w:rPr>
          <w:rFonts w:hint="eastAsia" w:ascii="等线" w:hAnsi="等线" w:eastAsia="等线" w:cs="等线"/>
          <w:sz w:val="24"/>
          <w:szCs w:val="20"/>
          <w:highlight w:val="none"/>
          <w:u w:val="single"/>
        </w:rPr>
        <w:t xml:space="preserve"> 供 </w:t>
      </w:r>
      <w:r>
        <w:rPr>
          <w:rFonts w:hint="eastAsia" w:ascii="等线" w:hAnsi="等线" w:eastAsia="等线" w:cs="等线"/>
          <w:sz w:val="24"/>
          <w:szCs w:val="20"/>
          <w:highlight w:val="none"/>
        </w:rPr>
        <w:t xml:space="preserve">方承担。</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六、包装标准、包装物的供应与回收：</w:t>
      </w:r>
      <w:r>
        <w:rPr>
          <w:rFonts w:hint="eastAsia" w:ascii="等线" w:hAnsi="等线" w:eastAsia="等线" w:cs="等线"/>
          <w:sz w:val="24"/>
          <w:szCs w:val="20"/>
          <w:highlight w:val="none"/>
          <w:u w:val="single"/>
        </w:rPr>
      </w:r>
      <w:r/>
    </w:p>
    <w:p>
      <w:pPr>
        <w:pStyle w:val="967"/>
        <w:contextualSpacing/>
        <w:ind w:firstLine="480"/>
        <w:spacing w:line="360" w:lineRule="auto"/>
        <w:tabs>
          <w:tab w:val="left" w:pos="5325" w:leader="none"/>
        </w:tabs>
        <w:rPr>
          <w:rFonts w:hint="eastAsia" w:ascii="等线" w:hAnsi="等线" w:eastAsia="等线" w:cs="等线"/>
          <w:bCs/>
          <w:sz w:val="24"/>
          <w:szCs w:val="20"/>
          <w:highlight w:val="none"/>
        </w:rPr>
      </w:pPr>
      <w:r>
        <w:rPr>
          <w:rFonts w:hint="eastAsia" w:ascii="等线" w:hAnsi="等线" w:eastAsia="等线" w:cs="等线"/>
          <w:bCs/>
          <w:sz w:val="24"/>
          <w:szCs w:val="20"/>
          <w:highlight w:val="none"/>
        </w:rPr>
        <w:t xml:space="preserve">6.1灯具的包装要求</w:t>
      </w:r>
      <w:r>
        <w:rPr>
          <w:rFonts w:hint="eastAsia" w:ascii="等线" w:hAnsi="等线" w:eastAsia="等线" w:cs="等线"/>
          <w:bCs/>
          <w:sz w:val="24"/>
          <w:szCs w:val="20"/>
          <w:highlight w:val="none"/>
        </w:rPr>
      </w:r>
      <w:r/>
    </w:p>
    <w:p>
      <w:pPr>
        <w:pStyle w:val="967"/>
        <w:contextualSpacing/>
        <w:ind w:left="420"/>
        <w:spacing w:line="360" w:lineRule="auto"/>
        <w:tabs>
          <w:tab w:val="left" w:pos="5325" w:leader="none"/>
        </w:tabs>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1.每盏灯独立包装，将灯具的说明书，配件放置在灯具包装箱内；</w:t>
      </w:r>
      <w:r>
        <w:rPr>
          <w:rFonts w:hint="eastAsia" w:ascii="等线" w:hAnsi="等线" w:eastAsia="等线" w:cs="等线"/>
          <w:sz w:val="24"/>
          <w:szCs w:val="20"/>
          <w:highlight w:val="none"/>
        </w:rPr>
        <w:br w:type="textWrapping" w:clear="all"/>
      </w:r>
      <w:r>
        <w:rPr>
          <w:rFonts w:hint="eastAsia" w:ascii="等线" w:hAnsi="等线" w:eastAsia="等线" w:cs="等线"/>
          <w:sz w:val="24"/>
          <w:szCs w:val="20"/>
          <w:highlight w:val="none"/>
        </w:rPr>
        <w:t xml:space="preserve">2.先用PE袋进行包装，再用专用的发泡板（发泡包装模）进行保护，最外层采用AB双瓦楞纸板，面纸200g，里纸170g，A瓦B瓦140g，堆高建议八层；</w:t>
      </w:r>
      <w:r>
        <w:rPr>
          <w:rFonts w:hint="eastAsia" w:ascii="等线" w:hAnsi="等线" w:eastAsia="等线" w:cs="等线"/>
          <w:sz w:val="24"/>
          <w:szCs w:val="20"/>
          <w:highlight w:val="none"/>
        </w:rPr>
        <w:br w:type="textWrapping" w:clear="all"/>
      </w:r>
      <w:r>
        <w:rPr>
          <w:rFonts w:hint="eastAsia" w:ascii="等线" w:hAnsi="等线" w:eastAsia="等线" w:cs="等线"/>
          <w:sz w:val="24"/>
          <w:szCs w:val="20"/>
          <w:highlight w:val="none"/>
        </w:rPr>
        <w:t xml:space="preserve">3.封口胶将灯具的外箱进行封箱，对灯具的外箱进行标识。</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七、验收标准、方法及提出异议期限：</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7.1验收标准</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7.1.1国家相关标准、行业标准、地方标准或者其他标准、规范。</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7.1.2本公开招标文件提出的技术要求。</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7.2验收方法</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7.2.1在供货后</w:t>
      </w:r>
      <w:r>
        <w:rPr>
          <w:rFonts w:hint="eastAsia" w:ascii="等线" w:hAnsi="等线" w:eastAsia="等线" w:cs="等线"/>
          <w:sz w:val="24"/>
          <w:szCs w:val="20"/>
          <w:highlight w:val="none"/>
          <w:u w:val="single"/>
        </w:rPr>
        <w:t xml:space="preserve">5个工作日</w:t>
      </w:r>
      <w:r>
        <w:rPr>
          <w:rFonts w:hint="eastAsia" w:ascii="等线" w:hAnsi="等线" w:eastAsia="等线" w:cs="等线"/>
          <w:sz w:val="24"/>
          <w:szCs w:val="20"/>
          <w:highlight w:val="none"/>
        </w:rPr>
        <w:t xml:space="preserve">内,采购单位将通知供应厂商共同组织验收。对通知而未参加的供应厂商视同接受验收结论。</w:t>
      </w:r>
      <w:r>
        <w:rPr>
          <w:rFonts w:hint="eastAsia" w:ascii="等线" w:hAnsi="等线" w:eastAsia="等线" w:cs="等线"/>
          <w:sz w:val="24"/>
          <w:szCs w:val="20"/>
          <w:highlight w:val="none"/>
          <w:u w:val="single"/>
        </w:rPr>
        <w:t xml:space="preserve">如验收不合格，供应厂商须在2个工作日内对验收结论作出响应，整改完毕后，采购单位重新组织验收</w:t>
      </w:r>
      <w:r>
        <w:rPr>
          <w:rFonts w:hint="eastAsia" w:ascii="等线" w:hAnsi="等线" w:eastAsia="等线" w:cs="等线"/>
          <w:sz w:val="24"/>
          <w:szCs w:val="20"/>
          <w:highlight w:val="none"/>
        </w:rPr>
        <w:t xml:space="preserve">。</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7.2.2符合公开招标文件规定的，同时制造商必须是提交响应文件时所明确的生产制造厂商的产品为合格产品，供方对质量问题负责包退、包换和包修，因此发生的费用由供方自行负责。在合同有效期内，如与本合同标的物相关的国家质量标准发生变化，则以国家最新颁布的标准及规范执行。如有不符合的，由供方承担全部责任。</w:t>
      </w:r>
      <w:r>
        <w:rPr>
          <w:rFonts w:hint="eastAsia" w:ascii="等线" w:hAnsi="等线" w:eastAsia="等线" w:cs="等线"/>
          <w:sz w:val="24"/>
          <w:szCs w:val="20"/>
          <w:highlight w:val="non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7.3 提出异议期限：2个工作日内。 </w:t>
      </w:r>
      <w:r>
        <w:rPr>
          <w:rFonts w:hint="eastAsia" w:ascii="等线" w:hAnsi="等线" w:eastAsia="等线" w:cs="等线"/>
          <w:sz w:val="24"/>
          <w:szCs w:val="20"/>
          <w:highlight w:val="none"/>
        </w:rPr>
      </w:r>
      <w:r/>
    </w:p>
    <w:p>
      <w:pPr>
        <w:pStyle w:val="967"/>
        <w:ind w:left="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八、安装调试：根据公开招标文件要求。</w:t>
      </w:r>
      <w:r>
        <w:rPr>
          <w:rFonts w:hint="eastAsia" w:ascii="等线" w:hAnsi="等线" w:eastAsia="等线" w:cs="等线"/>
          <w:sz w:val="24"/>
          <w:szCs w:val="20"/>
          <w:highlight w:val="none"/>
          <w:u w:val="single"/>
        </w:rPr>
      </w:r>
      <w:r/>
    </w:p>
    <w:p>
      <w:pPr>
        <w:pStyle w:val="967"/>
        <w:contextualSpacing/>
        <w:ind w:firstLine="420"/>
        <w:spacing w:line="360" w:lineRule="auto"/>
        <w:shd w:val="clear" w:color="auto" w:fill="ffffff"/>
        <w:widowControl/>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九、随机必备品、配件、工具数量及供应方法：</w:t>
      </w:r>
      <w:r>
        <w:rPr>
          <w:rFonts w:hint="eastAsia" w:ascii="等线" w:hAnsi="等线" w:eastAsia="等线" w:cs="等线"/>
          <w:sz w:val="24"/>
          <w:szCs w:val="20"/>
          <w:highlight w:val="none"/>
          <w:u w:val="single"/>
        </w:rPr>
        <w:t xml:space="preserve">根据公开招标文件要求。</w:t>
      </w:r>
      <w:r>
        <w:rPr>
          <w:rFonts w:hint="eastAsia" w:ascii="等线" w:hAnsi="等线" w:eastAsia="等线" w:cs="等线"/>
          <w:sz w:val="24"/>
          <w:szCs w:val="20"/>
          <w:highlight w:val="none"/>
        </w:rPr>
      </w:r>
      <w:r/>
    </w:p>
    <w:p>
      <w:pPr>
        <w:pStyle w:val="967"/>
        <w:contextualSpacing/>
        <w:ind w:firstLine="420"/>
        <w:spacing w:line="360" w:lineRule="auto"/>
        <w:tabs>
          <w:tab w:val="left" w:pos="5325" w:leader="none"/>
        </w:tabs>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十、结算方式及期限：</w:t>
      </w:r>
      <w:r>
        <w:rPr>
          <w:rFonts w:hint="eastAsia" w:ascii="等线" w:hAnsi="等线" w:eastAsia="等线" w:cs="等线"/>
          <w:sz w:val="24"/>
          <w:szCs w:val="20"/>
          <w:highlight w:val="none"/>
          <w:u w:val="single"/>
        </w:rPr>
        <w:t xml:space="preserve">合同签订后，支付合同价的30%作为预付款；验收合格后付至所供货物金额的50％（应付款项金额超过预付款金额后，需方开始实际支付）。</w:t>
      </w:r>
      <w:bookmarkStart w:id="198" w:name="OLE_LINK31"/>
      <w:r>
        <w:rPr>
          <w:rFonts w:hint="eastAsia" w:ascii="等线" w:hAnsi="等线" w:eastAsia="等线" w:cs="等线"/>
          <w:sz w:val="24"/>
          <w:szCs w:val="20"/>
          <w:highlight w:val="none"/>
          <w:u w:val="single"/>
        </w:rPr>
        <w:t xml:space="preserve">18个月后</w:t>
      </w:r>
      <w:bookmarkEnd w:id="198"/>
      <w:r>
        <w:rPr>
          <w:rFonts w:hint="eastAsia" w:ascii="等线" w:hAnsi="等线" w:eastAsia="等线" w:cs="等线"/>
          <w:sz w:val="24"/>
          <w:szCs w:val="20"/>
          <w:highlight w:val="none"/>
          <w:u w:val="single"/>
        </w:rPr>
        <w:t xml:space="preserve">付清余款。实际支付金额按实际供货量照实结算。</w:t>
      </w:r>
      <w:r>
        <w:rPr>
          <w:rFonts w:hint="eastAsia" w:ascii="等线" w:hAnsi="等线" w:eastAsia="等线" w:cs="等线"/>
          <w:sz w:val="24"/>
          <w:szCs w:val="20"/>
          <w:highlight w:val="none"/>
          <w:u w:val="singl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十一、标的物所有权自</w:t>
      </w:r>
      <w:r>
        <w:rPr>
          <w:rFonts w:hint="eastAsia" w:ascii="等线" w:hAnsi="等线" w:eastAsia="等线" w:cs="等线"/>
          <w:sz w:val="24"/>
          <w:szCs w:val="20"/>
          <w:highlight w:val="none"/>
          <w:u w:val="single"/>
        </w:rPr>
        <w:t xml:space="preserve">现场移交</w:t>
      </w:r>
      <w:r>
        <w:rPr>
          <w:rFonts w:hint="eastAsia" w:ascii="等线" w:hAnsi="等线" w:eastAsia="等线" w:cs="等线"/>
          <w:sz w:val="24"/>
          <w:szCs w:val="20"/>
          <w:highlight w:val="none"/>
        </w:rPr>
        <w:t xml:space="preserve">时转移。</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u w:val="single"/>
        </w:rPr>
      </w:pPr>
      <w:r>
        <w:rPr>
          <w:rFonts w:hint="eastAsia" w:ascii="等线" w:hAnsi="等线" w:eastAsia="等线" w:cs="等线"/>
          <w:sz w:val="24"/>
          <w:szCs w:val="20"/>
          <w:highlight w:val="none"/>
        </w:rPr>
        <w:t xml:space="preserve">十二、履约约定：</w:t>
      </w:r>
      <w:r>
        <w:rPr>
          <w:rFonts w:hint="eastAsia" w:ascii="等线" w:hAnsi="等线" w:eastAsia="等线" w:cs="等线"/>
          <w:sz w:val="24"/>
          <w:szCs w:val="20"/>
          <w:highlight w:val="none"/>
          <w:u w:val="single"/>
        </w:rPr>
        <w:t xml:space="preserve">需方因供方严重偏离公开招标技术标准供货，需方要求全部退货的，供方须付给需方合同总价款5%的违约金。并根据此次供货情况对需方造成的损失进行赔偿。在供货过程中，若未按期供货的每延迟1天将按未按期供货货款的1%予以扣减；若供货出现瑕疵但尚未影响使用，按供货货款的1-5%予以扣减。供方如若发生5次及以上不能按期、按质供货，需方有权单方面停止采购，由此造成的损失由供方自行承担。</w:t>
      </w:r>
      <w:r>
        <w:rPr>
          <w:rFonts w:hint="eastAsia" w:ascii="等线" w:hAnsi="等线" w:eastAsia="等线" w:cs="等线"/>
          <w:sz w:val="24"/>
          <w:szCs w:val="20"/>
          <w:highlight w:val="none"/>
          <w:u w:val="singl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十三、本合同在履行过程中发生争议及解决纠纷方式：由双方当事人协商解决；也可提交当地财政政府采购管理部门或工商管理部门调解，协商或调解不成的，按下列第</w:t>
      </w:r>
      <w:r>
        <w:rPr>
          <w:rFonts w:hint="eastAsia" w:ascii="等线" w:hAnsi="等线" w:eastAsia="等线" w:cs="等线"/>
          <w:sz w:val="24"/>
          <w:szCs w:val="20"/>
          <w:highlight w:val="none"/>
          <w:u w:val="single"/>
        </w:rPr>
        <w:t xml:space="preserve"> 1 </w:t>
      </w:r>
      <w:r>
        <w:rPr>
          <w:rFonts w:hint="eastAsia" w:ascii="等线" w:hAnsi="等线" w:eastAsia="等线" w:cs="等线"/>
          <w:sz w:val="24"/>
          <w:szCs w:val="20"/>
          <w:highlight w:val="none"/>
        </w:rPr>
        <w:t xml:space="preserve">种方式解决：</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1、提交南通仲裁委员会仲裁。2、依法向人民法院起诉。</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十四、合同经签署后生效。公开招标文件和公开招标响应文件是合同的附件，与合同有同等效力。</w:t>
      </w:r>
      <w:r>
        <w:rPr>
          <w:rFonts w:hint="eastAsia" w:ascii="等线" w:hAnsi="等线" w:eastAsia="等线" w:cs="等线"/>
          <w:sz w:val="24"/>
          <w:szCs w:val="20"/>
          <w:highlight w:val="none"/>
        </w:rPr>
      </w:r>
      <w:r/>
    </w:p>
    <w:p>
      <w:pPr>
        <w:pStyle w:val="967"/>
        <w:ind w:firstLine="420"/>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十五、本合同一式两份。</w:t>
      </w:r>
      <w:r>
        <w:rPr>
          <w:rFonts w:hint="eastAsia" w:ascii="等线" w:hAnsi="等线" w:eastAsia="等线" w:cs="等线"/>
          <w:sz w:val="24"/>
          <w:szCs w:val="20"/>
          <w:highlight w:val="none"/>
        </w:rPr>
      </w:r>
      <w:r/>
    </w:p>
    <w:tbl>
      <w:tblPr>
        <w:tblW w:w="8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4"/>
        <w:gridCol w:w="4317"/>
      </w:tblGrid>
      <w:tr>
        <w:trPr>
          <w:trHeight w:val="391" w:hRule="exact"/>
        </w:trPr>
        <w:tc>
          <w:tcPr>
            <w:tcW w:w="4064" w:type="dxa"/>
            <w:vAlign w:val="top"/>
            <w:textDirection w:val="lrTb"/>
            <w:noWrap w:val="false"/>
          </w:tcPr>
          <w:p>
            <w:pPr>
              <w:pStyle w:val="967"/>
              <w:jc w:val="cente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供方</w:t>
            </w:r>
            <w:r>
              <w:rPr>
                <w:rFonts w:hint="eastAsia" w:ascii="等线" w:hAnsi="等线" w:eastAsia="等线" w:cs="等线"/>
                <w:sz w:val="24"/>
                <w:szCs w:val="20"/>
                <w:highlight w:val="none"/>
              </w:rPr>
            </w:r>
            <w:r/>
          </w:p>
        </w:tc>
        <w:tc>
          <w:tcPr>
            <w:tcW w:w="4317" w:type="dxa"/>
            <w:vAlign w:val="top"/>
            <w:textDirection w:val="lrTb"/>
            <w:noWrap w:val="false"/>
          </w:tcPr>
          <w:p>
            <w:pPr>
              <w:pStyle w:val="967"/>
              <w:jc w:val="center"/>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需方</w:t>
            </w:r>
            <w:r>
              <w:rPr>
                <w:rFonts w:hint="eastAsia" w:ascii="等线" w:hAnsi="等线" w:eastAsia="等线" w:cs="等线"/>
                <w:sz w:val="24"/>
                <w:szCs w:val="20"/>
                <w:highlight w:val="none"/>
              </w:rPr>
            </w:r>
            <w:r/>
          </w:p>
        </w:tc>
      </w:tr>
      <w:tr>
        <w:trPr>
          <w:trHeight w:val="3175" w:hRule="exact"/>
        </w:trPr>
        <w:tc>
          <w:tcPr>
            <w:tcW w:w="4064" w:type="dxa"/>
            <w:vAlign w:val="top"/>
            <w:textDirection w:val="lrTb"/>
            <w:noWrap w:val="false"/>
          </w:tcPr>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法定代表人或授权人：</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单位名称（章）：</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tc>
        <w:tc>
          <w:tcPr>
            <w:tcW w:w="4317" w:type="dxa"/>
            <w:vAlign w:val="top"/>
            <w:textDirection w:val="lrTb"/>
            <w:noWrap w:val="false"/>
          </w:tcPr>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法定代表人或授权人：</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单位名称（章）：</w:t>
            </w: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r>
            <w:r/>
          </w:p>
        </w:tc>
      </w:tr>
    </w:tbl>
    <w:p>
      <w:pPr>
        <w:pStyle w:val="967"/>
        <w:spacing w:line="360" w:lineRule="auto"/>
        <w:rPr>
          <w:rFonts w:hint="eastAsia" w:ascii="等线" w:hAnsi="等线" w:eastAsia="等线" w:cs="等线"/>
          <w:sz w:val="24"/>
          <w:szCs w:val="20"/>
          <w:highlight w:val="none"/>
        </w:rPr>
      </w:pPr>
      <w:r>
        <w:rPr>
          <w:rFonts w:hint="eastAsia" w:ascii="等线" w:hAnsi="等线" w:eastAsia="等线" w:cs="等线"/>
          <w:sz w:val="24"/>
          <w:szCs w:val="20"/>
          <w:highlight w:val="none"/>
        </w:rPr>
        <w:t xml:space="preserve">有效期限：根据公开招标文件要求</w:t>
      </w:r>
      <w:r>
        <w:rPr>
          <w:rFonts w:hint="eastAsia" w:ascii="等线" w:hAnsi="等线" w:eastAsia="等线" w:cs="等线"/>
          <w:sz w:val="24"/>
          <w:szCs w:val="20"/>
          <w:highlight w:val="none"/>
        </w:rPr>
      </w:r>
      <w:r/>
    </w:p>
    <w:p>
      <w:pPr>
        <w:pStyle w:val="967"/>
        <w:jc w:val="center"/>
        <w:spacing w:line="360" w:lineRule="auto"/>
        <w:rPr>
          <w:rFonts w:hint="eastAsia" w:ascii="宋体" w:hAnsi="宋体" w:cs="宋体"/>
          <w:sz w:val="24"/>
          <w:szCs w:val="24"/>
          <w:highlight w:val="none"/>
        </w:rPr>
        <w:outlineLvl w:val="0"/>
      </w:pPr>
      <w:r>
        <w:rPr>
          <w:rFonts w:hint="eastAsia" w:ascii="宋体" w:hAnsi="宋体" w:cs="宋体"/>
          <w:bCs/>
          <w:sz w:val="44"/>
          <w:highlight w:val="none"/>
        </w:rPr>
        <w:br w:type="page" w:clear="all"/>
      </w:r>
      <w:r>
        <w:rPr>
          <w:rFonts w:hint="eastAsia" w:ascii="宋体" w:hAnsi="宋体" w:cs="宋体"/>
          <w:bCs/>
          <w:sz w:val="44"/>
          <w:highlight w:val="none"/>
        </w:rPr>
        <w:t xml:space="preserve">第四章 采购需求</w:t>
      </w:r>
      <w:r>
        <w:rPr>
          <w:rFonts w:hint="eastAsia" w:ascii="宋体" w:hAnsi="宋体" w:cs="宋体"/>
          <w:sz w:val="24"/>
          <w:szCs w:val="24"/>
          <w:highlight w:val="none"/>
        </w:rPr>
      </w:r>
      <w:r/>
    </w:p>
    <w:p>
      <w:pPr>
        <w:pStyle w:val="967"/>
        <w:spacing w:line="0" w:lineRule="atLeast"/>
        <w:rPr>
          <w:rFonts w:hint="eastAsia" w:ascii="等线" w:hAnsi="等线" w:eastAsia="等线" w:cs="等线"/>
          <w:sz w:val="24"/>
          <w:highlight w:val="none"/>
          <w:lang w:val="zh-CN"/>
        </w:rPr>
      </w:pPr>
      <w:r/>
      <w:bookmarkEnd w:id="193"/>
      <w:r/>
      <w:bookmarkStart w:id="199" w:name="OLE_LINK3"/>
      <w:r/>
      <w:bookmarkStart w:id="200" w:name="OLE_LINK2"/>
      <w:r>
        <w:rPr>
          <w:rFonts w:hint="eastAsia" w:ascii="仿宋" w:hAnsi="仿宋" w:eastAsia="仿宋"/>
          <w:color w:val="000000"/>
          <w:sz w:val="28"/>
          <w:szCs w:val="28"/>
          <w:highlight w:val="none"/>
        </w:rPr>
        <w:t xml:space="preserve">项目属性:</w:t>
      </w:r>
      <w:r>
        <w:rPr>
          <w:rFonts w:hint="eastAsia" w:ascii="等线" w:hAnsi="等线" w:eastAsia="等线" w:cs="等线"/>
          <w:sz w:val="24"/>
          <w:highlight w:val="none"/>
          <w:lang w:val="zh-CN"/>
        </w:rPr>
        <w:t xml:space="preserve"> </w:t>
      </w:r>
      <w:r>
        <w:rPr>
          <w:rFonts w:ascii="等线" w:hAnsi="等线" w:eastAsia="等线" w:cs="等线"/>
          <w:sz w:val="24"/>
          <w:highlight w:val="none"/>
          <w:lang w:val="zh-CN"/>
        </w:rPr>
        <w:t xml:space="preserve">货物类项目。</w:t>
      </w:r>
      <w:r>
        <w:rPr>
          <w:rFonts w:hint="eastAsia" w:ascii="等线" w:hAnsi="等线" w:eastAsia="等线" w:cs="等线"/>
          <w:sz w:val="24"/>
          <w:highlight w:val="none"/>
          <w:lang w:val="zh-CN"/>
        </w:rPr>
      </w:r>
      <w:r/>
    </w:p>
    <w:p>
      <w:pPr>
        <w:pStyle w:val="967"/>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一、采购标的清单</w:t>
      </w:r>
      <w:r>
        <w:rPr>
          <w:rFonts w:hint="eastAsia" w:ascii="宋体" w:hAnsi="宋体" w:cs="宋体"/>
          <w:b/>
          <w:color w:val="000000"/>
          <w:sz w:val="24"/>
          <w:highlight w:val="none"/>
        </w:rPr>
      </w:r>
      <w:r/>
    </w:p>
    <w:tbl>
      <w:tblPr>
        <w:tblW w:w="8638" w:type="dxa"/>
        <w:tblInd w:w="6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3398"/>
        <w:gridCol w:w="4039"/>
      </w:tblGrid>
      <w:tr>
        <w:trPr>
          <w:trHeight w:val="747"/>
        </w:trPr>
        <w:tc>
          <w:tcPr>
            <w:tcW w:w="1201" w:type="dxa"/>
            <w:vAlign w:val="center"/>
            <w:textDirection w:val="lrTb"/>
            <w:noWrap w:val="false"/>
          </w:tcPr>
          <w:p>
            <w:pPr>
              <w:pStyle w:val="967"/>
              <w:jc w:val="center"/>
              <w:spacing w:line="0" w:lineRule="atLeast"/>
              <w:rPr>
                <w:rFonts w:hint="eastAsia" w:ascii="宋体" w:hAnsi="宋体" w:cs="宋体"/>
                <w:sz w:val="24"/>
                <w:highlight w:val="none"/>
              </w:rPr>
            </w:pPr>
            <w:r>
              <w:rPr>
                <w:rFonts w:hint="eastAsia" w:ascii="宋体" w:hAnsi="宋体" w:cs="宋体"/>
                <w:color w:val="000000"/>
                <w:sz w:val="24"/>
                <w:highlight w:val="none"/>
              </w:rPr>
              <w:t xml:space="preserve">分包</w:t>
            </w:r>
            <w:r>
              <w:rPr>
                <w:rFonts w:hint="eastAsia" w:ascii="宋体" w:hAnsi="宋体" w:cs="宋体"/>
                <w:sz w:val="24"/>
                <w:highlight w:val="none"/>
              </w:rPr>
            </w:r>
            <w:r/>
          </w:p>
        </w:tc>
        <w:tc>
          <w:tcPr>
            <w:tcW w:w="3398" w:type="dxa"/>
            <w:vAlign w:val="center"/>
            <w:textDirection w:val="lrTb"/>
            <w:noWrap w:val="false"/>
          </w:tcPr>
          <w:p>
            <w:pPr>
              <w:pStyle w:val="967"/>
              <w:jc w:val="center"/>
              <w:spacing w:line="0" w:lineRule="atLeast"/>
              <w:rPr>
                <w:rFonts w:hint="eastAsia" w:ascii="宋体" w:hAnsi="宋体" w:cs="宋体"/>
                <w:sz w:val="24"/>
                <w:highlight w:val="none"/>
              </w:rPr>
            </w:pPr>
            <w:r>
              <w:rPr>
                <w:rFonts w:hint="eastAsia" w:ascii="宋体" w:hAnsi="宋体" w:cs="宋体"/>
                <w:color w:val="000000"/>
                <w:sz w:val="24"/>
                <w:highlight w:val="none"/>
              </w:rPr>
              <w:t xml:space="preserve">采购标的</w:t>
            </w:r>
            <w:r>
              <w:rPr>
                <w:rFonts w:hint="eastAsia" w:ascii="宋体" w:hAnsi="宋体" w:cs="宋体"/>
                <w:sz w:val="24"/>
                <w:highlight w:val="none"/>
              </w:rPr>
            </w:r>
            <w:r/>
          </w:p>
        </w:tc>
        <w:tc>
          <w:tcPr>
            <w:tcW w:w="4039" w:type="dxa"/>
            <w:vAlign w:val="center"/>
            <w:textDirection w:val="lrTb"/>
            <w:noWrap w:val="false"/>
          </w:tcPr>
          <w:p>
            <w:pPr>
              <w:pStyle w:val="967"/>
              <w:jc w:val="center"/>
              <w:spacing w:line="0" w:lineRule="atLeast"/>
              <w:rPr>
                <w:rFonts w:hint="eastAsia" w:ascii="宋体" w:hAnsi="宋体" w:cs="宋体"/>
                <w:sz w:val="24"/>
                <w:highlight w:val="none"/>
              </w:rPr>
            </w:pPr>
            <w:r>
              <w:rPr>
                <w:rFonts w:hint="eastAsia" w:ascii="宋体" w:hAnsi="宋体" w:cs="宋体"/>
                <w:color w:val="000000"/>
                <w:sz w:val="24"/>
                <w:highlight w:val="none"/>
              </w:rPr>
              <w:t xml:space="preserve">对应中小企业划分标准所属行业</w:t>
            </w:r>
            <w:r>
              <w:rPr>
                <w:rFonts w:hint="eastAsia" w:ascii="宋体" w:hAnsi="宋体" w:cs="宋体"/>
                <w:sz w:val="24"/>
                <w:highlight w:val="none"/>
              </w:rPr>
            </w:r>
            <w:r/>
          </w:p>
        </w:tc>
      </w:tr>
      <w:tr>
        <w:trPr>
          <w:trHeight w:val="1535"/>
        </w:trPr>
        <w:tc>
          <w:tcPr>
            <w:tcW w:w="1201" w:type="dxa"/>
            <w:vAlign w:val="center"/>
            <w:textDirection w:val="lrTb"/>
            <w:noWrap w:val="false"/>
          </w:tcPr>
          <w:p>
            <w:pPr>
              <w:pStyle w:val="967"/>
              <w:jc w:val="center"/>
              <w:spacing w:line="0" w:lineRule="atLeast"/>
              <w:rPr>
                <w:rFonts w:hint="eastAsia" w:ascii="宋体" w:hAnsi="宋体" w:cs="宋体"/>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r>
            <w:r/>
          </w:p>
        </w:tc>
        <w:tc>
          <w:tcPr>
            <w:tcW w:w="3398" w:type="dxa"/>
            <w:vAlign w:val="center"/>
            <w:textDirection w:val="lrTb"/>
            <w:noWrap w:val="false"/>
          </w:tcPr>
          <w:p>
            <w:pPr>
              <w:pStyle w:val="967"/>
              <w:jc w:val="center"/>
              <w:spacing w:line="0" w:lineRule="atLeast"/>
              <w:tabs>
                <w:tab w:val="left" w:pos="2022" w:leader="none"/>
              </w:tabs>
              <w:rPr>
                <w:rFonts w:hint="eastAsia" w:ascii="宋体" w:hAnsi="宋体" w:eastAsia="宋体" w:cs="宋体"/>
                <w:sz w:val="24"/>
                <w:highlight w:val="none"/>
                <w:lang w:eastAsia="zh-CN"/>
              </w:rPr>
            </w:pPr>
            <w:r>
              <w:rPr>
                <w:rFonts w:hint="eastAsia" w:ascii="宋体" w:hAnsi="宋体"/>
                <w:bCs/>
                <w:sz w:val="24"/>
                <w:szCs w:val="24"/>
                <w:highlight w:val="none"/>
                <w:lang w:eastAsia="zh-CN"/>
              </w:rPr>
              <w:t xml:space="preserve">南通市城市照明管理处路灯主材（幸余路灯杆灯具）（重新采购）</w:t>
            </w:r>
            <w:r>
              <w:rPr>
                <w:rFonts w:hint="eastAsia" w:ascii="宋体" w:hAnsi="宋体" w:eastAsia="宋体" w:cs="宋体"/>
                <w:sz w:val="24"/>
                <w:highlight w:val="none"/>
                <w:lang w:eastAsia="zh-CN"/>
              </w:rPr>
            </w:r>
            <w:r/>
          </w:p>
        </w:tc>
        <w:tc>
          <w:tcPr>
            <w:tcW w:w="4039" w:type="dxa"/>
            <w:vAlign w:val="center"/>
            <w:textDirection w:val="lrTb"/>
            <w:noWrap w:val="false"/>
          </w:tcPr>
          <w:p>
            <w:pPr>
              <w:pStyle w:val="967"/>
              <w:jc w:val="center"/>
              <w:spacing w:line="0" w:lineRule="atLeast"/>
              <w:rPr>
                <w:rFonts w:hint="eastAsia" w:ascii="宋体" w:hAnsi="宋体" w:cs="宋体"/>
                <w:sz w:val="24"/>
                <w:highlight w:val="none"/>
              </w:rPr>
            </w:pPr>
            <w:r>
              <w:rPr>
                <w:rFonts w:hint="eastAsia" w:ascii="宋体" w:hAnsi="宋体" w:cs="宋体"/>
                <w:sz w:val="24"/>
                <w:szCs w:val="24"/>
                <w:highlight w:val="none"/>
              </w:rPr>
              <w:t xml:space="preserve">工业（包括采矿业，制造业，电力、热力、燃气及水生产和供应业）</w:t>
            </w:r>
            <w:r>
              <w:rPr>
                <w:rFonts w:hint="eastAsia" w:ascii="宋体" w:hAnsi="宋体" w:cs="宋体"/>
                <w:sz w:val="24"/>
                <w:highlight w:val="none"/>
              </w:rPr>
            </w:r>
            <w:r/>
          </w:p>
        </w:tc>
      </w:tr>
    </w:tbl>
    <w:p>
      <w:pPr>
        <w:pStyle w:val="967"/>
        <w:spacing w:line="360" w:lineRule="auto"/>
        <w:rPr>
          <w:rFonts w:hint="eastAsia" w:ascii="宋体" w:hAnsi="宋体"/>
          <w:bCs/>
          <w:sz w:val="24"/>
          <w:highlight w:val="none"/>
        </w:rPr>
      </w:pPr>
      <w:r>
        <w:rPr>
          <w:rFonts w:hint="eastAsia" w:ascii="宋体" w:hAnsi="宋体"/>
          <w:bCs/>
          <w:sz w:val="24"/>
          <w:highlight w:val="none"/>
        </w:rPr>
      </w:r>
      <w:r/>
    </w:p>
    <w:p>
      <w:pPr>
        <w:pStyle w:val="967"/>
        <w:numPr>
          <w:ilvl w:val="0"/>
          <w:numId w:val="6"/>
        </w:numPr>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采购标的需执行的国家相关标准、行业标准、地方标准或者其他标准、规范</w:t>
      </w:r>
      <w:r>
        <w:rPr>
          <w:rFonts w:hint="eastAsia" w:ascii="宋体" w:hAnsi="宋体"/>
          <w:b/>
          <w:bCs/>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1、灯具部分</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灯具必须符合下列文件中的条款，引用文件其最新版本适用于本标准。</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1）GB 7000.1  灯具 第1部分：一般要求与试验(GB7000.1, IEC 60598-1, IDT)；</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2）GB 7000.203 灯具 第2-3部分：特殊要求 道路与街路照明灯具；</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3）GB/T 9468 灯具分布光度测量的一般要求；</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4）GB 17625.1 电磁兼容  限制  谐波电流发射限值(设备每相输入电流≤16A)；</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5）GB 17625.2  电磁兼容  限制  对每相额定电流≤16A 且无条件接入设备在公用低压供电系统中产生的电压变化、电压波动和闪烁的限值；</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6）GB 17743  电器照明和类似设备的无线电骚扰特性的限值和测量方法(GB 17743, CISPR15：+A1：，IDT)；</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7）GB/T 18595  一般照明用设备电磁兼容抗扰度要求；</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8）CJJ 45  城市道路设计标准；</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9）CIE 140  道路照明计算；</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10）GB/T24827 道路与街路照明灯具性能要求；</w:t>
      </w:r>
      <w:r>
        <w:rPr>
          <w:rFonts w:hint="eastAsia" w:ascii="宋体" w:hAnsi="宋体" w:cs="宋体"/>
          <w:sz w:val="24"/>
          <w:highlight w:val="none"/>
        </w:rPr>
      </w:r>
      <w:r/>
    </w:p>
    <w:p>
      <w:pPr>
        <w:pStyle w:val="967"/>
        <w:ind w:left="-2" w:hanging="88"/>
        <w:spacing w:line="360" w:lineRule="auto"/>
        <w:widowControl/>
        <w:rPr>
          <w:rFonts w:hint="eastAsia" w:ascii="宋体" w:hAnsi="宋体" w:cs="宋体"/>
          <w:sz w:val="24"/>
          <w:highlight w:val="none"/>
        </w:rPr>
      </w:pPr>
      <w:r>
        <w:rPr>
          <w:rFonts w:hint="eastAsia" w:ascii="宋体" w:hAnsi="宋体" w:cs="宋体"/>
          <w:sz w:val="24"/>
          <w:highlight w:val="none"/>
        </w:rPr>
        <w:t xml:space="preserve">11）GB/T31832  LED城市道路照明应用技术要求；</w:t>
      </w:r>
      <w:r>
        <w:rPr>
          <w:rFonts w:hint="eastAsia" w:ascii="宋体" w:hAnsi="宋体" w:cs="宋体"/>
          <w:sz w:val="24"/>
          <w:highlight w:val="none"/>
        </w:rPr>
      </w:r>
      <w:r/>
    </w:p>
    <w:p>
      <w:pPr>
        <w:pStyle w:val="967"/>
        <w:ind w:left="-2" w:hanging="208"/>
        <w:spacing w:line="360" w:lineRule="auto"/>
        <w:widowControl/>
        <w:rPr>
          <w:rFonts w:hint="eastAsia" w:ascii="宋体" w:hAnsi="宋体" w:cs="宋体"/>
          <w:sz w:val="24"/>
          <w:highlight w:val="none"/>
        </w:rPr>
      </w:pPr>
      <w:r>
        <w:rPr>
          <w:rFonts w:hint="eastAsia" w:ascii="宋体" w:hAnsi="宋体" w:cs="宋体"/>
          <w:sz w:val="24"/>
          <w:highlight w:val="none"/>
        </w:rPr>
        <w:t xml:space="preserve">12）LED灯具谐波电流限制应符合GB 1 7625.1的规定；</w:t>
      </w:r>
      <w:r>
        <w:rPr>
          <w:rFonts w:hint="eastAsia" w:ascii="宋体" w:hAnsi="宋体" w:cs="宋体"/>
          <w:sz w:val="24"/>
          <w:highlight w:val="none"/>
        </w:rPr>
      </w:r>
      <w:r/>
    </w:p>
    <w:p>
      <w:pPr>
        <w:pStyle w:val="967"/>
        <w:ind w:left="-2" w:hanging="208"/>
        <w:spacing w:line="360" w:lineRule="auto"/>
        <w:widowControl/>
        <w:rPr>
          <w:rFonts w:hint="eastAsia" w:ascii="宋体" w:hAnsi="宋体" w:cs="宋体"/>
          <w:sz w:val="24"/>
          <w:highlight w:val="none"/>
        </w:rPr>
      </w:pPr>
      <w:r>
        <w:rPr>
          <w:rFonts w:hint="eastAsia" w:ascii="宋体" w:hAnsi="宋体" w:cs="宋体"/>
          <w:sz w:val="24"/>
          <w:highlight w:val="none"/>
        </w:rPr>
        <w:t xml:space="preserve">13）抗浪涌保护器应符合GB 1 8802.11的规定，使用Ⅲ类实验方法进行实验；</w:t>
      </w:r>
      <w:r>
        <w:rPr>
          <w:rFonts w:hint="eastAsia" w:ascii="宋体" w:hAnsi="宋体" w:cs="宋体"/>
          <w:sz w:val="24"/>
          <w:highlight w:val="none"/>
        </w:rPr>
      </w:r>
      <w:r/>
    </w:p>
    <w:p>
      <w:pPr>
        <w:pStyle w:val="967"/>
        <w:ind w:left="-2" w:hanging="208"/>
        <w:spacing w:line="360" w:lineRule="auto"/>
        <w:widowControl/>
        <w:rPr>
          <w:rFonts w:hint="eastAsia" w:ascii="宋体" w:hAnsi="宋体" w:cs="宋体"/>
          <w:sz w:val="24"/>
          <w:highlight w:val="none"/>
        </w:rPr>
      </w:pPr>
      <w:r>
        <w:rPr>
          <w:rFonts w:hint="eastAsia" w:ascii="宋体" w:hAnsi="宋体" w:cs="宋体"/>
          <w:sz w:val="24"/>
          <w:highlight w:val="none"/>
        </w:rPr>
        <w:t xml:space="preserve">14）T/CMEA 001 《LED道路照明应用技术导则》</w:t>
      </w:r>
      <w:r>
        <w:rPr>
          <w:rFonts w:hint="eastAsia" w:ascii="宋体" w:hAnsi="宋体" w:cs="宋体"/>
          <w:sz w:val="24"/>
          <w:highlight w:val="none"/>
        </w:rPr>
      </w:r>
      <w:r/>
    </w:p>
    <w:p>
      <w:pPr>
        <w:pStyle w:val="967"/>
        <w:ind w:left="-2" w:hanging="208"/>
        <w:spacing w:line="360" w:lineRule="auto"/>
        <w:widowControl/>
        <w:rPr>
          <w:rFonts w:hint="eastAsia" w:ascii="宋体" w:hAnsi="宋体" w:cs="宋体"/>
          <w:sz w:val="24"/>
          <w:highlight w:val="none"/>
        </w:rPr>
      </w:pPr>
      <w:r>
        <w:rPr>
          <w:rFonts w:hint="eastAsia" w:ascii="宋体" w:hAnsi="宋体" w:cs="宋体"/>
          <w:sz w:val="24"/>
          <w:highlight w:val="none"/>
        </w:rPr>
        <w:t xml:space="preserve">15）GB∕T 35269 LED照明应用与接口要求 非集成式LED模块的道路灯具</w:t>
      </w:r>
      <w:r>
        <w:rPr>
          <w:rFonts w:hint="eastAsia" w:ascii="宋体" w:hAnsi="宋体" w:cs="宋体"/>
          <w:sz w:val="24"/>
          <w:highlight w:val="none"/>
        </w:rPr>
      </w:r>
      <w:r/>
    </w:p>
    <w:p>
      <w:pPr>
        <w:pStyle w:val="967"/>
        <w:ind w:left="-2" w:hanging="208"/>
        <w:spacing w:line="360" w:lineRule="auto"/>
        <w:widowControl/>
        <w:rPr>
          <w:rFonts w:hint="eastAsia" w:ascii="宋体" w:hAnsi="宋体" w:cs="宋体"/>
          <w:sz w:val="24"/>
          <w:highlight w:val="none"/>
        </w:rPr>
      </w:pPr>
      <w:r>
        <w:rPr>
          <w:rFonts w:hint="eastAsia" w:ascii="宋体" w:hAnsi="宋体" w:cs="宋体"/>
          <w:sz w:val="24"/>
          <w:highlight w:val="none"/>
        </w:rPr>
        <w:t xml:space="preserve">16）其他国家及江苏省现行标准规范、图集等；</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2、灯杆部分</w:t>
      </w:r>
      <w:r>
        <w:rPr>
          <w:rFonts w:hint="eastAsia" w:ascii="宋体" w:hAnsi="宋体" w:cs="宋体"/>
          <w:sz w:val="24"/>
          <w:highlight w:val="none"/>
        </w:rPr>
      </w:r>
      <w:r/>
    </w:p>
    <w:p>
      <w:pPr>
        <w:pStyle w:val="967"/>
        <w:ind w:left="-1" w:hanging="180"/>
        <w:spacing w:line="360" w:lineRule="auto"/>
        <w:widowControl/>
        <w:rPr>
          <w:rFonts w:hint="eastAsia" w:ascii="宋体" w:hAnsi="宋体" w:cs="宋体"/>
          <w:sz w:val="24"/>
          <w:highlight w:val="none"/>
        </w:rPr>
      </w:pPr>
      <w:r>
        <w:rPr>
          <w:rFonts w:hint="eastAsia" w:ascii="宋体" w:hAnsi="宋体" w:cs="宋体"/>
          <w:sz w:val="24"/>
          <w:highlight w:val="none"/>
        </w:rPr>
        <w:t xml:space="preserve">1) 镀锌参考标准：GB/T13912 金属覆盖层钢铁制件热浸镀锌层技术要求及试验方法；</w:t>
      </w:r>
      <w:r>
        <w:rPr>
          <w:rFonts w:hint="eastAsia" w:ascii="宋体" w:hAnsi="宋体" w:cs="宋体"/>
          <w:sz w:val="24"/>
          <w:highlight w:val="none"/>
        </w:rPr>
      </w:r>
      <w:r/>
    </w:p>
    <w:p>
      <w:pPr>
        <w:pStyle w:val="967"/>
        <w:ind w:left="-1" w:hanging="180"/>
        <w:spacing w:line="360" w:lineRule="auto"/>
        <w:widowControl/>
        <w:rPr>
          <w:rFonts w:hint="eastAsia" w:ascii="宋体" w:hAnsi="宋体" w:cs="宋体"/>
          <w:sz w:val="24"/>
          <w:highlight w:val="none"/>
        </w:rPr>
      </w:pPr>
      <w:r>
        <w:rPr>
          <w:rFonts w:hint="eastAsia" w:ascii="宋体" w:hAnsi="宋体" w:cs="宋体"/>
          <w:sz w:val="24"/>
          <w:highlight w:val="none"/>
        </w:rPr>
        <w:t xml:space="preserve">2) 喷塑参考标准：JTT600.1 公路用防腐蚀粉末涂层 第1部分：通则；</w:t>
      </w:r>
      <w:r>
        <w:rPr>
          <w:rFonts w:hint="eastAsia" w:ascii="宋体" w:hAnsi="宋体" w:cs="宋体"/>
          <w:sz w:val="24"/>
          <w:highlight w:val="none"/>
        </w:rPr>
      </w:r>
      <w:r/>
    </w:p>
    <w:p>
      <w:pPr>
        <w:pStyle w:val="967"/>
        <w:ind w:left="-1" w:hanging="180"/>
        <w:spacing w:line="360" w:lineRule="auto"/>
        <w:widowControl/>
        <w:rPr>
          <w:rFonts w:hint="eastAsia" w:ascii="宋体" w:hAnsi="宋体" w:cs="宋体"/>
          <w:sz w:val="24"/>
          <w:highlight w:val="none"/>
        </w:rPr>
      </w:pPr>
      <w:r>
        <w:rPr>
          <w:rFonts w:hint="eastAsia" w:ascii="宋体" w:hAnsi="宋体" w:cs="宋体"/>
          <w:sz w:val="24"/>
          <w:highlight w:val="none"/>
        </w:rPr>
        <w:t xml:space="preserve">3) 焊接参考标准：GB50661 钢结构焊接规范；</w:t>
      </w:r>
      <w:r>
        <w:rPr>
          <w:rFonts w:hint="eastAsia" w:ascii="宋体" w:hAnsi="宋体" w:cs="宋体"/>
          <w:sz w:val="24"/>
          <w:highlight w:val="none"/>
        </w:rPr>
      </w:r>
      <w:r/>
    </w:p>
    <w:p>
      <w:pPr>
        <w:pStyle w:val="967"/>
        <w:ind w:left="-1" w:hanging="180"/>
        <w:spacing w:line="360" w:lineRule="auto"/>
        <w:widowControl/>
        <w:rPr>
          <w:rFonts w:hint="eastAsia" w:ascii="宋体" w:hAnsi="宋体" w:cs="宋体"/>
          <w:sz w:val="24"/>
          <w:highlight w:val="none"/>
        </w:rPr>
      </w:pPr>
      <w:r>
        <w:rPr>
          <w:rFonts w:hint="eastAsia" w:ascii="宋体" w:hAnsi="宋体" w:cs="宋体"/>
          <w:sz w:val="24"/>
          <w:highlight w:val="none"/>
        </w:rPr>
        <w:t xml:space="preserve">4) 钢结构参考标准：GB50017 钢结构设计规范。</w:t>
      </w:r>
      <w:r>
        <w:rPr>
          <w:rFonts w:hint="eastAsia" w:ascii="宋体" w:hAnsi="宋体" w:cs="宋体"/>
          <w:sz w:val="24"/>
          <w:highlight w:val="none"/>
        </w:rPr>
      </w:r>
      <w:r/>
    </w:p>
    <w:p>
      <w:pPr>
        <w:pStyle w:val="967"/>
        <w:ind w:left="-1" w:hanging="180"/>
        <w:spacing w:line="360" w:lineRule="auto"/>
        <w:widowControl/>
        <w:rPr>
          <w:rFonts w:ascii="宋体" w:hAnsi="宋体" w:cs="宋体"/>
          <w:sz w:val="24"/>
          <w:highlight w:val="none"/>
        </w:rPr>
      </w:pPr>
      <w:r>
        <w:rPr>
          <w:rFonts w:hint="eastAsia" w:ascii="宋体" w:hAnsi="宋体" w:cs="宋体"/>
          <w:sz w:val="24"/>
          <w:highlight w:val="none"/>
        </w:rPr>
        <w:t xml:space="preserve">5) 灯杆参考标准：CT/T 527 道路照明灯杆技术条件</w:t>
      </w:r>
      <w:r>
        <w:rPr>
          <w:rFonts w:ascii="宋体" w:hAnsi="宋体" w:cs="宋体"/>
          <w:sz w:val="24"/>
          <w:highlight w:val="none"/>
        </w:rPr>
      </w:r>
      <w:r/>
    </w:p>
    <w:p>
      <w:pPr>
        <w:pStyle w:val="967"/>
        <w:ind w:left="-1" w:hanging="180"/>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67"/>
        <w:numPr>
          <w:ilvl w:val="0"/>
          <w:numId w:val="6"/>
        </w:numPr>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采购标的需满足的质量、安全、技术规格、物理特性等要求</w:t>
      </w:r>
      <w:r>
        <w:rPr>
          <w:rFonts w:hint="eastAsia" w:ascii="宋体" w:hAnsi="宋体"/>
          <w:b/>
          <w:bCs/>
          <w:sz w:val="24"/>
          <w:highlight w:val="none"/>
        </w:rPr>
      </w:r>
      <w:r/>
    </w:p>
    <w:p>
      <w:pPr>
        <w:pStyle w:val="967"/>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一）灯具部分</w:t>
      </w:r>
      <w:r>
        <w:rPr>
          <w:rFonts w:hint="eastAsia" w:ascii="宋体" w:hAnsi="宋体" w:cs="宋体"/>
          <w:b/>
          <w:bCs/>
          <w:sz w:val="24"/>
          <w:highlight w:val="none"/>
        </w:rPr>
      </w:r>
      <w:r/>
    </w:p>
    <w:p>
      <w:pPr>
        <w:pStyle w:val="967"/>
        <w:ind w:firstLine="47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1.基本要求：</w:t>
      </w:r>
      <w:r>
        <w:rPr>
          <w:rFonts w:hint="eastAsia" w:ascii="宋体" w:hAnsi="宋体" w:cs="宋体"/>
          <w:sz w:val="24"/>
          <w:highlight w:val="none"/>
        </w:rPr>
      </w:r>
      <w:r/>
    </w:p>
    <w:p>
      <w:pPr>
        <w:pStyle w:val="967"/>
        <w:ind w:firstLine="585"/>
        <w:spacing w:line="360" w:lineRule="auto"/>
        <w:widowControl/>
        <w:rPr>
          <w:rFonts w:hint="eastAsia" w:ascii="宋体" w:hAnsi="宋体" w:cs="宋体"/>
          <w:sz w:val="24"/>
          <w:highlight w:val="none"/>
        </w:rPr>
      </w:pPr>
      <w:r>
        <w:rPr>
          <w:rFonts w:hint="eastAsia" w:ascii="宋体" w:hAnsi="宋体" w:cs="宋体"/>
          <w:sz w:val="24"/>
          <w:highlight w:val="none"/>
        </w:rPr>
        <w:t xml:space="preserve">1.1检测内容及达标标准如下：</w:t>
      </w:r>
      <w:r>
        <w:rPr>
          <w:rFonts w:hint="eastAsia" w:ascii="宋体" w:hAnsi="宋体" w:cs="宋体"/>
          <w:sz w:val="24"/>
          <w:highlight w:val="none"/>
        </w:rPr>
      </w:r>
      <w:r/>
    </w:p>
    <w:p>
      <w:pPr>
        <w:pStyle w:val="967"/>
        <w:ind w:firstLine="340"/>
        <w:spacing w:line="360" w:lineRule="auto"/>
        <w:widowControl/>
        <w:rPr>
          <w:rFonts w:ascii="宋体" w:hAnsi="宋体" w:cs="宋体"/>
          <w:sz w:val="24"/>
          <w:highlight w:val="none"/>
        </w:rPr>
      </w:pPr>
      <w:r>
        <w:rPr>
          <w:rFonts w:hint="eastAsia" w:ascii="宋体" w:hAnsi="宋体" w:cs="宋体"/>
          <w:sz w:val="24"/>
          <w:highlight w:val="none"/>
        </w:rPr>
        <w:t xml:space="preserve">（1）灯具特性：</w:t>
      </w:r>
      <w:r>
        <w:rPr>
          <w:rFonts w:ascii="宋体" w:hAnsi="宋体" w:cs="宋体"/>
          <w:sz w:val="24"/>
          <w:highlight w:val="none"/>
        </w:rPr>
      </w:r>
      <w:r/>
    </w:p>
    <w:tbl>
      <w:tblPr>
        <w:tblpPr w:horzAnchor="text" w:tblpX="-176" w:vertAnchor="text" w:tblpY="1" w:leftFromText="180" w:topFromText="0" w:rightFromText="180" w:bottomFromText="0"/>
        <w:tblW w:w="9782"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971"/>
        <w:gridCol w:w="1230"/>
        <w:gridCol w:w="1254"/>
        <w:gridCol w:w="1559"/>
        <w:gridCol w:w="709"/>
        <w:gridCol w:w="709"/>
        <w:gridCol w:w="992"/>
        <w:gridCol w:w="851"/>
      </w:tblGrid>
      <w:tr>
        <w:trPr>
          <w:trHeight w:val="757"/>
        </w:trPr>
        <w:tc>
          <w:tcPr>
            <w:tcMar>
              <w:left w:w="108" w:type="dxa"/>
              <w:top w:w="0" w:type="dxa"/>
              <w:right w:w="108" w:type="dxa"/>
              <w:bottom w:w="0" w:type="dxa"/>
            </w:tcMar>
            <w:tcW w:w="1507"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型号</w:t>
            </w:r>
            <w:r>
              <w:rPr>
                <w:rFonts w:ascii="宋体" w:hAnsi="宋体" w:cs="宋体"/>
                <w:highlight w:val="none"/>
              </w:rPr>
            </w:r>
            <w:r/>
          </w:p>
          <w:p>
            <w:pPr>
              <w:pStyle w:val="967"/>
              <w:jc w:val="center"/>
              <w:widowControl/>
              <w:rPr>
                <w:rFonts w:hint="eastAsia" w:ascii="宋体" w:hAnsi="宋体" w:cs="宋体"/>
                <w:highlight w:val="none"/>
              </w:rPr>
              <w:framePr w:vAnchor="margin" w:hAnchor="page" w:x="-176" w:y="1"/>
            </w:pPr>
            <w:r>
              <w:rPr>
                <w:rFonts w:hint="eastAsia" w:ascii="宋体" w:hAnsi="宋体" w:cs="宋体"/>
                <w:highlight w:val="none"/>
              </w:rPr>
              <w:t xml:space="preserve">标 准</w:t>
            </w:r>
            <w:r>
              <w:rPr>
                <w:rFonts w:hint="eastAsia" w:ascii="宋体" w:hAnsi="宋体" w:cs="宋体"/>
                <w:highlight w:val="none"/>
              </w:rPr>
            </w:r>
            <w:r/>
          </w:p>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检测内容</w:t>
            </w:r>
            <w:r>
              <w:rPr>
                <w:rFonts w:ascii="宋体" w:hAnsi="宋体" w:cs="宋体"/>
                <w:highlight w:val="none"/>
              </w:rPr>
            </w:r>
            <w:r/>
          </w:p>
        </w:tc>
        <w:tc>
          <w:tcPr>
            <w:tcMar>
              <w:left w:w="108" w:type="dxa"/>
              <w:top w:w="0" w:type="dxa"/>
              <w:right w:w="108" w:type="dxa"/>
              <w:bottom w:w="0" w:type="dxa"/>
            </w:tcMar>
            <w:tcW w:w="97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系统功耗</w:t>
            </w:r>
            <w:r>
              <w:rPr>
                <w:rFonts w:ascii="宋体" w:hAnsi="宋体" w:cs="宋体"/>
                <w:highlight w:val="none"/>
              </w:rPr>
            </w:r>
            <w:r/>
          </w:p>
        </w:tc>
        <w:tc>
          <w:tcPr>
            <w:tcMar>
              <w:left w:w="108" w:type="dxa"/>
              <w:top w:w="0" w:type="dxa"/>
              <w:right w:w="108" w:type="dxa"/>
              <w:bottom w:w="0" w:type="dxa"/>
            </w:tcMar>
            <w:tcW w:w="1230"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总流明输出</w:t>
            </w:r>
            <w:r>
              <w:rPr>
                <w:rFonts w:ascii="宋体" w:hAnsi="宋体" w:cs="宋体"/>
                <w:highlight w:val="none"/>
              </w:rPr>
            </w:r>
            <w:r/>
          </w:p>
        </w:tc>
        <w:tc>
          <w:tcPr>
            <w:tcMar>
              <w:left w:w="108" w:type="dxa"/>
              <w:top w:w="0" w:type="dxa"/>
              <w:right w:w="108" w:type="dxa"/>
              <w:bottom w:w="0" w:type="dxa"/>
            </w:tcMar>
            <w:tcW w:w="1254"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系统效率</w:t>
            </w:r>
            <w:r>
              <w:rPr>
                <w:rFonts w:ascii="宋体" w:hAnsi="宋体" w:cs="宋体"/>
                <w:highlight w:val="none"/>
              </w:rPr>
            </w:r>
            <w:r/>
          </w:p>
        </w:tc>
        <w:tc>
          <w:tcPr>
            <w:tcMar>
              <w:left w:w="108" w:type="dxa"/>
              <w:top w:w="0" w:type="dxa"/>
              <w:right w:w="108" w:type="dxa"/>
              <w:bottom w:w="0" w:type="dxa"/>
            </w:tcMar>
            <w:tcW w:w="1559"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电气安全</w:t>
            </w:r>
            <w:r>
              <w:rPr>
                <w:rFonts w:ascii="宋体" w:hAnsi="宋体" w:cs="宋体"/>
                <w:highlight w:val="none"/>
              </w:rPr>
            </w:r>
            <w:r/>
          </w:p>
        </w:tc>
        <w:tc>
          <w:tcPr>
            <w:tcMar>
              <w:left w:w="108" w:type="dxa"/>
              <w:top w:w="0" w:type="dxa"/>
              <w:right w:w="108" w:type="dxa"/>
              <w:bottom w:w="0" w:type="dxa"/>
            </w:tcMar>
            <w:tcW w:w="709"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防护等级</w:t>
            </w:r>
            <w:r>
              <w:rPr>
                <w:rFonts w:ascii="宋体" w:hAnsi="宋体" w:cs="宋体"/>
                <w:highlight w:val="none"/>
              </w:rPr>
            </w:r>
            <w:r/>
          </w:p>
        </w:tc>
        <w:tc>
          <w:tcPr>
            <w:tcMar>
              <w:left w:w="108" w:type="dxa"/>
              <w:top w:w="0" w:type="dxa"/>
              <w:right w:w="108" w:type="dxa"/>
              <w:bottom w:w="0" w:type="dxa"/>
            </w:tcMar>
            <w:tcW w:w="709"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功率因素</w:t>
            </w:r>
            <w:r>
              <w:rPr>
                <w:rFonts w:ascii="宋体" w:hAnsi="宋体" w:cs="宋体"/>
                <w:highlight w:val="none"/>
              </w:rPr>
            </w:r>
            <w:r/>
          </w:p>
        </w:tc>
        <w:tc>
          <w:tcPr>
            <w:tcMar>
              <w:left w:w="108" w:type="dxa"/>
              <w:top w:w="0" w:type="dxa"/>
              <w:right w:w="108" w:type="dxa"/>
              <w:bottom w:w="0" w:type="dxa"/>
            </w:tcMar>
            <w:tcW w:w="992"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色温</w:t>
            </w:r>
            <w:r>
              <w:rPr>
                <w:rFonts w:ascii="宋体" w:hAnsi="宋体" w:cs="宋体"/>
                <w:highlight w:val="none"/>
              </w:rPr>
            </w:r>
            <w:r/>
          </w:p>
        </w:tc>
        <w:tc>
          <w:tcPr>
            <w:tcMar>
              <w:left w:w="108" w:type="dxa"/>
              <w:top w:w="0" w:type="dxa"/>
              <w:right w:w="108" w:type="dxa"/>
              <w:bottom w:w="0" w:type="dxa"/>
            </w:tcMar>
            <w:tcW w:w="85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备注</w:t>
            </w:r>
            <w:r>
              <w:rPr>
                <w:rFonts w:ascii="宋体" w:hAnsi="宋体" w:cs="宋体"/>
                <w:highlight w:val="none"/>
              </w:rPr>
            </w:r>
            <w:r/>
          </w:p>
        </w:tc>
      </w:tr>
      <w:tr>
        <w:trPr>
          <w:trHeight w:val="536"/>
        </w:trPr>
        <w:tc>
          <w:tcPr>
            <w:tcMar>
              <w:left w:w="108" w:type="dxa"/>
              <w:top w:w="0" w:type="dxa"/>
              <w:right w:w="108" w:type="dxa"/>
              <w:bottom w:w="0" w:type="dxa"/>
            </w:tcMar>
            <w:tcW w:w="1507"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60w (3000K)</w:t>
            </w:r>
            <w:r>
              <w:rPr>
                <w:rFonts w:ascii="宋体" w:hAnsi="宋体" w:cs="宋体"/>
                <w:highlight w:val="none"/>
              </w:rPr>
            </w:r>
            <w:r/>
          </w:p>
        </w:tc>
        <w:tc>
          <w:tcPr>
            <w:tcMar>
              <w:left w:w="108" w:type="dxa"/>
              <w:top w:w="0" w:type="dxa"/>
              <w:right w:w="108" w:type="dxa"/>
              <w:bottom w:w="0" w:type="dxa"/>
            </w:tcMar>
            <w:tcW w:w="97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≤60W</w:t>
            </w:r>
            <w:r>
              <w:rPr>
                <w:rFonts w:ascii="宋体" w:hAnsi="宋体" w:cs="宋体"/>
                <w:highlight w:val="none"/>
              </w:rPr>
            </w:r>
            <w:r/>
          </w:p>
        </w:tc>
        <w:tc>
          <w:tcPr>
            <w:tcMar>
              <w:left w:w="108" w:type="dxa"/>
              <w:top w:w="0" w:type="dxa"/>
              <w:right w:w="108" w:type="dxa"/>
              <w:bottom w:w="0" w:type="dxa"/>
            </w:tcMar>
            <w:tcW w:w="1230"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≥8400 lm</w:t>
            </w:r>
            <w:r>
              <w:rPr>
                <w:rFonts w:ascii="宋体" w:hAnsi="宋体" w:cs="宋体"/>
                <w:highlight w:val="none"/>
              </w:rPr>
            </w:r>
            <w:r/>
          </w:p>
        </w:tc>
        <w:tc>
          <w:tcPr>
            <w:tcMar>
              <w:left w:w="108" w:type="dxa"/>
              <w:top w:w="0" w:type="dxa"/>
              <w:right w:w="108" w:type="dxa"/>
              <w:bottom w:w="0" w:type="dxa"/>
            </w:tcMar>
            <w:tcW w:w="1254" w:type="dxa"/>
            <w:vAlign w:val="center"/>
            <w:vMerge w:val="restart"/>
            <w:textDirection w:val="lrTb"/>
            <w:noWrap w:val="false"/>
          </w:tcPr>
          <w:p>
            <w:pPr>
              <w:pStyle w:val="967"/>
              <w:jc w:val="center"/>
              <w:widowControl/>
              <w:rPr>
                <w:rFonts w:hint="eastAsia" w:ascii="宋体" w:hAnsi="宋体" w:cs="宋体"/>
                <w:highlight w:val="none"/>
              </w:rPr>
              <w:framePr w:vAnchor="margin" w:hAnchor="page" w:x="-176" w:y="1"/>
            </w:pPr>
            <w:r>
              <w:rPr>
                <w:rFonts w:hint="eastAsia" w:ascii="宋体" w:hAnsi="宋体" w:cs="宋体"/>
                <w:highlight w:val="none"/>
              </w:rPr>
              <w:t xml:space="preserve">≥140 lm/w</w:t>
            </w:r>
            <w:r>
              <w:rPr>
                <w:rFonts w:hint="eastAsia" w:ascii="宋体" w:hAnsi="宋体" w:cs="宋体"/>
                <w:highlight w:val="none"/>
              </w:rPr>
            </w:r>
            <w:r/>
          </w:p>
        </w:tc>
        <w:tc>
          <w:tcPr>
            <w:tcMar>
              <w:left w:w="108" w:type="dxa"/>
              <w:top w:w="0" w:type="dxa"/>
              <w:right w:w="108" w:type="dxa"/>
              <w:bottom w:w="0" w:type="dxa"/>
            </w:tcMar>
            <w:tcW w:w="1559" w:type="dxa"/>
            <w:vAlign w:val="center"/>
            <w:vMerge w:val="restart"/>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符合GB7000.1</w:t>
            </w:r>
            <w:r>
              <w:rPr>
                <w:rFonts w:ascii="宋体" w:hAnsi="宋体" w:cs="宋体"/>
                <w:highlight w:val="none"/>
              </w:rPr>
            </w:r>
            <w:r/>
          </w:p>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及GB7000.203</w:t>
            </w:r>
            <w:r>
              <w:rPr>
                <w:rFonts w:ascii="宋体" w:hAnsi="宋体" w:cs="宋体"/>
                <w:highlight w:val="none"/>
              </w:rPr>
            </w:r>
            <w:r/>
          </w:p>
        </w:tc>
        <w:tc>
          <w:tcPr>
            <w:tcMar>
              <w:left w:w="108" w:type="dxa"/>
              <w:top w:w="0" w:type="dxa"/>
              <w:right w:w="108" w:type="dxa"/>
              <w:bottom w:w="0" w:type="dxa"/>
            </w:tcMar>
            <w:tcW w:w="709" w:type="dxa"/>
            <w:vAlign w:val="center"/>
            <w:vMerge w:val="restart"/>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≥IP65</w:t>
            </w:r>
            <w:r>
              <w:rPr>
                <w:rFonts w:ascii="宋体" w:hAnsi="宋体" w:cs="宋体"/>
                <w:highlight w:val="none"/>
              </w:rPr>
            </w:r>
            <w:r/>
          </w:p>
        </w:tc>
        <w:tc>
          <w:tcPr>
            <w:tcMar>
              <w:left w:w="108" w:type="dxa"/>
              <w:top w:w="0" w:type="dxa"/>
              <w:right w:w="108" w:type="dxa"/>
              <w:bottom w:w="0" w:type="dxa"/>
            </w:tcMar>
            <w:tcW w:w="709" w:type="dxa"/>
            <w:vAlign w:val="center"/>
            <w:vMerge w:val="restart"/>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≥0.95</w:t>
            </w:r>
            <w:r>
              <w:rPr>
                <w:rFonts w:ascii="宋体" w:hAnsi="宋体" w:cs="宋体"/>
                <w:highlight w:val="none"/>
              </w:rPr>
            </w:r>
            <w:r/>
          </w:p>
        </w:tc>
        <w:tc>
          <w:tcPr>
            <w:tcMar>
              <w:left w:w="108" w:type="dxa"/>
              <w:top w:w="0" w:type="dxa"/>
              <w:right w:w="108" w:type="dxa"/>
              <w:bottom w:w="0" w:type="dxa"/>
            </w:tcMar>
            <w:tcW w:w="992" w:type="dxa"/>
            <w:vAlign w:val="center"/>
            <w:vMerge w:val="restart"/>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3000K</w:t>
            </w:r>
            <w:r>
              <w:rPr>
                <w:rFonts w:ascii="宋体" w:hAnsi="宋体" w:cs="宋体"/>
                <w:highlight w:val="none"/>
              </w:rPr>
            </w:r>
            <w:r/>
          </w:p>
        </w:tc>
        <w:tc>
          <w:tcPr>
            <w:tcMar>
              <w:left w:w="108" w:type="dxa"/>
              <w:top w:w="0" w:type="dxa"/>
              <w:right w:w="108" w:type="dxa"/>
              <w:bottom w:w="0" w:type="dxa"/>
            </w:tcMar>
            <w:tcW w:w="85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 </w:t>
            </w:r>
            <w:r>
              <w:rPr>
                <w:rFonts w:ascii="宋体" w:hAnsi="宋体" w:cs="宋体"/>
                <w:highlight w:val="none"/>
              </w:rPr>
            </w:r>
            <w:r/>
          </w:p>
        </w:tc>
      </w:tr>
      <w:tr>
        <w:trPr>
          <w:trHeight w:val="536"/>
        </w:trPr>
        <w:tc>
          <w:tcPr>
            <w:tcMar>
              <w:left w:w="108" w:type="dxa"/>
              <w:top w:w="0" w:type="dxa"/>
              <w:right w:w="108" w:type="dxa"/>
              <w:bottom w:w="0" w:type="dxa"/>
            </w:tcMar>
            <w:tcW w:w="1507"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280w (3000K)</w:t>
            </w:r>
            <w:r>
              <w:rPr>
                <w:rFonts w:ascii="宋体" w:hAnsi="宋体" w:cs="宋体"/>
                <w:highlight w:val="none"/>
              </w:rPr>
            </w:r>
            <w:r/>
          </w:p>
        </w:tc>
        <w:tc>
          <w:tcPr>
            <w:tcMar>
              <w:left w:w="108" w:type="dxa"/>
              <w:top w:w="0" w:type="dxa"/>
              <w:right w:w="108" w:type="dxa"/>
              <w:bottom w:w="0" w:type="dxa"/>
            </w:tcMar>
            <w:tcW w:w="97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≤280W</w:t>
            </w:r>
            <w:r>
              <w:rPr>
                <w:rFonts w:ascii="宋体" w:hAnsi="宋体" w:cs="宋体"/>
                <w:highlight w:val="none"/>
              </w:rPr>
            </w:r>
            <w:r/>
          </w:p>
        </w:tc>
        <w:tc>
          <w:tcPr>
            <w:tcMar>
              <w:left w:w="108" w:type="dxa"/>
              <w:top w:w="0" w:type="dxa"/>
              <w:right w:w="108" w:type="dxa"/>
              <w:bottom w:w="0" w:type="dxa"/>
            </w:tcMar>
            <w:tcW w:w="1230"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≥39200 lm</w:t>
            </w:r>
            <w:r>
              <w:rPr>
                <w:rFonts w:ascii="宋体" w:hAnsi="宋体" w:cs="宋体"/>
                <w:highlight w:val="none"/>
              </w:rPr>
            </w:r>
            <w:r/>
          </w:p>
        </w:tc>
        <w:tc>
          <w:tcPr>
            <w:tcW w:w="1254" w:type="dxa"/>
            <w:vAlign w:val="center"/>
            <w:vMerge w:val="continue"/>
            <w:textDirection w:val="lrTb"/>
            <w:noWrap w:val="false"/>
          </w:tcPr>
          <w:p>
            <w:pPr>
              <w:pStyle w:val="967"/>
              <w:jc w:val="left"/>
              <w:widowControl/>
              <w:rPr>
                <w:rFonts w:ascii="宋体" w:hAnsi="宋体" w:cs="宋体"/>
                <w:highlight w:val="none"/>
              </w:rPr>
              <w:framePr w:vAnchor="margin" w:hAnchor="page" w:x="-176" w:y="1"/>
            </w:pPr>
            <w:r>
              <w:rPr>
                <w:rFonts w:ascii="宋体" w:hAnsi="宋体" w:cs="宋体"/>
                <w:highlight w:val="none"/>
              </w:rPr>
            </w:r>
            <w:r/>
          </w:p>
        </w:tc>
        <w:tc>
          <w:tcPr>
            <w:tcW w:w="1559" w:type="dxa"/>
            <w:vAlign w:val="center"/>
            <w:vMerge w:val="continue"/>
            <w:textDirection w:val="lrTb"/>
            <w:noWrap w:val="false"/>
          </w:tcPr>
          <w:p>
            <w:pPr>
              <w:pStyle w:val="967"/>
              <w:jc w:val="left"/>
              <w:widowControl/>
              <w:rPr>
                <w:rFonts w:ascii="宋体" w:hAnsi="宋体" w:cs="宋体"/>
                <w:highlight w:val="none"/>
              </w:rPr>
              <w:framePr w:vAnchor="margin" w:hAnchor="page" w:x="-176" w:y="1"/>
            </w:pPr>
            <w:r>
              <w:rPr>
                <w:rFonts w:ascii="宋体" w:hAnsi="宋体" w:cs="宋体"/>
                <w:highlight w:val="none"/>
              </w:rPr>
            </w:r>
            <w:r/>
          </w:p>
        </w:tc>
        <w:tc>
          <w:tcPr>
            <w:tcW w:w="709" w:type="dxa"/>
            <w:vAlign w:val="center"/>
            <w:vMerge w:val="continue"/>
            <w:textDirection w:val="lrTb"/>
            <w:noWrap w:val="false"/>
          </w:tcPr>
          <w:p>
            <w:pPr>
              <w:pStyle w:val="967"/>
              <w:jc w:val="left"/>
              <w:widowControl/>
              <w:rPr>
                <w:rFonts w:ascii="宋体" w:hAnsi="宋体" w:cs="宋体"/>
                <w:highlight w:val="none"/>
              </w:rPr>
              <w:framePr w:vAnchor="margin" w:hAnchor="page" w:x="-176" w:y="1"/>
            </w:pPr>
            <w:r>
              <w:rPr>
                <w:rFonts w:ascii="宋体" w:hAnsi="宋体" w:cs="宋体"/>
                <w:highlight w:val="none"/>
              </w:rPr>
            </w:r>
            <w:r/>
          </w:p>
        </w:tc>
        <w:tc>
          <w:tcPr>
            <w:tcW w:w="709" w:type="dxa"/>
            <w:vAlign w:val="center"/>
            <w:vMerge w:val="continue"/>
            <w:textDirection w:val="lrTb"/>
            <w:noWrap w:val="false"/>
          </w:tcPr>
          <w:p>
            <w:pPr>
              <w:pStyle w:val="967"/>
              <w:jc w:val="left"/>
              <w:widowControl/>
              <w:rPr>
                <w:rFonts w:ascii="宋体" w:hAnsi="宋体" w:cs="宋体"/>
                <w:highlight w:val="none"/>
              </w:rPr>
              <w:framePr w:vAnchor="margin" w:hAnchor="page" w:x="-176" w:y="1"/>
            </w:pPr>
            <w:r>
              <w:rPr>
                <w:rFonts w:ascii="宋体" w:hAnsi="宋体" w:cs="宋体"/>
                <w:highlight w:val="none"/>
              </w:rPr>
            </w:r>
            <w:r/>
          </w:p>
        </w:tc>
        <w:tc>
          <w:tcPr>
            <w:tcW w:w="992" w:type="dxa"/>
            <w:vAlign w:val="center"/>
            <w:vMerge w:val="continue"/>
            <w:textDirection w:val="lrTb"/>
            <w:noWrap w:val="false"/>
          </w:tcPr>
          <w:p>
            <w:pPr>
              <w:pStyle w:val="967"/>
              <w:jc w:val="left"/>
              <w:widowControl/>
              <w:rPr>
                <w:rFonts w:ascii="宋体" w:hAnsi="宋体" w:cs="宋体"/>
                <w:highlight w:val="none"/>
              </w:rPr>
              <w:framePr w:vAnchor="margin" w:hAnchor="page" w:x="-176" w:y="1"/>
            </w:pPr>
            <w:r>
              <w:rPr>
                <w:rFonts w:ascii="宋体" w:hAnsi="宋体" w:cs="宋体"/>
                <w:highlight w:val="none"/>
              </w:rPr>
            </w:r>
            <w:r/>
          </w:p>
        </w:tc>
        <w:tc>
          <w:tcPr>
            <w:tcMar>
              <w:left w:w="108" w:type="dxa"/>
              <w:top w:w="0" w:type="dxa"/>
              <w:right w:w="108" w:type="dxa"/>
              <w:bottom w:w="0" w:type="dxa"/>
            </w:tcMar>
            <w:tcW w:w="851" w:type="dxa"/>
            <w:vAlign w:val="center"/>
            <w:textDirection w:val="lrTb"/>
            <w:noWrap w:val="false"/>
          </w:tcPr>
          <w:p>
            <w:pPr>
              <w:pStyle w:val="967"/>
              <w:jc w:val="center"/>
              <w:widowControl/>
              <w:rPr>
                <w:rFonts w:ascii="宋体" w:hAnsi="宋体" w:cs="宋体"/>
                <w:highlight w:val="none"/>
              </w:rPr>
              <w:framePr w:vAnchor="margin" w:hAnchor="page" w:x="-176" w:y="1"/>
            </w:pPr>
            <w:r>
              <w:rPr>
                <w:rFonts w:hint="eastAsia" w:ascii="宋体" w:hAnsi="宋体" w:cs="宋体"/>
                <w:highlight w:val="none"/>
              </w:rPr>
              <w:t xml:space="preserve"> </w:t>
            </w:r>
            <w:r>
              <w:rPr>
                <w:rFonts w:ascii="宋体" w:hAnsi="宋体" w:cs="宋体"/>
                <w:highlight w:val="none"/>
              </w:rPr>
            </w:r>
            <w:r/>
          </w:p>
        </w:tc>
      </w:tr>
    </w:tbl>
    <w:p>
      <w:pPr>
        <w:pStyle w:val="967"/>
        <w:ind w:firstLine="340"/>
        <w:spacing w:line="360" w:lineRule="auto"/>
        <w:widowControl/>
        <w:rPr>
          <w:rFonts w:ascii="宋体" w:hAnsi="宋体" w:cs="宋体"/>
          <w:sz w:val="24"/>
          <w:highlight w:val="none"/>
        </w:rPr>
      </w:pPr>
      <w:r>
        <w:rPr>
          <w:rFonts w:ascii="宋体" w:hAnsi="宋体" w:cs="宋体"/>
          <w:sz w:val="24"/>
          <w:highlight w:val="none"/>
        </w:rPr>
      </w:r>
      <w:r/>
    </w:p>
    <w:p>
      <w:pPr>
        <w:pStyle w:val="967"/>
        <w:ind w:firstLine="340"/>
        <w:spacing w:line="360" w:lineRule="auto"/>
        <w:widowControl/>
        <w:rPr>
          <w:rFonts w:ascii="宋体" w:hAnsi="宋体" w:cs="宋体"/>
          <w:sz w:val="24"/>
          <w:highlight w:val="none"/>
        </w:rPr>
      </w:pPr>
      <w:r>
        <w:rPr>
          <w:rFonts w:ascii="宋体" w:hAnsi="宋体" w:cs="宋体"/>
          <w:sz w:val="24"/>
          <w:highlight w:val="none"/>
        </w:rPr>
      </w:r>
      <w:r/>
    </w:p>
    <w:p>
      <w:pPr>
        <w:pStyle w:val="967"/>
        <w:ind w:firstLine="340"/>
        <w:spacing w:line="360" w:lineRule="auto"/>
        <w:widowControl/>
        <w:rPr>
          <w:rFonts w:ascii="宋体" w:hAnsi="宋体" w:cs="宋体"/>
          <w:sz w:val="24"/>
          <w:highlight w:val="none"/>
        </w:rPr>
      </w:pPr>
      <w:r>
        <w:rPr>
          <w:rFonts w:ascii="宋体" w:hAnsi="宋体" w:cs="宋体"/>
          <w:sz w:val="24"/>
          <w:highlight w:val="none"/>
        </w:rPr>
      </w:r>
      <w:r/>
    </w:p>
    <w:p>
      <w:pPr>
        <w:pStyle w:val="967"/>
        <w:ind w:firstLine="340"/>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（2）路灯灯具安装条件、光学特性</w:t>
      </w:r>
      <w:r>
        <w:rPr>
          <w:rFonts w:hint="eastAsia" w:ascii="宋体" w:hAnsi="宋体" w:cs="宋体"/>
          <w:sz w:val="24"/>
          <w:highlight w:val="none"/>
        </w:rPr>
      </w:r>
      <w:r/>
    </w:p>
    <w:tbl>
      <w:tblPr>
        <w:tblW w:w="8098"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662"/>
        <w:gridCol w:w="2061"/>
        <w:gridCol w:w="2375"/>
      </w:tblGrid>
      <w:tr>
        <w:trPr>
          <w:trHeight w:val="492"/>
        </w:trPr>
        <w:tc>
          <w:tcPr>
            <w:tcMar>
              <w:left w:w="108" w:type="dxa"/>
              <w:top w:w="0" w:type="dxa"/>
              <w:right w:w="108" w:type="dxa"/>
              <w:bottom w:w="0" w:type="dxa"/>
            </w:tcMar>
            <w:tcW w:w="3662" w:type="dxa"/>
            <w:vAlign w:val="center"/>
            <w:textDirection w:val="lrTb"/>
            <w:noWrap w:val="false"/>
          </w:tcPr>
          <w:p>
            <w:pPr>
              <w:pStyle w:val="967"/>
              <w:widowControl/>
              <w:rPr>
                <w:rFonts w:ascii="宋体" w:hAnsi="宋体" w:cs="宋体"/>
                <w:highlight w:val="none"/>
              </w:rPr>
            </w:pPr>
            <w:r>
              <w:rPr>
                <w:rFonts w:hint="eastAsia" w:ascii="宋体" w:hAnsi="宋体" w:cs="宋体"/>
                <w:highlight w:val="none"/>
              </w:rPr>
              <w:t xml:space="preserve">检测内容</w:t>
            </w:r>
            <w:r>
              <w:rPr>
                <w:rFonts w:ascii="宋体" w:hAnsi="宋体" w:cs="宋体"/>
                <w:highlight w:val="none"/>
              </w:rPr>
            </w:r>
            <w:r/>
          </w:p>
          <w:p>
            <w:pPr>
              <w:pStyle w:val="967"/>
              <w:widowControl/>
              <w:rPr>
                <w:rFonts w:hint="eastAsia" w:ascii="宋体" w:hAnsi="宋体" w:cs="宋体"/>
                <w:highlight w:val="none"/>
              </w:rPr>
            </w:pPr>
            <w:r>
              <w:rPr>
                <w:rFonts w:hint="eastAsia" w:ascii="宋体" w:hAnsi="宋体" w:cs="宋体"/>
                <w:highlight w:val="none"/>
              </w:rPr>
              <w:t xml:space="preserve">标 准</w:t>
            </w:r>
            <w:r>
              <w:rPr>
                <w:rFonts w:hint="eastAsia" w:ascii="宋体" w:hAnsi="宋体" w:cs="宋体"/>
                <w:highlight w:val="none"/>
              </w:rPr>
            </w:r>
            <w:r/>
          </w:p>
          <w:p>
            <w:pPr>
              <w:pStyle w:val="967"/>
              <w:widowControl/>
              <w:rPr>
                <w:rFonts w:ascii="宋体" w:hAnsi="宋体" w:cs="宋体"/>
                <w:highlight w:val="none"/>
              </w:rPr>
            </w:pPr>
            <w:r>
              <w:rPr>
                <w:rFonts w:hint="eastAsia" w:ascii="宋体" w:hAnsi="宋体" w:cs="宋体"/>
                <w:highlight w:val="none"/>
              </w:rPr>
              <w:t xml:space="preserve">型号</w:t>
            </w:r>
            <w:r>
              <w:rPr>
                <w:rFonts w:ascii="宋体" w:hAnsi="宋体" w:cs="宋体"/>
                <w:highlight w:val="none"/>
              </w:rPr>
            </w:r>
            <w:r/>
          </w:p>
        </w:tc>
        <w:tc>
          <w:tcPr>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60w</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280w</w:t>
            </w:r>
            <w:r>
              <w:rPr>
                <w:rFonts w:ascii="宋体" w:hAnsi="宋体" w:cs="宋体"/>
                <w:highlight w:val="none"/>
              </w:rPr>
            </w:r>
            <w:r/>
          </w:p>
        </w:tc>
      </w:tr>
      <w:tr>
        <w:trPr>
          <w:trHeight w:val="40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道路类别：</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支路</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主干路</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车行道宽度 (m)：</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6</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26</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车道数</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2</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8</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道路表面材料</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沥青</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沥青</w:t>
            </w:r>
            <w:r>
              <w:rPr>
                <w:rFonts w:ascii="宋体" w:hAnsi="宋体" w:cs="宋体"/>
                <w:highlight w:val="none"/>
              </w:rPr>
            </w:r>
            <w:r/>
          </w:p>
        </w:tc>
      </w:tr>
      <w:tr>
        <w:trPr>
          <w:trHeight w:val="40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灯具布置方式</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单侧</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两侧对称</w:t>
            </w:r>
            <w:r>
              <w:rPr>
                <w:rFonts w:ascii="宋体" w:hAnsi="宋体" w:cs="宋体"/>
                <w:highlight w:val="none"/>
              </w:rPr>
            </w:r>
            <w:r/>
          </w:p>
        </w:tc>
      </w:tr>
      <w:tr>
        <w:trPr>
          <w:trHeight w:val="39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灯具安装高度h(m)</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7</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15</w:t>
            </w:r>
            <w:r>
              <w:rPr>
                <w:rFonts w:ascii="宋体" w:hAnsi="宋体" w:cs="宋体"/>
                <w:highlight w:val="none"/>
              </w:rPr>
            </w:r>
            <w:r/>
          </w:p>
        </w:tc>
      </w:tr>
      <w:tr>
        <w:trPr>
          <w:trHeight w:val="40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灯杆的安装间距S(m)</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26-30</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40-42</w:t>
            </w:r>
            <w:r>
              <w:rPr>
                <w:rFonts w:ascii="宋体" w:hAnsi="宋体" w:cs="宋体"/>
                <w:highlight w:val="none"/>
              </w:rPr>
            </w:r>
            <w:r/>
          </w:p>
        </w:tc>
      </w:tr>
      <w:tr>
        <w:trPr>
          <w:trHeight w:val="40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灯杆与路沿的距离(m)</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0.5</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0.5</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灯臂长度（m）</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1.5</w:t>
            </w:r>
            <w:r>
              <w:rPr>
                <w:rFonts w:ascii="宋体" w:hAnsi="宋体" w:cs="宋体"/>
                <w:highlight w:val="none"/>
              </w:rPr>
            </w:r>
            <w:r/>
          </w:p>
        </w:tc>
        <w:tc>
          <w:tcPr>
            <w:shd w:val="clear" w:color="auto" w:fill="ffffff"/>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 1.5</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灯具仰角（度）</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10</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388"/>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灯具维护系数</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0.7</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0.7</w:t>
            </w:r>
            <w:r>
              <w:rPr>
                <w:rFonts w:ascii="宋体" w:hAnsi="宋体" w:cs="宋体"/>
                <w:highlight w:val="none"/>
              </w:rPr>
            </w:r>
            <w:r/>
          </w:p>
        </w:tc>
      </w:tr>
      <w:tr>
        <w:trPr>
          <w:trHeight w:val="40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配光方式</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长配光</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中配光</w:t>
            </w:r>
            <w:r>
              <w:rPr>
                <w:rFonts w:ascii="宋体" w:hAnsi="宋体" w:cs="宋体"/>
                <w:highlight w:val="none"/>
              </w:rPr>
            </w:r>
            <w:r/>
          </w:p>
        </w:tc>
      </w:tr>
      <w:tr>
        <w:trPr>
          <w:trHeight w:val="601"/>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平均照度Eav（Lx）维持值</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≥8Lx</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≥30Lx</w:t>
            </w:r>
            <w:r>
              <w:rPr>
                <w:rFonts w:ascii="宋体" w:hAnsi="宋体" w:cs="宋体"/>
                <w:highlight w:val="none"/>
              </w:rPr>
            </w:r>
            <w:r/>
          </w:p>
        </w:tc>
      </w:tr>
      <w:tr>
        <w:trPr>
          <w:trHeight w:val="427"/>
        </w:trPr>
        <w:tc>
          <w:tcPr>
            <w:shd w:val="clear" w:color="auto" w:fill="ffffff"/>
            <w:tcMar>
              <w:left w:w="108" w:type="dxa"/>
              <w:top w:w="0" w:type="dxa"/>
              <w:right w:w="108" w:type="dxa"/>
              <w:bottom w:w="0" w:type="dxa"/>
            </w:tcMar>
            <w:tcW w:w="3662" w:type="dxa"/>
            <w:vAlign w:val="center"/>
            <w:textDirection w:val="lrTb"/>
            <w:noWrap w:val="false"/>
          </w:tcPr>
          <w:p>
            <w:pPr>
              <w:pStyle w:val="967"/>
              <w:jc w:val="left"/>
              <w:widowControl/>
              <w:rPr>
                <w:rFonts w:ascii="宋体" w:hAnsi="宋体" w:cs="宋体"/>
                <w:highlight w:val="none"/>
              </w:rPr>
            </w:pPr>
            <w:r>
              <w:rPr>
                <w:rFonts w:hint="eastAsia" w:ascii="宋体" w:hAnsi="宋体" w:cs="宋体"/>
                <w:color w:val="000000"/>
                <w:highlight w:val="none"/>
              </w:rPr>
              <w:t xml:space="preserve">均匀度U</w:t>
            </w:r>
            <w:r>
              <w:rPr>
                <w:rFonts w:hint="eastAsia" w:ascii="宋体" w:hAnsi="宋体" w:cs="宋体"/>
                <w:color w:val="000000"/>
                <w:highlight w:val="none"/>
                <w:vertAlign w:val="subscript"/>
              </w:rPr>
              <w:t xml:space="preserve">E</w:t>
            </w:r>
            <w:r>
              <w:rPr>
                <w:rFonts w:ascii="宋体" w:hAnsi="宋体" w:cs="宋体"/>
                <w:highlight w:val="none"/>
              </w:rPr>
            </w:r>
            <w:r/>
          </w:p>
        </w:tc>
        <w:tc>
          <w:tcPr>
            <w:shd w:val="clear" w:color="auto" w:fill="ffffff"/>
            <w:tcMar>
              <w:left w:w="108" w:type="dxa"/>
              <w:top w:w="0" w:type="dxa"/>
              <w:right w:w="108" w:type="dxa"/>
              <w:bottom w:w="0" w:type="dxa"/>
            </w:tcMar>
            <w:tcW w:w="2061" w:type="dxa"/>
            <w:vAlign w:val="center"/>
            <w:textDirection w:val="lrTb"/>
            <w:noWrap w:val="false"/>
          </w:tcPr>
          <w:p>
            <w:pPr>
              <w:pStyle w:val="967"/>
              <w:jc w:val="center"/>
              <w:widowControl/>
              <w:rPr>
                <w:rFonts w:ascii="宋体" w:hAnsi="宋体" w:cs="宋体"/>
                <w:highlight w:val="none"/>
              </w:rPr>
            </w:pPr>
            <w:r>
              <w:rPr>
                <w:rFonts w:hint="eastAsia" w:ascii="宋体" w:hAnsi="宋体" w:cs="宋体"/>
                <w:color w:val="000000"/>
                <w:highlight w:val="none"/>
              </w:rPr>
              <w:t xml:space="preserve">≥0.3</w:t>
            </w:r>
            <w:r>
              <w:rPr>
                <w:rFonts w:ascii="宋体" w:hAnsi="宋体" w:cs="宋体"/>
                <w:highlight w:val="none"/>
              </w:rPr>
            </w:r>
            <w:r/>
          </w:p>
        </w:tc>
        <w:tc>
          <w:tcPr>
            <w:tcMar>
              <w:left w:w="108" w:type="dxa"/>
              <w:top w:w="0" w:type="dxa"/>
              <w:right w:w="108" w:type="dxa"/>
              <w:bottom w:w="0" w:type="dxa"/>
            </w:tcMar>
            <w:tcW w:w="2375" w:type="dxa"/>
            <w:vAlign w:val="center"/>
            <w:textDirection w:val="lrTb"/>
            <w:noWrap w:val="false"/>
          </w:tcPr>
          <w:p>
            <w:pPr>
              <w:pStyle w:val="967"/>
              <w:jc w:val="center"/>
              <w:widowControl/>
              <w:rPr>
                <w:rFonts w:ascii="宋体" w:hAnsi="宋体" w:cs="宋体"/>
                <w:highlight w:val="none"/>
              </w:rPr>
            </w:pPr>
            <w:r>
              <w:rPr>
                <w:rFonts w:hint="eastAsia" w:ascii="宋体" w:hAnsi="宋体" w:cs="宋体"/>
                <w:highlight w:val="none"/>
              </w:rPr>
              <w:t xml:space="preserve">≥0.4</w:t>
            </w:r>
            <w:r>
              <w:rPr>
                <w:rFonts w:ascii="宋体" w:hAnsi="宋体" w:cs="宋体"/>
                <w:highlight w:val="none"/>
              </w:rPr>
            </w:r>
            <w:r/>
          </w:p>
        </w:tc>
      </w:tr>
    </w:tbl>
    <w:p>
      <w:pPr>
        <w:pStyle w:val="967"/>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 </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（3）投光灯具安装条件、光学特性</w:t>
      </w:r>
      <w:r>
        <w:rPr>
          <w:rFonts w:hint="eastAsia" w:ascii="宋体" w:hAnsi="宋体" w:cs="宋体"/>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264"/>
        <w:gridCol w:w="4014"/>
      </w:tblGrid>
      <w:tr>
        <w:trPr>
          <w:trHeight w:val="917"/>
        </w:trPr>
        <w:tc>
          <w:tcPr>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highlight w:val="none"/>
              </w:rPr>
              <w:t xml:space="preserve">检测内容</w:t>
            </w:r>
            <w:r>
              <w:rPr>
                <w:rFonts w:ascii="宋体" w:hAnsi="宋体" w:cs="宋体"/>
                <w:highlight w:val="none"/>
              </w:rPr>
            </w:r>
            <w:r/>
          </w:p>
          <w:p>
            <w:pPr>
              <w:pStyle w:val="967"/>
              <w:jc w:val="left"/>
              <w:spacing w:line="360" w:lineRule="auto"/>
              <w:widowControl/>
              <w:rPr>
                <w:rFonts w:hint="eastAsia" w:ascii="宋体" w:hAnsi="宋体" w:cs="宋体"/>
                <w:highlight w:val="none"/>
              </w:rPr>
            </w:pPr>
            <w:r>
              <w:rPr>
                <w:rFonts w:hint="eastAsia" w:ascii="宋体" w:hAnsi="宋体" w:cs="宋体"/>
                <w:highlight w:val="none"/>
              </w:rPr>
              <w:t xml:space="preserve">标 准</w:t>
            </w:r>
            <w:r>
              <w:rPr>
                <w:rFonts w:hint="eastAsia" w:ascii="宋体" w:hAnsi="宋体" w:cs="宋体"/>
                <w:highlight w:val="none"/>
              </w:rPr>
            </w:r>
            <w:r/>
          </w:p>
          <w:p>
            <w:pPr>
              <w:pStyle w:val="967"/>
              <w:jc w:val="left"/>
              <w:spacing w:line="360" w:lineRule="auto"/>
              <w:widowControl/>
              <w:rPr>
                <w:rFonts w:ascii="宋体" w:hAnsi="宋体" w:cs="宋体"/>
                <w:highlight w:val="none"/>
              </w:rPr>
            </w:pPr>
            <w:r>
              <w:rPr>
                <w:rFonts w:hint="eastAsia" w:ascii="宋体" w:hAnsi="宋体" w:cs="宋体"/>
                <w:highlight w:val="none"/>
              </w:rPr>
              <w:t xml:space="preserve">型号</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280w</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道路类别：</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主干路路口</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道路表面材料</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沥青</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灯具布置方式</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四角</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灯具安装高度h(m)</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15~18</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灯杆的安装边距S(m)</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60-80</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灯杆的安装对角间距S(m)</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80~100</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灯杆与路沿的距离(m)</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0.5</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灯具仰角（度）</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灯具维护系数</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0.7</w:t>
            </w:r>
            <w:r>
              <w:rPr>
                <w:rFonts w:ascii="宋体" w:hAnsi="宋体" w:cs="宋体"/>
                <w:highlight w:val="none"/>
              </w:rPr>
            </w:r>
            <w:r/>
          </w:p>
        </w:tc>
      </w:tr>
      <w:tr>
        <w:trPr>
          <w:trHeight w:val="690"/>
        </w:trPr>
        <w:tc>
          <w:tcPr>
            <w:shd w:val="clear" w:color="auto" w:fill="ffffff"/>
            <w:tcMar>
              <w:left w:w="108" w:type="dxa"/>
              <w:top w:w="0" w:type="dxa"/>
              <w:right w:w="108" w:type="dxa"/>
              <w:bottom w:w="0" w:type="dxa"/>
            </w:tcMar>
            <w:tcW w:w="3264" w:type="dxa"/>
            <w:vAlign w:val="center"/>
            <w:textDirection w:val="lrTb"/>
            <w:noWrap w:val="false"/>
          </w:tcPr>
          <w:p>
            <w:pPr>
              <w:pStyle w:val="967"/>
              <w:jc w:val="left"/>
              <w:spacing w:line="360" w:lineRule="auto"/>
              <w:widowControl/>
              <w:rPr>
                <w:rFonts w:ascii="宋体" w:hAnsi="宋体" w:cs="宋体"/>
                <w:highlight w:val="none"/>
              </w:rPr>
            </w:pPr>
            <w:r>
              <w:rPr>
                <w:rFonts w:hint="eastAsia" w:ascii="宋体" w:hAnsi="宋体" w:cs="宋体"/>
                <w:color w:val="000000"/>
                <w:highlight w:val="none"/>
              </w:rPr>
              <w:t xml:space="preserve">配光方式</w:t>
            </w:r>
            <w:r>
              <w:rPr>
                <w:rFonts w:ascii="宋体" w:hAnsi="宋体" w:cs="宋体"/>
                <w:highlight w:val="none"/>
              </w:rPr>
            </w:r>
            <w:r/>
          </w:p>
        </w:tc>
        <w:tc>
          <w:tcPr>
            <w:tcMar>
              <w:left w:w="108" w:type="dxa"/>
              <w:top w:w="0" w:type="dxa"/>
              <w:right w:w="108" w:type="dxa"/>
              <w:bottom w:w="0" w:type="dxa"/>
            </w:tcMar>
            <w:tcW w:w="4014" w:type="dxa"/>
            <w:vAlign w:val="center"/>
            <w:textDirection w:val="lrTb"/>
            <w:noWrap w:val="false"/>
          </w:tcPr>
          <w:p>
            <w:pPr>
              <w:pStyle w:val="967"/>
              <w:jc w:val="center"/>
              <w:spacing w:line="360" w:lineRule="auto"/>
              <w:widowControl/>
              <w:rPr>
                <w:rFonts w:ascii="宋体" w:hAnsi="宋体" w:cs="宋体"/>
                <w:highlight w:val="none"/>
              </w:rPr>
            </w:pPr>
            <w:r>
              <w:rPr>
                <w:rFonts w:hint="eastAsia" w:ascii="宋体" w:hAnsi="宋体" w:cs="宋体"/>
                <w:highlight w:val="none"/>
              </w:rPr>
              <w:t xml:space="preserve">70°</w:t>
            </w:r>
            <w:r>
              <w:rPr>
                <w:rFonts w:ascii="宋体" w:hAnsi="宋体" w:cs="宋体"/>
                <w:highlight w:val="none"/>
              </w:rPr>
            </w:r>
            <w:r/>
          </w:p>
        </w:tc>
      </w:tr>
    </w:tbl>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1.2、提供灯具安装说明书。</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1.3、灯具含光源电器及一切其他所必备的附件。</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1.4、所有灯具（含光源电器）质保三年。</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1.5、除特殊要求外，灯具尺寸公差按照GB-T1804的精度M级别标准执行，其中安装公差和位置公差按照精度F级别标准执行。</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2、灯具壳体要求：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2.1、灯具应符合相关国标的要求。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2.2、外观质量：</w:t>
      </w:r>
      <w:r>
        <w:rPr>
          <w:rFonts w:hint="eastAsia" w:ascii="宋体" w:hAnsi="宋体" w:cs="宋体"/>
          <w:sz w:val="24"/>
          <w:highlight w:val="none"/>
        </w:rPr>
      </w:r>
      <w:r/>
    </w:p>
    <w:p>
      <w:pPr>
        <w:pStyle w:val="967"/>
        <w:ind w:firstLine="36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color w:val="000000"/>
          <w:sz w:val="24"/>
          <w:highlight w:val="none"/>
          <w:shd w:val="clear" w:color="auto" w:fill="ffffff"/>
        </w:rPr>
        <w:t xml:space="preserve">LED灯具外形尺寸：</w:t>
      </w:r>
      <w:r>
        <w:rPr>
          <w:rFonts w:hint="eastAsia" w:ascii="宋体" w:hAnsi="宋体" w:cs="宋体"/>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16"/>
        <w:gridCol w:w="3180"/>
        <w:gridCol w:w="2145"/>
      </w:tblGrid>
      <w:tr>
        <w:trPr>
          <w:trHeight w:val="1106"/>
        </w:trPr>
        <w:tc>
          <w:tcPr>
            <w:tcMar>
              <w:left w:w="108" w:type="dxa"/>
              <w:top w:w="0" w:type="dxa"/>
              <w:right w:w="108" w:type="dxa"/>
              <w:bottom w:w="0" w:type="dxa"/>
            </w:tcMar>
            <w:tcW w:w="2916"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灯具品种</w:t>
            </w: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尺寸范围（单位mm）</w:t>
            </w:r>
            <w:r>
              <w:rPr>
                <w:rFonts w:ascii="宋体" w:hAnsi="宋体" w:cs="宋体"/>
                <w:highlight w:val="none"/>
              </w:rPr>
            </w:r>
            <w:r/>
          </w:p>
        </w:tc>
        <w:tc>
          <w:tcPr>
            <w:tcMar>
              <w:left w:w="108" w:type="dxa"/>
              <w:top w:w="0" w:type="dxa"/>
              <w:right w:w="108" w:type="dxa"/>
              <w:bottom w:w="0" w:type="dxa"/>
            </w:tcMar>
            <w:tcW w:w="2145" w:type="dxa"/>
            <w:vAlign w:val="center"/>
            <w:textDirection w:val="lrTb"/>
            <w:noWrap w:val="false"/>
          </w:tcPr>
          <w:p>
            <w:pPr>
              <w:pStyle w:val="967"/>
              <w:spacing w:line="360" w:lineRule="auto"/>
              <w:widowControl/>
              <w:rPr>
                <w:rFonts w:ascii="宋体" w:hAnsi="宋体" w:cs="宋体"/>
                <w:highlight w:val="none"/>
              </w:rPr>
            </w:pPr>
            <w:r>
              <w:rPr>
                <w:rFonts w:hint="eastAsia" w:ascii="宋体" w:hAnsi="宋体" w:cs="宋体"/>
                <w:highlight w:val="none"/>
              </w:rPr>
              <w:t xml:space="preserve">空壳重量（不含模组，电源）</w:t>
            </w:r>
            <w:r>
              <w:rPr>
                <w:rFonts w:ascii="宋体" w:hAnsi="宋体" w:cs="宋体"/>
                <w:highlight w:val="none"/>
              </w:rPr>
            </w:r>
            <w:r/>
          </w:p>
        </w:tc>
      </w:tr>
      <w:tr>
        <w:trPr>
          <w:trHeight w:val="403"/>
        </w:trPr>
        <w:tc>
          <w:tcPr>
            <w:tcMar>
              <w:left w:w="108" w:type="dxa"/>
              <w:top w:w="0" w:type="dxa"/>
              <w:right w:w="108" w:type="dxa"/>
              <w:bottom w:w="0" w:type="dxa"/>
            </w:tcMar>
            <w:tcW w:w="2916" w:type="dxa"/>
            <w:vAlign w:val="center"/>
            <w:vMerge w:val="restart"/>
            <w:textDirection w:val="lrTb"/>
            <w:noWrap w:val="false"/>
          </w:tcPr>
          <w:p>
            <w:pPr>
              <w:pStyle w:val="967"/>
              <w:spacing w:line="360" w:lineRule="auto"/>
              <w:widowControl/>
              <w:rPr>
                <w:rFonts w:ascii="宋体" w:hAnsi="宋体" w:cs="宋体"/>
                <w:highlight w:val="none"/>
              </w:rPr>
            </w:pPr>
            <w:r>
              <w:rPr>
                <w:rFonts w:hint="eastAsia" w:ascii="宋体" w:hAnsi="宋体" w:cs="宋体"/>
                <w:highlight w:val="none"/>
              </w:rPr>
              <w:t xml:space="preserve">60wLED路灯灯具</w:t>
            </w: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长820</w:t>
            </w:r>
            <w:r>
              <w:rPr>
                <w:rFonts w:ascii="宋体" w:hAnsi="宋体" w:cs="宋体"/>
                <w:highlight w:val="none"/>
              </w:rPr>
            </w:r>
            <w:r/>
          </w:p>
        </w:tc>
        <w:tc>
          <w:tcPr>
            <w:tcMar>
              <w:left w:w="108" w:type="dxa"/>
              <w:top w:w="0" w:type="dxa"/>
              <w:right w:w="108" w:type="dxa"/>
              <w:bottom w:w="0" w:type="dxa"/>
            </w:tcMar>
            <w:tcW w:w="2145" w:type="dxa"/>
            <w:vAlign w:val="center"/>
            <w:vMerge w:val="restart"/>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≥4.5KG</w:t>
            </w:r>
            <w:r>
              <w:rPr>
                <w:rFonts w:ascii="宋体" w:hAnsi="宋体" w:cs="宋体"/>
                <w:highlight w:val="none"/>
              </w:rPr>
            </w:r>
            <w:r/>
          </w:p>
        </w:tc>
      </w:tr>
      <w:tr>
        <w:trPr>
          <w:trHeight w:val="403"/>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宽360</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409"/>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厚170</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403"/>
        </w:trPr>
        <w:tc>
          <w:tcPr>
            <w:tcMar>
              <w:left w:w="108" w:type="dxa"/>
              <w:top w:w="0" w:type="dxa"/>
              <w:right w:w="108" w:type="dxa"/>
              <w:bottom w:w="0" w:type="dxa"/>
            </w:tcMar>
            <w:tcW w:w="2916" w:type="dxa"/>
            <w:vAlign w:val="center"/>
            <w:vMerge w:val="restart"/>
            <w:textDirection w:val="lrTb"/>
            <w:noWrap w:val="false"/>
          </w:tcPr>
          <w:p>
            <w:pPr>
              <w:pStyle w:val="967"/>
              <w:spacing w:line="360" w:lineRule="auto"/>
              <w:widowControl/>
              <w:rPr>
                <w:rFonts w:ascii="宋体" w:hAnsi="宋体" w:cs="宋体"/>
                <w:highlight w:val="none"/>
              </w:rPr>
            </w:pPr>
            <w:r>
              <w:rPr>
                <w:rFonts w:hint="eastAsia" w:ascii="宋体" w:hAnsi="宋体" w:cs="宋体"/>
                <w:highlight w:val="none"/>
              </w:rPr>
              <w:t xml:space="preserve">280wLED路灯灯具</w:t>
            </w: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长1100</w:t>
            </w:r>
            <w:r>
              <w:rPr>
                <w:rFonts w:ascii="宋体" w:hAnsi="宋体" w:cs="宋体"/>
                <w:highlight w:val="none"/>
              </w:rPr>
            </w:r>
            <w:r/>
          </w:p>
        </w:tc>
        <w:tc>
          <w:tcPr>
            <w:tcMar>
              <w:left w:w="108" w:type="dxa"/>
              <w:top w:w="0" w:type="dxa"/>
              <w:right w:w="108" w:type="dxa"/>
              <w:bottom w:w="0" w:type="dxa"/>
            </w:tcMar>
            <w:tcW w:w="2145" w:type="dxa"/>
            <w:vAlign w:val="center"/>
            <w:vMerge w:val="restart"/>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≥8.5KG</w:t>
            </w:r>
            <w:r>
              <w:rPr>
                <w:rFonts w:ascii="宋体" w:hAnsi="宋体" w:cs="宋体"/>
                <w:highlight w:val="none"/>
              </w:rPr>
            </w:r>
            <w:r/>
          </w:p>
        </w:tc>
      </w:tr>
      <w:tr>
        <w:trPr>
          <w:trHeight w:val="403"/>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宽380</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90"/>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厚180</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413"/>
        </w:trPr>
        <w:tc>
          <w:tcPr>
            <w:tcMar>
              <w:left w:w="108" w:type="dxa"/>
              <w:top w:w="0" w:type="dxa"/>
              <w:right w:w="108" w:type="dxa"/>
              <w:bottom w:w="0" w:type="dxa"/>
            </w:tcMar>
            <w:tcW w:w="2916" w:type="dxa"/>
            <w:vAlign w:val="top"/>
            <w:vMerge w:val="restart"/>
            <w:textDirection w:val="lrTb"/>
            <w:noWrap w:val="false"/>
          </w:tcPr>
          <w:p>
            <w:pPr>
              <w:pStyle w:val="967"/>
              <w:jc w:val="left"/>
              <w:spacing w:line="360" w:lineRule="auto"/>
              <w:widowControl/>
              <w:rPr>
                <w:rFonts w:ascii="宋体" w:hAnsi="宋体" w:cs="宋体"/>
                <w:highlight w:val="none"/>
              </w:rPr>
            </w:pPr>
            <w:r>
              <w:rPr>
                <w:rFonts w:hint="eastAsia" w:ascii="宋体" w:hAnsi="宋体" w:cs="宋体"/>
                <w:highlight w:val="none"/>
              </w:rPr>
              <w:t xml:space="preserve">280wLED投光灯具</w:t>
            </w: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长690</w:t>
            </w:r>
            <w:r>
              <w:rPr>
                <w:rFonts w:ascii="宋体" w:hAnsi="宋体" w:cs="宋体"/>
                <w:highlight w:val="none"/>
              </w:rPr>
            </w:r>
            <w:r/>
          </w:p>
        </w:tc>
        <w:tc>
          <w:tcPr>
            <w:tcMar>
              <w:left w:w="108" w:type="dxa"/>
              <w:top w:w="0" w:type="dxa"/>
              <w:right w:w="108" w:type="dxa"/>
              <w:bottom w:w="0" w:type="dxa"/>
            </w:tcMar>
            <w:tcW w:w="2145" w:type="dxa"/>
            <w:vAlign w:val="top"/>
            <w:vMerge w:val="restart"/>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≥4.5KG</w:t>
            </w:r>
            <w:r>
              <w:rPr>
                <w:rFonts w:ascii="宋体" w:hAnsi="宋体" w:cs="宋体"/>
                <w:highlight w:val="none"/>
              </w:rPr>
            </w:r>
            <w:r/>
          </w:p>
        </w:tc>
      </w:tr>
      <w:tr>
        <w:trPr>
          <w:trHeight w:val="413"/>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宽400</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413"/>
        </w:trPr>
        <w:tc>
          <w:tcPr>
            <w:tcW w:w="2916"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c>
          <w:tcPr>
            <w:tcMar>
              <w:left w:w="108" w:type="dxa"/>
              <w:top w:w="0" w:type="dxa"/>
              <w:right w:w="108" w:type="dxa"/>
              <w:bottom w:w="0" w:type="dxa"/>
            </w:tcMar>
            <w:tcW w:w="3180" w:type="dxa"/>
            <w:vAlign w:val="center"/>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厚65</w:t>
            </w:r>
            <w:r>
              <w:rPr>
                <w:rFonts w:ascii="宋体" w:hAnsi="宋体" w:cs="宋体"/>
                <w:highlight w:val="none"/>
              </w:rPr>
            </w:r>
            <w:r/>
          </w:p>
        </w:tc>
        <w:tc>
          <w:tcPr>
            <w:tcW w:w="2145" w:type="dxa"/>
            <w:vAlign w:val="center"/>
            <w:vMerge w:val="continue"/>
            <w:textDirection w:val="lrTb"/>
            <w:noWrap w:val="false"/>
          </w:tcPr>
          <w:p>
            <w:pPr>
              <w:pStyle w:val="967"/>
              <w:jc w:val="left"/>
              <w:spacing w:line="360" w:lineRule="auto"/>
              <w:widowControl/>
              <w:rPr>
                <w:rFonts w:ascii="宋体" w:hAnsi="宋体" w:cs="宋体"/>
                <w:highlight w:val="none"/>
              </w:rPr>
            </w:pPr>
            <w:r>
              <w:rPr>
                <w:rFonts w:ascii="宋体" w:hAnsi="宋体" w:cs="宋体"/>
                <w:highlight w:val="none"/>
              </w:rPr>
            </w:r>
            <w:r/>
          </w:p>
        </w:tc>
      </w:tr>
      <w:tr>
        <w:trPr>
          <w:trHeight w:val="935"/>
        </w:trPr>
        <w:tc>
          <w:tcPr>
            <w:gridSpan w:val="3"/>
            <w:tcMar>
              <w:left w:w="108" w:type="dxa"/>
              <w:top w:w="0" w:type="dxa"/>
              <w:right w:w="108" w:type="dxa"/>
              <w:bottom w:w="0" w:type="dxa"/>
            </w:tcMar>
            <w:tcW w:w="8241" w:type="dxa"/>
            <w:vAlign w:val="top"/>
            <w:textDirection w:val="lrTb"/>
            <w:noWrap w:val="false"/>
          </w:tcPr>
          <w:p>
            <w:pPr>
              <w:pStyle w:val="967"/>
              <w:ind w:firstLine="420"/>
              <w:spacing w:line="360" w:lineRule="auto"/>
              <w:widowControl/>
              <w:rPr>
                <w:rFonts w:ascii="宋体" w:hAnsi="宋体" w:cs="宋体"/>
                <w:highlight w:val="none"/>
              </w:rPr>
            </w:pPr>
            <w:r>
              <w:rPr>
                <w:rFonts w:hint="eastAsia" w:ascii="宋体" w:hAnsi="宋体" w:cs="宋体"/>
                <w:highlight w:val="none"/>
              </w:rPr>
              <w:t xml:space="preserve">使用在同一道路上的LED路灯灯具，除满足上述尺寸、重量要求以外，还必须确保LED路灯灯具外形、颜色一致。尺寸范围允许误差长±5%、宽±5%、厚±10%。</w:t>
            </w:r>
            <w:r>
              <w:rPr>
                <w:rFonts w:ascii="宋体" w:hAnsi="宋体" w:cs="宋体"/>
                <w:highlight w:val="none"/>
              </w:rPr>
            </w:r>
            <w:r/>
          </w:p>
        </w:tc>
      </w:tr>
    </w:tbl>
    <w:p>
      <w:pPr>
        <w:pStyle w:val="967"/>
        <w:spacing w:line="360" w:lineRule="auto"/>
        <w:widowControl/>
        <w:rPr>
          <w:rFonts w:hint="eastAsia" w:ascii="宋体" w:hAnsi="宋体" w:cs="宋体"/>
          <w:sz w:val="24"/>
          <w:highlight w:val="none"/>
        </w:rPr>
      </w:pPr>
      <w:r>
        <w:rPr>
          <w:rFonts w:hint="eastAsia" w:ascii="宋体" w:hAnsi="宋体" w:cs="宋体"/>
          <w:sz w:val="24"/>
          <w:highlight w:val="none"/>
          <w:shd w:val="clear" w:color="auto" w:fill="ffffff"/>
        </w:rPr>
        <w:t xml:space="preserve"> </w:t>
      </w:r>
      <w:r>
        <w:rPr>
          <w:rFonts w:hint="eastAsia" w:ascii="宋体" w:hAnsi="宋体" w:cs="宋体"/>
          <w:sz w:val="24"/>
          <w:highlight w:val="none"/>
        </w:rPr>
        <w:t xml:space="preserve">（2）灯具安装口径采用60mm直径的安装接口，并配备304不锈钢防坠落装置（不锈钢钢丝直径不小于3mm，并有PE管保护），防坠落装置必须装在LED灯具前端防模块掉落。</w:t>
      </w:r>
      <w:r>
        <w:rPr>
          <w:rFonts w:hint="eastAsia" w:ascii="宋体" w:hAnsi="宋体" w:cs="宋体"/>
          <w:sz w:val="24"/>
          <w:highlight w:val="none"/>
        </w:rPr>
      </w:r>
      <w:r/>
    </w:p>
    <w:p>
      <w:pPr>
        <w:pStyle w:val="967"/>
        <w:ind w:firstLine="120"/>
        <w:spacing w:line="360" w:lineRule="auto"/>
        <w:widowControl/>
        <w:rPr>
          <w:rFonts w:hint="eastAsia" w:ascii="宋体" w:hAnsi="宋体" w:cs="宋体"/>
          <w:sz w:val="24"/>
          <w:highlight w:val="none"/>
        </w:rPr>
      </w:pPr>
      <w:r>
        <w:rPr>
          <w:rFonts w:hint="eastAsia" w:ascii="宋体" w:hAnsi="宋体" w:cs="宋体"/>
          <w:sz w:val="24"/>
          <w:highlight w:val="none"/>
        </w:rPr>
        <w:t xml:space="preserve">（3）灯具的表面应光滑，以防污物堆积和便于清洗；无损伤、变形、涂层剥落，玻璃罩应无气泡、明显划痕和裂纹等缺陷。后盖对流通风孔应设有隔离网防止树叶等异物落入灯具壳体。</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2.3、材料要求：</w:t>
      </w:r>
      <w:r>
        <w:rPr>
          <w:rFonts w:hint="eastAsia" w:ascii="宋体" w:hAnsi="宋体" w:cs="宋体"/>
          <w:sz w:val="24"/>
          <w:highlight w:val="none"/>
        </w:rPr>
      </w:r>
      <w:r/>
    </w:p>
    <w:p>
      <w:pPr>
        <w:pStyle w:val="967"/>
        <w:jc w:val="left"/>
        <w:spacing w:line="360" w:lineRule="auto"/>
        <w:shd w:val="clear" w:color="auto" w:fill="ffffff"/>
        <w:widowControl/>
        <w:rPr>
          <w:rFonts w:hint="eastAsia" w:ascii="宋体" w:hAnsi="宋体" w:cs="宋体"/>
          <w:sz w:val="24"/>
          <w:highlight w:val="none"/>
        </w:rPr>
      </w:pPr>
      <w:r>
        <w:rPr>
          <w:rFonts w:hint="eastAsia" w:ascii="宋体" w:hAnsi="宋体" w:cs="宋体"/>
          <w:color w:val="000000"/>
          <w:sz w:val="24"/>
          <w:highlight w:val="none"/>
        </w:rPr>
        <w:t xml:space="preserve">（1）灯具所采用的电线(缆)、LED和其他电子部件均应符合相应的国家标准或行业标准的规定要求。内部导线要求采用耐高温导线。LED灯具引出线线径不小于1.5平方毫米，相线零线的颜色必须有明显区别。</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（2）灯具的插销、铰链、螺钉和其他外部构件应用不锈钢（不锈钢304）、铝合金、热浸锌制成，其安装构件应不受混凝土的化学反应腐蚀。</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（3）灯具密封件应耐温、耐老化和耐道路上可能出现的腐蚀性气体，并应方便更换。灯具应具有良好的耐腐蚀性能；灯具上的油漆部件，涂层应符合QB/T 1551-1992中II类使用条件的要求；灯具上的电镀或化学覆盖件，覆盖层应符合QB/T3741-1999中Ⅲ类使用条件的要求。灯具灯体材质表面应有耐腐蚀、抗破坏处理手段，处理工艺需达10年使用寿命。灯具高压压铸铝合金外壳，耐腐蚀、抗冲击、牢固耐用， II级。</w:t>
      </w:r>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sz w:val="24"/>
          <w:highlight w:val="none"/>
        </w:rPr>
        <w:t xml:space="preserve">（4）有针对感应雷击及静电的专用防护元件，器件性能符合IEC61000-4（Level 4）的检测标准，≥10KV。要求防雷击及涌浪保护装置内置在灯具电源腔内。</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2.4、结构要求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（1）灯具应安装方便，安装角度应能灵活调节。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（2）灯具应有特设的导线出(入)口密封装置，该装置为不锈钢材料。</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（3）灯具内应有电源接线端子，外部接线和内部接线穿过硬质材料时应有保护措施。</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（4）灯具结构：LED路灯采用全模块化结构设计，模块可以实现在现场的灯杆上拆换，每个LED模块具有独立的散热、防水和配光。单个模组外形尺寸符合CSA016标准，重量不低于900g。</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（5）灯具适应温度：-25℃～+50℃。加强灯具自身结构强度，确保灯具安全。</w:t>
      </w:r>
      <w:r>
        <w:rPr>
          <w:rFonts w:hint="eastAsia" w:ascii="宋体" w:hAnsi="宋体" w:cs="宋体"/>
          <w:sz w:val="24"/>
          <w:highlight w:val="none"/>
        </w:rPr>
      </w:r>
      <w:r/>
    </w:p>
    <w:p>
      <w:pPr>
        <w:pStyle w:val="967"/>
        <w:ind w:firstLine="480"/>
        <w:jc w:val="left"/>
        <w:spacing w:line="360" w:lineRule="auto"/>
        <w:shd w:val="clear" w:color="auto" w:fill="ffffff"/>
        <w:widowControl/>
        <w:rPr>
          <w:rFonts w:hint="eastAsia" w:ascii="宋体" w:hAnsi="宋体" w:cs="宋体"/>
          <w:sz w:val="24"/>
          <w:highlight w:val="none"/>
        </w:rPr>
      </w:pPr>
      <w:r>
        <w:rPr>
          <w:rFonts w:hint="eastAsia" w:ascii="宋体" w:hAnsi="宋体" w:cs="宋体"/>
          <w:color w:val="000000"/>
          <w:sz w:val="24"/>
          <w:highlight w:val="none"/>
        </w:rPr>
        <w:t xml:space="preserve">（6）灯具防护等级为IP65。防护性能采用硅橡胶密封圈实现，不能使用胶水密封。</w:t>
      </w:r>
      <w:r>
        <w:rPr>
          <w:rFonts w:hint="eastAsia" w:ascii="宋体" w:hAnsi="宋体" w:cs="宋体"/>
          <w:sz w:val="24"/>
          <w:highlight w:val="none"/>
        </w:rPr>
      </w:r>
      <w:r/>
    </w:p>
    <w:p>
      <w:pPr>
        <w:pStyle w:val="967"/>
        <w:ind w:firstLine="480"/>
        <w:jc w:val="left"/>
        <w:spacing w:line="360" w:lineRule="auto"/>
        <w:shd w:val="clear" w:color="auto" w:fill="ffffff"/>
        <w:widowControl/>
        <w:rPr>
          <w:rFonts w:hint="eastAsia" w:ascii="宋体" w:hAnsi="宋体" w:cs="宋体"/>
          <w:sz w:val="24"/>
          <w:highlight w:val="none"/>
        </w:rPr>
      </w:pPr>
      <w:r>
        <w:rPr>
          <w:rFonts w:hint="eastAsia" w:ascii="宋体" w:hAnsi="宋体" w:cs="宋体"/>
          <w:color w:val="000000"/>
          <w:sz w:val="24"/>
          <w:highlight w:val="none"/>
        </w:rPr>
        <w:t xml:space="preserve">（7）电器绝缘等级：Class I。</w:t>
      </w:r>
      <w:r>
        <w:rPr>
          <w:rFonts w:hint="eastAsia" w:ascii="宋体" w:hAnsi="宋体" w:cs="宋体"/>
          <w:sz w:val="24"/>
          <w:highlight w:val="none"/>
        </w:rPr>
      </w:r>
      <w:r/>
    </w:p>
    <w:p>
      <w:pPr>
        <w:pStyle w:val="967"/>
        <w:ind w:firstLine="485"/>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（8）灯具的设计应确保电源和LED模组能在现场的灯杆上替换，内部接线使用快接插头；灯具的壳体(上框和下盖)开闭紧固，并且能确保日常维护的方便，实现无需工具维护。</w:t>
      </w:r>
      <w:r>
        <w:rPr>
          <w:rFonts w:hint="eastAsia" w:ascii="宋体" w:hAnsi="宋体" w:cs="宋体"/>
          <w:sz w:val="24"/>
          <w:highlight w:val="none"/>
        </w:rPr>
      </w:r>
      <w:r/>
    </w:p>
    <w:p>
      <w:pPr>
        <w:pStyle w:val="967"/>
        <w:ind w:firstLine="485"/>
        <w:spacing w:line="360" w:lineRule="auto"/>
        <w:widowControl/>
        <w:rPr>
          <w:rFonts w:ascii="宋体" w:hAnsi="宋体" w:cs="宋体"/>
          <w:sz w:val="24"/>
          <w:highlight w:val="none"/>
        </w:rPr>
      </w:pPr>
      <w:r>
        <w:rPr>
          <w:rFonts w:hint="eastAsia" w:ascii="宋体" w:hAnsi="宋体" w:cs="宋体"/>
          <w:sz w:val="24"/>
          <w:highlight w:val="none"/>
        </w:rPr>
        <w:t xml:space="preserve">（9）投光灯具采用优质钢板（厚度≥5mm）制作固定支架，并进行热镀锌和喷塑处理。灯具上下左右均可自由调节方向，有带刻度板螺帽。支架安装孔距为75mm，开孔为腰型孔，直径≥12.5mm。</w:t>
      </w:r>
      <w:r>
        <w:rPr>
          <w:rFonts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（10）单灯控制器安装在灯具内。</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3、LED模组与接口要求（</w:t>
      </w:r>
      <w:r>
        <w:rPr>
          <w:rFonts w:hint="eastAsia" w:ascii="宋体" w:hAnsi="宋体" w:cs="宋体"/>
          <w:sz w:val="24"/>
          <w:highlight w:val="none"/>
        </w:rPr>
        <w:t xml:space="preserve">GB∕T 35269</w:t>
      </w:r>
      <w:r>
        <w:rPr>
          <w:rFonts w:hint="eastAsia" w:ascii="宋体" w:hAnsi="宋体" w:cs="宋体"/>
          <w:b/>
          <w:bCs/>
          <w:sz w:val="24"/>
          <w:highlight w:val="none"/>
        </w:rPr>
        <w:t xml:space="preserve">标准）：</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3.1、LED模组结构</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LED模组的外形尺寸如图所示：</w:t>
      </w:r>
      <w:r>
        <w:rPr>
          <w:rFonts w:hint="eastAsia" w:ascii="宋体" w:hAnsi="宋体" w:cs="宋体"/>
          <w:sz w:val="24"/>
          <w:highlight w:val="none"/>
        </w:rPr>
      </w:r>
      <w:r/>
    </w:p>
    <w:p>
      <w:pPr>
        <w:pStyle w:val="967"/>
        <w:spacing w:line="360" w:lineRule="auto"/>
        <w:widowControl/>
        <w:rPr>
          <w:rFonts w:ascii="宋体" w:hAnsi="宋体" w:cs="仿宋"/>
          <w:sz w:val="24"/>
          <w:highlight w:val="none"/>
        </w:rPr>
      </w:pPr>
      <w:r>
        <w:rPr>
          <w:rFonts w:ascii="宋体" w:hAnsi="宋体" w:cs="仿宋"/>
          <w:sz w:val="24"/>
          <w:highlight w:val="none"/>
        </w:rPr>
        <mc:AlternateContent>
          <mc:Choice Requires="wpg">
            <w:drawing>
              <wp:inline xmlns:wp="http://schemas.openxmlformats.org/drawingml/2006/wordprocessingDrawing" distT="0" distB="0" distL="0" distR="0">
                <wp:extent cx="5276761" cy="307345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6761" cy="30734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242.0pt;mso-wrap-distance-left:0.0pt;mso-wrap-distance-top:0.0pt;mso-wrap-distance-right:0.0pt;mso-wrap-distance-bottom:0.0pt;" stroked="f">
                <v:path textboxrect="0,0,0,0"/>
                <v:imagedata r:id="rId15" o:title=""/>
              </v:shape>
            </w:pict>
          </mc:Fallback>
        </mc:AlternateContent>
      </w:r>
      <w:r>
        <w:rPr>
          <w:rFonts w:ascii="宋体" w:hAnsi="宋体" w:cs="仿宋"/>
          <w:sz w:val="24"/>
          <w:highlight w:val="none"/>
        </w:rPr>
      </w:r>
      <w:r/>
    </w:p>
    <w:p>
      <w:pPr>
        <w:pStyle w:val="967"/>
        <w:jc w:val="center"/>
        <w:spacing w:line="360" w:lineRule="auto"/>
        <w:widowControl/>
        <w:rPr>
          <w:rFonts w:hint="eastAsia" w:ascii="宋体" w:hAnsi="宋体" w:cs="仿宋"/>
          <w:sz w:val="24"/>
          <w:highlight w:val="none"/>
        </w:rPr>
      </w:pPr>
      <w:r>
        <w:rPr>
          <w:rFonts w:ascii="宋体" w:hAnsi="宋体" w:cs="仿宋"/>
          <w:sz w:val="24"/>
          <w:highlight w:val="none"/>
        </w:rPr>
        <mc:AlternateContent>
          <mc:Choice Requires="wpg">
            <w:drawing>
              <wp:inline xmlns:wp="http://schemas.openxmlformats.org/drawingml/2006/wordprocessingDrawing" distT="0" distB="0" distL="0" distR="0">
                <wp:extent cx="3486061" cy="25971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010" r="-215" b="-436"/>
                        <a:stretch/>
                      </pic:blipFill>
                      <pic:spPr bwMode="auto">
                        <a:xfrm>
                          <a:off x="0" y="0"/>
                          <a:ext cx="3486061" cy="259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4.5pt;height:204.5pt;mso-wrap-distance-left:0.0pt;mso-wrap-distance-top:0.0pt;mso-wrap-distance-right:0.0pt;mso-wrap-distance-bottom:0.0pt;" stroked="f">
                <v:path textboxrect="0,0,0,0"/>
                <v:imagedata r:id="rId16" o:title=""/>
              </v:shape>
            </w:pict>
          </mc:Fallback>
        </mc:AlternateContent>
      </w:r>
      <w:r>
        <w:rPr>
          <w:rFonts w:hint="eastAsia" w:ascii="宋体" w:hAnsi="宋体" w:cs="仿宋"/>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根据标准要求，模组的总长度L0不大于300mm，长度方向安装孔中心间距L1为286mm，发光面长度L2不大于272mm，模组总宽度W0不大于70mm，宽度方向安装孔中心间距W1为30mm，安装腰孔长度W2为15mm，模组总高度H0不大于60mm。</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3.2、电子连接器结构和尺寸要求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LED模组与LED灯体之间和控制装置与LED灯体之间通过带有可插接式防水电子连接器的软线或软缆进行连接，电子连接器的防护等级不应低于IP65，连接器正负端引线颜色要求：正极引线颜色为棕色，负极引线颜色为蓝色。电子连接器的公端和母端插孔结构要求必须符合下图所示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ascii="宋体" w:hAnsi="宋体" w:cs="仿宋"/>
          <w:sz w:val="24"/>
          <w:highlight w:val="none"/>
        </w:rPr>
        <mc:AlternateContent>
          <mc:Choice Requires="wpg">
            <w:drawing>
              <wp:inline xmlns:wp="http://schemas.openxmlformats.org/drawingml/2006/wordprocessingDrawing" distT="0" distB="0" distL="0" distR="0">
                <wp:extent cx="3879736" cy="230513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79736" cy="2305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5.5pt;height:181.5pt;mso-wrap-distance-left:0.0pt;mso-wrap-distance-top:0.0pt;mso-wrap-distance-right:0.0pt;mso-wrap-distance-bottom:0.0pt;" stroked="f">
                <v:path textboxrect="0,0,0,0"/>
                <v:imagedata r:id="rId17" o:title=""/>
              </v:shape>
            </w:pict>
          </mc:Fallback>
        </mc:AlternateConten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其中，插针距离L1为6.3mm，插针直径D1为1.5mm。</w:t>
      </w:r>
      <w:r>
        <w:rPr>
          <w:rFonts w:hint="eastAsia" w:ascii="宋体" w:hAnsi="宋体" w:cs="宋体"/>
          <w:sz w:val="24"/>
          <w:highlight w:val="none"/>
        </w:rPr>
      </w:r>
      <w:r/>
    </w:p>
    <w:p>
      <w:pPr>
        <w:pStyle w:val="967"/>
        <w:ind w:firstLine="547"/>
        <w:spacing w:line="360" w:lineRule="auto"/>
        <w:widowControl/>
        <w:rPr>
          <w:rFonts w:hint="eastAsia" w:ascii="宋体" w:hAnsi="宋体" w:cs="宋体"/>
          <w:sz w:val="24"/>
          <w:highlight w:val="none"/>
        </w:rPr>
      </w:pPr>
      <w:r>
        <w:rPr>
          <w:rFonts w:hint="eastAsia" w:ascii="宋体" w:hAnsi="宋体" w:cs="宋体"/>
          <w:sz w:val="24"/>
          <w:highlight w:val="none"/>
        </w:rPr>
        <w:t xml:space="preserve">3.3、模组要求</w:t>
      </w:r>
      <w:r>
        <w:rPr>
          <w:rFonts w:hint="eastAsia" w:ascii="宋体" w:hAnsi="宋体" w:cs="宋体"/>
          <w:sz w:val="24"/>
          <w:highlight w:val="none"/>
        </w:rPr>
      </w:r>
      <w:r/>
    </w:p>
    <w:p>
      <w:pPr>
        <w:pStyle w:val="967"/>
        <w:ind w:firstLine="720"/>
        <w:spacing w:line="360" w:lineRule="auto"/>
        <w:widowControl/>
        <w:rPr>
          <w:rFonts w:hint="eastAsia" w:ascii="宋体" w:hAnsi="宋体" w:cs="宋体"/>
          <w:sz w:val="24"/>
          <w:highlight w:val="none"/>
        </w:rPr>
      </w:pPr>
      <w:r>
        <w:rPr>
          <w:rFonts w:hint="eastAsia" w:ascii="宋体" w:hAnsi="宋体" w:cs="宋体"/>
          <w:sz w:val="24"/>
          <w:highlight w:val="none"/>
        </w:rPr>
        <w:t xml:space="preserve">采购人出于降低维护成本，提高维护效率的考虑，统一模组电气参数，确定如下相关参数：</w:t>
      </w:r>
      <w:r>
        <w:rPr>
          <w:rFonts w:hint="eastAsia" w:ascii="宋体" w:hAnsi="宋体" w:cs="宋体"/>
          <w:sz w:val="24"/>
          <w:highlight w:val="none"/>
        </w:rPr>
      </w:r>
      <w:r/>
    </w:p>
    <w:p>
      <w:pPr>
        <w:pStyle w:val="967"/>
        <w:ind w:firstLine="720"/>
        <w:spacing w:line="360" w:lineRule="auto"/>
        <w:widowControl/>
        <w:rPr>
          <w:rFonts w:hint="eastAsia" w:ascii="宋体" w:hAnsi="宋体" w:cs="宋体"/>
          <w:sz w:val="24"/>
          <w:highlight w:val="none"/>
        </w:rPr>
      </w:pPr>
      <w:r>
        <w:rPr>
          <w:rFonts w:hint="eastAsia" w:ascii="宋体" w:hAnsi="宋体" w:cs="宋体"/>
          <w:sz w:val="24"/>
          <w:highlight w:val="none"/>
        </w:rPr>
        <w:t xml:space="preserve">芯片的要求：LED芯片推荐采用品牌原厂封装芯片，不得采用集成式芯片。LED芯片光效≥150 lm/w，色温为3000K，显色系数(CRI)＞70。</w:t>
      </w:r>
      <w:r>
        <w:rPr>
          <w:rFonts w:hint="eastAsia" w:ascii="宋体" w:hAnsi="宋体" w:cs="宋体"/>
          <w:sz w:val="24"/>
          <w:highlight w:val="none"/>
        </w:rPr>
      </w:r>
      <w:r/>
    </w:p>
    <w:p>
      <w:pPr>
        <w:pStyle w:val="967"/>
        <w:ind w:firstLine="547"/>
        <w:spacing w:line="360" w:lineRule="auto"/>
        <w:widowControl/>
        <w:rPr>
          <w:rFonts w:hint="eastAsia" w:ascii="宋体" w:hAnsi="宋体" w:cs="宋体"/>
          <w:strike/>
          <w:sz w:val="24"/>
          <w:highlight w:val="none"/>
        </w:rPr>
      </w:pPr>
      <w:r>
        <w:rPr>
          <w:rFonts w:hint="eastAsia" w:ascii="宋体" w:hAnsi="宋体" w:cs="宋体"/>
          <w:sz w:val="24"/>
          <w:highlight w:val="none"/>
        </w:rPr>
        <w:t xml:space="preserve"> LED灯具30w、60w为1个模组；90w、120w为2个模组；160w、200w为3个模组；240w为4个模组;280w、320w为5个模组；360w为6个模组。除30w LED灯具以外其余的灯具单个模组额定功率为70W。</w:t>
      </w:r>
      <w:r>
        <w:rPr>
          <w:rFonts w:hint="eastAsia" w:ascii="宋体" w:hAnsi="宋体" w:cs="宋体"/>
          <w:strike/>
          <w:sz w:val="24"/>
          <w:highlight w:val="none"/>
        </w:rPr>
      </w:r>
      <w:r/>
    </w:p>
    <w:p>
      <w:pPr>
        <w:pStyle w:val="967"/>
        <w:ind w:firstLine="547"/>
        <w:spacing w:line="360" w:lineRule="auto"/>
        <w:widowControl/>
        <w:rPr>
          <w:rFonts w:hint="eastAsia" w:ascii="宋体" w:hAnsi="宋体" w:cs="宋体"/>
          <w:sz w:val="24"/>
          <w:highlight w:val="none"/>
        </w:rPr>
      </w:pPr>
      <w:r>
        <w:rPr>
          <w:rFonts w:hint="eastAsia" w:ascii="宋体" w:hAnsi="宋体" w:cs="宋体"/>
          <w:sz w:val="24"/>
          <w:highlight w:val="none"/>
        </w:rPr>
        <w:t xml:space="preserve">每个模组具有单独铭牌，标注生产厂家、生产日期、电气参数、配光类型、芯片颗粒数、芯片额定功率、芯片品牌等相关信息。</w:t>
      </w:r>
      <w:r>
        <w:rPr>
          <w:rFonts w:hint="eastAsia" w:ascii="宋体" w:hAnsi="宋体" w:cs="宋体"/>
          <w:sz w:val="24"/>
          <w:highlight w:val="none"/>
        </w:rPr>
      </w:r>
      <w:r/>
    </w:p>
    <w:p>
      <w:pPr>
        <w:pStyle w:val="967"/>
        <w:ind w:firstLine="547"/>
        <w:spacing w:line="360" w:lineRule="auto"/>
        <w:widowControl/>
        <w:rPr>
          <w:rFonts w:hint="eastAsia" w:ascii="宋体" w:hAnsi="宋体" w:cs="宋体"/>
          <w:sz w:val="24"/>
          <w:highlight w:val="none"/>
        </w:rPr>
      </w:pPr>
      <w:r>
        <w:rPr>
          <w:rFonts w:hint="eastAsia" w:ascii="宋体" w:hAnsi="宋体" w:cs="宋体"/>
          <w:sz w:val="24"/>
          <w:highlight w:val="none"/>
        </w:rPr>
        <w:t xml:space="preserve">整灯光衰在正常环境温度下，灯具正常工作6000小时光衰≤2%；整灯寿命≥50000小时，光衰≤30%。</w:t>
      </w:r>
      <w:r>
        <w:rPr>
          <w:rFonts w:hint="eastAsia" w:ascii="宋体" w:hAnsi="宋体" w:cs="宋体"/>
          <w:sz w:val="24"/>
          <w:highlight w:val="none"/>
        </w:rPr>
      </w:r>
      <w:r/>
    </w:p>
    <w:p>
      <w:pPr>
        <w:pStyle w:val="967"/>
        <w:ind w:firstLine="547"/>
        <w:spacing w:line="360" w:lineRule="auto"/>
        <w:widowControl/>
        <w:rPr>
          <w:rFonts w:hint="eastAsia" w:ascii="宋体" w:hAnsi="宋体" w:cs="宋体"/>
          <w:sz w:val="24"/>
          <w:highlight w:val="none"/>
        </w:rPr>
      </w:pPr>
      <w:r>
        <w:rPr>
          <w:rFonts w:hint="eastAsia" w:ascii="宋体" w:hAnsi="宋体" w:cs="宋体"/>
          <w:sz w:val="24"/>
          <w:highlight w:val="none"/>
        </w:rPr>
        <w:t xml:space="preserve">4、驱动电源及其他配件的要求：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1）LED驱动电源须采用可调光技术，及宽电压输入(90V-305V)，功率因数不低于0.95。内置在灯具里，与光源模组间连接可靠，便于维护，整体美观。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2）驱动电源之外应配备独立防雷器，器件性能符合IEC61000-4</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（Level 4）的检测标准。灯具需配防雷击及涌浪保护装置：≥10KV。 </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3）输出直流电压与LED负载相匹配，并为LED提供恒定直流电流驱动。提供完善的保护，如输入电压不足、过电压保护、输出开路与短路保护等。</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4)必须预留智能控制接口。灯具须采用可调光技术，须提供可调光接口。</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bookmarkStart w:id="201" w:name="OLE_LINK15"/>
      <w:r>
        <w:rPr>
          <w:rFonts w:hint="eastAsia" w:ascii="宋体" w:hAnsi="宋体" w:cs="宋体"/>
          <w:sz w:val="24"/>
          <w:highlight w:val="none"/>
        </w:rPr>
        <w:t xml:space="preserve">5）LED电源须通过国家强制性CCC认证；</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6）LED电源的安全性能须符合国标GB19510.1和GB19540.14的要求；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7）LED电源的电磁兼容性能须符合国标GB/T 17743和GB 17625.1的要求；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bookmarkEnd w:id="201"/>
      <w:r>
        <w:rPr>
          <w:rFonts w:hint="eastAsia" w:ascii="宋体" w:hAnsi="宋体" w:cs="宋体"/>
          <w:sz w:val="24"/>
          <w:highlight w:val="none"/>
        </w:rPr>
      </w:r>
      <w:r/>
    </w:p>
    <w:p>
      <w:pPr>
        <w:pStyle w:val="967"/>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二）、灯杆部分</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灯体（含灯杆灯架）实际重量必须达到或高于理论重量。</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所有紧固件必须采用不锈钢材料。灯杆切口必须光滑整洁、不带毛刺。</w:t>
      </w:r>
      <w:r>
        <w:rPr>
          <w:rFonts w:hint="eastAsia" w:ascii="宋体" w:hAnsi="宋体" w:cs="宋体"/>
          <w:sz w:val="24"/>
          <w:highlight w:val="none"/>
        </w:rPr>
      </w:r>
      <w:r/>
    </w:p>
    <w:p>
      <w:pPr>
        <w:pStyle w:val="967"/>
        <w:ind w:right="-105" w:firstLine="576"/>
        <w:spacing w:line="360" w:lineRule="auto"/>
        <w:widowControl/>
        <w:rPr>
          <w:rFonts w:hint="eastAsia" w:ascii="宋体" w:hAnsi="宋体" w:cs="宋体"/>
          <w:sz w:val="24"/>
          <w:highlight w:val="none"/>
        </w:rPr>
      </w:pPr>
      <w:r>
        <w:rPr>
          <w:rFonts w:hint="eastAsia" w:ascii="宋体" w:hAnsi="宋体" w:cs="宋体"/>
          <w:sz w:val="24"/>
          <w:highlight w:val="none"/>
        </w:rPr>
        <w:t xml:space="preserve">中标供应商在签订合同时向南通市城市照明管理处索取灯杆的静电喷塑色样。</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技术图纸上未标明尺寸的均须大于4MM厚。</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灯杆高度、</w:t>
      </w:r>
      <w:r>
        <w:rPr>
          <w:rFonts w:hint="eastAsia" w:ascii="宋体" w:hAnsi="宋体" w:cs="宋体"/>
          <w:color w:val="000000"/>
          <w:sz w:val="24"/>
          <w:highlight w:val="none"/>
        </w:rPr>
        <w:t xml:space="preserve">灯体外形结构以本招标文件提供的对应附图为准</w:t>
      </w:r>
      <w:r>
        <w:rPr>
          <w:rFonts w:hint="eastAsia" w:ascii="宋体" w:hAnsi="宋体" w:cs="宋体"/>
          <w:sz w:val="24"/>
          <w:highlight w:val="none"/>
        </w:rPr>
        <w:t xml:space="preserve">。投标供应商须对所提供图纸进行技术复核，进行深化设计，并提供生产加工图（细部结构）给采购人确认。</w:t>
      </w:r>
      <w:r>
        <w:rPr>
          <w:rFonts w:hint="eastAsia" w:ascii="宋体" w:hAnsi="宋体" w:cs="宋体"/>
          <w:sz w:val="24"/>
          <w:highlight w:val="none"/>
        </w:rPr>
      </w:r>
      <w:r/>
    </w:p>
    <w:p>
      <w:pPr>
        <w:pStyle w:val="967"/>
        <w:ind w:firstLine="485"/>
        <w:spacing w:line="360" w:lineRule="auto"/>
        <w:widowControl/>
        <w:rPr>
          <w:rFonts w:hint="eastAsia" w:ascii="宋体" w:hAnsi="宋体" w:cs="宋体"/>
          <w:sz w:val="24"/>
          <w:highlight w:val="none"/>
        </w:rPr>
      </w:pPr>
      <w:r>
        <w:rPr>
          <w:rFonts w:hint="eastAsia" w:ascii="宋体" w:hAnsi="宋体" w:cs="宋体"/>
          <w:sz w:val="24"/>
          <w:highlight w:val="none"/>
        </w:rPr>
        <w:t xml:space="preserve">灯杆必须配备底座固定镀锌垫片（φ24mm*4mm厚度加大加宽，每个灯杆配8只）和配备115mm*230mm*4mm绝缘板制作的RT14双保险，具体做法按采购单位要求。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1、灯杆</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①基本参数： 灯柱为整体热浸锌后静电喷塑的金属灯柱，灯杆平放无载荷条件下直线度误差不超过0.3%，规格、尺寸、颜色和杆型，根据序号对应的所附图纸设计制造，不含灯具（庭院灯除外）。</w:t>
      </w:r>
      <w:r>
        <w:rPr>
          <w:rFonts w:hint="eastAsia" w:ascii="宋体" w:hAnsi="宋体" w:cs="宋体"/>
          <w:sz w:val="24"/>
          <w:highlight w:val="none"/>
        </w:rPr>
      </w:r>
      <w:r/>
    </w:p>
    <w:p>
      <w:pPr>
        <w:pStyle w:val="967"/>
        <w:ind w:firstLine="461"/>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②灯杆材质：采用壁厚≥4mm的Q235（SS400）优质钢板，并有足够强度以防运输及安装过程中变形。</w:t>
      </w:r>
      <w:r>
        <w:rPr>
          <w:rFonts w:hint="eastAsia" w:ascii="宋体" w:hAnsi="宋体" w:cs="宋体"/>
          <w:sz w:val="24"/>
          <w:highlight w:val="none"/>
        </w:rPr>
      </w:r>
      <w:r/>
    </w:p>
    <w:p>
      <w:pPr>
        <w:pStyle w:val="967"/>
        <w:ind w:firstLine="461"/>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③拼缝焊接：必须采用机械自动焊，无横向焊缝，纵向焊缝强度严格保证，焊缝表面光滑，无焊接缺陷。</w:t>
      </w:r>
      <w:r>
        <w:rPr>
          <w:rFonts w:hint="eastAsia" w:ascii="宋体" w:hAnsi="宋体" w:cs="宋体"/>
          <w:sz w:val="24"/>
          <w:highlight w:val="none"/>
        </w:rPr>
      </w:r>
      <w:r/>
    </w:p>
    <w:p>
      <w:pPr>
        <w:pStyle w:val="967"/>
        <w:ind w:firstLine="461"/>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④灯杆基础法兰盘采用Q235优质钢板，法兰与杆体之间要求正反面满焊，焊接可靠、牢固，无焊接缺陷。</w:t>
      </w:r>
      <w:r>
        <w:rPr>
          <w:rFonts w:hint="eastAsia" w:ascii="宋体" w:hAnsi="宋体" w:cs="宋体"/>
          <w:sz w:val="24"/>
          <w:highlight w:val="none"/>
        </w:rPr>
      </w:r>
      <w:r/>
    </w:p>
    <w:p>
      <w:pPr>
        <w:pStyle w:val="967"/>
        <w:ind w:right="-105" w:firstLine="461"/>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⑤灯杆检修门：门孔应使用自动切割机切割，切割线必须光洁、整齐、缝隙小（≤1mm），门上要有内焊式门铰链及防盗锁，门结构图由采购单位提供。</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⑥灯杆的圆整度要满足技术要求。</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⑦表层处理：按GB/T 13912-92 标准进行热浸锌处理后，锌层厚度不小于65μm，再行静电喷塑处理，室外用纯聚酯热固性粉末涂层厚不小于80μm，涂膜必须符合GB1720、GB1732、GB1763和ASTM F1043-95标准。</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⑧螺丝、螺母及相关附件要求采用304不锈钢制作。</w:t>
      </w:r>
      <w:r>
        <w:rPr>
          <w:rFonts w:hint="eastAsia" w:ascii="宋体" w:hAnsi="宋体" w:cs="宋体"/>
          <w:sz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2、</w:t>
      </w:r>
      <w:r>
        <w:rPr>
          <w:rFonts w:hint="eastAsia" w:ascii="宋体" w:hAnsi="宋体" w:cs="宋体"/>
          <w:b/>
          <w:bCs/>
          <w:color w:val="000000"/>
          <w:sz w:val="24"/>
          <w:highlight w:val="none"/>
        </w:rPr>
        <w:t xml:space="preserve">灯臂（架）：</w:t>
      </w:r>
      <w:r>
        <w:rPr>
          <w:rFonts w:hint="eastAsia" w:ascii="宋体" w:hAnsi="宋体" w:cs="宋体"/>
          <w:sz w:val="24"/>
          <w:highlight w:val="none"/>
        </w:rPr>
      </w:r>
      <w:r/>
    </w:p>
    <w:p>
      <w:pPr>
        <w:pStyle w:val="967"/>
        <w:ind w:firstLine="50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①装饰性双（单）悬挑金属杆路灯灯臂（架）按附图造型进行制作，采用优质焊管制成；灯架前段安装灯具部分为60mm等径钢管焊接，壁厚≥4mm，灯臂长度考虑1500-3000mm，根据具体施工需要确定。焊接后整体热浸锌，且需静电喷塑。</w:t>
      </w:r>
      <w:r>
        <w:rPr>
          <w:rFonts w:hint="eastAsia" w:ascii="宋体" w:hAnsi="宋体" w:cs="宋体"/>
          <w:sz w:val="24"/>
          <w:highlight w:val="none"/>
        </w:rPr>
      </w:r>
      <w:r/>
    </w:p>
    <w:p>
      <w:pPr>
        <w:pStyle w:val="967"/>
        <w:ind w:firstLine="50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②灯架主杆采用优质焊管，主杆上部支撑架，采用厚度≥4mm的Q235优质钢板制成；灯架焊接后整体热镀锌。规格、尺寸见附图，要求灯具上下左右均可自由调节方向（颜色为灰白色、RAL7035）。</w:t>
      </w:r>
      <w:r>
        <w:rPr>
          <w:rFonts w:hint="eastAsia" w:ascii="宋体" w:hAnsi="宋体" w:cs="宋体"/>
          <w:sz w:val="24"/>
          <w:highlight w:val="none"/>
        </w:rPr>
      </w:r>
      <w:r/>
    </w:p>
    <w:p>
      <w:pPr>
        <w:pStyle w:val="967"/>
        <w:ind w:firstLine="500"/>
        <w:spacing w:line="360" w:lineRule="auto"/>
        <w:widowControl/>
        <w:rPr>
          <w:rFonts w:hint="eastAsia" w:ascii="宋体" w:hAnsi="宋体" w:cs="宋体"/>
          <w:sz w:val="24"/>
          <w:highlight w:val="none"/>
        </w:rPr>
      </w:pPr>
      <w:r>
        <w:rPr>
          <w:rFonts w:hint="eastAsia" w:ascii="宋体" w:hAnsi="宋体" w:cs="宋体"/>
          <w:color w:val="000000"/>
          <w:sz w:val="24"/>
          <w:highlight w:val="none"/>
        </w:rPr>
        <w:t xml:space="preserve">③表层处理：按GB/T 13912-92 标准进行热浸锌处理后，锌层厚度不小于65μm，再行静电喷塑处理，室外用纯聚酯热固性粉末涂层厚不小于80μm，涂膜必须符合GB1720、GB1732、GB1763和ASTM F1043-95标准。</w:t>
      </w:r>
      <w:r>
        <w:rPr>
          <w:rFonts w:hint="eastAsia" w:ascii="宋体" w:hAnsi="宋体" w:cs="宋体"/>
          <w:sz w:val="24"/>
          <w:highlight w:val="none"/>
        </w:rPr>
      </w:r>
      <w:r/>
    </w:p>
    <w:p>
      <w:pPr>
        <w:pStyle w:val="967"/>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④螺丝、螺母及相关附件要求</w:t>
      </w:r>
      <w:r>
        <w:rPr>
          <w:rFonts w:hint="eastAsia" w:ascii="宋体" w:hAnsi="宋体" w:cs="宋体"/>
          <w:color w:val="000000"/>
          <w:sz w:val="24"/>
          <w:szCs w:val="24"/>
          <w:highlight w:val="none"/>
        </w:rPr>
        <w:t xml:space="preserve">采用不锈钢制作（不锈钢304）。</w:t>
      </w:r>
      <w:r>
        <w:rPr>
          <w:rFonts w:ascii="宋体" w:hAnsi="宋体" w:cs="宋体"/>
          <w:color w:val="000000"/>
          <w:sz w:val="24"/>
          <w:szCs w:val="24"/>
          <w:highlight w:val="none"/>
        </w:rPr>
      </w:r>
      <w:r/>
    </w:p>
    <w:p>
      <w:pPr>
        <w:pStyle w:val="967"/>
        <w:ind w:firstLine="560"/>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*上述技术要求为通用参数，如与施工图有冲突，以施工图为准。</w:t>
      </w:r>
      <w:r>
        <w:rPr>
          <w:rFonts w:ascii="宋体" w:hAnsi="宋体" w:cs="宋体"/>
          <w:b/>
          <w:bCs/>
          <w:color w:val="000000"/>
          <w:sz w:val="24"/>
          <w:szCs w:val="24"/>
          <w:highlight w:val="none"/>
        </w:rPr>
      </w:r>
      <w:r/>
    </w:p>
    <w:p>
      <w:pPr>
        <w:pStyle w:val="96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rPr>
          <w:rFonts w:hint="eastAsia" w:ascii="宋体" w:hAnsi="宋体" w:cs="宋体"/>
          <w:b/>
          <w:sz w:val="24"/>
          <w:szCs w:val="24"/>
          <w:highlight w:val="none"/>
        </w:rPr>
        <w:t xml:space="preserve">控制系统要求</w:t>
      </w:r>
      <w:r>
        <w:rPr>
          <w:rFonts w:hint="eastAsia" w:ascii="宋体" w:hAnsi="宋体" w:cs="宋体"/>
          <w:b/>
          <w:bCs/>
          <w:color w:val="000000"/>
          <w:sz w:val="24"/>
          <w:szCs w:val="24"/>
          <w:highlight w:val="none"/>
        </w:rPr>
      </w:r>
      <w:r/>
    </w:p>
    <w:p>
      <w:pPr>
        <w:pStyle w:val="967"/>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1、基本参数要求：</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1)电参数</w:t>
      </w:r>
      <w:r>
        <w:rPr>
          <w:rFonts w:hint="eastAsia" w:ascii="宋体" w:hAnsi="宋体" w:cs="宋体"/>
          <w:sz w:val="24"/>
          <w:szCs w:val="24"/>
          <w:highlight w:val="none"/>
        </w:rPr>
      </w:r>
      <w:r/>
    </w:p>
    <w:tbl>
      <w:tblPr>
        <w:tblW w:w="7998" w:type="dxa"/>
        <w:tblInd w:w="5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7"/>
        <w:gridCol w:w="3165"/>
        <w:gridCol w:w="2656"/>
      </w:tblGrid>
      <w:tr>
        <w:trPr>
          <w:trHeight w:val="527"/>
        </w:trPr>
        <w:tc>
          <w:tcPr>
            <w:tcW w:w="2177"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参数名称</w:t>
            </w:r>
            <w:r>
              <w:rPr>
                <w:rFonts w:hint="eastAsia" w:ascii="宋体" w:hAnsi="宋体" w:cs="宋体"/>
                <w:sz w:val="24"/>
                <w:szCs w:val="24"/>
                <w:highlight w:val="none"/>
              </w:rPr>
            </w:r>
            <w:r/>
          </w:p>
        </w:tc>
        <w:tc>
          <w:tcPr>
            <w:tcW w:w="3165"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输入</w:t>
            </w:r>
            <w:r>
              <w:rPr>
                <w:rFonts w:hint="eastAsia" w:ascii="宋体" w:hAnsi="宋体" w:cs="宋体"/>
                <w:sz w:val="24"/>
                <w:szCs w:val="24"/>
                <w:highlight w:val="none"/>
              </w:rPr>
            </w:r>
            <w:r/>
          </w:p>
        </w:tc>
        <w:tc>
          <w:tcPr>
            <w:tcW w:w="2656"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输出</w:t>
            </w:r>
            <w:r>
              <w:rPr>
                <w:rFonts w:hint="eastAsia" w:ascii="宋体" w:hAnsi="宋体" w:cs="宋体"/>
                <w:sz w:val="24"/>
                <w:szCs w:val="24"/>
                <w:highlight w:val="none"/>
              </w:rPr>
            </w:r>
            <w:r/>
          </w:p>
        </w:tc>
      </w:tr>
      <w:tr>
        <w:trPr>
          <w:trHeight w:val="568"/>
        </w:trPr>
        <w:tc>
          <w:tcPr>
            <w:tcW w:w="2177"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电压</w:t>
            </w:r>
            <w:r>
              <w:rPr>
                <w:rFonts w:hint="eastAsia" w:ascii="宋体" w:hAnsi="宋体" w:cs="宋体"/>
                <w:sz w:val="24"/>
                <w:szCs w:val="24"/>
                <w:highlight w:val="none"/>
              </w:rPr>
            </w:r>
            <w:r/>
          </w:p>
        </w:tc>
        <w:tc>
          <w:tcPr>
            <w:tcW w:w="3165"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85VAC~305VAC</w:t>
            </w:r>
            <w:r>
              <w:rPr>
                <w:rFonts w:hint="eastAsia" w:ascii="宋体" w:hAnsi="宋体" w:cs="宋体"/>
                <w:sz w:val="24"/>
                <w:szCs w:val="24"/>
                <w:highlight w:val="none"/>
              </w:rPr>
            </w:r>
            <w:r/>
          </w:p>
        </w:tc>
        <w:tc>
          <w:tcPr>
            <w:tcW w:w="2656"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按灯具和电源要求</w:t>
            </w:r>
            <w:r>
              <w:rPr>
                <w:rFonts w:hint="eastAsia" w:ascii="宋体" w:hAnsi="宋体" w:cs="宋体"/>
                <w:sz w:val="24"/>
                <w:szCs w:val="24"/>
                <w:highlight w:val="none"/>
              </w:rPr>
            </w:r>
            <w:r/>
          </w:p>
        </w:tc>
      </w:tr>
      <w:tr>
        <w:trPr>
          <w:trHeight w:val="557"/>
        </w:trPr>
        <w:tc>
          <w:tcPr>
            <w:tcW w:w="2177"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电流</w:t>
            </w:r>
            <w:r>
              <w:rPr>
                <w:rFonts w:hint="eastAsia" w:ascii="宋体" w:hAnsi="宋体" w:cs="宋体"/>
                <w:sz w:val="24"/>
                <w:szCs w:val="24"/>
                <w:highlight w:val="none"/>
              </w:rPr>
            </w:r>
            <w:r/>
          </w:p>
        </w:tc>
        <w:tc>
          <w:tcPr>
            <w:tcW w:w="3165"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0~4A</w:t>
            </w:r>
            <w:r>
              <w:rPr>
                <w:rFonts w:hint="eastAsia" w:ascii="宋体" w:hAnsi="宋体" w:cs="宋体"/>
                <w:sz w:val="24"/>
                <w:szCs w:val="24"/>
                <w:highlight w:val="none"/>
              </w:rPr>
            </w:r>
            <w:r/>
          </w:p>
        </w:tc>
        <w:tc>
          <w:tcPr>
            <w:tcW w:w="2656" w:type="dxa"/>
            <w:vAlign w:val="top"/>
            <w:textDirection w:val="lrTb"/>
            <w:noWrap w:val="false"/>
          </w:tcPr>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0~4A</w:t>
            </w:r>
            <w:r>
              <w:rPr>
                <w:rFonts w:hint="eastAsia" w:ascii="宋体" w:hAnsi="宋体" w:cs="宋体"/>
                <w:sz w:val="24"/>
                <w:szCs w:val="24"/>
                <w:highlight w:val="none"/>
              </w:rPr>
            </w:r>
            <w:r/>
          </w:p>
        </w:tc>
      </w:tr>
    </w:tbl>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2)静态功耗：≤2W;</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3)最大负载： 不小于600W;</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4)接收灵敏度＜-108dbm;</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5)计量精度：2级;</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6)防护等级：常规型不低于IP67;</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7)浪涌抗扰度：符合GB/T17626.5标准，承受不低于4KV电压，且在差模及共模4KV的试验电压下设备没有功能或性能的暂时丧失或降低;</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8)电快速瞬变脉冲群抗扰度：符合GB/T17626.4标准，电源回路承受不低于±4KV，信号回路能够承受±2KV的快速脉冲群干扰。且在4KV以上的试验电压下设备没有功能或性能的暂时丧失或降低;</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9)静电放电抗扰度：符合GB/T17626.2标准，终端能够承受空气放电±15KV，接触放电±8KV，且在15KV或8KV的试验状态下设备没有功能或性能的暂时丧失或降低;</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10)运行环境：温度-40°C~+85°C；相对湿度≤95%;</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11)单个设备上线耗时（设备与平台建立socket的时间-设备注册完成时间）：不超过10秒;</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12)单个设备开灯耗时（开灯指令发送的时间-设备反馈开灯指令执行结果的时间）：不超过5秒;</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13)单个设备关灯耗时（调光指令发送的时间-设备反馈调光指令执行结果的时间）：不超过5秒;</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14)单个设备调光耗时（调光指令发送的时间-设备反馈调光指令执行结果的时间）：不超过5秒;</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15)报警响应耗时（现场设备发生故障-设备向平台反馈故障类型及数据）：不超过10秒;报警结果根据实际情况，准确且稳定。</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16)单个设备电参数采集耗时（采集指令发送的时间-设备反馈电参数结果的时间）：不超过5秒;电参数采集数值根据现场实际，准确且稳定。</w:t>
      </w:r>
      <w:r>
        <w:rPr>
          <w:rFonts w:hint="eastAsia" w:ascii="宋体" w:hAnsi="宋体" w:cs="宋体"/>
          <w:sz w:val="24"/>
          <w:szCs w:val="24"/>
          <w:highlight w:val="none"/>
        </w:rPr>
      </w:r>
      <w:r/>
    </w:p>
    <w:p>
      <w:pPr>
        <w:pStyle w:val="967"/>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2、硬件参数要求</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1)控制线及接线标识：各出线长度不小于25CM；设备外部应设置清晰且符合电气接线规范的接线标识，列如：命名规则为，设备输入（L、N、PE）、设备输出(L、N、PE)、调光（DIM+、DIM-）；</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（1）常规单路：输入使用红、蓝、黄绿线，其中，L为红色，N为蓝色，PE为黄绿线，线材使用ZC-RVV-3*1.0（护套线）。输出使用红、蓝、黄绿线，其中，L为红色，N为蓝色，PE为黄绿线，线材使用ZC - RVV 3*1.0（护套线）。调光使用紫、灰线，其中DIM+为紫色，DIM-为灰色，线材使用ZC-RVV-2*0.5（护套线）。</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2)常规单路设备尺寸不应超过以下范围：不包含天线，长不大于156mm ，宽不大于71mm， 高不大于42mm。</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3)设备接入方式：</w:t>
      </w:r>
      <w:r>
        <w:rPr>
          <w:rFonts w:hint="eastAsia" w:ascii="宋体" w:hAnsi="宋体" w:cs="宋体"/>
          <w:sz w:val="24"/>
          <w:szCs w:val="24"/>
          <w:highlight w:val="none"/>
        </w:rPr>
      </w:r>
      <w:r/>
    </w:p>
    <w:p>
      <w:pPr>
        <w:pStyle w:val="967"/>
        <w:numPr>
          <w:ilvl w:val="0"/>
          <w:numId w:val="7"/>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设备接入方式：使用APP扫描设备二维码接入；二维码信息包括：设备厂家、生产日期、IMEI号、ICCID号、通讯方式。中间用 ；间隔编入二维码的内容如下， </w:t>
      </w:r>
      <w:r>
        <w:rPr>
          <w:rFonts w:hint="eastAsia" w:ascii="宋体" w:hAnsi="宋体" w:cs="宋体"/>
          <w:sz w:val="24"/>
          <w:szCs w:val="24"/>
          <w:highlight w:val="none"/>
        </w:rPr>
      </w:r>
      <w:r/>
    </w:p>
    <w:p>
      <w:pPr>
        <w:pStyle w:val="96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AAAA;202105;123456789012345;12345678901234567890；4G cat.1</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其中定义如下：</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AAAA:设备厂家</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202105：生产日期</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123456789012345：IMEI号</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898604A52121C3950996：ICCID号</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4G cat.1：通讯方式</w:t>
      </w:r>
      <w:r>
        <w:rPr>
          <w:rFonts w:hint="eastAsia" w:ascii="宋体" w:hAnsi="宋体" w:cs="宋体"/>
          <w:sz w:val="24"/>
          <w:szCs w:val="24"/>
          <w:highlight w:val="none"/>
        </w:rPr>
      </w:r>
      <w:r/>
    </w:p>
    <w:p>
      <w:pPr>
        <w:pStyle w:val="96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（2）设备编号：使用设备的IMEI号作为设备的唯一识别码</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4)设备二维码应能快速识别，尺寸尽可能偏大；每台设备提供3张二维码，其中1张应贴在设备正面中间位置，其余2张二维码备用，二维码材质采用防污染、防腐蚀、防刮蹭材料制作。</w:t>
      </w:r>
      <w:r>
        <w:rPr>
          <w:rFonts w:hint="eastAsia" w:ascii="宋体" w:hAnsi="宋体" w:cs="宋体"/>
          <w:sz w:val="24"/>
          <w:szCs w:val="24"/>
          <w:highlight w:val="none"/>
        </w:rPr>
      </w:r>
      <w:r/>
    </w:p>
    <w:p>
      <w:pPr>
        <w:pStyle w:val="967"/>
        <w:ind w:left="360"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3、功能要求：</w:t>
      </w:r>
      <w:r>
        <w:rPr>
          <w:rFonts w:hint="eastAsia" w:ascii="宋体" w:hAnsi="宋体" w:cs="宋体"/>
          <w:sz w:val="24"/>
          <w:szCs w:val="24"/>
          <w:highlight w:val="none"/>
        </w:rPr>
      </w:r>
      <w:r/>
    </w:p>
    <w:p>
      <w:pPr>
        <w:pStyle w:val="967"/>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设备需采用采购方提供的通讯协议、单灯控制平台和专网通讯卡，遵循采购方的通讯协议、平台和专网环境的运行逻辑。由于通讯协议和平台技术更新的实时性，本次采购的设备应依照正式交货日期前最新版本的通讯协议和平台的逻辑及运行要求；</w:t>
      </w:r>
      <w:r>
        <w:rPr>
          <w:rFonts w:hint="eastAsia" w:ascii="宋体" w:hAnsi="宋体" w:cs="宋体"/>
          <w:sz w:val="24"/>
          <w:szCs w:val="24"/>
          <w:highlight w:val="none"/>
        </w:rPr>
      </w:r>
      <w:r/>
    </w:p>
    <w:p>
      <w:pPr>
        <w:pStyle w:val="967"/>
        <w:ind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为保障单灯控制器数据采集、传输、控制指令下达的安全性和稳定性，要求和平台采用已有的通讯专线进行链路对接，形成一主一备传输链路；设备内同时写入两个IP地址（一个主通讯服务器IP，一个备通讯服务器IP），正常情况下设备与主通讯服务器通讯，待主通讯服务器无法连接时，设备自动切换到与备通讯服务器通讯，若主通讯服务器恢复连接，设备自动切回主通讯服务器通讯。服务器IP地址供货时由采购方提供。</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3)具有自动入网，网络自诊断、自恢复功能；</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4)具有包含但不限于远程定时和临时开、关灯功能；远程定时和临时调光功能；运行策略包含但不限于临时、定时等开、关灯、调光策略；</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5)支持远程在线终端升级；</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具有实时准确信息主动上报和查询上报功能，信息包含：故障信息（包含但不限于功率过小、过流、欠压、过压、漏电（含漏电值）、调光故障、失电状态报警等）、电参数（包含但不限于电压、电流、功率、功率因数、电能等）、运行时间（包含但不限于本次运行时间、累计运行时间）、通信信号质量。</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7)手动/自动切换模式；</w:t>
      </w:r>
      <w:r>
        <w:rPr>
          <w:rFonts w:hint="eastAsia" w:ascii="宋体" w:hAnsi="宋体" w:cs="宋体"/>
          <w:sz w:val="24"/>
          <w:szCs w:val="24"/>
          <w:highlight w:val="none"/>
        </w:rPr>
      </w:r>
      <w:r/>
    </w:p>
    <w:p>
      <w:pPr>
        <w:pStyle w:val="967"/>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8)远程强制复位功能；</w:t>
      </w:r>
      <w:r>
        <w:rPr>
          <w:rFonts w:hint="eastAsia" w:ascii="宋体" w:hAnsi="宋体" w:cs="宋体"/>
          <w:sz w:val="24"/>
          <w:szCs w:val="24"/>
          <w:highlight w:val="none"/>
        </w:rPr>
      </w:r>
      <w:r/>
    </w:p>
    <w:p>
      <w:pPr>
        <w:pStyle w:val="967"/>
        <w:ind w:firstLine="3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9)自运行功能：应用本地策略（系统按预先设置的开、关灯策略或调光策略）运行，满足网络异常、无网和控制中心系统失效异常状态下的智能控制，可按预先设置的开关时间或调光计划，自动开关灯和调光；</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10)独立性，单灯控制器保持常闭，保证单灯控制器本身故障的情况下确保不会影响路灯的正常运行；</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11)设备具备自动校对时间的功能；</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12)各配置参数应具有掉电保护功能；</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13)当灯具故障恢复正常时，主动向平台上报解除报警信息；</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14)设备数据上报支持基本信息定时上报和故障信息实时上报。</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15)运行计划：设备内只存储当天计划，若平台不下发新的计划，那么设备之后的每天一直循环执行。其它</w:t>
      </w:r>
      <w:r>
        <w:rPr>
          <w:rFonts w:hint="eastAsia" w:ascii="宋体" w:hAnsi="宋体" w:cs="宋体"/>
          <w:sz w:val="24"/>
          <w:szCs w:val="24"/>
          <w:highlight w:val="none"/>
        </w:rPr>
        <w:t xml:space="preserve">要求：①设备需向前读一条运行计划任务，比如6:00下发运行任务：5:10开灯，5:30关灯，6:10开灯，6:30关灯。在6:05，平台下发临时调光50%指令打断了运行任务，在6：15重启了终端或断电重启。此时，终端执行当前时间往前的一条运行指令，即“6:10开灯”；等到6:30时候，执行“6:30关灯”。②设备接收到平台下发的运行计划后立即按照运行计划执行，平台不需另外下发运行计划执行的指令。③临时操作指令在断电重新上电后不在继续执行。此时设备如果有运行计划，则按照运行计划执行；若无运行计划，则正常开灯。</w:t>
      </w:r>
      <w:r>
        <w:rPr>
          <w:rFonts w:hint="eastAsia" w:ascii="宋体" w:hAnsi="宋体" w:cs="宋体"/>
          <w:sz w:val="24"/>
          <w:szCs w:val="24"/>
          <w:highlight w:val="none"/>
        </w:rPr>
      </w:r>
      <w:r/>
    </w:p>
    <w:p>
      <w:pPr>
        <w:pStyle w:val="967"/>
        <w:ind w:firstLine="24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16)设备基本电参数默认每30分钟向平台上报一次，可通过平台配置时间间隔。</w:t>
      </w:r>
      <w:r>
        <w:rPr>
          <w:rFonts w:hint="eastAsia" w:ascii="宋体" w:hAnsi="宋体" w:cs="宋体"/>
          <w:sz w:val="24"/>
          <w:szCs w:val="24"/>
          <w:highlight w:val="none"/>
        </w:rPr>
      </w:r>
      <w:r/>
    </w:p>
    <w:p>
      <w:pPr>
        <w:pStyle w:val="967"/>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17)设备的关灯操作应由设备内的继电器开合来实现，调光0操作则由设备控制驱动电源来实现。</w:t>
      </w:r>
      <w:r>
        <w:rPr>
          <w:rFonts w:hint="eastAsia" w:ascii="宋体" w:hAnsi="宋体" w:cs="宋体"/>
          <w:sz w:val="24"/>
          <w:szCs w:val="24"/>
          <w:highlight w:val="none"/>
        </w:rPr>
      </w:r>
      <w:r/>
    </w:p>
    <w:p>
      <w:pPr>
        <w:pStyle w:val="967"/>
        <w:ind w:firstLine="361"/>
        <w:spacing w:line="360" w:lineRule="auto"/>
        <w:rPr>
          <w:rFonts w:hint="eastAsia" w:ascii="宋体" w:hAnsi="宋体" w:cs="宋体"/>
          <w:b/>
          <w:sz w:val="24"/>
          <w:szCs w:val="24"/>
          <w:highlight w:val="none"/>
        </w:rPr>
      </w:pPr>
      <w:r/>
      <w:bookmarkEnd w:id="199"/>
      <w:r>
        <w:rPr>
          <w:rFonts w:hint="eastAsia" w:ascii="宋体" w:hAnsi="宋体" w:cs="宋体"/>
          <w:b/>
          <w:sz w:val="24"/>
          <w:szCs w:val="24"/>
          <w:highlight w:val="none"/>
        </w:rPr>
        <w:t xml:space="preserve">四、采购标的的数量、采购项目交付或实施的时间和地点；</w:t>
      </w:r>
      <w:r>
        <w:rPr>
          <w:rFonts w:hint="eastAsia" w:ascii="宋体" w:hAnsi="宋体" w:cs="宋体"/>
          <w:b/>
          <w:sz w:val="24"/>
          <w:szCs w:val="24"/>
          <w:highlight w:val="none"/>
        </w:rPr>
      </w:r>
      <w:r/>
    </w:p>
    <w:p>
      <w:pPr>
        <w:pStyle w:val="967"/>
        <w:ind w:firstLine="361"/>
        <w:spacing w:line="360" w:lineRule="auto"/>
        <w:rPr>
          <w:rFonts w:hint="eastAsia" w:ascii="宋体" w:hAnsi="宋体" w:cs="宋体"/>
          <w:b/>
          <w:sz w:val="24"/>
          <w:szCs w:val="24"/>
          <w:highlight w:val="none"/>
        </w:rPr>
      </w:pPr>
      <w:r/>
      <w:bookmarkStart w:id="202" w:name="OLE_LINK4"/>
      <w:r>
        <w:rPr>
          <w:rFonts w:hint="eastAsia" w:ascii="宋体" w:hAnsi="宋体" w:cs="宋体"/>
          <w:b/>
          <w:sz w:val="24"/>
          <w:szCs w:val="24"/>
          <w:highlight w:val="none"/>
        </w:rPr>
        <w:t xml:space="preserve">4.1、货物清单</w:t>
      </w:r>
      <w:r>
        <w:rPr>
          <w:rFonts w:hint="eastAsia" w:ascii="宋体" w:hAnsi="宋体" w:cs="宋体"/>
          <w:b/>
          <w:sz w:val="24"/>
          <w:szCs w:val="24"/>
          <w:highlight w:val="none"/>
        </w:rPr>
      </w:r>
      <w:r/>
    </w:p>
    <w:tbl>
      <w:tblPr>
        <w:tblW w:w="9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74"/>
        <w:gridCol w:w="2268"/>
        <w:gridCol w:w="2693"/>
        <w:gridCol w:w="709"/>
        <w:gridCol w:w="576"/>
        <w:gridCol w:w="851"/>
      </w:tblGrid>
      <w:tr>
        <w:trPr>
          <w:trHeight w:val="567" w:hRule="exact"/>
        </w:trPr>
        <w:tc>
          <w:tcPr>
            <w:tcW w:w="710"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序号</w:t>
            </w:r>
            <w:r>
              <w:rPr>
                <w:rFonts w:hint="eastAsia" w:ascii="宋体" w:hAnsi="宋体" w:cs="宋体"/>
                <w:sz w:val="18"/>
                <w:szCs w:val="18"/>
                <w:highlight w:val="none"/>
              </w:rPr>
            </w:r>
            <w:r/>
          </w:p>
        </w:tc>
        <w:tc>
          <w:tcPr>
            <w:tcW w:w="1574"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工程名称</w:t>
            </w:r>
            <w:r>
              <w:rPr>
                <w:rFonts w:hint="eastAsia" w:ascii="宋体" w:hAnsi="宋体" w:cs="宋体"/>
                <w:sz w:val="18"/>
                <w:szCs w:val="18"/>
                <w:highlight w:val="none"/>
              </w:rPr>
            </w:r>
            <w:r/>
          </w:p>
        </w:tc>
        <w:tc>
          <w:tcPr>
            <w:tcW w:w="2268"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产品名称</w:t>
            </w:r>
            <w:r>
              <w:rPr>
                <w:rFonts w:hint="eastAsia" w:ascii="宋体" w:hAnsi="宋体" w:cs="宋体"/>
                <w:sz w:val="18"/>
                <w:szCs w:val="18"/>
                <w:highlight w:val="none"/>
              </w:rPr>
            </w:r>
            <w:r/>
          </w:p>
        </w:tc>
        <w:tc>
          <w:tcPr>
            <w:tcW w:w="2693"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规格型号</w:t>
            </w:r>
            <w:r>
              <w:rPr>
                <w:rFonts w:hint="eastAsia" w:ascii="宋体" w:hAnsi="宋体" w:cs="宋体"/>
                <w:sz w:val="18"/>
                <w:szCs w:val="18"/>
                <w:highlight w:val="none"/>
              </w:rPr>
            </w:r>
            <w:r/>
          </w:p>
        </w:tc>
        <w:tc>
          <w:tcPr>
            <w:tcW w:w="709"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单位</w:t>
            </w:r>
            <w:r>
              <w:rPr>
                <w:rFonts w:hint="eastAsia" w:ascii="宋体" w:hAnsi="宋体" w:cs="宋体"/>
                <w:sz w:val="18"/>
                <w:szCs w:val="18"/>
                <w:highlight w:val="none"/>
              </w:rPr>
            </w:r>
            <w:r/>
          </w:p>
        </w:tc>
        <w:tc>
          <w:tcPr>
            <w:tcW w:w="576"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数量</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备注</w:t>
            </w: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w:t>
            </w:r>
            <w:r>
              <w:rPr>
                <w:rFonts w:hint="eastAsia" w:ascii="宋体" w:hAnsi="宋体"/>
                <w:sz w:val="18"/>
                <w:szCs w:val="18"/>
                <w:highlight w:val="none"/>
              </w:rPr>
            </w:r>
            <w:r/>
          </w:p>
        </w:tc>
        <w:tc>
          <w:tcPr>
            <w:tcW w:w="157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幸余路(通宁大道-工农北路)拓宽改造照明工程</w:t>
            </w: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LED路灯</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60W暖白</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201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2</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LED路灯</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280W暖白</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201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3</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LED投光（泛光）灯具</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280W（3000K）</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4</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13米双挑路灯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201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5</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12米2火投光灯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6</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14米3火投光灯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ascii="宋体" w:hAnsi="宋体" w:cs="宋体"/>
                <w:sz w:val="18"/>
                <w:szCs w:val="18"/>
                <w:highlight w:val="none"/>
              </w:rPr>
            </w:pPr>
            <w:r>
              <w:rPr>
                <w:rFonts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7</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单灯控制器</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常规(单路)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只</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411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8</w:t>
            </w:r>
            <w:r>
              <w:rPr>
                <w:rFonts w:hint="eastAsia" w:ascii="宋体" w:hAnsi="宋体"/>
                <w:sz w:val="18"/>
                <w:szCs w:val="18"/>
                <w:highlight w:val="none"/>
              </w:rPr>
            </w:r>
            <w:r/>
          </w:p>
        </w:tc>
        <w:tc>
          <w:tcPr>
            <w:tcW w:w="157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幸福大道与永兴大道交叉口</w:t>
            </w: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LED投光（泛光）灯具</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280W（3000K）</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9</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14米2火投光灯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10</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单灯控制器</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常规(单路)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只</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4</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11</w:t>
            </w:r>
            <w:r>
              <w:rPr>
                <w:rFonts w:hint="eastAsia" w:ascii="宋体" w:hAnsi="宋体"/>
                <w:sz w:val="18"/>
                <w:szCs w:val="18"/>
                <w:highlight w:val="none"/>
              </w:rPr>
            </w:r>
            <w:r/>
          </w:p>
        </w:tc>
        <w:tc>
          <w:tcPr>
            <w:tcW w:w="157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幸福大道与顺达路交叉口</w:t>
            </w: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LED路灯</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280W暖白</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12</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12米单挑路灯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13</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单灯控制器</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常规(单路)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只</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23</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14</w:t>
            </w:r>
            <w:r>
              <w:rPr>
                <w:rFonts w:hint="eastAsia" w:ascii="宋体" w:hAnsi="宋体"/>
                <w:sz w:val="18"/>
                <w:szCs w:val="18"/>
                <w:highlight w:val="none"/>
              </w:rPr>
            </w:r>
            <w:r/>
          </w:p>
        </w:tc>
        <w:tc>
          <w:tcPr>
            <w:tcW w:w="1574" w:type="dxa"/>
            <w:vAlign w:val="center"/>
            <w:vMerge w:val="restart"/>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顺达路(经九路-工农北路)</w:t>
            </w: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LED投光（泛光）灯具</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280W（3000K）</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2</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15</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灯杆（含灯架）</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12米2火投光灯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套</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1</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567" w:hRule="exact"/>
        </w:trPr>
        <w:tc>
          <w:tcPr>
            <w:tcW w:w="710" w:type="dxa"/>
            <w:vAlign w:val="center"/>
            <w:textDirection w:val="lrTb"/>
            <w:noWrap w:val="false"/>
          </w:tcPr>
          <w:p>
            <w:pPr>
              <w:pStyle w:val="967"/>
              <w:jc w:val="center"/>
              <w:rPr>
                <w:rFonts w:hint="eastAsia" w:ascii="宋体" w:hAnsi="宋体"/>
                <w:sz w:val="18"/>
                <w:szCs w:val="18"/>
                <w:highlight w:val="none"/>
              </w:rPr>
            </w:pPr>
            <w:r>
              <w:rPr>
                <w:rFonts w:hint="eastAsia" w:ascii="宋体" w:hAnsi="宋体"/>
                <w:sz w:val="18"/>
                <w:szCs w:val="18"/>
                <w:highlight w:val="none"/>
              </w:rPr>
              <w:t xml:space="preserve">16</w:t>
            </w:r>
            <w:r>
              <w:rPr>
                <w:rFonts w:hint="eastAsia" w:ascii="宋体" w:hAnsi="宋体"/>
                <w:sz w:val="18"/>
                <w:szCs w:val="18"/>
                <w:highlight w:val="none"/>
              </w:rPr>
            </w:r>
            <w:r/>
          </w:p>
        </w:tc>
        <w:tc>
          <w:tcPr>
            <w:tcW w:w="1574" w:type="dxa"/>
            <w:vAlign w:val="center"/>
            <w:vMerge w:val="continue"/>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c>
          <w:tcPr>
            <w:tcW w:w="2268"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单灯控制器</w:t>
            </w:r>
            <w:r>
              <w:rPr>
                <w:rFonts w:hint="eastAsia" w:ascii="宋体" w:hAnsi="宋体" w:cs="宋体"/>
                <w:sz w:val="18"/>
                <w:szCs w:val="18"/>
                <w:highlight w:val="none"/>
              </w:rPr>
            </w:r>
            <w:r/>
          </w:p>
        </w:tc>
        <w:tc>
          <w:tcPr>
            <w:tcW w:w="2693"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常规(单路)</w:t>
            </w:r>
            <w:r>
              <w:rPr>
                <w:rFonts w:hint="eastAsia" w:ascii="宋体" w:hAnsi="宋体" w:cs="宋体"/>
                <w:sz w:val="18"/>
                <w:szCs w:val="18"/>
                <w:highlight w:val="none"/>
              </w:rPr>
            </w:r>
            <w:r/>
          </w:p>
        </w:tc>
        <w:tc>
          <w:tcPr>
            <w:tcW w:w="709"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只</w:t>
            </w:r>
            <w:r>
              <w:rPr>
                <w:rFonts w:hint="eastAsia" w:ascii="宋体" w:hAnsi="宋体" w:cs="宋体"/>
                <w:sz w:val="18"/>
                <w:szCs w:val="18"/>
                <w:highlight w:val="none"/>
              </w:rPr>
            </w:r>
            <w:r/>
          </w:p>
        </w:tc>
        <w:tc>
          <w:tcPr>
            <w:tcW w:w="576" w:type="dxa"/>
            <w:vAlign w:val="bottom"/>
            <w:textDirection w:val="lrTb"/>
            <w:noWrap w:val="false"/>
          </w:tcPr>
          <w:p>
            <w:pPr>
              <w:pStyle w:val="967"/>
              <w:jc w:val="center"/>
              <w:rPr>
                <w:rFonts w:hint="eastAsia" w:ascii="宋体" w:hAnsi="宋体" w:cs="宋体"/>
                <w:sz w:val="18"/>
                <w:szCs w:val="18"/>
                <w:highlight w:val="none"/>
              </w:rPr>
            </w:pPr>
            <w:r>
              <w:rPr>
                <w:rFonts w:hint="eastAsia" w:ascii="等线" w:hAnsi="等线" w:eastAsia="等线"/>
                <w:color w:val="000000"/>
                <w:sz w:val="22"/>
                <w:szCs w:val="22"/>
                <w:highlight w:val="none"/>
              </w:rPr>
              <w:t xml:space="preserve">5</w:t>
            </w:r>
            <w:r>
              <w:rPr>
                <w:rFonts w:hint="eastAsia" w:ascii="宋体" w:hAnsi="宋体" w:cs="宋体"/>
                <w:sz w:val="18"/>
                <w:szCs w:val="18"/>
                <w:highlight w:val="none"/>
              </w:rPr>
            </w:r>
            <w:r/>
          </w:p>
        </w:tc>
        <w:tc>
          <w:tcPr>
            <w:tcW w:w="851"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r>
            <w:r/>
          </w:p>
        </w:tc>
      </w:tr>
      <w:tr>
        <w:trPr>
          <w:trHeight w:val="1844" w:hRule="exact"/>
        </w:trPr>
        <w:tc>
          <w:tcPr>
            <w:tcW w:w="710" w:type="dxa"/>
            <w:vAlign w:val="center"/>
            <w:textDirection w:val="lrTb"/>
            <w:noWrap w:val="false"/>
          </w:tcPr>
          <w:p>
            <w:pPr>
              <w:pStyle w:val="967"/>
              <w:jc w:val="center"/>
              <w:rPr>
                <w:rFonts w:hint="eastAsia" w:ascii="宋体" w:hAnsi="宋体" w:cs="宋体"/>
                <w:sz w:val="18"/>
                <w:szCs w:val="18"/>
                <w:highlight w:val="none"/>
              </w:rPr>
            </w:pPr>
            <w:r>
              <w:rPr>
                <w:rFonts w:hint="eastAsia" w:ascii="宋体" w:hAnsi="宋体" w:cs="宋体"/>
                <w:sz w:val="18"/>
                <w:szCs w:val="18"/>
                <w:highlight w:val="none"/>
              </w:rPr>
              <w:t xml:space="preserve">备注</w:t>
            </w:r>
            <w:r>
              <w:rPr>
                <w:rFonts w:hint="eastAsia" w:ascii="宋体" w:hAnsi="宋体" w:cs="宋体"/>
                <w:sz w:val="18"/>
                <w:szCs w:val="18"/>
                <w:highlight w:val="none"/>
              </w:rPr>
            </w:r>
            <w:r/>
          </w:p>
        </w:tc>
        <w:tc>
          <w:tcPr>
            <w:gridSpan w:val="6"/>
            <w:tcW w:w="8671" w:type="dxa"/>
            <w:vAlign w:val="center"/>
            <w:textDirection w:val="lrTb"/>
            <w:noWrap w:val="false"/>
          </w:tcPr>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报价表中应含清单明细（灯具壳体、LED可调光电源、模组、瓷插板等）报价单。</w:t>
            </w:r>
            <w:r>
              <w:rPr>
                <w:rFonts w:hint="eastAsia" w:ascii="宋体" w:hAnsi="宋体" w:cs="宋体"/>
                <w:sz w:val="18"/>
                <w:szCs w:val="18"/>
                <w:highlight w:val="none"/>
              </w:rPr>
            </w:r>
            <w:r/>
          </w:p>
          <w:p>
            <w:pPr>
              <w:pStyle w:val="967"/>
              <w:numPr>
                <w:ilvl w:val="0"/>
                <w:numId w:val="8"/>
              </w:numPr>
              <w:tabs>
                <w:tab w:val="left" w:pos="312" w:leader="none"/>
              </w:tabs>
              <w:rPr>
                <w:rFonts w:ascii="宋体" w:hAnsi="宋体" w:cs="宋体"/>
                <w:sz w:val="18"/>
                <w:szCs w:val="18"/>
                <w:highlight w:val="none"/>
              </w:rPr>
            </w:pPr>
            <w:r>
              <w:rPr>
                <w:rFonts w:hint="eastAsia" w:ascii="宋体" w:hAnsi="宋体" w:cs="宋体"/>
                <w:sz w:val="18"/>
                <w:szCs w:val="18"/>
                <w:highlight w:val="none"/>
              </w:rPr>
              <w:t xml:space="preserve">灯杆含瓷插板等附件，</w:t>
            </w:r>
            <w:r>
              <w:rPr>
                <w:rFonts w:hint="eastAsia" w:ascii="宋体" w:hAnsi="宋体" w:cs="等线"/>
                <w:sz w:val="18"/>
                <w:szCs w:val="18"/>
                <w:highlight w:val="none"/>
              </w:rPr>
              <w:t xml:space="preserve">灯杆门内需要有规格型号、合格标志、生产厂家的永久标识。</w:t>
            </w:r>
            <w:r>
              <w:rPr>
                <w:rFonts w:ascii="宋体" w:hAnsi="宋体" w:cs="宋体"/>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由于市政工程的特殊性，如遇施工延期导致供货期延长的，供货单位必须考虑适当风险成本，并列入投标报价中。</w:t>
            </w:r>
            <w:r>
              <w:rPr>
                <w:rFonts w:hint="eastAsia" w:ascii="宋体" w:hAnsi="宋体" w:cs="宋体"/>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根据工程实际变化进行调整，最终按实际供货数量为准。</w:t>
            </w:r>
            <w:r>
              <w:rPr>
                <w:rFonts w:hint="eastAsia" w:ascii="宋体" w:hAnsi="宋体" w:cs="宋体"/>
                <w:sz w:val="18"/>
                <w:szCs w:val="18"/>
                <w:highlight w:val="none"/>
              </w:rPr>
            </w:r>
            <w:r/>
          </w:p>
          <w:p>
            <w:pPr>
              <w:pStyle w:val="967"/>
              <w:numPr>
                <w:ilvl w:val="0"/>
                <w:numId w:val="8"/>
              </w:numPr>
              <w:tabs>
                <w:tab w:val="left" w:pos="312" w:leader="none"/>
              </w:tabs>
              <w:rPr>
                <w:rFonts w:hint="eastAsia" w:ascii="宋体" w:hAnsi="宋体" w:cs="宋体"/>
                <w:sz w:val="18"/>
                <w:szCs w:val="18"/>
                <w:highlight w:val="none"/>
              </w:rPr>
            </w:pPr>
            <w:r>
              <w:rPr>
                <w:rFonts w:hint="eastAsia" w:ascii="宋体" w:hAnsi="宋体" w:cs="宋体"/>
                <w:sz w:val="18"/>
                <w:szCs w:val="18"/>
                <w:highlight w:val="none"/>
              </w:rPr>
              <w:t xml:space="preserve">根据需方实际需要进行生产安排，合同签订后安排生产数量。</w:t>
            </w:r>
            <w:r>
              <w:rPr>
                <w:rFonts w:hint="eastAsia" w:ascii="宋体" w:hAnsi="宋体" w:cs="宋体"/>
                <w:sz w:val="18"/>
                <w:szCs w:val="18"/>
                <w:highlight w:val="none"/>
              </w:rPr>
            </w:r>
            <w:r/>
          </w:p>
        </w:tc>
      </w:tr>
    </w:tbl>
    <w:p>
      <w:pPr>
        <w:pStyle w:val="967"/>
        <w:ind w:firstLine="361"/>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67"/>
        <w:spacing w:line="360" w:lineRule="auto"/>
        <w:rPr>
          <w:rFonts w:hint="eastAsia" w:ascii="宋体" w:hAnsi="宋体" w:cs="宋体"/>
          <w:b/>
          <w:sz w:val="24"/>
          <w:szCs w:val="24"/>
          <w:highlight w:val="none"/>
        </w:rPr>
      </w:pPr>
      <w:r/>
      <w:bookmarkEnd w:id="200"/>
      <w:r>
        <w:rPr>
          <w:rFonts w:hint="eastAsia" w:ascii="宋体" w:hAnsi="宋体" w:cs="宋体"/>
          <w:b/>
          <w:sz w:val="24"/>
          <w:szCs w:val="24"/>
          <w:highlight w:val="none"/>
        </w:rPr>
        <w:t xml:space="preserve">4.2、施工图（见附件）</w:t>
      </w:r>
      <w:r>
        <w:rPr>
          <w:rFonts w:hint="eastAsia" w:ascii="宋体" w:hAnsi="宋体" w:cs="宋体"/>
          <w:b/>
          <w:sz w:val="24"/>
          <w:szCs w:val="24"/>
          <w:highlight w:val="none"/>
        </w:rPr>
      </w:r>
      <w:r/>
    </w:p>
    <w:p>
      <w:pPr>
        <w:pStyle w:val="967"/>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4.3、交货期、地点</w:t>
      </w:r>
      <w:r>
        <w:rPr>
          <w:rFonts w:hint="eastAsia" w:ascii="宋体" w:hAnsi="宋体" w:cs="宋体"/>
          <w:b/>
          <w:sz w:val="24"/>
          <w:szCs w:val="24"/>
          <w:highlight w:val="none"/>
        </w:rPr>
      </w:r>
      <w:r/>
    </w:p>
    <w:p>
      <w:pPr>
        <w:pStyle w:val="967"/>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中标供应商接采购单位的生产通知后20日内完成生产供货。中</w:t>
      </w:r>
      <w:r>
        <w:rPr>
          <w:rFonts w:hint="eastAsia" w:ascii="宋体" w:hAnsi="宋体" w:cs="宋体"/>
          <w:sz w:val="24"/>
          <w:highlight w:val="none"/>
        </w:rPr>
        <w:t xml:space="preserve">标供应商接根据采购单位的要求送达指定的地点，未通知不得送货。供应商承担包装、运输和装卸费用。（因工程施工需要具体材料数量从零星到整车不等，供应商须考虑运送成本）。</w:t>
      </w:r>
      <w:r>
        <w:rPr>
          <w:rFonts w:hint="eastAsia" w:ascii="宋体" w:hAnsi="宋体" w:cs="宋体"/>
          <w:sz w:val="24"/>
          <w:szCs w:val="24"/>
          <w:highlight w:val="none"/>
        </w:rPr>
      </w:r>
      <w:r/>
    </w:p>
    <w:p>
      <w:pPr>
        <w:pStyle w:val="967"/>
        <w:contextualSpacing/>
        <w:ind w:firstLine="528"/>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交付时应同时交付产品的合格证。</w:t>
      </w:r>
      <w:r>
        <w:rPr>
          <w:rFonts w:hint="eastAsia" w:ascii="宋体" w:hAnsi="宋体" w:cs="宋体"/>
          <w:sz w:val="24"/>
          <w:szCs w:val="24"/>
          <w:highlight w:val="none"/>
        </w:rPr>
      </w:r>
      <w:r/>
    </w:p>
    <w:p>
      <w:pPr>
        <w:pStyle w:val="967"/>
        <w:contextualSpacing/>
        <w:spacing w:line="360" w:lineRule="auto"/>
        <w:shd w:val="clear" w:color="auto" w:fill="ffffff"/>
        <w:widowControl/>
        <w:rPr>
          <w:rFonts w:hint="eastAsia" w:ascii="宋体" w:hAnsi="宋体" w:cs="宋体"/>
          <w:b/>
          <w:sz w:val="24"/>
          <w:szCs w:val="24"/>
          <w:highlight w:val="none"/>
        </w:rPr>
      </w:pPr>
      <w:r/>
      <w:bookmarkEnd w:id="202"/>
      <w:r>
        <w:rPr>
          <w:rFonts w:hint="eastAsia" w:ascii="宋体" w:hAnsi="宋体" w:cs="宋体"/>
          <w:b/>
          <w:sz w:val="24"/>
          <w:szCs w:val="24"/>
          <w:highlight w:val="none"/>
        </w:rPr>
        <w:t xml:space="preserve">五、采购标的需满足的服务标准、期限、效率等要求</w:t>
      </w:r>
      <w:r>
        <w:rPr>
          <w:rFonts w:hint="eastAsia" w:ascii="宋体" w:hAnsi="宋体" w:cs="宋体"/>
          <w:b/>
          <w:sz w:val="24"/>
          <w:szCs w:val="24"/>
          <w:highlight w:val="none"/>
        </w:rPr>
      </w:r>
      <w:r/>
    </w:p>
    <w:p>
      <w:pPr>
        <w:pStyle w:val="967"/>
        <w:ind w:firstLine="482"/>
        <w:spacing w:line="360" w:lineRule="auto"/>
        <w:rPr>
          <w:rFonts w:hint="eastAsia" w:ascii="宋体" w:hAnsi="宋体" w:cs="宋体"/>
          <w:b/>
          <w:sz w:val="24"/>
          <w:szCs w:val="24"/>
          <w:highlight w:val="none"/>
        </w:rPr>
      </w:pPr>
      <w:r/>
      <w:bookmarkStart w:id="203" w:name="OLE_LINK5"/>
      <w:r>
        <w:rPr>
          <w:rFonts w:hint="eastAsia" w:ascii="宋体" w:hAnsi="宋体" w:cs="宋体"/>
          <w:b/>
          <w:sz w:val="24"/>
          <w:szCs w:val="24"/>
          <w:highlight w:val="none"/>
        </w:rPr>
        <w:t xml:space="preserve">1、质保期限</w:t>
      </w:r>
      <w:r>
        <w:rPr>
          <w:rFonts w:hint="eastAsia" w:ascii="宋体" w:hAnsi="宋体" w:cs="宋体"/>
          <w:b/>
          <w:sz w:val="24"/>
          <w:szCs w:val="24"/>
          <w:highlight w:val="none"/>
        </w:rPr>
      </w:r>
      <w:r/>
    </w:p>
    <w:p>
      <w:pPr>
        <w:pStyle w:val="967"/>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质保期为3年。质保期计算日自验收合格之日开始。在供货5个工作日内，采购单位将通知供应厂商共同组织验收，对通知而未参加的供应厂商视同接受验收结论。</w:t>
      </w:r>
      <w:r>
        <w:rPr>
          <w:rFonts w:hint="eastAsia" w:ascii="宋体" w:hAnsi="宋体" w:cs="宋体"/>
          <w:sz w:val="24"/>
          <w:highlight w:val="none"/>
        </w:rPr>
      </w:r>
      <w:r/>
    </w:p>
    <w:p>
      <w:pPr>
        <w:pStyle w:val="967"/>
        <w:contextualSpacing/>
        <w:ind w:left="551"/>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2、履约约定</w:t>
      </w:r>
      <w:r>
        <w:rPr>
          <w:rFonts w:hint="eastAsia" w:ascii="宋体" w:hAnsi="宋体" w:cs="宋体"/>
          <w:b/>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采购单位因成交供应商严重偏离招标技术标准供货，采购单位要求全部退货的，成交供应商须付给采购单位合同总价款5%的违约金。并根据此次供货情况对采购单位造成的损失进行赔偿。</w:t>
      </w:r>
      <w:r>
        <w:rPr>
          <w:rFonts w:hint="eastAsia" w:ascii="宋体" w:hAnsi="宋体" w:cs="宋体"/>
          <w:sz w:val="24"/>
          <w:szCs w:val="24"/>
          <w:highlight w:val="none"/>
        </w:rPr>
      </w:r>
      <w:r/>
    </w:p>
    <w:p>
      <w:pPr>
        <w:pStyle w:val="96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在供货过程中，若未按期供货的每延迟1天将按未按期供货货款的1%予以扣减；若供货出现瑕疵但尚未影响使用，按供货货款的1-5%予以扣减。</w:t>
      </w:r>
      <w:r>
        <w:rPr>
          <w:rFonts w:hint="eastAsia" w:ascii="宋体" w:hAnsi="宋体" w:cs="宋体"/>
          <w:sz w:val="24"/>
          <w:szCs w:val="24"/>
          <w:highlight w:val="none"/>
        </w:rPr>
      </w:r>
      <w:r/>
    </w:p>
    <w:p>
      <w:pPr>
        <w:pStyle w:val="96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中标单位如若发生5次及以上不能按期、按质供货采购单位有权单方面停止采购，由此造成的损失由供货单位自行承担。</w:t>
      </w:r>
      <w:r>
        <w:rPr>
          <w:rFonts w:ascii="宋体" w:hAnsi="宋体" w:cs="宋体"/>
          <w:sz w:val="24"/>
          <w:szCs w:val="24"/>
          <w:highlight w:val="none"/>
        </w:rPr>
      </w:r>
      <w:r/>
    </w:p>
    <w:p>
      <w:pPr>
        <w:pStyle w:val="967"/>
        <w:spacing w:line="360" w:lineRule="auto"/>
        <w:tabs>
          <w:tab w:val="left" w:pos="5325" w:leader="none"/>
        </w:tabs>
        <w:rPr>
          <w:rFonts w:hint="eastAsia" w:ascii="宋体" w:hAnsi="宋体" w:cs="宋体"/>
          <w:b/>
          <w:sz w:val="24"/>
          <w:szCs w:val="24"/>
          <w:highlight w:val="none"/>
        </w:rPr>
      </w:pPr>
      <w:r/>
      <w:bookmarkEnd w:id="203"/>
      <w:r>
        <w:rPr>
          <w:rFonts w:hint="eastAsia" w:ascii="宋体" w:hAnsi="宋体" w:cs="宋体"/>
          <w:b/>
          <w:sz w:val="24"/>
          <w:szCs w:val="24"/>
          <w:highlight w:val="none"/>
        </w:rPr>
        <w:t xml:space="preserve">六、采购标的的验收标准；</w:t>
      </w:r>
      <w:r>
        <w:rPr>
          <w:rFonts w:hint="eastAsia" w:ascii="宋体" w:hAnsi="宋体" w:cs="宋体"/>
          <w:b/>
          <w:sz w:val="24"/>
          <w:szCs w:val="24"/>
          <w:highlight w:val="none"/>
        </w:rPr>
      </w:r>
      <w:r/>
    </w:p>
    <w:p>
      <w:pPr>
        <w:pStyle w:val="967"/>
        <w:contextualSpacing/>
        <w:ind w:firstLine="480"/>
        <w:spacing w:line="360" w:lineRule="auto"/>
        <w:tabs>
          <w:tab w:val="left" w:pos="5325" w:leader="none"/>
        </w:tabs>
        <w:rPr>
          <w:rFonts w:hint="eastAsia" w:ascii="宋体" w:hAnsi="宋体" w:cs="宋体"/>
          <w:bCs/>
          <w:sz w:val="24"/>
          <w:szCs w:val="24"/>
          <w:highlight w:val="none"/>
        </w:rPr>
      </w:pPr>
      <w:r/>
      <w:bookmarkStart w:id="204" w:name="OLE_LINK6"/>
      <w:r>
        <w:rPr>
          <w:rFonts w:hint="eastAsia" w:ascii="宋体" w:hAnsi="宋体" w:cs="宋体"/>
          <w:bCs/>
          <w:sz w:val="24"/>
          <w:szCs w:val="24"/>
          <w:highlight w:val="none"/>
        </w:rPr>
        <w:t xml:space="preserve">1、国家相关标准、行业标准、地方标准或者其他标准、规范。</w:t>
      </w:r>
      <w:r>
        <w:rPr>
          <w:rFonts w:hint="eastAsia" w:ascii="宋体" w:hAnsi="宋体" w:cs="宋体"/>
          <w:bCs/>
          <w:sz w:val="24"/>
          <w:szCs w:val="24"/>
          <w:highlight w:val="none"/>
        </w:rPr>
      </w:r>
      <w:r/>
    </w:p>
    <w:p>
      <w:pPr>
        <w:pStyle w:val="967"/>
        <w:contextualSpacing/>
        <w:ind w:firstLine="480"/>
        <w:spacing w:line="360" w:lineRule="auto"/>
        <w:tabs>
          <w:tab w:val="left" w:pos="532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2、本招标文件提出的技术要求。</w:t>
      </w:r>
      <w:r>
        <w:rPr>
          <w:rFonts w:hint="eastAsia" w:ascii="宋体" w:hAnsi="宋体" w:cs="宋体"/>
          <w:bCs/>
          <w:sz w:val="24"/>
          <w:szCs w:val="24"/>
          <w:highlight w:val="none"/>
        </w:rPr>
      </w:r>
      <w:r/>
    </w:p>
    <w:p>
      <w:pPr>
        <w:pStyle w:val="967"/>
        <w:contextualSpacing/>
        <w:ind w:firstLine="480"/>
        <w:spacing w:line="360" w:lineRule="auto"/>
        <w:shd w:val="clear" w:color="auto" w:fill="ffffff"/>
        <w:widowControl/>
        <w:rPr>
          <w:rFonts w:hint="eastAsia" w:ascii="宋体" w:hAnsi="宋体" w:cs="宋体"/>
          <w:sz w:val="24"/>
          <w:szCs w:val="24"/>
          <w:highlight w:val="none"/>
          <w:lang w:val="zh-CN"/>
        </w:rPr>
      </w:pPr>
      <w:r>
        <w:rPr>
          <w:rFonts w:hint="eastAsia" w:ascii="宋体" w:hAnsi="宋体" w:cs="宋体"/>
          <w:bCs/>
          <w:sz w:val="24"/>
          <w:szCs w:val="24"/>
          <w:highlight w:val="none"/>
        </w:rPr>
        <w:t xml:space="preserve">3、</w:t>
      </w:r>
      <w:r>
        <w:rPr>
          <w:rFonts w:hint="eastAsia" w:ascii="宋体" w:hAnsi="宋体" w:cs="宋体"/>
          <w:sz w:val="24"/>
          <w:szCs w:val="24"/>
          <w:highlight w:val="none"/>
          <w:lang w:val="zh-CN"/>
        </w:rPr>
        <w:t xml:space="preserve">验收要求：符合招标文件规定的，同时制造商必须是投标时所明确的生产制造厂商的产品为合格产品，中标供应商对质量问题负责包退、包换和包修，因此发生的费用由成交供应商自行负责。在合同有效期内，如与本合同标的物相关的国家质量标准发生变化，则以国家最新颁布的标准及规范执行。如有不符合的，由中标人承担全部责任。</w:t>
      </w:r>
      <w:r>
        <w:rPr>
          <w:rFonts w:hint="eastAsia" w:ascii="宋体" w:hAnsi="宋体" w:cs="宋体"/>
          <w:sz w:val="24"/>
          <w:szCs w:val="24"/>
          <w:highlight w:val="none"/>
          <w:lang w:val="zh-CN"/>
        </w:rPr>
      </w:r>
      <w:r/>
    </w:p>
    <w:p>
      <w:pPr>
        <w:pStyle w:val="967"/>
        <w:spacing w:line="360" w:lineRule="auto"/>
        <w:tabs>
          <w:tab w:val="left" w:pos="5325" w:leader="none"/>
        </w:tabs>
        <w:rPr>
          <w:rFonts w:hint="eastAsia" w:ascii="宋体" w:hAnsi="宋体" w:cs="宋体"/>
          <w:b/>
          <w:sz w:val="24"/>
          <w:szCs w:val="24"/>
          <w:highlight w:val="none"/>
        </w:rPr>
      </w:pPr>
      <w:r/>
      <w:bookmarkEnd w:id="204"/>
      <w:r>
        <w:rPr>
          <w:rFonts w:hint="eastAsia" w:ascii="宋体" w:hAnsi="宋体" w:cs="宋体"/>
          <w:b/>
          <w:sz w:val="24"/>
          <w:szCs w:val="24"/>
          <w:highlight w:val="none"/>
        </w:rPr>
        <w:t xml:space="preserve">七、采购标的的其他技术、服务等要求。</w:t>
      </w:r>
      <w:r>
        <w:rPr>
          <w:rFonts w:hint="eastAsia" w:ascii="宋体" w:hAnsi="宋体" w:cs="宋体"/>
          <w:b/>
          <w:sz w:val="24"/>
          <w:szCs w:val="24"/>
          <w:highlight w:val="none"/>
        </w:rPr>
      </w:r>
      <w:r/>
    </w:p>
    <w:p>
      <w:pPr>
        <w:pStyle w:val="967"/>
        <w:contextualSpacing/>
        <w:ind w:firstLine="482"/>
        <w:spacing w:line="360" w:lineRule="auto"/>
        <w:tabs>
          <w:tab w:val="left" w:pos="5325" w:leader="none"/>
        </w:tabs>
        <w:rPr>
          <w:rFonts w:hint="eastAsia" w:ascii="宋体" w:hAnsi="宋体" w:cs="宋体"/>
          <w:b/>
          <w:i/>
          <w:iCs/>
          <w:sz w:val="24"/>
          <w:szCs w:val="24"/>
          <w:highlight w:val="none"/>
          <w:u w:val="single"/>
        </w:rPr>
      </w:pPr>
      <w:r/>
      <w:bookmarkStart w:id="205" w:name="OLE_LINK7"/>
      <w:r>
        <w:rPr>
          <w:rFonts w:hint="eastAsia" w:ascii="宋体" w:hAnsi="宋体" w:cs="宋体"/>
          <w:b/>
          <w:i/>
          <w:iCs/>
          <w:sz w:val="24"/>
          <w:szCs w:val="24"/>
          <w:highlight w:val="none"/>
          <w:u w:val="single"/>
        </w:rPr>
        <w:t xml:space="preserve">1、检测报告</w:t>
      </w:r>
      <w:r>
        <w:rPr>
          <w:rFonts w:hint="eastAsia" w:ascii="宋体" w:hAnsi="宋体" w:cs="宋体"/>
          <w:b/>
          <w:i/>
          <w:iCs/>
          <w:sz w:val="24"/>
          <w:szCs w:val="24"/>
          <w:highlight w:val="none"/>
          <w:u w:val="single"/>
        </w:rPr>
      </w:r>
      <w:r/>
    </w:p>
    <w:p>
      <w:pPr>
        <w:pStyle w:val="967"/>
        <w:ind w:firstLine="482"/>
        <w:spacing w:line="360" w:lineRule="auto"/>
        <w:rPr>
          <w:rFonts w:hint="eastAsia" w:ascii="宋体" w:hAnsi="宋体" w:cs="宋体"/>
          <w:b/>
          <w:i/>
          <w:iCs/>
          <w:sz w:val="24"/>
          <w:szCs w:val="24"/>
          <w:highlight w:val="none"/>
          <w:u w:val="single"/>
        </w:rPr>
      </w:pPr>
      <w:r>
        <w:rPr>
          <w:rFonts w:hint="eastAsia" w:ascii="宋体" w:hAnsi="宋体" w:cs="宋体"/>
          <w:b/>
          <w:i/>
          <w:iCs/>
          <w:sz w:val="24"/>
          <w:szCs w:val="24"/>
          <w:highlight w:val="none"/>
          <w:u w:val="single"/>
        </w:rPr>
        <w:t xml:space="preserve">投标人须提供以下检测报告，不提供视为未实质性响应招标文件。</w:t>
      </w:r>
      <w:r>
        <w:rPr>
          <w:rFonts w:hint="eastAsia" w:ascii="宋体" w:hAnsi="宋体" w:cs="宋体"/>
          <w:b/>
          <w:i/>
          <w:iCs/>
          <w:sz w:val="24"/>
          <w:szCs w:val="24"/>
          <w:highlight w:val="none"/>
          <w:u w:val="single"/>
        </w:rPr>
      </w:r>
      <w:r/>
    </w:p>
    <w:p>
      <w:pPr>
        <w:pStyle w:val="967"/>
        <w:numPr>
          <w:ilvl w:val="1"/>
          <w:numId w:val="9"/>
        </w:num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须提供由国家级检测机构出具的12米高度(含12米）以上的灯杆检测报告，报告须有检验过程及整套产品图片，检测项目包含以下内容：灯杆材料强度检测、灯杆防腐涂层厚度检测、灯杆外观及尺寸检测、灯杆抗风等级结构分析、灯杆焊接质量检测。检测标准需达到下表要求的标准：</w:t>
      </w:r>
      <w:r>
        <w:rPr>
          <w:rFonts w:hint="eastAsia" w:ascii="宋体" w:hAnsi="宋体" w:cs="宋体"/>
          <w:sz w:val="24"/>
          <w:szCs w:val="24"/>
          <w:highlight w:val="none"/>
        </w:rPr>
      </w:r>
      <w:r/>
    </w:p>
    <w:tbl>
      <w:tblPr>
        <w:tblW w:w="9068" w:type="dxa"/>
        <w:tblInd w:w="-7" w:type="dxa"/>
        <w:tblLayout w:type="fixed"/>
        <w:tblCellMar>
          <w:left w:w="108" w:type="dxa"/>
          <w:top w:w="0" w:type="dxa"/>
          <w:right w:w="108" w:type="dxa"/>
          <w:bottom w:w="0" w:type="dxa"/>
        </w:tblCellMar>
        <w:tblLook w:val="04A0" w:firstRow="1" w:lastRow="0" w:firstColumn="1" w:lastColumn="0" w:noHBand="0" w:noVBand="1"/>
      </w:tblPr>
      <w:tblGrid>
        <w:gridCol w:w="2421"/>
        <w:gridCol w:w="6647"/>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检测项目</w:t>
            </w:r>
            <w:r>
              <w:rPr>
                <w:rFonts w:ascii="宋体" w:hAnsi="宋体" w:cs="宋体"/>
                <w:sz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检测要求</w:t>
            </w:r>
            <w:r>
              <w:rPr>
                <w:rFonts w:ascii="宋体" w:hAnsi="宋体" w:cs="宋体"/>
                <w:sz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杆体材料强度</w:t>
            </w:r>
            <w:r>
              <w:rPr>
                <w:rFonts w:ascii="宋体" w:hAnsi="宋体" w:cs="宋体"/>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Q235</w:t>
            </w:r>
            <w:r>
              <w:rPr>
                <w:rFonts w:ascii="宋体" w:hAnsi="宋体" w:cs="宋体"/>
                <w:sz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杆件镀锌层厚度</w:t>
            </w:r>
            <w:r>
              <w:rPr>
                <w:rFonts w:ascii="宋体" w:hAnsi="宋体" w:cs="宋体"/>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镀锌层厚度不小于65μm</w:t>
            </w:r>
            <w:r>
              <w:rPr>
                <w:rFonts w:ascii="宋体" w:hAnsi="宋体" w:cs="宋体"/>
                <w:sz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杆件外观质量及尺寸</w:t>
            </w:r>
            <w:r>
              <w:rPr>
                <w:rFonts w:ascii="宋体" w:hAnsi="宋体" w:cs="宋体"/>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无外观质量缺陷，尺寸符合设计图纸要求</w:t>
            </w:r>
            <w:r>
              <w:rPr>
                <w:rFonts w:ascii="宋体" w:hAnsi="宋体" w:cs="宋体"/>
                <w:sz w:val="24"/>
                <w:highlight w:val="none"/>
              </w:rPr>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杆件结构分析</w:t>
            </w:r>
            <w:r>
              <w:rPr>
                <w:rFonts w:ascii="宋体" w:hAnsi="宋体" w:cs="宋体"/>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按照南通市50年一遇基本风压0.45KN/㎡计算分析，应力验算及位移验算满足《高耸结构设计规范》要求</w:t>
            </w:r>
            <w:r>
              <w:rPr>
                <w:rFonts w:ascii="宋体" w:hAnsi="宋体" w:cs="宋体"/>
                <w:sz w:val="24"/>
                <w:highlight w:val="none"/>
              </w:rPr>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焊接质量</w:t>
            </w:r>
            <w:r>
              <w:rPr>
                <w:rFonts w:ascii="宋体" w:hAnsi="宋体" w:cs="宋体"/>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采用无损检测探伤，焊缝无缺陷</w:t>
            </w:r>
            <w:r>
              <w:rPr>
                <w:rFonts w:ascii="宋体" w:hAnsi="宋体" w:cs="宋体"/>
                <w:sz w:val="24"/>
                <w:highlight w:val="none"/>
              </w:rPr>
            </w:r>
            <w:r/>
          </w:p>
        </w:tc>
      </w:tr>
    </w:tbl>
    <w:p>
      <w:pPr>
        <w:pStyle w:val="967"/>
        <w:widowControl/>
        <w:rPr>
          <w:rFonts w:hint="eastAsia" w:ascii="宋体" w:hAnsi="宋体" w:cs="宋体"/>
          <w:sz w:val="28"/>
          <w:szCs w:val="28"/>
          <w:highlight w:val="none"/>
        </w:rPr>
      </w:pPr>
      <w:r>
        <w:rPr>
          <w:rFonts w:hint="eastAsia" w:ascii="宋体" w:hAnsi="宋体" w:cs="宋体"/>
          <w:sz w:val="24"/>
          <w:szCs w:val="24"/>
          <w:highlight w:val="none"/>
        </w:rPr>
        <w:t xml:space="preserve">1.2、提供国家级检测中心出具的灯具检测报告，检测项目及要求详见下表：</w:t>
      </w:r>
      <w:r>
        <w:rPr>
          <w:rFonts w:hint="eastAsia" w:ascii="宋体" w:hAnsi="宋体" w:cs="宋体"/>
          <w:sz w:val="28"/>
          <w:szCs w:val="28"/>
          <w:highlight w:val="none"/>
        </w:rPr>
      </w:r>
      <w:r/>
    </w:p>
    <w:tbl>
      <w:tblPr>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4007"/>
        <w:gridCol w:w="3802"/>
      </w:tblGrid>
      <w:tr>
        <w:trPr>
          <w:trHeight w:val="360"/>
        </w:trPr>
        <w:tc>
          <w:tcPr>
            <w:tcMar>
              <w:left w:w="108" w:type="dxa"/>
              <w:top w:w="0" w:type="dxa"/>
              <w:right w:w="108" w:type="dxa"/>
              <w:bottom w:w="0" w:type="dxa"/>
            </w:tcMar>
            <w:tcW w:w="1476"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路灯功率</w:t>
            </w: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检测项目</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检测要求</w:t>
            </w:r>
            <w:r>
              <w:rPr>
                <w:rFonts w:ascii="宋体" w:hAnsi="宋体" w:cs="宋体"/>
                <w:sz w:val="24"/>
                <w:highlight w:val="none"/>
              </w:rPr>
            </w:r>
            <w:r/>
          </w:p>
        </w:tc>
      </w:tr>
      <w:tr>
        <w:trPr>
          <w:trHeight w:val="286"/>
        </w:trPr>
        <w:tc>
          <w:tcPr>
            <w:tcW w:w="1476" w:type="dxa"/>
            <w:vAlign w:val="center"/>
            <w:vMerge w:val="restart"/>
            <w:textDirection w:val="lrTb"/>
            <w:noWrap w:val="false"/>
          </w:tcPr>
          <w:p>
            <w:pPr>
              <w:pStyle w:val="967"/>
              <w:jc w:val="center"/>
              <w:widowControl/>
              <w:rPr>
                <w:rFonts w:hint="eastAsia" w:ascii="宋体" w:hAnsi="宋体" w:cs="宋体"/>
                <w:sz w:val="24"/>
                <w:highlight w:val="none"/>
              </w:rPr>
            </w:pPr>
            <w:r>
              <w:rPr>
                <w:rFonts w:hint="eastAsia" w:ascii="宋体" w:hAnsi="宋体" w:cs="宋体"/>
                <w:sz w:val="24"/>
                <w:highlight w:val="none"/>
              </w:rPr>
              <w:t xml:space="preserve">280</w:t>
            </w:r>
            <w:r>
              <w:rPr>
                <w:rFonts w:ascii="宋体" w:hAnsi="宋体" w:cs="宋体"/>
                <w:sz w:val="24"/>
                <w:highlight w:val="none"/>
              </w:rPr>
              <w:t xml:space="preserve">W</w:t>
            </w:r>
            <w:r>
              <w:rPr>
                <w:rFonts w:hint="eastAsia" w:ascii="宋体" w:hAnsi="宋体" w:cs="宋体"/>
                <w:sz w:val="24"/>
                <w:highlight w:val="none"/>
              </w:rPr>
              <w:t xml:space="preserve">路灯</w:t>
            </w: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IP防护等级</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IP65及以上</w:t>
            </w:r>
            <w:r>
              <w:rPr>
                <w:rFonts w:ascii="宋体" w:hAnsi="宋体" w:cs="宋体"/>
                <w:sz w:val="24"/>
                <w:highlight w:val="none"/>
              </w:rPr>
            </w:r>
            <w:r/>
          </w:p>
        </w:tc>
      </w:tr>
      <w:tr>
        <w:trPr>
          <w:trHeight w:val="247"/>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灯具效能</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≥140Lm/W</w:t>
            </w:r>
            <w:r>
              <w:rPr>
                <w:rFonts w:ascii="宋体" w:hAnsi="宋体" w:cs="宋体"/>
                <w:sz w:val="24"/>
                <w:highlight w:val="none"/>
              </w:rPr>
            </w:r>
            <w:r/>
          </w:p>
        </w:tc>
      </w:tr>
      <w:tr>
        <w:trPr>
          <w:trHeight w:val="238"/>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色温</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3000K±200</w:t>
            </w:r>
            <w:r>
              <w:rPr>
                <w:rFonts w:ascii="宋体" w:hAnsi="宋体" w:cs="宋体"/>
                <w:sz w:val="24"/>
                <w:highlight w:val="none"/>
              </w:rPr>
            </w:r>
            <w:r/>
          </w:p>
        </w:tc>
      </w:tr>
      <w:tr>
        <w:trPr>
          <w:trHeight w:val="341"/>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显色指数</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≥70</w:t>
            </w:r>
            <w:r>
              <w:rPr>
                <w:rFonts w:ascii="宋体" w:hAnsi="宋体" w:cs="宋体"/>
                <w:sz w:val="24"/>
                <w:highlight w:val="none"/>
              </w:rPr>
            </w:r>
            <w:r/>
          </w:p>
        </w:tc>
      </w:tr>
      <w:tr>
        <w:trPr>
          <w:trHeight w:val="570"/>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灯具的谐波电流、无线电骚扰、浪涌抗扰度、电磁兼容抗扰度</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满足标准GB17625.1、GB17743、GB/T 17626.5、GB/T18595的要求</w:t>
            </w:r>
            <w:r>
              <w:rPr>
                <w:rFonts w:ascii="宋体" w:hAnsi="宋体" w:cs="宋体"/>
                <w:sz w:val="24"/>
                <w:highlight w:val="none"/>
              </w:rPr>
            </w:r>
            <w:r/>
          </w:p>
        </w:tc>
      </w:tr>
      <w:tr>
        <w:trPr>
          <w:trHeight w:val="285"/>
        </w:trPr>
        <w:tc>
          <w:tcPr>
            <w:tcW w:w="1476" w:type="dxa"/>
            <w:vAlign w:val="center"/>
            <w:vMerge w:val="restart"/>
            <w:textDirection w:val="lrTb"/>
            <w:noWrap w:val="false"/>
          </w:tcPr>
          <w:p>
            <w:pPr>
              <w:pStyle w:val="967"/>
              <w:jc w:val="center"/>
              <w:rPr>
                <w:rFonts w:hint="eastAsia" w:ascii="宋体" w:hAnsi="宋体" w:cs="宋体"/>
                <w:sz w:val="24"/>
                <w:highlight w:val="none"/>
              </w:rPr>
            </w:pPr>
            <w:r>
              <w:rPr>
                <w:rFonts w:hint="eastAsia" w:ascii="宋体" w:hAnsi="宋体" w:cs="宋体"/>
                <w:sz w:val="24"/>
                <w:highlight w:val="none"/>
              </w:rPr>
              <w:t xml:space="preserve">60</w:t>
            </w:r>
            <w:r>
              <w:rPr>
                <w:rFonts w:ascii="宋体" w:hAnsi="宋体" w:cs="宋体"/>
                <w:sz w:val="24"/>
                <w:highlight w:val="none"/>
              </w:rPr>
              <w:t xml:space="preserve">W</w:t>
            </w:r>
            <w:r>
              <w:rPr>
                <w:rFonts w:hint="eastAsia" w:ascii="宋体" w:hAnsi="宋体" w:cs="宋体"/>
                <w:sz w:val="24"/>
                <w:highlight w:val="none"/>
              </w:rPr>
              <w:t xml:space="preserve">路灯</w:t>
            </w: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IP防护等级</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IP65及以上</w:t>
            </w:r>
            <w:r>
              <w:rPr>
                <w:rFonts w:ascii="宋体" w:hAnsi="宋体" w:cs="宋体"/>
                <w:sz w:val="24"/>
                <w:highlight w:val="none"/>
              </w:rPr>
            </w:r>
            <w:r/>
          </w:p>
        </w:tc>
      </w:tr>
      <w:tr>
        <w:trPr>
          <w:trHeight w:val="285"/>
        </w:trPr>
        <w:tc>
          <w:tcPr>
            <w:tcW w:w="1476" w:type="dxa"/>
            <w:vAlign w:val="center"/>
            <w:vMerge w:val="continue"/>
            <w:textDirection w:val="lrTb"/>
            <w:noWrap w:val="false"/>
          </w:tcPr>
          <w:p>
            <w:pPr>
              <w:pStyle w:val="967"/>
              <w:jc w:val="left"/>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灯具效能</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≥140Lm/W</w:t>
            </w:r>
            <w:r>
              <w:rPr>
                <w:rFonts w:ascii="宋体" w:hAnsi="宋体" w:cs="宋体"/>
                <w:sz w:val="24"/>
                <w:highlight w:val="none"/>
              </w:rPr>
            </w:r>
            <w:r/>
          </w:p>
        </w:tc>
      </w:tr>
      <w:tr>
        <w:trPr>
          <w:trHeight w:val="285"/>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色温</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3000K±200</w:t>
            </w:r>
            <w:r>
              <w:rPr>
                <w:rFonts w:ascii="宋体" w:hAnsi="宋体" w:cs="宋体"/>
                <w:sz w:val="24"/>
                <w:highlight w:val="none"/>
              </w:rPr>
            </w:r>
            <w:r/>
          </w:p>
        </w:tc>
      </w:tr>
      <w:tr>
        <w:trPr>
          <w:trHeight w:val="285"/>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显色指数</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≥70</w:t>
            </w:r>
            <w:r>
              <w:rPr>
                <w:rFonts w:ascii="宋体" w:hAnsi="宋体" w:cs="宋体"/>
                <w:sz w:val="24"/>
                <w:highlight w:val="none"/>
              </w:rPr>
            </w:r>
            <w:r/>
          </w:p>
        </w:tc>
      </w:tr>
      <w:tr>
        <w:trPr>
          <w:trHeight w:val="285"/>
        </w:trPr>
        <w:tc>
          <w:tcPr>
            <w:tcW w:w="1476" w:type="dxa"/>
            <w:vAlign w:val="center"/>
            <w:vMerge w:val="continue"/>
            <w:textDirection w:val="lrTb"/>
            <w:noWrap w:val="false"/>
          </w:tcPr>
          <w:p>
            <w:pPr>
              <w:pStyle w:val="967"/>
              <w:jc w:val="left"/>
              <w:widowControl/>
              <w:rPr>
                <w:rFonts w:ascii="宋体" w:hAnsi="宋体" w:cs="宋体"/>
                <w:sz w:val="24"/>
                <w:highlight w:val="none"/>
              </w:rPr>
            </w:pP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灯具的谐波电流、无线电骚扰、浪涌抗扰度、电磁兼容抗扰度</w:t>
            </w:r>
            <w:r>
              <w:rPr>
                <w:rFonts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ascii="宋体" w:hAnsi="宋体" w:cs="宋体"/>
                <w:sz w:val="24"/>
                <w:highlight w:val="none"/>
              </w:rPr>
            </w:pPr>
            <w:r>
              <w:rPr>
                <w:rFonts w:hint="eastAsia" w:ascii="等线" w:hAnsi="等线" w:eastAsia="等线" w:cs="宋体"/>
                <w:sz w:val="22"/>
                <w:szCs w:val="22"/>
                <w:highlight w:val="none"/>
              </w:rPr>
              <w:t xml:space="preserve">满足标准GB17625.1、GB17743、GB/T 17626.5、GB/T18595的要求</w:t>
            </w:r>
            <w:r>
              <w:rPr>
                <w:rFonts w:ascii="宋体" w:hAnsi="宋体" w:cs="宋体"/>
                <w:sz w:val="24"/>
                <w:highlight w:val="none"/>
              </w:rPr>
            </w:r>
            <w:r/>
          </w:p>
        </w:tc>
      </w:tr>
      <w:tr>
        <w:trPr>
          <w:trHeight w:val="285"/>
        </w:trPr>
        <w:tc>
          <w:tcPr>
            <w:tcW w:w="1476" w:type="dxa"/>
            <w:vAlign w:val="center"/>
            <w:vMerge w:val="restart"/>
            <w:textDirection w:val="lrTb"/>
            <w:noWrap w:val="false"/>
          </w:tcPr>
          <w:p>
            <w:pPr>
              <w:pStyle w:val="967"/>
              <w:jc w:val="center"/>
              <w:widowControl/>
              <w:rPr>
                <w:rFonts w:ascii="宋体" w:hAnsi="宋体" w:cs="宋体"/>
                <w:sz w:val="24"/>
                <w:highlight w:val="none"/>
              </w:rPr>
            </w:pPr>
            <w:r>
              <w:rPr>
                <w:rFonts w:hint="eastAsia" w:ascii="宋体" w:hAnsi="宋体" w:cs="宋体"/>
                <w:sz w:val="24"/>
                <w:highlight w:val="none"/>
              </w:rPr>
              <w:t xml:space="preserve">280W投光灯</w:t>
            </w:r>
            <w:r>
              <w:rPr>
                <w:rFonts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IP防护等级</w:t>
            </w:r>
            <w:r>
              <w:rPr>
                <w:rFonts w:hint="eastAsia"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IP65及以上</w:t>
            </w:r>
            <w:r>
              <w:rPr>
                <w:rFonts w:hint="eastAsia" w:ascii="宋体" w:hAnsi="宋体" w:cs="宋体"/>
                <w:sz w:val="24"/>
                <w:highlight w:val="none"/>
              </w:rPr>
            </w:r>
            <w:r/>
          </w:p>
        </w:tc>
      </w:tr>
      <w:tr>
        <w:trPr>
          <w:trHeight w:val="285"/>
        </w:trPr>
        <w:tc>
          <w:tcPr>
            <w:tcW w:w="1476" w:type="dxa"/>
            <w:vAlign w:val="center"/>
            <w:vMerge w:val="continue"/>
            <w:textDirection w:val="lrTb"/>
            <w:noWrap w:val="false"/>
          </w:tcPr>
          <w:p>
            <w:pPr>
              <w:pStyle w:val="967"/>
              <w:jc w:val="center"/>
              <w:widowControl/>
              <w:rPr>
                <w:rFonts w:hint="eastAsia" w:ascii="宋体" w:hAnsi="宋体" w:cs="宋体"/>
                <w:sz w:val="24"/>
                <w:highlight w:val="none"/>
              </w:rPr>
            </w:pP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灯具效能</w:t>
            </w:r>
            <w:r>
              <w:rPr>
                <w:rFonts w:hint="eastAsia"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≥140Lm/W</w:t>
            </w:r>
            <w:r>
              <w:rPr>
                <w:rFonts w:hint="eastAsia" w:ascii="宋体" w:hAnsi="宋体" w:cs="宋体"/>
                <w:sz w:val="24"/>
                <w:highlight w:val="none"/>
              </w:rPr>
            </w:r>
            <w:r/>
          </w:p>
        </w:tc>
      </w:tr>
      <w:tr>
        <w:trPr>
          <w:trHeight w:val="285"/>
        </w:trPr>
        <w:tc>
          <w:tcPr>
            <w:tcW w:w="1476" w:type="dxa"/>
            <w:vAlign w:val="center"/>
            <w:vMerge w:val="continue"/>
            <w:textDirection w:val="lrTb"/>
            <w:noWrap w:val="false"/>
          </w:tcPr>
          <w:p>
            <w:pPr>
              <w:pStyle w:val="967"/>
              <w:jc w:val="center"/>
              <w:widowControl/>
              <w:rPr>
                <w:rFonts w:hint="eastAsia" w:ascii="宋体" w:hAnsi="宋体" w:cs="宋体"/>
                <w:sz w:val="24"/>
                <w:highlight w:val="none"/>
              </w:rPr>
            </w:pP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色温</w:t>
            </w:r>
            <w:r>
              <w:rPr>
                <w:rFonts w:hint="eastAsia"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3000K±200</w:t>
            </w:r>
            <w:r>
              <w:rPr>
                <w:rFonts w:hint="eastAsia" w:ascii="宋体" w:hAnsi="宋体" w:cs="宋体"/>
                <w:sz w:val="24"/>
                <w:highlight w:val="none"/>
              </w:rPr>
            </w:r>
            <w:r/>
          </w:p>
        </w:tc>
      </w:tr>
      <w:tr>
        <w:trPr>
          <w:trHeight w:val="285"/>
        </w:trPr>
        <w:tc>
          <w:tcPr>
            <w:tcW w:w="1476" w:type="dxa"/>
            <w:vAlign w:val="center"/>
            <w:vMerge w:val="continue"/>
            <w:textDirection w:val="lrTb"/>
            <w:noWrap w:val="false"/>
          </w:tcPr>
          <w:p>
            <w:pPr>
              <w:pStyle w:val="967"/>
              <w:jc w:val="center"/>
              <w:widowControl/>
              <w:rPr>
                <w:rFonts w:hint="eastAsia" w:ascii="宋体" w:hAnsi="宋体" w:cs="宋体"/>
                <w:sz w:val="24"/>
                <w:highlight w:val="none"/>
              </w:rPr>
            </w:pP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显色指数</w:t>
            </w:r>
            <w:r>
              <w:rPr>
                <w:rFonts w:hint="eastAsia"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≥70</w:t>
            </w:r>
            <w:r>
              <w:rPr>
                <w:rFonts w:hint="eastAsia" w:ascii="宋体" w:hAnsi="宋体" w:cs="宋体"/>
                <w:sz w:val="24"/>
                <w:highlight w:val="none"/>
              </w:rPr>
            </w:r>
            <w:r/>
          </w:p>
        </w:tc>
      </w:tr>
      <w:tr>
        <w:trPr>
          <w:trHeight w:val="285"/>
        </w:trPr>
        <w:tc>
          <w:tcPr>
            <w:tcW w:w="1476" w:type="dxa"/>
            <w:vAlign w:val="center"/>
            <w:vMerge w:val="continue"/>
            <w:textDirection w:val="lrTb"/>
            <w:noWrap w:val="false"/>
          </w:tcPr>
          <w:p>
            <w:pPr>
              <w:pStyle w:val="967"/>
              <w:jc w:val="center"/>
              <w:widowControl/>
              <w:rPr>
                <w:rFonts w:hint="eastAsia" w:ascii="宋体" w:hAnsi="宋体" w:cs="宋体"/>
                <w:sz w:val="24"/>
                <w:highlight w:val="none"/>
              </w:rPr>
            </w:pPr>
            <w:r>
              <w:rPr>
                <w:rFonts w:hint="eastAsia" w:ascii="宋体" w:hAnsi="宋体" w:cs="宋体"/>
                <w:sz w:val="24"/>
                <w:highlight w:val="none"/>
              </w:rPr>
            </w:r>
            <w:r/>
          </w:p>
        </w:tc>
        <w:tc>
          <w:tcPr>
            <w:tcMar>
              <w:left w:w="108" w:type="dxa"/>
              <w:top w:w="0" w:type="dxa"/>
              <w:right w:w="108" w:type="dxa"/>
              <w:bottom w:w="0" w:type="dxa"/>
            </w:tcMar>
            <w:tcW w:w="4007"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灯具的谐波电流、无线电骚扰、浪涌抗扰度、电磁兼容抗扰度</w:t>
            </w:r>
            <w:r>
              <w:rPr>
                <w:rFonts w:hint="eastAsia" w:ascii="宋体" w:hAnsi="宋体" w:cs="宋体"/>
                <w:sz w:val="24"/>
                <w:highlight w:val="none"/>
              </w:rPr>
            </w:r>
            <w:r/>
          </w:p>
        </w:tc>
        <w:tc>
          <w:tcPr>
            <w:tcMar>
              <w:left w:w="108" w:type="dxa"/>
              <w:top w:w="0" w:type="dxa"/>
              <w:right w:w="108" w:type="dxa"/>
              <w:bottom w:w="0" w:type="dxa"/>
            </w:tcMar>
            <w:tcW w:w="3802" w:type="dxa"/>
            <w:vAlign w:val="center"/>
            <w:textDirection w:val="lrTb"/>
            <w:noWrap w:val="false"/>
          </w:tcPr>
          <w:p>
            <w:pPr>
              <w:pStyle w:val="967"/>
              <w:jc w:val="center"/>
              <w:widowControl/>
              <w:rPr>
                <w:rFonts w:hint="eastAsia" w:ascii="宋体" w:hAnsi="宋体" w:cs="宋体"/>
                <w:sz w:val="24"/>
                <w:highlight w:val="none"/>
              </w:rPr>
            </w:pPr>
            <w:r>
              <w:rPr>
                <w:rFonts w:hint="eastAsia" w:ascii="等线" w:hAnsi="等线" w:eastAsia="等线" w:cs="宋体"/>
                <w:sz w:val="22"/>
                <w:szCs w:val="22"/>
                <w:highlight w:val="none"/>
              </w:rPr>
              <w:t xml:space="preserve">满足标准GB17625.1、GB17743、GB/T 17626.5、GB/T18595的要求</w:t>
            </w:r>
            <w:r>
              <w:rPr>
                <w:rFonts w:hint="eastAsia" w:ascii="宋体" w:hAnsi="宋体" w:cs="宋体"/>
                <w:sz w:val="24"/>
                <w:highlight w:val="none"/>
              </w:rPr>
            </w:r>
            <w:r/>
          </w:p>
        </w:tc>
      </w:tr>
    </w:tbl>
    <w:p>
      <w:pPr>
        <w:pStyle w:val="967"/>
        <w:ind w:firstLine="480"/>
        <w:jc w:val="left"/>
        <w:widowControl/>
        <w:rPr>
          <w:rFonts w:hint="eastAsia" w:ascii="宋体" w:hAnsi="宋体" w:cs="宋体"/>
          <w:sz w:val="28"/>
          <w:szCs w:val="28"/>
          <w:highlight w:val="none"/>
        </w:rPr>
      </w:pPr>
      <w:r/>
      <w:bookmarkEnd w:id="205"/>
      <w:r>
        <w:rPr>
          <w:rFonts w:hint="eastAsia" w:ascii="宋体" w:hAnsi="宋体" w:cs="宋体"/>
          <w:b/>
          <w:bCs/>
          <w:sz w:val="24"/>
          <w:highlight w:val="none"/>
        </w:rPr>
        <w:t xml:space="preserve">2、灯具的包装要求</w:t>
      </w:r>
      <w:r>
        <w:rPr>
          <w:rFonts w:hint="eastAsia" w:ascii="宋体" w:hAnsi="宋体" w:cs="宋体"/>
          <w:sz w:val="28"/>
          <w:szCs w:val="28"/>
          <w:highlight w:val="none"/>
        </w:rPr>
      </w:r>
      <w:r/>
    </w:p>
    <w:p>
      <w:pPr>
        <w:pStyle w:val="967"/>
        <w:spacing w:line="500" w:lineRule="exact"/>
        <w:rPr>
          <w:rFonts w:hint="eastAsia" w:ascii="宋体" w:hAnsi="宋体" w:cs="宋体"/>
          <w:b/>
          <w:sz w:val="24"/>
          <w:szCs w:val="24"/>
          <w:highlight w:val="none"/>
        </w:rPr>
      </w:pPr>
      <w:r>
        <w:rPr>
          <w:rFonts w:hint="eastAsia" w:ascii="宋体" w:hAnsi="宋体" w:cs="宋体"/>
          <w:sz w:val="24"/>
          <w:highlight w:val="none"/>
        </w:rPr>
        <w:t xml:space="preserve">1.每盏灯独立包装，将灯具的说明书，配件放置在灯具包装箱内；</w:t>
      </w:r>
      <w:r>
        <w:rPr>
          <w:rFonts w:hint="eastAsia" w:ascii="宋体" w:hAnsi="宋体" w:cs="宋体"/>
          <w:sz w:val="24"/>
          <w:highlight w:val="none"/>
        </w:rPr>
        <w:br w:type="textWrapping" w:clear="all"/>
      </w:r>
      <w:r>
        <w:rPr>
          <w:rFonts w:hint="eastAsia" w:ascii="宋体" w:hAnsi="宋体" w:cs="宋体"/>
          <w:sz w:val="24"/>
          <w:highlight w:val="none"/>
        </w:rPr>
        <w:t xml:space="preserve">2.先用PE袋进行包装，再用专用的发泡板（发泡包装模）进行保护，最外层采用AB双瓦楞纸板，面纸200g，里纸170g，A瓦B瓦140g，堆高建议八层；</w:t>
      </w:r>
      <w:r>
        <w:rPr>
          <w:rFonts w:hint="eastAsia" w:ascii="宋体" w:hAnsi="宋体" w:cs="宋体"/>
          <w:sz w:val="24"/>
          <w:highlight w:val="none"/>
        </w:rPr>
        <w:br w:type="textWrapping" w:clear="all"/>
      </w:r>
      <w:r>
        <w:rPr>
          <w:rFonts w:hint="eastAsia" w:ascii="宋体" w:hAnsi="宋体" w:cs="宋体"/>
          <w:sz w:val="24"/>
          <w:highlight w:val="none"/>
        </w:rPr>
        <w:t xml:space="preserve">3.封口胶将灯具的外箱进行封箱，对灯具的外箱进行标识。</w:t>
      </w:r>
      <w:r>
        <w:rPr>
          <w:rFonts w:hint="eastAsia" w:ascii="宋体" w:hAnsi="宋体" w:cs="宋体"/>
          <w:sz w:val="24"/>
          <w:highlight w:val="none"/>
        </w:rPr>
        <w:br w:type="textWrapping" w:clear="all"/>
      </w:r>
      <w:r>
        <w:rPr>
          <w:rFonts w:hint="eastAsia" w:ascii="宋体" w:hAnsi="宋体" w:cs="宋体"/>
          <w:b/>
          <w:bCs/>
          <w:sz w:val="24"/>
          <w:highlight w:val="none"/>
        </w:rPr>
        <w:t xml:space="preserve">  3、灯杆包装要求</w:t>
      </w:r>
      <w:r>
        <w:rPr>
          <w:rFonts w:hint="eastAsia" w:ascii="宋体" w:hAnsi="宋体" w:cs="宋体"/>
          <w:b/>
          <w:bCs/>
          <w:sz w:val="24"/>
          <w:highlight w:val="none"/>
        </w:rPr>
        <w:br w:type="textWrapping" w:clear="all"/>
      </w:r>
      <w:r>
        <w:rPr>
          <w:rFonts w:hint="eastAsia" w:ascii="宋体" w:hAnsi="宋体" w:cs="宋体"/>
          <w:sz w:val="24"/>
          <w:highlight w:val="none"/>
        </w:rPr>
        <w:t xml:space="preserve">1、灯杆法兰面用毛毯四周缠绕，法兰四角包裹硬纸板；</w:t>
      </w:r>
      <w:r>
        <w:rPr>
          <w:rFonts w:hint="eastAsia" w:ascii="宋体" w:hAnsi="宋体" w:cs="宋体"/>
          <w:sz w:val="24"/>
          <w:highlight w:val="none"/>
        </w:rPr>
        <w:br w:type="textWrapping" w:clear="all"/>
      </w:r>
      <w:r>
        <w:rPr>
          <w:rFonts w:hint="eastAsia" w:ascii="宋体" w:hAnsi="宋体" w:cs="宋体"/>
          <w:sz w:val="24"/>
          <w:highlight w:val="none"/>
        </w:rPr>
        <w:t xml:space="preserve">2、主杆、及灯臂先用尼龙带整根缠绕，再用幅宽为50cm的气垫膜缠绕灯杆；</w:t>
      </w:r>
      <w:r>
        <w:rPr>
          <w:rFonts w:hint="eastAsia" w:ascii="宋体" w:hAnsi="宋体" w:cs="宋体"/>
          <w:sz w:val="24"/>
          <w:highlight w:val="none"/>
        </w:rPr>
        <w:br w:type="textWrapping" w:clear="all"/>
      </w:r>
      <w:r>
        <w:rPr>
          <w:rFonts w:hint="eastAsia" w:ascii="宋体" w:hAnsi="宋体" w:cs="宋体"/>
          <w:sz w:val="24"/>
          <w:highlight w:val="none"/>
        </w:rPr>
        <w:t xml:space="preserve">3、包装完成的灯杆码放整齐用钢带打包成捆，每捆灯杆4根以上；</w:t>
      </w:r>
      <w:r>
        <w:rPr>
          <w:rFonts w:hint="eastAsia" w:ascii="宋体" w:hAnsi="宋体" w:cs="宋体"/>
          <w:sz w:val="24"/>
          <w:highlight w:val="none"/>
        </w:rPr>
        <w:br w:type="textWrapping" w:clear="all"/>
      </w:r>
      <w:r>
        <w:rPr>
          <w:rFonts w:hint="eastAsia" w:ascii="宋体" w:hAnsi="宋体" w:cs="宋体"/>
          <w:sz w:val="24"/>
          <w:highlight w:val="none"/>
        </w:rPr>
        <w:t xml:space="preserve">4、灯杆配件、瓷插板分类用纸箱独立包装，并对纸箱以及每捆灯杆进行挂牌标识。</w:t>
      </w:r>
      <w:r>
        <w:rPr>
          <w:rFonts w:hint="eastAsia" w:ascii="宋体" w:hAnsi="宋体" w:cs="宋体"/>
          <w:b/>
          <w:sz w:val="24"/>
          <w:szCs w:val="24"/>
          <w:highlight w:val="none"/>
        </w:rPr>
        <w:t xml:space="preserve">    </w:t>
      </w:r>
      <w:r>
        <w:rPr>
          <w:rFonts w:hint="eastAsia" w:ascii="宋体" w:hAnsi="宋体" w:cs="宋体"/>
          <w:b/>
          <w:sz w:val="24"/>
          <w:szCs w:val="24"/>
          <w:highlight w:val="none"/>
        </w:rPr>
      </w:r>
      <w:r/>
    </w:p>
    <w:p>
      <w:pPr>
        <w:pStyle w:val="967"/>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八、付款方式；</w:t>
      </w:r>
      <w:r>
        <w:rPr>
          <w:rFonts w:hint="eastAsia" w:ascii="宋体" w:hAnsi="宋体" w:cs="宋体"/>
          <w:b/>
          <w:sz w:val="24"/>
          <w:szCs w:val="24"/>
          <w:highlight w:val="none"/>
        </w:rPr>
      </w:r>
      <w:r/>
    </w:p>
    <w:p>
      <w:pPr>
        <w:pStyle w:val="967"/>
        <w:ind w:firstLine="480"/>
        <w:spacing w:line="360" w:lineRule="auto"/>
        <w:rPr>
          <w:rFonts w:hint="eastAsia" w:ascii="宋体" w:hAnsi="宋体" w:cs="宋体"/>
          <w:sz w:val="24"/>
          <w:szCs w:val="24"/>
          <w:highlight w:val="none"/>
        </w:rPr>
      </w:pPr>
      <w:r/>
      <w:bookmarkStart w:id="206" w:name="OLE_LINK13"/>
      <w:r>
        <w:rPr>
          <w:rFonts w:hint="eastAsia" w:ascii="宋体" w:hAnsi="宋体" w:cs="宋体"/>
          <w:sz w:val="24"/>
          <w:szCs w:val="24"/>
          <w:highlight w:val="none"/>
        </w:rPr>
        <w:t xml:space="preserve">合同签订后，支付合同价的30%作为预付款；货物到位并验收合格后付至所供货物金额的50％（应付款项金额超过预付款金额后，需方开始实际支付）。18个月付清余款。实际支付金额按实际供货量照实结算。款项由采购单位按相关财务支付规定办理支付手续。</w:t>
      </w:r>
      <w:bookmarkEnd w:id="206"/>
      <w:r>
        <w:rPr>
          <w:rFonts w:hint="eastAsia" w:ascii="宋体" w:hAnsi="宋体" w:cs="宋体"/>
          <w:sz w:val="24"/>
          <w:szCs w:val="24"/>
          <w:highlight w:val="none"/>
        </w:rPr>
      </w:r>
      <w:r/>
    </w:p>
    <w:p>
      <w:pPr>
        <w:pStyle w:val="967"/>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九、样品</w:t>
      </w:r>
      <w:r>
        <w:rPr>
          <w:rFonts w:hint="eastAsia" w:ascii="宋体" w:hAnsi="宋体" w:cs="宋体"/>
          <w:b/>
          <w:sz w:val="24"/>
          <w:szCs w:val="24"/>
          <w:highlight w:val="none"/>
        </w:rPr>
      </w:r>
      <w:r/>
    </w:p>
    <w:p>
      <w:pPr>
        <w:pStyle w:val="967"/>
        <w:ind w:left="583" w:hanging="163"/>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供应商须在投标时提供以下样品供评审：</w:t>
      </w:r>
      <w:r>
        <w:rPr>
          <w:rFonts w:ascii="宋体" w:hAnsi="宋体" w:cs="宋体"/>
          <w:sz w:val="24"/>
          <w:szCs w:val="24"/>
          <w:highlight w:val="none"/>
        </w:rPr>
      </w:r>
      <w:r/>
    </w:p>
    <w:p>
      <w:pPr>
        <w:pStyle w:val="967"/>
        <w:ind w:left="583" w:hanging="163"/>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1、本项目13米双挑灯杆局部1m一套。</w:t>
      </w:r>
      <w:r>
        <w:rPr>
          <w:rFonts w:ascii="宋体" w:hAnsi="宋体" w:cs="宋体"/>
          <w:sz w:val="24"/>
          <w:szCs w:val="24"/>
          <w:highlight w:val="none"/>
        </w:rPr>
      </w:r>
      <w:r/>
    </w:p>
    <w:p>
      <w:pPr>
        <w:pStyle w:val="967"/>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幸余路施工图  对应图名：路灯大样图一，专业编号：07S，图纸号码：1-06</w:t>
      </w:r>
      <w:r>
        <w:rPr>
          <w:rFonts w:hint="eastAsia" w:ascii="宋体" w:hAnsi="宋体" w:cs="宋体"/>
          <w:b/>
          <w:bCs/>
          <w:sz w:val="24"/>
          <w:szCs w:val="24"/>
          <w:highlight w:val="none"/>
        </w:rPr>
      </w:r>
      <w:r/>
    </w:p>
    <w:p>
      <w:pPr>
        <w:pStyle w:val="967"/>
        <w:ind w:firstLine="556"/>
        <w:spacing w:line="360" w:lineRule="auto"/>
        <w:widowControl/>
        <w:rPr>
          <w:rFonts w:hint="eastAsia" w:ascii="宋体" w:hAnsi="宋体" w:cs="宋体"/>
          <w:b/>
          <w:bCs/>
          <w:sz w:val="24"/>
          <w:szCs w:val="24"/>
          <w:highlight w:val="none"/>
        </w:rPr>
      </w:pPr>
      <w:r>
        <w:rPr>
          <w:rFonts w:hint="eastAsia" w:ascii="宋体" w:hAnsi="宋体" w:cs="宋体"/>
          <w:sz w:val="24"/>
          <w:szCs w:val="24"/>
          <w:highlight w:val="none"/>
        </w:rPr>
        <w:t xml:space="preserve">灯杆样品经过热浸锌、静电喷塑的1米高（根部向上1米含法兰、检修门）。下部50厘米只要经过热浸锌不允许喷塑，上部50厘米热浸锌喷塑。样品尺寸偏差±5%，超出范围按废标处理。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    2、</w:t>
      </w:r>
      <w:r>
        <w:rPr>
          <w:rFonts w:hint="eastAsia" w:ascii="宋体" w:hAnsi="宋体" w:cs="宋体"/>
          <w:sz w:val="24"/>
          <w:highlight w:val="none"/>
        </w:rPr>
        <w:t xml:space="preserve">投标人须在投标时携带所投产品60W路灯灯具、280W路灯灯具、280W投光灯具、单个模组70W60V（中配光、3000K）的样品各一套。</w:t>
      </w:r>
      <w:r>
        <w:rPr>
          <w:rFonts w:hint="eastAsia" w:ascii="宋体" w:hAnsi="宋体" w:cs="宋体"/>
          <w:b/>
          <w:bCs/>
          <w:sz w:val="24"/>
          <w:szCs w:val="24"/>
          <w:highlight w:val="none"/>
        </w:rPr>
      </w:r>
      <w:r/>
    </w:p>
    <w:p>
      <w:pPr>
        <w:pStyle w:val="967"/>
        <w:ind w:firstLine="278"/>
        <w:spacing w:line="360" w:lineRule="auto"/>
        <w:widowControl/>
        <w:rPr>
          <w:rFonts w:hint="eastAsia" w:ascii="宋体" w:hAnsi="宋体" w:cs="宋体"/>
          <w:sz w:val="24"/>
          <w:szCs w:val="24"/>
          <w:highlight w:val="none"/>
        </w:rPr>
      </w:pPr>
      <w:r/>
      <w:bookmarkStart w:id="207" w:name="OLE_LINK11"/>
      <w:r>
        <w:rPr>
          <w:rFonts w:hint="eastAsia" w:ascii="宋体" w:hAnsi="宋体" w:cs="宋体"/>
          <w:sz w:val="24"/>
          <w:szCs w:val="24"/>
          <w:highlight w:val="none"/>
        </w:rPr>
        <w:t xml:space="preserve">灯具样品的尺寸须满足下表要求，灯具的结构及材质需满足招标技术要求：</w:t>
      </w:r>
      <w:r>
        <w:rPr>
          <w:rFonts w:hint="eastAsia" w:ascii="宋体" w:hAnsi="宋体" w:cs="宋体"/>
          <w:sz w:val="24"/>
          <w:szCs w:val="24"/>
          <w:highlight w:val="none"/>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552"/>
        <w:gridCol w:w="6483"/>
      </w:tblGrid>
      <w:tr>
        <w:trPr>
          <w:trHeight w:val="3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灯具品种</w:t>
            </w:r>
            <w:r>
              <w:rPr>
                <w:rFonts w:hint="eastAsia" w:ascii="宋体" w:hAnsi="宋体" w:cs="宋体"/>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尺寸范围（长宽±5%，厚度±10%）</w:t>
            </w:r>
            <w:r>
              <w:rPr>
                <w:rFonts w:hint="eastAsia" w:ascii="宋体" w:hAnsi="宋体" w:cs="宋体"/>
                <w:sz w:val="24"/>
                <w:szCs w:val="24"/>
                <w:highlight w:val="none"/>
              </w:rPr>
            </w:r>
            <w:r/>
          </w:p>
        </w:tc>
      </w:tr>
      <w:tr>
        <w:trPr>
          <w:trHeight w:val="3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280W路灯灯具</w:t>
            </w:r>
            <w:r>
              <w:rPr>
                <w:rFonts w:hint="eastAsia" w:ascii="宋体" w:hAnsi="宋体" w:cs="宋体"/>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长1100*宽380*厚180mm</w:t>
            </w:r>
            <w:r>
              <w:rPr>
                <w:rFonts w:hint="eastAsia" w:ascii="宋体" w:hAnsi="宋体" w:cs="宋体"/>
                <w:sz w:val="24"/>
                <w:szCs w:val="24"/>
                <w:highlight w:val="none"/>
              </w:rPr>
            </w:r>
            <w:r/>
          </w:p>
        </w:tc>
      </w:tr>
      <w:tr>
        <w:trPr>
          <w:trHeight w:val="3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60W路灯灯具</w:t>
            </w:r>
            <w:r>
              <w:rPr>
                <w:rFonts w:ascii="宋体" w:hAnsi="宋体" w:cs="宋体"/>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长820*宽360*厚170mm</w:t>
            </w:r>
            <w:r>
              <w:rPr>
                <w:rFonts w:hint="eastAsia" w:ascii="宋体" w:hAnsi="宋体" w:cs="宋体"/>
                <w:sz w:val="24"/>
                <w:szCs w:val="24"/>
                <w:highlight w:val="none"/>
              </w:rPr>
            </w:r>
            <w:r/>
          </w:p>
        </w:tc>
      </w:tr>
      <w:tr>
        <w:trPr>
          <w:trHeight w:val="3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tcPr>
          <w:p>
            <w:pPr>
              <w:pStyle w:val="967"/>
              <w:ind w:firstLine="278"/>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280W投光灯灯具</w:t>
            </w:r>
            <w:r>
              <w:rPr>
                <w:rFonts w:ascii="宋体" w:hAnsi="宋体" w:cs="宋体"/>
                <w:sz w:val="24"/>
                <w:szCs w:val="24"/>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3" w:type="dxa"/>
            <w:vAlign w:val="center"/>
            <w:textDirection w:val="lrTb"/>
            <w:noWrap/>
          </w:tcPr>
          <w:p>
            <w:pPr>
              <w:pStyle w:val="967"/>
              <w:ind w:firstLine="278"/>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长690*宽400*厚65mm</w:t>
            </w:r>
            <w:r>
              <w:rPr>
                <w:rFonts w:ascii="宋体" w:hAnsi="宋体" w:cs="宋体"/>
                <w:sz w:val="24"/>
                <w:szCs w:val="24"/>
                <w:highlight w:val="none"/>
              </w:rPr>
            </w:r>
            <w:r/>
          </w:p>
        </w:tc>
      </w:tr>
    </w:tbl>
    <w:p>
      <w:pPr>
        <w:pStyle w:val="967"/>
        <w:ind w:firstLine="480"/>
        <w:spacing w:line="360" w:lineRule="auto"/>
        <w:rPr>
          <w:rFonts w:hint="eastAsia" w:ascii="宋体" w:hAnsi="宋体" w:cs="宋体"/>
          <w:b/>
          <w:sz w:val="24"/>
          <w:szCs w:val="24"/>
          <w:highlight w:val="none"/>
          <w:lang w:val="zh-CN"/>
        </w:rPr>
      </w:pPr>
      <w:r/>
      <w:bookmarkEnd w:id="207"/>
      <w:r>
        <w:rPr>
          <w:rFonts w:hint="eastAsia" w:ascii="宋体" w:hAnsi="宋体" w:cs="宋体"/>
          <w:sz w:val="24"/>
          <w:szCs w:val="24"/>
          <w:highlight w:val="none"/>
        </w:rPr>
        <w:t xml:space="preserve">样品提交时间：评标日前一天9：00起至16:00止，采购代理人负责接收样品。样品递交地点：南通市崇川区外环东路12号2楼南侧，样品递交联系方式：张</w:t>
      </w:r>
      <w:r>
        <w:rPr>
          <w:rFonts w:hint="eastAsia" w:ascii="宋体" w:hAnsi="宋体" w:cs="宋体"/>
          <w:sz w:val="24"/>
          <w:szCs w:val="24"/>
          <w:highlight w:val="none"/>
          <w:lang w:eastAsia="zh-CN"/>
        </w:rPr>
        <w:t xml:space="preserve">女士</w:t>
      </w:r>
      <w:r>
        <w:rPr>
          <w:rFonts w:hint="eastAsia" w:ascii="宋体" w:hAnsi="宋体" w:cs="宋体"/>
          <w:sz w:val="24"/>
          <w:szCs w:val="24"/>
          <w:highlight w:val="none"/>
        </w:rPr>
        <w:t xml:space="preserve">15996553483</w:t>
      </w:r>
      <w:r>
        <w:rPr>
          <w:rFonts w:hint="eastAsia" w:ascii="宋体" w:hAnsi="宋体" w:cs="宋体"/>
          <w:sz w:val="24"/>
          <w:szCs w:val="24"/>
          <w:highlight w:val="none"/>
          <w:lang w:eastAsia="zh-CN"/>
        </w:rPr>
        <w:t xml:space="preserve">、朱女士</w:t>
      </w:r>
      <w:r>
        <w:rPr>
          <w:rFonts w:hint="eastAsia" w:ascii="宋体" w:hAnsi="宋体" w:cs="宋体"/>
          <w:sz w:val="24"/>
          <w:szCs w:val="24"/>
          <w:highlight w:val="none"/>
          <w:lang w:val="en-US" w:eastAsia="zh-CN"/>
        </w:rPr>
        <w:t xml:space="preserve">18068191872</w:t>
      </w:r>
      <w:r>
        <w:rPr>
          <w:rFonts w:hint="eastAsia" w:ascii="宋体" w:hAnsi="宋体" w:cs="宋体"/>
          <w:sz w:val="24"/>
          <w:szCs w:val="24"/>
          <w:highlight w:val="none"/>
        </w:rPr>
        <w:t xml:space="preserve">。</w:t>
      </w:r>
      <w:r>
        <w:rPr>
          <w:rFonts w:hint="eastAsia" w:ascii="宋体" w:hAnsi="宋体" w:cs="宋体"/>
          <w:b/>
          <w:sz w:val="24"/>
          <w:szCs w:val="24"/>
          <w:highlight w:val="none"/>
          <w:lang w:val="zh-CN"/>
        </w:rPr>
      </w:r>
      <w:r/>
    </w:p>
    <w:p>
      <w:pPr>
        <w:pStyle w:val="967"/>
        <w:ind w:firstLine="241"/>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注：如出现以下情况，作为无效投标处理</w:t>
      </w:r>
      <w:r>
        <w:rPr>
          <w:rFonts w:hint="eastAsia" w:ascii="宋体" w:hAnsi="宋体" w:cs="宋体"/>
          <w:b/>
          <w:sz w:val="24"/>
          <w:szCs w:val="24"/>
          <w:highlight w:val="none"/>
          <w:lang w:val="zh-CN"/>
        </w:rPr>
      </w:r>
      <w:r/>
    </w:p>
    <w:p>
      <w:pPr>
        <w:pStyle w:val="96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1）未提供样品或提供不全；</w:t>
      </w:r>
      <w:r>
        <w:rPr>
          <w:rFonts w:hint="eastAsia" w:ascii="宋体" w:hAnsi="宋体" w:cs="宋体"/>
          <w:b/>
          <w:sz w:val="24"/>
          <w:szCs w:val="24"/>
          <w:highlight w:val="none"/>
        </w:rPr>
      </w:r>
      <w:r/>
    </w:p>
    <w:p>
      <w:pPr>
        <w:pStyle w:val="967"/>
        <w:ind w:firstLine="482"/>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2）样品显示投标人的公司名称或标识；</w:t>
      </w:r>
      <w:r>
        <w:rPr>
          <w:rFonts w:hint="eastAsia" w:ascii="宋体" w:hAnsi="宋体" w:cs="宋体"/>
          <w:b/>
          <w:sz w:val="24"/>
          <w:szCs w:val="24"/>
          <w:highlight w:val="none"/>
          <w:lang w:val="zh-CN"/>
        </w:rPr>
      </w:r>
      <w:r/>
    </w:p>
    <w:p>
      <w:pPr>
        <w:pStyle w:val="967"/>
        <w:ind w:firstLine="482"/>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rPr>
        <w:t xml:space="preserve">3）经现场测量，</w:t>
      </w:r>
      <w:r>
        <w:rPr>
          <w:rFonts w:hint="eastAsia" w:ascii="宋体" w:hAnsi="宋体" w:cs="宋体"/>
          <w:b/>
          <w:sz w:val="24"/>
          <w:szCs w:val="24"/>
          <w:highlight w:val="none"/>
          <w:lang w:val="zh-CN"/>
        </w:rPr>
        <w:t xml:space="preserve">样品尺寸，结构及材质不符合要求的。</w:t>
      </w:r>
      <w:r>
        <w:rPr>
          <w:rFonts w:hint="eastAsia" w:ascii="宋体" w:hAnsi="宋体" w:cs="宋体"/>
          <w:b/>
          <w:sz w:val="24"/>
          <w:szCs w:val="24"/>
          <w:highlight w:val="none"/>
          <w:lang w:val="zh-CN"/>
        </w:rPr>
      </w:r>
      <w:r/>
    </w:p>
    <w:p>
      <w:pPr>
        <w:pStyle w:val="967"/>
        <w:spacing w:line="480" w:lineRule="exact"/>
        <w:rPr>
          <w:rFonts w:hint="eastAsia" w:ascii="宋体" w:hAnsi="宋体" w:cs="宋体"/>
          <w:b/>
          <w:sz w:val="24"/>
          <w:szCs w:val="24"/>
          <w:highlight w:val="none"/>
          <w:lang w:val="zh-CN"/>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zh-CN"/>
        </w:rPr>
        <w:t xml:space="preserve">采购需求中必须满足的实质性要求（请单独列出）</w:t>
      </w:r>
      <w:r>
        <w:rPr>
          <w:rFonts w:hint="eastAsia" w:ascii="宋体" w:hAnsi="宋体" w:cs="宋体"/>
          <w:b/>
          <w:sz w:val="24"/>
          <w:szCs w:val="24"/>
          <w:highlight w:val="none"/>
          <w:lang w:val="zh-CN"/>
        </w:rPr>
      </w:r>
      <w:r/>
    </w:p>
    <w:p>
      <w:pPr>
        <w:pStyle w:val="967"/>
        <w:contextualSpacing/>
        <w:jc w:val="left"/>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cs="宋体"/>
          <w:bCs/>
          <w:i/>
          <w:iCs/>
          <w:sz w:val="24"/>
          <w:szCs w:val="24"/>
          <w:highlight w:val="none"/>
        </w:rPr>
        <w:t xml:space="preserve">10</w:t>
      </w:r>
      <w:r>
        <w:rPr>
          <w:rFonts w:hint="eastAsia" w:ascii="宋体" w:hAnsi="宋体" w:cs="宋体"/>
          <w:bCs/>
          <w:i/>
          <w:iCs/>
          <w:sz w:val="24"/>
          <w:szCs w:val="24"/>
          <w:highlight w:val="none"/>
          <w:lang w:val="zh-CN"/>
        </w:rPr>
        <w:t xml:space="preserve">.1技术部分实质性要求（请单独列出并加斜体下划线）</w:t>
      </w:r>
      <w:r>
        <w:rPr>
          <w:rFonts w:hint="eastAsia" w:ascii="宋体" w:hAnsi="宋体" w:cs="宋体"/>
          <w:bCs/>
          <w:i/>
          <w:iCs/>
          <w:sz w:val="24"/>
          <w:szCs w:val="24"/>
          <w:highlight w:val="non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lang w:val="zh-CN"/>
        </w:rPr>
      </w:pPr>
      <w:r/>
      <w:bookmarkStart w:id="208" w:name="_Hlk177116505"/>
      <w:r>
        <w:rPr>
          <w:rFonts w:hint="eastAsia" w:ascii="宋体" w:hAnsi="宋体" w:cs="宋体"/>
          <w:bCs/>
          <w:i/>
          <w:iCs/>
          <w:sz w:val="24"/>
          <w:szCs w:val="24"/>
          <w:highlight w:val="none"/>
          <w:u w:val="single"/>
        </w:rPr>
        <w:t xml:space="preserve">（1）</w:t>
      </w:r>
      <w:r>
        <w:rPr>
          <w:rFonts w:hint="eastAsia" w:ascii="宋体" w:hAnsi="宋体" w:cs="宋体"/>
          <w:bCs/>
          <w:i/>
          <w:iCs/>
          <w:sz w:val="24"/>
          <w:szCs w:val="24"/>
          <w:highlight w:val="none"/>
          <w:u w:val="single"/>
          <w:lang w:val="zh-CN"/>
        </w:rPr>
        <w:t xml:space="preserve">完全响应采购人提出的采购标的需满足的技术部分实质性要求（提供承诺函，</w:t>
      </w:r>
      <w:r>
        <w:rPr>
          <w:rFonts w:hint="eastAsia" w:ascii="宋体" w:hAnsi="宋体" w:cs="宋体"/>
          <w:bCs/>
          <w:i/>
          <w:iCs/>
          <w:sz w:val="24"/>
          <w:szCs w:val="24"/>
          <w:highlight w:val="none"/>
          <w:u w:val="single"/>
        </w:rPr>
        <w:t xml:space="preserve">格式自拟</w:t>
      </w:r>
      <w:r>
        <w:rPr>
          <w:rFonts w:hint="eastAsia" w:ascii="宋体" w:hAnsi="宋体" w:cs="宋体"/>
          <w:bCs/>
          <w:i/>
          <w:iCs/>
          <w:sz w:val="24"/>
          <w:szCs w:val="24"/>
          <w:highlight w:val="none"/>
          <w:u w:val="single"/>
          <w:lang w:val="zh-CN"/>
        </w:rPr>
        <w:t xml:space="preserve">）。</w:t>
      </w:r>
      <w:bookmarkEnd w:id="208"/>
      <w:r>
        <w:rPr>
          <w:rFonts w:hint="eastAsia" w:ascii="宋体" w:hAnsi="宋体" w:cs="宋体"/>
          <w:bCs/>
          <w:i/>
          <w:iCs/>
          <w:sz w:val="24"/>
          <w:szCs w:val="24"/>
          <w:highlight w:val="none"/>
          <w:u w:val="singl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rPr>
      </w:pPr>
      <w:r>
        <w:rPr>
          <w:rFonts w:hint="eastAsia" w:ascii="宋体" w:hAnsi="宋体" w:cs="宋体"/>
          <w:bCs/>
          <w:i/>
          <w:iCs/>
          <w:sz w:val="24"/>
          <w:szCs w:val="24"/>
          <w:highlight w:val="none"/>
          <w:u w:val="single"/>
        </w:rPr>
        <w:t xml:space="preserve">（2）按招标文件样品要求提供样品。</w:t>
      </w:r>
      <w:r>
        <w:rPr>
          <w:rFonts w:hint="eastAsia" w:ascii="宋体" w:hAnsi="宋体" w:cs="宋体"/>
          <w:bCs/>
          <w:i/>
          <w:iCs/>
          <w:sz w:val="24"/>
          <w:szCs w:val="24"/>
          <w:highlight w:val="none"/>
          <w:u w:val="single"/>
        </w:rPr>
      </w:r>
      <w:r/>
    </w:p>
    <w:p>
      <w:pPr>
        <w:pStyle w:val="967"/>
        <w:ind w:firstLine="480"/>
        <w:spacing w:line="360" w:lineRule="auto"/>
        <w:tabs>
          <w:tab w:val="left" w:pos="5325" w:leader="none"/>
        </w:tabs>
        <w:rPr>
          <w:rFonts w:hint="eastAsia" w:ascii="宋体" w:hAnsi="宋体" w:eastAsia="宋体" w:cs="宋体"/>
          <w:bCs/>
          <w:i/>
          <w:iCs/>
          <w:sz w:val="24"/>
          <w:szCs w:val="24"/>
          <w:highlight w:val="none"/>
          <w:u w:val="single"/>
          <w:lang w:eastAsia="zh-CN"/>
        </w:rPr>
      </w:pPr>
      <w:r>
        <w:rPr>
          <w:rFonts w:hint="eastAsia" w:ascii="宋体" w:hAnsi="宋体" w:cs="宋体"/>
          <w:bCs/>
          <w:i/>
          <w:iCs/>
          <w:sz w:val="24"/>
          <w:szCs w:val="24"/>
          <w:highlight w:val="none"/>
          <w:u w:val="single"/>
        </w:rPr>
        <w:t xml:space="preserve">（3）投标人须提供项目</w:t>
      </w:r>
      <w:r>
        <w:rPr>
          <w:rFonts w:hint="eastAsia" w:ascii="宋体" w:hAnsi="宋体" w:cs="宋体"/>
          <w:bCs/>
          <w:i/>
          <w:iCs/>
          <w:sz w:val="24"/>
          <w:szCs w:val="24"/>
          <w:highlight w:val="none"/>
          <w:u w:val="single"/>
          <w:lang w:eastAsia="zh-CN"/>
        </w:rPr>
        <w:t xml:space="preserve">需求</w:t>
      </w:r>
      <w:r>
        <w:rPr>
          <w:rFonts w:hint="eastAsia" w:ascii="宋体" w:hAnsi="宋体" w:cs="宋体"/>
          <w:bCs/>
          <w:i/>
          <w:iCs/>
          <w:sz w:val="24"/>
          <w:szCs w:val="24"/>
          <w:highlight w:val="none"/>
          <w:u w:val="single"/>
        </w:rPr>
        <w:t xml:space="preserve">中要求提供的检测报告，不提供视为未实质性响应招标文件。</w:t>
      </w:r>
      <w:r>
        <w:rPr>
          <w:rFonts w:hint="eastAsia" w:ascii="宋体" w:hAnsi="宋体" w:cs="宋体"/>
          <w:bCs/>
          <w:i w:val="0"/>
          <w:iCs w:val="0"/>
          <w:sz w:val="24"/>
          <w:szCs w:val="24"/>
          <w:highlight w:val="none"/>
          <w:u w:val="none"/>
          <w:lang w:eastAsia="zh-CN"/>
        </w:rPr>
        <w:t xml:space="preserve">（</w:t>
      </w:r>
      <w:r>
        <w:rPr>
          <w:rFonts w:hint="eastAsia" w:ascii="宋体" w:hAnsi="宋体" w:cs="宋体"/>
          <w:bCs/>
          <w:i w:val="0"/>
          <w:iCs w:val="0"/>
          <w:sz w:val="24"/>
          <w:szCs w:val="24"/>
          <w:highlight w:val="none"/>
          <w:u w:val="none"/>
        </w:rPr>
        <w:t xml:space="preserve">检测报告</w:t>
      </w:r>
      <w:r>
        <w:rPr>
          <w:rFonts w:hint="eastAsia" w:ascii="宋体" w:hAnsi="宋体" w:cs="宋体"/>
          <w:bCs/>
          <w:i w:val="0"/>
          <w:iCs w:val="0"/>
          <w:sz w:val="24"/>
          <w:szCs w:val="24"/>
          <w:highlight w:val="none"/>
          <w:u w:val="none"/>
          <w:lang w:eastAsia="zh-CN"/>
        </w:rPr>
        <w:t xml:space="preserve">指的是</w:t>
      </w:r>
      <w:r>
        <w:rPr>
          <w:rFonts w:hint="eastAsia" w:ascii="宋体" w:hAnsi="宋体" w:eastAsia="宋体" w:cs="宋体"/>
          <w:bCs/>
          <w:i w:val="0"/>
          <w:iCs w:val="0"/>
          <w:sz w:val="24"/>
          <w:szCs w:val="24"/>
          <w:highlight w:val="none"/>
          <w:u w:val="none"/>
          <w:lang w:eastAsia="zh-CN"/>
        </w:rPr>
        <w:t xml:space="preserve">“</w:t>
      </w:r>
      <w:r>
        <w:rPr>
          <w:rFonts w:hint="eastAsia" w:ascii="宋体" w:hAnsi="宋体" w:eastAsia="宋体" w:cs="宋体"/>
          <w:bCs/>
          <w:i w:val="0"/>
          <w:iCs w:val="0"/>
          <w:sz w:val="24"/>
          <w:szCs w:val="24"/>
          <w:highlight w:val="none"/>
          <w:u w:val="none"/>
        </w:rPr>
        <w:t xml:space="preserve">七、采购标的的其他技术、服务等要求</w:t>
      </w:r>
      <w:r>
        <w:rPr>
          <w:rFonts w:hint="eastAsia" w:ascii="宋体" w:hAnsi="宋体" w:eastAsia="宋体" w:cs="宋体"/>
          <w:bCs/>
          <w:i w:val="0"/>
          <w:iCs w:val="0"/>
          <w:sz w:val="24"/>
          <w:szCs w:val="24"/>
          <w:highlight w:val="none"/>
          <w:u w:val="none"/>
          <w:lang w:val="en-US" w:eastAsia="zh-CN"/>
        </w:rPr>
        <w:t xml:space="preserve">--</w:t>
      </w:r>
      <w:r>
        <w:rPr>
          <w:rFonts w:hint="eastAsia" w:ascii="宋体" w:hAnsi="宋体" w:eastAsia="宋体" w:cs="宋体"/>
          <w:bCs/>
          <w:i w:val="0"/>
          <w:iCs w:val="0"/>
          <w:sz w:val="24"/>
          <w:szCs w:val="24"/>
          <w:highlight w:val="none"/>
          <w:u w:val="none"/>
        </w:rPr>
        <w:t xml:space="preserve">1、检测报告</w:t>
      </w:r>
      <w:r>
        <w:rPr>
          <w:rFonts w:hint="eastAsia" w:ascii="宋体" w:hAnsi="宋体" w:eastAsia="宋体" w:cs="宋体"/>
          <w:bCs/>
          <w:i w:val="0"/>
          <w:iCs w:val="0"/>
          <w:sz w:val="24"/>
          <w:szCs w:val="24"/>
          <w:highlight w:val="none"/>
          <w:u w:val="none"/>
          <w:lang w:eastAsia="zh-CN"/>
        </w:rPr>
        <w:t xml:space="preserve">”）</w:t>
      </w:r>
      <w:r>
        <w:rPr>
          <w:rFonts w:hint="eastAsia" w:ascii="宋体" w:hAnsi="宋体" w:eastAsia="宋体" w:cs="宋体"/>
          <w:bCs/>
          <w:i/>
          <w:iCs/>
          <w:sz w:val="24"/>
          <w:szCs w:val="24"/>
          <w:highlight w:val="none"/>
          <w:u w:val="single"/>
          <w:lang w:eastAsia="zh-CN"/>
        </w:rPr>
      </w:r>
      <w:r/>
    </w:p>
    <w:p>
      <w:pPr>
        <w:pStyle w:val="967"/>
        <w:contextualSpacing/>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cs="宋体"/>
          <w:bCs/>
          <w:i/>
          <w:iCs/>
          <w:sz w:val="24"/>
          <w:szCs w:val="24"/>
          <w:highlight w:val="none"/>
        </w:rPr>
        <w:t xml:space="preserve">10</w:t>
      </w:r>
      <w:r>
        <w:rPr>
          <w:rFonts w:hint="eastAsia" w:ascii="宋体" w:hAnsi="宋体" w:cs="宋体"/>
          <w:bCs/>
          <w:i/>
          <w:iCs/>
          <w:sz w:val="24"/>
          <w:szCs w:val="24"/>
          <w:highlight w:val="none"/>
          <w:lang w:val="zh-CN"/>
        </w:rPr>
        <w:t xml:space="preserve">.2商务部分实质性要求（请单独列出并加斜体下划线）</w:t>
      </w:r>
      <w:r>
        <w:rPr>
          <w:rFonts w:hint="eastAsia" w:ascii="宋体" w:hAnsi="宋体" w:cs="宋体"/>
          <w:bCs/>
          <w:i/>
          <w:iCs/>
          <w:sz w:val="24"/>
          <w:szCs w:val="24"/>
          <w:highlight w:val="non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lang w:val="zh-CN"/>
        </w:rPr>
      </w:pPr>
      <w:r>
        <w:rPr>
          <w:rFonts w:hint="eastAsia" w:ascii="宋体" w:hAnsi="宋体" w:cs="宋体"/>
          <w:bCs/>
          <w:i/>
          <w:iCs/>
          <w:sz w:val="24"/>
          <w:szCs w:val="24"/>
          <w:highlight w:val="none"/>
          <w:u w:val="single"/>
        </w:rPr>
        <w:t xml:space="preserve">(1)</w:t>
      </w:r>
      <w:r>
        <w:rPr>
          <w:rFonts w:hint="eastAsia" w:ascii="宋体" w:hAnsi="宋体" w:cs="宋体"/>
          <w:bCs/>
          <w:i/>
          <w:iCs/>
          <w:sz w:val="24"/>
          <w:szCs w:val="24"/>
          <w:highlight w:val="none"/>
          <w:u w:val="single"/>
          <w:lang w:val="zh-CN"/>
        </w:rPr>
        <w:t xml:space="preserve">完全响应采购人提出的采购标的需满足的商务部分实质性要求（提供承诺函，</w:t>
      </w:r>
      <w:r>
        <w:rPr>
          <w:rFonts w:hint="eastAsia" w:ascii="宋体" w:hAnsi="宋体" w:cs="宋体"/>
          <w:bCs/>
          <w:i/>
          <w:iCs/>
          <w:sz w:val="24"/>
          <w:szCs w:val="24"/>
          <w:highlight w:val="none"/>
          <w:u w:val="single"/>
        </w:rPr>
        <w:t xml:space="preserve">格式自拟</w:t>
      </w:r>
      <w:r>
        <w:rPr>
          <w:rFonts w:hint="eastAsia" w:ascii="宋体" w:hAnsi="宋体" w:cs="宋体"/>
          <w:bCs/>
          <w:i/>
          <w:iCs/>
          <w:sz w:val="24"/>
          <w:szCs w:val="24"/>
          <w:highlight w:val="none"/>
          <w:u w:val="single"/>
          <w:lang w:val="zh-CN"/>
        </w:rPr>
        <w:t xml:space="preserve">）。</w:t>
      </w:r>
      <w:r>
        <w:rPr>
          <w:rFonts w:hint="eastAsia" w:ascii="宋体" w:hAnsi="宋体" w:cs="宋体"/>
          <w:bCs/>
          <w:i/>
          <w:iCs/>
          <w:sz w:val="24"/>
          <w:szCs w:val="24"/>
          <w:highlight w:val="none"/>
          <w:u w:val="single"/>
          <w:lang w:val="zh-CN"/>
        </w:rPr>
      </w:r>
      <w:r/>
    </w:p>
    <w:p>
      <w:pPr>
        <w:pStyle w:val="967"/>
        <w:contextualSpacing/>
        <w:ind w:firstLine="479"/>
        <w:spacing w:line="360" w:lineRule="auto"/>
        <w:tabs>
          <w:tab w:val="left" w:pos="5325" w:leader="none"/>
        </w:tabs>
        <w:rPr>
          <w:rFonts w:hint="eastAsia" w:ascii="宋体" w:hAnsi="宋体" w:cs="宋体"/>
          <w:bCs/>
          <w:i/>
          <w:iCs/>
          <w:sz w:val="24"/>
          <w:szCs w:val="24"/>
          <w:highlight w:val="none"/>
          <w:u w:val="single"/>
          <w:lang w:val="zh-CN"/>
        </w:rPr>
      </w:pPr>
      <w:r>
        <w:rPr>
          <w:rFonts w:hint="eastAsia" w:ascii="宋体" w:hAnsi="宋体" w:cs="宋体"/>
          <w:bCs/>
          <w:i/>
          <w:iCs/>
          <w:sz w:val="24"/>
          <w:szCs w:val="24"/>
          <w:highlight w:val="none"/>
        </w:rPr>
        <w:t xml:space="preserve">(2)</w:t>
      </w:r>
      <w:r>
        <w:rPr>
          <w:rFonts w:hint="eastAsia" w:ascii="宋体" w:hAnsi="宋体" w:cs="宋体"/>
          <w:bCs/>
          <w:i/>
          <w:iCs/>
          <w:sz w:val="24"/>
          <w:szCs w:val="24"/>
          <w:highlight w:val="none"/>
          <w:u w:val="single"/>
          <w:lang w:val="zh-CN"/>
        </w:rPr>
        <w:t xml:space="preserve">报价部分实质性要求，须合理报价不超过投标限价（提供承诺函，格式自拟）。</w:t>
      </w:r>
      <w:r>
        <w:rPr>
          <w:rFonts w:hint="eastAsia" w:ascii="宋体" w:hAnsi="宋体" w:cs="宋体"/>
          <w:bCs/>
          <w:i/>
          <w:iCs/>
          <w:sz w:val="24"/>
          <w:szCs w:val="24"/>
          <w:highlight w:val="none"/>
          <w:u w:val="single"/>
          <w:lang w:val="zh-CN"/>
        </w:rPr>
      </w:r>
      <w:r/>
    </w:p>
    <w:p>
      <w:pPr>
        <w:pStyle w:val="967"/>
        <w:contextualSpacing/>
        <w:jc w:val="center"/>
        <w:spacing w:line="360" w:lineRule="auto"/>
        <w:tabs>
          <w:tab w:val="left" w:pos="5325" w:leader="none"/>
        </w:tabs>
        <w:rPr>
          <w:rFonts w:hint="eastAsia"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rFonts w:hint="eastAsia" w:ascii="黑体" w:eastAsia="黑体"/>
          <w:bCs/>
          <w:sz w:val="4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一、招标人委托招标代理机构组织招标</w:t>
      </w:r>
      <w:r>
        <w:rPr>
          <w:rFonts w:ascii="宋体" w:hAnsi="宋体" w:cs="宋体"/>
          <w:b/>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成立评标委员会小组，评标委员会由招标人代表和评审专家组成，成员人数应当为5人以上单数，其中评审专家不得少于成员总数的三分之二。</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二、开标</w:t>
      </w:r>
      <w:r>
        <w:rPr>
          <w:rFonts w:ascii="宋体" w:hAnsi="宋体" w:cs="宋体"/>
          <w:b/>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不见面远程开标模式：开标当天各投标人在各自地点通过苏采云系统及时登录不见面开标大厅，参加投标活动。</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2、招标代理机构主持开标并记录，及时处理投标人代表提出的询问或者回避申请。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3、投标人不足3家的不得开标。</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三、资格审查</w:t>
      </w:r>
      <w:r>
        <w:rPr>
          <w:rFonts w:ascii="宋体" w:hAnsi="宋体" w:cs="宋体"/>
          <w:b/>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1、开标后，招标人及其委托的采购代理机构依据相关法律政策的规定，根据招标文件载明的资格审查要求，对投标人的资格进行审查。</w:t>
      </w:r>
      <w:r>
        <w:rPr>
          <w:rFonts w:hint="eastAsia"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2、资格审查及符合性审查合格的投标人进入评标。</w:t>
      </w:r>
      <w:r>
        <w:rPr>
          <w:rFonts w:hint="eastAsia"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3、合格投标人不足3家的，不得评标。</w:t>
      </w:r>
      <w:r>
        <w:rPr>
          <w:rFonts w:hint="eastAsia" w:ascii="宋体" w:hAnsi="宋体" w:cs="宋体"/>
          <w:sz w:val="24"/>
          <w:szCs w:val="24"/>
          <w:highlight w:val="none"/>
        </w:rPr>
      </w:r>
      <w:r/>
    </w:p>
    <w:p>
      <w:pPr>
        <w:pStyle w:val="967"/>
        <w:contextualSpacing/>
        <w:ind w:firstLine="480"/>
        <w:spacing w:line="480" w:lineRule="exact"/>
        <w:rPr>
          <w:rFonts w:ascii="宋体" w:hAnsi="宋体" w:cs="宋体"/>
          <w:b/>
          <w:sz w:val="24"/>
          <w:szCs w:val="24"/>
          <w:highlight w:val="none"/>
        </w:rPr>
        <w:outlineLvl w:val="1"/>
      </w:pPr>
      <w:r>
        <w:rPr>
          <w:rFonts w:hint="eastAsia" w:ascii="宋体" w:hAnsi="宋体" w:cs="宋体"/>
          <w:b/>
          <w:sz w:val="24"/>
          <w:szCs w:val="24"/>
          <w:highlight w:val="none"/>
        </w:rPr>
        <w:t xml:space="preserve">四、评标</w:t>
      </w:r>
      <w:r>
        <w:rPr>
          <w:rFonts w:ascii="宋体" w:hAnsi="宋体" w:cs="宋体"/>
          <w:b/>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1、评标时间</w:t>
      </w:r>
      <w:r>
        <w:rPr>
          <w:rFonts w:hint="eastAsia" w:ascii="宋体" w:hAnsi="宋体" w:cs="宋体"/>
          <w:b/>
          <w:sz w:val="24"/>
          <w:szCs w:val="24"/>
          <w:highlight w:val="none"/>
        </w:rPr>
        <w:t xml:space="preserve">：资格审查、符合性审查结束以后。</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2、招标代理机构负责组织评标工作，并履行下列职责：</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（1）核对评审专家身份和招标人代表授权函，对评审专家在招标采购活动中的职责履行情况予以记录，并及时将有关违法违规行为向相关部门报告。</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（2）宣布评标纪律。</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（3）公布投标人名单，告知评审专家应当回避的情形。</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（4）组织评标委员会推选评标组长，招标人代表不得担任组长。</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（6）根据评标委员会的要求介绍采购相关政策法规、招标文件。</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（8）核对评标结果，有下列规定情形的，要求评标委员会复核或者书面说明理由，评标委员会拒绝的，则予以书面记录并向本级相关部门报告：</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① 分值汇总计算错误的；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② 分项评分超出评分标准范围的；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③ 评标委员会成员对客观评审因素评分不一致的；</w:t>
      </w:r>
      <w:r>
        <w:rPr>
          <w:rFonts w:ascii="宋体" w:hAnsi="宋体" w:cs="宋体"/>
          <w:sz w:val="24"/>
          <w:szCs w:val="24"/>
          <w:highlight w:val="none"/>
        </w:rPr>
      </w:r>
      <w:r/>
    </w:p>
    <w:p>
      <w:pPr>
        <w:pStyle w:val="967"/>
        <w:contextualSpacing/>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④ 经评标委员会认定评分畸高、畸低的。</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（10）处理与评标有关的其他事项。</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3、评标委员会负责具体评标事务：</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4、评标委员会成员独立履行以下职责与义务：</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（1）遵纪守法，客观、公正、廉洁地履行职责；</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（2）审查合格投标人的投标文件是否实质性响应招标文件要求，并做出评价；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（3）按照招标文件规定的评标办法和评标标准进行评标，对评审意见承担个人责任；</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（4）可以要求投标人对投标文件有关事项做出解释或澄清；</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（5）对评标过程和结果，以及投标人的商业秘密保密；</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（6）配合相关部门的投诉处理工作；</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（7）配合招标人或招标代理机构答复投标人提出的质疑。</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ascii="宋体" w:hAnsi="宋体" w:cs="宋体"/>
          <w:sz w:val="24"/>
          <w:szCs w:val="24"/>
          <w:highlight w:val="none"/>
        </w:rPr>
      </w:r>
      <w:r/>
    </w:p>
    <w:p>
      <w:pPr>
        <w:pStyle w:val="967"/>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7、评审期间，合格投标人的投标文件仍有可能被评标委员会根据规定判为无效投标。</w:t>
      </w:r>
      <w:r>
        <w:rPr>
          <w:rFonts w:ascii="宋体" w:hAnsi="宋体" w:cs="宋体"/>
          <w:b/>
          <w:sz w:val="24"/>
          <w:szCs w:val="24"/>
          <w:highlight w:val="none"/>
        </w:rPr>
      </w:r>
      <w:r/>
    </w:p>
    <w:p>
      <w:pPr>
        <w:pStyle w:val="967"/>
        <w:ind w:firstLine="482"/>
        <w:spacing w:line="480" w:lineRule="exact"/>
        <w:rPr>
          <w:rFonts w:ascii="宋体" w:hAnsi="宋体" w:cs="宋体"/>
          <w:b/>
          <w:sz w:val="24"/>
          <w:szCs w:val="24"/>
          <w:highlight w:val="none"/>
        </w:rPr>
      </w:pPr>
      <w:r>
        <w:rPr>
          <w:rFonts w:hint="eastAsia" w:ascii="宋体" w:hAnsi="宋体" w:cs="宋体"/>
          <w:sz w:val="24"/>
          <w:szCs w:val="24"/>
          <w:highlight w:val="none"/>
        </w:rPr>
        <w:t xml:space="preserve">8、在投标文件的评审、澄清、评价和比较以及授予合同的过程中，投标人对招标人和评标委员会成员有施加影响的任何行为，都将取消其可能的中标资格。</w:t>
      </w:r>
      <w:r>
        <w:rPr>
          <w:rFonts w:ascii="宋体" w:hAnsi="宋体" w:cs="宋体"/>
          <w:b/>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五、评审原则</w:t>
      </w:r>
      <w:r>
        <w:rPr>
          <w:rFonts w:ascii="宋体" w:hAnsi="宋体" w:cs="宋体"/>
          <w:b/>
          <w:bCs/>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1、本项目采用</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综合评分法</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，即指投标文件满足本项目招标文件全部实质性要求，且按照评审因素的量化指标，经评审后得分最高的投标人推荐为中标人的评标方法。</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ascii="宋体" w:hAnsi="宋体" w:cs="宋体"/>
          <w:sz w:val="24"/>
          <w:szCs w:val="24"/>
          <w:highlight w:val="none"/>
        </w:rPr>
      </w:r>
      <w:r/>
    </w:p>
    <w:p>
      <w:pPr>
        <w:pStyle w:val="967"/>
        <w:ind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4、对投标文件的评审判定，只依据投标文件内容本身，不依靠开标后任何外来证明文件。</w:t>
      </w:r>
      <w:r>
        <w:rPr>
          <w:rFonts w:hint="eastAsia" w:ascii="宋体" w:hAnsi="宋体" w:cs="宋体"/>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六、评审方法</w:t>
      </w:r>
      <w:r>
        <w:rPr>
          <w:rFonts w:ascii="宋体" w:hAnsi="宋体" w:cs="宋体"/>
          <w:b/>
          <w:bCs/>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1、评标程序：</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资格符合性评审——商务技术标评审——价格标评审——确定中标候选人。</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本次资格审查采用资格后审，各投标人资格审查通过后方能进入商务技术标的开标。先开商务技术标，商务技术标打分结束后再开价格标。</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2、评标委员会将仅对按本招标文件载明的方法与规定，为实质上响应招标文件要求的投标文件评审并进行评价和比较。</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3、本次项目的商务技术标和价格标评审总分值为100分。两部分评审因素比重如下：</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商务技术标分值占总分值的比重为</w:t>
      </w:r>
      <w:r>
        <w:rPr>
          <w:rFonts w:hint="eastAsia" w:ascii="宋体" w:hAnsi="宋体" w:cs="宋体"/>
          <w:b/>
          <w:sz w:val="24"/>
          <w:szCs w:val="24"/>
          <w:highlight w:val="none"/>
          <w:u w:val="single"/>
        </w:rPr>
        <w:t xml:space="preserve">30%</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价格标分值占总分值的比重为</w:t>
      </w:r>
      <w:r>
        <w:rPr>
          <w:rFonts w:hint="eastAsia" w:ascii="宋体" w:hAnsi="宋体" w:cs="宋体"/>
          <w:b/>
          <w:sz w:val="24"/>
          <w:szCs w:val="24"/>
          <w:highlight w:val="none"/>
          <w:u w:val="single"/>
        </w:rPr>
        <w:t xml:space="preserve">70%</w:t>
      </w:r>
      <w:r>
        <w:rPr>
          <w:rFonts w:hint="eastAsia" w:ascii="宋体" w:hAnsi="宋体" w:cs="宋体"/>
          <w:b/>
          <w:sz w:val="24"/>
          <w:szCs w:val="24"/>
          <w:highlight w:val="none"/>
        </w:rPr>
        <w:t xml:space="preserve">（权重）</w:t>
      </w:r>
      <w:r>
        <w:rPr>
          <w:rFonts w:hint="eastAsia" w:ascii="宋体" w:hAnsi="宋体" w:cs="宋体"/>
          <w:sz w:val="24"/>
          <w:szCs w:val="24"/>
          <w:highlight w:val="none"/>
        </w:rPr>
        <w:t xml:space="preserve">（计算结果均四舍五入保留两位小数）； </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4、评标委员会严格按照招标文件的要求、条件、评分标准，对投标人所提供服务的先进性、可靠性、售后服务承诺、质量保证承诺等实质性响应内容进行比较。</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6、商务技术分按评委的算术平均值计算（计算结果均四舍五入保留两位小数）。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7、开启投标人的价格报价标，现场唱标后由投标人代表在苏采云系统确认。</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8、投标人的价格标评审得分直接计算取得，并与其商务技术标得分相加为该投标人的综合得分（计算结果均四舍五入保留两位小数）。</w:t>
      </w:r>
      <w:r>
        <w:rPr>
          <w:rFonts w:ascii="宋体" w:hAnsi="宋体" w:cs="宋体"/>
          <w:sz w:val="24"/>
          <w:szCs w:val="24"/>
          <w:highlight w:val="none"/>
        </w:rPr>
      </w:r>
      <w:r/>
    </w:p>
    <w:p>
      <w:pPr>
        <w:pStyle w:val="967"/>
        <w:ind w:firstLine="482"/>
        <w:spacing w:line="480" w:lineRule="exact"/>
        <w:rPr>
          <w:rFonts w:ascii="宋体" w:hAnsi="宋体" w:cs="宋体"/>
          <w:sz w:val="24"/>
          <w:szCs w:val="24"/>
          <w:highlight w:val="none"/>
        </w:rPr>
      </w:pPr>
      <w:r>
        <w:rPr>
          <w:rFonts w:hint="eastAsia" w:ascii="宋体" w:hAnsi="宋体" w:cs="宋体"/>
          <w:sz w:val="24"/>
          <w:szCs w:val="24"/>
          <w:highlight w:val="none"/>
        </w:rPr>
        <w:t xml:space="preserve">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szCs w:val="24"/>
          <w:highlight w:val="none"/>
        </w:rPr>
      </w:r>
      <w:r/>
    </w:p>
    <w:p>
      <w:pPr>
        <w:pStyle w:val="967"/>
        <w:ind w:firstLine="480"/>
        <w:spacing w:line="480" w:lineRule="exact"/>
        <w:rPr>
          <w:rFonts w:ascii="宋体" w:hAnsi="宋体" w:cs="宋体"/>
          <w:b/>
          <w:bCs/>
          <w:sz w:val="24"/>
          <w:szCs w:val="24"/>
          <w:highlight w:val="none"/>
        </w:rPr>
      </w:pPr>
      <w:r>
        <w:rPr>
          <w:rFonts w:hint="eastAsia" w:ascii="宋体" w:hAnsi="宋体" w:cs="宋体"/>
          <w:b/>
          <w:bCs/>
          <w:sz w:val="24"/>
          <w:szCs w:val="24"/>
          <w:highlight w:val="none"/>
        </w:rPr>
        <w:t xml:space="preserve">七、关于投标价格评审</w:t>
      </w:r>
      <w:r>
        <w:rPr>
          <w:rFonts w:ascii="宋体" w:hAnsi="宋体" w:cs="宋体"/>
          <w:b/>
          <w:bCs/>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1、针对投标价格实质响应的评审</w:t>
      </w:r>
      <w:r>
        <w:rPr>
          <w:rFonts w:ascii="宋体" w:hAnsi="宋体" w:cs="宋体"/>
          <w:b/>
          <w:sz w:val="24"/>
          <w:szCs w:val="24"/>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ascii="宋体" w:hAnsi="宋体" w:cs="宋体"/>
          <w:sz w:val="24"/>
          <w:szCs w:val="24"/>
          <w:highlight w:val="none"/>
        </w:rPr>
      </w:r>
      <w:r/>
    </w:p>
    <w:p>
      <w:pPr>
        <w:pStyle w:val="967"/>
        <w:ind w:firstLine="480"/>
        <w:spacing w:line="480" w:lineRule="exact"/>
        <w:rPr>
          <w:rFonts w:ascii="宋体" w:hAnsi="宋体" w:cs="宋体"/>
          <w:b/>
          <w:sz w:val="24"/>
          <w:szCs w:val="24"/>
          <w:highlight w:val="none"/>
        </w:rPr>
      </w:pPr>
      <w:r>
        <w:rPr>
          <w:rFonts w:hint="eastAsia" w:ascii="宋体" w:hAnsi="宋体" w:cs="宋体"/>
          <w:b/>
          <w:sz w:val="24"/>
          <w:szCs w:val="24"/>
          <w:highlight w:val="none"/>
        </w:rPr>
        <w:t xml:space="preserve">2、针对投标价格合理性的评审</w:t>
      </w:r>
      <w:r>
        <w:rPr>
          <w:rFonts w:ascii="宋体" w:hAnsi="宋体" w:cs="宋体"/>
          <w:b/>
          <w:sz w:val="24"/>
          <w:szCs w:val="24"/>
          <w:highlight w:val="none"/>
        </w:rPr>
      </w:r>
      <w:r/>
    </w:p>
    <w:p>
      <w:pPr>
        <w:pStyle w:val="967"/>
        <w:ind w:firstLine="542"/>
        <w:spacing w:line="460" w:lineRule="exact"/>
        <w:rPr>
          <w:rFonts w:hint="eastAsia" w:ascii="宋体" w:hAnsi="宋体"/>
          <w:b/>
          <w:bCs/>
          <w:sz w:val="24"/>
          <w:highlight w:val="none"/>
        </w:rPr>
      </w:pPr>
      <w:r>
        <w:rPr>
          <w:rFonts w:hint="eastAsia" w:ascii="宋体" w:hAnsi="宋体"/>
          <w:b/>
          <w:bCs/>
          <w:sz w:val="24"/>
          <w:highlight w:val="none"/>
        </w:rPr>
        <w:t xml:space="preserve">评审委员会启动异常低价投标（响应）审查的情形和具体要求：</w:t>
      </w:r>
      <w:r>
        <w:rPr>
          <w:rFonts w:hint="eastAsia" w:ascii="宋体" w:hAnsi="宋体"/>
          <w:b/>
          <w:bCs/>
          <w:sz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（一）采购人应当在采购文件中明确，政府采购评审中出现下列情形之一的，评审委员会应当启动异常低价投标（响应）审查程序：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1.投标（响应）报价低于全部通过符合性审查投标人投标（响应）报价平均值50%的，即投标（响应）报价&lt;全部通过符合性审查投标人投标（响应）报价平均值×50%；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2.投标（响应）报价低于通过符合性审查的次低报价投标人投标（响应）报价50%的，即投标（响应）报价&lt;通过符合性审查的次低报价投标人投标（响应）报价×50%；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3.投标（响应）报价低于采购项目最高限价45%的，即投标（响应）报价&lt;采购项目最高限价×45%；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4.评审委员会基于专业判断，认为投标人报价过低，有可能影响产品质量或者不能诚信履约的其他情形。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采购人可以结合具体项目实际情况，提高上述第1项至第3项中启动异常低价投标（响应）审查的数值标准，但是最高不得超过65%。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相关法律法规对投标人报价有规定的，从其规定。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评审委员会启动异常低价投标（响应）审查后，属于前</w:t>
      </w:r>
      <w:r>
        <w:rPr>
          <w:rFonts w:hint="eastAsia" w:ascii="宋体" w:hAnsi="宋体" w:cs="宋体"/>
          <w:sz w:val="24"/>
          <w:szCs w:val="24"/>
          <w:highlight w:val="none"/>
        </w:rPr>
        <w:t xml:space="preserve">述第1项至第4项情形的，应当要求相关投标人在评审现场合理的时间内对投标（响应）价格作出解释，政府采购管理交易系统（苏采云）提供项目具体成本测算等与报价合理性相关的书面说明及必要的证明材料，包括但不限于原材料成本、人工成本、制造费用等，给予相关投标人的合理时间一般不少于30分钟（自澄清发布后35分钟，投标人应关注苏采云系统，及时在规定时间内作出回复。回复超出时间视为未提供有效书面说明、证明材料）。其中，属于第3项情形，投标人已随投标（响应）文件一并提交相关书面说明及必要的证明材料的，在评审现场可不再重复提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rPr>
          <w:rFonts w:hint="eastAsia" w:ascii="宋体" w:hAnsi="宋体" w:cs="宋体"/>
          <w:sz w:val="24"/>
          <w:szCs w:val="24"/>
          <w:highlight w:val="none"/>
        </w:rPr>
      </w:r>
      <w:r/>
    </w:p>
    <w:p>
      <w:pPr>
        <w:pStyle w:val="967"/>
        <w:numPr>
          <w:ilvl w:val="0"/>
          <w:numId w:val="10"/>
        </w:numPr>
        <w:ind w:firstLine="480"/>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评审评分项</w:t>
      </w:r>
      <w:r>
        <w:rPr>
          <w:rFonts w:hint="eastAsia" w:ascii="宋体" w:hAnsi="宋体" w:cs="宋体"/>
          <w:b/>
          <w:bCs/>
          <w:sz w:val="24"/>
          <w:szCs w:val="24"/>
          <w:highlight w:val="none"/>
        </w:rPr>
      </w:r>
      <w:r/>
    </w:p>
    <w:p>
      <w:pPr>
        <w:pStyle w:val="967"/>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（一）商务技术分（30分） </w:t>
      </w:r>
      <w:r>
        <w:rPr>
          <w:rFonts w:hint="eastAsia" w:ascii="宋体" w:hAnsi="宋体" w:cs="宋体"/>
          <w:b/>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各投标人得分为评委会成员评分的算术平均分，分值保留小数点后两位。</w:t>
      </w:r>
      <w:r>
        <w:rPr>
          <w:rFonts w:hint="eastAsia" w:ascii="宋体" w:hAnsi="宋体" w:cs="宋体"/>
          <w:sz w:val="24"/>
          <w:szCs w:val="24"/>
          <w:highlight w:val="none"/>
        </w:rPr>
      </w:r>
      <w:r/>
    </w:p>
    <w:tbl>
      <w:tblPr>
        <w:tblW w:w="8760" w:type="dxa"/>
        <w:tblInd w:w="-15" w:type="dxa"/>
        <w:tblLayout w:type="autofit"/>
        <w:tblCellMar>
          <w:left w:w="108" w:type="dxa"/>
          <w:top w:w="0" w:type="dxa"/>
          <w:right w:w="108" w:type="dxa"/>
          <w:bottom w:w="0" w:type="dxa"/>
        </w:tblCellMar>
        <w:tblLook w:val="04A0" w:firstRow="1" w:lastRow="0" w:firstColumn="1" w:lastColumn="0" w:noHBand="0" w:noVBand="1"/>
      </w:tblPr>
      <w:tblGrid>
        <w:gridCol w:w="560"/>
        <w:gridCol w:w="1520"/>
        <w:gridCol w:w="540"/>
        <w:gridCol w:w="6140"/>
      </w:tblGrid>
      <w:tr>
        <w:trPr>
          <w:trHeight w:val="405"/>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序号 </w:t>
            </w:r>
            <w:r>
              <w:rPr>
                <w:rFonts w:ascii="宋体" w:hAnsi="宋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评分点名称 </w:t>
            </w:r>
            <w:r>
              <w:rPr>
                <w:rFonts w:ascii="宋体" w:hAnsi="宋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分值</w:t>
            </w:r>
            <w:r>
              <w:rPr>
                <w:rFonts w:ascii="宋体" w:hAnsi="宋体" w:cs="宋体"/>
                <w:sz w:val="20"/>
                <w:szCs w:val="20"/>
                <w:highlight w:val="none"/>
              </w:rPr>
            </w:r>
            <w:r/>
          </w:p>
        </w:tc>
        <w:tc>
          <w:tcPr>
            <w:tcBorders>
              <w:top w:val="singl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评审标准</w:t>
            </w:r>
            <w:r>
              <w:rPr>
                <w:rFonts w:ascii="宋体" w:hAnsi="宋体" w:cs="宋体"/>
                <w:sz w:val="20"/>
                <w:szCs w:val="20"/>
                <w:highlight w:val="none"/>
              </w:rPr>
            </w:r>
            <w:r/>
          </w:p>
        </w:tc>
      </w:tr>
      <w:tr>
        <w:trPr>
          <w:trHeight w:val="4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1</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技术部分</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11</w:t>
            </w:r>
            <w:r>
              <w:rPr>
                <w:rFonts w:hint="eastAsia"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技术部分</w:t>
            </w:r>
            <w:r>
              <w:rPr>
                <w:rFonts w:ascii="宋体" w:hAnsi="宋体" w:cs="宋体"/>
                <w:b/>
                <w:bCs/>
                <w:color w:val="000000"/>
                <w:sz w:val="20"/>
                <w:szCs w:val="20"/>
                <w:highlight w:val="none"/>
              </w:rPr>
            </w:r>
            <w:r/>
          </w:p>
        </w:tc>
      </w:tr>
      <w:tr>
        <w:trPr>
          <w:trHeight w:val="124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主要部件品质差异</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有证明材料能证明所投全部LED路灯产品的系统光效达到140 lm/w（不含）— 150 lm/w（含）得0.5分， 150 lm/w（不含）及以上得1分。系统光效小于等于140 lm/w的视为不响应招标文件要求，属于无效投标</w:t>
            </w:r>
            <w:r>
              <w:rPr>
                <w:rFonts w:hint="eastAsia" w:ascii="宋体" w:hAnsi="宋体" w:cs="宋体"/>
                <w:color w:val="000000"/>
                <w:sz w:val="20"/>
                <w:szCs w:val="20"/>
                <w:highlight w:val="none"/>
              </w:rPr>
              <w:br w:type="textWrapping" w:clear="all"/>
            </w:r>
            <w:r>
              <w:rPr>
                <w:rFonts w:hint="eastAsia" w:ascii="宋体" w:hAnsi="宋体" w:cs="宋体"/>
                <w:b/>
                <w:bCs/>
                <w:color w:val="000000"/>
                <w:sz w:val="20"/>
                <w:szCs w:val="20"/>
                <w:highlight w:val="none"/>
              </w:rPr>
              <w:t xml:space="preserve">注：若中标人此处得分，全部规格的产品须按证明材料中证明所达到的系统光效供货。</w:t>
            </w:r>
            <w:r>
              <w:rPr>
                <w:rFonts w:ascii="宋体" w:hAnsi="宋体" w:cs="宋体"/>
                <w:color w:val="000000"/>
                <w:sz w:val="20"/>
                <w:szCs w:val="20"/>
                <w:highlight w:val="none"/>
              </w:rPr>
            </w:r>
            <w:r/>
          </w:p>
        </w:tc>
      </w:tr>
      <w:tr>
        <w:trPr>
          <w:trHeight w:val="129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产品的性能质量</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有证明材料能证明可按生产批次提供光源（灯具）配光曲线电子格式文件的0.5分，无证明0分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注：若中标人此处得分，全部规格的产品供货时须同时提供光源（灯具）配光曲线电子格式文件。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标明每种规格灯杆理论重量得0.5分，未标明0分</w:t>
            </w:r>
            <w:r>
              <w:rPr>
                <w:rFonts w:ascii="宋体" w:hAnsi="宋体" w:cs="宋体"/>
                <w:color w:val="000000"/>
                <w:sz w:val="20"/>
                <w:szCs w:val="20"/>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1.3</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技术优化</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有完整细致的灯杆、灯具工艺加工图0.5分；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有证明材料能够证明灯杆、灯具整体打包运输能保持灯的外观完好，便于安全卸车的0.5分，无证明0分</w:t>
            </w:r>
            <w:r>
              <w:rPr>
                <w:rFonts w:ascii="宋体" w:hAnsi="宋体" w:cs="宋体"/>
                <w:color w:val="000000"/>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1.4</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生产装备及检测设备</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有证明材料证明能够生产、检测该批型号LED灯具的设备的0.5分，无证明0分。（设备清单、照片）</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有证明材料证明能够生产、检测该批型号灯杆的设备的0.5分，无证明0分。</w:t>
            </w:r>
            <w:r>
              <w:rPr>
                <w:rFonts w:hint="eastAsia" w:ascii="宋体" w:hAnsi="宋体" w:cs="宋体"/>
                <w:sz w:val="20"/>
                <w:szCs w:val="20"/>
                <w:highlight w:val="none"/>
              </w:rPr>
              <w:t xml:space="preserve">（设备清单、照片）</w:t>
            </w:r>
            <w:r>
              <w:rPr>
                <w:rFonts w:ascii="宋体" w:hAnsi="宋体" w:cs="宋体"/>
                <w:color w:val="000000"/>
                <w:sz w:val="20"/>
                <w:szCs w:val="20"/>
                <w:highlight w:val="none"/>
              </w:rPr>
            </w:r>
            <w:r/>
          </w:p>
        </w:tc>
      </w:tr>
      <w:tr>
        <w:trPr>
          <w:trHeight w:val="983"/>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技术方面的检测报告</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7</w:t>
            </w:r>
            <w:r>
              <w:rPr>
                <w:rFonts w:hint="eastAsia"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1、提供由国家级检测机构出具的LED灯具IK10防冲击测试报告的得1分，否则不得分。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2、LED灯具通过48小时（含）以上盐雾测试试验的得1分，通过96小时（含）以上盐雾测试试验的得2分，通过144小时（含）以上盐雾测试试验的得3分，否则不得分，检测报告由国家级检测机构出具。</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3、提供由国家级检测机构出具的LED路灯灯具的蓝光危害测试报告， RG1及以上得1分，RG2得0.5分。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4、投标人须提供所投标路灯灯具品牌的CQC产品认证证书得0.5分。（提供复印件）。</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5、提供LED电源的CCC认证证</w:t>
            </w:r>
            <w:r>
              <w:rPr>
                <w:rFonts w:hint="eastAsia" w:ascii="宋体" w:hAnsi="宋体" w:cs="宋体"/>
                <w:sz w:val="20"/>
                <w:szCs w:val="20"/>
                <w:highlight w:val="none"/>
              </w:rPr>
              <w:t xml:space="preserve">书得0.5分</w:t>
            </w:r>
            <w:r>
              <w:rPr>
                <w:rFonts w:hint="eastAsia" w:ascii="宋体" w:hAnsi="宋体" w:cs="宋体"/>
                <w:color w:val="000000"/>
                <w:sz w:val="20"/>
                <w:szCs w:val="20"/>
                <w:highlight w:val="none"/>
              </w:rPr>
              <w:t xml:space="preserve">；提供LED电源安全性能符合国标GB19510.1和GB19510.14的检测报告得0.5分；提供LED电源电磁兼容性能符合国标GB/T 17743和GB 17625.1的检测报告得0.5分。</w:t>
            </w:r>
            <w:r>
              <w:rPr>
                <w:rFonts w:ascii="宋体" w:hAnsi="宋体" w:cs="宋体"/>
                <w:color w:val="000000"/>
                <w:sz w:val="20"/>
                <w:szCs w:val="20"/>
                <w:highlight w:val="none"/>
              </w:rPr>
            </w:r>
            <w:r/>
          </w:p>
        </w:tc>
      </w:tr>
      <w:tr>
        <w:trPr>
          <w:trHeight w:val="49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2</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样品</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11</w:t>
            </w:r>
            <w:r>
              <w:rPr>
                <w:rFonts w:hint="eastAsia"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lang w:eastAsia="zh-CN"/>
              </w:rPr>
              <w:t xml:space="preserve">未按照招标文件要求提供样品的</w:t>
            </w:r>
            <w:r>
              <w:rPr>
                <w:rFonts w:hint="eastAsia" w:ascii="宋体" w:hAnsi="宋体" w:cs="宋体"/>
                <w:b/>
                <w:bCs/>
                <w:color w:val="000000"/>
                <w:sz w:val="20"/>
                <w:szCs w:val="20"/>
                <w:highlight w:val="none"/>
              </w:rPr>
              <w:t xml:space="preserve">视作无效投标</w:t>
            </w:r>
            <w:r>
              <w:rPr>
                <w:rFonts w:ascii="宋体" w:hAnsi="宋体" w:cs="宋体"/>
                <w:b/>
                <w:bCs/>
                <w:color w:val="000000"/>
                <w:sz w:val="20"/>
                <w:szCs w:val="20"/>
                <w:highlight w:val="none"/>
              </w:rPr>
            </w:r>
            <w:r/>
          </w:p>
        </w:tc>
      </w:tr>
      <w:tr>
        <w:trPr>
          <w:trHeight w:val="240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灯具样品</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1、外观成形工艺质量，最好的得1分，较好的0.5分，一般不得分。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2、材质选用（整体压铸铝结构）、厚度符合性，散热形式（措施）合理得1分，较好0.5分，一般不得分。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3、装配质量，紧固件为不锈钢材料（304）；内部导线用耐高温导线，最高为1分，符合以上要求的得0.5分，不符合的不得分。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4、LED灯具内部组合合理，更换方便（无须整体更换）的得1分，较合理方便的0.5分，一般不得分。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5、LED组合（模组）密封处理、防水、防尘性能佳，符合招标文件要求的得1分，较好0.5分，一般不得分。</w:t>
            </w:r>
            <w:r>
              <w:rPr>
                <w:rFonts w:hint="eastAsia" w:ascii="宋体" w:hAnsi="宋体" w:cs="宋体"/>
                <w:color w:val="000000"/>
                <w:sz w:val="20"/>
                <w:szCs w:val="20"/>
                <w:highlight w:val="none"/>
              </w:rPr>
            </w:r>
            <w:r/>
          </w:p>
        </w:tc>
      </w:tr>
      <w:tr>
        <w:trPr>
          <w:trHeight w:val="256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灯杆样品</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1、外观成形工艺质量（垂直度、圆整度、表面粗糙度）、厚度，最高为1.5分：符合招标要求的得1.5分，较好1分，一般得0.5分； </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2、焊接质量，最高为1.5分：焊接表面没有气孔得0.5分，焊接表面没有夹渣得0.5分，焊接表面没有飞溅得0.5分；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3、镀锌质量，最高为1.5分：镀锌表面没有黑斑得0.5分， 镀锌表面没有气泡、没有微小的粗糙得0.5分，镀锌表面没有明显的锌瘤得0.5分；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4、静电喷塑质量，最高为1.5分：喷塑涂层没有缩孔、针孔得0.5分，喷塑涂层没有杂质点得0.5分，喷塑涂层没有轻微桔皮、凹坑得0.5分。</w:t>
            </w:r>
            <w:r>
              <w:rPr>
                <w:rFonts w:ascii="宋体" w:hAnsi="宋体" w:cs="宋体"/>
                <w:color w:val="000000"/>
                <w:sz w:val="20"/>
                <w:szCs w:val="20"/>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3</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售后服务</w:t>
            </w:r>
            <w:r>
              <w:rPr>
                <w:rFonts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3</w:t>
            </w:r>
            <w:r>
              <w:rPr>
                <w:rFonts w:hint="eastAsia" w:ascii="宋体" w:hAnsi="宋体" w:cs="宋体"/>
                <w:b/>
                <w:bCs/>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售后服务</w:t>
            </w:r>
            <w:r>
              <w:rPr>
                <w:rFonts w:ascii="宋体" w:hAnsi="宋体" w:cs="宋体"/>
                <w:b/>
                <w:bCs/>
                <w:color w:val="000000"/>
                <w:sz w:val="20"/>
                <w:szCs w:val="20"/>
                <w:highlight w:val="none"/>
              </w:rPr>
            </w:r>
            <w:r/>
          </w:p>
        </w:tc>
      </w:tr>
      <w:tr>
        <w:trPr>
          <w:trHeight w:val="78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3.1</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售后服务承诺和优惠条件</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对项目需求中商务条件相关条款完全响应得0.5分,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对项目另增加优惠条件，评委确认中标后可实现的每提供更优条件加0.5分。</w:t>
            </w:r>
            <w:r>
              <w:rPr>
                <w:rFonts w:ascii="宋体" w:hAnsi="宋体" w:cs="宋体"/>
                <w:color w:val="000000"/>
                <w:sz w:val="20"/>
                <w:szCs w:val="20"/>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3.2</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质保期内容和方式</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对项目需求中商务条件相关条款完全响应得0.5分，</w:t>
            </w:r>
            <w:r>
              <w:rPr>
                <w:rFonts w:hint="eastAsia" w:ascii="宋体" w:hAnsi="宋体" w:cs="宋体"/>
                <w:color w:val="000000"/>
                <w:sz w:val="20"/>
                <w:szCs w:val="20"/>
                <w:highlight w:val="none"/>
              </w:rPr>
              <w:br w:type="textWrapping" w:clear="all"/>
            </w:r>
            <w:r>
              <w:rPr>
                <w:rFonts w:hint="eastAsia" w:ascii="宋体" w:hAnsi="宋体" w:cs="宋体"/>
                <w:color w:val="000000"/>
                <w:sz w:val="20"/>
                <w:szCs w:val="20"/>
                <w:highlight w:val="none"/>
              </w:rPr>
              <w:t xml:space="preserve">对项目另增加优惠条件，经评委确认中标后可实现的每提供更优条件加0.5分。</w:t>
            </w:r>
            <w:r>
              <w:rPr>
                <w:rFonts w:ascii="宋体" w:hAnsi="宋体" w:cs="宋体"/>
                <w:color w:val="000000"/>
                <w:sz w:val="20"/>
                <w:szCs w:val="20"/>
                <w:highlight w:val="none"/>
              </w:rPr>
            </w:r>
            <w:r/>
          </w:p>
        </w:tc>
      </w:tr>
      <w:tr>
        <w:trPr>
          <w:trHeight w:val="52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项目持续服务及保障措施</w:t>
            </w:r>
            <w:r>
              <w:rPr>
                <w:rFonts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投标人承诺提供项目持续服务，并有具体保障措施及优惠条件。根据服务方案及措施，优得1分，良得0.5分，一般不得分。</w:t>
            </w:r>
            <w:r>
              <w:rPr>
                <w:rFonts w:ascii="宋体" w:hAnsi="宋体" w:cs="宋体"/>
                <w:color w:val="000000"/>
                <w:sz w:val="20"/>
                <w:szCs w:val="20"/>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4</w:t>
            </w:r>
            <w:r>
              <w:rPr>
                <w:rFonts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业绩</w:t>
            </w:r>
            <w:r>
              <w:rPr>
                <w:rFonts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rFonts w:hint="eastAsia"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sz w:val="20"/>
                <w:szCs w:val="20"/>
                <w:highlight w:val="none"/>
              </w:rPr>
            </w:pPr>
            <w:r>
              <w:rPr>
                <w:rFonts w:hint="eastAsia" w:ascii="宋体" w:hAnsi="宋体" w:cs="宋体"/>
                <w:sz w:val="20"/>
                <w:szCs w:val="20"/>
                <w:highlight w:val="none"/>
              </w:rPr>
              <w:t xml:space="preserve">投标人提供2023年以来路灯灯杆和LED路灯灯具的材料采购项目业绩，每提供一个业绩得0.5分，最高得3分。</w:t>
            </w:r>
            <w:r>
              <w:rPr>
                <w:rFonts w:ascii="宋体" w:hAnsi="宋体" w:cs="宋体"/>
                <w:sz w:val="20"/>
                <w:szCs w:val="20"/>
                <w:highlight w:val="none"/>
              </w:rPr>
            </w:r>
            <w:r/>
          </w:p>
          <w:p>
            <w:pPr>
              <w:pStyle w:val="967"/>
              <w:jc w:val="left"/>
              <w:widowControl/>
              <w:rPr>
                <w:rFonts w:ascii="宋体" w:hAnsi="宋体" w:cs="宋体"/>
                <w:sz w:val="20"/>
                <w:szCs w:val="20"/>
                <w:highlight w:val="none"/>
              </w:rPr>
            </w:pPr>
            <w:r>
              <w:rPr>
                <w:rFonts w:hint="eastAsia" w:ascii="宋体" w:hAnsi="宋体" w:cs="宋体"/>
                <w:sz w:val="20"/>
                <w:szCs w:val="20"/>
                <w:highlight w:val="none"/>
              </w:rPr>
              <w:t xml:space="preserve">提供中标通知书及合同扫描件</w:t>
            </w:r>
            <w:r>
              <w:rPr>
                <w:rFonts w:ascii="宋体" w:hAnsi="宋体" w:cs="宋体"/>
                <w:sz w:val="20"/>
                <w:szCs w:val="20"/>
                <w:highlight w:val="none"/>
              </w:rPr>
            </w:r>
            <w:r/>
          </w:p>
        </w:tc>
      </w:tr>
      <w:tr>
        <w:trPr>
          <w:trHeight w:val="405"/>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5</w:t>
            </w:r>
            <w:r>
              <w:rPr>
                <w:rFonts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节能环保</w:t>
            </w:r>
            <w:r>
              <w:rPr>
                <w:rFonts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rFonts w:hint="eastAsia" w:ascii="宋体" w:hAnsi="宋体" w:cs="宋体"/>
                <w:b/>
                <w:bCs/>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节能环保　</w:t>
            </w:r>
            <w:r>
              <w:rPr>
                <w:rFonts w:ascii="宋体" w:hAnsi="宋体" w:cs="宋体"/>
                <w:b/>
                <w:bCs/>
                <w:sz w:val="20"/>
                <w:szCs w:val="20"/>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5.1</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属于节能产品品目清单</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1</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sz w:val="20"/>
                <w:szCs w:val="20"/>
                <w:highlight w:val="none"/>
              </w:rPr>
            </w:pPr>
            <w:r>
              <w:rPr>
                <w:rFonts w:hint="eastAsia" w:ascii="宋体" w:hAnsi="宋体" w:cs="宋体"/>
                <w:sz w:val="20"/>
                <w:szCs w:val="20"/>
                <w:highlight w:val="none"/>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sz w:val="20"/>
                <w:szCs w:val="20"/>
                <w:highlight w:val="none"/>
              </w:rPr>
            </w:r>
            <w:r/>
          </w:p>
        </w:tc>
      </w:tr>
      <w:tr>
        <w:trPr>
          <w:trHeight w:val="720"/>
        </w:trPr>
        <w:tc>
          <w:tcPr>
            <w:tcBorders>
              <w:top w:val="none" w:color="000000" w:sz="4" w:space="0"/>
              <w:left w:val="single" w:color="000000" w:sz="4" w:space="0"/>
              <w:bottom w:val="single" w:color="000000" w:sz="4" w:space="0"/>
              <w:right w:val="single" w:color="000000" w:sz="4" w:space="0"/>
            </w:tcBorders>
            <w:tcW w:w="56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5.2</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属于环境标志产品品目清单</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val="false"/>
          </w:tcPr>
          <w:p>
            <w:pPr>
              <w:pStyle w:val="967"/>
              <w:jc w:val="center"/>
              <w:widowControl/>
              <w:rPr>
                <w:rFonts w:ascii="宋体" w:hAnsi="宋体" w:cs="宋体"/>
                <w:sz w:val="20"/>
                <w:szCs w:val="20"/>
                <w:highlight w:val="none"/>
              </w:rPr>
            </w:pPr>
            <w:r>
              <w:rPr>
                <w:rFonts w:hint="eastAsia" w:ascii="宋体" w:hAnsi="宋体" w:cs="宋体"/>
                <w:sz w:val="20"/>
                <w:szCs w:val="20"/>
                <w:highlight w:val="none"/>
              </w:rPr>
              <w:t xml:space="preserve">1</w:t>
            </w:r>
            <w:r>
              <w:rPr>
                <w:rFonts w:ascii="宋体" w:hAnsi="宋体" w:cs="宋体"/>
                <w:sz w:val="20"/>
                <w:szCs w:val="20"/>
                <w:highlight w:val="none"/>
              </w:rPr>
            </w:r>
            <w:r/>
          </w:p>
        </w:tc>
        <w:tc>
          <w:tcPr>
            <w:tcBorders>
              <w:top w:val="none" w:color="000000" w:sz="4" w:space="0"/>
              <w:left w:val="none" w:color="000000" w:sz="4" w:space="0"/>
              <w:bottom w:val="single" w:color="000000" w:sz="4" w:space="0"/>
              <w:right w:val="single" w:color="000000" w:sz="4" w:space="0"/>
            </w:tcBorders>
            <w:tcW w:w="6140" w:type="dxa"/>
            <w:vAlign w:val="center"/>
            <w:textDirection w:val="lrTb"/>
            <w:noWrap w:val="false"/>
          </w:tcPr>
          <w:p>
            <w:pPr>
              <w:pStyle w:val="967"/>
              <w:jc w:val="left"/>
              <w:widowControl/>
              <w:rPr>
                <w:rFonts w:ascii="宋体" w:hAnsi="宋体" w:cs="宋体"/>
                <w:sz w:val="20"/>
                <w:szCs w:val="20"/>
                <w:highlight w:val="none"/>
              </w:rPr>
            </w:pPr>
            <w:r>
              <w:rPr>
                <w:rFonts w:hint="eastAsia" w:ascii="宋体" w:hAnsi="宋体" w:cs="宋体"/>
                <w:sz w:val="20"/>
                <w:szCs w:val="20"/>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cs="宋体"/>
                <w:sz w:val="20"/>
                <w:szCs w:val="20"/>
                <w:highlight w:val="none"/>
              </w:rPr>
            </w:r>
            <w:r/>
          </w:p>
        </w:tc>
      </w:tr>
    </w:tbl>
    <w:p>
      <w:pPr>
        <w:pStyle w:val="967"/>
        <w:ind w:firstLine="482"/>
        <w:spacing w:line="48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pStyle w:val="967"/>
        <w:ind w:firstLine="482"/>
        <w:spacing w:line="480" w:lineRule="exact"/>
        <w:rPr>
          <w:rFonts w:ascii="宋体" w:hAnsi="宋体"/>
          <w:b/>
          <w:bCs/>
          <w:sz w:val="24"/>
          <w:szCs w:val="22"/>
          <w:highlight w:val="none"/>
        </w:rPr>
      </w:pPr>
      <w:r>
        <w:rPr>
          <w:rFonts w:hint="eastAsia" w:ascii="宋体" w:hAnsi="宋体"/>
          <w:b/>
          <w:bCs/>
          <w:sz w:val="24"/>
          <w:szCs w:val="22"/>
          <w:highlight w:val="none"/>
        </w:rPr>
        <w:t xml:space="preserve">（二）</w:t>
      </w:r>
      <w:r>
        <w:rPr>
          <w:rFonts w:ascii="宋体" w:hAnsi="宋体"/>
          <w:b/>
          <w:bCs/>
          <w:sz w:val="24"/>
          <w:szCs w:val="22"/>
          <w:highlight w:val="none"/>
        </w:rPr>
        <w:t xml:space="preserve">价格分：</w:t>
      </w:r>
      <w:r>
        <w:rPr>
          <w:rFonts w:hint="eastAsia" w:ascii="宋体" w:hAnsi="宋体"/>
          <w:b/>
          <w:bCs/>
          <w:sz w:val="24"/>
          <w:szCs w:val="22"/>
          <w:highlight w:val="none"/>
        </w:rPr>
        <w:t xml:space="preserve">70</w:t>
      </w:r>
      <w:r>
        <w:rPr>
          <w:rFonts w:ascii="宋体" w:hAnsi="宋体"/>
          <w:b/>
          <w:bCs/>
          <w:sz w:val="24"/>
          <w:szCs w:val="22"/>
          <w:highlight w:val="none"/>
        </w:rPr>
        <w:t xml:space="preserve">分</w:t>
      </w:r>
      <w:r>
        <w:rPr>
          <w:rFonts w:ascii="宋体" w:hAnsi="宋体"/>
          <w:b/>
          <w:bCs/>
          <w:sz w:val="24"/>
          <w:szCs w:val="22"/>
          <w:highlight w:val="none"/>
        </w:rPr>
      </w:r>
      <w:r/>
    </w:p>
    <w:p>
      <w:pPr>
        <w:pStyle w:val="967"/>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满足招标文件要求且投标报价（评标价）最低的报价为评标基准价，其价格标得分为满分；其他供应商的价格分按下列公式计算：</w:t>
      </w:r>
      <w:r>
        <w:rPr>
          <w:rFonts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价格标得分=（评标基准价/投标报价）×权重×100。</w:t>
      </w:r>
      <w:r>
        <w:rPr>
          <w:rFonts w:hint="eastAsia" w:ascii="宋体" w:hAnsi="宋体" w:cs="宋体"/>
          <w:sz w:val="24"/>
          <w:szCs w:val="24"/>
          <w:highlight w:val="none"/>
        </w:rPr>
      </w:r>
      <w:r/>
    </w:p>
    <w:p>
      <w:pPr>
        <w:pStyle w:val="967"/>
        <w:ind w:firstLine="482"/>
        <w:spacing w:line="480" w:lineRule="exact"/>
        <w:rPr>
          <w:rFonts w:ascii="Calibri" w:hAnsi="Calibri"/>
          <w:b/>
          <w:bCs/>
          <w:sz w:val="24"/>
          <w:szCs w:val="22"/>
          <w:highlight w:val="none"/>
        </w:rPr>
      </w:pPr>
      <w:r>
        <w:rPr>
          <w:rFonts w:hint="eastAsia" w:ascii="Calibri" w:hAnsi="Calibri"/>
          <w:b/>
          <w:bCs/>
          <w:sz w:val="24"/>
          <w:szCs w:val="22"/>
          <w:highlight w:val="none"/>
        </w:rPr>
        <w:t xml:space="preserve">评标小组认为供应商的报价明显低于其他通过符合性审查供应商的报价，有可能影响产品质量或者不能诚信履约的，应当要求其在规定时间内提供书面说明，必要时提交相关证明材料；供应商不能证明其报价合理性的，评标小组应当将其作为无效响应处理。</w:t>
      </w:r>
      <w:r>
        <w:rPr>
          <w:rFonts w:ascii="Calibri" w:hAnsi="Calibri"/>
          <w:b/>
          <w:bCs/>
          <w:sz w:val="24"/>
          <w:szCs w:val="22"/>
          <w:highlight w:val="none"/>
        </w:rPr>
      </w:r>
      <w:r/>
    </w:p>
    <w:p>
      <w:pPr>
        <w:pStyle w:val="967"/>
        <w:ind w:firstLine="482"/>
        <w:spacing w:line="480" w:lineRule="exact"/>
        <w:rPr>
          <w:rFonts w:hint="eastAsia" w:ascii="宋体" w:hAnsi="宋体"/>
          <w:b/>
          <w:bCs/>
          <w:sz w:val="24"/>
          <w:szCs w:val="22"/>
          <w:highlight w:val="none"/>
        </w:rPr>
      </w:pPr>
      <w:r>
        <w:rPr>
          <w:rFonts w:hint="eastAsia" w:ascii="宋体" w:hAnsi="宋体"/>
          <w:b/>
          <w:bCs/>
          <w:sz w:val="24"/>
          <w:szCs w:val="22"/>
          <w:highlight w:val="none"/>
        </w:rPr>
        <w:t xml:space="preserve">（三）</w:t>
      </w:r>
      <w:r>
        <w:rPr>
          <w:rFonts w:ascii="宋体" w:hAnsi="宋体"/>
          <w:b/>
          <w:bCs/>
          <w:sz w:val="24"/>
          <w:szCs w:val="22"/>
          <w:highlight w:val="none"/>
        </w:rPr>
        <w:t xml:space="preserve">政府采购政策功能落实</w:t>
      </w:r>
      <w:r>
        <w:rPr>
          <w:rFonts w:hint="eastAsia" w:ascii="宋体" w:hAnsi="宋体"/>
          <w:b/>
          <w:bCs/>
          <w:sz w:val="24"/>
          <w:szCs w:val="22"/>
          <w:highlight w:val="none"/>
        </w:rPr>
      </w:r>
      <w:r/>
    </w:p>
    <w:p>
      <w:pPr>
        <w:pStyle w:val="967"/>
        <w:ind w:firstLine="570"/>
        <w:spacing w:line="480" w:lineRule="exact"/>
        <w:rPr>
          <w:rFonts w:hint="eastAsia" w:ascii="宋体" w:hAnsi="宋体" w:cs="宋体"/>
          <w:sz w:val="24"/>
          <w:szCs w:val="22"/>
          <w:highlight w:val="none"/>
          <w:lang w:bidi="ar"/>
        </w:rPr>
      </w:pPr>
      <w:r>
        <w:rPr>
          <w:rFonts w:hint="eastAsia" w:ascii="Calibri" w:hAnsi="Calibri"/>
          <w:b/>
          <w:bCs/>
          <w:sz w:val="24"/>
          <w:szCs w:val="22"/>
          <w:highlight w:val="none"/>
        </w:rPr>
        <w:t xml:space="preserve">1.促进中小企业发展政策:</w:t>
      </w:r>
      <w:r>
        <w:rPr>
          <w:rFonts w:hint="eastAsia" w:ascii="宋体" w:hAnsi="宋体"/>
          <w:b/>
          <w:bCs/>
          <w:sz w:val="24"/>
          <w:szCs w:val="22"/>
          <w:highlight w:val="none"/>
        </w:rPr>
        <w:t xml:space="preserve">本项目专门面向中小企业采购</w:t>
      </w:r>
      <w:r>
        <w:rPr>
          <w:rFonts w:hint="eastAsia" w:ascii="宋体" w:hAnsi="宋体" w:cs="宋体"/>
          <w:sz w:val="24"/>
          <w:szCs w:val="22"/>
          <w:highlight w:val="none"/>
          <w:lang w:bidi="ar"/>
        </w:rPr>
        <w:t xml:space="preserve">，不再执行价格评审优惠的扶持政策。</w:t>
      </w:r>
      <w:r>
        <w:rPr>
          <w:rFonts w:hint="eastAsia" w:ascii="宋体" w:hAnsi="宋体" w:cs="宋体"/>
          <w:sz w:val="24"/>
          <w:szCs w:val="22"/>
          <w:highlight w:val="none"/>
          <w:lang w:bidi="ar"/>
        </w:rPr>
      </w:r>
      <w:r/>
    </w:p>
    <w:p>
      <w:pPr>
        <w:pStyle w:val="967"/>
        <w:ind w:firstLine="482"/>
        <w:spacing w:line="480" w:lineRule="exact"/>
        <w:rPr>
          <w:rFonts w:hint="eastAsia" w:ascii="Calibri" w:hAnsi="Calibri"/>
          <w:b/>
          <w:bCs/>
          <w:sz w:val="24"/>
          <w:szCs w:val="22"/>
          <w:highlight w:val="none"/>
        </w:rPr>
      </w:pPr>
      <w:r>
        <w:rPr>
          <w:rFonts w:hint="eastAsia" w:ascii="Calibri" w:hAnsi="Calibri"/>
          <w:b/>
          <w:bCs/>
          <w:sz w:val="24"/>
          <w:szCs w:val="22"/>
          <w:highlight w:val="none"/>
        </w:rPr>
        <w:t xml:space="preserve">2.采购本国产品的支持政策</w:t>
      </w:r>
      <w:r>
        <w:rPr>
          <w:rFonts w:hint="eastAsia" w:ascii="Calibri" w:hAnsi="Calibri"/>
          <w:b/>
          <w:bCs/>
          <w:sz w:val="24"/>
          <w:szCs w:val="22"/>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2.5投标人需按照招标文件的要求提供《关于符合本国产品标准的声明函》（以下简称《声明函》），如不提供将不享受本国产品价格评审优惠。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3、根据财政部、国家发改委《节能产品政府采购实施意见》，投标产品属于《节能产品政府采购清单》（最新一期）内的政府采购的节能产品，对相应产品的价格给予1%的扣除，用扣除后的价格参与评审。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投标产品如为节能产品的，投标人需提供产品及型号所在清单页的复印件并用标识标明，如未提供，评委会将仅按可明确进行价格扣除的内容进行扣除。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rFonts w:hint="eastAsia" w:ascii="宋体" w:hAnsi="宋体" w:cs="宋体"/>
          <w:sz w:val="24"/>
          <w:szCs w:val="24"/>
          <w:highlight w:val="none"/>
        </w:rPr>
      </w:r>
      <w:r/>
    </w:p>
    <w:p>
      <w:pPr>
        <w:pStyle w:val="967"/>
        <w:ind w:firstLine="480"/>
        <w:spacing w:line="480" w:lineRule="exact"/>
        <w:rPr>
          <w:rFonts w:hint="eastAsia" w:ascii="宋体" w:hAnsi="宋体" w:cs="宋体"/>
          <w:sz w:val="24"/>
          <w:szCs w:val="22"/>
          <w:highlight w:val="none"/>
          <w:lang w:bidi="ar"/>
        </w:rPr>
      </w:pPr>
      <w:r>
        <w:rPr>
          <w:rFonts w:hint="eastAsia" w:ascii="宋体" w:hAnsi="宋体" w:cs="宋体"/>
          <w:sz w:val="24"/>
          <w:szCs w:val="24"/>
          <w:highlight w:val="none"/>
        </w:rPr>
        <w:t xml:space="preserve">投标产品如为环境标志产品的，投标人需提供产品及型号所在清单页的复印件并用标识标明，如未提供，评委会将仅按可明确进行价格扣除的内容进行扣除。</w:t>
      </w:r>
      <w:r>
        <w:rPr>
          <w:rFonts w:hint="eastAsia" w:ascii="宋体" w:hAnsi="宋体" w:cs="宋体"/>
          <w:sz w:val="24"/>
          <w:szCs w:val="22"/>
          <w:highlight w:val="none"/>
          <w:lang w:bidi="ar"/>
        </w:rPr>
      </w:r>
      <w:r/>
    </w:p>
    <w:p>
      <w:pPr>
        <w:pStyle w:val="967"/>
        <w:ind w:firstLine="570"/>
        <w:spacing w:line="480" w:lineRule="exact"/>
        <w:rPr>
          <w:rFonts w:ascii="宋体" w:hAnsi="宋体" w:cs="宋体"/>
          <w:b/>
          <w:bCs/>
          <w:sz w:val="24"/>
          <w:szCs w:val="22"/>
          <w:highlight w:val="none"/>
          <w:lang w:bidi="ar"/>
        </w:rPr>
      </w:pPr>
      <w:r>
        <w:rPr>
          <w:rFonts w:hint="eastAsia" w:ascii="宋体" w:hAnsi="宋体" w:cs="宋体"/>
          <w:b/>
          <w:bCs/>
          <w:sz w:val="24"/>
          <w:szCs w:val="22"/>
          <w:highlight w:val="none"/>
          <w:lang w:bidi="ar"/>
        </w:rPr>
        <w:t xml:space="preserve">九、中标</w:t>
      </w:r>
      <w:r>
        <w:rPr>
          <w:rFonts w:ascii="宋体" w:hAnsi="宋体" w:cs="宋体"/>
          <w:b/>
          <w:bCs/>
          <w:sz w:val="24"/>
          <w:szCs w:val="22"/>
          <w:highlight w:val="none"/>
          <w:lang w:bidi="ar"/>
        </w:rPr>
        <w:t xml:space="preserve">供应商的确定</w:t>
      </w:r>
      <w:r>
        <w:rPr>
          <w:rFonts w:ascii="宋体" w:hAnsi="宋体" w:cs="宋体"/>
          <w:b/>
          <w:bCs/>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小组汇总各评委评分后，按照得分从高到低的顺序推荐三名</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候选人，并编写评审报告。</w:t>
      </w:r>
      <w:r>
        <w:rPr>
          <w:rFonts w:ascii="宋体" w:hAnsi="宋体" w:cs="宋体"/>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ascii="宋体" w:hAnsi="宋体" w:cs="宋体"/>
          <w:sz w:val="24"/>
          <w:szCs w:val="22"/>
          <w:highlight w:val="none"/>
          <w:lang w:bidi="ar"/>
        </w:rPr>
        <w:t xml:space="preserve">采购人委托</w:t>
      </w:r>
      <w:r>
        <w:rPr>
          <w:rFonts w:hint="eastAsia" w:ascii="宋体" w:hAnsi="宋体" w:cs="宋体"/>
          <w:sz w:val="24"/>
          <w:szCs w:val="22"/>
          <w:highlight w:val="none"/>
          <w:lang w:bidi="ar"/>
        </w:rPr>
        <w:t xml:space="preserve">评标</w:t>
      </w:r>
      <w:r>
        <w:rPr>
          <w:rFonts w:ascii="宋体" w:hAnsi="宋体" w:cs="宋体"/>
          <w:sz w:val="24"/>
          <w:szCs w:val="22"/>
          <w:highlight w:val="none"/>
          <w:lang w:bidi="ar"/>
        </w:rPr>
        <w:t xml:space="preserve">小组直接确定排名第一的</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候选人为</w:t>
      </w:r>
      <w:r>
        <w:rPr>
          <w:rFonts w:hint="eastAsia" w:ascii="宋体" w:hAnsi="宋体" w:cs="宋体"/>
          <w:sz w:val="24"/>
          <w:szCs w:val="22"/>
          <w:highlight w:val="none"/>
          <w:lang w:bidi="ar"/>
        </w:rPr>
        <w:t xml:space="preserve">中标</w:t>
      </w:r>
      <w:r>
        <w:rPr>
          <w:rFonts w:ascii="宋体" w:hAnsi="宋体" w:cs="宋体"/>
          <w:sz w:val="24"/>
          <w:szCs w:val="22"/>
          <w:highlight w:val="none"/>
          <w:lang w:bidi="ar"/>
        </w:rPr>
        <w:t xml:space="preserve">供应商。</w:t>
      </w:r>
      <w:r>
        <w:rPr>
          <w:rFonts w:ascii="宋体" w:hAnsi="宋体" w:cs="宋体"/>
          <w:sz w:val="24"/>
          <w:szCs w:val="22"/>
          <w:highlight w:val="none"/>
          <w:lang w:bidi="ar"/>
        </w:rPr>
      </w:r>
      <w:r/>
    </w:p>
    <w:p>
      <w:pPr>
        <w:pStyle w:val="967"/>
        <w:ind w:firstLine="570"/>
        <w:spacing w:line="480" w:lineRule="exact"/>
        <w:rPr>
          <w:rFonts w:ascii="宋体" w:hAnsi="宋体" w:cs="宋体"/>
          <w:sz w:val="24"/>
          <w:szCs w:val="22"/>
          <w:highlight w:val="none"/>
          <w:lang w:bidi="ar"/>
        </w:rPr>
      </w:pPr>
      <w:r>
        <w:rPr>
          <w:rFonts w:hint="eastAsia" w:ascii="宋体" w:hAnsi="宋体" w:cs="宋体"/>
          <w:sz w:val="24"/>
          <w:szCs w:val="22"/>
          <w:highlight w:val="none"/>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r>
        <w:rPr>
          <w:rFonts w:ascii="宋体" w:hAnsi="宋体" w:cs="宋体"/>
          <w:sz w:val="24"/>
          <w:szCs w:val="22"/>
          <w:highlight w:val="none"/>
          <w:lang w:bidi="ar"/>
        </w:rPr>
      </w:r>
      <w:r/>
    </w:p>
    <w:p>
      <w:pPr>
        <w:pStyle w:val="1057"/>
        <w:ind w:firstLine="439"/>
        <w:spacing w:line="440" w:lineRule="exact"/>
        <w:rPr>
          <w:rFonts w:ascii="宋体" w:hAnsi="宋体" w:cs="宋体"/>
          <w:szCs w:val="22"/>
          <w:highlight w:val="none"/>
          <w:lang w:bidi="ar"/>
        </w:rPr>
      </w:pPr>
      <w:r>
        <w:rPr>
          <w:rFonts w:hint="eastAsia" w:cs="Arial"/>
          <w:highlight w:val="none"/>
        </w:rPr>
        <w:t xml:space="preserve">中标人出现本招标文件第二章 第六条 27.4所述情况的，取消中标资格，采购人重新招标；其他投标人出现政府采购法律法规明令禁止违规行违法行为的，中标候选人不予调整。</w:t>
      </w:r>
      <w:r>
        <w:rPr>
          <w:rFonts w:ascii="宋体" w:hAnsi="宋体" w:cs="宋体"/>
          <w:szCs w:val="22"/>
          <w:highlight w:val="none"/>
          <w:lang w:bidi="ar"/>
        </w:rPr>
      </w:r>
      <w:r/>
    </w:p>
    <w:p>
      <w:pPr>
        <w:pStyle w:val="1057"/>
        <w:ind w:firstLine="439"/>
        <w:spacing w:line="440" w:lineRule="exact"/>
        <w:rPr>
          <w:rFonts w:hint="eastAsia" w:ascii="宋体" w:hAnsi="宋体" w:cs="宋体"/>
          <w:szCs w:val="22"/>
          <w:highlight w:val="none"/>
          <w:lang w:bidi="ar"/>
        </w:rPr>
      </w:pPr>
      <w:r>
        <w:rPr>
          <w:rFonts w:hint="eastAsia" w:ascii="宋体" w:hAnsi="宋体" w:cs="宋体"/>
          <w:szCs w:val="22"/>
          <w:highlight w:val="none"/>
          <w:lang w:bidi="ar"/>
        </w:rPr>
        <w:t xml:space="preserve">评标过程中出现本评标办法未尽事宜，由评标委员会根据有关法律、法规讨论决定。</w:t>
      </w:r>
      <w:r>
        <w:rPr>
          <w:rFonts w:hint="eastAsia" w:ascii="宋体" w:hAnsi="宋体" w:cs="宋体"/>
          <w:szCs w:val="22"/>
          <w:highlight w:val="none"/>
          <w:lang w:bidi="ar"/>
        </w:rPr>
      </w:r>
      <w:r/>
    </w:p>
    <w:p>
      <w:pPr>
        <w:pStyle w:val="967"/>
        <w:ind w:firstLine="482"/>
        <w:spacing w:line="480" w:lineRule="exact"/>
        <w:rPr>
          <w:rFonts w:ascii="宋体" w:hAnsi="宋体"/>
          <w:b/>
          <w:sz w:val="24"/>
          <w:szCs w:val="22"/>
          <w:highlight w:val="none"/>
        </w:rPr>
      </w:pPr>
      <w:r>
        <w:rPr>
          <w:rFonts w:hint="eastAsia" w:ascii="宋体" w:hAnsi="宋体"/>
          <w:b/>
          <w:sz w:val="24"/>
          <w:szCs w:val="22"/>
          <w:highlight w:val="none"/>
        </w:rPr>
        <w:t xml:space="preserve">十、</w:t>
      </w:r>
      <w:r>
        <w:rPr>
          <w:rFonts w:ascii="宋体" w:hAnsi="宋体"/>
          <w:b/>
          <w:sz w:val="24"/>
          <w:szCs w:val="22"/>
          <w:highlight w:val="none"/>
        </w:rPr>
        <w:t xml:space="preserve">公告</w:t>
      </w:r>
      <w:r>
        <w:rPr>
          <w:rFonts w:hint="eastAsia" w:ascii="宋体" w:hAnsi="宋体"/>
          <w:b/>
          <w:sz w:val="24"/>
          <w:szCs w:val="22"/>
          <w:highlight w:val="none"/>
        </w:rPr>
        <w:t xml:space="preserve">中标</w:t>
      </w:r>
      <w:r>
        <w:rPr>
          <w:rFonts w:ascii="宋体" w:hAnsi="宋体"/>
          <w:b/>
          <w:sz w:val="24"/>
          <w:szCs w:val="22"/>
          <w:highlight w:val="none"/>
        </w:rPr>
        <w:t xml:space="preserve">结果</w:t>
      </w:r>
      <w:r>
        <w:rPr>
          <w:rFonts w:ascii="宋体" w:hAnsi="宋体"/>
          <w:b/>
          <w:sz w:val="24"/>
          <w:szCs w:val="22"/>
          <w:highlight w:val="none"/>
        </w:rPr>
      </w:r>
      <w:r/>
    </w:p>
    <w:p>
      <w:pPr>
        <w:pStyle w:val="967"/>
        <w:ind w:firstLine="570"/>
        <w:spacing w:line="480" w:lineRule="exact"/>
        <w:rPr>
          <w:rFonts w:hint="eastAsia"/>
          <w:highlight w:val="none"/>
        </w:rPr>
      </w:pPr>
      <w:r>
        <w:rPr>
          <w:rFonts w:ascii="宋体" w:hAnsi="宋体"/>
          <w:sz w:val="24"/>
          <w:szCs w:val="22"/>
          <w:highlight w:val="none"/>
        </w:rPr>
        <w:t xml:space="preserve">自确定</w:t>
      </w:r>
      <w:r>
        <w:rPr>
          <w:rFonts w:hint="eastAsia" w:ascii="宋体" w:hAnsi="宋体"/>
          <w:sz w:val="24"/>
          <w:szCs w:val="22"/>
          <w:highlight w:val="none"/>
        </w:rPr>
        <w:t xml:space="preserve">中标</w:t>
      </w:r>
      <w:r>
        <w:rPr>
          <w:rFonts w:ascii="宋体" w:hAnsi="宋体"/>
          <w:sz w:val="24"/>
          <w:szCs w:val="22"/>
          <w:highlight w:val="none"/>
        </w:rPr>
        <w:t xml:space="preserve">供应商之日起2个工作日内，在</w:t>
      </w:r>
      <w:r>
        <w:rPr>
          <w:rFonts w:hint="eastAsia" w:ascii="宋体" w:hAnsi="宋体"/>
          <w:sz w:val="24"/>
          <w:szCs w:val="22"/>
          <w:highlight w:val="none"/>
        </w:rPr>
        <w:t xml:space="preserve">江苏省</w:t>
      </w:r>
      <w:r>
        <w:rPr>
          <w:rFonts w:ascii="宋体" w:hAnsi="宋体"/>
          <w:sz w:val="24"/>
          <w:szCs w:val="22"/>
          <w:highlight w:val="none"/>
        </w:rPr>
        <w:t xml:space="preserve">政府采购网公告</w:t>
      </w:r>
      <w:r>
        <w:rPr>
          <w:rFonts w:hint="eastAsia" w:ascii="宋体" w:hAnsi="宋体"/>
          <w:sz w:val="24"/>
          <w:szCs w:val="22"/>
          <w:highlight w:val="none"/>
        </w:rPr>
        <w:t xml:space="preserve">中标</w:t>
      </w:r>
      <w:r>
        <w:rPr>
          <w:rFonts w:ascii="宋体" w:hAnsi="宋体"/>
          <w:sz w:val="24"/>
          <w:szCs w:val="22"/>
          <w:highlight w:val="none"/>
        </w:rPr>
        <w:t xml:space="preserve">结果，公告期限为1个工作日。</w:t>
      </w:r>
      <w:r>
        <w:rPr>
          <w:rFonts w:hint="eastAsia"/>
          <w:highlight w:val="none"/>
        </w:rPr>
      </w:r>
      <w:r/>
    </w:p>
    <w:p>
      <w:pPr>
        <w:pStyle w:val="968"/>
        <w:pageBreakBefore/>
        <w:rPr>
          <w:rFonts w:hint="eastAsia" w:ascii="黑体" w:eastAsia="黑体"/>
          <w:bCs/>
          <w:sz w:val="44"/>
          <w:highlight w:val="none"/>
        </w:rPr>
      </w:pPr>
      <w:r>
        <w:rPr>
          <w:rFonts w:hint="eastAsia" w:ascii="黑体" w:eastAsia="黑体"/>
          <w:bCs/>
          <w:sz w:val="44"/>
          <w:highlight w:val="none"/>
        </w:rPr>
        <w:t xml:space="preserve">第六章  投标</w:t>
      </w:r>
      <w:bookmarkEnd w:id="185"/>
      <w:r/>
      <w:bookmarkEnd w:id="186"/>
      <w:r/>
      <w:bookmarkEnd w:id="187"/>
      <w:r>
        <w:rPr>
          <w:rFonts w:hint="eastAsia" w:ascii="黑体" w:eastAsia="黑体"/>
          <w:bCs/>
          <w:sz w:val="44"/>
          <w:highlight w:val="none"/>
        </w:rPr>
        <w:t xml:space="preserve">文件格式 </w:t>
      </w:r>
      <w:r>
        <w:rPr>
          <w:rFonts w:hint="eastAsia" w:ascii="黑体" w:eastAsia="黑体"/>
          <w:bCs/>
          <w:sz w:val="44"/>
          <w:highlight w:val="none"/>
        </w:rPr>
      </w:r>
      <w:r/>
    </w:p>
    <w:p>
      <w:pPr>
        <w:pStyle w:val="967"/>
        <w:jc w:val="center"/>
        <w:rPr>
          <w:rFonts w:hint="eastAsia" w:ascii="宋体" w:hAnsi="宋体"/>
          <w:b/>
          <w:sz w:val="72"/>
          <w:highlight w:val="none"/>
        </w:rPr>
      </w:pPr>
      <w:r/>
      <w:bookmarkStart w:id="209" w:name="_Hlt26955039"/>
      <w:r/>
      <w:bookmarkEnd w:id="209"/>
      <w:r/>
      <w:bookmarkStart w:id="210" w:name="_Hlt26671244"/>
      <w:r/>
      <w:bookmarkEnd w:id="210"/>
      <w:r/>
      <w:bookmarkStart w:id="211" w:name="_Toc26554094"/>
      <w:r/>
      <w:bookmarkStart w:id="212" w:name="_Toc120614282"/>
      <w:r/>
      <w:bookmarkStart w:id="213" w:name="_Toc49090576"/>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r>
      <w:r/>
    </w:p>
    <w:p>
      <w:pPr>
        <w:pStyle w:val="967"/>
        <w:jc w:val="center"/>
        <w:rPr>
          <w:rFonts w:hint="eastAsia" w:ascii="宋体" w:hAnsi="宋体"/>
          <w:b/>
          <w:sz w:val="72"/>
          <w:highlight w:val="none"/>
        </w:rPr>
      </w:pPr>
      <w:r>
        <w:rPr>
          <w:rFonts w:hint="eastAsia" w:ascii="宋体" w:hAnsi="宋体"/>
          <w:b/>
          <w:sz w:val="72"/>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jc w:val="center"/>
        <w:rPr>
          <w:rFonts w:hint="eastAsia" w:ascii="宋体" w:hAnsi="宋体"/>
          <w:b/>
          <w:sz w:val="36"/>
          <w:highlight w:val="none"/>
        </w:rPr>
      </w:pPr>
      <w:r>
        <w:rPr>
          <w:rFonts w:hint="eastAsia" w:ascii="宋体" w:hAnsi="宋体"/>
          <w:b/>
          <w:sz w:val="36"/>
          <w:highlight w:val="none"/>
        </w:rPr>
      </w:r>
      <w:r/>
    </w:p>
    <w:p>
      <w:pPr>
        <w:pStyle w:val="967"/>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xxxx（包x）   </w:t>
      </w:r>
      <w:r>
        <w:rPr>
          <w:rFonts w:hint="eastAsia" w:ascii="宋体" w:hAnsi="宋体"/>
          <w:b/>
          <w:sz w:val="36"/>
          <w:highlight w:val="none"/>
        </w:rPr>
      </w:r>
      <w:r/>
    </w:p>
    <w:p>
      <w:pPr>
        <w:pStyle w:val="967"/>
        <w:ind w:firstLine="1084"/>
        <w:rPr>
          <w:rFonts w:hint="eastAsia" w:ascii="宋体" w:hAnsi="宋体" w:eastAsia="宋体"/>
          <w:b/>
          <w:sz w:val="36"/>
          <w:highlight w:val="none"/>
          <w:u w:val="single"/>
          <w:lang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eastAsia="zh-CN"/>
        </w:rPr>
        <w:t xml:space="preserve">JSZC-320600-XXDF-G2026-0009</w:t>
      </w:r>
      <w:r>
        <w:rPr>
          <w:rFonts w:hint="eastAsia" w:ascii="宋体" w:hAnsi="宋体" w:eastAsia="宋体"/>
          <w:b/>
          <w:sz w:val="36"/>
          <w:highlight w:val="none"/>
          <w:u w:val="single"/>
          <w:lang w:eastAsia="zh-CN"/>
        </w:rPr>
      </w:r>
      <w:r/>
    </w:p>
    <w:p>
      <w:pPr>
        <w:pStyle w:val="967"/>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67"/>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67"/>
        <w:spacing w:line="440" w:lineRule="exact"/>
        <w:rPr>
          <w:rFonts w:ascii="宋体" w:hAnsi="宋体"/>
          <w:highlight w:val="none"/>
        </w:rPr>
      </w:pPr>
      <w:r>
        <w:rPr>
          <w:rFonts w:ascii="宋体" w:hAnsi="宋体"/>
          <w:highlight w:val="none"/>
        </w:rPr>
      </w:r>
      <w:r/>
    </w:p>
    <w:p>
      <w:pPr>
        <w:pStyle w:val="967"/>
        <w:rPr>
          <w:rFonts w:ascii="宋体" w:hAnsi="宋体"/>
          <w:b/>
          <w:bCs/>
          <w:sz w:val="32"/>
          <w:szCs w:val="32"/>
          <w:highlight w:val="none"/>
        </w:rPr>
      </w:pPr>
      <w:r>
        <w:rPr>
          <w:rFonts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35"/>
        <w:ind w:firstLine="0"/>
        <w:rPr>
          <w:rFonts w:hint="eastAsia" w:ascii="宋体" w:hAnsi="宋体"/>
          <w:b/>
          <w:bCs/>
          <w:sz w:val="32"/>
          <w:szCs w:val="32"/>
          <w:highlight w:val="none"/>
        </w:rPr>
      </w:pPr>
      <w:r>
        <w:rPr>
          <w:rFonts w:hint="eastAsia" w:ascii="宋体" w:hAnsi="宋体"/>
          <w:b/>
          <w:bCs/>
          <w:sz w:val="32"/>
          <w:szCs w:val="32"/>
          <w:highlight w:val="none"/>
        </w:rPr>
      </w:r>
      <w:r/>
    </w:p>
    <w:p>
      <w:pPr>
        <w:pStyle w:val="1093"/>
        <w:contextualSpacing/>
        <w:ind w:firstLine="482"/>
        <w:spacing w:line="360" w:lineRule="auto"/>
        <w:rPr>
          <w:rFonts w:ascii="Times New Roman" w:hAnsi="Times New Roman" w:cs="Times New Roman"/>
          <w:b/>
          <w:bCs/>
          <w:highlight w:val="none"/>
        </w:rPr>
      </w:pP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文件由资格审查证明材料、</w:t>
      </w:r>
      <w:r>
        <w:rPr>
          <w:rFonts w:hint="eastAsia" w:ascii="Times New Roman" w:hAnsi="Times New Roman" w:cs="Times New Roman"/>
          <w:b/>
          <w:bCs/>
          <w:highlight w:val="none"/>
        </w:rPr>
        <w:t xml:space="preserve">符合性审查文件、</w:t>
      </w:r>
      <w:r>
        <w:rPr>
          <w:rFonts w:ascii="Times New Roman" w:hAnsi="Times New Roman" w:cs="Times New Roman"/>
          <w:b/>
          <w:bCs/>
          <w:highlight w:val="none"/>
        </w:rPr>
        <w:t xml:space="preserve">商务技术文件、价格文件</w:t>
      </w:r>
      <w:r>
        <w:rPr>
          <w:rFonts w:hint="eastAsia" w:ascii="Times New Roman" w:hAnsi="Times New Roman" w:cs="Times New Roman"/>
          <w:b/>
          <w:bCs/>
          <w:highlight w:val="none"/>
        </w:rPr>
        <w:t xml:space="preserve">四</w:t>
      </w:r>
      <w:r>
        <w:rPr>
          <w:rFonts w:ascii="Times New Roman" w:hAnsi="Times New Roman" w:cs="Times New Roman"/>
          <w:b/>
          <w:bCs/>
          <w:highlight w:val="none"/>
        </w:rPr>
        <w:t xml:space="preserve">部分组成</w:t>
      </w:r>
      <w:r>
        <w:rPr>
          <w:rFonts w:ascii="Times New Roman" w:hAnsi="Times New Roman" w:cs="Times New Roman"/>
          <w:highlight w:val="none"/>
        </w:rPr>
        <w:t xml:space="preserve">。供应商提供的</w:t>
      </w:r>
      <w:r>
        <w:rPr>
          <w:rFonts w:hint="eastAsia" w:ascii="Times New Roman" w:hAnsi="Times New Roman" w:cs="Times New Roman"/>
          <w:highlight w:val="none"/>
        </w:rPr>
        <w:t xml:space="preserve">投标</w:t>
      </w:r>
      <w:r>
        <w:rPr>
          <w:rFonts w:ascii="Times New Roman" w:hAnsi="Times New Roman" w:cs="Times New Roman"/>
          <w:highlight w:val="none"/>
        </w:rPr>
        <w:t xml:space="preserve">文件材料须字迹清晰。</w:t>
      </w:r>
      <w:r>
        <w:rPr>
          <w:rFonts w:ascii="Times New Roman" w:hAnsi="Times New Roman" w:cs="Times New Roman"/>
          <w:b/>
          <w:bCs/>
          <w:highlight w:val="none"/>
        </w:rPr>
        <w:t xml:space="preserve">如</w:t>
      </w:r>
      <w:r>
        <w:rPr>
          <w:rFonts w:hint="eastAsia" w:ascii="Times New Roman" w:hAnsi="Times New Roman" w:cs="Times New Roman"/>
          <w:b/>
          <w:bCs/>
          <w:highlight w:val="none"/>
        </w:rPr>
        <w:t xml:space="preserve">投标</w:t>
      </w:r>
      <w:r>
        <w:rPr>
          <w:rFonts w:ascii="Times New Roman" w:hAnsi="Times New Roman" w:cs="Times New Roman"/>
          <w:b/>
          <w:bCs/>
          <w:highlight w:val="none"/>
        </w:rPr>
        <w:t xml:space="preserve">文件字迹模糊</w:t>
      </w:r>
      <w:r>
        <w:rPr>
          <w:rFonts w:hint="eastAsia" w:ascii="Times New Roman" w:hAnsi="Times New Roman" w:cs="Times New Roman"/>
          <w:b/>
          <w:bCs/>
          <w:highlight w:val="none"/>
        </w:rPr>
        <w:t xml:space="preserve">，</w:t>
      </w:r>
      <w:r>
        <w:rPr>
          <w:rFonts w:ascii="Times New Roman" w:hAnsi="Times New Roman" w:cs="Times New Roman"/>
          <w:b/>
          <w:bCs/>
          <w:highlight w:val="none"/>
        </w:rPr>
        <w:t xml:space="preserve">造成的废标或不得分等后果由供应商自行承担。</w:t>
      </w:r>
      <w:r>
        <w:rPr>
          <w:rFonts w:ascii="Times New Roman" w:hAnsi="Times New Roman" w:cs="Times New Roman"/>
          <w:b/>
          <w:bCs/>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一</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资格审查证明材料（不能出现商务技术文件、价格文件）</w:t>
      </w:r>
      <w:r>
        <w:rPr>
          <w:rFonts w:hint="eastAsia" w:ascii="仿宋" w:hAnsi="仿宋" w:eastAsia="仿宋"/>
          <w:b/>
          <w:sz w:val="28"/>
          <w:szCs w:val="28"/>
          <w:highlight w:val="none"/>
        </w:rPr>
      </w:r>
      <w:r/>
    </w:p>
    <w:p>
      <w:pPr>
        <w:pStyle w:val="967"/>
        <w:ind w:firstLine="480"/>
        <w:rPr>
          <w:rFonts w:ascii="宋体" w:hAnsi="宋体" w:eastAsia="仿宋"/>
          <w:b/>
          <w:sz w:val="24"/>
          <w:szCs w:val="24"/>
          <w:highlight w:val="none"/>
        </w:rPr>
      </w:pPr>
      <w:r>
        <w:rPr>
          <w:rFonts w:hint="eastAsia" w:ascii="仿宋" w:hAnsi="仿宋" w:eastAsia="仿宋"/>
          <w:sz w:val="24"/>
          <w:szCs w:val="24"/>
          <w:highlight w:val="none"/>
        </w:rPr>
        <w:t xml:space="preserve">1、投标人符合《政府采购法》第二十二条规定条件的声明函（格式见附件1）</w:t>
      </w:r>
      <w:r>
        <w:rPr>
          <w:rFonts w:ascii="宋体" w:hAnsi="宋体" w:eastAsia="仿宋"/>
          <w:b/>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2、法定代表人身份证明书、法定代表人身份证扫描件（格式见附件2）；</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3、法定代表人授权委托书，被授权人身份证扫描件，被委托授权人在该单位2026年01月-2026年03月任意一个月社保证明复印件加盖公章扫描件（格式见附件3）；（若有授权则须提供）；</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4、供应商营业执照副本复印件加盖公章；</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5、参加采购活动前无失信记录的书面声明（格式详见附件4）；</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6、本项目的特定资格要求:投标人须为灯杆、LED灯具的专业生产厂家。</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7、本项目专门面向中小企业采购，供应商提供中小企业声明函、残疾人福利性单位声明函或监狱和戒毒企业证明材料（格式见附件5）；</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8、投标及履约承诺书（格式见附件6）；</w:t>
      </w:r>
      <w:r>
        <w:rPr>
          <w:rFonts w:hint="eastAsia" w:ascii="仿宋" w:hAnsi="仿宋" w:eastAsia="仿宋"/>
          <w:sz w:val="24"/>
          <w:szCs w:val="24"/>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二</w:t>
      </w:r>
      <w:r>
        <w:rPr>
          <w:rFonts w:ascii="仿宋" w:hAnsi="仿宋" w:eastAsia="仿宋"/>
          <w:b/>
          <w:sz w:val="28"/>
          <w:szCs w:val="28"/>
          <w:highlight w:val="none"/>
        </w:rPr>
        <w:t xml:space="preserve">、</w:t>
      </w:r>
      <w:r>
        <w:rPr>
          <w:rFonts w:hint="eastAsia" w:ascii="仿宋" w:hAnsi="仿宋" w:eastAsia="仿宋"/>
          <w:b/>
          <w:sz w:val="28"/>
          <w:szCs w:val="28"/>
          <w:highlight w:val="none"/>
        </w:rPr>
        <w:t xml:space="preserve">符合性</w:t>
      </w:r>
      <w:r>
        <w:rPr>
          <w:rFonts w:ascii="仿宋" w:hAnsi="仿宋" w:eastAsia="仿宋"/>
          <w:b/>
          <w:sz w:val="28"/>
          <w:szCs w:val="28"/>
          <w:highlight w:val="none"/>
        </w:rPr>
        <w:t xml:space="preserve">审查</w:t>
      </w:r>
      <w:r>
        <w:rPr>
          <w:rFonts w:hint="eastAsia" w:ascii="仿宋" w:hAnsi="仿宋" w:eastAsia="仿宋"/>
          <w:b/>
          <w:sz w:val="28"/>
          <w:szCs w:val="28"/>
          <w:highlight w:val="none"/>
        </w:rPr>
        <w:t xml:space="preserve">文件</w:t>
      </w:r>
      <w:r>
        <w:rPr>
          <w:rFonts w:hint="eastAsia" w:ascii="仿宋" w:hAnsi="仿宋" w:eastAsia="仿宋"/>
          <w:b/>
          <w:sz w:val="28"/>
          <w:szCs w:val="28"/>
          <w:highlight w:val="none"/>
        </w:rPr>
      </w:r>
      <w:r/>
    </w:p>
    <w:p>
      <w:pPr>
        <w:pStyle w:val="967"/>
        <w:ind w:firstLine="480"/>
        <w:spacing w:line="48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1、技术条款实质性响应要求</w:t>
      </w:r>
      <w:r>
        <w:rPr>
          <w:rFonts w:hint="eastAsia" w:ascii="仿宋" w:hAnsi="仿宋" w:eastAsia="仿宋"/>
          <w:sz w:val="24"/>
          <w:szCs w:val="24"/>
          <w:highlight w:val="none"/>
          <w:lang w:val="en-US" w:eastAsia="zh-CN"/>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投标人必须</w:t>
      </w:r>
      <w:r>
        <w:rPr>
          <w:rFonts w:ascii="仿宋" w:hAnsi="仿宋" w:eastAsia="仿宋"/>
          <w:sz w:val="24"/>
          <w:szCs w:val="24"/>
          <w:highlight w:val="none"/>
        </w:rPr>
        <w:t xml:space="preserve">对</w:t>
      </w:r>
      <w:r>
        <w:rPr>
          <w:rFonts w:hint="eastAsia" w:ascii="仿宋" w:hAnsi="仿宋" w:eastAsia="仿宋"/>
          <w:sz w:val="24"/>
          <w:szCs w:val="24"/>
          <w:highlight w:val="none"/>
        </w:rPr>
        <w:t xml:space="preserve">采购需求中</w:t>
      </w:r>
      <w:r>
        <w:rPr>
          <w:rFonts w:ascii="仿宋" w:hAnsi="仿宋" w:eastAsia="仿宋"/>
          <w:sz w:val="24"/>
          <w:szCs w:val="24"/>
          <w:highlight w:val="none"/>
        </w:rPr>
        <w:t xml:space="preserve">加斜体下划线的实质性要求</w:t>
      </w:r>
      <w:r>
        <w:rPr>
          <w:rFonts w:hint="eastAsia" w:ascii="仿宋" w:hAnsi="仿宋" w:eastAsia="仿宋"/>
          <w:sz w:val="24"/>
          <w:szCs w:val="24"/>
          <w:highlight w:val="none"/>
        </w:rPr>
        <w:t xml:space="preserve">逐条</w:t>
      </w:r>
      <w:r>
        <w:rPr>
          <w:rFonts w:ascii="仿宋" w:hAnsi="仿宋" w:eastAsia="仿宋"/>
          <w:sz w:val="24"/>
          <w:szCs w:val="24"/>
          <w:highlight w:val="none"/>
        </w:rPr>
        <w:t xml:space="preserve">做出响应，并按照招标</w:t>
      </w:r>
      <w:r>
        <w:rPr>
          <w:rFonts w:hint="eastAsia" w:ascii="仿宋" w:hAnsi="仿宋" w:eastAsia="仿宋"/>
          <w:sz w:val="24"/>
          <w:szCs w:val="24"/>
          <w:highlight w:val="none"/>
        </w:rPr>
        <w:t xml:space="preserve">文件</w:t>
      </w:r>
      <w:r>
        <w:rPr>
          <w:rFonts w:ascii="仿宋" w:hAnsi="仿宋" w:eastAsia="仿宋"/>
          <w:sz w:val="24"/>
          <w:szCs w:val="24"/>
          <w:highlight w:val="none"/>
        </w:rPr>
        <w:t xml:space="preserve">要求提供</w:t>
      </w:r>
      <w:r>
        <w:rPr>
          <w:rFonts w:hint="eastAsia" w:ascii="仿宋" w:hAnsi="仿宋" w:eastAsia="仿宋"/>
          <w:sz w:val="24"/>
          <w:szCs w:val="24"/>
          <w:highlight w:val="none"/>
        </w:rPr>
        <w:t xml:space="preserve">证明</w:t>
      </w:r>
      <w:r>
        <w:rPr>
          <w:rFonts w:ascii="仿宋" w:hAnsi="仿宋" w:eastAsia="仿宋"/>
          <w:sz w:val="24"/>
          <w:szCs w:val="24"/>
          <w:highlight w:val="none"/>
        </w:rPr>
        <w:t xml:space="preserve">材料</w:t>
      </w:r>
      <w:r>
        <w:rPr>
          <w:rFonts w:hint="eastAsia" w:ascii="仿宋" w:hAnsi="仿宋" w:eastAsia="仿宋"/>
          <w:sz w:val="24"/>
          <w:szCs w:val="24"/>
          <w:highlight w:val="none"/>
        </w:rPr>
        <w:t xml:space="preserve">，否则做无效投标处理。（格式见附件7）</w:t>
      </w:r>
      <w:r>
        <w:rPr>
          <w:rFonts w:hint="eastAsia" w:ascii="仿宋" w:hAnsi="仿宋" w:eastAsia="仿宋"/>
          <w:sz w:val="24"/>
          <w:szCs w:val="24"/>
          <w:highlight w:val="none"/>
        </w:rPr>
      </w:r>
      <w:r/>
    </w:p>
    <w:p>
      <w:pPr>
        <w:pStyle w:val="967"/>
        <w:numPr>
          <w:ilvl w:val="0"/>
          <w:numId w:val="9"/>
        </w:numPr>
        <w:ind w:left="0" w:firstLine="0"/>
        <w:spacing w:line="48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商务条款实质性响应要求</w:t>
      </w:r>
      <w:r>
        <w:rPr>
          <w:rFonts w:hint="eastAsia" w:ascii="仿宋" w:hAnsi="仿宋" w:eastAsia="仿宋"/>
          <w:sz w:val="24"/>
          <w:szCs w:val="24"/>
          <w:highlight w:val="none"/>
          <w:lang w:val="en-US" w:eastAsia="zh-CN"/>
        </w:rPr>
      </w:r>
      <w:r/>
    </w:p>
    <w:p>
      <w:pPr>
        <w:pStyle w:val="967"/>
        <w:ind w:firstLine="480"/>
        <w:spacing w:line="48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rPr>
        <w:t xml:space="preserve">投标人必须</w:t>
      </w:r>
      <w:r>
        <w:rPr>
          <w:rFonts w:ascii="仿宋" w:hAnsi="仿宋" w:eastAsia="仿宋"/>
          <w:sz w:val="24"/>
          <w:szCs w:val="24"/>
          <w:highlight w:val="none"/>
        </w:rPr>
        <w:t xml:space="preserve">对</w:t>
      </w:r>
      <w:r>
        <w:rPr>
          <w:rFonts w:hint="eastAsia" w:ascii="仿宋" w:hAnsi="仿宋" w:eastAsia="仿宋"/>
          <w:sz w:val="24"/>
          <w:szCs w:val="24"/>
          <w:highlight w:val="none"/>
        </w:rPr>
        <w:t xml:space="preserve">采购需求中</w:t>
      </w:r>
      <w:r>
        <w:rPr>
          <w:rFonts w:ascii="仿宋" w:hAnsi="仿宋" w:eastAsia="仿宋"/>
          <w:sz w:val="24"/>
          <w:szCs w:val="24"/>
          <w:highlight w:val="none"/>
        </w:rPr>
        <w:t xml:space="preserve">加斜体下划线的实质性要求</w:t>
      </w:r>
      <w:r>
        <w:rPr>
          <w:rFonts w:hint="eastAsia" w:ascii="仿宋" w:hAnsi="仿宋" w:eastAsia="仿宋"/>
          <w:sz w:val="24"/>
          <w:szCs w:val="24"/>
          <w:highlight w:val="none"/>
        </w:rPr>
        <w:t xml:space="preserve">逐条</w:t>
      </w:r>
      <w:r>
        <w:rPr>
          <w:rFonts w:ascii="仿宋" w:hAnsi="仿宋" w:eastAsia="仿宋"/>
          <w:sz w:val="24"/>
          <w:szCs w:val="24"/>
          <w:highlight w:val="none"/>
        </w:rPr>
        <w:t xml:space="preserve">做出响应，并按照招标</w:t>
      </w:r>
      <w:r>
        <w:rPr>
          <w:rFonts w:hint="eastAsia" w:ascii="仿宋" w:hAnsi="仿宋" w:eastAsia="仿宋"/>
          <w:sz w:val="24"/>
          <w:szCs w:val="24"/>
          <w:highlight w:val="none"/>
        </w:rPr>
        <w:t xml:space="preserve">文件</w:t>
      </w:r>
      <w:r>
        <w:rPr>
          <w:rFonts w:ascii="仿宋" w:hAnsi="仿宋" w:eastAsia="仿宋"/>
          <w:sz w:val="24"/>
          <w:szCs w:val="24"/>
          <w:highlight w:val="none"/>
        </w:rPr>
        <w:t xml:space="preserve">要求提供</w:t>
      </w:r>
      <w:r>
        <w:rPr>
          <w:rFonts w:hint="eastAsia" w:ascii="仿宋" w:hAnsi="仿宋" w:eastAsia="仿宋"/>
          <w:sz w:val="24"/>
          <w:szCs w:val="24"/>
          <w:highlight w:val="none"/>
        </w:rPr>
        <w:t xml:space="preserve">证明</w:t>
      </w:r>
      <w:r>
        <w:rPr>
          <w:rFonts w:ascii="仿宋" w:hAnsi="仿宋" w:eastAsia="仿宋"/>
          <w:sz w:val="24"/>
          <w:szCs w:val="24"/>
          <w:highlight w:val="none"/>
        </w:rPr>
        <w:t xml:space="preserve">材料</w:t>
      </w:r>
      <w:r>
        <w:rPr>
          <w:rFonts w:hint="eastAsia" w:ascii="仿宋" w:hAnsi="仿宋" w:eastAsia="仿宋"/>
          <w:sz w:val="24"/>
          <w:szCs w:val="24"/>
          <w:highlight w:val="none"/>
        </w:rPr>
        <w:t xml:space="preserve">，否则做无效投标处理。（格式见附件8）</w:t>
      </w:r>
      <w:r>
        <w:rPr>
          <w:rFonts w:hint="eastAsia" w:ascii="仿宋" w:hAnsi="仿宋" w:eastAsia="仿宋"/>
          <w:sz w:val="24"/>
          <w:szCs w:val="24"/>
          <w:highlight w:val="none"/>
          <w:lang w:val="en-US" w:eastAsia="zh-CN"/>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三、商务技术文件（不能出现价格文件）</w:t>
      </w:r>
      <w:r>
        <w:rPr>
          <w:rFonts w:hint="eastAsia" w:ascii="仿宋" w:hAnsi="仿宋" w:eastAsia="仿宋"/>
          <w:b/>
          <w:sz w:val="28"/>
          <w:szCs w:val="28"/>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1、商务技术评分标准中须提供的相关得分佐证材料；为方便评委评审，请供应商按评审办法中所涉及的事项顺序进行编制，可以补充相关材料；</w:t>
      </w:r>
      <w:r>
        <w:rPr>
          <w:rFonts w:hint="eastAsia" w:ascii="仿宋" w:hAnsi="仿宋" w:eastAsia="仿宋"/>
          <w:sz w:val="24"/>
          <w:szCs w:val="24"/>
          <w:highlight w:val="none"/>
        </w:rPr>
      </w:r>
      <w:r/>
    </w:p>
    <w:p>
      <w:pPr>
        <w:pStyle w:val="967"/>
        <w:ind w:firstLine="480"/>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2、供应商认为需要提交的其他商务技术材料。</w:t>
      </w:r>
      <w:r>
        <w:rPr>
          <w:rFonts w:hint="eastAsia" w:ascii="仿宋" w:hAnsi="仿宋" w:eastAsia="仿宋"/>
          <w:sz w:val="24"/>
          <w:szCs w:val="24"/>
          <w:highlight w:val="none"/>
        </w:rPr>
      </w:r>
      <w:r/>
    </w:p>
    <w:p>
      <w:pPr>
        <w:pStyle w:val="967"/>
        <w:ind w:left="480"/>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四、价格文件</w:t>
      </w:r>
      <w:r>
        <w:rPr>
          <w:rFonts w:hint="eastAsia" w:ascii="仿宋" w:hAnsi="仿宋" w:eastAsia="仿宋"/>
          <w:b/>
          <w:sz w:val="28"/>
          <w:szCs w:val="28"/>
          <w:highlight w:val="none"/>
        </w:rPr>
      </w:r>
      <w:r/>
    </w:p>
    <w:p>
      <w:pPr>
        <w:pStyle w:val="967"/>
        <w:ind w:firstLine="480"/>
        <w:spacing w:line="480" w:lineRule="exact"/>
        <w:rPr>
          <w:rFonts w:hint="eastAsia" w:ascii="Times New Roman" w:hAnsi="Times New Roman" w:cs="Times New Roman"/>
          <w:b/>
          <w:bCs/>
          <w:highlight w:val="none"/>
        </w:rPr>
      </w:pPr>
      <w:r>
        <w:rPr>
          <w:rFonts w:hint="eastAsia" w:ascii="仿宋" w:hAnsi="仿宋" w:eastAsia="仿宋"/>
          <w:sz w:val="24"/>
          <w:szCs w:val="24"/>
          <w:highlight w:val="none"/>
        </w:rPr>
        <w:t xml:space="preserve">1、投标报价表（格式见附件9、10）；</w:t>
      </w:r>
      <w:r>
        <w:rPr>
          <w:rFonts w:hint="eastAsia" w:ascii="Times New Roman" w:hAnsi="Times New Roman" w:cs="Times New Roman"/>
          <w:b/>
          <w:bCs/>
          <w:highlight w:val="none"/>
        </w:rPr>
      </w:r>
      <w:r/>
    </w:p>
    <w:p>
      <w:pPr>
        <w:pStyle w:val="1093"/>
        <w:contextualSpacing/>
        <w:spacing w:line="360" w:lineRule="auto"/>
        <w:rPr>
          <w:highlight w:val="none"/>
        </w:rPr>
      </w:pPr>
      <w:r>
        <w:rPr>
          <w:rFonts w:hint="eastAsia" w:ascii="Times New Roman" w:hAnsi="Times New Roman" w:cs="Times New Roman"/>
          <w:b/>
          <w:bCs/>
          <w:highlight w:val="none"/>
        </w:rPr>
        <w:t xml:space="preserve">（一）资格审查证明材料</w:t>
      </w:r>
      <w:r>
        <w:rPr>
          <w:highlight w:val="none"/>
        </w:rPr>
      </w:r>
      <w:r/>
    </w:p>
    <w:p>
      <w:pPr>
        <w:pStyle w:val="967"/>
        <w:spacing w:line="360" w:lineRule="auto"/>
        <w:rPr>
          <w:rFonts w:ascii="宋体" w:hAnsi="宋体" w:cs="宋体"/>
          <w:b/>
          <w:sz w:val="30"/>
          <w:szCs w:val="30"/>
          <w:highlight w:val="none"/>
        </w:rPr>
      </w:pPr>
      <w:r>
        <w:rPr>
          <w:rFonts w:ascii="宋体" w:hAnsi="宋体" w:cs="宋体"/>
          <w:b/>
          <w:sz w:val="30"/>
          <w:szCs w:val="30"/>
          <w:highlight w:val="none"/>
        </w:rPr>
        <w:t xml:space="preserve">附件1</w:t>
      </w:r>
      <w:r>
        <w:rPr>
          <w:rFonts w:ascii="宋体" w:hAnsi="宋体" w:cs="宋体"/>
          <w:b/>
          <w:sz w:val="30"/>
          <w:szCs w:val="30"/>
          <w:highlight w:val="none"/>
        </w:rPr>
      </w:r>
      <w:r/>
    </w:p>
    <w:p>
      <w:pPr>
        <w:pStyle w:val="967"/>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供应商符合《政府采购法》第二十二条规定条件的声明函</w:t>
      </w:r>
      <w:r>
        <w:rPr>
          <w:rFonts w:ascii="宋体" w:hAnsi="宋体" w:cs="宋体"/>
          <w:b/>
          <w:sz w:val="30"/>
          <w:szCs w:val="30"/>
          <w:highlight w:val="none"/>
        </w:rPr>
      </w:r>
      <w:r/>
    </w:p>
    <w:p>
      <w:pPr>
        <w:pStyle w:val="967"/>
        <w:spacing w:line="360" w:lineRule="auto"/>
        <w:rPr>
          <w:rFonts w:ascii="宋体" w:hAnsi="宋体"/>
          <w:b/>
          <w:bCs/>
          <w:sz w:val="44"/>
          <w:szCs w:val="44"/>
          <w:highlight w:val="none"/>
        </w:rPr>
      </w:pPr>
      <w:r>
        <w:rPr>
          <w:rFonts w:ascii="宋体" w:hAnsi="宋体"/>
          <w:b/>
          <w:bCs/>
          <w:sz w:val="44"/>
          <w:szCs w:val="44"/>
          <w:highlight w:val="none"/>
        </w:rPr>
      </w:r>
      <w:r/>
    </w:p>
    <w:p>
      <w:pPr>
        <w:pStyle w:val="967"/>
        <w:ind w:firstLine="480"/>
        <w:spacing w:line="360" w:lineRule="auto"/>
        <w:rPr>
          <w:rFonts w:hint="eastAsia" w:ascii="宋体" w:hAnsi="宋体" w:eastAsia="宋体" w:cs="仿宋_GB2312"/>
          <w:bCs/>
          <w:sz w:val="24"/>
          <w:highlight w:val="none"/>
          <w:u w:val="single"/>
          <w:lang w:eastAsia="zh-CN"/>
        </w:rPr>
      </w:pPr>
      <w:r>
        <w:rPr>
          <w:rFonts w:hint="eastAsia" w:ascii="宋体" w:hAnsi="宋体" w:cs="仿宋_GB2312"/>
          <w:bCs/>
          <w:sz w:val="24"/>
          <w:szCs w:val="22"/>
          <w:highlight w:val="none"/>
        </w:rPr>
        <w:t xml:space="preserve">我单位参加</w:t>
      </w:r>
      <w:r>
        <w:rPr>
          <w:rFonts w:hint="eastAsia" w:ascii="宋体" w:hAnsi="宋体" w:cs="仿宋_GB2312"/>
          <w:bCs/>
          <w:sz w:val="24"/>
          <w:highlight w:val="none"/>
          <w:u w:val="single"/>
        </w:rPr>
        <w:t xml:space="preserve">_________________</w:t>
      </w:r>
      <w:r>
        <w:rPr>
          <w:rFonts w:hint="eastAsia" w:ascii="宋体" w:hAnsi="宋体" w:cs="仿宋_GB2312"/>
          <w:bCs/>
          <w:sz w:val="24"/>
          <w:highlight w:val="none"/>
        </w:rPr>
        <w:t xml:space="preserve">（项目名称），</w:t>
      </w:r>
      <w:r>
        <w:rPr>
          <w:rFonts w:hint="eastAsia" w:ascii="宋体" w:hAnsi="宋体" w:cs="仿宋_GB2312"/>
          <w:bCs/>
          <w:sz w:val="24"/>
          <w:highlight w:val="none"/>
          <w:u w:val="single"/>
        </w:rPr>
        <w:t xml:space="preserve">_</w:t>
      </w:r>
      <w:r>
        <w:rPr>
          <w:rFonts w:hint="eastAsia" w:ascii="宋体" w:hAnsi="宋体" w:cs="仿宋_GB2312"/>
          <w:bCs/>
          <w:sz w:val="24"/>
          <w:highlight w:val="none"/>
          <w:u w:val="single"/>
          <w:lang w:eastAsia="zh-CN"/>
        </w:rPr>
        <w:t xml:space="preserve">JSZC-320600-XXDF-G2026-0009</w:t>
      </w:r>
      <w:r>
        <w:rPr>
          <w:rFonts w:hint="eastAsia" w:ascii="宋体" w:hAnsi="宋体" w:eastAsia="宋体" w:cs="仿宋_GB2312"/>
          <w:bCs/>
          <w:sz w:val="24"/>
          <w:highlight w:val="none"/>
          <w:u w:val="single"/>
          <w:lang w:eastAsia="zh-CN"/>
        </w:rPr>
      </w:r>
      <w:r/>
    </w:p>
    <w:p>
      <w:pPr>
        <w:pStyle w:val="967"/>
        <w:ind w:firstLine="480"/>
        <w:spacing w:line="360" w:lineRule="auto"/>
        <w:rPr>
          <w:rFonts w:ascii="宋体" w:hAnsi="宋体" w:cs="仿宋_GB2312"/>
          <w:b/>
          <w:bCs/>
          <w:sz w:val="24"/>
          <w:szCs w:val="22"/>
          <w:highlight w:val="none"/>
        </w:rPr>
      </w:pPr>
      <w:r>
        <w:rPr>
          <w:rFonts w:hint="eastAsia" w:ascii="宋体" w:hAnsi="宋体" w:cs="仿宋_GB2312"/>
          <w:bCs/>
          <w:sz w:val="24"/>
          <w:highlight w:val="none"/>
        </w:rPr>
        <w:t xml:space="preserve">（项目编号）竞争性磋商活动。针对《中华人民共和国政府采购法》第二十二条规定做出如下声明：</w:t>
      </w:r>
      <w:r>
        <w:rPr>
          <w:rFonts w:ascii="宋体" w:hAnsi="宋体" w:cs="仿宋_GB2312"/>
          <w:b/>
          <w:bCs/>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bCs/>
          <w:sz w:val="24"/>
          <w:highlight w:val="none"/>
        </w:rPr>
        <w:t xml:space="preserve">1、我单位具有独立承担民事责任的能力；</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2、我单位具有良好的商业信誉和健全的财务会计制度；</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3、我单位具有履行合同所必需的设备和专业技术能力；</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4、我单位有依法缴纳税收和社会保障资金的良好记录；</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hint="eastAsia" w:ascii="宋体" w:hAnsi="宋体" w:cs="仿宋_GB2312"/>
          <w:sz w:val="24"/>
          <w:szCs w:val="22"/>
          <w:highlight w:val="none"/>
        </w:rPr>
        <w:t xml:space="preserve">6、我单位满足法律、行政法规规定的其他条件。</w:t>
      </w:r>
      <w:r>
        <w:rPr>
          <w:rFonts w:ascii="宋体" w:hAnsi="宋体" w:cs="仿宋_GB2312"/>
          <w:sz w:val="24"/>
          <w:szCs w:val="22"/>
          <w:highlight w:val="none"/>
        </w:rPr>
      </w:r>
      <w:r/>
    </w:p>
    <w:p>
      <w:pPr>
        <w:pStyle w:val="967"/>
        <w:ind w:firstLine="480"/>
        <w:spacing w:line="360" w:lineRule="auto"/>
        <w:rPr>
          <w:rFonts w:ascii="宋体" w:hAnsi="宋体" w:cs="仿宋_GB2312"/>
          <w:sz w:val="24"/>
          <w:szCs w:val="22"/>
          <w:highlight w:val="none"/>
        </w:rPr>
      </w:pPr>
      <w:r>
        <w:rPr>
          <w:rFonts w:ascii="宋体" w:hAnsi="宋体" w:cs="仿宋_GB2312"/>
          <w:sz w:val="24"/>
          <w:szCs w:val="22"/>
          <w:highlight w:val="none"/>
        </w:rPr>
      </w:r>
      <w:r/>
    </w:p>
    <w:p>
      <w:pPr>
        <w:pStyle w:val="967"/>
        <w:spacing w:line="360" w:lineRule="auto"/>
        <w:rPr>
          <w:rFonts w:ascii="宋体" w:hAnsi="宋体" w:cs="仿宋_GB2312"/>
          <w:bCs/>
          <w:sz w:val="24"/>
          <w:highlight w:val="none"/>
        </w:rPr>
      </w:pPr>
      <w:r>
        <w:rPr>
          <w:rFonts w:ascii="宋体" w:hAnsi="宋体" w:cs="仿宋_GB2312"/>
          <w:bCs/>
          <w:sz w:val="24"/>
          <w:highlight w:val="none"/>
        </w:rPr>
      </w:r>
      <w:r/>
    </w:p>
    <w:p>
      <w:pPr>
        <w:pStyle w:val="967"/>
        <w:ind w:firstLine="480"/>
        <w:jc w:val="center"/>
        <w:spacing w:line="360" w:lineRule="auto"/>
        <w:rPr>
          <w:rFonts w:ascii="宋体" w:hAnsi="宋体" w:cs="仿宋_GB2312"/>
          <w:bCs/>
          <w:sz w:val="24"/>
          <w:highlight w:val="none"/>
        </w:rPr>
      </w:pPr>
      <w:r>
        <w:rPr>
          <w:rFonts w:hint="eastAsia" w:ascii="宋体" w:hAnsi="宋体" w:cs="仿宋_GB2312"/>
          <w:bCs/>
          <w:sz w:val="24"/>
          <w:highlight w:val="none"/>
        </w:rPr>
        <w:t xml:space="preserve">                                承诺人名称（公章）：</w:t>
      </w:r>
      <w:r>
        <w:rPr>
          <w:rFonts w:ascii="宋体" w:hAnsi="宋体" w:cs="仿宋_GB2312"/>
          <w:bCs/>
          <w:sz w:val="24"/>
          <w:highlight w:val="none"/>
        </w:rPr>
      </w:r>
      <w:r/>
    </w:p>
    <w:p>
      <w:pPr>
        <w:pStyle w:val="967"/>
        <w:ind w:firstLine="480"/>
        <w:jc w:val="right"/>
        <w:spacing w:line="360" w:lineRule="auto"/>
        <w:rPr>
          <w:rFonts w:ascii="宋体" w:hAnsi="宋体" w:cs="仿宋_GB2312"/>
          <w:bCs/>
          <w:sz w:val="24"/>
          <w:highlight w:val="none"/>
        </w:rPr>
      </w:pPr>
      <w:r>
        <w:rPr>
          <w:rFonts w:ascii="宋体" w:hAnsi="宋体" w:cs="仿宋_GB2312"/>
          <w:bCs/>
          <w:sz w:val="24"/>
          <w:highlight w:val="none"/>
        </w:rPr>
      </w:r>
      <w:r/>
    </w:p>
    <w:p>
      <w:pPr>
        <w:pStyle w:val="967"/>
        <w:ind w:firstLine="480"/>
        <w:jc w:val="right"/>
        <w:spacing w:line="360" w:lineRule="auto"/>
        <w:rPr>
          <w:rFonts w:ascii="宋体" w:hAnsi="宋体" w:cs="仿宋_GB2312"/>
          <w:bCs/>
          <w:sz w:val="24"/>
          <w:highlight w:val="none"/>
        </w:rPr>
      </w:pPr>
      <w:r>
        <w:rPr>
          <w:rFonts w:hint="eastAsia" w:ascii="宋体" w:hAnsi="宋体" w:cs="仿宋_GB2312"/>
          <w:bCs/>
          <w:sz w:val="24"/>
          <w:highlight w:val="none"/>
        </w:rPr>
        <w:t xml:space="preserve">日期：年 月 日</w:t>
      </w:r>
      <w:r>
        <w:rPr>
          <w:rFonts w:ascii="宋体" w:hAnsi="宋体" w:cs="仿宋_GB2312"/>
          <w:bCs/>
          <w:sz w:val="24"/>
          <w:highlight w:val="none"/>
        </w:rPr>
      </w:r>
      <w:r/>
    </w:p>
    <w:p>
      <w:pPr>
        <w:pStyle w:val="967"/>
        <w:spacing w:line="360" w:lineRule="auto"/>
        <w:rPr>
          <w:rFonts w:ascii="宋体" w:hAnsi="宋体"/>
          <w:sz w:val="32"/>
          <w:szCs w:val="32"/>
          <w:highlight w:val="none"/>
          <w:lang w:val="zh-CN"/>
        </w:rPr>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附件2</w:t>
      </w:r>
      <w:r>
        <w:rPr>
          <w:rFonts w:ascii="宋体" w:hAnsi="宋体"/>
          <w:sz w:val="32"/>
          <w:szCs w:val="32"/>
          <w:highlight w:val="none"/>
          <w:lang w:val="zh-CN"/>
        </w:rPr>
      </w:r>
      <w:r/>
    </w:p>
    <w:p>
      <w:pPr>
        <w:pStyle w:val="967"/>
        <w:jc w:val="center"/>
        <w:spacing w:line="360" w:lineRule="auto"/>
        <w:rPr>
          <w:rFonts w:ascii="宋体" w:hAnsi="宋体"/>
          <w:b/>
          <w:bCs/>
          <w:sz w:val="32"/>
          <w:szCs w:val="32"/>
          <w:highlight w:val="none"/>
        </w:rPr>
      </w:pPr>
      <w:r>
        <w:rPr>
          <w:rFonts w:ascii="宋体" w:hAnsi="宋体"/>
          <w:b/>
          <w:bCs/>
          <w:sz w:val="32"/>
          <w:szCs w:val="32"/>
          <w:highlight w:val="none"/>
        </w:rPr>
      </w:r>
      <w:r/>
    </w:p>
    <w:p>
      <w:pPr>
        <w:pStyle w:val="967"/>
        <w:jc w:val="center"/>
        <w:spacing w:line="360" w:lineRule="auto"/>
        <w:rPr>
          <w:rFonts w:ascii="宋体" w:hAnsi="宋体" w:cs="仿宋_GB2312"/>
          <w:b/>
          <w:bCs/>
          <w:sz w:val="32"/>
          <w:szCs w:val="32"/>
          <w:highlight w:val="none"/>
        </w:rPr>
      </w:pPr>
      <w:r>
        <w:rPr>
          <w:rFonts w:hint="eastAsia" w:ascii="宋体" w:hAnsi="宋体" w:cs="仿宋_GB2312"/>
          <w:b/>
          <w:bCs/>
          <w:sz w:val="32"/>
          <w:szCs w:val="32"/>
          <w:highlight w:val="none"/>
        </w:rPr>
        <w:t xml:space="preserve">法定代表人身份证明</w:t>
      </w:r>
      <w:r>
        <w:rPr>
          <w:rFonts w:ascii="宋体" w:hAnsi="宋体" w:cs="仿宋_GB2312"/>
          <w:b/>
          <w:bCs/>
          <w:sz w:val="32"/>
          <w:szCs w:val="32"/>
          <w:highlight w:val="none"/>
        </w:rPr>
      </w:r>
      <w:r/>
    </w:p>
    <w:p>
      <w:pPr>
        <w:pStyle w:val="967"/>
        <w:spacing w:line="360" w:lineRule="auto"/>
        <w:rPr>
          <w:rFonts w:ascii="宋体" w:hAnsi="宋体" w:cs="仿宋_GB2312"/>
          <w:sz w:val="24"/>
          <w:szCs w:val="22"/>
          <w:highlight w:val="none"/>
        </w:rPr>
      </w:pPr>
      <w:r>
        <w:rPr>
          <w:rFonts w:ascii="宋体" w:hAnsi="宋体" w:cs="仿宋_GB2312"/>
          <w:sz w:val="24"/>
          <w:szCs w:val="22"/>
          <w:highlight w:val="none"/>
        </w:rPr>
      </w:r>
      <w:r/>
    </w:p>
    <w:p>
      <w:pPr>
        <w:pStyle w:val="967"/>
        <w:spacing w:before="380" w:after="380" w:line="360" w:lineRule="auto"/>
        <w:widowControl/>
        <w:rPr>
          <w:rFonts w:ascii="Calibri" w:hAnsi="Calibri"/>
          <w:sz w:val="24"/>
          <w:szCs w:val="22"/>
          <w:highlight w:val="none"/>
        </w:rPr>
      </w:pPr>
      <w:r/>
      <w:bookmarkStart w:id="214" w:name="_Hlk49178957"/>
      <w:r>
        <w:rPr>
          <w:rFonts w:hint="eastAsia" w:ascii="Calibri" w:hAnsi="Calibri" w:cs="宋体"/>
          <w:sz w:val="24"/>
          <w:szCs w:val="22"/>
          <w:highlight w:val="none"/>
        </w:rPr>
        <w:t xml:space="preserve">南通市城市照明管理处：</w:t>
      </w:r>
      <w:bookmarkEnd w:id="214"/>
      <w:r>
        <w:rPr>
          <w:rFonts w:ascii="Calibri" w:hAnsi="Calibri"/>
          <w:sz w:val="24"/>
          <w:szCs w:val="22"/>
          <w:highlight w:val="none"/>
        </w:rPr>
      </w:r>
      <w:r/>
    </w:p>
    <w:p>
      <w:pPr>
        <w:pStyle w:val="967"/>
        <w:ind w:firstLine="480"/>
        <w:spacing w:line="360" w:lineRule="auto"/>
        <w:widowControl/>
        <w:rPr>
          <w:rFonts w:ascii="Calibri" w:hAnsi="Calibri"/>
          <w:sz w:val="24"/>
          <w:szCs w:val="22"/>
          <w:highlight w:val="none"/>
        </w:rPr>
      </w:pPr>
      <w:r>
        <w:rPr>
          <w:rFonts w:hint="eastAsia" w:ascii="Calibri" w:hAnsi="Calibri" w:cs="宋体"/>
          <w:sz w:val="24"/>
          <w:szCs w:val="22"/>
          <w:highlight w:val="none"/>
        </w:rPr>
        <w:t xml:space="preserve">（先生／女士）现任我单位</w:t>
      </w:r>
      <w:r>
        <w:rPr>
          <w:rFonts w:hint="eastAsia" w:ascii="Calibri" w:hAnsi="Calibri" w:cs="宋体"/>
          <w:sz w:val="24"/>
          <w:szCs w:val="22"/>
          <w:highlight w:val="none"/>
          <w:u w:val="single"/>
        </w:rPr>
        <w:t xml:space="preserve">　　　　　　　</w:t>
      </w:r>
      <w:r>
        <w:rPr>
          <w:rFonts w:hint="eastAsia" w:ascii="Calibri" w:hAnsi="Calibri" w:cs="宋体"/>
          <w:sz w:val="24"/>
          <w:szCs w:val="22"/>
          <w:highlight w:val="none"/>
        </w:rPr>
        <w:t xml:space="preserve">职务，为法定代表人，特此证明。</w:t>
      </w:r>
      <w:r>
        <w:rPr>
          <w:rFonts w:ascii="Calibri" w:hAnsi="Calibri"/>
          <w:sz w:val="24"/>
          <w:szCs w:val="22"/>
          <w:highlight w:val="none"/>
        </w:rPr>
      </w:r>
      <w:r/>
    </w:p>
    <w:p>
      <w:pPr>
        <w:pStyle w:val="967"/>
        <w:ind w:firstLine="480"/>
        <w:spacing w:line="360" w:lineRule="auto"/>
        <w:widowControl/>
        <w:rPr>
          <w:rFonts w:ascii="Calibri" w:hAnsi="Calibri"/>
          <w:sz w:val="24"/>
          <w:szCs w:val="22"/>
          <w:highlight w:val="none"/>
          <w:u w:val="single"/>
        </w:rPr>
      </w:pPr>
      <w:r>
        <w:rPr>
          <w:rFonts w:hint="eastAsia" w:ascii="Calibri" w:hAnsi="Calibri" w:cs="宋体"/>
          <w:sz w:val="24"/>
          <w:szCs w:val="22"/>
          <w:highlight w:val="none"/>
        </w:rPr>
        <w:t xml:space="preserve">身份证号码：</w:t>
      </w:r>
      <w:r>
        <w:rPr>
          <w:rFonts w:ascii="Calibri" w:hAnsi="Calibri"/>
          <w:sz w:val="24"/>
          <w:szCs w:val="22"/>
          <w:highlight w:val="none"/>
          <w:u w:val="single"/>
        </w:rPr>
      </w:r>
      <w:r/>
    </w:p>
    <w:p>
      <w:pPr>
        <w:pStyle w:val="967"/>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供应商（盖章）</w:t>
      </w:r>
      <w:r>
        <w:rPr>
          <w:rFonts w:ascii="Calibri" w:hAnsi="Calibri"/>
          <w:sz w:val="24"/>
          <w:szCs w:val="22"/>
          <w:highlight w:val="none"/>
        </w:rPr>
      </w:r>
      <w:r/>
    </w:p>
    <w:p>
      <w:pPr>
        <w:pStyle w:val="967"/>
        <w:ind w:firstLine="485"/>
        <w:jc w:val="right"/>
        <w:spacing w:line="360" w:lineRule="auto"/>
        <w:widowControl/>
        <w:rPr>
          <w:rFonts w:ascii="Calibri" w:hAnsi="Calibri"/>
          <w:sz w:val="24"/>
          <w:szCs w:val="22"/>
          <w:highlight w:val="none"/>
        </w:rPr>
      </w:pPr>
      <w:r>
        <w:rPr>
          <w:rFonts w:hint="eastAsia" w:ascii="Calibri" w:hAnsi="Calibri" w:cs="宋体"/>
          <w:sz w:val="24"/>
          <w:szCs w:val="22"/>
          <w:highlight w:val="none"/>
        </w:rPr>
        <w:t xml:space="preserve">年 月 日</w:t>
      </w:r>
      <w:r>
        <w:rPr>
          <w:rFonts w:ascii="Calibri" w:hAnsi="Calibri"/>
          <w:sz w:val="24"/>
          <w:szCs w:val="22"/>
          <w:highlight w:val="none"/>
        </w:rPr>
      </w:r>
      <w:r/>
    </w:p>
    <w:p>
      <w:pPr>
        <w:pStyle w:val="967"/>
        <w:ind w:firstLine="485"/>
        <w:jc w:val="left"/>
        <w:spacing w:line="360" w:lineRule="auto"/>
        <w:widowControl/>
        <w:rPr>
          <w:rFonts w:ascii="Calibri" w:hAnsi="Calibri"/>
          <w:sz w:val="24"/>
          <w:szCs w:val="22"/>
          <w:highlight w:val="none"/>
        </w:rPr>
      </w:pPr>
      <w:r>
        <w:rPr>
          <w:rFonts w:ascii="Calibri" w:hAnsi="Calibri"/>
          <w:sz w:val="24"/>
          <w:szCs w:val="22"/>
          <w:highlight w:val="none"/>
        </w:rPr>
      </w:r>
      <w:r/>
    </w:p>
    <w:p>
      <w:pPr>
        <w:pStyle w:val="967"/>
        <w:ind w:firstLine="485"/>
        <w:jc w:val="left"/>
        <w:spacing w:line="360" w:lineRule="auto"/>
        <w:widowControl/>
        <w:rPr>
          <w:rFonts w:ascii="Calibri" w:hAnsi="Calibri"/>
          <w:sz w:val="24"/>
          <w:szCs w:val="22"/>
          <w:highlight w:val="none"/>
        </w:rPr>
      </w:pPr>
      <w:r>
        <w:rPr>
          <w:rFonts w:ascii="Calibri" w:hAnsi="Calibri"/>
          <w:sz w:val="24"/>
          <w:szCs w:val="22"/>
          <w:highlight w:val="none"/>
        </w:rPr>
      </w:r>
      <w:r/>
    </w:p>
    <w:p>
      <w:pPr>
        <w:pStyle w:val="967"/>
        <w:ind w:firstLine="482"/>
        <w:jc w:val="center"/>
        <w:spacing w:line="360" w:lineRule="auto"/>
        <w:widowControl/>
        <w:rPr>
          <w:rFonts w:ascii="Calibri" w:hAnsi="Calibri"/>
          <w:b/>
          <w:bCs/>
          <w:sz w:val="24"/>
          <w:szCs w:val="22"/>
          <w:highlight w:val="none"/>
        </w:rPr>
      </w:pPr>
      <w:r>
        <w:rPr>
          <w:rFonts w:hint="eastAsia" w:ascii="宋体" w:hAnsi="宋体" w:cs="仿宋_GB2312"/>
          <w:b/>
          <w:sz w:val="24"/>
          <w:szCs w:val="22"/>
          <w:highlight w:val="none"/>
        </w:rPr>
        <w:t xml:space="preserve">注：提供</w:t>
      </w:r>
      <w:r>
        <w:rPr>
          <w:rFonts w:hint="eastAsia" w:ascii="Calibri" w:hAnsi="Calibri" w:cs="宋体"/>
          <w:b/>
          <w:bCs/>
          <w:sz w:val="24"/>
          <w:szCs w:val="22"/>
          <w:highlight w:val="none"/>
        </w:rPr>
        <w:t xml:space="preserve">法定代表人的身份证扫描件（正、反面）</w:t>
      </w:r>
      <w:r>
        <w:rPr>
          <w:rFonts w:ascii="Calibri" w:hAnsi="Calibri"/>
          <w:b/>
          <w:bCs/>
          <w:sz w:val="24"/>
          <w:szCs w:val="22"/>
          <w:highlight w:val="none"/>
        </w:rPr>
      </w:r>
      <w:r/>
    </w:p>
    <w:p>
      <w:pPr>
        <w:pStyle w:val="967"/>
        <w:ind w:firstLine="482"/>
        <w:jc w:val="center"/>
        <w:spacing w:line="360" w:lineRule="auto"/>
        <w:widowControl/>
        <w:rPr>
          <w:rFonts w:ascii="Calibri" w:hAnsi="Calibri"/>
          <w:b/>
          <w:bCs/>
          <w:sz w:val="24"/>
          <w:szCs w:val="22"/>
          <w:highlight w:val="none"/>
        </w:rPr>
      </w:pPr>
      <w:r>
        <w:rPr>
          <w:rFonts w:ascii="Calibri" w:hAnsi="Calibri"/>
          <w:b/>
          <w:bCs/>
          <w:sz w:val="24"/>
          <w:szCs w:val="22"/>
          <w:highlight w:val="none"/>
        </w:rPr>
      </w:r>
      <w:r/>
    </w:p>
    <w:p>
      <w:pPr>
        <w:pStyle w:val="967"/>
        <w:spacing w:line="360" w:lineRule="auto"/>
        <w:rPr>
          <w:rFonts w:ascii="宋体" w:hAnsi="宋体" w:cs="仿宋_GB2312"/>
          <w:szCs w:val="22"/>
          <w:highlight w:val="none"/>
        </w:rPr>
      </w:pPr>
      <w:r>
        <w:rPr>
          <w:rFonts w:ascii="宋体" w:hAnsi="宋体" w:cs="仿宋_GB2312"/>
          <w:szCs w:val="22"/>
          <w:highlight w:val="none"/>
        </w:rPr>
      </w:r>
      <w:r/>
    </w:p>
    <w:p>
      <w:pPr>
        <w:pStyle w:val="967"/>
        <w:contextualSpacing/>
        <w:ind w:firstLine="540"/>
        <w:spacing w:line="360" w:lineRule="auto"/>
        <w:rPr>
          <w:rFonts w:ascii="宋体" w:hAnsi="宋体" w:cs="仿宋_GB2312"/>
          <w:b/>
          <w:sz w:val="28"/>
          <w:szCs w:val="28"/>
          <w:highlight w:val="none"/>
        </w:rPr>
      </w:pPr>
      <w:r>
        <w:rPr>
          <w:rFonts w:ascii="宋体" w:hAnsi="宋体" w:cs="仿宋_GB2312"/>
          <w:b/>
          <w:sz w:val="28"/>
          <w:szCs w:val="28"/>
          <w:highlight w:val="none"/>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contextualSpacing/>
        <w:ind w:firstLine="540"/>
        <w:spacing w:line="360" w:lineRule="auto"/>
        <w:rPr>
          <w:rFonts w:ascii="宋体" w:hAnsi="宋体" w:cs="仿宋_GB2312"/>
          <w:b/>
          <w:sz w:val="28"/>
          <w:szCs w:val="28"/>
          <w:highlight w:val="none"/>
          <w:lang w:val="zh-CN"/>
        </w:rPr>
      </w:pPr>
      <w:r>
        <w:rPr>
          <w:rFonts w:ascii="宋体" w:hAnsi="宋体" w:cs="仿宋_GB2312"/>
          <w:b/>
          <w:sz w:val="28"/>
          <w:szCs w:val="28"/>
          <w:highlight w:val="none"/>
          <w:lang w:val="zh-CN"/>
        </w:rPr>
      </w:r>
      <w:r/>
    </w:p>
    <w:p>
      <w:pPr>
        <w:pStyle w:val="967"/>
        <w:spacing w:line="360" w:lineRule="auto"/>
        <w:rPr>
          <w:rFonts w:ascii="宋体" w:hAnsi="宋体" w:cs="宋体"/>
          <w:b/>
          <w:sz w:val="30"/>
          <w:szCs w:val="30"/>
          <w:highlight w:val="none"/>
        </w:rPr>
      </w:pPr>
      <w:r>
        <w:rPr>
          <w:rFonts w:ascii="宋体" w:hAnsi="宋体" w:cs="宋体"/>
          <w:b/>
          <w:sz w:val="30"/>
          <w:szCs w:val="30"/>
          <w:highlight w:val="none"/>
        </w:rPr>
        <w:br w:type="page" w:clear="all"/>
      </w:r>
      <w:r>
        <w:rPr>
          <w:rFonts w:hint="eastAsia" w:ascii="宋体" w:hAnsi="宋体" w:cs="宋体"/>
          <w:b/>
          <w:sz w:val="30"/>
          <w:szCs w:val="30"/>
          <w:highlight w:val="none"/>
        </w:rPr>
        <w:t xml:space="preserve">附件3</w:t>
      </w:r>
      <w:r>
        <w:rPr>
          <w:rFonts w:ascii="宋体" w:hAnsi="宋体" w:cs="宋体"/>
          <w:b/>
          <w:sz w:val="30"/>
          <w:szCs w:val="30"/>
          <w:highlight w:val="none"/>
        </w:rPr>
      </w:r>
      <w:r/>
    </w:p>
    <w:p>
      <w:pPr>
        <w:pStyle w:val="967"/>
        <w:jc w:val="center"/>
        <w:spacing w:line="360" w:lineRule="auto"/>
        <w:rPr>
          <w:rFonts w:ascii="宋体" w:hAnsi="宋体" w:cs="仿宋_GB2312"/>
          <w:sz w:val="32"/>
          <w:szCs w:val="32"/>
          <w:highlight w:val="none"/>
        </w:rPr>
      </w:pPr>
      <w:r>
        <w:rPr>
          <w:rFonts w:ascii="宋体" w:hAnsi="宋体" w:cs="仿宋_GB2312"/>
          <w:sz w:val="32"/>
          <w:szCs w:val="32"/>
          <w:highlight w:val="none"/>
        </w:rPr>
      </w:r>
      <w:r/>
    </w:p>
    <w:p>
      <w:pPr>
        <w:pStyle w:val="967"/>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法定代表人授权委托书</w:t>
      </w:r>
      <w:r>
        <w:rPr>
          <w:rFonts w:ascii="宋体" w:hAnsi="宋体" w:cs="仿宋_GB2312"/>
          <w:b/>
          <w:bCs/>
          <w:sz w:val="24"/>
          <w:szCs w:val="22"/>
          <w:highlight w:val="none"/>
        </w:rPr>
      </w:r>
      <w:r/>
    </w:p>
    <w:p>
      <w:pPr>
        <w:pStyle w:val="967"/>
        <w:ind w:firstLine="480"/>
        <w:spacing w:line="360" w:lineRule="auto"/>
        <w:rPr>
          <w:rFonts w:ascii="宋体" w:hAnsi="宋体" w:cs="宋体"/>
          <w:sz w:val="24"/>
          <w:szCs w:val="22"/>
          <w:highlight w:val="none"/>
        </w:rPr>
      </w:pP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人------（姓名）系————（授权单位名称）的法定代表人，现委托-------（姓名）（身份证号——————）为我方代理人，以我方名义全权处理与本次采购项目（编号：----------）有关的一切事务，其法律后果由我方承担。</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本授权书于---年---月---日起生效。代理人无转委托权。</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代理人(被授权人):------</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授权单位名称（盖章）：-----</w:t>
      </w:r>
      <w:r>
        <w:rPr>
          <w:rFonts w:ascii="宋体" w:hAnsi="宋体" w:cs="宋体"/>
          <w:sz w:val="24"/>
          <w:szCs w:val="22"/>
          <w:highlight w:val="none"/>
        </w:rPr>
      </w:r>
      <w:r/>
    </w:p>
    <w:p>
      <w:pPr>
        <w:pStyle w:val="967"/>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授权单位法定代表人（签字或盖章）：-----</w:t>
      </w:r>
      <w:r>
        <w:rPr>
          <w:rFonts w:ascii="宋体" w:hAnsi="宋体" w:cs="宋体"/>
          <w:sz w:val="24"/>
          <w:szCs w:val="22"/>
          <w:highlight w:val="none"/>
        </w:rPr>
      </w:r>
      <w:r/>
    </w:p>
    <w:p>
      <w:pPr>
        <w:pStyle w:val="967"/>
        <w:ind w:firstLine="480"/>
        <w:jc w:val="right"/>
        <w:spacing w:line="360" w:lineRule="auto"/>
        <w:rPr>
          <w:rFonts w:ascii="宋体" w:hAnsi="宋体" w:cs="宋体"/>
          <w:sz w:val="24"/>
          <w:szCs w:val="22"/>
          <w:highlight w:val="none"/>
        </w:rPr>
      </w:pPr>
      <w:r>
        <w:rPr>
          <w:rFonts w:ascii="宋体" w:hAnsi="宋体" w:cs="宋体"/>
          <w:sz w:val="24"/>
          <w:szCs w:val="22"/>
          <w:highlight w:val="none"/>
        </w:rPr>
      </w:r>
      <w:r/>
    </w:p>
    <w:p>
      <w:pPr>
        <w:pStyle w:val="967"/>
        <w:ind w:firstLine="480"/>
        <w:jc w:val="right"/>
        <w:spacing w:line="360" w:lineRule="auto"/>
        <w:rPr>
          <w:rFonts w:ascii="宋体" w:hAnsi="宋体" w:cs="宋体"/>
          <w:sz w:val="24"/>
          <w:szCs w:val="22"/>
          <w:highlight w:val="none"/>
        </w:rPr>
      </w:pPr>
      <w:r>
        <w:rPr>
          <w:rFonts w:hint="eastAsia" w:ascii="宋体" w:hAnsi="宋体" w:cs="宋体"/>
          <w:sz w:val="24"/>
          <w:szCs w:val="22"/>
          <w:highlight w:val="none"/>
        </w:rPr>
        <w:t xml:space="preserve">XXXX年XX月XX日</w:t>
      </w:r>
      <w:r>
        <w:rPr>
          <w:rFonts w:ascii="宋体" w:hAnsi="宋体" w:cs="宋体"/>
          <w:sz w:val="24"/>
          <w:szCs w:val="22"/>
          <w:highlight w:val="none"/>
        </w:rPr>
      </w:r>
      <w:r/>
    </w:p>
    <w:p>
      <w:pPr>
        <w:pStyle w:val="967"/>
        <w:contextualSpacing/>
        <w:ind w:firstLine="482"/>
        <w:spacing w:line="360" w:lineRule="auto"/>
        <w:rPr>
          <w:rFonts w:ascii="宋体" w:hAnsi="宋体" w:cs="宋体"/>
          <w:b/>
          <w:sz w:val="24"/>
          <w:szCs w:val="22"/>
          <w:highlight w:val="none"/>
        </w:rPr>
      </w:pPr>
      <w:r>
        <w:rPr>
          <w:rFonts w:ascii="宋体" w:hAnsi="宋体" w:cs="宋体"/>
          <w:b/>
          <w:sz w:val="24"/>
          <w:szCs w:val="22"/>
          <w:highlight w:val="none"/>
        </w:rPr>
      </w:r>
      <w:r/>
    </w:p>
    <w:p>
      <w:pPr>
        <w:pStyle w:val="967"/>
        <w:ind w:firstLine="487"/>
        <w:jc w:val="center"/>
        <w:spacing w:after="200" w:line="360" w:lineRule="auto"/>
        <w:widowControl/>
        <w:rPr>
          <w:rFonts w:ascii="宋体" w:hAnsi="宋体" w:cs="宋体"/>
          <w:b/>
          <w:sz w:val="24"/>
          <w:szCs w:val="22"/>
          <w:highlight w:val="none"/>
        </w:rPr>
      </w:pPr>
      <w:r>
        <w:rPr>
          <w:rFonts w:ascii="宋体" w:hAnsi="宋体" w:cs="宋体"/>
          <w:b/>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hint="eastAsia" w:ascii="宋体" w:hAnsi="宋体" w:cs="宋体"/>
          <w:b/>
          <w:sz w:val="24"/>
          <w:szCs w:val="22"/>
          <w:highlight w:val="none"/>
        </w:rPr>
        <w:t xml:space="preserve">注：提供</w:t>
      </w:r>
      <w:r>
        <w:rPr>
          <w:rFonts w:hint="eastAsia" w:ascii="宋体" w:hAnsi="宋体" w:cs="宋体"/>
          <w:b/>
          <w:bCs/>
          <w:sz w:val="24"/>
          <w:szCs w:val="22"/>
          <w:highlight w:val="none"/>
        </w:rPr>
        <w:t xml:space="preserve">被委托授权人的身份证扫描件（正、反面）</w:t>
      </w: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ind w:firstLine="487"/>
        <w:jc w:val="center"/>
        <w:spacing w:after="200" w:line="360" w:lineRule="auto"/>
        <w:widowControl/>
        <w:rPr>
          <w:rFonts w:ascii="宋体" w:hAnsi="宋体" w:cs="宋体"/>
          <w:b/>
          <w:bCs/>
          <w:sz w:val="24"/>
          <w:szCs w:val="22"/>
          <w:highlight w:val="none"/>
        </w:rPr>
      </w:pPr>
      <w:r>
        <w:rPr>
          <w:rFonts w:ascii="宋体" w:hAnsi="宋体" w:cs="宋体"/>
          <w:b/>
          <w:bCs/>
          <w:sz w:val="24"/>
          <w:szCs w:val="22"/>
          <w:highlight w:val="none"/>
        </w:rPr>
      </w:r>
      <w:r/>
    </w:p>
    <w:p>
      <w:pPr>
        <w:pStyle w:val="967"/>
        <w:spacing w:line="460" w:lineRule="exact"/>
        <w:rPr>
          <w:rFonts w:ascii="宋体" w:hAnsi="宋体" w:cs="宋体"/>
          <w:sz w:val="24"/>
          <w:szCs w:val="22"/>
          <w:highlight w:val="none"/>
        </w:rPr>
      </w:pPr>
      <w:r>
        <w:rPr>
          <w:rFonts w:hint="eastAsia" w:ascii="宋体" w:hAnsi="宋体" w:cs="宋体"/>
          <w:sz w:val="24"/>
          <w:szCs w:val="22"/>
          <w:highlight w:val="none"/>
        </w:rPr>
        <w:t xml:space="preserve">附：被授权委托人应为投标响应供应商在职人员，递交授权委托书时须提供被授权委托人在该单位自2026年01月-2026年03月任意一个月社保证明，否则作无效处理。</w:t>
      </w:r>
      <w:r>
        <w:rPr>
          <w:rFonts w:ascii="宋体" w:hAnsi="宋体" w:cs="宋体"/>
          <w:sz w:val="24"/>
          <w:szCs w:val="22"/>
          <w:highlight w:val="none"/>
        </w:rPr>
      </w:r>
      <w:r/>
    </w:p>
    <w:p>
      <w:pPr>
        <w:pStyle w:val="967"/>
        <w:spacing w:line="360" w:lineRule="auto"/>
        <w:rPr>
          <w:rFonts w:ascii="宋体" w:hAnsi="宋体" w:cs="仿宋_GB2312"/>
          <w:sz w:val="32"/>
          <w:szCs w:val="32"/>
          <w:highlight w:val="none"/>
        </w:rPr>
      </w:pPr>
      <w:r>
        <w:rPr>
          <w:rFonts w:ascii="宋体" w:hAnsi="宋体" w:cs="仿宋_GB2312"/>
          <w:sz w:val="32"/>
          <w:szCs w:val="32"/>
          <w:highlight w:val="none"/>
          <w:lang w:val="zh-CN"/>
        </w:rPr>
        <w:br w:type="page" w:clear="all"/>
      </w:r>
      <w:r>
        <w:rPr>
          <w:rFonts w:hint="eastAsia" w:ascii="宋体" w:hAnsi="宋体" w:cs="宋体"/>
          <w:b/>
          <w:sz w:val="30"/>
          <w:szCs w:val="30"/>
          <w:highlight w:val="none"/>
        </w:rPr>
        <w:t xml:space="preserve">附件4 </w:t>
      </w:r>
      <w:r>
        <w:rPr>
          <w:rFonts w:hint="eastAsia" w:ascii="宋体" w:hAnsi="宋体" w:cs="仿宋_GB2312"/>
          <w:sz w:val="32"/>
          <w:szCs w:val="32"/>
          <w:highlight w:val="none"/>
        </w:rPr>
        <w:t xml:space="preserve">         </w:t>
      </w:r>
      <w:r>
        <w:rPr>
          <w:rFonts w:ascii="宋体" w:hAnsi="宋体" w:cs="仿宋_GB2312"/>
          <w:sz w:val="32"/>
          <w:szCs w:val="32"/>
          <w:highlight w:val="none"/>
        </w:rPr>
      </w:r>
      <w:r/>
    </w:p>
    <w:p>
      <w:pPr>
        <w:pStyle w:val="967"/>
        <w:jc w:val="center"/>
        <w:spacing w:line="360" w:lineRule="auto"/>
        <w:rPr>
          <w:rFonts w:ascii="Calibri" w:hAnsi="Calibri"/>
          <w:b/>
          <w:bCs/>
          <w:sz w:val="28"/>
          <w:szCs w:val="28"/>
          <w:highlight w:val="none"/>
        </w:rPr>
      </w:pPr>
      <w:r>
        <w:rPr>
          <w:rFonts w:hint="eastAsia" w:ascii="Calibri" w:hAnsi="Calibri" w:cs="宋体"/>
          <w:b/>
          <w:bCs/>
          <w:sz w:val="28"/>
          <w:szCs w:val="28"/>
          <w:highlight w:val="none"/>
          <w:lang w:bidi="ar"/>
        </w:rPr>
        <w:t xml:space="preserve">无重大违法记录声明</w:t>
      </w:r>
      <w:r>
        <w:rPr>
          <w:rFonts w:ascii="Calibri" w:hAnsi="Calibri"/>
          <w:b/>
          <w:bCs/>
          <w:sz w:val="28"/>
          <w:szCs w:val="28"/>
          <w:highlight w:val="none"/>
        </w:rPr>
      </w:r>
      <w:r/>
    </w:p>
    <w:p>
      <w:pPr>
        <w:pStyle w:val="967"/>
        <w:jc w:val="left"/>
        <w:spacing w:line="360" w:lineRule="auto"/>
        <w:rPr>
          <w:rFonts w:ascii="Calibri" w:hAnsi="Calibri"/>
          <w:sz w:val="24"/>
          <w:szCs w:val="22"/>
          <w:highlight w:val="none"/>
          <w:u w:val="single"/>
        </w:rPr>
      </w:pPr>
      <w:r>
        <w:rPr>
          <w:rFonts w:ascii="Calibri" w:hAnsi="Calibri"/>
          <w:sz w:val="24"/>
          <w:szCs w:val="22"/>
          <w:highlight w:val="none"/>
          <w:u w:val="single"/>
        </w:rPr>
      </w:r>
      <w:r/>
    </w:p>
    <w:p>
      <w:pPr>
        <w:pStyle w:val="967"/>
        <w:jc w:val="left"/>
        <w:spacing w:line="360" w:lineRule="auto"/>
        <w:rPr>
          <w:rFonts w:ascii="Calibri" w:hAnsi="Calibri"/>
          <w:b/>
          <w:bCs/>
          <w:sz w:val="24"/>
          <w:szCs w:val="22"/>
          <w:highlight w:val="none"/>
        </w:rPr>
      </w:pPr>
      <w:r>
        <w:rPr>
          <w:rFonts w:hint="eastAsia" w:ascii="Calibri" w:hAnsi="Calibri" w:cs="宋体"/>
          <w:sz w:val="24"/>
          <w:szCs w:val="22"/>
          <w:highlight w:val="none"/>
          <w:u w:val="single"/>
          <w:lang w:bidi="ar"/>
        </w:rPr>
        <w:t xml:space="preserve">南通市城市照明管理处</w:t>
      </w:r>
      <w:r>
        <w:rPr>
          <w:rFonts w:hint="eastAsia" w:ascii="Calibri" w:hAnsi="Calibri" w:cs="宋体"/>
          <w:sz w:val="24"/>
          <w:szCs w:val="22"/>
          <w:highlight w:val="none"/>
          <w:lang w:bidi="ar"/>
        </w:rPr>
        <w:t xml:space="preserve">：</w:t>
      </w:r>
      <w:r>
        <w:rPr>
          <w:rFonts w:ascii="Calibri" w:hAnsi="Calibri"/>
          <w:b/>
          <w:bCs/>
          <w:sz w:val="24"/>
          <w:szCs w:val="22"/>
          <w:highlight w:val="none"/>
        </w:rPr>
      </w:r>
      <w:r/>
    </w:p>
    <w:p>
      <w:pPr>
        <w:pStyle w:val="967"/>
        <w:ind w:firstLine="480"/>
        <w:jc w:val="left"/>
        <w:spacing w:line="360" w:lineRule="auto"/>
        <w:rPr>
          <w:rFonts w:ascii="Calibri" w:hAnsi="Calibri"/>
          <w:sz w:val="24"/>
          <w:szCs w:val="22"/>
          <w:highlight w:val="none"/>
        </w:rPr>
      </w:pPr>
      <w:r>
        <w:rPr>
          <w:rFonts w:hint="eastAsia" w:ascii="Calibri" w:hAnsi="Calibri" w:cs="宋体"/>
          <w:sz w:val="24"/>
          <w:szCs w:val="22"/>
          <w:highlight w:val="none"/>
          <w:lang w:bidi="ar"/>
        </w:rPr>
        <w:t xml:space="preserve">我单位（供应商名称）郑重声明：</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lang w:bidi="ar"/>
        </w:rPr>
        <w:t xml:space="preserve">1</w:t>
      </w:r>
      <w:r>
        <w:rPr>
          <w:rFonts w:hint="eastAsia" w:ascii="Calibri" w:hAnsi="Calibri" w:cs="宋体"/>
          <w:sz w:val="24"/>
          <w:szCs w:val="22"/>
          <w:highlight w:val="none"/>
          <w:lang w:bidi="ar"/>
        </w:rPr>
        <w:t xml:space="preserve">、参加政府采购活动前</w:t>
      </w:r>
      <w:r>
        <w:rPr>
          <w:rFonts w:ascii="Calibri" w:hAnsi="Calibri"/>
          <w:sz w:val="24"/>
          <w:szCs w:val="22"/>
          <w:highlight w:val="none"/>
          <w:lang w:bidi="ar"/>
        </w:rPr>
        <w:t xml:space="preserve">3</w:t>
      </w:r>
      <w:r>
        <w:rPr>
          <w:rFonts w:hint="eastAsia" w:ascii="Calibri" w:hAnsi="Calibri" w:cs="宋体"/>
          <w:sz w:val="24"/>
          <w:szCs w:val="22"/>
          <w:highlight w:val="none"/>
          <w:lang w:bidi="ar"/>
        </w:rPr>
        <w:t xml:space="preserve">年内在经营活动中</w:t>
      </w:r>
      <w:r>
        <w:rPr>
          <w:rFonts w:ascii="Calibri" w:hAnsi="Calibri"/>
          <w:sz w:val="24"/>
          <w:szCs w:val="22"/>
          <w:highlight w:val="none"/>
          <w:u w:val="single"/>
          <w:lang w:bidi="ar"/>
        </w:rPr>
        <w:t xml:space="preserve">    </w:t>
      </w:r>
      <w:r>
        <w:rPr>
          <w:rFonts w:hint="eastAsia" w:ascii="Calibri" w:hAnsi="Calibri" w:cs="宋体"/>
          <w:sz w:val="24"/>
          <w:szCs w:val="22"/>
          <w:highlight w:val="none"/>
          <w:u w:val="single"/>
          <w:lang w:bidi="ar"/>
        </w:rPr>
        <w:t xml:space="preserve">（在下划线上如实填写：有或没有）</w:t>
      </w:r>
      <w:r>
        <w:rPr>
          <w:rFonts w:ascii="Calibri" w:hAnsi="Calibri"/>
          <w:sz w:val="24"/>
          <w:szCs w:val="22"/>
          <w:highlight w:val="none"/>
          <w:u w:val="single"/>
          <w:lang w:bidi="ar"/>
        </w:rPr>
        <w:t xml:space="preserve">   </w:t>
      </w:r>
      <w:r>
        <w:rPr>
          <w:rFonts w:hint="eastAsia" w:ascii="Calibri" w:hAnsi="Calibri" w:cs="宋体"/>
          <w:sz w:val="24"/>
          <w:szCs w:val="22"/>
          <w:highlight w:val="none"/>
          <w:lang w:bidi="ar"/>
        </w:rPr>
        <w:t xml:space="preserve">重大违法记录。</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hint="eastAsia" w:ascii="Calibri" w:hAnsi="Calibri" w:cs="宋体"/>
          <w:sz w:val="24"/>
          <w:szCs w:val="22"/>
          <w:highlight w:val="none"/>
          <w:lang w:bidi="ar"/>
        </w:rPr>
        <w:t xml:space="preserve">（说明：政府采购法第二十二条第一款第五项所称重大违法记录，是指供应商因违法经营受到刑事处罚或者责令停产停业、吊销许可证或者执照、较大数额罚款等行政处罚。）</w:t>
      </w:r>
      <w:r>
        <w:rPr>
          <w:rFonts w:ascii="Calibri" w:hAnsi="Calibri"/>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lang w:bidi="ar"/>
        </w:rPr>
        <w:t xml:space="preserve">2</w:t>
      </w:r>
      <w:r>
        <w:rPr>
          <w:rFonts w:hint="eastAsia" w:ascii="Calibri" w:hAnsi="Calibri" w:cs="宋体"/>
          <w:sz w:val="24"/>
          <w:szCs w:val="22"/>
          <w:highlight w:val="none"/>
          <w:lang w:bidi="ar"/>
        </w:rPr>
        <w:t xml:space="preserve">、截至磋商截止时间前，我公司未被</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信用中国</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列入失信被执行人、重大税收违法案件当事人名单、政府采购严重违法失信行为记录名单。</w:t>
      </w:r>
      <w:r>
        <w:rPr>
          <w:rFonts w:ascii="Calibri" w:hAnsi="Calibri"/>
          <w:sz w:val="24"/>
          <w:szCs w:val="22"/>
          <w:highlight w:val="none"/>
        </w:rPr>
      </w:r>
      <w:r/>
    </w:p>
    <w:p>
      <w:pPr>
        <w:pStyle w:val="967"/>
        <w:ind w:firstLine="280"/>
        <w:spacing w:line="500" w:lineRule="exact"/>
        <w:tabs>
          <w:tab w:val="left" w:pos="2020" w:leader="none"/>
          <w:tab w:val="center" w:pos="4535" w:leader="none"/>
        </w:tabs>
        <w:rPr>
          <w:rFonts w:ascii="Calibri" w:hAnsi="Calibri" w:eastAsia="华文彩云"/>
          <w:bCs/>
          <w:sz w:val="28"/>
          <w:szCs w:val="22"/>
          <w:highlight w:val="none"/>
        </w:rPr>
      </w:pPr>
      <w:r>
        <w:rPr>
          <w:rFonts w:ascii="Calibri" w:hAnsi="Calibri" w:eastAsia="华文彩云"/>
          <w:bCs/>
          <w:sz w:val="28"/>
          <w:szCs w:val="22"/>
          <w:highlight w:val="none"/>
        </w:rPr>
      </w:r>
      <w:r/>
    </w:p>
    <w:p>
      <w:pPr>
        <w:pStyle w:val="967"/>
        <w:ind w:firstLine="280"/>
        <w:spacing w:line="500" w:lineRule="exact"/>
        <w:tabs>
          <w:tab w:val="left" w:pos="2020" w:leader="none"/>
          <w:tab w:val="center" w:pos="4535" w:leader="none"/>
        </w:tabs>
        <w:rPr>
          <w:rFonts w:ascii="Calibri" w:hAnsi="Calibri" w:eastAsia="华文彩云"/>
          <w:bCs/>
          <w:sz w:val="28"/>
          <w:szCs w:val="22"/>
          <w:highlight w:val="none"/>
        </w:rPr>
      </w:pPr>
      <w:r>
        <w:rPr>
          <w:rFonts w:ascii="Calibri" w:hAnsi="Calibri" w:eastAsia="华文彩云"/>
          <w:bCs/>
          <w:sz w:val="28"/>
          <w:szCs w:val="22"/>
          <w:highlight w:val="none"/>
        </w:rPr>
      </w:r>
      <w:r/>
    </w:p>
    <w:p>
      <w:pPr>
        <w:pStyle w:val="967"/>
        <w:ind w:firstLine="2280"/>
        <w:jc w:val="right"/>
        <w:spacing w:line="360" w:lineRule="auto"/>
        <w:rPr>
          <w:rFonts w:ascii="Calibri" w:hAnsi="Calibri"/>
          <w:sz w:val="24"/>
          <w:szCs w:val="22"/>
          <w:highlight w:val="none"/>
        </w:rPr>
      </w:pPr>
      <w:r>
        <w:rPr>
          <w:rFonts w:hint="eastAsia" w:ascii="Calibri" w:hAnsi="Calibri" w:cs="宋体"/>
          <w:sz w:val="24"/>
          <w:szCs w:val="22"/>
          <w:highlight w:val="none"/>
          <w:lang w:bidi="ar"/>
        </w:rPr>
        <w:t xml:space="preserve">声明人：（公章）</w:t>
      </w:r>
      <w:r>
        <w:rPr>
          <w:rFonts w:ascii="Calibri" w:hAnsi="Calibri"/>
          <w:sz w:val="24"/>
          <w:szCs w:val="22"/>
          <w:highlight w:val="none"/>
        </w:rPr>
      </w:r>
      <w:r/>
    </w:p>
    <w:p>
      <w:pPr>
        <w:pStyle w:val="967"/>
        <w:ind w:firstLine="2280"/>
        <w:jc w:val="right"/>
        <w:spacing w:line="360" w:lineRule="auto"/>
        <w:rPr>
          <w:rFonts w:ascii="Calibri" w:hAnsi="Calibri" w:cs="宋体"/>
          <w:sz w:val="24"/>
          <w:szCs w:val="22"/>
          <w:highlight w:val="none"/>
          <w:lang w:bidi="ar"/>
        </w:rPr>
      </w:pPr>
      <w:r>
        <w:rPr>
          <w:rFonts w:hint="eastAsia" w:ascii="Calibri" w:hAnsi="Calibri" w:cs="宋体"/>
          <w:sz w:val="24"/>
          <w:szCs w:val="22"/>
          <w:highlight w:val="none"/>
          <w:lang w:bidi="ar"/>
        </w:rPr>
        <w:t xml:space="preserve">年月日</w:t>
      </w:r>
      <w:r>
        <w:rPr>
          <w:rFonts w:ascii="Calibri" w:hAnsi="Calibri" w:cs="宋体"/>
          <w:sz w:val="24"/>
          <w:szCs w:val="22"/>
          <w:highlight w:val="none"/>
          <w:lang w:bidi="ar"/>
        </w:rPr>
      </w:r>
      <w:r/>
    </w:p>
    <w:p>
      <w:pPr>
        <w:pStyle w:val="967"/>
        <w:ind w:firstLine="420"/>
        <w:widowControl/>
        <w:rPr>
          <w:rFonts w:ascii="宋体"/>
          <w:szCs w:val="20"/>
          <w:highlight w:val="none"/>
          <w:lang w:bidi="ar"/>
        </w:rPr>
      </w:pPr>
      <w:r>
        <w:rPr>
          <w:rFonts w:ascii="宋体"/>
          <w:szCs w:val="20"/>
          <w:highlight w:val="none"/>
          <w:lang w:bidi="ar"/>
        </w:rPr>
      </w:r>
      <w:r/>
    </w:p>
    <w:p>
      <w:pPr>
        <w:pStyle w:val="967"/>
        <w:rPr>
          <w:rFonts w:ascii="Arial Unicode MS" w:hAnsi="Arial Unicode MS" w:cs="Arial Unicode MS"/>
          <w:highlight w:val="none"/>
          <w:lang w:bidi="ar"/>
        </w:rPr>
      </w:pPr>
      <w:r>
        <w:rPr>
          <w:rFonts w:ascii="Arial Unicode MS" w:hAnsi="Arial Unicode MS" w:cs="Arial Unicode MS"/>
          <w:highlight w:val="none"/>
          <w:lang w:bidi="ar"/>
        </w:rPr>
      </w:r>
      <w:r/>
    </w:p>
    <w:p>
      <w:pPr>
        <w:pStyle w:val="967"/>
        <w:spacing w:line="360" w:lineRule="auto"/>
        <w:rPr>
          <w:rFonts w:ascii="Calibri" w:hAnsi="Calibri"/>
          <w:b/>
          <w:sz w:val="24"/>
          <w:szCs w:val="22"/>
          <w:highlight w:val="none"/>
        </w:rPr>
      </w:pPr>
      <w:r>
        <w:rPr>
          <w:rFonts w:ascii="Calibri" w:hAnsi="Calibri"/>
          <w:sz w:val="24"/>
          <w:szCs w:val="22"/>
          <w:highlight w:val="none"/>
        </w:rPr>
        <w:br w:type="page" w:clear="all"/>
      </w:r>
      <w:r>
        <w:rPr>
          <w:rFonts w:hint="eastAsia" w:ascii="宋体" w:hAnsi="宋体" w:cs="宋体"/>
          <w:b/>
          <w:sz w:val="30"/>
          <w:szCs w:val="30"/>
          <w:highlight w:val="none"/>
        </w:rPr>
        <w:t xml:space="preserve">附件5 </w:t>
      </w:r>
      <w:r>
        <w:rPr>
          <w:rFonts w:hint="eastAsia" w:ascii="宋体" w:hAnsi="宋体" w:cs="仿宋_GB2312"/>
          <w:sz w:val="32"/>
          <w:szCs w:val="32"/>
          <w:highlight w:val="none"/>
        </w:rPr>
        <w:t xml:space="preserve"> </w:t>
      </w:r>
      <w:r>
        <w:rPr>
          <w:rFonts w:hint="eastAsia" w:ascii="Calibri" w:hAnsi="Calibri"/>
          <w:b/>
          <w:sz w:val="24"/>
          <w:szCs w:val="22"/>
          <w:highlight w:val="none"/>
        </w:rPr>
        <w:t xml:space="preserve"> </w:t>
      </w:r>
      <w:r>
        <w:rPr>
          <w:rFonts w:ascii="Calibri" w:hAnsi="Calibri"/>
          <w:b/>
          <w:sz w:val="24"/>
          <w:szCs w:val="22"/>
          <w:highlight w:val="none"/>
        </w:rPr>
      </w:r>
      <w:r/>
    </w:p>
    <w:p>
      <w:pPr>
        <w:pStyle w:val="967"/>
        <w:jc w:val="center"/>
        <w:spacing w:line="360" w:lineRule="auto"/>
        <w:rPr>
          <w:rFonts w:ascii="宋体" w:hAnsi="宋体" w:cs="仿宋_GB2312"/>
          <w:b/>
          <w:bCs/>
          <w:sz w:val="24"/>
          <w:szCs w:val="22"/>
          <w:highlight w:val="none"/>
        </w:rPr>
      </w:pPr>
      <w:r>
        <w:rPr>
          <w:rFonts w:hint="eastAsia" w:ascii="宋体" w:hAnsi="宋体" w:cs="仿宋_GB2312"/>
          <w:b/>
          <w:bCs/>
          <w:sz w:val="24"/>
          <w:szCs w:val="22"/>
          <w:highlight w:val="none"/>
        </w:rPr>
        <w:t xml:space="preserve">中小企业声明函、残疾人福利性单位声明函或监狱和戒毒企业证明材料。</w:t>
      </w:r>
      <w:r>
        <w:rPr>
          <w:rFonts w:ascii="宋体" w:hAnsi="宋体" w:cs="仿宋_GB2312"/>
          <w:b/>
          <w:bCs/>
          <w:sz w:val="24"/>
          <w:szCs w:val="22"/>
          <w:highlight w:val="none"/>
        </w:rPr>
      </w:r>
      <w:r/>
    </w:p>
    <w:p>
      <w:pPr>
        <w:pStyle w:val="967"/>
        <w:jc w:val="center"/>
        <w:spacing w:line="360" w:lineRule="auto"/>
        <w:rPr>
          <w:rFonts w:cs="宋体"/>
          <w:szCs w:val="24"/>
          <w:highlight w:val="none"/>
        </w:rPr>
      </w:pPr>
      <w:r>
        <w:rPr>
          <w:rFonts w:hint="eastAsia" w:ascii="宋体" w:hAnsi="宋体" w:cs="宋体"/>
          <w:b/>
          <w:sz w:val="28"/>
          <w:szCs w:val="28"/>
          <w:highlight w:val="none"/>
          <w:lang w:bidi="ar"/>
        </w:rPr>
        <w:t xml:space="preserve">（一）</w:t>
      </w:r>
      <w:r>
        <w:rPr>
          <w:rFonts w:hint="eastAsia" w:cs="宋体"/>
          <w:sz w:val="24"/>
          <w:szCs w:val="32"/>
          <w:highlight w:val="none"/>
        </w:rPr>
        <w:t xml:space="preserve">中小企业声明函（货物）</w:t>
      </w:r>
      <w:r>
        <w:rPr>
          <w:rFonts w:cs="宋体"/>
          <w:szCs w:val="24"/>
          <w:highlight w:val="none"/>
        </w:rPr>
      </w:r>
      <w:r/>
    </w:p>
    <w:p>
      <w:pPr>
        <w:pStyle w:val="967"/>
        <w:ind w:firstLine="480"/>
        <w:spacing w:line="360" w:lineRule="auto"/>
        <w:rPr>
          <w:rFonts w:cs="宋体"/>
          <w:sz w:val="24"/>
          <w:szCs w:val="24"/>
          <w:highlight w:val="none"/>
          <w:lang w:bidi="zh-CN"/>
        </w:rPr>
        <w:outlineLvl w:val="0"/>
      </w:pPr>
      <w:r>
        <w:rPr>
          <w:rFonts w:hint="eastAsia" w:cs="宋体"/>
          <w:sz w:val="24"/>
          <w:szCs w:val="24"/>
          <w:highlight w:val="none"/>
          <w:lang w:bidi="zh-CN"/>
        </w:rPr>
        <w:t xml:space="preserve">本公司(联合体)郑重声明，根据《政府采购促进中小企业发展管理办法》财库(2020]46 号)的规定，本公司(联合体)参加</w:t>
      </w:r>
      <w:r>
        <w:rPr>
          <w:rFonts w:hint="eastAsia" w:cs="宋体"/>
          <w:sz w:val="24"/>
          <w:szCs w:val="24"/>
          <w:highlight w:val="none"/>
          <w:u w:val="single"/>
          <w:lang w:bidi="zh-CN"/>
        </w:rPr>
        <w:t xml:space="preserve">(单位名称)</w:t>
      </w:r>
      <w:r>
        <w:rPr>
          <w:rFonts w:hint="eastAsia" w:cs="宋体"/>
          <w:sz w:val="24"/>
          <w:szCs w:val="24"/>
          <w:highlight w:val="none"/>
          <w:lang w:bidi="zh-CN"/>
        </w:rPr>
        <w:t xml:space="preserve">的</w:t>
      </w:r>
      <w:r>
        <w:rPr>
          <w:rFonts w:hint="eastAsia" w:cs="宋体"/>
          <w:sz w:val="24"/>
          <w:szCs w:val="24"/>
          <w:highlight w:val="none"/>
          <w:u w:val="single"/>
          <w:lang w:bidi="zh-CN"/>
        </w:rPr>
        <w:t xml:space="preserve">(项目名称)</w:t>
      </w:r>
      <w:r>
        <w:rPr>
          <w:rFonts w:hint="eastAsia" w:cs="宋体"/>
          <w:sz w:val="24"/>
          <w:szCs w:val="24"/>
          <w:highlight w:val="none"/>
          <w:lang w:bidi="zh-CN"/>
        </w:rPr>
        <w:t xml:space="preserve">采购活动，提供的货物全部由符合政策要求的中小企业制造。相关企业(含联合体中的中小企业、签订分包意向协议的中小企业)的具体情况如下：</w:t>
      </w:r>
      <w:r>
        <w:rPr>
          <w:rFonts w:cs="宋体"/>
          <w:sz w:val="24"/>
          <w:szCs w:val="24"/>
          <w:highlight w:val="none"/>
          <w:lang w:bidi="zh-CN"/>
        </w:rPr>
      </w:r>
      <w:r/>
    </w:p>
    <w:p>
      <w:pPr>
        <w:pStyle w:val="967"/>
        <w:numPr>
          <w:ilvl w:val="0"/>
          <w:numId w:val="11"/>
        </w:numPr>
        <w:ind w:firstLine="480"/>
        <w:jc w:val="left"/>
        <w:spacing w:line="360" w:lineRule="auto"/>
        <w:tabs>
          <w:tab w:val="left" w:pos="312" w:leader="none"/>
        </w:tabs>
        <w:rPr>
          <w:rFonts w:cs="宋体"/>
          <w:sz w:val="24"/>
          <w:szCs w:val="24"/>
          <w:highlight w:val="none"/>
          <w:lang w:bidi="zh-CN"/>
        </w:rPr>
        <w:outlineLvl w:val="0"/>
      </w:pPr>
      <w:r>
        <w:rPr>
          <w:rFonts w:hint="eastAsia" w:cs="宋体"/>
          <w:sz w:val="24"/>
          <w:szCs w:val="24"/>
          <w:highlight w:val="none"/>
          <w:u w:val="single"/>
          <w:lang w:bidi="zh-CN"/>
        </w:rPr>
        <w:t xml:space="preserve">(标的名称)</w:t>
      </w:r>
      <w:r>
        <w:rPr>
          <w:rFonts w:hint="eastAsia" w:cs="宋体"/>
          <w:sz w:val="24"/>
          <w:szCs w:val="24"/>
          <w:highlight w:val="none"/>
          <w:lang w:bidi="zh-CN"/>
        </w:rPr>
        <w:t xml:space="preserve">，属于</w:t>
      </w:r>
      <w:r>
        <w:rPr>
          <w:rFonts w:hint="eastAsia" w:cs="宋体"/>
          <w:sz w:val="24"/>
          <w:szCs w:val="24"/>
          <w:highlight w:val="none"/>
          <w:u w:val="single"/>
          <w:lang w:bidi="zh-CN"/>
        </w:rPr>
        <w:t xml:space="preserve"> 工业 </w:t>
      </w:r>
      <w:r>
        <w:rPr>
          <w:rFonts w:hint="eastAsia" w:cs="宋体"/>
          <w:sz w:val="24"/>
          <w:szCs w:val="24"/>
          <w:highlight w:val="none"/>
          <w:lang w:bidi="zh-CN"/>
        </w:rPr>
        <w:t xml:space="preserve">；制造商为</w:t>
      </w:r>
      <w:r>
        <w:rPr>
          <w:rFonts w:hint="eastAsia" w:cs="宋体"/>
          <w:sz w:val="24"/>
          <w:szCs w:val="24"/>
          <w:highlight w:val="none"/>
          <w:u w:val="single"/>
          <w:lang w:bidi="zh-CN"/>
        </w:rPr>
        <w:t xml:space="preserve">（企业名称)</w:t>
      </w:r>
      <w:r>
        <w:rPr>
          <w:rFonts w:hint="eastAsia" w:cs="宋体"/>
          <w:sz w:val="24"/>
          <w:szCs w:val="24"/>
          <w:highlight w:val="none"/>
          <w:lang w:bidi="zh-CN"/>
        </w:rPr>
        <w:t xml:space="preserve">，从业人员人，营业收入为万元，资产总额为万元，属于(中型企业、小型企业、微型企业)，</w:t>
      </w:r>
      <w:r>
        <w:rPr>
          <w:rFonts w:cs="宋体"/>
          <w:sz w:val="24"/>
          <w:szCs w:val="24"/>
          <w:highlight w:val="none"/>
          <w:lang w:bidi="zh-CN"/>
        </w:rPr>
      </w:r>
      <w:r/>
    </w:p>
    <w:p>
      <w:pPr>
        <w:pStyle w:val="967"/>
        <w:numPr>
          <w:ilvl w:val="0"/>
          <w:numId w:val="11"/>
        </w:numPr>
        <w:ind w:firstLine="480"/>
        <w:jc w:val="left"/>
        <w:spacing w:line="360" w:lineRule="auto"/>
        <w:tabs>
          <w:tab w:val="left" w:pos="312" w:leader="none"/>
        </w:tabs>
        <w:rPr>
          <w:rFonts w:cs="宋体"/>
          <w:sz w:val="24"/>
          <w:szCs w:val="24"/>
          <w:highlight w:val="none"/>
          <w:lang w:bidi="zh-CN"/>
        </w:rPr>
        <w:outlineLvl w:val="0"/>
      </w:pPr>
      <w:r>
        <w:rPr>
          <w:rFonts w:hint="eastAsia" w:cs="宋体"/>
          <w:sz w:val="24"/>
          <w:szCs w:val="24"/>
          <w:highlight w:val="none"/>
          <w:u w:val="single"/>
          <w:lang w:bidi="zh-CN"/>
        </w:rPr>
        <w:t xml:space="preserve">(标的名称) </w:t>
      </w:r>
      <w:r>
        <w:rPr>
          <w:rFonts w:hint="eastAsia" w:cs="宋体"/>
          <w:sz w:val="24"/>
          <w:szCs w:val="24"/>
          <w:highlight w:val="none"/>
          <w:lang w:bidi="zh-CN"/>
        </w:rPr>
        <w:t xml:space="preserve">，属于</w:t>
      </w:r>
      <w:r>
        <w:rPr>
          <w:rFonts w:hint="eastAsia" w:cs="宋体"/>
          <w:sz w:val="24"/>
          <w:szCs w:val="24"/>
          <w:highlight w:val="none"/>
          <w:u w:val="single"/>
          <w:lang w:bidi="zh-CN"/>
        </w:rPr>
        <w:t xml:space="preserve"> 工业 </w:t>
      </w:r>
      <w:r>
        <w:rPr>
          <w:rFonts w:hint="eastAsia" w:cs="宋体"/>
          <w:sz w:val="24"/>
          <w:szCs w:val="24"/>
          <w:highlight w:val="none"/>
          <w:lang w:bidi="zh-CN"/>
        </w:rPr>
        <w:t xml:space="preserve">;制造商为</w:t>
      </w:r>
      <w:r>
        <w:rPr>
          <w:rFonts w:hint="eastAsia" w:cs="宋体"/>
          <w:sz w:val="24"/>
          <w:szCs w:val="24"/>
          <w:highlight w:val="none"/>
          <w:u w:val="single"/>
          <w:lang w:bidi="zh-CN"/>
        </w:rPr>
        <w:t xml:space="preserve">(企业名称) </w:t>
      </w:r>
      <w:r>
        <w:rPr>
          <w:rFonts w:hint="eastAsia" w:cs="宋体"/>
          <w:sz w:val="24"/>
          <w:szCs w:val="24"/>
          <w:highlight w:val="none"/>
          <w:lang w:bidi="zh-CN"/>
        </w:rPr>
        <w:t xml:space="preserve">，从业人员人，营业收入为万元，资产总额为万元，属于</w:t>
      </w:r>
      <w:r>
        <w:rPr>
          <w:rFonts w:hint="eastAsia" w:cs="宋体"/>
          <w:sz w:val="24"/>
          <w:szCs w:val="24"/>
          <w:highlight w:val="none"/>
          <w:u w:val="single"/>
          <w:lang w:bidi="zh-CN"/>
        </w:rPr>
        <w:t xml:space="preserve">(中型企业、小型企业、微型企业)</w:t>
      </w:r>
      <w:r>
        <w:rPr>
          <w:rFonts w:hint="eastAsia" w:cs="宋体"/>
          <w:sz w:val="24"/>
          <w:szCs w:val="24"/>
          <w:highlight w:val="none"/>
          <w:lang w:bidi="zh-CN"/>
        </w:rPr>
        <w:t xml:space="preserve">，</w:t>
      </w:r>
      <w:r>
        <w:rPr>
          <w:rFonts w:cs="宋体"/>
          <w:sz w:val="24"/>
          <w:szCs w:val="24"/>
          <w:highlight w:val="none"/>
          <w:lang w:bidi="zh-CN"/>
        </w:rPr>
      </w:r>
      <w:r/>
    </w:p>
    <w:p>
      <w:pPr>
        <w:pStyle w:val="967"/>
        <w:ind w:firstLine="480"/>
        <w:jc w:val="left"/>
        <w:spacing w:line="360" w:lineRule="auto"/>
        <w:rPr>
          <w:rFonts w:cs="宋体"/>
          <w:sz w:val="24"/>
          <w:szCs w:val="24"/>
          <w:highlight w:val="none"/>
          <w:lang w:bidi="zh-CN"/>
        </w:rPr>
        <w:outlineLvl w:val="0"/>
      </w:pPr>
      <w:r>
        <w:rPr>
          <w:rFonts w:hint="eastAsia" w:cs="宋体"/>
          <w:sz w:val="24"/>
          <w:szCs w:val="24"/>
          <w:highlight w:val="none"/>
          <w:lang w:bidi="zh-CN"/>
        </w:rPr>
        <w:t xml:space="preserve">……</w:t>
      </w:r>
      <w:r>
        <w:rPr>
          <w:rFonts w:cs="宋体"/>
          <w:sz w:val="24"/>
          <w:szCs w:val="24"/>
          <w:highlight w:val="none"/>
          <w:lang w:bidi="zh-CN"/>
        </w:rPr>
      </w:r>
      <w:r/>
    </w:p>
    <w:p>
      <w:pPr>
        <w:pStyle w:val="967"/>
        <w:ind w:firstLine="480"/>
        <w:spacing w:line="360" w:lineRule="auto"/>
        <w:rPr>
          <w:rFonts w:cs="宋体"/>
          <w:sz w:val="24"/>
          <w:szCs w:val="24"/>
          <w:highlight w:val="none"/>
          <w:lang w:bidi="zh-CN"/>
        </w:rPr>
        <w:outlineLvl w:val="0"/>
      </w:pPr>
      <w:r>
        <w:rPr>
          <w:rFonts w:hint="eastAsia" w:cs="宋体"/>
          <w:sz w:val="24"/>
          <w:szCs w:val="24"/>
          <w:highlight w:val="none"/>
          <w:lang w:bidi="zh-CN"/>
        </w:rPr>
        <w:t xml:space="preserve">以上企业，不属于大企业的分支机构，不存在控股股东为大企业的情形，也不存在与大企业的负责人为同一人的情形。</w:t>
      </w:r>
      <w:r>
        <w:rPr>
          <w:rFonts w:cs="宋体"/>
          <w:sz w:val="24"/>
          <w:szCs w:val="24"/>
          <w:highlight w:val="none"/>
          <w:lang w:bidi="zh-CN"/>
        </w:rPr>
      </w:r>
      <w:r/>
    </w:p>
    <w:p>
      <w:pPr>
        <w:pStyle w:val="967"/>
        <w:ind w:firstLine="480"/>
        <w:spacing w:line="360" w:lineRule="auto"/>
        <w:rPr>
          <w:rFonts w:cs="宋体"/>
          <w:sz w:val="24"/>
          <w:szCs w:val="24"/>
          <w:highlight w:val="none"/>
          <w:lang w:bidi="zh-CN"/>
        </w:rPr>
        <w:outlineLvl w:val="0"/>
      </w:pPr>
      <w:r>
        <w:rPr>
          <w:rFonts w:hint="eastAsia" w:cs="宋体"/>
          <w:sz w:val="24"/>
          <w:szCs w:val="24"/>
          <w:highlight w:val="none"/>
          <w:lang w:bidi="zh-CN"/>
        </w:rPr>
        <w:t xml:space="preserve">本企业对上述声明内容的真实性负责。如有虚假，将依法承担相应责任。</w:t>
      </w:r>
      <w:r>
        <w:rPr>
          <w:rFonts w:cs="宋体"/>
          <w:sz w:val="24"/>
          <w:szCs w:val="24"/>
          <w:highlight w:val="none"/>
          <w:lang w:bidi="zh-CN"/>
        </w:rPr>
      </w:r>
      <w:r/>
    </w:p>
    <w:p>
      <w:pPr>
        <w:pStyle w:val="967"/>
        <w:spacing w:line="360" w:lineRule="auto"/>
        <w:rPr>
          <w:rFonts w:cs="宋体"/>
          <w:sz w:val="24"/>
          <w:szCs w:val="24"/>
          <w:highlight w:val="none"/>
          <w:lang w:bidi="zh-CN"/>
        </w:rPr>
        <w:outlineLvl w:val="0"/>
      </w:pPr>
      <w:r>
        <w:rPr>
          <w:rFonts w:cs="宋体"/>
          <w:sz w:val="24"/>
          <w:szCs w:val="24"/>
          <w:highlight w:val="none"/>
          <w:lang w:bidi="zh-CN"/>
        </w:rPr>
      </w:r>
      <w:r/>
    </w:p>
    <w:p>
      <w:pPr>
        <w:pStyle w:val="967"/>
        <w:spacing w:line="360" w:lineRule="auto"/>
        <w:rPr>
          <w:rFonts w:cs="宋体"/>
          <w:sz w:val="24"/>
          <w:szCs w:val="24"/>
          <w:highlight w:val="none"/>
          <w:lang w:bidi="zh-CN"/>
        </w:rPr>
        <w:outlineLvl w:val="0"/>
      </w:pPr>
      <w:r>
        <w:rPr>
          <w:rFonts w:cs="宋体"/>
          <w:sz w:val="24"/>
          <w:szCs w:val="24"/>
          <w:highlight w:val="none"/>
          <w:lang w:bidi="zh-CN"/>
        </w:rPr>
      </w:r>
      <w:r/>
    </w:p>
    <w:p>
      <w:pPr>
        <w:pStyle w:val="967"/>
        <w:spacing w:line="360" w:lineRule="auto"/>
        <w:rPr>
          <w:rFonts w:cs="宋体"/>
          <w:sz w:val="24"/>
          <w:szCs w:val="24"/>
          <w:highlight w:val="none"/>
          <w:lang w:bidi="zh-CN"/>
        </w:rPr>
        <w:outlineLvl w:val="0"/>
      </w:pPr>
      <w:r>
        <w:rPr>
          <w:rFonts w:cs="宋体"/>
          <w:sz w:val="24"/>
          <w:szCs w:val="24"/>
          <w:highlight w:val="none"/>
          <w:lang w:bidi="zh-CN"/>
        </w:rPr>
      </w:r>
      <w:r/>
    </w:p>
    <w:p>
      <w:pPr>
        <w:pStyle w:val="967"/>
        <w:ind w:firstLine="4200"/>
        <w:jc w:val="center"/>
        <w:spacing w:line="360" w:lineRule="auto"/>
        <w:rPr>
          <w:rFonts w:cs="宋体"/>
          <w:sz w:val="24"/>
          <w:szCs w:val="24"/>
          <w:highlight w:val="none"/>
          <w:lang w:bidi="zh-CN"/>
        </w:rPr>
        <w:outlineLvl w:val="0"/>
      </w:pPr>
      <w:r>
        <w:rPr>
          <w:rFonts w:hint="eastAsia" w:cs="宋体"/>
          <w:sz w:val="24"/>
          <w:szCs w:val="24"/>
          <w:highlight w:val="none"/>
          <w:lang w:bidi="zh-CN"/>
        </w:rPr>
        <w:t xml:space="preserve">企业名称（盖章）：</w:t>
      </w:r>
      <w:r>
        <w:rPr>
          <w:rFonts w:cs="宋体"/>
          <w:sz w:val="24"/>
          <w:szCs w:val="24"/>
          <w:highlight w:val="none"/>
          <w:lang w:bidi="zh-CN"/>
        </w:rPr>
      </w:r>
      <w:r/>
    </w:p>
    <w:p>
      <w:pPr>
        <w:pStyle w:val="967"/>
        <w:ind w:firstLine="5760"/>
        <w:spacing w:line="360" w:lineRule="auto"/>
        <w:rPr>
          <w:rFonts w:cs="宋体"/>
          <w:sz w:val="24"/>
          <w:szCs w:val="24"/>
          <w:highlight w:val="none"/>
          <w:lang w:bidi="zh-CN"/>
        </w:rPr>
        <w:outlineLvl w:val="0"/>
      </w:pPr>
      <w:r>
        <w:rPr>
          <w:rFonts w:hint="eastAsia" w:cs="宋体"/>
          <w:sz w:val="24"/>
          <w:szCs w:val="24"/>
          <w:highlight w:val="none"/>
          <w:lang w:bidi="zh-CN"/>
        </w:rPr>
        <w:t xml:space="preserve">日 期：</w:t>
      </w:r>
      <w:r>
        <w:rPr>
          <w:rFonts w:cs="宋体"/>
          <w:sz w:val="24"/>
          <w:szCs w:val="24"/>
          <w:highlight w:val="none"/>
          <w:lang w:bidi="zh-CN"/>
        </w:rPr>
      </w:r>
      <w:r/>
    </w:p>
    <w:p>
      <w:pPr>
        <w:pStyle w:val="967"/>
        <w:ind w:right="561"/>
        <w:spacing w:line="360" w:lineRule="auto"/>
        <w:rPr>
          <w:rFonts w:cs="宋体"/>
          <w:sz w:val="24"/>
          <w:szCs w:val="24"/>
          <w:highlight w:val="none"/>
        </w:rPr>
      </w:pPr>
      <w:r>
        <w:rPr>
          <w:rFonts w:cs="宋体"/>
          <w:sz w:val="24"/>
          <w:szCs w:val="24"/>
          <w:highlight w:val="none"/>
        </w:rPr>
      </w:r>
      <w:r/>
    </w:p>
    <w:p>
      <w:pPr>
        <w:pStyle w:val="967"/>
        <w:ind w:firstLine="420"/>
        <w:jc w:val="left"/>
        <w:spacing w:line="440" w:lineRule="exact"/>
        <w:rPr>
          <w:rFonts w:ascii="Calibri" w:hAnsi="Calibri"/>
          <w:sz w:val="24"/>
          <w:szCs w:val="22"/>
          <w:highlight w:val="none"/>
        </w:rPr>
      </w:pPr>
      <w:r>
        <w:rPr>
          <w:rFonts w:hint="eastAsia" w:ascii="Calibri" w:hAnsi="Calibri" w:cs="宋体"/>
          <w:szCs w:val="22"/>
          <w:highlight w:val="none"/>
          <w:lang w:bidi="ar"/>
        </w:rPr>
        <w:t xml:space="preserve">注</w:t>
      </w:r>
      <w:r>
        <w:rPr>
          <w:rFonts w:hint="eastAsia" w:ascii="Calibri" w:hAnsi="Calibri" w:cs="宋体"/>
          <w:sz w:val="24"/>
          <w:szCs w:val="22"/>
          <w:highlight w:val="none"/>
          <w:lang w:bidi="ar"/>
        </w:rPr>
        <w:t xml:space="preserve">：</w:t>
      </w:r>
      <w:r>
        <w:rPr>
          <w:rFonts w:ascii="Calibri" w:hAnsi="Calibri"/>
          <w:sz w:val="24"/>
          <w:szCs w:val="22"/>
          <w:highlight w:val="none"/>
          <w:lang w:bidi="ar"/>
        </w:rPr>
        <w:t xml:space="preserve">1</w:t>
      </w:r>
      <w:r>
        <w:rPr>
          <w:rFonts w:hint="eastAsia" w:ascii="Calibri" w:hAnsi="Calibri" w:cs="宋体"/>
          <w:sz w:val="24"/>
          <w:szCs w:val="22"/>
          <w:highlight w:val="none"/>
          <w:lang w:bidi="ar"/>
        </w:rPr>
        <w:t xml:space="preserve">、企业划分详见《工业和信息化部、国家统计局、国家发展和改革委员会、财政部关于印发中小企业划型标准规定的通知》</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工信部联企业</w:t>
      </w:r>
      <w:r>
        <w:rPr>
          <w:rFonts w:ascii="Calibri" w:hAnsi="Calibri"/>
          <w:sz w:val="24"/>
          <w:szCs w:val="22"/>
          <w:highlight w:val="none"/>
          <w:lang w:bidi="ar"/>
        </w:rPr>
        <w:t xml:space="preserve">[2011]300</w:t>
      </w:r>
      <w:r>
        <w:rPr>
          <w:rFonts w:hint="eastAsia" w:ascii="Calibri" w:hAnsi="Calibri" w:cs="宋体"/>
          <w:sz w:val="24"/>
          <w:szCs w:val="22"/>
          <w:highlight w:val="none"/>
          <w:lang w:bidi="ar"/>
        </w:rPr>
        <w:t xml:space="preserve">号</w:t>
      </w:r>
      <w:r>
        <w:rPr>
          <w:rFonts w:ascii="Calibri" w:hAnsi="Calibri"/>
          <w:sz w:val="24"/>
          <w:szCs w:val="22"/>
          <w:highlight w:val="none"/>
          <w:lang w:bidi="ar"/>
        </w:rPr>
        <w:t xml:space="preserve">)</w:t>
      </w:r>
      <w:r>
        <w:rPr>
          <w:rFonts w:hint="eastAsia" w:ascii="Calibri" w:hAnsi="Calibri" w:cs="宋体"/>
          <w:sz w:val="24"/>
          <w:szCs w:val="22"/>
          <w:highlight w:val="none"/>
          <w:lang w:bidi="ar"/>
        </w:rPr>
        <w:t xml:space="preserve">规定的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Calibri" w:hAnsi="Calibri"/>
          <w:sz w:val="24"/>
          <w:szCs w:val="22"/>
          <w:highlight w:val="none"/>
        </w:rPr>
      </w:r>
      <w:r/>
    </w:p>
    <w:p>
      <w:pPr>
        <w:pStyle w:val="967"/>
        <w:ind w:firstLine="480"/>
        <w:jc w:val="left"/>
        <w:spacing w:line="440" w:lineRule="exact"/>
        <w:rPr>
          <w:rFonts w:ascii="宋体" w:hAnsi="宋体"/>
          <w:sz w:val="24"/>
          <w:szCs w:val="22"/>
          <w:highlight w:val="none"/>
        </w:rPr>
      </w:pPr>
      <w:r>
        <w:rPr>
          <w:rFonts w:ascii="Calibri" w:hAnsi="Calibri"/>
          <w:sz w:val="24"/>
          <w:szCs w:val="22"/>
          <w:highlight w:val="none"/>
          <w:lang w:bidi="ar"/>
        </w:rPr>
        <w:t xml:space="preserve">2</w:t>
      </w:r>
      <w:r>
        <w:rPr>
          <w:rFonts w:hint="eastAsia" w:ascii="Calibri" w:hAnsi="Calibri" w:cs="宋体"/>
          <w:sz w:val="24"/>
          <w:szCs w:val="22"/>
          <w:highlight w:val="none"/>
          <w:lang w:bidi="ar"/>
        </w:rPr>
        <w:t xml:space="preserve">、从业人员、营业收入、资产总额填报上一年度数据，无上一年度数据的新成立企业可不填报。</w:t>
      </w:r>
      <w:r>
        <w:rPr>
          <w:rFonts w:ascii="宋体" w:hAnsi="宋体"/>
          <w:sz w:val="24"/>
          <w:szCs w:val="22"/>
          <w:highlight w:val="none"/>
        </w:rPr>
      </w:r>
      <w:r/>
    </w:p>
    <w:p>
      <w:pPr>
        <w:pStyle w:val="967"/>
        <w:spacing w:line="300" w:lineRule="auto"/>
        <w:rPr>
          <w:rFonts w:ascii="Calibri" w:hAnsi="Calibri" w:eastAsia="方正黑体_GBK"/>
          <w:sz w:val="32"/>
          <w:szCs w:val="32"/>
          <w:highlight w:val="none"/>
        </w:rPr>
        <w:outlineLvl w:val="0"/>
      </w:pPr>
      <w:r>
        <w:rPr>
          <w:rFonts w:ascii="Calibri" w:hAnsi="Calibri" w:eastAsia="方正黑体_GBK"/>
          <w:sz w:val="32"/>
          <w:szCs w:val="32"/>
          <w:highlight w:val="none"/>
        </w:rPr>
      </w:r>
      <w:r/>
    </w:p>
    <w:p>
      <w:pPr>
        <w:pStyle w:val="967"/>
        <w:spacing w:line="360" w:lineRule="auto"/>
        <w:rPr>
          <w:rFonts w:ascii="宋体" w:hAnsi="宋体" w:cs="宋体"/>
          <w:b/>
          <w:sz w:val="30"/>
          <w:szCs w:val="30"/>
          <w:highlight w:val="none"/>
        </w:rPr>
      </w:pPr>
      <w:r>
        <w:rPr>
          <w:rFonts w:ascii="宋体" w:hAnsi="宋体" w:cs="宋体"/>
          <w:b/>
          <w:sz w:val="32"/>
          <w:szCs w:val="32"/>
          <w:highlight w:val="none"/>
          <w:lang w:bidi="ar"/>
        </w:rPr>
        <w:br w:type="page" w:clear="all"/>
      </w:r>
      <w:r>
        <w:rPr>
          <w:rFonts w:hint="eastAsia" w:ascii="宋体" w:hAnsi="宋体" w:cs="宋体"/>
          <w:b/>
          <w:sz w:val="30"/>
          <w:szCs w:val="30"/>
          <w:highlight w:val="none"/>
        </w:rPr>
        <w:t xml:space="preserve">附件6</w:t>
      </w:r>
      <w:r>
        <w:rPr>
          <w:rFonts w:ascii="宋体" w:hAnsi="宋体" w:cs="宋体"/>
          <w:b/>
          <w:sz w:val="30"/>
          <w:szCs w:val="30"/>
          <w:highlight w:val="none"/>
        </w:rPr>
      </w:r>
      <w:r/>
    </w:p>
    <w:p>
      <w:pPr>
        <w:pStyle w:val="967"/>
        <w:ind w:left="843" w:hanging="843"/>
        <w:jc w:val="center"/>
        <w:spacing w:line="360" w:lineRule="auto"/>
        <w:rPr>
          <w:rFonts w:ascii="Calibri" w:hAnsi="Calibri"/>
          <w:b/>
          <w:sz w:val="24"/>
          <w:szCs w:val="22"/>
          <w:highlight w:val="none"/>
        </w:rPr>
      </w:pPr>
      <w:r>
        <w:rPr>
          <w:rFonts w:hint="eastAsia" w:ascii="Calibri" w:hAnsi="Calibri"/>
          <w:b/>
          <w:sz w:val="24"/>
          <w:szCs w:val="22"/>
          <w:highlight w:val="none"/>
        </w:rPr>
        <w:t xml:space="preserve">投标及履约承诺书</w:t>
      </w:r>
      <w:r>
        <w:rPr>
          <w:rFonts w:ascii="Calibri" w:hAnsi="Calibri"/>
          <w:b/>
          <w:sz w:val="24"/>
          <w:szCs w:val="22"/>
          <w:highlight w:val="none"/>
        </w:rPr>
      </w:r>
      <w:r/>
    </w:p>
    <w:p>
      <w:pPr>
        <w:pStyle w:val="967"/>
        <w:jc w:val="left"/>
        <w:spacing w:line="360" w:lineRule="auto"/>
        <w:rPr>
          <w:rFonts w:ascii="Calibri" w:hAnsi="Calibri"/>
          <w:sz w:val="24"/>
          <w:szCs w:val="22"/>
          <w:highlight w:val="none"/>
          <w:u w:val="single"/>
        </w:rPr>
      </w:pPr>
      <w:r>
        <w:rPr>
          <w:rFonts w:ascii="Calibri" w:hAnsi="Calibri"/>
          <w:sz w:val="24"/>
          <w:szCs w:val="22"/>
          <w:highlight w:val="none"/>
          <w:u w:val="single"/>
        </w:rPr>
      </w:r>
      <w:r/>
    </w:p>
    <w:p>
      <w:pPr>
        <w:pStyle w:val="967"/>
        <w:jc w:val="left"/>
        <w:spacing w:line="360" w:lineRule="auto"/>
        <w:rPr>
          <w:rFonts w:ascii="Calibri" w:hAnsi="Calibri"/>
          <w:b/>
          <w:bCs/>
          <w:sz w:val="24"/>
          <w:szCs w:val="22"/>
          <w:highlight w:val="none"/>
        </w:rPr>
      </w:pPr>
      <w:r>
        <w:rPr>
          <w:rFonts w:hint="eastAsia" w:ascii="Calibri" w:hAnsi="Calibri"/>
          <w:sz w:val="24"/>
          <w:szCs w:val="22"/>
          <w:highlight w:val="none"/>
          <w:u w:val="single"/>
        </w:rPr>
        <w:t xml:space="preserve">南通市城市照明管理处</w:t>
      </w:r>
      <w:r>
        <w:rPr>
          <w:rFonts w:ascii="Calibri" w:hAnsi="Calibri"/>
          <w:sz w:val="24"/>
          <w:szCs w:val="22"/>
          <w:highlight w:val="none"/>
        </w:rPr>
        <w:t xml:space="preserve">：</w:t>
      </w:r>
      <w:r>
        <w:rPr>
          <w:rFonts w:ascii="Calibri" w:hAnsi="Calibri"/>
          <w:b/>
          <w:bCs/>
          <w:sz w:val="24"/>
          <w:szCs w:val="22"/>
          <w:highlight w:val="none"/>
        </w:rPr>
      </w:r>
      <w:r/>
    </w:p>
    <w:p>
      <w:pPr>
        <w:pStyle w:val="967"/>
        <w:ind w:firstLine="480"/>
        <w:jc w:val="left"/>
        <w:spacing w:line="360" w:lineRule="auto"/>
        <w:rPr>
          <w:rFonts w:ascii="Calibri" w:hAnsi="Calibri"/>
          <w:sz w:val="24"/>
          <w:szCs w:val="22"/>
          <w:highlight w:val="none"/>
        </w:rPr>
      </w:pPr>
      <w:r>
        <w:rPr>
          <w:rFonts w:ascii="Calibri" w:hAnsi="Calibri"/>
          <w:sz w:val="24"/>
          <w:szCs w:val="22"/>
          <w:highlight w:val="none"/>
        </w:rPr>
        <w:t xml:space="preserve">我单位（供应商名称）郑重</w:t>
      </w:r>
      <w:r>
        <w:rPr>
          <w:rFonts w:hint="eastAsia" w:ascii="Calibri" w:hAnsi="Calibri"/>
          <w:sz w:val="24"/>
          <w:szCs w:val="22"/>
          <w:highlight w:val="none"/>
        </w:rPr>
        <w:t xml:space="preserve">承诺</w:t>
      </w:r>
      <w:r>
        <w:rPr>
          <w:rFonts w:ascii="Calibri" w:hAnsi="Calibri"/>
          <w:sz w:val="24"/>
          <w:szCs w:val="22"/>
          <w:highlight w:val="none"/>
        </w:rPr>
        <w:t xml:space="preserve">：</w:t>
      </w:r>
      <w:r>
        <w:rPr>
          <w:rFonts w:ascii="Calibri" w:hAnsi="Calibri"/>
          <w:sz w:val="24"/>
          <w:szCs w:val="22"/>
          <w:highlight w:val="none"/>
        </w:rPr>
      </w:r>
      <w:r/>
    </w:p>
    <w:p>
      <w:pPr>
        <w:pStyle w:val="967"/>
        <w:ind w:firstLine="480"/>
        <w:jc w:val="left"/>
        <w:spacing w:line="360" w:lineRule="auto"/>
        <w:rPr>
          <w:rFonts w:ascii="宋体" w:hAnsi="宋体"/>
          <w:sz w:val="24"/>
          <w:szCs w:val="22"/>
          <w:highlight w:val="none"/>
        </w:rPr>
      </w:pPr>
      <w:r>
        <w:rPr>
          <w:rFonts w:hint="eastAsia" w:ascii="宋体" w:hAnsi="宋体"/>
          <w:sz w:val="24"/>
          <w:szCs w:val="22"/>
          <w:highlight w:val="none"/>
        </w:rPr>
        <w:t xml:space="preserve">1、在本次招投标活动中，不存在《中华人民共和国政府采购法实施条例》 第七十二条、第七十四条 阐述的相关情形。</w:t>
      </w:r>
      <w:r>
        <w:rPr>
          <w:rFonts w:ascii="Calibri" w:hAnsi="Calibri"/>
          <w:sz w:val="24"/>
          <w:szCs w:val="22"/>
          <w:highlight w:val="none"/>
        </w:rPr>
        <w:t xml:space="preserve">若与</w:t>
      </w:r>
      <w:r>
        <w:rPr>
          <w:rFonts w:hint="eastAsia" w:ascii="Calibri" w:hAnsi="Calibri"/>
          <w:sz w:val="24"/>
          <w:szCs w:val="22"/>
          <w:highlight w:val="none"/>
        </w:rPr>
        <w:t xml:space="preserve">实际</w:t>
      </w:r>
      <w:r>
        <w:rPr>
          <w:rFonts w:ascii="Calibri" w:hAnsi="Calibri"/>
          <w:sz w:val="24"/>
          <w:szCs w:val="22"/>
          <w:highlight w:val="none"/>
        </w:rPr>
        <w:t xml:space="preserve">情况不符，</w:t>
      </w:r>
      <w:r>
        <w:rPr>
          <w:rFonts w:hint="eastAsia" w:ascii="Calibri" w:hAnsi="Calibri"/>
          <w:sz w:val="24"/>
          <w:szCs w:val="22"/>
          <w:highlight w:val="none"/>
        </w:rPr>
        <w:t xml:space="preserve">我单位</w:t>
      </w:r>
      <w:r>
        <w:rPr>
          <w:rFonts w:ascii="Calibri" w:hAnsi="Calibri"/>
          <w:sz w:val="24"/>
          <w:szCs w:val="22"/>
          <w:highlight w:val="none"/>
        </w:rPr>
        <w:t xml:space="preserve">愿意承担由此而产生的一切后果</w:t>
      </w:r>
      <w:r>
        <w:rPr>
          <w:rFonts w:hint="eastAsia" w:ascii="Calibri" w:hAnsi="Calibri"/>
          <w:sz w:val="24"/>
          <w:szCs w:val="22"/>
          <w:highlight w:val="none"/>
        </w:rPr>
        <w:t xml:space="preserve">；</w:t>
      </w:r>
      <w:r>
        <w:rPr>
          <w:rFonts w:ascii="宋体" w:hAnsi="宋体"/>
          <w:sz w:val="24"/>
          <w:szCs w:val="22"/>
          <w:highlight w:val="none"/>
        </w:rPr>
      </w:r>
      <w:r/>
    </w:p>
    <w:p>
      <w:pPr>
        <w:pStyle w:val="967"/>
        <w:ind w:firstLine="480"/>
        <w:jc w:val="left"/>
        <w:spacing w:line="360" w:lineRule="auto"/>
        <w:rPr>
          <w:rFonts w:ascii="Calibri" w:hAnsi="Calibri"/>
          <w:sz w:val="24"/>
          <w:szCs w:val="22"/>
          <w:highlight w:val="none"/>
        </w:rPr>
      </w:pPr>
      <w:r>
        <w:rPr>
          <w:rFonts w:hint="eastAsia" w:ascii="宋体" w:hAnsi="宋体"/>
          <w:sz w:val="24"/>
          <w:szCs w:val="22"/>
          <w:highlight w:val="none"/>
        </w:rPr>
        <w:t xml:space="preserve">2、我单位在中标后充分响应磋商文件“项目需求”中各项要求，保质、保量、按时向采购人提供优质服务；</w:t>
      </w:r>
      <w:r>
        <w:rPr>
          <w:rFonts w:ascii="Calibri" w:hAnsi="Calibri"/>
          <w:sz w:val="24"/>
          <w:szCs w:val="22"/>
          <w:highlight w:val="none"/>
        </w:rPr>
      </w:r>
      <w:r/>
    </w:p>
    <w:p>
      <w:pPr>
        <w:pStyle w:val="967"/>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3、在合同期内如因自身原因不能履行投标承诺，采购人为保证工作进度可立即通知第三方供应。如因不可抗拒力导致无法履约的，我单位将以书面形式向采购人作出说明，否则作违约处理；</w:t>
      </w:r>
      <w:r>
        <w:rPr>
          <w:rFonts w:ascii="宋体" w:hAnsi="宋体" w:cs="宋体"/>
          <w:sz w:val="24"/>
          <w:szCs w:val="22"/>
          <w:highlight w:val="none"/>
        </w:rPr>
      </w:r>
      <w:r/>
    </w:p>
    <w:p>
      <w:pPr>
        <w:pStyle w:val="967"/>
        <w:ind w:firstLine="480"/>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rPr>
          <w:rFonts w:ascii="宋体" w:hAnsi="宋体" w:cs="宋体"/>
          <w:sz w:val="24"/>
          <w:szCs w:val="22"/>
          <w:highlight w:val="none"/>
        </w:rPr>
      </w:r>
      <w:r/>
    </w:p>
    <w:p>
      <w:pPr>
        <w:pStyle w:val="967"/>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pStyle w:val="967"/>
        <w:ind w:firstLine="240"/>
        <w:spacing w:line="360" w:lineRule="auto"/>
        <w:tabs>
          <w:tab w:val="left" w:pos="2020" w:leader="none"/>
          <w:tab w:val="center" w:pos="4535" w:leader="none"/>
        </w:tabs>
        <w:rPr>
          <w:rFonts w:ascii="Calibri" w:hAnsi="Calibri"/>
          <w:sz w:val="24"/>
          <w:szCs w:val="22"/>
          <w:highlight w:val="none"/>
        </w:rPr>
      </w:pPr>
      <w:r>
        <w:rPr>
          <w:rFonts w:ascii="Calibri" w:hAnsi="Calibri"/>
          <w:sz w:val="24"/>
          <w:szCs w:val="22"/>
          <w:highlight w:val="none"/>
        </w:rPr>
      </w:r>
      <w:r/>
    </w:p>
    <w:p>
      <w:pPr>
        <w:pStyle w:val="967"/>
        <w:ind w:firstLine="2289"/>
        <w:jc w:val="right"/>
        <w:spacing w:line="360" w:lineRule="auto"/>
        <w:rPr>
          <w:rFonts w:ascii="Calibri" w:hAnsi="Calibri"/>
          <w:b/>
          <w:sz w:val="24"/>
          <w:szCs w:val="22"/>
          <w:highlight w:val="none"/>
        </w:rPr>
      </w:pPr>
      <w:r>
        <w:rPr>
          <w:rFonts w:ascii="Calibri" w:hAnsi="Calibri"/>
          <w:b/>
          <w:sz w:val="24"/>
          <w:szCs w:val="22"/>
          <w:highlight w:val="none"/>
        </w:rPr>
      </w:r>
      <w:r/>
    </w:p>
    <w:p>
      <w:pPr>
        <w:pStyle w:val="967"/>
        <w:ind w:firstLine="3480"/>
        <w:jc w:val="right"/>
        <w:spacing w:line="360" w:lineRule="auto"/>
        <w:rPr>
          <w:rFonts w:ascii="Calibri" w:hAnsi="Calibri"/>
          <w:sz w:val="24"/>
          <w:szCs w:val="22"/>
          <w:highlight w:val="none"/>
        </w:rPr>
      </w:pPr>
      <w:r>
        <w:rPr>
          <w:rFonts w:hint="eastAsia" w:ascii="Calibri" w:hAnsi="Calibri"/>
          <w:sz w:val="24"/>
          <w:szCs w:val="22"/>
          <w:highlight w:val="none"/>
        </w:rPr>
        <w:t xml:space="preserve">承诺人</w:t>
      </w:r>
      <w:r>
        <w:rPr>
          <w:rFonts w:ascii="Calibri" w:hAnsi="Calibri"/>
          <w:sz w:val="24"/>
          <w:szCs w:val="22"/>
          <w:highlight w:val="none"/>
        </w:rPr>
        <w:t xml:space="preserve">：（公章）</w:t>
      </w:r>
      <w:r>
        <w:rPr>
          <w:rFonts w:ascii="Calibri" w:hAnsi="Calibri"/>
          <w:sz w:val="24"/>
          <w:szCs w:val="22"/>
          <w:highlight w:val="none"/>
        </w:rPr>
      </w:r>
      <w:r/>
    </w:p>
    <w:p>
      <w:pPr>
        <w:pStyle w:val="967"/>
        <w:ind w:firstLine="240"/>
        <w:jc w:val="right"/>
        <w:spacing w:line="360" w:lineRule="auto"/>
        <w:tabs>
          <w:tab w:val="left" w:pos="2020" w:leader="none"/>
          <w:tab w:val="center" w:pos="4535" w:leader="none"/>
        </w:tabs>
        <w:rPr>
          <w:rFonts w:ascii="宋体" w:hAnsi="宋体" w:cs="宋体"/>
          <w:sz w:val="24"/>
          <w:szCs w:val="22"/>
          <w:highlight w:val="none"/>
        </w:rPr>
      </w:pPr>
      <w:r>
        <w:rPr>
          <w:rFonts w:hint="eastAsia" w:ascii="宋体" w:hAnsi="宋体" w:cs="宋体"/>
          <w:sz w:val="24"/>
          <w:szCs w:val="22"/>
          <w:highlight w:val="none"/>
        </w:rPr>
        <w:t xml:space="preserve">法定代表人：（签字或盖章）</w:t>
      </w:r>
      <w:r>
        <w:rPr>
          <w:rFonts w:ascii="宋体" w:hAnsi="宋体" w:cs="宋体"/>
          <w:sz w:val="24"/>
          <w:szCs w:val="22"/>
          <w:highlight w:val="none"/>
        </w:rPr>
      </w:r>
      <w:r/>
    </w:p>
    <w:p>
      <w:pPr>
        <w:pStyle w:val="967"/>
        <w:ind w:firstLine="240"/>
        <w:jc w:val="right"/>
        <w:spacing w:line="360" w:lineRule="auto"/>
        <w:tabs>
          <w:tab w:val="left" w:pos="2020" w:leader="none"/>
          <w:tab w:val="center" w:pos="4535" w:leader="none"/>
        </w:tabs>
        <w:rPr>
          <w:rFonts w:ascii="宋体" w:hAnsi="宋体" w:cs="宋体"/>
          <w:sz w:val="24"/>
          <w:szCs w:val="22"/>
          <w:highlight w:val="none"/>
        </w:rPr>
      </w:pPr>
      <w:r>
        <w:rPr>
          <w:rFonts w:ascii="宋体" w:hAnsi="宋体" w:cs="宋体"/>
          <w:sz w:val="24"/>
          <w:szCs w:val="22"/>
          <w:highlight w:val="none"/>
        </w:rPr>
      </w:r>
      <w:r/>
    </w:p>
    <w:p>
      <w:pPr>
        <w:pStyle w:val="967"/>
        <w:spacing w:line="360" w:lineRule="auto"/>
        <w:rPr>
          <w:rFonts w:ascii="宋体" w:hAnsi="宋体" w:cs="仿宋_GB2312"/>
          <w:b/>
          <w:sz w:val="28"/>
          <w:szCs w:val="28"/>
          <w:highlight w:val="none"/>
        </w:rPr>
      </w:pPr>
      <w:r>
        <w:rPr>
          <w:rFonts w:ascii="宋体" w:hAnsi="宋体" w:cs="仿宋_GB2312"/>
          <w:b/>
          <w:sz w:val="28"/>
          <w:szCs w:val="28"/>
          <w:highlight w:val="none"/>
        </w:rPr>
        <w:br w:type="page" w:clear="all"/>
      </w:r>
      <w:r>
        <w:rPr>
          <w:rFonts w:hint="eastAsia" w:ascii="宋体" w:hAnsi="宋体" w:cs="仿宋_GB2312"/>
          <w:b/>
          <w:sz w:val="28"/>
          <w:szCs w:val="28"/>
          <w:highlight w:val="none"/>
          <w:lang w:bidi="ar"/>
        </w:rPr>
        <w:t xml:space="preserve">（二）符合性审查文件</w:t>
      </w:r>
      <w:r>
        <w:rPr>
          <w:rFonts w:ascii="宋体" w:hAnsi="宋体" w:cs="仿宋_GB2312"/>
          <w:b/>
          <w:sz w:val="28"/>
          <w:szCs w:val="28"/>
          <w:highlight w:val="none"/>
        </w:rPr>
      </w:r>
      <w:r/>
    </w:p>
    <w:p>
      <w:pPr>
        <w:pStyle w:val="967"/>
        <w:spacing w:line="360" w:lineRule="auto"/>
        <w:rPr>
          <w:rFonts w:ascii="宋体" w:hAnsi="宋体" w:cs="宋体"/>
          <w:b/>
          <w:sz w:val="30"/>
          <w:szCs w:val="30"/>
          <w:highlight w:val="none"/>
        </w:rPr>
      </w:pPr>
      <w:r>
        <w:rPr>
          <w:rFonts w:hint="eastAsia" w:ascii="宋体" w:hAnsi="宋体" w:cs="宋体"/>
          <w:b/>
          <w:sz w:val="30"/>
          <w:szCs w:val="30"/>
          <w:highlight w:val="none"/>
        </w:rPr>
        <w:t xml:space="preserve">附件7</w:t>
      </w:r>
      <w:r>
        <w:rPr>
          <w:rFonts w:ascii="宋体" w:hAnsi="宋体" w:cs="宋体"/>
          <w:b/>
          <w:sz w:val="30"/>
          <w:szCs w:val="30"/>
          <w:highlight w:val="none"/>
        </w:rPr>
      </w:r>
      <w:r/>
    </w:p>
    <w:p>
      <w:pPr>
        <w:pStyle w:val="999"/>
        <w:ind w:left="107"/>
        <w:jc w:val="center"/>
        <w:spacing w:before="65" w:line="222" w:lineRule="auto"/>
        <w:rPr>
          <w:rFonts w:hint="eastAsia" w:ascii="宋体" w:hAnsi="宋体" w:eastAsia="宋体" w:cs="宋体"/>
          <w:highlight w:val="none"/>
        </w:rPr>
      </w:pPr>
      <w:r>
        <w:rPr>
          <w:rFonts w:hint="eastAsia" w:ascii="宋体" w:hAnsi="宋体" w:eastAsia="宋体" w:cs="宋体"/>
          <w:b/>
          <w:bCs/>
          <w:spacing w:val="-5"/>
          <w:sz w:val="32"/>
          <w:highlight w:val="none"/>
        </w:rPr>
        <w:t xml:space="preserve">技术要求响应及偏离表</w:t>
      </w:r>
      <w:r>
        <w:rPr>
          <w:rFonts w:hint="eastAsia" w:ascii="宋体" w:hAnsi="宋体" w:eastAsia="宋体" w:cs="宋体"/>
          <w:highlight w:val="none"/>
        </w:rPr>
      </w:r>
      <w:r/>
    </w:p>
    <w:p>
      <w:pPr>
        <w:pStyle w:val="967"/>
        <w:spacing w:line="69" w:lineRule="exact"/>
        <w:rPr>
          <w:rFonts w:hint="eastAsia" w:ascii="宋体" w:hAnsi="宋体" w:cs="宋体"/>
          <w:highlight w:val="none"/>
        </w:rPr>
      </w:pPr>
      <w:r>
        <w:rPr>
          <w:rFonts w:hint="eastAsia" w:ascii="宋体" w:hAnsi="宋体" w:cs="宋体"/>
          <w:highlight w:val="none"/>
        </w:rPr>
      </w:r>
      <w:r/>
    </w:p>
    <w:tbl>
      <w:tblPr>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4"/>
        <w:gridCol w:w="2959"/>
        <w:gridCol w:w="3102"/>
        <w:gridCol w:w="2083"/>
      </w:tblGrid>
      <w:tr>
        <w:trPr>
          <w:trHeight w:val="1015"/>
        </w:trPr>
        <w:tc>
          <w:tcPr>
            <w:tcW w:w="554" w:type="dxa"/>
            <w:vAlign w:val="top"/>
            <w:textDirection w:val="tbRlV"/>
            <w:noWrap w:val="false"/>
          </w:tcPr>
          <w:p>
            <w:pPr>
              <w:pStyle w:val="1091"/>
              <w:ind w:left="65"/>
              <w:spacing w:before="139" w:line="217" w:lineRule="auto"/>
              <w:rPr>
                <w:rFonts w:hint="eastAsia"/>
                <w:highlight w:val="none"/>
              </w:rPr>
            </w:pPr>
            <w:r>
              <w:rPr>
                <w:rFonts w:hint="eastAsia"/>
                <w:highlight w:val="none"/>
              </w:rPr>
              <w:t xml:space="preserve">序号</w:t>
            </w:r>
            <w:r>
              <w:rPr>
                <w:rFonts w:hint="eastAsia"/>
                <w:highlight w:val="none"/>
              </w:rPr>
            </w:r>
            <w:r/>
          </w:p>
        </w:tc>
        <w:tc>
          <w:tcPr>
            <w:tcW w:w="2959" w:type="dxa"/>
            <w:vAlign w:val="top"/>
            <w:textDirection w:val="lrTb"/>
            <w:noWrap w:val="false"/>
          </w:tcPr>
          <w:p>
            <w:pPr>
              <w:pStyle w:val="1091"/>
              <w:ind w:left="840"/>
              <w:spacing w:before="172" w:line="219" w:lineRule="auto"/>
              <w:rPr>
                <w:rFonts w:hint="eastAsia"/>
                <w:highlight w:val="none"/>
              </w:rPr>
            </w:pPr>
            <w:r>
              <w:rPr>
                <w:rFonts w:hint="eastAsia"/>
                <w:spacing w:val="-2"/>
                <w:highlight w:val="none"/>
              </w:rPr>
              <w:t xml:space="preserve">技术要求</w:t>
            </w:r>
            <w:r>
              <w:rPr>
                <w:rFonts w:hint="eastAsia"/>
                <w:highlight w:val="none"/>
              </w:rPr>
            </w:r>
            <w:r/>
          </w:p>
        </w:tc>
        <w:tc>
          <w:tcPr>
            <w:tcW w:w="3102" w:type="dxa"/>
            <w:vAlign w:val="top"/>
            <w:textDirection w:val="lrTb"/>
            <w:noWrap w:val="false"/>
          </w:tcPr>
          <w:p>
            <w:pPr>
              <w:pStyle w:val="1091"/>
              <w:ind w:left="735"/>
              <w:spacing w:before="173" w:line="220" w:lineRule="auto"/>
              <w:rPr>
                <w:rFonts w:hint="eastAsia"/>
                <w:highlight w:val="none"/>
              </w:rPr>
            </w:pPr>
            <w:r>
              <w:rPr>
                <w:rFonts w:hint="eastAsia"/>
                <w:spacing w:val="-2"/>
                <w:highlight w:val="none"/>
              </w:rPr>
              <w:t xml:space="preserve">投标响应情况</w:t>
            </w:r>
            <w:r>
              <w:rPr>
                <w:rFonts w:hint="eastAsia"/>
                <w:highlight w:val="none"/>
              </w:rPr>
            </w:r>
            <w:r/>
          </w:p>
        </w:tc>
        <w:tc>
          <w:tcPr>
            <w:tcW w:w="2083" w:type="dxa"/>
            <w:vAlign w:val="top"/>
            <w:textDirection w:val="lrTb"/>
            <w:noWrap w:val="false"/>
          </w:tcPr>
          <w:p>
            <w:pPr>
              <w:pStyle w:val="1091"/>
              <w:ind w:left="118"/>
              <w:spacing w:before="172" w:line="219" w:lineRule="auto"/>
              <w:rPr>
                <w:rFonts w:hint="eastAsia"/>
                <w:highlight w:val="none"/>
              </w:rPr>
            </w:pPr>
            <w:r>
              <w:rPr>
                <w:rFonts w:hint="eastAsia"/>
                <w:spacing w:val="-1"/>
                <w:highlight w:val="none"/>
              </w:rPr>
              <w:t xml:space="preserve">超出、符合或偏离</w:t>
            </w:r>
            <w:r>
              <w:rPr>
                <w:rFonts w:hint="eastAsia"/>
                <w:highlight w:val="none"/>
              </w:rPr>
            </w:r>
            <w:r/>
          </w:p>
        </w:tc>
      </w:tr>
      <w:tr>
        <w:trPr>
          <w:trHeight w:val="900"/>
        </w:trPr>
        <w:tc>
          <w:tcPr>
            <w:tcW w:w="554" w:type="dxa"/>
            <w:vAlign w:val="top"/>
            <w:textDirection w:val="lrTb"/>
            <w:noWrap w:val="false"/>
          </w:tcPr>
          <w:p>
            <w:pPr>
              <w:pStyle w:val="1091"/>
              <w:ind w:left="175"/>
              <w:spacing w:before="179" w:line="184" w:lineRule="auto"/>
              <w:rPr>
                <w:rFonts w:hint="eastAsia"/>
                <w:sz w:val="19"/>
                <w:szCs w:val="19"/>
                <w:highlight w:val="none"/>
              </w:rPr>
            </w:pPr>
            <w:r>
              <w:rPr>
                <w:rFonts w:hint="eastAsia"/>
                <w:sz w:val="19"/>
                <w:szCs w:val="19"/>
                <w:highlight w:val="none"/>
              </w:rPr>
              <w:t xml:space="preserve">1</w:t>
            </w:r>
            <w:r>
              <w:rPr>
                <w:rFonts w:hint="eastAsia"/>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2</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3</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r>
        <w:trPr>
          <w:trHeight w:val="861"/>
        </w:trPr>
        <w:tc>
          <w:tcPr>
            <w:tcW w:w="554" w:type="dxa"/>
            <w:vAlign w:val="top"/>
            <w:textDirection w:val="lrTb"/>
            <w:noWrap w:val="false"/>
          </w:tcPr>
          <w:p>
            <w:pPr>
              <w:pStyle w:val="967"/>
              <w:jc w:val="center"/>
              <w:rPr>
                <w:rFonts w:hint="eastAsia" w:ascii="宋体" w:hAnsi="宋体" w:cs="宋体"/>
                <w:sz w:val="19"/>
                <w:szCs w:val="19"/>
                <w:highlight w:val="none"/>
              </w:rPr>
            </w:pPr>
            <w:r>
              <w:rPr>
                <w:rFonts w:hint="eastAsia" w:ascii="宋体" w:hAnsi="宋体" w:cs="宋体"/>
                <w:sz w:val="19"/>
                <w:szCs w:val="19"/>
                <w:highlight w:val="none"/>
              </w:rPr>
              <w:t xml:space="preserve">4</w:t>
            </w:r>
            <w:r>
              <w:rPr>
                <w:rFonts w:hint="eastAsia" w:ascii="宋体" w:hAnsi="宋体" w:cs="宋体"/>
                <w:sz w:val="19"/>
                <w:szCs w:val="19"/>
                <w:highlight w:val="none"/>
              </w:rPr>
            </w:r>
            <w:r/>
          </w:p>
        </w:tc>
        <w:tc>
          <w:tcPr>
            <w:tcW w:w="2959"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3102"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c>
          <w:tcPr>
            <w:tcW w:w="2083" w:type="dxa"/>
            <w:vAlign w:val="top"/>
            <w:textDirection w:val="lrTb"/>
            <w:noWrap w:val="false"/>
          </w:tcPr>
          <w:p>
            <w:pPr>
              <w:pStyle w:val="967"/>
              <w:rPr>
                <w:rFonts w:hint="eastAsia" w:ascii="宋体" w:hAnsi="宋体" w:cs="宋体"/>
                <w:highlight w:val="none"/>
              </w:rPr>
            </w:pPr>
            <w:r>
              <w:rPr>
                <w:rFonts w:hint="eastAsia" w:ascii="宋体" w:hAnsi="宋体" w:cs="宋体"/>
                <w:highlight w:val="none"/>
              </w:rPr>
            </w:r>
            <w:r/>
          </w:p>
        </w:tc>
      </w:tr>
    </w:tbl>
    <w:p>
      <w:pPr>
        <w:pStyle w:val="967"/>
        <w:ind w:firstLine="492"/>
        <w:jc w:val="right"/>
        <w:spacing w:line="460" w:lineRule="exact"/>
        <w:rPr>
          <w:rFonts w:hint="eastAsia" w:ascii="宋体" w:hAnsi="宋体" w:cs="宋体"/>
          <w:sz w:val="24"/>
          <w:highlight w:val="none"/>
        </w:rPr>
      </w:pPr>
      <w:r>
        <w:rPr>
          <w:rFonts w:hint="eastAsia" w:ascii="宋体" w:hAnsi="宋体" w:cs="宋体"/>
          <w:sz w:val="24"/>
          <w:highlight w:val="none"/>
        </w:rPr>
        <w:t xml:space="preserve">供应商：（加盖CA电子公章）</w:t>
      </w:r>
      <w:r>
        <w:rPr>
          <w:rFonts w:hint="eastAsia" w:ascii="宋体" w:hAnsi="宋体" w:cs="宋体"/>
          <w:sz w:val="24"/>
          <w:highlight w:val="none"/>
        </w:rPr>
      </w:r>
      <w:r/>
    </w:p>
    <w:p>
      <w:pPr>
        <w:pStyle w:val="967"/>
        <w:ind w:firstLine="420"/>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67"/>
        <w:jc w:val="right"/>
        <w:spacing w:after="120"/>
        <w:rPr>
          <w:rFonts w:hint="eastAsia"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rPr>
          <w:rFonts w:hint="eastAsia" w:ascii="宋体" w:hAnsi="宋体" w:cs="宋体"/>
          <w:szCs w:val="22"/>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附件7-1 证明材料1,证明材料2, ……</w:t>
      </w:r>
      <w:r>
        <w:rPr>
          <w:rFonts w:ascii="宋体" w:hAnsi="宋体"/>
          <w:sz w:val="24"/>
          <w:szCs w:val="2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7"/>
        <w:contextualSpacing/>
        <w:jc w:val="left"/>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cs="宋体"/>
          <w:bCs/>
          <w:i/>
          <w:iCs/>
          <w:sz w:val="24"/>
          <w:szCs w:val="24"/>
          <w:highlight w:val="none"/>
          <w:lang w:val="zh-CN"/>
        </w:rPr>
        <w:t xml:space="preserve">技术部分实质性要求（请单独列出并加斜体下划线）</w:t>
      </w:r>
      <w:r>
        <w:rPr>
          <w:rFonts w:hint="eastAsia" w:ascii="宋体" w:hAnsi="宋体" w:cs="宋体"/>
          <w:bCs/>
          <w:i/>
          <w:iCs/>
          <w:sz w:val="24"/>
          <w:szCs w:val="24"/>
          <w:highlight w:val="none"/>
          <w:lang w:val="zh-CN"/>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投标人必须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967"/>
        <w:rPr>
          <w:rFonts w:hint="eastAsia" w:ascii="宋体" w:hAnsi="宋体" w:cs="宋体"/>
          <w:b/>
          <w:sz w:val="30"/>
          <w:szCs w:val="30"/>
          <w:highlight w:val="none"/>
        </w:rPr>
      </w:pPr>
      <w:r>
        <w:rPr>
          <w:rFonts w:hint="eastAsia" w:ascii="宋体" w:hAnsi="宋体" w:cs="宋体"/>
          <w:b/>
          <w:bCs/>
          <w:spacing w:val="-5"/>
          <w:highlight w:val="none"/>
        </w:rPr>
        <w:br w:type="page" w:clear="all"/>
      </w:r>
      <w:r>
        <w:rPr>
          <w:rFonts w:hint="eastAsia" w:ascii="宋体" w:hAnsi="宋体" w:cs="宋体"/>
          <w:b/>
          <w:sz w:val="30"/>
          <w:szCs w:val="30"/>
          <w:highlight w:val="none"/>
        </w:rPr>
        <w:t xml:space="preserve">附件8</w:t>
      </w:r>
      <w:r>
        <w:rPr>
          <w:rFonts w:hint="eastAsia" w:ascii="宋体" w:hAnsi="宋体" w:cs="宋体"/>
          <w:b/>
          <w:sz w:val="30"/>
          <w:szCs w:val="30"/>
          <w:highlight w:val="none"/>
        </w:rPr>
      </w:r>
      <w:r/>
    </w:p>
    <w:p>
      <w:pPr>
        <w:pStyle w:val="999"/>
        <w:ind w:left="107"/>
        <w:jc w:val="center"/>
        <w:spacing w:before="65" w:line="221" w:lineRule="auto"/>
        <w:rPr>
          <w:rFonts w:hint="eastAsia" w:ascii="宋体" w:hAnsi="宋体" w:eastAsia="宋体" w:cs="宋体"/>
          <w:highlight w:val="none"/>
        </w:rPr>
      </w:pPr>
      <w:r>
        <w:rPr>
          <w:rFonts w:hint="eastAsia" w:ascii="宋体" w:hAnsi="宋体" w:eastAsia="宋体" w:cs="宋体"/>
          <w:b/>
          <w:bCs/>
          <w:spacing w:val="-5"/>
          <w:sz w:val="32"/>
          <w:highlight w:val="none"/>
        </w:rPr>
        <w:t xml:space="preserve">商务要求响应及偏离表</w:t>
      </w:r>
      <w:r>
        <w:rPr>
          <w:rFonts w:hint="eastAsia" w:ascii="宋体" w:hAnsi="宋体" w:eastAsia="宋体" w:cs="宋体"/>
          <w:highlight w:val="none"/>
        </w:rPr>
      </w:r>
      <w:r/>
    </w:p>
    <w:p>
      <w:pPr>
        <w:pStyle w:val="967"/>
        <w:spacing w:line="82" w:lineRule="exact"/>
        <w:rPr>
          <w:rFonts w:hint="eastAsia" w:ascii="宋体" w:hAnsi="宋体" w:cs="宋体"/>
          <w:highlight w:val="none"/>
        </w:rPr>
      </w:pPr>
      <w:r>
        <w:rPr>
          <w:rFonts w:hint="eastAsia" w:ascii="宋体" w:hAnsi="宋体" w:cs="宋体"/>
          <w:highlight w:val="none"/>
        </w:rPr>
      </w:r>
      <w:r/>
    </w:p>
    <w:tbl>
      <w:tblPr>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3225"/>
        <w:gridCol w:w="3380"/>
        <w:gridCol w:w="2270"/>
      </w:tblGrid>
      <w:tr>
        <w:trPr>
          <w:trHeight w:val="973"/>
        </w:trPr>
        <w:tc>
          <w:tcPr>
            <w:tcW w:w="603" w:type="dxa"/>
            <w:vAlign w:val="top"/>
            <w:textDirection w:val="tbRlV"/>
            <w:noWrap w:val="false"/>
          </w:tcPr>
          <w:p>
            <w:pPr>
              <w:pStyle w:val="1091"/>
              <w:ind w:left="65"/>
              <w:spacing w:before="139" w:line="217" w:lineRule="auto"/>
              <w:rPr>
                <w:rFonts w:hint="eastAsia"/>
                <w:sz w:val="22"/>
                <w:szCs w:val="22"/>
                <w:highlight w:val="none"/>
              </w:rPr>
            </w:pPr>
            <w:r>
              <w:rPr>
                <w:rFonts w:hint="eastAsia"/>
                <w:sz w:val="22"/>
                <w:szCs w:val="22"/>
                <w:highlight w:val="none"/>
              </w:rPr>
              <w:t xml:space="preserve">序号</w:t>
            </w:r>
            <w:r>
              <w:rPr>
                <w:rFonts w:hint="eastAsia"/>
                <w:sz w:val="22"/>
                <w:szCs w:val="22"/>
                <w:highlight w:val="none"/>
              </w:rPr>
            </w:r>
            <w:r/>
          </w:p>
        </w:tc>
        <w:tc>
          <w:tcPr>
            <w:tcW w:w="3225" w:type="dxa"/>
            <w:vAlign w:val="top"/>
            <w:textDirection w:val="lrTb"/>
            <w:noWrap w:val="false"/>
          </w:tcPr>
          <w:p>
            <w:pPr>
              <w:pStyle w:val="1091"/>
              <w:ind w:left="840"/>
              <w:spacing w:before="172" w:line="219" w:lineRule="auto"/>
              <w:rPr>
                <w:rFonts w:hint="eastAsia"/>
                <w:sz w:val="22"/>
                <w:szCs w:val="22"/>
                <w:highlight w:val="none"/>
              </w:rPr>
            </w:pPr>
            <w:r>
              <w:rPr>
                <w:rFonts w:hint="eastAsia"/>
                <w:spacing w:val="-2"/>
                <w:sz w:val="22"/>
                <w:szCs w:val="22"/>
                <w:highlight w:val="none"/>
                <w:lang w:eastAsia="zh-CN"/>
              </w:rPr>
              <w:t xml:space="preserve">商务</w:t>
            </w:r>
            <w:r>
              <w:rPr>
                <w:rFonts w:hint="eastAsia"/>
                <w:spacing w:val="-2"/>
                <w:sz w:val="22"/>
                <w:szCs w:val="22"/>
                <w:highlight w:val="none"/>
              </w:rPr>
              <w:t xml:space="preserve">要求</w:t>
            </w:r>
            <w:r>
              <w:rPr>
                <w:rFonts w:hint="eastAsia"/>
                <w:sz w:val="22"/>
                <w:szCs w:val="22"/>
                <w:highlight w:val="none"/>
              </w:rPr>
            </w:r>
            <w:r/>
          </w:p>
        </w:tc>
        <w:tc>
          <w:tcPr>
            <w:tcW w:w="3380" w:type="dxa"/>
            <w:vAlign w:val="top"/>
            <w:textDirection w:val="lrTb"/>
            <w:noWrap w:val="false"/>
          </w:tcPr>
          <w:p>
            <w:pPr>
              <w:pStyle w:val="1091"/>
              <w:ind w:left="735"/>
              <w:spacing w:before="173" w:line="220" w:lineRule="auto"/>
              <w:rPr>
                <w:rFonts w:hint="eastAsia"/>
                <w:sz w:val="22"/>
                <w:szCs w:val="22"/>
                <w:highlight w:val="none"/>
              </w:rPr>
            </w:pPr>
            <w:r>
              <w:rPr>
                <w:rFonts w:hint="eastAsia"/>
                <w:spacing w:val="-2"/>
                <w:sz w:val="22"/>
                <w:szCs w:val="22"/>
                <w:highlight w:val="none"/>
              </w:rPr>
              <w:t xml:space="preserve">投标响应情况</w:t>
            </w:r>
            <w:r>
              <w:rPr>
                <w:rFonts w:hint="eastAsia"/>
                <w:sz w:val="22"/>
                <w:szCs w:val="22"/>
                <w:highlight w:val="none"/>
              </w:rPr>
            </w:r>
            <w:r/>
          </w:p>
        </w:tc>
        <w:tc>
          <w:tcPr>
            <w:tcW w:w="2270" w:type="dxa"/>
            <w:vAlign w:val="top"/>
            <w:textDirection w:val="lrTb"/>
            <w:noWrap w:val="false"/>
          </w:tcPr>
          <w:p>
            <w:pPr>
              <w:pStyle w:val="1091"/>
              <w:ind w:left="118"/>
              <w:spacing w:before="172" w:line="219" w:lineRule="auto"/>
              <w:rPr>
                <w:rFonts w:hint="eastAsia"/>
                <w:sz w:val="22"/>
                <w:szCs w:val="22"/>
                <w:highlight w:val="none"/>
              </w:rPr>
            </w:pPr>
            <w:r>
              <w:rPr>
                <w:rFonts w:hint="eastAsia"/>
                <w:spacing w:val="-1"/>
                <w:sz w:val="22"/>
                <w:szCs w:val="22"/>
                <w:highlight w:val="none"/>
              </w:rPr>
              <w:t xml:space="preserve">超出、符合或偏离</w:t>
            </w:r>
            <w:r>
              <w:rPr>
                <w:rFonts w:hint="eastAsia"/>
                <w:sz w:val="22"/>
                <w:szCs w:val="22"/>
                <w:highlight w:val="none"/>
              </w:rPr>
            </w:r>
            <w:r/>
          </w:p>
        </w:tc>
      </w:tr>
      <w:tr>
        <w:trPr>
          <w:trHeight w:val="864"/>
        </w:trPr>
        <w:tc>
          <w:tcPr>
            <w:tcW w:w="603" w:type="dxa"/>
            <w:vAlign w:val="top"/>
            <w:textDirection w:val="lrTb"/>
            <w:noWrap w:val="false"/>
          </w:tcPr>
          <w:p>
            <w:pPr>
              <w:pStyle w:val="1091"/>
              <w:ind w:left="175"/>
              <w:spacing w:before="179" w:line="184" w:lineRule="auto"/>
              <w:rPr>
                <w:rFonts w:hint="eastAsia"/>
                <w:sz w:val="22"/>
                <w:szCs w:val="22"/>
                <w:highlight w:val="none"/>
              </w:rPr>
            </w:pPr>
            <w:r>
              <w:rPr>
                <w:rFonts w:hint="eastAsia"/>
                <w:sz w:val="22"/>
                <w:szCs w:val="22"/>
                <w:highlight w:val="none"/>
              </w:rPr>
              <w:t xml:space="preserve">1</w:t>
            </w:r>
            <w:r>
              <w:rPr>
                <w:rFonts w:hint="eastAsia"/>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2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2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3</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r>
        <w:trPr>
          <w:trHeight w:val="837"/>
        </w:trPr>
        <w:tc>
          <w:tcPr>
            <w:tcW w:w="603" w:type="dxa"/>
            <w:vAlign w:val="top"/>
            <w:textDirection w:val="lrTb"/>
            <w:noWrap w:val="false"/>
          </w:tcPr>
          <w:p>
            <w:pPr>
              <w:pStyle w:val="967"/>
              <w:jc w:val="center"/>
              <w:rPr>
                <w:rFonts w:hint="eastAsia" w:ascii="宋体" w:hAnsi="宋体" w:cs="宋体"/>
                <w:sz w:val="22"/>
                <w:szCs w:val="22"/>
                <w:highlight w:val="none"/>
              </w:rPr>
            </w:pPr>
            <w:r>
              <w:rPr>
                <w:rFonts w:hint="eastAsia" w:ascii="宋体" w:hAnsi="宋体" w:cs="宋体"/>
                <w:sz w:val="22"/>
                <w:szCs w:val="22"/>
                <w:highlight w:val="none"/>
              </w:rPr>
              <w:t xml:space="preserve">4</w:t>
            </w:r>
            <w:r>
              <w:rPr>
                <w:rFonts w:hint="eastAsia" w:ascii="宋体" w:hAnsi="宋体" w:cs="宋体"/>
                <w:sz w:val="22"/>
                <w:szCs w:val="22"/>
                <w:highlight w:val="none"/>
              </w:rPr>
            </w:r>
            <w:r/>
          </w:p>
        </w:tc>
        <w:tc>
          <w:tcPr>
            <w:tcW w:w="3225"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338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c>
          <w:tcPr>
            <w:tcW w:w="2270" w:type="dxa"/>
            <w:vAlign w:val="top"/>
            <w:textDirection w:val="lrTb"/>
            <w:noWrap w:val="false"/>
          </w:tcPr>
          <w:p>
            <w:pPr>
              <w:pStyle w:val="967"/>
              <w:rPr>
                <w:rFonts w:hint="eastAsia" w:ascii="宋体" w:hAnsi="宋体" w:cs="宋体"/>
                <w:sz w:val="28"/>
                <w:szCs w:val="24"/>
                <w:highlight w:val="none"/>
              </w:rPr>
            </w:pPr>
            <w:r>
              <w:rPr>
                <w:rFonts w:hint="eastAsia" w:ascii="宋体" w:hAnsi="宋体" w:cs="宋体"/>
                <w:sz w:val="28"/>
                <w:szCs w:val="24"/>
                <w:highlight w:val="none"/>
              </w:rPr>
            </w:r>
            <w:r/>
          </w:p>
        </w:tc>
      </w:tr>
    </w:tbl>
    <w:p>
      <w:pPr>
        <w:pStyle w:val="967"/>
        <w:ind w:firstLine="492"/>
        <w:jc w:val="right"/>
        <w:spacing w:line="460" w:lineRule="exact"/>
        <w:rPr>
          <w:rFonts w:hint="eastAsia" w:ascii="宋体" w:hAnsi="宋体" w:cs="宋体"/>
          <w:sz w:val="24"/>
          <w:highlight w:val="none"/>
        </w:rPr>
      </w:pPr>
      <w:r>
        <w:rPr>
          <w:rFonts w:hint="eastAsia" w:ascii="宋体" w:hAnsi="宋体" w:cs="宋体"/>
          <w:sz w:val="24"/>
          <w:highlight w:val="none"/>
        </w:rPr>
        <w:t xml:space="preserve"> 供应商：（加盖CA电子公章）</w:t>
      </w:r>
      <w:r>
        <w:rPr>
          <w:rFonts w:hint="eastAsia" w:ascii="宋体" w:hAnsi="宋体" w:cs="宋体"/>
          <w:sz w:val="24"/>
          <w:highlight w:val="none"/>
        </w:rPr>
      </w:r>
      <w:r/>
    </w:p>
    <w:p>
      <w:pPr>
        <w:pStyle w:val="967"/>
        <w:ind w:firstLine="420"/>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967"/>
        <w:jc w:val="right"/>
        <w:spacing w:after="120"/>
        <w:rPr>
          <w:rFonts w:hint="eastAsia" w:ascii="宋体" w:hAnsi="宋体" w:cs="宋体"/>
          <w:szCs w:val="22"/>
          <w:highlight w:val="none"/>
        </w:rPr>
      </w:pPr>
      <w:r>
        <w:rPr>
          <w:rFonts w:hint="eastAsia" w:ascii="宋体" w:hAnsi="宋体" w:cs="宋体"/>
          <w:sz w:val="24"/>
          <w:highlight w:val="none"/>
        </w:rPr>
        <w:t xml:space="preserve">   年</w:t>
      </w:r>
      <w:r>
        <w:rPr>
          <w:rFonts w:hint="eastAsia" w:ascii="宋体" w:hAnsi="宋体" w:cs="宋体"/>
          <w:sz w:val="24"/>
          <w:highlight w:val="none"/>
        </w:rPr>
        <w:tab/>
      </w:r>
      <w:r>
        <w:rPr>
          <w:rFonts w:hint="eastAsia" w:ascii="宋体" w:hAnsi="宋体" w:cs="宋体"/>
          <w:sz w:val="24"/>
          <w:highlight w:val="none"/>
        </w:rPr>
        <w:t xml:space="preserve"> 月 </w:t>
      </w:r>
      <w:r>
        <w:rPr>
          <w:rFonts w:hint="eastAsia" w:ascii="宋体" w:hAnsi="宋体" w:cs="宋体"/>
          <w:sz w:val="24"/>
          <w:highlight w:val="none"/>
        </w:rPr>
        <w:tab/>
      </w:r>
      <w:r>
        <w:rPr>
          <w:rFonts w:hint="eastAsia" w:ascii="宋体" w:hAnsi="宋体" w:cs="宋体"/>
          <w:sz w:val="24"/>
          <w:highlight w:val="none"/>
        </w:rPr>
        <w:t xml:space="preserve">日</w:t>
      </w:r>
      <w:r>
        <w:rPr>
          <w:rFonts w:hint="eastAsia" w:ascii="宋体" w:hAnsi="宋体" w:cs="宋体"/>
          <w:szCs w:val="22"/>
          <w:highlight w:val="none"/>
        </w:rPr>
      </w:r>
      <w:r/>
    </w:p>
    <w:p>
      <w:pPr>
        <w:pStyle w:val="967"/>
        <w:spacing w:before="34"/>
        <w:rPr>
          <w:rFonts w:hint="eastAsia" w:ascii="宋体" w:hAnsi="宋体" w:cs="宋体"/>
          <w:highlight w:val="none"/>
        </w:rPr>
      </w:pPr>
      <w:r>
        <w:rPr>
          <w:rFonts w:hint="eastAsia" w:ascii="宋体" w:hAnsi="宋体" w:cs="宋体"/>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附件8-1  证明材料1,证明材料2, ……</w:t>
      </w:r>
      <w:r>
        <w:rPr>
          <w:rFonts w:hint="eastAsia" w:ascii="宋体" w:hAnsi="宋体"/>
          <w:sz w:val="24"/>
          <w:szCs w:val="24"/>
          <w:highlight w:val="none"/>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7"/>
        <w:contextualSpacing/>
        <w:spacing w:line="360" w:lineRule="auto"/>
        <w:tabs>
          <w:tab w:val="left" w:pos="5325" w:leader="none"/>
        </w:tabs>
        <w:rPr>
          <w:rFonts w:hint="eastAsia" w:ascii="宋体" w:hAnsi="宋体" w:cs="宋体"/>
          <w:bCs/>
          <w:i/>
          <w:iCs/>
          <w:sz w:val="24"/>
          <w:szCs w:val="24"/>
          <w:highlight w:val="none"/>
          <w:lang w:val="zh-CN"/>
        </w:rPr>
      </w:pPr>
      <w:r>
        <w:rPr>
          <w:rFonts w:hint="eastAsia" w:ascii="宋体" w:hAnsi="宋体"/>
          <w:sz w:val="24"/>
          <w:szCs w:val="24"/>
          <w:highlight w:val="none"/>
        </w:rPr>
        <w:t xml:space="preserve">1.投标人必须</w:t>
      </w:r>
      <w:r>
        <w:rPr>
          <w:rFonts w:ascii="宋体" w:hAnsi="宋体"/>
          <w:sz w:val="24"/>
          <w:szCs w:val="24"/>
          <w:highlight w:val="none"/>
        </w:rPr>
        <w:t xml:space="preserve">对商务要求中的实质性要求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ascii="宋体" w:hAnsi="宋体" w:cs="宋体"/>
          <w:bCs/>
          <w:i/>
          <w:iCs/>
          <w:sz w:val="24"/>
          <w:szCs w:val="24"/>
          <w:highlight w:val="none"/>
          <w:lang w:val="zh-CN"/>
        </w:rPr>
        <w:t xml:space="preserve">商务部分实质性要求（请单独列出并加斜体下划线）</w:t>
      </w:r>
      <w:r>
        <w:rPr>
          <w:rFonts w:hint="eastAsia" w:ascii="宋体" w:hAnsi="宋体" w:cs="宋体"/>
          <w:bCs/>
          <w:i/>
          <w:iCs/>
          <w:sz w:val="24"/>
          <w:szCs w:val="24"/>
          <w:highlight w:val="none"/>
          <w:lang w:val="zh-CN"/>
        </w:rPr>
      </w:r>
      <w:r/>
    </w:p>
    <w:p>
      <w:pPr>
        <w:pStyle w:val="967"/>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投标人必须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7"/>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999"/>
        <w:ind w:left="105"/>
        <w:spacing w:before="42" w:line="221" w:lineRule="auto"/>
        <w:rPr>
          <w:rFonts w:hint="eastAsia" w:ascii="宋体" w:hAnsi="宋体" w:eastAsia="宋体" w:cs="宋体"/>
          <w:spacing w:val="14"/>
          <w:highlight w:val="none"/>
        </w:rPr>
      </w:pPr>
      <w:r>
        <w:rPr>
          <w:rFonts w:hint="eastAsia" w:ascii="宋体" w:hAnsi="宋体" w:eastAsia="宋体" w:cs="宋体"/>
          <w:spacing w:val="14"/>
          <w:highlight w:val="none"/>
        </w:rPr>
      </w:r>
      <w:r/>
    </w:p>
    <w:p>
      <w:pPr>
        <w:pStyle w:val="1093"/>
        <w:contextualSpacing/>
        <w:spacing w:line="360" w:lineRule="auto"/>
        <w:rPr>
          <w:highlight w:val="none"/>
        </w:rPr>
      </w:pPr>
      <w:r>
        <w:rPr>
          <w:rFonts w:cs="仿宋_GB2312"/>
          <w:sz w:val="32"/>
          <w:szCs w:val="32"/>
          <w:highlight w:val="none"/>
        </w:rPr>
        <w:br w:type="page" w:clear="all"/>
      </w:r>
      <w:r>
        <w:rPr>
          <w:rFonts w:hint="eastAsia" w:ascii="Times New Roman" w:hAnsi="Times New Roman" w:cs="Times New Roman"/>
          <w:b/>
          <w:bCs/>
          <w:highlight w:val="none"/>
        </w:rPr>
        <w:t xml:space="preserve">（三）商务技术文件</w:t>
      </w:r>
      <w:r>
        <w:rPr>
          <w:highlight w:val="none"/>
        </w:rPr>
      </w:r>
      <w:r/>
    </w:p>
    <w:p>
      <w:pPr>
        <w:pStyle w:val="967"/>
        <w:rPr>
          <w:rFonts w:ascii="宋体" w:hAnsi="宋体" w:cs="宋体"/>
          <w:sz w:val="28"/>
          <w:szCs w:val="28"/>
          <w:highlight w:val="none"/>
        </w:rPr>
      </w:pPr>
      <w:r>
        <w:rPr>
          <w:rFonts w:hint="eastAsia" w:ascii="宋体" w:hAnsi="宋体" w:cs="宋体"/>
          <w:sz w:val="28"/>
          <w:szCs w:val="28"/>
          <w:highlight w:val="none"/>
        </w:rPr>
        <w:t xml:space="preserve">详见第五章评分要求</w:t>
      </w:r>
      <w:r>
        <w:rPr>
          <w:rFonts w:ascii="宋体" w:hAnsi="宋体" w:cs="宋体"/>
          <w:sz w:val="28"/>
          <w:szCs w:val="28"/>
          <w:highlight w:val="none"/>
        </w:rPr>
      </w:r>
      <w:r/>
    </w:p>
    <w:p>
      <w:pPr>
        <w:pStyle w:val="1035"/>
        <w:ind w:firstLine="562"/>
        <w:rPr>
          <w:rFonts w:ascii="宋体" w:hAnsi="宋体" w:cs="仿宋_GB2312"/>
          <w:b/>
          <w:sz w:val="28"/>
          <w:szCs w:val="28"/>
          <w:highlight w:val="none"/>
          <w:lang w:bidi="ar"/>
        </w:rPr>
      </w:pPr>
      <w:r>
        <w:rPr>
          <w:rFonts w:ascii="宋体" w:hAnsi="宋体" w:cs="仿宋_GB2312"/>
          <w:b/>
          <w:sz w:val="28"/>
          <w:szCs w:val="28"/>
          <w:highlight w:val="none"/>
          <w:lang w:bidi="ar"/>
        </w:rPr>
      </w:r>
      <w:r/>
    </w:p>
    <w:p>
      <w:pPr>
        <w:pStyle w:val="967"/>
        <w:jc w:val="left"/>
        <w:spacing w:line="360" w:lineRule="auto"/>
        <w:widowControl/>
        <w:rPr>
          <w:rFonts w:ascii="宋体" w:hAnsi="宋体" w:cs="仿宋_GB2312"/>
          <w:b/>
          <w:sz w:val="28"/>
          <w:szCs w:val="28"/>
          <w:highlight w:val="none"/>
          <w:lang w:bidi="ar"/>
        </w:rPr>
      </w:pPr>
      <w:r>
        <w:rPr>
          <w:rFonts w:hint="eastAsia" w:ascii="宋体" w:hAnsi="宋体" w:cs="仿宋_GB2312"/>
          <w:b/>
          <w:sz w:val="28"/>
          <w:szCs w:val="28"/>
          <w:highlight w:val="none"/>
          <w:lang w:bidi="ar"/>
        </w:rPr>
        <w:t xml:space="preserve">（四）价格文件</w:t>
      </w:r>
      <w:r>
        <w:rPr>
          <w:rFonts w:ascii="宋体" w:hAnsi="宋体" w:cs="仿宋_GB2312"/>
          <w:b/>
          <w:sz w:val="28"/>
          <w:szCs w:val="28"/>
          <w:highlight w:val="none"/>
          <w:lang w:bidi="ar"/>
        </w:rPr>
      </w:r>
      <w:r/>
    </w:p>
    <w:p>
      <w:pPr>
        <w:pStyle w:val="999"/>
        <w:ind w:left="107"/>
        <w:spacing w:before="65" w:line="221"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附件9</w:t>
      </w:r>
      <w:r>
        <w:rPr>
          <w:rFonts w:ascii="宋体" w:hAnsi="宋体" w:eastAsia="宋体" w:cs="宋体"/>
          <w:b/>
          <w:sz w:val="30"/>
          <w:szCs w:val="30"/>
          <w:highlight w:val="none"/>
        </w:rPr>
      </w:r>
      <w:r/>
    </w:p>
    <w:p>
      <w:pPr>
        <w:pStyle w:val="967"/>
        <w:jc w:val="left"/>
        <w:widowControl/>
        <w:rPr>
          <w:rFonts w:ascii="宋体" w:hAnsi="宋体" w:cs="仿宋_GB2312"/>
          <w:sz w:val="24"/>
          <w:szCs w:val="22"/>
          <w:highlight w:val="none"/>
          <w:u w:val="single"/>
        </w:rPr>
      </w:pPr>
      <w:r>
        <w:rPr>
          <w:rFonts w:ascii="宋体" w:hAnsi="宋体" w:cs="仿宋_GB2312"/>
          <w:sz w:val="24"/>
          <w:szCs w:val="22"/>
          <w:highlight w:val="none"/>
          <w:u w:val="single"/>
        </w:rPr>
      </w:r>
      <w:r/>
    </w:p>
    <w:p>
      <w:pPr>
        <w:pStyle w:val="967"/>
        <w:jc w:val="center"/>
        <w:spacing w:before="100" w:beforeAutospacing="1" w:after="100" w:afterAutospacing="1" w:line="500" w:lineRule="atLeast"/>
        <w:widowControl/>
        <w:rPr>
          <w:rFonts w:hint="eastAsia" w:ascii="宋体" w:hAnsi="宋体" w:cs="宋体"/>
          <w:sz w:val="32"/>
          <w:szCs w:val="32"/>
          <w:highlight w:val="none"/>
        </w:rPr>
      </w:pPr>
      <w:r>
        <w:rPr>
          <w:rFonts w:hint="eastAsia" w:ascii="宋体" w:hAnsi="宋体" w:cs="宋体"/>
          <w:b/>
          <w:bCs/>
          <w:sz w:val="32"/>
          <w:szCs w:val="32"/>
          <w:highlight w:val="none"/>
        </w:rPr>
        <w:t xml:space="preserve">开  标 一 览  表</w:t>
      </w:r>
      <w:r>
        <w:rPr>
          <w:rFonts w:hint="eastAsia" w:ascii="宋体" w:hAnsi="宋体" w:cs="宋体"/>
          <w:sz w:val="32"/>
          <w:szCs w:val="32"/>
          <w:highlight w:val="non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项目编号： </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分包号：</w:t>
      </w:r>
      <w:r>
        <w:rPr>
          <w:rFonts w:hint="eastAsia" w:ascii="宋体" w:hAnsi="宋体" w:cs="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67"/>
              <w:jc w:val="center"/>
              <w:rPr>
                <w:rFonts w:hint="eastAsia" w:ascii="宋体" w:hAnsi="宋体" w:cs="宋体"/>
                <w:szCs w:val="22"/>
                <w:highlight w:val="none"/>
              </w:rPr>
            </w:pPr>
            <w:r>
              <w:rPr>
                <w:rFonts w:hint="eastAsia" w:ascii="宋体" w:hAnsi="宋体" w:cs="宋体"/>
                <w:sz w:val="28"/>
                <w:szCs w:val="28"/>
                <w:highlight w:val="none"/>
              </w:rPr>
              <w:t xml:space="preserve">投标货物、服务名称</w:t>
            </w:r>
            <w:r>
              <w:rPr>
                <w:rFonts w:hint="eastAsia" w:ascii="宋体" w:hAnsi="宋体" w:cs="宋体"/>
                <w:szCs w:val="22"/>
                <w:highlight w:val="none"/>
              </w:rPr>
            </w:r>
            <w:r/>
          </w:p>
        </w:tc>
        <w:tc>
          <w:tcPr>
            <w:tcW w:w="4607" w:type="dxa"/>
            <w:vAlign w:val="top"/>
            <w:textDirection w:val="lrTb"/>
            <w:noWrap w:val="false"/>
          </w:tcPr>
          <w:p>
            <w:pPr>
              <w:pStyle w:val="967"/>
              <w:jc w:val="center"/>
              <w:rPr>
                <w:rFonts w:hint="eastAsia" w:ascii="宋体" w:hAnsi="宋体" w:cs="宋体"/>
                <w:szCs w:val="22"/>
                <w:highlight w:val="none"/>
              </w:rPr>
            </w:pPr>
            <w:r>
              <w:rPr>
                <w:rFonts w:hint="eastAsia" w:ascii="宋体" w:hAnsi="宋体" w:cs="宋体"/>
                <w:sz w:val="28"/>
                <w:szCs w:val="28"/>
                <w:highlight w:val="none"/>
              </w:rPr>
              <w:t xml:space="preserve">投标总报价</w:t>
            </w:r>
            <w:r>
              <w:rPr>
                <w:rFonts w:hint="eastAsia" w:ascii="宋体" w:hAnsi="宋体" w:cs="宋体"/>
                <w:szCs w:val="22"/>
                <w:highlight w:val="none"/>
              </w:rPr>
            </w:r>
            <w:r/>
          </w:p>
        </w:tc>
      </w:tr>
      <w:tr>
        <w:trPr>
          <w:trHeight w:val="1091"/>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 w:val="28"/>
                <w:szCs w:val="28"/>
                <w:highlight w:val="none"/>
              </w:rPr>
            </w:pPr>
            <w:r>
              <w:rPr>
                <w:rFonts w:hint="eastAsia" w:ascii="宋体" w:hAnsi="宋体" w:cs="宋体"/>
                <w:sz w:val="28"/>
                <w:szCs w:val="28"/>
                <w:highlight w:val="none"/>
              </w:rPr>
              <w:t xml:space="preserve">大写：</w:t>
            </w:r>
            <w:r>
              <w:rPr>
                <w:rFonts w:hint="eastAsia" w:ascii="宋体" w:hAnsi="宋体" w:cs="宋体"/>
                <w:sz w:val="28"/>
                <w:szCs w:val="28"/>
                <w:highlight w:val="none"/>
              </w:rPr>
            </w:r>
            <w:r/>
          </w:p>
          <w:p>
            <w:pPr>
              <w:pStyle w:val="967"/>
              <w:rPr>
                <w:rFonts w:hint="eastAsia" w:ascii="宋体" w:hAnsi="宋体" w:cs="宋体"/>
                <w:szCs w:val="22"/>
                <w:highlight w:val="none"/>
                <w:u w:val="single"/>
              </w:rPr>
            </w:pPr>
            <w:r>
              <w:rPr>
                <w:rFonts w:hint="eastAsia" w:ascii="宋体" w:hAnsi="宋体" w:cs="宋体"/>
                <w:sz w:val="28"/>
                <w:szCs w:val="28"/>
                <w:highlight w:val="none"/>
              </w:rPr>
              <w:t xml:space="preserve">小写：元（人民币）</w:t>
            </w:r>
            <w:r>
              <w:rPr>
                <w:rFonts w:hint="eastAsia" w:ascii="宋体" w:hAnsi="宋体" w:cs="宋体"/>
                <w:szCs w:val="22"/>
                <w:highlight w:val="none"/>
                <w:u w:val="single"/>
              </w:rPr>
            </w:r>
            <w:r/>
          </w:p>
        </w:tc>
      </w:tr>
      <w:tr>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 w:val="28"/>
                <w:szCs w:val="28"/>
                <w:highlight w:val="none"/>
              </w:rPr>
              <w:t xml:space="preserve">主要货物、服务制造商及产地</w:t>
            </w: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r>
      <w:tr>
        <w:trPr>
          <w:trHeight w:val="481"/>
        </w:trPr>
        <w:tc>
          <w:tcPr>
            <w:tcW w:w="4148"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c>
          <w:tcPr>
            <w:tcW w:w="4607" w:type="dxa"/>
            <w:vAlign w:val="top"/>
            <w:textDirection w:val="lrTb"/>
            <w:noWrap w:val="false"/>
          </w:tcPr>
          <w:p>
            <w:pPr>
              <w:pStyle w:val="967"/>
              <w:rPr>
                <w:rFonts w:hint="eastAsia" w:ascii="宋体" w:hAnsi="宋体" w:cs="宋体"/>
                <w:szCs w:val="22"/>
                <w:highlight w:val="none"/>
              </w:rPr>
            </w:pPr>
            <w:r>
              <w:rPr>
                <w:rFonts w:hint="eastAsia" w:ascii="宋体" w:hAnsi="宋体" w:cs="宋体"/>
                <w:szCs w:val="22"/>
                <w:highlight w:val="none"/>
              </w:rPr>
            </w:r>
            <w:r/>
          </w:p>
        </w:tc>
      </w:tr>
    </w:tbl>
    <w:p>
      <w:pPr>
        <w:pStyle w:val="967"/>
        <w:rPr>
          <w:rFonts w:hint="eastAsia" w:ascii="宋体" w:hAnsi="宋体" w:cs="宋体"/>
          <w:sz w:val="28"/>
          <w:szCs w:val="28"/>
          <w:highlight w:val="none"/>
        </w:rPr>
      </w:pPr>
      <w:r>
        <w:rPr>
          <w:rFonts w:hint="eastAsia" w:ascii="宋体" w:hAnsi="宋体" w:cs="宋体"/>
          <w:sz w:val="28"/>
          <w:szCs w:val="28"/>
          <w:highlight w:val="none"/>
        </w:rPr>
        <w:t xml:space="preserve">日期：</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填写说明：</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1、开标一览表必须加盖投标单位公章（复印件无效）。</w:t>
      </w:r>
      <w:r>
        <w:rPr>
          <w:rFonts w:hint="eastAsia" w:ascii="宋体" w:hAnsi="宋体" w:cs="宋体"/>
          <w:sz w:val="28"/>
          <w:szCs w:val="28"/>
          <w:highlight w:val="non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2、如有分包，投标人投任何一个包的标的，都需单独填写开标一览表。</w:t>
      </w:r>
      <w:r>
        <w:rPr>
          <w:rFonts w:hint="eastAsia" w:ascii="宋体" w:hAnsi="宋体" w:cs="宋体"/>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67"/>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99"/>
        <w:spacing w:before="65" w:line="221"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sz w:val="30"/>
          <w:szCs w:val="30"/>
          <w:highlight w:val="none"/>
        </w:rPr>
        <w:t xml:space="preserve">附件10</w:t>
      </w:r>
      <w:r>
        <w:rPr>
          <w:rFonts w:hint="eastAsia" w:ascii="宋体" w:hAnsi="宋体" w:eastAsia="宋体" w:cs="宋体"/>
          <w:b/>
          <w:bCs/>
          <w:sz w:val="32"/>
          <w:szCs w:val="32"/>
          <w:highlight w:val="none"/>
        </w:rPr>
      </w:r>
      <w:r/>
    </w:p>
    <w:p>
      <w:pPr>
        <w:pStyle w:val="967"/>
        <w:jc w:val="center"/>
        <w:spacing w:line="40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分项报价明细表（货物类）</w:t>
      </w:r>
      <w:r>
        <w:rPr>
          <w:rFonts w:hint="eastAsia" w:ascii="宋体" w:hAnsi="宋体" w:cs="宋体"/>
          <w:b/>
          <w:bCs/>
          <w:sz w:val="32"/>
          <w:szCs w:val="32"/>
          <w:highlight w:val="non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投标人全称（加盖公章）：</w:t>
      </w:r>
      <w:r>
        <w:rPr>
          <w:rFonts w:hint="eastAsia" w:ascii="宋体" w:hAnsi="宋体" w:cs="宋体"/>
          <w:sz w:val="28"/>
          <w:szCs w:val="28"/>
          <w:highlight w:val="none"/>
          <w:u w:val="single"/>
        </w:rPr>
      </w:r>
      <w:r/>
    </w:p>
    <w:p>
      <w:pPr>
        <w:pStyle w:val="967"/>
        <w:rPr>
          <w:rFonts w:hint="eastAsia" w:ascii="宋体" w:hAnsi="宋体" w:cs="宋体"/>
          <w:sz w:val="28"/>
          <w:szCs w:val="28"/>
          <w:highlight w:val="none"/>
          <w:u w:val="singl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r>
      <w:r/>
    </w:p>
    <w:p>
      <w:pPr>
        <w:pStyle w:val="967"/>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rPr>
      </w:r>
      <w:r/>
    </w:p>
    <w:p>
      <w:pPr>
        <w:pStyle w:val="1088"/>
        <w:ind w:firstLine="0"/>
        <w:spacing w:line="300" w:lineRule="auto"/>
        <w:rPr>
          <w:rFonts w:hint="eastAsia" w:ascii="宋体" w:eastAsia="宋体" w:cs="宋体"/>
          <w:sz w:val="28"/>
          <w:highlight w:val="none"/>
        </w:rPr>
      </w:pPr>
      <w:r>
        <w:rPr>
          <w:rFonts w:hint="eastAsia" w:ascii="宋体" w:eastAsia="宋体" w:cs="宋体"/>
          <w:sz w:val="28"/>
          <w:highlight w:val="none"/>
        </w:rPr>
        <w:t xml:space="preserve">分包号：</w:t>
      </w:r>
      <w:r>
        <w:rPr>
          <w:rFonts w:hint="eastAsia" w:ascii="宋体" w:eastAsia="宋体" w:cs="宋体"/>
          <w:sz w:val="28"/>
          <w:highlight w:val="none"/>
        </w:rPr>
      </w:r>
      <w:r/>
    </w:p>
    <w:p>
      <w:pPr>
        <w:pStyle w:val="967"/>
        <w:ind w:left="425"/>
        <w:jc w:val="right"/>
        <w:rPr>
          <w:rFonts w:ascii="等线" w:hAnsi="等线" w:eastAsia="等线" w:cs="等线"/>
          <w:szCs w:val="18"/>
          <w:highlight w:val="none"/>
        </w:rPr>
      </w:pPr>
      <w:r>
        <w:rPr>
          <w:rFonts w:hint="eastAsia" w:ascii="等线" w:hAnsi="等线" w:eastAsia="等线" w:cs="等线"/>
          <w:szCs w:val="18"/>
          <w:highlight w:val="none"/>
        </w:rPr>
        <w:t xml:space="preserve">金额单位：元</w:t>
      </w:r>
      <w:r>
        <w:rPr>
          <w:rFonts w:ascii="等线" w:hAnsi="等线" w:eastAsia="等线" w:cs="等线"/>
          <w:szCs w:val="18"/>
          <w:highlight w:val="none"/>
        </w:rPr>
      </w:r>
      <w:r/>
    </w:p>
    <w:tbl>
      <w:tblPr>
        <w:tblpPr w:horzAnchor="margin" w:tblpXSpec="center" w:vertAnchor="text" w:tblpY="572" w:leftFromText="180" w:topFromText="0" w:rightFromText="180" w:bottomFromText="0"/>
        <w:tblW w:w="10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304"/>
        <w:gridCol w:w="1888"/>
        <w:gridCol w:w="2626"/>
        <w:gridCol w:w="1235"/>
        <w:gridCol w:w="709"/>
        <w:gridCol w:w="709"/>
        <w:gridCol w:w="709"/>
        <w:gridCol w:w="141"/>
        <w:gridCol w:w="709"/>
      </w:tblGrid>
      <w:tr>
        <w:trPr>
          <w:trHeight w:val="397"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序号</w:t>
            </w:r>
            <w:r>
              <w:rPr>
                <w:rFonts w:hint="eastAsia" w:ascii="宋体" w:hAnsi="宋体" w:cs="等线"/>
                <w:sz w:val="18"/>
                <w:szCs w:val="18"/>
                <w:highlight w:val="none"/>
              </w:rPr>
            </w:r>
            <w:r/>
          </w:p>
        </w:tc>
        <w:tc>
          <w:tcPr>
            <w:tcW w:w="1304"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工程名称</w:t>
            </w:r>
            <w:r>
              <w:rPr>
                <w:rFonts w:hint="eastAsia" w:ascii="宋体" w:hAnsi="宋体" w:cs="等线"/>
                <w:sz w:val="18"/>
                <w:szCs w:val="18"/>
                <w:highlight w:val="none"/>
              </w:rPr>
            </w:r>
            <w:r/>
          </w:p>
        </w:tc>
        <w:tc>
          <w:tcPr>
            <w:tcW w:w="1888"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产品名称</w:t>
            </w:r>
            <w:r>
              <w:rPr>
                <w:rFonts w:hint="eastAsia" w:ascii="宋体" w:hAnsi="宋体" w:cs="等线"/>
                <w:sz w:val="18"/>
                <w:szCs w:val="18"/>
                <w:highlight w:val="none"/>
              </w:rPr>
            </w:r>
            <w:r/>
          </w:p>
        </w:tc>
        <w:tc>
          <w:tcPr>
            <w:tcW w:w="2626"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规格型号</w:t>
            </w:r>
            <w:r>
              <w:rPr>
                <w:rFonts w:hint="eastAsia" w:ascii="宋体" w:hAnsi="宋体" w:cs="等线"/>
                <w:sz w:val="18"/>
                <w:szCs w:val="18"/>
                <w:highlight w:val="none"/>
              </w:rPr>
            </w:r>
            <w:r/>
          </w:p>
        </w:tc>
        <w:tc>
          <w:tcPr>
            <w:tcW w:w="1235" w:type="dxa"/>
            <w:vAlign w:val="center"/>
            <w:textDirection w:val="lrTb"/>
            <w:noWrap w:val="false"/>
          </w:tcPr>
          <w:p>
            <w:pPr>
              <w:pStyle w:val="967"/>
              <w:rPr>
                <w:rFonts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品牌/制造商</w:t>
            </w:r>
            <w:r>
              <w:rPr>
                <w:rFonts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单位</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数量</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单价</w:t>
            </w: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总金额</w:t>
            </w: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幸余路(通宁大道-工农北路)拓宽改造照明工程</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60W暖白</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280W暖白</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4</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13米双挑路灯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201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12米2火投光灯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14米3火投光灯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7</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411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8</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幸福大道与永兴大道交叉口</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9</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14米2火投光灯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10</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4</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11</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幸福大道与顺达路交叉口</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LED路灯</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280W暖白</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12</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12米单挑路灯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13</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23</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14</w:t>
            </w:r>
            <w:r>
              <w:rPr>
                <w:rFonts w:hint="eastAsia" w:ascii="宋体" w:hAnsi="宋体" w:cs="等线"/>
                <w:sz w:val="18"/>
                <w:szCs w:val="18"/>
                <w:highlight w:val="none"/>
              </w:rPr>
            </w:r>
            <w:r/>
          </w:p>
        </w:tc>
        <w:tc>
          <w:tcPr>
            <w:tcW w:w="1304" w:type="dxa"/>
            <w:vAlign w:val="center"/>
            <w:vMerge w:val="restart"/>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顺达路(经九路-工农北路)</w:t>
            </w: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LED投光（泛光）灯具</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280W（3000K）</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2</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15</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灯杆（含灯架）</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12米2火投光灯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套</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1</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567" w:hRule="exact"/>
        </w:trPr>
        <w:tc>
          <w:tcPr>
            <w:tcW w:w="602" w:type="dxa"/>
            <w:vAlign w:val="top"/>
            <w:textDirection w:val="lrTb"/>
            <w:noWrap w:val="false"/>
          </w:tcPr>
          <w:p>
            <w:pPr>
              <w:pStyle w:val="967"/>
              <w:jc w:val="center"/>
              <w:rPr>
                <w:rFonts w:hint="eastAsia" w:ascii="宋体" w:hAnsi="宋体" w:cs="等线"/>
                <w:sz w:val="18"/>
                <w:szCs w:val="18"/>
                <w:highlight w:val="none"/>
              </w:rPr>
              <w:framePr w:vAnchor="page" w:hAnchor="page" w:xAlign="center" w:y="572"/>
            </w:pPr>
            <w:r>
              <w:rPr>
                <w:highlight w:val="none"/>
              </w:rPr>
              <w:t xml:space="preserve">16</w:t>
            </w:r>
            <w:r>
              <w:rPr>
                <w:rFonts w:hint="eastAsia" w:ascii="宋体" w:hAnsi="宋体" w:cs="等线"/>
                <w:sz w:val="18"/>
                <w:szCs w:val="18"/>
                <w:highlight w:val="none"/>
              </w:rPr>
            </w:r>
            <w:r/>
          </w:p>
        </w:tc>
        <w:tc>
          <w:tcPr>
            <w:tcW w:w="1304" w:type="dxa"/>
            <w:vAlign w:val="center"/>
            <w:vMerge w:val="continue"/>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tcW w:w="1888"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单灯控制器</w:t>
            </w:r>
            <w:r>
              <w:rPr>
                <w:rFonts w:hint="eastAsia" w:ascii="宋体" w:hAnsi="宋体" w:cs="等线"/>
                <w:sz w:val="18"/>
                <w:szCs w:val="18"/>
                <w:highlight w:val="none"/>
              </w:rPr>
            </w:r>
            <w:r/>
          </w:p>
        </w:tc>
        <w:tc>
          <w:tcPr>
            <w:tcW w:w="2626" w:type="dxa"/>
            <w:vAlign w:val="bottom"/>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常规(单路)</w:t>
            </w:r>
            <w:r>
              <w:rPr>
                <w:rFonts w:hint="eastAsia" w:ascii="宋体" w:hAnsi="宋体" w:cs="等线"/>
                <w:sz w:val="18"/>
                <w:szCs w:val="18"/>
                <w:highlight w:val="none"/>
              </w:rPr>
            </w:r>
            <w:r/>
          </w:p>
        </w:tc>
        <w:tc>
          <w:tcPr>
            <w:tcW w:w="1235" w:type="dxa"/>
            <w:vAlign w:val="bottom"/>
            <w:textDirection w:val="lrTb"/>
            <w:noWrap w:val="false"/>
          </w:tcPr>
          <w:p>
            <w:pPr>
              <w:pStyle w:val="967"/>
              <w:jc w:val="left"/>
              <w:rPr>
                <w:rFonts w:hint="eastAsia" w:ascii="等线" w:hAnsi="等线" w:eastAsia="等线"/>
                <w:color w:val="000000"/>
                <w:sz w:val="22"/>
                <w:szCs w:val="22"/>
                <w:highlight w:val="none"/>
              </w:rPr>
              <w:framePr w:vAnchor="page" w:hAnchor="page" w:xAlign="center" w:y="572"/>
            </w:pPr>
            <w:r>
              <w:rPr>
                <w:rFonts w:hint="eastAsia" w:ascii="等线" w:hAnsi="等线" w:eastAsia="等线"/>
                <w:color w:val="000000"/>
                <w:sz w:val="22"/>
                <w:szCs w:val="22"/>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只</w:t>
            </w:r>
            <w:r>
              <w:rPr>
                <w:rFonts w:hint="eastAsia" w:ascii="宋体" w:hAnsi="宋体" w:cs="等线"/>
                <w:sz w:val="18"/>
                <w:szCs w:val="18"/>
                <w:highlight w:val="none"/>
              </w:rPr>
            </w:r>
            <w:r/>
          </w:p>
        </w:tc>
        <w:tc>
          <w:tcPr>
            <w:tcW w:w="709" w:type="dxa"/>
            <w:vAlign w:val="bottom"/>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等线" w:hAnsi="等线" w:eastAsia="等线"/>
                <w:color w:val="000000"/>
                <w:sz w:val="22"/>
                <w:szCs w:val="22"/>
                <w:highlight w:val="none"/>
              </w:rPr>
              <w:t xml:space="preserve">5</w:t>
            </w:r>
            <w:r>
              <w:rPr>
                <w:rFonts w:hint="eastAsia" w:ascii="宋体" w:hAnsi="宋体" w:cs="等线"/>
                <w:sz w:val="18"/>
                <w:szCs w:val="18"/>
                <w:highlight w:val="none"/>
              </w:rPr>
            </w:r>
            <w:r/>
          </w:p>
        </w:tc>
        <w:tc>
          <w:tcPr>
            <w:tcW w:w="709"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397" w:hRule="exact"/>
        </w:trPr>
        <w:tc>
          <w:tcPr>
            <w:gridSpan w:val="2"/>
            <w:tcW w:w="1906"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合计</w:t>
            </w:r>
            <w:r>
              <w:rPr>
                <w:rFonts w:hint="eastAsia" w:ascii="宋体" w:hAnsi="宋体" w:cs="等线"/>
                <w:sz w:val="18"/>
                <w:szCs w:val="18"/>
                <w:highlight w:val="none"/>
              </w:rPr>
            </w:r>
            <w:r/>
          </w:p>
        </w:tc>
        <w:tc>
          <w:tcPr>
            <w:gridSpan w:val="5"/>
            <w:tcW w:w="7167"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（大写）</w:t>
            </w:r>
            <w:r>
              <w:rPr>
                <w:rFonts w:hint="eastAsia" w:ascii="宋体" w:hAnsi="宋体" w:cs="等线"/>
                <w:sz w:val="18"/>
                <w:szCs w:val="18"/>
                <w:highlight w:val="none"/>
              </w:rPr>
            </w:r>
            <w:r/>
          </w:p>
        </w:tc>
        <w:tc>
          <w:tcPr>
            <w:tcW w:w="709" w:type="dxa"/>
            <w:vAlign w:val="center"/>
            <w:textDirection w:val="lrTb"/>
            <w:noWrap w:val="false"/>
          </w:tcPr>
          <w:p>
            <w:pPr>
              <w:pStyle w:val="967"/>
              <w:jc w:val="left"/>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c>
          <w:tcPr>
            <w:gridSpan w:val="2"/>
            <w:tcW w:w="850"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r>
        <w:trPr>
          <w:trHeight w:val="1587" w:hRule="exact"/>
        </w:trPr>
        <w:tc>
          <w:tcPr>
            <w:tcW w:w="602" w:type="dxa"/>
            <w:vAlign w:val="center"/>
            <w:textDirection w:val="lrTb"/>
            <w:noWrap w:val="false"/>
          </w:tcPr>
          <w:p>
            <w:pPr>
              <w:pStyle w:val="967"/>
              <w:jc w:val="center"/>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备注</w:t>
            </w:r>
            <w:r>
              <w:rPr>
                <w:rFonts w:hint="eastAsia" w:ascii="宋体" w:hAnsi="宋体" w:cs="等线"/>
                <w:sz w:val="18"/>
                <w:szCs w:val="18"/>
                <w:highlight w:val="none"/>
              </w:rPr>
            </w:r>
            <w:r/>
          </w:p>
        </w:tc>
        <w:tc>
          <w:tcPr>
            <w:gridSpan w:val="8"/>
            <w:tcW w:w="9321" w:type="dxa"/>
            <w:vAlign w:val="center"/>
            <w:textDirection w:val="lrTb"/>
            <w:noWrap w:val="false"/>
          </w:tcPr>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1.报价表中应含清单明细（灯具壳体、LED可调光电源、模组等）报价单。</w:t>
            </w:r>
            <w:r>
              <w:rPr>
                <w:rFonts w:hint="eastAsia" w:ascii="宋体" w:hAnsi="宋体" w:cs="等线"/>
                <w:sz w:val="18"/>
                <w:szCs w:val="18"/>
                <w:highlight w:val="none"/>
              </w:rPr>
            </w:r>
            <w:r/>
          </w:p>
          <w:p>
            <w:pPr>
              <w:pStyle w:val="967"/>
              <w:rPr>
                <w:rFonts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2.灯杆含瓷插板等附件，灯杆门内需要有规格型号、合格标志、生产厂家的永久标识。</w:t>
            </w:r>
            <w:r>
              <w:rPr>
                <w:rFonts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3.由于市政工程的特殊性，如遇施工延期导致供货期延长的，供货单位必须考虑适当风险成本，并列入投标报价中。</w:t>
            </w:r>
            <w:r>
              <w:rPr>
                <w:rFonts w:hint="eastAsia" w:ascii="宋体" w:hAnsi="宋体" w:cs="等线"/>
                <w:sz w:val="18"/>
                <w:szCs w:val="18"/>
                <w:highlight w:val="none"/>
              </w:rPr>
            </w:r>
            <w:r/>
          </w:p>
          <w:p>
            <w:pPr>
              <w:pStyle w:val="967"/>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4.根据工程实际变化进行调整，最终按实际供货数量为准。</w:t>
            </w:r>
            <w:r>
              <w:rPr>
                <w:rFonts w:hint="eastAsia" w:ascii="宋体" w:hAnsi="宋体" w:cs="等线"/>
                <w:sz w:val="18"/>
                <w:szCs w:val="18"/>
                <w:highlight w:val="none"/>
              </w:rPr>
            </w:r>
            <w:r/>
          </w:p>
          <w:p>
            <w:pPr>
              <w:pStyle w:val="967"/>
              <w:widowControl/>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t xml:space="preserve">5.根据需方实际需要进行生产安排，合同签订后安排生产数量。</w:t>
            </w:r>
            <w:r>
              <w:rPr>
                <w:rFonts w:hint="eastAsia" w:ascii="宋体" w:hAnsi="宋体" w:cs="等线"/>
                <w:sz w:val="18"/>
                <w:szCs w:val="18"/>
                <w:highlight w:val="none"/>
              </w:rPr>
            </w:r>
            <w:r/>
          </w:p>
        </w:tc>
        <w:tc>
          <w:tcPr>
            <w:tcW w:w="709" w:type="dxa"/>
            <w:vAlign w:val="center"/>
            <w:textDirection w:val="lrTb"/>
            <w:noWrap w:val="false"/>
          </w:tcPr>
          <w:p>
            <w:pPr>
              <w:pStyle w:val="967"/>
              <w:widowControl/>
              <w:rPr>
                <w:rFonts w:hint="eastAsia" w:ascii="宋体" w:hAnsi="宋体" w:cs="等线"/>
                <w:sz w:val="18"/>
                <w:szCs w:val="18"/>
                <w:highlight w:val="none"/>
              </w:rPr>
              <w:framePr w:vAnchor="page" w:hAnchor="page" w:xAlign="center" w:y="572"/>
            </w:pPr>
            <w:r>
              <w:rPr>
                <w:rFonts w:hint="eastAsia" w:ascii="宋体" w:hAnsi="宋体" w:cs="等线"/>
                <w:sz w:val="18"/>
                <w:szCs w:val="18"/>
                <w:highlight w:val="none"/>
              </w:rPr>
            </w:r>
            <w:r/>
          </w:p>
        </w:tc>
      </w:tr>
    </w:tbl>
    <w:p>
      <w:pPr>
        <w:pStyle w:val="1088"/>
        <w:ind w:firstLine="0"/>
        <w:spacing w:line="300" w:lineRule="auto"/>
        <w:rPr>
          <w:rFonts w:hint="eastAsia" w:ascii="宋体" w:eastAsia="宋体" w:cs="宋体"/>
          <w:sz w:val="28"/>
          <w:highlight w:val="none"/>
        </w:rPr>
      </w:pPr>
      <w:r>
        <w:rPr>
          <w:rFonts w:hint="eastAsia" w:ascii="宋体" w:eastAsia="宋体" w:cs="宋体"/>
          <w:sz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备注：</w:t>
      </w:r>
      <w:r>
        <w:rPr>
          <w:rFonts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）国内运输保险、报关清关（如果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）、开证（如果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）、办理全套免税手续费用（如果</w:t>
      </w:r>
      <w:r>
        <w:rPr>
          <w:rFonts w:ascii="仿宋" w:hAnsi="仿宋" w:eastAsia="仿宋"/>
          <w:sz w:val="28"/>
          <w:szCs w:val="28"/>
          <w:highlight w:val="none"/>
        </w:rPr>
        <w:t xml:space="preserve">有</w:t>
      </w:r>
      <w:r>
        <w:rPr>
          <w:rFonts w:hint="eastAsia" w:ascii="仿宋" w:hAnsi="仿宋" w:eastAsia="仿宋"/>
          <w:sz w:val="28"/>
          <w:szCs w:val="28"/>
          <w:highlight w:val="none"/>
        </w:rPr>
        <w:t xml:space="preserve">）及其他有关的为完成本项目发生的所有费用，招标文件中另有规定的除外。</w:t>
      </w:r>
      <w:r>
        <w:rPr>
          <w:rFonts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bCs/>
          <w:sz w:val="28"/>
          <w:szCs w:val="28"/>
          <w:highlight w:val="none"/>
        </w:rPr>
        <w:t xml:space="preserve">分项报价明细表</w:t>
      </w:r>
      <w:r>
        <w:rPr>
          <w:rFonts w:hint="eastAsia" w:ascii="仿宋" w:hAnsi="仿宋" w:eastAsia="仿宋"/>
          <w:sz w:val="28"/>
          <w:szCs w:val="28"/>
          <w:highlight w:val="none"/>
        </w:rPr>
        <w:t xml:space="preserve">”中“总报价”数额应当与“招标</w:t>
      </w:r>
      <w:r>
        <w:rPr>
          <w:rFonts w:ascii="仿宋" w:hAnsi="仿宋" w:eastAsia="仿宋"/>
          <w:sz w:val="28"/>
          <w:szCs w:val="28"/>
          <w:highlight w:val="none"/>
        </w:rPr>
        <w:t xml:space="preserve">报价表</w:t>
      </w:r>
      <w:r>
        <w:rPr>
          <w:rFonts w:hint="eastAsia" w:ascii="仿宋" w:hAnsi="仿宋" w:eastAsia="仿宋"/>
          <w:sz w:val="28"/>
          <w:szCs w:val="28"/>
          <w:highlight w:val="none"/>
        </w:rPr>
        <w:t xml:space="preserve">”中“总价”数额一致。</w:t>
      </w:r>
      <w:r>
        <w:rPr>
          <w:rFonts w:ascii="仿宋" w:hAnsi="仿宋" w:eastAsia="仿宋"/>
          <w:sz w:val="28"/>
          <w:szCs w:val="28"/>
          <w:highlight w:val="none"/>
        </w:rPr>
      </w:r>
      <w:r/>
    </w:p>
    <w:p>
      <w:pPr>
        <w:pStyle w:val="967"/>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3.投标人需认真填写本报价表，尤其注意规格型号的准确填写。</w:t>
      </w:r>
      <w:r>
        <w:rPr>
          <w:rFonts w:hint="eastAsia" w:ascii="仿宋" w:hAnsi="仿宋" w:eastAsia="仿宋"/>
          <w:sz w:val="28"/>
          <w:szCs w:val="28"/>
          <w:highlight w:val="none"/>
        </w:rPr>
      </w:r>
      <w:r/>
    </w:p>
    <w:p>
      <w:pPr>
        <w:pStyle w:val="967"/>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4.项目</w:t>
      </w:r>
      <w:r>
        <w:rPr>
          <w:rFonts w:ascii="仿宋" w:hAnsi="仿宋" w:eastAsia="仿宋"/>
          <w:sz w:val="28"/>
          <w:szCs w:val="28"/>
          <w:highlight w:val="none"/>
        </w:rPr>
        <w:t xml:space="preserve">经办人可以根据</w:t>
      </w:r>
      <w:r>
        <w:rPr>
          <w:rFonts w:hint="eastAsia" w:ascii="仿宋" w:hAnsi="仿宋" w:eastAsia="仿宋"/>
          <w:sz w:val="28"/>
          <w:szCs w:val="28"/>
          <w:highlight w:val="none"/>
        </w:rPr>
        <w:t xml:space="preserve">项目</w:t>
      </w:r>
      <w:r>
        <w:rPr>
          <w:rFonts w:ascii="仿宋" w:hAnsi="仿宋" w:eastAsia="仿宋"/>
          <w:sz w:val="28"/>
          <w:szCs w:val="28"/>
          <w:highlight w:val="none"/>
        </w:rPr>
        <w:t xml:space="preserve">实际需要</w:t>
      </w:r>
      <w:r>
        <w:rPr>
          <w:rFonts w:hint="eastAsia" w:ascii="仿宋" w:hAnsi="仿宋" w:eastAsia="仿宋"/>
          <w:sz w:val="28"/>
          <w:szCs w:val="28"/>
          <w:highlight w:val="none"/>
        </w:rPr>
        <w:t xml:space="preserve">对</w:t>
      </w:r>
      <w:r>
        <w:rPr>
          <w:rFonts w:ascii="仿宋" w:hAnsi="仿宋" w:eastAsia="仿宋"/>
          <w:sz w:val="28"/>
          <w:szCs w:val="28"/>
          <w:highlight w:val="none"/>
        </w:rPr>
        <w:t xml:space="preserve">表格结构进行</w:t>
      </w:r>
      <w:r>
        <w:rPr>
          <w:rFonts w:hint="eastAsia" w:ascii="仿宋" w:hAnsi="仿宋" w:eastAsia="仿宋"/>
          <w:sz w:val="28"/>
          <w:szCs w:val="28"/>
          <w:highlight w:val="none"/>
        </w:rPr>
        <w:t xml:space="preserve">调整</w:t>
      </w:r>
      <w:r>
        <w:rPr>
          <w:rFonts w:ascii="仿宋" w:hAnsi="仿宋" w:eastAsia="仿宋"/>
          <w:sz w:val="28"/>
          <w:szCs w:val="28"/>
          <w:highlight w:val="none"/>
        </w:rPr>
        <w:t xml:space="preserve">。</w:t>
      </w:r>
      <w:r>
        <w:rPr>
          <w:rFonts w:ascii="仿宋" w:hAnsi="仿宋" w:eastAsia="仿宋"/>
          <w:sz w:val="28"/>
          <w:szCs w:val="28"/>
          <w:highlight w:val="none"/>
        </w:rPr>
      </w:r>
      <w:r/>
    </w:p>
    <w:p>
      <w:pPr>
        <w:pStyle w:val="967"/>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6.涉及节能产品、环境标志等享受政府采购扶持政策的项目，需在备注中分别明确注明.</w:t>
      </w:r>
      <w:r>
        <w:rPr>
          <w:rFonts w:hint="eastAsia" w:ascii="仿宋" w:hAnsi="仿宋" w:eastAsia="仿宋"/>
          <w:sz w:val="28"/>
          <w:szCs w:val="28"/>
          <w:highlight w:val="none"/>
        </w:rPr>
      </w:r>
      <w:r/>
    </w:p>
    <w:p>
      <w:pPr>
        <w:pStyle w:val="967"/>
        <w:rPr>
          <w:rFonts w:ascii="宋体" w:hAnsi="宋体"/>
          <w:sz w:val="28"/>
          <w:szCs w:val="28"/>
          <w:highlight w:val="none"/>
        </w:rPr>
      </w:pPr>
      <w:r>
        <w:rPr>
          <w:rFonts w:ascii="宋体" w:hAnsi="宋体"/>
          <w:sz w:val="28"/>
          <w:szCs w:val="28"/>
          <w:highlight w:val="none"/>
        </w:rPr>
      </w:r>
      <w:r/>
    </w:p>
    <w:p>
      <w:pPr>
        <w:pStyle w:val="967"/>
        <w:rPr>
          <w:rFonts w:ascii="宋体" w:hAnsi="宋体" w:cs="宋体"/>
          <w:sz w:val="22"/>
          <w:szCs w:val="22"/>
          <w:highlight w:val="none"/>
        </w:rPr>
      </w:pPr>
      <w:r>
        <w:rPr>
          <w:rFonts w:ascii="宋体" w:hAnsi="宋体" w:cs="宋体"/>
          <w:sz w:val="22"/>
          <w:szCs w:val="22"/>
          <w:highlight w:val="none"/>
        </w:rPr>
      </w:r>
      <w:r/>
    </w:p>
    <w:p>
      <w:pPr>
        <w:pStyle w:val="967"/>
        <w:rPr>
          <w:rFonts w:hint="eastAsia" w:ascii="宋体" w:hAnsi="宋体" w:cs="宋体"/>
          <w:sz w:val="24"/>
          <w:szCs w:val="24"/>
          <w:highlight w:val="none"/>
          <w:lang w:val="zh-CN"/>
        </w:rPr>
        <w:sectPr>
          <w:headerReference w:type="default" r:id="rId9"/>
          <w:footerReference w:type="default" r:id="rId12"/>
          <w:footerReference w:type="even" r:id="rId13"/>
          <w:footerReference w:type="first" r:id="rId14"/>
          <w:footnotePr/>
          <w:endnotePr/>
          <w:type w:val="nextPage"/>
          <w:pgSz w:w="11906" w:h="16838" w:orient="portrait"/>
          <w:pgMar w:top="1418" w:right="1474" w:bottom="1418" w:left="1365" w:header="851" w:footer="907" w:gutter="0"/>
          <w:cols w:num="1" w:sep="0" w:space="1701" w:equalWidth="1"/>
          <w:docGrid w:linePitch="360"/>
          <w:titlePg/>
        </w:sectPr>
      </w:pPr>
      <w:r>
        <w:rPr>
          <w:rFonts w:hint="eastAsia" w:ascii="宋体" w:hAnsi="宋体" w:cs="宋体"/>
          <w:sz w:val="24"/>
          <w:szCs w:val="24"/>
          <w:highlight w:val="none"/>
          <w:lang w:val="zh-CN"/>
        </w:rPr>
      </w:r>
      <w:r/>
    </w:p>
    <w:p>
      <w:pPr>
        <w:pStyle w:val="967"/>
        <w:ind w:left="-55" w:right="-75"/>
        <w:jc w:val="center"/>
        <w:spacing w:line="240" w:lineRule="atLeast"/>
        <w:rPr>
          <w:rFonts w:ascii="仿宋" w:hAnsi="仿宋" w:eastAsia="仿宋"/>
          <w:sz w:val="30"/>
          <w:szCs w:val="30"/>
          <w:highlight w:val="none"/>
        </w:rPr>
      </w:pPr>
      <w:r/>
      <w:bookmarkStart w:id="215" w:name="_Toc476153619"/>
      <w:r>
        <w:rPr>
          <w:rFonts w:hint="eastAsia" w:ascii="仿宋" w:hAnsi="仿宋" w:eastAsia="仿宋"/>
          <w:sz w:val="30"/>
          <w:szCs w:val="30"/>
          <w:highlight w:val="none"/>
        </w:rPr>
        <w:t xml:space="preserve">中小企业划型标准</w:t>
      </w:r>
      <w:bookmarkEnd w:id="215"/>
      <w:r>
        <w:rPr>
          <w:rFonts w:ascii="仿宋" w:hAnsi="仿宋" w:eastAsia="仿宋"/>
          <w:sz w:val="30"/>
          <w:szCs w:val="30"/>
          <w:highlight w:val="none"/>
        </w:rPr>
      </w:r>
      <w:r/>
    </w:p>
    <w:tbl>
      <w:tblPr>
        <w:tblW w:w="1447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0"/>
        <w:gridCol w:w="1955"/>
        <w:gridCol w:w="1198"/>
        <w:gridCol w:w="923"/>
        <w:gridCol w:w="943"/>
        <w:gridCol w:w="1108"/>
        <w:gridCol w:w="943"/>
        <w:gridCol w:w="1000"/>
        <w:gridCol w:w="1108"/>
        <w:gridCol w:w="961"/>
        <w:gridCol w:w="1006"/>
        <w:gridCol w:w="1108"/>
        <w:gridCol w:w="883"/>
        <w:gridCol w:w="852"/>
      </w:tblGrid>
      <w:tr>
        <w:trPr>
          <w:trHeight w:val="466"/>
          <w:tblHeader/>
        </w:trPr>
        <w:tc>
          <w:tcPr>
            <w:tcBorders>
              <w:top w:val="single" w:color="000000" w:sz="4" w:space="0"/>
              <w:left w:val="single" w:color="000000" w:sz="4" w:space="0"/>
              <w:bottom w:val="none" w:color="000000" w:sz="0" w:space="0"/>
              <w:right w:val="single" w:color="000000" w:sz="4" w:space="0"/>
            </w:tcBorders>
            <w:tcW w:w="490" w:type="dxa"/>
            <w:vAlign w:val="center"/>
            <w:vMerge w:val="restart"/>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序号</w:t>
            </w:r>
            <w:r>
              <w:rPr>
                <w:rFonts w:hAnsi="宋体"/>
                <w:sz w:val="20"/>
                <w:highlight w:val="none"/>
              </w:rPr>
            </w:r>
            <w:r/>
          </w:p>
        </w:tc>
        <w:tc>
          <w:tcPr>
            <w:tcBorders>
              <w:top w:val="single" w:color="000000" w:sz="4" w:space="0"/>
              <w:left w:val="none" w:color="000000" w:sz="4" w:space="0"/>
              <w:bottom w:val="none" w:color="000000" w:sz="0" w:space="0"/>
              <w:right w:val="single" w:color="000000" w:sz="4" w:space="0"/>
            </w:tcBorders>
            <w:tcW w:w="1955" w:type="dxa"/>
            <w:vAlign w:val="center"/>
            <w:vMerge w:val="restart"/>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行业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64"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大型企业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51"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中型企业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3075"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小型企业</w:t>
            </w:r>
            <w:r>
              <w:rPr>
                <w:rFonts w:hAnsi="宋体"/>
                <w:sz w:val="20"/>
                <w:highlight w:val="none"/>
              </w:rPr>
            </w:r>
            <w:r/>
          </w:p>
        </w:tc>
        <w:tc>
          <w:tcPr>
            <w:gridSpan w:val="3"/>
            <w:tcBorders>
              <w:top w:val="single" w:color="000000" w:sz="4" w:space="0"/>
              <w:left w:val="none" w:color="000000" w:sz="4" w:space="0"/>
              <w:bottom w:val="single" w:color="000000" w:sz="4" w:space="0"/>
              <w:right w:val="single" w:color="000000" w:sz="4" w:space="0"/>
            </w:tcBorders>
            <w:tcW w:w="28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微型企业</w:t>
            </w:r>
            <w:r>
              <w:rPr>
                <w:rFonts w:hAnsi="宋体"/>
                <w:sz w:val="20"/>
                <w:highlight w:val="none"/>
              </w:rPr>
            </w:r>
            <w:r/>
          </w:p>
        </w:tc>
      </w:tr>
      <w:tr>
        <w:trPr>
          <w:trHeight w:val="719"/>
          <w:tblHeader/>
        </w:trPr>
        <w:tc>
          <w:tcPr>
            <w:tcBorders>
              <w:top w:val="none" w:color="000000" w:sz="0"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967"/>
              <w:ind w:left="-55" w:right="-75"/>
              <w:jc w:val="center"/>
              <w:spacing w:line="240" w:lineRule="atLeast"/>
              <w:rPr>
                <w:rFonts w:hAnsi="宋体" w:eastAsia="楷体_GB2312"/>
                <w:sz w:val="20"/>
                <w:szCs w:val="28"/>
                <w:highlight w:val="none"/>
              </w:rPr>
            </w:pPr>
            <w:r>
              <w:rPr>
                <w:rFonts w:hAnsi="宋体" w:eastAsia="楷体_GB2312"/>
                <w:sz w:val="20"/>
                <w:szCs w:val="28"/>
                <w:highlight w:val="none"/>
              </w:rPr>
            </w:r>
            <w:r/>
          </w:p>
        </w:tc>
        <w:tc>
          <w:tcPr>
            <w:tcBorders>
              <w:top w:val="none" w:color="000000" w:sz="0" w:space="0"/>
              <w:left w:val="none" w:color="000000" w:sz="4" w:space="0"/>
              <w:bottom w:val="single" w:color="000000" w:sz="4" w:space="0"/>
              <w:right w:val="single" w:color="000000" w:sz="4" w:space="0"/>
            </w:tcBorders>
            <w:tcW w:w="1955" w:type="dxa"/>
            <w:vAlign w:val="center"/>
            <w:vMerge w:val="continue"/>
            <w:textDirection w:val="lrTb"/>
            <w:noWrap w:val="false"/>
          </w:tcPr>
          <w:p>
            <w:pPr>
              <w:pStyle w:val="967"/>
              <w:ind w:left="-55" w:right="-75"/>
              <w:jc w:val="left"/>
              <w:spacing w:line="240" w:lineRule="atLeast"/>
              <w:rPr>
                <w:rFonts w:hAnsi="宋体" w:eastAsia="楷体_GB2312"/>
                <w:sz w:val="20"/>
                <w:szCs w:val="28"/>
                <w:highlight w:val="none"/>
              </w:rPr>
            </w:pPr>
            <w:r>
              <w:rPr>
                <w:rFonts w:hAnsi="宋体" w:eastAsia="楷体_GB2312"/>
                <w:sz w:val="20"/>
                <w:szCs w:val="28"/>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ind w:left="104" w:right="-75" w:hanging="159"/>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营业收入</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从业人员</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(人)</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ind w:left="-55" w:right="-75"/>
              <w:jc w:val="center"/>
              <w:spacing w:line="240" w:lineRule="atLeast"/>
              <w:rPr>
                <w:rFonts w:hAnsi="宋体"/>
                <w:sz w:val="20"/>
                <w:highlight w:val="none"/>
              </w:rPr>
            </w:pPr>
            <w:r>
              <w:rPr>
                <w:rFonts w:hint="eastAsia" w:hAnsi="宋体"/>
                <w:sz w:val="20"/>
                <w:highlight w:val="none"/>
              </w:rPr>
              <w:t xml:space="preserve">总资产</w:t>
            </w:r>
            <w:r>
              <w:rPr>
                <w:rFonts w:hAnsi="宋体"/>
                <w:sz w:val="20"/>
                <w:highlight w:val="none"/>
              </w:rPr>
            </w:r>
            <w:r/>
          </w:p>
          <w:p>
            <w:pPr>
              <w:pStyle w:val="967"/>
              <w:ind w:left="-55" w:right="-75"/>
              <w:jc w:val="center"/>
              <w:spacing w:line="240" w:lineRule="atLeast"/>
              <w:rPr>
                <w:rFonts w:hAnsi="宋体"/>
                <w:sz w:val="20"/>
                <w:highlight w:val="none"/>
              </w:rPr>
            </w:pPr>
            <w:r>
              <w:rPr>
                <w:rFonts w:hAnsi="宋体"/>
                <w:sz w:val="20"/>
                <w:highlight w:val="none"/>
              </w:rPr>
              <w:t xml:space="preserve">(万元)</w:t>
            </w:r>
            <w:r>
              <w:rPr>
                <w:rFonts w:hAnsi="宋体"/>
                <w:sz w:val="20"/>
                <w:highlight w:val="none"/>
              </w:rPr>
            </w:r>
            <w:r/>
          </w:p>
        </w:tc>
      </w:tr>
      <w:tr>
        <w:trPr>
          <w:trHeight w:val="364"/>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rPr>
                <w:rFonts w:hAnsi="宋体"/>
                <w:bCs/>
                <w:sz w:val="20"/>
                <w:highlight w:val="none"/>
              </w:rPr>
            </w:pPr>
            <w:r>
              <w:rPr>
                <w:rFonts w:hAnsi="宋体"/>
                <w:bCs/>
                <w:sz w:val="20"/>
                <w:highlight w:val="none"/>
              </w:rPr>
              <w:t xml:space="preserve">1</w:t>
            </w:r>
            <w:r>
              <w:rPr>
                <w:rFonts w:hAnsi="宋体"/>
                <w:bCs/>
                <w:sz w:val="20"/>
                <w:highlight w:val="none"/>
              </w:rPr>
            </w:r>
            <w:r/>
          </w:p>
        </w:tc>
        <w:tc>
          <w:tcPr>
            <w:tcBorders>
              <w:top w:val="singl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农、林、牧、渔业</w:t>
            </w:r>
            <w:r>
              <w:rPr>
                <w:rFonts w:hAnsi="宋体"/>
                <w:bCs/>
                <w:sz w:val="20"/>
                <w:highlight w:val="none"/>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2</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工业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40000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3</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建筑业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80000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80000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4</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批发业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40000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5</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零售业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6</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交通运输业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7</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仓储业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8</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邮政业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9</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住宿业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10</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餐饮业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11</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信息传输业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82"/>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12</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软件和信息技术服务业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13</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房地产开发经验</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200000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,≥2000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,＜2000</w:t>
            </w:r>
            <w:r>
              <w:rPr>
                <w:rFonts w:hAnsi="宋体"/>
                <w:sz w:val="20"/>
                <w:highlight w:val="none"/>
              </w:rPr>
            </w:r>
            <w:r/>
          </w:p>
        </w:tc>
      </w:tr>
      <w:tr>
        <w:trPr>
          <w:trHeight w:val="346"/>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14</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物业管理</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500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bCs/>
                <w:sz w:val="20"/>
                <w:highlight w:val="none"/>
              </w:rPr>
            </w:pPr>
            <w:r>
              <w:rPr>
                <w:rFonts w:hAnsi="宋体"/>
                <w:bCs/>
                <w:sz w:val="20"/>
                <w:highlight w:val="none"/>
              </w:rPr>
              <w:t xml:space="preserve">15</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bCs/>
                <w:sz w:val="20"/>
                <w:highlight w:val="none"/>
              </w:rPr>
            </w:pPr>
            <w:r>
              <w:rPr>
                <w:rFonts w:hint="eastAsia" w:hAnsi="宋体"/>
                <w:bCs/>
                <w:sz w:val="20"/>
                <w:highlight w:val="none"/>
              </w:rPr>
              <w:t xml:space="preserve">租赁和商务服务业</w:t>
            </w:r>
            <w:r>
              <w:rPr>
                <w:rFonts w:hAnsi="宋体"/>
                <w:bCs/>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,≥120000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,≥8000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且</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或</w:t>
            </w:r>
            <w:r>
              <w:rPr>
                <w:rFonts w:hAnsi="宋体"/>
                <w:sz w:val="20"/>
                <w:highlight w:val="none"/>
              </w:rPr>
              <w:t xml:space="preserve">,＜100</w:t>
            </w:r>
            <w:r>
              <w:rPr>
                <w:rFonts w:hAnsi="宋体"/>
                <w:sz w:val="20"/>
                <w:highlight w:val="none"/>
              </w:rPr>
            </w:r>
            <w:r/>
          </w:p>
        </w:tc>
      </w:tr>
      <w:tr>
        <w:trPr>
          <w:trHeight w:val="355"/>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967"/>
              <w:ind w:left="-123" w:right="-123"/>
              <w:jc w:val="center"/>
              <w:spacing w:line="240" w:lineRule="atLeast"/>
              <w:widowControl/>
              <w:rPr>
                <w:rFonts w:hAnsi="宋体"/>
                <w:sz w:val="20"/>
                <w:highlight w:val="none"/>
              </w:rPr>
            </w:pPr>
            <w:r>
              <w:rPr>
                <w:rFonts w:hAnsi="宋体"/>
                <w:sz w:val="20"/>
                <w:highlight w:val="none"/>
              </w:rPr>
              <w:t xml:space="preserve">16</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955" w:type="dxa"/>
            <w:vAlign w:val="center"/>
            <w:textDirection w:val="lrTb"/>
            <w:noWrap w:val="false"/>
          </w:tcPr>
          <w:p>
            <w:pPr>
              <w:pStyle w:val="967"/>
              <w:ind w:left="-31" w:right="-75"/>
              <w:jc w:val="left"/>
              <w:spacing w:line="240" w:lineRule="atLeast"/>
              <w:rPr>
                <w:rFonts w:hAnsi="宋体"/>
                <w:sz w:val="20"/>
                <w:highlight w:val="none"/>
              </w:rPr>
            </w:pPr>
            <w:r>
              <w:rPr>
                <w:rFonts w:hint="eastAsia" w:hAnsi="宋体"/>
                <w:sz w:val="20"/>
                <w:highlight w:val="none"/>
              </w:rPr>
              <w:t xml:space="preserve">其他未列明行业</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300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967"/>
              <w:ind w:left="-123" w:right="-123"/>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006"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w:t>
            </w:r>
            <w:r>
              <w:rPr>
                <w:rFonts w:hAnsi="宋体"/>
                <w:sz w:val="20"/>
                <w:highlight w:val="none"/>
              </w:rPr>
              <w:t xml:space="preserve">10</w:t>
            </w:r>
            <w:r>
              <w:rPr>
                <w:rFonts w:hAnsi="宋体"/>
                <w:sz w:val="20"/>
                <w:highlight w:val="none"/>
              </w:rPr>
            </w:r>
            <w:r/>
          </w:p>
        </w:tc>
        <w:tc>
          <w:tcPr>
            <w:tcBorders>
              <w:top w:val="none" w:color="000000" w:sz="4" w:space="0"/>
              <w:left w:val="none" w:color="000000" w:sz="4" w:space="0"/>
              <w:bottom w:val="single" w:color="000000" w:sz="4" w:space="0"/>
              <w:right w:val="single" w:color="000000" w:sz="4" w:space="0"/>
            </w:tcBorders>
            <w:tcW w:w="852" w:type="dxa"/>
            <w:vAlign w:val="center"/>
            <w:textDirection w:val="lrTb"/>
            <w:noWrap w:val="false"/>
          </w:tcPr>
          <w:p>
            <w:pPr>
              <w:pStyle w:val="967"/>
              <w:jc w:val="center"/>
              <w:spacing w:line="240" w:lineRule="atLeast"/>
              <w:widowControl/>
              <w:rPr>
                <w:rFonts w:hAnsi="宋体"/>
                <w:sz w:val="20"/>
                <w:highlight w:val="none"/>
              </w:rPr>
            </w:pPr>
            <w:r>
              <w:rPr>
                <w:rFonts w:hint="eastAsia" w:hAnsi="宋体"/>
                <w:sz w:val="20"/>
                <w:highlight w:val="none"/>
              </w:rPr>
              <w:t xml:space="preserve">　</w:t>
            </w:r>
            <w:r>
              <w:rPr>
                <w:rFonts w:hAnsi="宋体"/>
                <w:sz w:val="20"/>
                <w:highlight w:val="none"/>
              </w:rPr>
            </w:r>
            <w:r/>
          </w:p>
        </w:tc>
      </w:tr>
    </w:tbl>
    <w:p>
      <w:pPr>
        <w:pStyle w:val="999"/>
        <w:spacing w:before="240" w:line="360" w:lineRule="auto"/>
        <w:rPr>
          <w:rFonts w:hAnsi="宋体"/>
          <w:szCs w:val="24"/>
          <w:highlight w:val="none"/>
        </w:rPr>
        <w:sectPr>
          <w:footnotePr/>
          <w:endnotePr/>
          <w:type w:val="nextPage"/>
          <w:pgSz w:w="16838" w:h="11906" w:orient="landscape"/>
          <w:pgMar w:top="1588" w:right="1418" w:bottom="1198" w:left="1418" w:header="851" w:footer="907" w:gutter="0"/>
          <w:cols w:num="1" w:sep="0" w:space="1701" w:equalWidth="1"/>
          <w:docGrid w:linePitch="360"/>
          <w:titlePg/>
        </w:sectPr>
      </w:pPr>
      <w:r>
        <w:rPr>
          <w:rStyle w:val="1040"/>
          <w:rFonts w:hint="eastAsia" w:ascii="宋体" w:hAnsi="宋体" w:cs="仿宋"/>
          <w:bCs w:val="0"/>
          <w:sz w:val="20"/>
          <w:szCs w:val="20"/>
          <w:highlight w:val="none"/>
        </w:rPr>
        <w:t xml:space="preserve">说明：上述标准参照《关于印发中小企业划型标准规定的通知》（工信部联企业</w:t>
      </w:r>
      <w:r>
        <w:rPr>
          <w:rStyle w:val="1040"/>
          <w:rFonts w:ascii="宋体" w:hAnsi="宋体" w:cs="仿宋"/>
          <w:bCs w:val="0"/>
          <w:sz w:val="20"/>
          <w:szCs w:val="20"/>
          <w:highlight w:val="none"/>
        </w:rPr>
        <w:t xml:space="preserve">[2011]300号），大型、中型和小型企业须同时满足所列指标的下限，否则下划一档；微型企业只须满足所列指标中的一项即可。</w:t>
      </w:r>
      <w:r>
        <w:rPr>
          <w:rFonts w:hAnsi="宋体"/>
          <w:szCs w:val="24"/>
          <w:highlight w:val="none"/>
        </w:rPr>
      </w:r>
      <w:r/>
    </w:p>
    <w:p>
      <w:pPr>
        <w:pStyle w:val="967"/>
        <w:jc w:val="left"/>
        <w:spacing w:line="360" w:lineRule="auto"/>
        <w:rPr>
          <w:bCs/>
          <w:highlight w:val="none"/>
        </w:rPr>
      </w:pPr>
      <w:r>
        <w:rPr>
          <w:rFonts w:hint="eastAsia"/>
          <w:bCs/>
          <w:highlight w:val="none"/>
        </w:rPr>
        <w:t xml:space="preserve">格式11：其他声明函</w:t>
      </w:r>
      <w:r>
        <w:rPr>
          <w:bCs/>
          <w:highlight w:val="none"/>
        </w:rPr>
      </w:r>
      <w:r/>
    </w:p>
    <w:p>
      <w:pPr>
        <w:pStyle w:val="999"/>
        <w:rPr>
          <w:highlight w:val="none"/>
        </w:rPr>
      </w:pPr>
      <w:r>
        <w:rPr>
          <w:highlight w:val="none"/>
        </w:rPr>
      </w:r>
      <w:r/>
    </w:p>
    <w:p>
      <w:pPr>
        <w:pStyle w:val="967"/>
        <w:ind w:left="100"/>
        <w:jc w:val="left"/>
        <w:spacing w:before="50" w:line="360" w:lineRule="auto"/>
        <w:rPr>
          <w:rFonts w:hAnsi="宋体"/>
          <w:szCs w:val="24"/>
          <w:highlight w:val="none"/>
        </w:rPr>
        <w:outlineLvl w:val="2"/>
      </w:pPr>
      <w:r/>
      <w:bookmarkStart w:id="216" w:name="_Toc174468394"/>
      <w:r>
        <w:rPr>
          <w:rFonts w:hint="eastAsia" w:hAnsi="宋体"/>
          <w:szCs w:val="24"/>
          <w:highlight w:val="none"/>
        </w:rPr>
        <w:t xml:space="preserve">（一）残疾人福利性单位声明函格式</w:t>
      </w:r>
      <w:bookmarkEnd w:id="216"/>
      <w:r>
        <w:rPr>
          <w:rFonts w:hAnsi="宋体"/>
          <w:szCs w:val="24"/>
          <w:highlight w:val="none"/>
        </w:rPr>
      </w:r>
      <w:r/>
    </w:p>
    <w:p>
      <w:pPr>
        <w:pStyle w:val="967"/>
        <w:ind w:firstLine="482"/>
        <w:jc w:val="center"/>
        <w:rPr>
          <w:rFonts w:hAnsi="宋体"/>
          <w:szCs w:val="24"/>
          <w:highlight w:val="none"/>
        </w:rPr>
      </w:pPr>
      <w:r>
        <w:rPr>
          <w:rFonts w:hAnsi="宋体"/>
          <w:szCs w:val="24"/>
          <w:highlight w:val="none"/>
        </w:rPr>
      </w:r>
      <w:r/>
    </w:p>
    <w:p>
      <w:pPr>
        <w:pStyle w:val="967"/>
        <w:ind w:firstLine="482"/>
        <w:jc w:val="center"/>
        <w:rPr>
          <w:rFonts w:hAnsi="宋体"/>
          <w:szCs w:val="24"/>
          <w:highlight w:val="none"/>
        </w:rPr>
      </w:pPr>
      <w:r>
        <w:rPr>
          <w:rFonts w:hint="eastAsia" w:hAnsi="宋体"/>
          <w:szCs w:val="24"/>
          <w:highlight w:val="none"/>
        </w:rPr>
        <w:t xml:space="preserve">残疾人福利性单位声明函</w:t>
      </w:r>
      <w:r>
        <w:rPr>
          <w:rFonts w:hAnsi="宋体"/>
          <w:szCs w:val="24"/>
          <w:highlight w:val="none"/>
        </w:rPr>
      </w:r>
      <w:r/>
    </w:p>
    <w:p>
      <w:pPr>
        <w:pStyle w:val="967"/>
        <w:rPr>
          <w:rFonts w:hAnsi="宋体"/>
          <w:szCs w:val="24"/>
          <w:highlight w:val="none"/>
        </w:rPr>
      </w:pPr>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本单位郑重声明，根据《财政部民政部中国残疾人联合会关于促进残疾人就业政府采购政策的通知》（财库〔</w:t>
      </w:r>
      <w:r>
        <w:rPr>
          <w:rFonts w:hAnsi="宋体"/>
          <w:szCs w:val="24"/>
          <w:highlight w:val="none"/>
        </w:rPr>
        <w:t xml:space="preserve">2017〕141号）的规定，本单位为符合条件的残疾人福利性单位，且本单位参加</w:t>
      </w:r>
      <w:r>
        <w:rPr>
          <w:rFonts w:hint="eastAsia" w:hAnsi="宋体"/>
          <w:szCs w:val="24"/>
          <w:highlight w:val="none"/>
        </w:rPr>
        <w:t xml:space="preserve">单位的项目采购活动提供本单位制造的货物（由本单位承担工程</w:t>
      </w:r>
      <w:r>
        <w:rPr>
          <w:rFonts w:hAnsi="宋体"/>
          <w:szCs w:val="24"/>
          <w:highlight w:val="none"/>
        </w:rPr>
        <w:t xml:space="preserve">/提供服务），或者提供其他残疾人福利性单位制造的货物（不包括使用非残疾人福利性单位注册商标的货物）。</w:t>
      </w:r>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本单位对上述声明的真实性负责。如有虚假，将依法承担相应责任。</w:t>
      </w:r>
      <w:r>
        <w:rPr>
          <w:rFonts w:hAnsi="宋体"/>
          <w:szCs w:val="24"/>
          <w:highlight w:val="none"/>
        </w:rPr>
      </w:r>
      <w:r/>
    </w:p>
    <w:p>
      <w:pPr>
        <w:pStyle w:val="967"/>
        <w:rPr>
          <w:rFonts w:hAnsi="宋体"/>
          <w:szCs w:val="24"/>
          <w:highlight w:val="none"/>
        </w:rPr>
      </w:pPr>
      <w:r>
        <w:rPr>
          <w:rFonts w:hAnsi="宋体"/>
          <w:szCs w:val="24"/>
          <w:highlight w:val="none"/>
        </w:rPr>
      </w:r>
      <w:r/>
    </w:p>
    <w:p>
      <w:pPr>
        <w:pStyle w:val="967"/>
        <w:ind w:firstLine="4560"/>
        <w:rPr>
          <w:rFonts w:hAnsi="宋体"/>
          <w:szCs w:val="24"/>
          <w:highlight w:val="none"/>
        </w:rPr>
      </w:pPr>
      <w:r>
        <w:rPr>
          <w:rFonts w:hint="eastAsia" w:hAnsi="宋体"/>
          <w:szCs w:val="24"/>
          <w:highlight w:val="none"/>
        </w:rPr>
        <w:t xml:space="preserve">投标人名称（盖章）：</w:t>
      </w:r>
      <w:r>
        <w:rPr>
          <w:rFonts w:hAnsi="宋体"/>
          <w:szCs w:val="24"/>
          <w:highlight w:val="none"/>
        </w:rPr>
      </w:r>
      <w:r/>
    </w:p>
    <w:p>
      <w:pPr>
        <w:pStyle w:val="967"/>
        <w:ind w:firstLine="4560"/>
        <w:rPr>
          <w:rFonts w:hAnsi="宋体"/>
          <w:szCs w:val="24"/>
          <w:highlight w:val="none"/>
        </w:rPr>
      </w:pPr>
      <w:r>
        <w:rPr>
          <w:rFonts w:hint="eastAsia" w:hAnsi="宋体"/>
          <w:szCs w:val="24"/>
          <w:highlight w:val="none"/>
        </w:rPr>
        <w:t xml:space="preserve">日</w:t>
      </w:r>
      <w:r>
        <w:rPr>
          <w:rFonts w:hAnsi="宋体"/>
          <w:szCs w:val="24"/>
          <w:highlight w:val="none"/>
        </w:rPr>
        <w:tab/>
      </w:r>
      <w:r>
        <w:rPr>
          <w:rFonts w:hint="eastAsia" w:hAnsi="宋体"/>
          <w:szCs w:val="24"/>
          <w:highlight w:val="none"/>
        </w:rPr>
        <w:t xml:space="preserve">期：</w:t>
      </w: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17" w:name="_Toc174468395"/>
      <w:r>
        <w:rPr>
          <w:rFonts w:hint="eastAsia" w:hAnsi="宋体"/>
          <w:szCs w:val="24"/>
          <w:highlight w:val="none"/>
        </w:rPr>
        <w:t xml:space="preserve">（二）属于监狱企业的证明文件</w:t>
      </w:r>
      <w:bookmarkEnd w:id="217"/>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提供由省级以上监狱管理局、戒毒管理局</w:t>
      </w:r>
      <w:r>
        <w:rPr>
          <w:rFonts w:hAnsi="宋体"/>
          <w:szCs w:val="24"/>
          <w:highlight w:val="none"/>
        </w:rPr>
        <w:t xml:space="preserve">(含新疆生产建设兵团)出具的属于监狱企业的证明文件</w:t>
      </w:r>
      <w:r>
        <w:rPr>
          <w:rFonts w:hAnsi="宋体"/>
          <w:szCs w:val="24"/>
          <w:highlight w:val="none"/>
        </w:rPr>
      </w:r>
      <w:r/>
    </w:p>
    <w:p>
      <w:pPr>
        <w:pStyle w:val="967"/>
        <w:ind w:firstLine="480"/>
        <w:spacing w:line="360" w:lineRule="auto"/>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18" w:name="_Toc174468396"/>
      <w:r>
        <w:rPr>
          <w:rFonts w:hint="eastAsia" w:hAnsi="宋体"/>
          <w:szCs w:val="24"/>
          <w:highlight w:val="none"/>
        </w:rPr>
        <w:t xml:space="preserve">（三）节能产品认证文件</w:t>
      </w:r>
      <w:bookmarkEnd w:id="218"/>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提供其投标产品在《节能产品政府采购清单》中相应的页面截图及相关证明材料</w:t>
      </w:r>
      <w:r>
        <w:rPr>
          <w:rFonts w:hAnsi="宋体"/>
          <w:szCs w:val="24"/>
          <w:highlight w:val="none"/>
        </w:rPr>
      </w:r>
      <w:r/>
    </w:p>
    <w:p>
      <w:pPr>
        <w:pStyle w:val="967"/>
        <w:ind w:firstLine="480"/>
        <w:spacing w:line="360" w:lineRule="auto"/>
        <w:rPr>
          <w:rFonts w:hAnsi="宋体"/>
          <w:szCs w:val="24"/>
          <w:highlight w:val="none"/>
        </w:rPr>
      </w:pPr>
      <w:r>
        <w:rPr>
          <w:rFonts w:hAnsi="宋体"/>
          <w:szCs w:val="24"/>
          <w:highlight w:val="none"/>
        </w:rPr>
      </w:r>
      <w:r/>
    </w:p>
    <w:p>
      <w:pPr>
        <w:pStyle w:val="967"/>
        <w:ind w:left="100"/>
        <w:jc w:val="left"/>
        <w:spacing w:before="50" w:line="360" w:lineRule="auto"/>
        <w:rPr>
          <w:rFonts w:hAnsi="宋体"/>
          <w:szCs w:val="24"/>
          <w:highlight w:val="none"/>
        </w:rPr>
        <w:outlineLvl w:val="2"/>
      </w:pPr>
      <w:r/>
      <w:bookmarkStart w:id="219" w:name="_Toc174468397"/>
      <w:r>
        <w:rPr>
          <w:rFonts w:hint="eastAsia" w:hAnsi="宋体"/>
          <w:szCs w:val="24"/>
          <w:highlight w:val="none"/>
        </w:rPr>
        <w:t xml:space="preserve">（四）环境标志产品认证文件</w:t>
      </w:r>
      <w:bookmarkEnd w:id="219"/>
      <w:r>
        <w:rPr>
          <w:rFonts w:hAnsi="宋体"/>
          <w:szCs w:val="24"/>
          <w:highlight w:val="none"/>
        </w:rPr>
      </w:r>
      <w:r/>
    </w:p>
    <w:p>
      <w:pPr>
        <w:pStyle w:val="967"/>
        <w:ind w:firstLine="480"/>
        <w:spacing w:line="360" w:lineRule="auto"/>
        <w:rPr>
          <w:rFonts w:hAnsi="宋体"/>
          <w:szCs w:val="24"/>
          <w:highlight w:val="none"/>
        </w:rPr>
      </w:pPr>
      <w:r>
        <w:rPr>
          <w:rFonts w:hint="eastAsia" w:hAnsi="宋体"/>
          <w:szCs w:val="24"/>
          <w:highlight w:val="none"/>
        </w:rPr>
        <w:t xml:space="preserve">提供其投标产品在《环境标志产品政府采购清单》中相应的页面截图及相关证明材料</w:t>
      </w:r>
      <w:r>
        <w:rPr>
          <w:rFonts w:hAnsi="宋体"/>
          <w:szCs w:val="24"/>
          <w:highlight w:val="none"/>
        </w:rPr>
      </w:r>
      <w:r/>
    </w:p>
    <w:p>
      <w:pPr>
        <w:pStyle w:val="967"/>
        <w:jc w:val="left"/>
        <w:widowControl/>
        <w:rPr>
          <w:rFonts w:hAnsi="宋体"/>
          <w:szCs w:val="24"/>
          <w:highlight w:val="none"/>
        </w:rPr>
      </w:pPr>
      <w:r>
        <w:rPr>
          <w:rFonts w:hint="eastAsia" w:hAnsi="宋体"/>
          <w:szCs w:val="24"/>
          <w:highlight w:val="none"/>
        </w:rPr>
        <w:br w:type="page" w:clear="all"/>
      </w:r>
      <w:r>
        <w:rPr>
          <w:rFonts w:hAnsi="宋体"/>
          <w:szCs w:val="24"/>
          <w:highlight w:val="none"/>
        </w:rPr>
      </w:r>
      <w:r/>
    </w:p>
    <w:p>
      <w:pPr>
        <w:pStyle w:val="967"/>
        <w:ind w:left="100"/>
        <w:jc w:val="left"/>
        <w:spacing w:before="50" w:line="360" w:lineRule="auto"/>
        <w:rPr>
          <w:rFonts w:hAnsi="宋体"/>
          <w:szCs w:val="24"/>
          <w:highlight w:val="none"/>
        </w:rPr>
        <w:outlineLvl w:val="2"/>
      </w:pPr>
      <w:r>
        <w:rPr>
          <w:rFonts w:hint="eastAsia" w:hAnsi="宋体"/>
          <w:szCs w:val="24"/>
          <w:highlight w:val="none"/>
        </w:rPr>
        <w:t xml:space="preserve">（五）关于符合本国产品标准的声明函</w:t>
      </w:r>
      <w:r>
        <w:rPr>
          <w:rFonts w:hAnsi="宋体"/>
          <w:szCs w:val="24"/>
          <w:highlight w:val="none"/>
        </w:rPr>
      </w:r>
      <w:r/>
    </w:p>
    <w:p>
      <w:pPr>
        <w:pStyle w:val="967"/>
        <w:ind w:firstLine="420"/>
        <w:spacing w:line="360" w:lineRule="auto"/>
        <w:rPr>
          <w:rFonts w:hAnsi="宋体" w:cs="方正魏碑_GBK"/>
          <w:highlight w:val="none"/>
        </w:rPr>
      </w:pPr>
      <w:r>
        <w:rPr>
          <w:rFonts w:hAnsi="宋体" w:cs="方正魏碑_GBK"/>
          <w:highlight w:val="none"/>
        </w:rPr>
      </w:r>
      <w:r/>
    </w:p>
    <w:p>
      <w:pPr>
        <w:pStyle w:val="967"/>
        <w:ind w:firstLine="420"/>
        <w:spacing w:line="360" w:lineRule="auto"/>
        <w:rPr>
          <w:rFonts w:hAnsi="宋体" w:cs="方正魏碑_GBK"/>
          <w:highlight w:val="none"/>
        </w:rPr>
      </w:pPr>
      <w:r>
        <w:rPr>
          <w:rFonts w:hint="eastAsia" w:hAnsi="宋体"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4571365</wp:posOffset>
                </wp:positionH>
                <wp:positionV relativeFrom="paragraph">
                  <wp:posOffset>78740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59.9pt;mso-position-horizontal:absolute;mso-position-vertical-relative:text;margin-top:6.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shd w:val="clear" w:color="auto" w:fill="ffffff"/>
        </w:rPr>
        <w:t xml:space="preserve">1.</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vertAlign w:val="superscript"/>
        </w:rPr>
        <w:t xml:space="preserve">1</w:t>
      </w:r>
      <w:r>
        <w:rPr>
          <w:rFonts w:hint="eastAsia" w:hAnsi="宋体" w:cs="方正魏碑_GBK"/>
          <w:highlight w:val="none"/>
          <w:shd w:val="clear" w:color="auto" w:fill="ffffff"/>
        </w:rPr>
        <w:t xml:space="preserve">，生产厂为</w:t>
      </w:r>
      <w:r>
        <w:rPr>
          <w:rFonts w:hint="eastAsia" w:hAnsi="宋体" w:cs="方正魏碑_GBK"/>
          <w:highlight w:val="none"/>
          <w:u w:val="single"/>
          <w:shd w:val="clear" w:color="auto" w:fill="ffffff"/>
        </w:rPr>
        <w:t xml:space="preserve">（厂名）</w:t>
      </w:r>
      <w:r>
        <w:rPr>
          <w:rFonts w:hint="eastAsia" w:hAnsi="宋体" w:cs="方正魏碑_GBK"/>
          <w:highlight w:val="none"/>
          <w:shd w:val="clear" w:color="auto" w:fill="ffffff"/>
          <w:vertAlign w:val="superscript"/>
        </w:rPr>
        <w:t xml:space="preserve">2</w:t>
      </w:r>
      <w:r>
        <w:rPr>
          <w:rFonts w:hint="eastAsia" w:hAnsi="宋体" w:cs="方正魏碑_GBK"/>
          <w:highlight w:val="none"/>
          <w:shd w:val="clear" w:color="auto" w:fill="ffffff"/>
        </w:rPr>
        <w:t xml:space="preserve">，厂址为</w:t>
      </w:r>
      <w:r>
        <w:rPr>
          <w:rFonts w:hint="eastAsia" w:hAnsi="宋体" w:cs="方正魏碑_GBK"/>
          <w:highlight w:val="none"/>
          <w:u w:val="single"/>
          <w:shd w:val="clear" w:color="auto" w:fill="ffffff"/>
        </w:rPr>
        <w:t xml:space="preserve">（生产厂址）</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 （产品名称1） </w:t>
      </w:r>
      <w:r>
        <w:rPr>
          <w:rFonts w:hint="eastAsia" w:hAnsi="宋体" w:cs="方正魏碑_GBK"/>
          <w:highlight w:val="none"/>
          <w:shd w:val="clear" w:color="auto" w:fill="ffffff"/>
        </w:rPr>
        <w:t xml:space="preserve">的中国境内生产的组件成本占比≥</w:t>
      </w:r>
      <w:r>
        <w:rPr>
          <w:rFonts w:hint="eastAsia" w:hAnsi="宋体" w:cs="方正魏碑_GBK"/>
          <w:highlight w:val="none"/>
          <w:u w:val="single"/>
          <w:shd w:val="clear" w:color="auto" w:fill="ffffff"/>
        </w:rPr>
        <w:t xml:space="preserve">（规定</w:t>
      </w:r>
      <w:r>
        <w:rPr>
          <w:rFonts w:hAnsi="宋体" w:cs="方正魏碑_GBK"/>
          <w:highlight w:val="none"/>
          <w:u w:val="single"/>
          <w:shd w:val="clear" w:color="auto" w:fill="ffffff"/>
        </w:rPr>
        <w:t xml:space="preserve">比例</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vertAlign w:val="superscript"/>
        </w:rPr>
        <w:t xml:space="preserve">3</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w:t>
      </w:r>
      <w:r>
        <w:rPr>
          <w:rFonts w:hAnsi="宋体" w:cs="方正魏碑_GBK"/>
          <w:highlight w:val="none"/>
          <w:u w:val="single"/>
          <w:shd w:val="clear" w:color="auto" w:fill="ffffff"/>
        </w:rPr>
        <w:t xml:space="preserve">组件</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vertAlign w:val="superscript"/>
        </w:rPr>
        <w:t xml:space="preserve">4</w:t>
      </w:r>
      <w:r>
        <w:rPr>
          <w:rFonts w:hint="eastAsia" w:hAnsi="宋体" w:cs="方正魏碑_GBK"/>
          <w:highlight w:val="none"/>
          <w:shd w:val="clear" w:color="auto" w:fill="ffffff"/>
        </w:rPr>
        <w:t xml:space="preserve">在中国境内生产。</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（关键工序）</w:t>
      </w:r>
      <w:r>
        <w:rPr>
          <w:rFonts w:hint="eastAsia" w:hAnsi="宋体" w:cs="方正魏碑_GBK"/>
          <w:highlight w:val="none"/>
          <w:shd w:val="clear" w:color="auto" w:fill="ffffff"/>
          <w:vertAlign w:val="superscript"/>
        </w:rPr>
        <w:t xml:space="preserve">5</w:t>
      </w:r>
      <w:r>
        <w:rPr>
          <w:rFonts w:hint="eastAsia" w:hAnsi="宋体" w:cs="方正魏碑_GBK"/>
          <w:highlight w:val="none"/>
          <w:shd w:val="clear" w:color="auto" w:fill="ffffff"/>
        </w:rPr>
        <w:t xml:space="preserve">在中国境内完成。</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highlight w:val="none"/>
          <w:shd w:val="clear" w:color="auto" w:fill="ffffff"/>
        </w:rPr>
        <w:t xml:space="preserve">2.</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，生产厂为</w:t>
      </w:r>
      <w:r>
        <w:rPr>
          <w:rFonts w:hint="eastAsia" w:hAnsi="宋体" w:cs="方正魏碑_GBK"/>
          <w:highlight w:val="none"/>
          <w:u w:val="single"/>
          <w:shd w:val="clear" w:color="auto" w:fill="ffffff"/>
        </w:rPr>
        <w:t xml:space="preserve">（厂名）</w:t>
      </w:r>
      <w:r>
        <w:rPr>
          <w:rFonts w:hint="eastAsia" w:hAnsi="宋体" w:cs="方正魏碑_GBK"/>
          <w:highlight w:val="none"/>
          <w:shd w:val="clear" w:color="auto" w:fill="ffffff"/>
        </w:rPr>
        <w:t xml:space="preserve">，厂址为</w:t>
      </w:r>
      <w:r>
        <w:rPr>
          <w:rFonts w:hint="eastAsia" w:hAnsi="宋体" w:cs="方正魏碑_GBK"/>
          <w:highlight w:val="none"/>
          <w:u w:val="single"/>
          <w:shd w:val="clear" w:color="auto" w:fill="ffffff"/>
        </w:rPr>
        <w:t xml:space="preserve">（生产厂址）</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的中国境内生产的组件成本占比≥</w:t>
      </w:r>
      <w:r>
        <w:rPr>
          <w:rFonts w:hint="eastAsia" w:hAnsi="宋体" w:cs="方正魏碑_GBK"/>
          <w:highlight w:val="none"/>
          <w:u w:val="single"/>
          <w:shd w:val="clear" w:color="auto" w:fill="ffffff"/>
        </w:rPr>
        <w:t xml:space="preserve">（规定</w:t>
      </w:r>
      <w:r>
        <w:rPr>
          <w:rFonts w:hAnsi="宋体" w:cs="方正魏碑_GBK"/>
          <w:highlight w:val="none"/>
          <w:u w:val="single"/>
          <w:shd w:val="clear" w:color="auto" w:fill="ffffff"/>
        </w:rPr>
        <w:t xml:space="preserve">比例</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rPr>
        <w:t xml:space="preserve">。</w:t>
      </w:r>
      <w:r>
        <w:rPr>
          <w:rFonts w:hint="eastAsia" w:hAnsi="宋体" w:cs="方正魏碑_GBK"/>
          <w:highlight w:val="none"/>
          <w:u w:val="single"/>
          <w:shd w:val="clear" w:color="auto" w:fill="ffffff"/>
        </w:rPr>
        <w:t xml:space="preserve">（产品名称2）</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w:t>
      </w:r>
      <w:r>
        <w:rPr>
          <w:rFonts w:hAnsi="宋体" w:cs="方正魏碑_GBK"/>
          <w:highlight w:val="none"/>
          <w:u w:val="single"/>
          <w:shd w:val="clear" w:color="auto" w:fill="ffffff"/>
        </w:rPr>
        <w:t xml:space="preserve">组件</w:t>
      </w:r>
      <w:r>
        <w:rPr>
          <w:rFonts w:hint="eastAsia" w:hAnsi="宋体" w:cs="方正魏碑_GBK"/>
          <w:highlight w:val="none"/>
          <w:u w:val="single"/>
          <w:shd w:val="clear" w:color="auto" w:fill="ffffff"/>
        </w:rPr>
        <w:t xml:space="preserve">）</w:t>
      </w:r>
      <w:r>
        <w:rPr>
          <w:rFonts w:hint="eastAsia" w:hAnsi="宋体" w:cs="方正魏碑_GBK"/>
          <w:highlight w:val="none"/>
          <w:shd w:val="clear" w:color="auto" w:fill="ffffff"/>
        </w:rPr>
        <w:t xml:space="preserve">在中国境内生产。</w:t>
      </w:r>
      <w:r>
        <w:rPr>
          <w:rFonts w:hint="eastAsia" w:hAnsi="宋体" w:cs="方正魏碑_GBK"/>
          <w:highlight w:val="none"/>
          <w:u w:val="single"/>
          <w:shd w:val="clear" w:color="auto" w:fill="ffffff"/>
        </w:rPr>
        <w:t xml:space="preserve">（产品名称1）</w:t>
      </w:r>
      <w:r>
        <w:rPr>
          <w:rFonts w:hint="eastAsia" w:hAnsi="宋体" w:cs="方正魏碑_GBK"/>
          <w:highlight w:val="none"/>
          <w:shd w:val="clear" w:color="auto" w:fill="ffffff"/>
        </w:rPr>
        <w:t xml:space="preserve">的</w:t>
      </w:r>
      <w:r>
        <w:rPr>
          <w:rFonts w:hint="eastAsia" w:hAnsi="宋体" w:cs="方正魏碑_GBK"/>
          <w:highlight w:val="none"/>
          <w:u w:val="single"/>
          <w:shd w:val="clear" w:color="auto" w:fill="ffffff"/>
        </w:rPr>
        <w:t xml:space="preserve">（关键工序）</w:t>
      </w:r>
      <w:r>
        <w:rPr>
          <w:rFonts w:hint="eastAsia" w:hAnsi="宋体" w:cs="方正魏碑_GBK"/>
          <w:highlight w:val="none"/>
          <w:shd w:val="clear" w:color="auto" w:fill="ffffff"/>
        </w:rPr>
        <w:t xml:space="preserve">在中国境内完成。</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shd w:val="clear" w:color="auto" w:fill="ffffff"/>
        </w:rPr>
        <w:t xml:space="preserve">……</w:t>
      </w:r>
      <w:r>
        <w:rPr>
          <w:rFonts w:hAnsi="宋体" w:cs="方正魏碑_GBK"/>
          <w:highlight w:val="none"/>
        </w:rPr>
      </w:r>
      <w:r/>
    </w:p>
    <w:p>
      <w:pPr>
        <w:pStyle w:val="967"/>
        <w:ind w:firstLine="420"/>
        <w:spacing w:before="30" w:after="30" w:line="360" w:lineRule="auto"/>
        <w:rPr>
          <w:rFonts w:hAnsi="宋体" w:cs="方正魏碑_GBK"/>
          <w:highlight w:val="none"/>
        </w:rPr>
      </w:pPr>
      <w:r>
        <w:rPr>
          <w:rFonts w:hint="eastAsia" w:hAnsi="宋体" w:cs="方正魏碑_GBK"/>
          <w:highlight w:val="none"/>
          <w:shd w:val="clear" w:color="auto" w:fill="ffffff"/>
        </w:rPr>
        <w:t xml:space="preserve">本公司（单位）对上述声明内容的真实性负责。如有虚假，愿承担相应法律责任。</w:t>
      </w:r>
      <w:r>
        <w:rPr>
          <w:rFonts w:hAnsi="宋体" w:cs="方正魏碑_GBK"/>
          <w:highlight w:val="none"/>
        </w:rPr>
      </w:r>
      <w:r/>
    </w:p>
    <w:p>
      <w:pPr>
        <w:pStyle w:val="967"/>
        <w:spacing w:before="30" w:after="30" w:line="360" w:lineRule="auto"/>
        <w:rPr>
          <w:rFonts w:hAnsi="宋体" w:cs="方正魏碑_GBK"/>
          <w:highlight w:val="none"/>
        </w:rPr>
      </w:pPr>
      <w:r>
        <w:rPr>
          <w:rFonts w:hAnsi="宋体" w:cs="方正魏碑_GBK"/>
          <w:highlight w:val="none"/>
        </w:rPr>
      </w:r>
      <w:r/>
    </w:p>
    <w:p>
      <w:pPr>
        <w:pStyle w:val="967"/>
        <w:ind w:right="1560" w:firstLine="444"/>
        <w:jc w:val="center"/>
        <w:spacing w:line="360" w:lineRule="auto"/>
        <w:tabs>
          <w:tab w:val="left" w:pos="4860" w:leader="none"/>
        </w:tabs>
        <w:rPr>
          <w:rFonts w:hAnsi="宋体"/>
          <w:highlight w:val="none"/>
        </w:rPr>
      </w:pPr>
      <w:r>
        <w:rPr>
          <w:rFonts w:hint="eastAsia" w:hAnsi="宋体"/>
          <w:spacing w:val="6"/>
          <w:highlight w:val="none"/>
        </w:rPr>
        <w:t xml:space="preserve">           </w:t>
      </w:r>
      <w:r>
        <w:rPr>
          <w:rFonts w:hint="eastAsia" w:hAnsi="宋体"/>
          <w:highlight w:val="none"/>
        </w:rPr>
        <w:t xml:space="preserve">               投标人名称（盖章）：</w:t>
      </w:r>
      <w:r>
        <w:rPr>
          <w:rFonts w:hAnsi="宋体"/>
          <w:highlight w:val="none"/>
        </w:rPr>
      </w:r>
      <w:r/>
    </w:p>
    <w:p>
      <w:pPr>
        <w:pStyle w:val="967"/>
        <w:ind w:right="1560" w:firstLine="420"/>
        <w:jc w:val="center"/>
        <w:spacing w:line="360" w:lineRule="auto"/>
        <w:tabs>
          <w:tab w:val="left" w:pos="4860" w:leader="none"/>
        </w:tabs>
        <w:rPr>
          <w:rFonts w:hAnsi="宋体"/>
          <w:highlight w:val="none"/>
        </w:rPr>
      </w:pPr>
      <w:r>
        <w:rPr>
          <w:rFonts w:hint="eastAsia" w:hAnsi="宋体"/>
          <w:highlight w:val="none"/>
        </w:rPr>
        <w:t xml:space="preserve">                              日  期：</w:t>
      </w:r>
      <w:r>
        <w:rPr>
          <w:rFonts w:hAnsi="宋体"/>
          <w:highlight w:val="none"/>
        </w:rPr>
      </w:r>
      <w:r/>
    </w:p>
    <w:p>
      <w:pPr>
        <w:pStyle w:val="967"/>
        <w:jc w:val="center"/>
        <w:spacing w:before="30" w:after="30" w:line="360" w:lineRule="auto"/>
        <w:rPr>
          <w:rFonts w:hAnsi="宋体" w:cs="方正魏碑_GBK"/>
          <w:highlight w:val="none"/>
        </w:rPr>
      </w:pPr>
      <w:r>
        <w:rPr>
          <w:rFonts w:hint="eastAsia" w:hAnsi="宋体" w:cs="方正魏碑_GBK"/>
          <w:highlight w:val="none"/>
          <w:shd w:val="clear" w:color="auto" w:fill="ffffff"/>
        </w:rPr>
        <w:t xml:space="preserve">   </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__________________</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1.产品如有型号，请在“产品名称”栏一并填写。</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2.生产厂名与厂址应与生产厂营业执照载明的相关信息保持一致。</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3.该产品的中国境内生产的组件成本占比相关要求实施前，“规定比例”栏可不填，下同。</w:t>
      </w:r>
      <w:r>
        <w:rPr>
          <w:rFonts w:hAnsi="宋体" w:cs="方正魏碑_GBK"/>
          <w:highlight w:val="none"/>
        </w:rPr>
      </w:r>
      <w:r/>
    </w:p>
    <w:p>
      <w:pPr>
        <w:pStyle w:val="967"/>
        <w:spacing w:before="30" w:after="30" w:line="360" w:lineRule="auto"/>
        <w:rPr>
          <w:rFonts w:hAnsi="宋体" w:cs="方正魏碑_GBK"/>
          <w:highlight w:val="none"/>
        </w:rPr>
      </w:pPr>
      <w:r>
        <w:rPr>
          <w:rFonts w:hint="eastAsia" w:hAnsi="宋体" w:cs="方正魏碑_GBK"/>
          <w:highlight w:val="none"/>
          <w:shd w:val="clear" w:color="auto" w:fill="ffffff"/>
        </w:rPr>
        <w:t xml:space="preserve">4.该产品的关键组件要求实施前，“关键组件”栏可不填，下同。</w:t>
      </w:r>
      <w:r>
        <w:rPr>
          <w:rFonts w:hAnsi="宋体" w:cs="方正魏碑_GBK"/>
          <w:highlight w:val="none"/>
        </w:rPr>
      </w:r>
      <w:r/>
    </w:p>
    <w:p>
      <w:pPr>
        <w:pStyle w:val="967"/>
        <w:spacing w:before="30" w:after="30" w:line="360" w:lineRule="auto"/>
        <w:rPr>
          <w:rFonts w:hAnsi="宋体" w:cs="方正魏碑_GBK"/>
          <w:highlight w:val="none"/>
          <w:shd w:val="clear" w:color="auto" w:fill="ffffff"/>
        </w:rPr>
      </w:pPr>
      <w:r>
        <w:rPr>
          <w:rFonts w:hint="eastAsia" w:hAnsi="宋体" w:cs="方正魏碑_GBK"/>
          <w:highlight w:val="none"/>
          <w:shd w:val="clear" w:color="auto" w:fill="ffffff"/>
        </w:rPr>
        <w:t xml:space="preserve">5.该产品的关键工序要求实施前，“关键工序”栏可不填，下同。</w:t>
      </w:r>
      <w:r>
        <w:rPr>
          <w:rFonts w:hAnsi="宋体" w:cs="方正魏碑_GBK"/>
          <w:highlight w:val="none"/>
          <w:shd w:val="clear" w:color="auto" w:fill="ffffff"/>
        </w:rPr>
      </w:r>
      <w:r/>
    </w:p>
    <w:p>
      <w:pPr>
        <w:pStyle w:val="967"/>
        <w:spacing w:before="30" w:after="30" w:line="360" w:lineRule="auto"/>
        <w:rPr>
          <w:rFonts w:hAnsi="宋体" w:cs="方正魏碑_GBK"/>
          <w:highlight w:val="none"/>
          <w:shd w:val="clear" w:color="auto" w:fill="ffffff"/>
        </w:rPr>
      </w:pPr>
      <w:r>
        <w:rPr>
          <w:rFonts w:hint="eastAsia" w:hAnsi="宋体" w:cs="方正魏碑_GBK"/>
          <w:highlight w:val="none"/>
          <w:shd w:val="clear" w:color="auto" w:fill="ffffff"/>
        </w:rPr>
        <w:t xml:space="preserve">6.用斜线划除的地方无需填写。</w:t>
      </w:r>
      <w:r>
        <w:rPr>
          <w:rFonts w:hAnsi="宋体" w:cs="方正魏碑_GBK"/>
          <w:highlight w:val="none"/>
          <w:shd w:val="clear" w:color="auto" w:fill="ffffff"/>
        </w:rPr>
      </w:r>
      <w:r/>
    </w:p>
    <w:p>
      <w:pPr>
        <w:pStyle w:val="967"/>
        <w:ind w:firstLine="480"/>
        <w:spacing w:line="360" w:lineRule="auto"/>
        <w:rPr>
          <w:rFonts w:hAnsi="宋体"/>
          <w:szCs w:val="24"/>
          <w:highlight w:val="none"/>
        </w:rPr>
      </w:pPr>
      <w:r>
        <w:rPr>
          <w:rFonts w:hAnsi="宋体"/>
          <w:szCs w:val="24"/>
          <w:highlight w:val="none"/>
        </w:rPr>
      </w:r>
      <w:r/>
    </w:p>
    <w:p>
      <w:pPr>
        <w:pStyle w:val="967"/>
        <w:rPr>
          <w:rFonts w:eastAsia="黑体"/>
          <w:sz w:val="32"/>
          <w:szCs w:val="32"/>
          <w:highlight w:val="none"/>
        </w:rPr>
      </w:pPr>
      <w:r>
        <w:rPr>
          <w:rFonts w:eastAsia="黑体"/>
          <w:sz w:val="32"/>
          <w:szCs w:val="32"/>
          <w:highlight w:val="none"/>
        </w:rPr>
      </w:r>
      <w:r/>
    </w:p>
    <w:p>
      <w:pPr>
        <w:pStyle w:val="999"/>
        <w:rPr>
          <w:rFonts w:ascii="Times New Roman" w:eastAsia="黑体"/>
          <w:sz w:val="32"/>
          <w:szCs w:val="32"/>
          <w:highlight w:val="none"/>
        </w:rPr>
      </w:pPr>
      <w:r>
        <w:rPr>
          <w:rFonts w:ascii="Times New Roman" w:eastAsia="黑体"/>
          <w:sz w:val="32"/>
          <w:szCs w:val="32"/>
          <w:highlight w:val="none"/>
        </w:rPr>
      </w:r>
      <w:r/>
    </w:p>
    <w:p>
      <w:pPr>
        <w:pStyle w:val="967"/>
        <w:rPr>
          <w:rFonts w:eastAsia="黑体"/>
          <w:sz w:val="32"/>
          <w:szCs w:val="32"/>
          <w:highlight w:val="none"/>
        </w:rPr>
      </w:pPr>
      <w:r>
        <w:rPr>
          <w:rFonts w:eastAsia="黑体"/>
          <w:sz w:val="32"/>
          <w:szCs w:val="32"/>
          <w:highlight w:val="none"/>
        </w:rPr>
      </w:r>
      <w:r/>
    </w:p>
    <w:p>
      <w:pPr>
        <w:pStyle w:val="999"/>
        <w:rPr>
          <w:rFonts w:ascii="Times New Roman" w:eastAsia="黑体"/>
          <w:sz w:val="32"/>
          <w:szCs w:val="32"/>
          <w:highlight w:val="none"/>
        </w:rPr>
      </w:pPr>
      <w:r>
        <w:rPr>
          <w:rFonts w:ascii="Times New Roman" w:eastAsia="黑体"/>
          <w:sz w:val="32"/>
          <w:szCs w:val="32"/>
          <w:highlight w:val="none"/>
        </w:rPr>
      </w:r>
      <w:r/>
    </w:p>
    <w:p>
      <w:pPr>
        <w:pStyle w:val="967"/>
        <w:rPr>
          <w:rFonts w:ascii="宋体" w:hAnsi="宋体" w:cs="宋体"/>
          <w:bCs/>
          <w:sz w:val="22"/>
          <w:szCs w:val="22"/>
          <w:highlight w:val="none"/>
        </w:rPr>
      </w:pPr>
      <w:r>
        <w:rPr>
          <w:rFonts w:hint="eastAsia" w:ascii="宋体" w:hAnsi="宋体" w:cs="宋体"/>
          <w:sz w:val="24"/>
          <w:szCs w:val="24"/>
          <w:highlight w:val="none"/>
          <w:lang w:val="zh-CN"/>
        </w:rPr>
        <w:br w:type="page" w:clear="all"/>
      </w:r>
      <w:r>
        <w:rPr>
          <w:rFonts w:ascii="宋体" w:hAnsi="宋体" w:cs="宋体"/>
          <w:bCs/>
          <w:sz w:val="22"/>
          <w:szCs w:val="22"/>
          <w:highlight w:val="none"/>
        </w:rPr>
      </w:r>
      <w:r/>
    </w:p>
    <w:p>
      <w:pPr>
        <w:pStyle w:val="967"/>
        <w:jc w:val="center"/>
        <w:rPr>
          <w:rFonts w:ascii="宋体" w:hAnsi="宋体" w:cs="仿宋"/>
          <w:b/>
          <w:bCs/>
          <w:sz w:val="32"/>
          <w:szCs w:val="32"/>
          <w:highlight w:val="none"/>
        </w:rPr>
      </w:pPr>
      <w:r/>
      <w:bookmarkEnd w:id="211"/>
      <w:r/>
      <w:bookmarkEnd w:id="212"/>
      <w:r/>
      <w:bookmarkEnd w:id="213"/>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967"/>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一、质疑投标人基本信息</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质疑投标人：</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96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67"/>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9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67"/>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967"/>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967"/>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1.投标人提出质疑时，应提交质疑函和必要的证明材料。</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2.质疑投标人若委托代理人进行质疑的，质疑函应按要求列明“授权代表”的有关内容，并在附件中提交由质疑</w:t>
      </w:r>
      <w:r>
        <w:rPr>
          <w:rFonts w:hint="eastAsia" w:ascii="宋体" w:hAnsi="宋体" w:cs="宋体"/>
          <w:sz w:val="24"/>
          <w:szCs w:val="24"/>
          <w:highlight w:val="none"/>
        </w:rPr>
        <w:t xml:space="preserve">投标人签署的授权委托书。授权委托书应载明代理人的姓名或者名称、代理事项、具体权限、期限和相关事项。</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3.质疑投标人若对项目的某一分包进行质疑，质疑函中应列明具体分包号。</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967"/>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highlight w:val="none"/>
        </w:rPr>
      </w:r>
      <w:r/>
    </w:p>
    <w:p>
      <w:pPr>
        <w:pStyle w:val="1035"/>
        <w:ind w:firstLine="0"/>
        <w:rPr>
          <w:rFonts w:hint="eastAsia"/>
          <w:highlight w:val="none"/>
        </w:rPr>
      </w:pPr>
      <w:r>
        <w:rPr>
          <w:rFonts w:hint="eastAsia"/>
          <w:highlight w:val="none"/>
        </w:rPr>
      </w:r>
      <w:r/>
    </w:p>
    <w:p>
      <w:pPr>
        <w:pStyle w:val="981"/>
        <w:ind w:firstLine="0"/>
        <w:rPr>
          <w:rFonts w:hint="eastAsia"/>
          <w:sz w:val="24"/>
          <w:szCs w:val="24"/>
          <w:highlight w:val="none"/>
        </w:rPr>
      </w:pPr>
      <w:r>
        <w:rPr>
          <w:rFonts w:hint="eastAsia"/>
          <w:sz w:val="24"/>
          <w:szCs w:val="24"/>
          <w:highlight w:val="none"/>
        </w:rPr>
      </w:r>
      <w:r/>
    </w:p>
    <w:p>
      <w:pPr>
        <w:pStyle w:val="981"/>
        <w:ind w:firstLine="0"/>
        <w:rPr>
          <w:rFonts w:hint="eastAsia"/>
          <w:sz w:val="24"/>
          <w:szCs w:val="24"/>
          <w:highlight w:val="none"/>
        </w:rPr>
      </w:pPr>
      <w:r>
        <w:rPr>
          <w:rFonts w:hint="eastAsia"/>
          <w:sz w:val="24"/>
          <w:szCs w:val="24"/>
          <w:highlight w:val="none"/>
        </w:rPr>
      </w:r>
      <w:r/>
    </w:p>
    <w:p>
      <w:pPr>
        <w:pStyle w:val="1035"/>
        <w:ind w:firstLine="0"/>
        <w:jc w:val="left"/>
        <w:rPr>
          <w:rFonts w:hint="eastAsia"/>
          <w:highlight w:val="none"/>
        </w:rPr>
      </w:pPr>
      <w:r>
        <w:rPr>
          <w:rFonts w:hint="eastAsia"/>
          <w:highlight w:val="none"/>
        </w:rPr>
      </w:r>
      <w:r/>
    </w:p>
    <w:sectPr>
      <w:footnotePr/>
      <w:endnotePr/>
      <w:type w:val="nextPage"/>
      <w:pgSz w:w="11906" w:h="16838" w:orient="portrait"/>
      <w:pgMar w:top="1418" w:right="1474"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华文彩云">
    <w:panose1 w:val="02010800040101010101"/>
  </w:font>
  <w:font w:name="华文新魏">
    <w:panose1 w:val="02010800040101010101"/>
  </w:font>
  <w:font w:name="Showcard Gothic">
    <w:panose1 w:val="040209040201020206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方正锐正黑_GBK 中">
    <w:panose1 w:val="020B0503020202020204"/>
  </w:font>
  <w:font w:name="Tahoma">
    <w:panose1 w:val="020B0604030504040204"/>
  </w:font>
  <w:font w:name="Calibri">
    <w:panose1 w:val="020F0502020204030204"/>
  </w:font>
  <w:font w:name="Courier New">
    <w:panose1 w:val="020703090202050204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4110"/>
      <w:spacing w:line="173"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left="4110"/>
      <w:spacing w:line="173" w:lineRule="auto"/>
      <w:rPr>
        <w:rFonts w:eastAsia="Times New Roman"/>
        <w:sz w:val="18"/>
        <w:szCs w:val="18"/>
      </w:rPr>
    </w:pPr>
    <w:r>
      <w:rPr>
        <w:rFonts w:eastAsia="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6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67"/>
                    </w:pPr>
                    <w:r/>
                    <w:r/>
                  </w:p>
                </w:txbxContent>
              </v:textbox>
            </v:shape>
          </w:pict>
        </mc:Fallback>
      </mc:AlternateContent>
    </w:r>
    <w:r/>
  </w:p>
  <w:p>
    <w:pPr>
      <w:pStyle w:val="101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rPr>
        <w:rStyle w:val="1041"/>
      </w:rPr>
    </w:r>
    <w:r/>
  </w:p>
  <w:p>
    <w:pPr>
      <w:pStyle w:val="10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26</w:t>
                          </w:r>
                          <w:r>
                            <w:fldChar w:fldCharType="end"/>
                          </w:r>
                          <w:r>
                            <w:t xml:space="preserve"> 页</w:t>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t xml:space="preserve">第 </w:t>
                    </w:r>
                    <w:r>
                      <w:fldChar w:fldCharType="begin"/>
                    </w:r>
                    <w:r>
                      <w:instrText xml:space="preserve"> PAGE  \* MERGEFORMAT </w:instrText>
                    </w:r>
                    <w:r>
                      <w:fldChar w:fldCharType="separate"/>
                    </w:r>
                    <w:r>
                      <w:t xml:space="preserve">26</w:t>
                    </w:r>
                    <w:r>
                      <w:fldChar w:fldCharType="end"/>
                    </w:r>
                    <w:r>
                      <w:t xml:space="preserve"> 页</w:t>
                    </w:r>
                    <w:r/>
                  </w:p>
                  <w:p>
                    <w:pPr>
                      <w:pStyle w:val="9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7"/>
        <w:tabs>
          <w:tab w:val="num" w:pos="312" w:leader="none"/>
        </w:tabs>
      </w:pPr>
      <w:rPr>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7"/>
        <w:tabs>
          <w:tab w:val="num" w:pos="312" w:leader="none"/>
        </w:tabs>
      </w:p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67"/>
        <w:ind w:left="0" w:firstLine="0"/>
        <w:tabs>
          <w:tab w:val="num" w:pos="0" w:leader="none"/>
        </w:tabs>
      </w:pPr>
      <w:rPr>
        <w:rFonts w:hint="eastAsia" w:ascii="宋体" w:hAnsi="宋体" w:eastAsia="宋体"/>
      </w:rPr>
    </w:lvl>
    <w:lvl w:ilvl="1">
      <w:start w:val="1"/>
      <w:numFmt w:val="decimal"/>
      <w:isLgl w:val="false"/>
      <w:suff w:val="tab"/>
      <w:lvlText w:val="%2."/>
      <w:lvlJc w:val="left"/>
      <w:pPr>
        <w:pStyle w:val="967"/>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967"/>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967"/>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967"/>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967"/>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967"/>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967"/>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967"/>
        <w:ind w:left="6480" w:hanging="360"/>
        <w:tabs>
          <w:tab w:val="num" w:pos="6480" w:leader="none"/>
        </w:tabs>
      </w:pPr>
      <w:rPr>
        <w:rFonts w:ascii="Times New Roman" w:hAnsi="Times New Roman" w:cs="Times New Roman"/>
      </w:rPr>
    </w:lvl>
  </w:abstractNum>
  <w:abstractNum w:abstractNumId="3">
    <w:multiLevelType w:val="hybridMultilevel"/>
    <w:lvl w:ilvl="0">
      <w:start w:val="1"/>
      <w:numFmt w:val="upperLetter"/>
      <w:pStyle w:val="1049"/>
      <w:isLgl w:val="false"/>
      <w:suff w:val="tab"/>
      <w:lvlText w:val="附录%1."/>
      <w:lvlJc w:val="left"/>
      <w:pPr>
        <w:pStyle w:val="9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7"/>
        <w:ind w:left="0" w:firstLine="0"/>
      </w:pPr>
    </w:lvl>
    <w:lvl w:ilvl="1">
      <w:start w:val="1"/>
      <w:numFmt w:val="decimal"/>
      <w:isLgl w:val="false"/>
      <w:suff w:val="nothing"/>
      <w:lvlText w:val="%1.%2、"/>
      <w:lvlJc w:val="left"/>
      <w:pPr>
        <w:pStyle w:val="967"/>
        <w:ind w:left="0" w:firstLine="0"/>
      </w:pPr>
    </w:lvl>
    <w:lvl w:ilvl="2">
      <w:start w:val="1"/>
      <w:numFmt w:val="decimal"/>
      <w:isLgl w:val="false"/>
      <w:suff w:val="nothing"/>
      <w:lvlText w:val="%1.%2.%3、"/>
      <w:lvlJc w:val="left"/>
      <w:pPr>
        <w:pStyle w:val="967"/>
        <w:ind w:left="0" w:firstLine="0"/>
      </w:pPr>
    </w:lvl>
    <w:lvl w:ilvl="3">
      <w:start w:val="1"/>
      <w:numFmt w:val="decimal"/>
      <w:isLgl w:val="false"/>
      <w:suff w:val="nothing"/>
      <w:lvlText w:val="%1.%2.%3.%4、"/>
      <w:lvlJc w:val="left"/>
      <w:pPr>
        <w:pStyle w:val="967"/>
        <w:ind w:left="0" w:firstLine="0"/>
      </w:pPr>
    </w:lvl>
    <w:lvl w:ilvl="4">
      <w:start w:val="1"/>
      <w:numFmt w:val="decimal"/>
      <w:isLgl w:val="false"/>
      <w:suff w:val="nothing"/>
      <w:lvlText w:val="%1.%2.%3.%4.%5、"/>
      <w:lvlJc w:val="left"/>
      <w:pPr>
        <w:pStyle w:val="967"/>
        <w:ind w:left="0" w:firstLine="0"/>
      </w:pPr>
    </w:lvl>
    <w:lvl w:ilvl="5">
      <w:start w:val="1"/>
      <w:numFmt w:val="decimal"/>
      <w:isLgl w:val="false"/>
      <w:suff w:val="nothing"/>
      <w:lvlText w:val="%1.%2.%3.%4.%5.%6、"/>
      <w:lvlJc w:val="left"/>
      <w:pPr>
        <w:pStyle w:val="967"/>
        <w:ind w:left="0" w:firstLine="0"/>
      </w:pPr>
    </w:lvl>
    <w:lvl w:ilvl="6">
      <w:start w:val="1"/>
      <w:numFmt w:val="decimal"/>
      <w:isLgl w:val="false"/>
      <w:suff w:val="nothing"/>
      <w:lvlText w:val="%1.%2.%3.%4.%5.%6.%7、"/>
      <w:lvlJc w:val="left"/>
      <w:pPr>
        <w:pStyle w:val="967"/>
        <w:ind w:left="0" w:firstLine="0"/>
      </w:pPr>
    </w:lvl>
    <w:lvl w:ilvl="7">
      <w:start w:val="1"/>
      <w:numFmt w:val="decimal"/>
      <w:isLgl w:val="false"/>
      <w:suff w:val="nothing"/>
      <w:lvlText w:val="%1.%2.%3.%4.%5.%6.%7.%8、"/>
      <w:lvlJc w:val="left"/>
      <w:pPr>
        <w:pStyle w:val="967"/>
        <w:ind w:left="0" w:firstLine="0"/>
      </w:pPr>
    </w:lvl>
    <w:lvl w:ilvl="8">
      <w:start w:val="1"/>
      <w:numFmt w:val="decimal"/>
      <w:isLgl w:val="false"/>
      <w:suff w:val="nothing"/>
      <w:lvlText w:val="%1.%2.%3.%4.%5.%6.%7.%8.%9、"/>
      <w:lvlJc w:val="left"/>
      <w:pPr>
        <w:pStyle w:val="967"/>
        <w:ind w:left="0" w:firstLine="0"/>
      </w:pPr>
    </w:lvl>
  </w:abstractNum>
  <w:abstractNum w:abstractNumId="5">
    <w:multiLevelType w:val="hybridMultilevel"/>
    <w:lvl w:ilvl="0">
      <w:start w:val="1"/>
      <w:numFmt w:val="decimal"/>
      <w:isLgl w:val="false"/>
      <w:suff w:val="tab"/>
      <w:lvlText w:val="%1."/>
      <w:lvlJc w:val="left"/>
      <w:pPr>
        <w:pStyle w:val="967"/>
        <w:ind w:left="425" w:hanging="425"/>
      </w:p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67"/>
      </w:pPr>
    </w:lvl>
    <w:lvl w:ilvl="1">
      <w:start w:val="1"/>
      <w:numFmt w:val="bullet"/>
      <w:isLgl w:val="false"/>
      <w:suff w:val="tab"/>
      <w:lvlText w:val="o"/>
      <w:lvlJc w:val="left"/>
      <w:pPr>
        <w:pStyle w:val="967"/>
        <w:ind w:left="1440" w:hanging="360"/>
      </w:pPr>
      <w:rPr>
        <w:rFonts w:ascii="Courier New" w:hAnsi="Courier New" w:eastAsia="Courier New" w:cs="Courier New"/>
      </w:rPr>
    </w:lvl>
    <w:lvl w:ilvl="2">
      <w:start w:val="1"/>
      <w:numFmt w:val="bullet"/>
      <w:isLgl w:val="false"/>
      <w:suff w:val="tab"/>
      <w:lvlText w:val="§"/>
      <w:lvlJc w:val="left"/>
      <w:pPr>
        <w:pStyle w:val="967"/>
        <w:ind w:left="2160" w:hanging="360"/>
      </w:pPr>
      <w:rPr>
        <w:rFonts w:ascii="Wingdings" w:hAnsi="Wingdings" w:eastAsia="Wingdings" w:cs="Wingdings"/>
      </w:rPr>
    </w:lvl>
    <w:lvl w:ilvl="3">
      <w:start w:val="1"/>
      <w:numFmt w:val="bullet"/>
      <w:isLgl w:val="false"/>
      <w:suff w:val="tab"/>
      <w:lvlText w:val="·"/>
      <w:lvlJc w:val="left"/>
      <w:pPr>
        <w:pStyle w:val="967"/>
        <w:ind w:left="2880" w:hanging="360"/>
      </w:pPr>
      <w:rPr>
        <w:rFonts w:ascii="Symbol" w:hAnsi="Symbol" w:eastAsia="Symbol" w:cs="Symbol"/>
      </w:rPr>
    </w:lvl>
    <w:lvl w:ilvl="4">
      <w:start w:val="1"/>
      <w:numFmt w:val="bullet"/>
      <w:isLgl w:val="false"/>
      <w:suff w:val="tab"/>
      <w:lvlText w:val="o"/>
      <w:lvlJc w:val="left"/>
      <w:pPr>
        <w:pStyle w:val="967"/>
        <w:ind w:left="3600" w:hanging="360"/>
      </w:pPr>
      <w:rPr>
        <w:rFonts w:ascii="Courier New" w:hAnsi="Courier New" w:eastAsia="Courier New" w:cs="Courier New"/>
      </w:rPr>
    </w:lvl>
    <w:lvl w:ilvl="5">
      <w:start w:val="1"/>
      <w:numFmt w:val="bullet"/>
      <w:isLgl w:val="false"/>
      <w:suff w:val="tab"/>
      <w:lvlText w:val="§"/>
      <w:lvlJc w:val="left"/>
      <w:pPr>
        <w:pStyle w:val="967"/>
        <w:ind w:left="4320" w:hanging="360"/>
      </w:pPr>
      <w:rPr>
        <w:rFonts w:ascii="Wingdings" w:hAnsi="Wingdings" w:eastAsia="Wingdings" w:cs="Wingdings"/>
      </w:rPr>
    </w:lvl>
    <w:lvl w:ilvl="6">
      <w:start w:val="1"/>
      <w:numFmt w:val="bullet"/>
      <w:isLgl w:val="false"/>
      <w:suff w:val="tab"/>
      <w:lvlText w:val="·"/>
      <w:lvlJc w:val="left"/>
      <w:pPr>
        <w:pStyle w:val="967"/>
        <w:ind w:left="5040" w:hanging="360"/>
      </w:pPr>
      <w:rPr>
        <w:rFonts w:ascii="Symbol" w:hAnsi="Symbol" w:eastAsia="Symbol" w:cs="Symbol"/>
      </w:rPr>
    </w:lvl>
    <w:lvl w:ilvl="7">
      <w:start w:val="1"/>
      <w:numFmt w:val="bullet"/>
      <w:isLgl w:val="false"/>
      <w:suff w:val="tab"/>
      <w:lvlText w:val="o"/>
      <w:lvlJc w:val="left"/>
      <w:pPr>
        <w:pStyle w:val="967"/>
        <w:ind w:left="5760" w:hanging="360"/>
      </w:pPr>
      <w:rPr>
        <w:rFonts w:ascii="Courier New" w:hAnsi="Courier New" w:eastAsia="Courier New" w:cs="Courier New"/>
      </w:rPr>
    </w:lvl>
    <w:lvl w:ilvl="8">
      <w:start w:val="1"/>
      <w:numFmt w:val="bullet"/>
      <w:isLgl w:val="false"/>
      <w:suff w:val="tab"/>
      <w:lvlText w:val="§"/>
      <w:lvlJc w:val="left"/>
      <w:pPr>
        <w:pStyle w:val="967"/>
        <w:ind w:left="6480" w:hanging="360"/>
      </w:pPr>
      <w:rPr>
        <w:rFonts w:ascii="Wingdings" w:hAnsi="Wingdings" w:eastAsia="Wingdings" w:cs="Wingdings"/>
      </w:rPr>
    </w:lvl>
  </w:abstractNum>
  <w:abstractNum w:abstractNumId="7">
    <w:multiLevelType w:val="hybridMultilevel"/>
    <w:lvl w:ilvl="0">
      <w:start w:val="8"/>
      <w:numFmt w:val="chineseCounting"/>
      <w:isLgl w:val="false"/>
      <w:suff w:val="nothing"/>
      <w:lvlText w:val="%1、"/>
      <w:lvlJc w:val="left"/>
      <w:pPr>
        <w:pStyle w:val="9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66"/>
      <w:isLgl w:val="false"/>
      <w:suff w:val="tab"/>
      <w:lvlText w:val="%1."/>
      <w:lvlJc w:val="left"/>
      <w:pPr>
        <w:pStyle w:val="967"/>
        <w:ind w:left="709" w:hanging="709"/>
        <w:tabs>
          <w:tab w:val="num" w:pos="709" w:leader="none"/>
        </w:tabs>
      </w:pPr>
      <w:rPr>
        <w:rFonts w:hint="eastAsia"/>
      </w:rPr>
    </w:lvl>
    <w:lvl w:ilvl="1">
      <w:start w:val="1"/>
      <w:numFmt w:val="decimal"/>
      <w:isLgl w:val="false"/>
      <w:suff w:val="tab"/>
      <w:lvlText w:val="%1.%2"/>
      <w:lvlJc w:val="left"/>
      <w:pPr>
        <w:pStyle w:val="967"/>
        <w:ind w:left="709" w:hanging="709"/>
        <w:tabs>
          <w:tab w:val="num" w:pos="709" w:leader="none"/>
        </w:tabs>
      </w:pPr>
      <w:rPr>
        <w:rFonts w:hint="eastAsia"/>
      </w:rPr>
    </w:lvl>
    <w:lvl w:ilvl="2">
      <w:start w:val="1"/>
      <w:numFmt w:val="decimal"/>
      <w:isLgl w:val="false"/>
      <w:suff w:val="tab"/>
      <w:lvlText w:val="%1.%2.%3."/>
      <w:lvlJc w:val="left"/>
      <w:pPr>
        <w:pStyle w:val="967"/>
        <w:ind w:left="425" w:hanging="425"/>
        <w:tabs>
          <w:tab w:val="num" w:pos="425" w:leader="none"/>
        </w:tabs>
      </w:pPr>
      <w:rPr>
        <w:rFonts w:hint="eastAsia"/>
      </w:rPr>
    </w:lvl>
    <w:lvl w:ilvl="3">
      <w:start w:val="1"/>
      <w:numFmt w:val="decimal"/>
      <w:isLgl w:val="false"/>
      <w:suff w:val="tab"/>
      <w:lvlText w:val="%1.%2.%3.%4."/>
      <w:lvlJc w:val="left"/>
      <w:pPr>
        <w:pStyle w:val="967"/>
        <w:ind w:left="851" w:hanging="851"/>
        <w:tabs>
          <w:tab w:val="num" w:pos="851" w:leader="none"/>
        </w:tabs>
      </w:pPr>
      <w:rPr>
        <w:rFonts w:hint="eastAsia"/>
      </w:rPr>
    </w:lvl>
    <w:lvl w:ilvl="4">
      <w:start w:val="1"/>
      <w:numFmt w:val="decimal"/>
      <w:isLgl w:val="false"/>
      <w:suff w:val="tab"/>
      <w:lvlText w:val="%1.%2.%3.%4.%5."/>
      <w:lvlJc w:val="left"/>
      <w:pPr>
        <w:pStyle w:val="967"/>
        <w:ind w:left="992" w:hanging="992"/>
        <w:tabs>
          <w:tab w:val="num" w:pos="992" w:leader="none"/>
        </w:tabs>
      </w:pPr>
      <w:rPr>
        <w:rFonts w:hint="eastAsia"/>
      </w:rPr>
    </w:lvl>
    <w:lvl w:ilvl="5">
      <w:start w:val="1"/>
      <w:numFmt w:val="decimal"/>
      <w:isLgl w:val="false"/>
      <w:suff w:val="tab"/>
      <w:lvlText w:val="%1.%2.%3.%4.%5.%6."/>
      <w:lvlJc w:val="left"/>
      <w:pPr>
        <w:pStyle w:val="967"/>
        <w:ind w:left="1134" w:hanging="1134"/>
        <w:tabs>
          <w:tab w:val="num" w:pos="1134" w:leader="none"/>
        </w:tabs>
      </w:pPr>
      <w:rPr>
        <w:rFonts w:hint="eastAsia"/>
      </w:rPr>
    </w:lvl>
    <w:lvl w:ilvl="6">
      <w:start w:val="1"/>
      <w:numFmt w:val="decimal"/>
      <w:isLgl w:val="false"/>
      <w:suff w:val="tab"/>
      <w:lvlText w:val="%1.%2.%3.%4.%5.%6.%7."/>
      <w:lvlJc w:val="left"/>
      <w:pPr>
        <w:pStyle w:val="967"/>
        <w:ind w:left="1276" w:hanging="1276"/>
        <w:tabs>
          <w:tab w:val="num" w:pos="1276" w:leader="none"/>
        </w:tabs>
      </w:pPr>
      <w:rPr>
        <w:rFonts w:hint="eastAsia"/>
      </w:rPr>
    </w:lvl>
    <w:lvl w:ilvl="7">
      <w:start w:val="1"/>
      <w:numFmt w:val="decimal"/>
      <w:isLgl w:val="false"/>
      <w:suff w:val="tab"/>
      <w:lvlText w:val="%1.%2.%3.%4.%5.%6.%7.%8."/>
      <w:lvlJc w:val="left"/>
      <w:pPr>
        <w:pStyle w:val="967"/>
        <w:ind w:left="1418" w:hanging="1418"/>
        <w:tabs>
          <w:tab w:val="num" w:pos="1418" w:leader="none"/>
        </w:tabs>
      </w:pPr>
      <w:rPr>
        <w:rFonts w:hint="eastAsia"/>
      </w:rPr>
    </w:lvl>
    <w:lvl w:ilvl="8">
      <w:start w:val="1"/>
      <w:numFmt w:val="decimal"/>
      <w:isLgl w:val="false"/>
      <w:suff w:val="tab"/>
      <w:lvlText w:val="%1.%2.%3.%4.%5.%6.%7.%8.%9."/>
      <w:lvlJc w:val="left"/>
      <w:pPr>
        <w:pStyle w:val="967"/>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67"/>
        <w:ind w:left="0" w:firstLine="0"/>
      </w:pPr>
      <w:rPr>
        <w:rFonts w:hint="eastAsia"/>
      </w:rPr>
    </w:lvl>
    <w:lvl w:ilvl="1">
      <w:start w:val="1"/>
      <w:numFmt w:val="decimal"/>
      <w:isLgl w:val="false"/>
      <w:suff w:val="nothing"/>
      <w:lvlText w:val="%2、"/>
      <w:lvlJc w:val="left"/>
      <w:pPr>
        <w:pStyle w:val="967"/>
        <w:ind w:left="0" w:firstLine="0"/>
      </w:pPr>
      <w:rPr>
        <w:rFonts w:hint="eastAsia"/>
      </w:rPr>
    </w:lvl>
    <w:lvl w:ilvl="2">
      <w:start w:val="1"/>
      <w:numFmt w:val="decimal"/>
      <w:isLgl w:val="false"/>
      <w:suff w:val="nothing"/>
      <w:lvlText w:val="%2.%3 "/>
      <w:lvlJc w:val="left"/>
      <w:pPr>
        <w:pStyle w:val="967"/>
        <w:ind w:left="0" w:firstLine="0"/>
      </w:pPr>
      <w:rPr>
        <w:rFonts w:hint="eastAsia"/>
      </w:rPr>
    </w:lvl>
    <w:lvl w:ilvl="3">
      <w:start w:val="1"/>
      <w:numFmt w:val="decimal"/>
      <w:isLgl w:val="false"/>
      <w:suff w:val="nothing"/>
      <w:lvlText w:val="%2.%3.%4 "/>
      <w:lvlJc w:val="left"/>
      <w:pPr>
        <w:pStyle w:val="967"/>
        <w:ind w:left="0" w:firstLine="0"/>
      </w:pPr>
      <w:rPr>
        <w:rFonts w:hint="eastAsia"/>
      </w:rPr>
    </w:lvl>
    <w:lvl w:ilvl="4">
      <w:start w:val="1"/>
      <w:numFmt w:val="decimal"/>
      <w:isLgl w:val="false"/>
      <w:suff w:val="nothing"/>
      <w:lvlText w:val="%2.%3.%4.%5 "/>
      <w:lvlJc w:val="left"/>
      <w:pPr>
        <w:pStyle w:val="967"/>
        <w:ind w:left="0" w:firstLine="0"/>
      </w:pPr>
      <w:rPr>
        <w:rFonts w:hint="eastAsia"/>
      </w:rPr>
    </w:lvl>
    <w:lvl w:ilvl="5">
      <w:start w:val="1"/>
      <w:numFmt w:val="decimal"/>
      <w:pStyle w:val="973"/>
      <w:isLgl w:val="false"/>
      <w:suff w:val="nothing"/>
      <w:lvlText w:val=""/>
      <w:lvlJc w:val="left"/>
      <w:pPr>
        <w:pStyle w:val="967"/>
        <w:ind w:left="0" w:firstLine="0"/>
      </w:pPr>
      <w:rPr>
        <w:rFonts w:hint="eastAsia"/>
      </w:rPr>
    </w:lvl>
    <w:lvl w:ilvl="6">
      <w:start w:val="1"/>
      <w:numFmt w:val="decimal"/>
      <w:pStyle w:val="974"/>
      <w:isLgl w:val="false"/>
      <w:suff w:val="nothing"/>
      <w:lvlText w:val=""/>
      <w:lvlJc w:val="left"/>
      <w:pPr>
        <w:pStyle w:val="967"/>
        <w:ind w:left="0" w:firstLine="0"/>
      </w:pPr>
      <w:rPr>
        <w:rFonts w:hint="eastAsia"/>
      </w:rPr>
    </w:lvl>
    <w:lvl w:ilvl="7">
      <w:start w:val="1"/>
      <w:numFmt w:val="decimal"/>
      <w:pStyle w:val="975"/>
      <w:isLgl w:val="false"/>
      <w:suff w:val="nothing"/>
      <w:lvlText w:val=""/>
      <w:lvlJc w:val="left"/>
      <w:pPr>
        <w:pStyle w:val="967"/>
        <w:ind w:left="0" w:firstLine="0"/>
      </w:pPr>
      <w:rPr>
        <w:rFonts w:hint="eastAsia"/>
      </w:rPr>
    </w:lvl>
    <w:lvl w:ilvl="8">
      <w:start w:val="1"/>
      <w:numFmt w:val="decimal"/>
      <w:pStyle w:val="976"/>
      <w:isLgl w:val="false"/>
      <w:suff w:val="nothing"/>
      <w:lvlText w:val=""/>
      <w:lvlJc w:val="left"/>
      <w:pPr>
        <w:pStyle w:val="967"/>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8"/>
  </w:num>
  <w:num w:numId="4">
    <w:abstractNumId w:val="10"/>
  </w:num>
  <w:num w:numId="5">
    <w:abstractNumId w:val="5"/>
  </w:num>
  <w:num w:numId="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qFormat/>
    <w:pPr>
      <w:jc w:val="both"/>
      <w:widowControl w:val="off"/>
    </w:pPr>
    <w:rPr>
      <w:sz w:val="21"/>
      <w:szCs w:val="21"/>
      <w:lang w:val="en-US" w:eastAsia="zh-CN" w:bidi="ar-SA"/>
    </w:rPr>
  </w:style>
  <w:style w:type="paragraph" w:styleId="968">
    <w:name w:val="标题 1"/>
    <w:basedOn w:val="967"/>
    <w:next w:val="967"/>
    <w:link w:val="979"/>
    <w:qFormat/>
    <w:pPr>
      <w:jc w:val="center"/>
      <w:keepNext/>
      <w:outlineLvl w:val="0"/>
    </w:pPr>
    <w:rPr>
      <w:rFonts w:ascii="方正仿宋_GB2312" w:eastAsia="方正仿宋_GB2312"/>
      <w:sz w:val="28"/>
      <w:szCs w:val="28"/>
    </w:rPr>
  </w:style>
  <w:style w:type="paragraph" w:styleId="969">
    <w:name w:val="标题 2"/>
    <w:basedOn w:val="967"/>
    <w:next w:val="981"/>
    <w:link w:val="980"/>
    <w:qFormat/>
    <w:pPr>
      <w:jc w:val="center"/>
      <w:keepLines/>
      <w:keepNext/>
      <w:spacing w:before="260" w:after="260" w:line="416" w:lineRule="auto"/>
      <w:outlineLvl w:val="1"/>
    </w:pPr>
    <w:rPr>
      <w:rFonts w:ascii="Arial" w:hAnsi="Arial" w:eastAsia="幼圆"/>
      <w:b/>
      <w:bCs/>
      <w:sz w:val="44"/>
      <w:szCs w:val="44"/>
    </w:rPr>
  </w:style>
  <w:style w:type="paragraph" w:styleId="970">
    <w:name w:val="标题 3"/>
    <w:basedOn w:val="967"/>
    <w:next w:val="981"/>
    <w:link w:val="983"/>
    <w:qFormat/>
    <w:pPr>
      <w:keepLines/>
      <w:keepNext/>
      <w:spacing w:before="260" w:after="260" w:line="416" w:lineRule="auto"/>
      <w:outlineLvl w:val="2"/>
    </w:pPr>
    <w:rPr>
      <w:b/>
      <w:bCs/>
      <w:sz w:val="32"/>
      <w:szCs w:val="32"/>
    </w:rPr>
  </w:style>
  <w:style w:type="paragraph" w:styleId="971">
    <w:name w:val="标题 4"/>
    <w:basedOn w:val="967"/>
    <w:next w:val="981"/>
    <w:link w:val="984"/>
    <w:qFormat/>
    <w:pPr>
      <w:keepLines/>
      <w:keepNext/>
      <w:spacing w:before="280" w:after="290" w:line="376" w:lineRule="auto"/>
      <w:outlineLvl w:val="3"/>
    </w:pPr>
    <w:rPr>
      <w:rFonts w:ascii="Arial" w:hAnsi="Arial" w:eastAsia="黑体"/>
      <w:b/>
      <w:bCs/>
      <w:sz w:val="28"/>
      <w:szCs w:val="28"/>
    </w:rPr>
  </w:style>
  <w:style w:type="paragraph" w:styleId="972">
    <w:name w:val="标题 5"/>
    <w:basedOn w:val="967"/>
    <w:next w:val="981"/>
    <w:link w:val="985"/>
    <w:qFormat/>
    <w:pPr>
      <w:keepNext/>
      <w:outlineLvl w:val="4"/>
    </w:pPr>
    <w:rPr>
      <w:rFonts w:ascii="宋体"/>
      <w:color w:val="000000"/>
      <w:sz w:val="28"/>
      <w:szCs w:val="28"/>
    </w:rPr>
  </w:style>
  <w:style w:type="paragraph" w:styleId="973">
    <w:name w:val="标题 6"/>
    <w:basedOn w:val="967"/>
    <w:next w:val="967"/>
    <w:link w:val="986"/>
    <w:qFormat/>
    <w:pPr>
      <w:numPr>
        <w:ilvl w:val="5"/>
        <w:numId w:val="1"/>
      </w:numPr>
      <w:keepLines/>
      <w:keepNext/>
      <w:spacing w:before="240" w:after="64" w:line="320" w:lineRule="auto"/>
      <w:outlineLvl w:val="5"/>
    </w:pPr>
    <w:rPr>
      <w:rFonts w:ascii="Arial" w:hAnsi="Arial" w:eastAsia="黑体"/>
      <w:b/>
      <w:bCs/>
      <w:sz w:val="24"/>
      <w:szCs w:val="24"/>
    </w:rPr>
  </w:style>
  <w:style w:type="paragraph" w:styleId="974">
    <w:name w:val="标题 7"/>
    <w:basedOn w:val="967"/>
    <w:next w:val="967"/>
    <w:link w:val="987"/>
    <w:qFormat/>
    <w:pPr>
      <w:numPr>
        <w:ilvl w:val="6"/>
        <w:numId w:val="1"/>
      </w:numPr>
      <w:keepLines/>
      <w:keepNext/>
      <w:spacing w:before="240" w:after="64" w:line="320" w:lineRule="auto"/>
      <w:outlineLvl w:val="6"/>
    </w:pPr>
    <w:rPr>
      <w:b/>
      <w:bCs/>
      <w:sz w:val="24"/>
      <w:szCs w:val="24"/>
    </w:rPr>
  </w:style>
  <w:style w:type="paragraph" w:styleId="975">
    <w:name w:val="标题 8"/>
    <w:basedOn w:val="967"/>
    <w:next w:val="967"/>
    <w:link w:val="988"/>
    <w:qFormat/>
    <w:pPr>
      <w:numPr>
        <w:ilvl w:val="7"/>
        <w:numId w:val="1"/>
      </w:numPr>
      <w:keepLines/>
      <w:keepNext/>
      <w:spacing w:before="240" w:after="64" w:line="320" w:lineRule="auto"/>
      <w:outlineLvl w:val="7"/>
    </w:pPr>
    <w:rPr>
      <w:rFonts w:ascii="Arial" w:hAnsi="Arial" w:eastAsia="黑体"/>
      <w:sz w:val="24"/>
      <w:szCs w:val="24"/>
    </w:rPr>
  </w:style>
  <w:style w:type="paragraph" w:styleId="976">
    <w:name w:val="标题 9"/>
    <w:basedOn w:val="967"/>
    <w:next w:val="967"/>
    <w:link w:val="989"/>
    <w:qFormat/>
    <w:pPr>
      <w:numPr>
        <w:ilvl w:val="8"/>
        <w:numId w:val="1"/>
      </w:numPr>
      <w:keepLines/>
      <w:keepNext/>
      <w:spacing w:before="240" w:after="64" w:line="320" w:lineRule="auto"/>
      <w:outlineLvl w:val="8"/>
    </w:pPr>
    <w:rPr>
      <w:rFonts w:ascii="Arial" w:hAnsi="Arial" w:eastAsia="黑体"/>
      <w:sz w:val="20"/>
    </w:rPr>
  </w:style>
  <w:style w:type="character" w:styleId="977">
    <w:name w:val="默认段落字体"/>
    <w:next w:val="977"/>
    <w:link w:val="967"/>
    <w:uiPriority w:val="1"/>
    <w:unhideWhenUsed/>
  </w:style>
  <w:style w:type="table" w:styleId="978">
    <w:name w:val="普通表格"/>
    <w:next w:val="978"/>
    <w:link w:val="967"/>
    <w:uiPriority w:val="99"/>
    <w:unhideWhenUsed/>
    <w:tblPr/>
  </w:style>
  <w:style w:type="character" w:styleId="979">
    <w:name w:val="标题 1 字符"/>
    <w:next w:val="979"/>
    <w:link w:val="968"/>
    <w:rPr>
      <w:rFonts w:ascii="方正仿宋_GB2312" w:hAnsi="Times New Roman" w:eastAsia="方正仿宋_GB2312" w:cs="Times New Roman"/>
      <w:sz w:val="28"/>
      <w:szCs w:val="28"/>
    </w:rPr>
  </w:style>
  <w:style w:type="character" w:styleId="980">
    <w:name w:val="标题 2 字符"/>
    <w:next w:val="980"/>
    <w:link w:val="969"/>
    <w:rPr>
      <w:rFonts w:ascii="Arial" w:hAnsi="Arial" w:eastAsia="幼圆" w:cs="Arial"/>
      <w:b/>
      <w:bCs/>
      <w:sz w:val="44"/>
      <w:szCs w:val="44"/>
    </w:rPr>
  </w:style>
  <w:style w:type="paragraph" w:styleId="981">
    <w:name w:val="正文缩进"/>
    <w:basedOn w:val="967"/>
    <w:next w:val="981"/>
    <w:link w:val="982"/>
    <w:pPr>
      <w:ind w:firstLine="420"/>
    </w:pPr>
    <w:rPr>
      <w:sz w:val="20"/>
    </w:rPr>
  </w:style>
  <w:style w:type="character" w:styleId="982">
    <w:name w:val="正文缩进 字符"/>
    <w:next w:val="982"/>
    <w:link w:val="981"/>
    <w:rPr>
      <w:rFonts w:ascii="Times New Roman" w:hAnsi="Times New Roman" w:eastAsia="宋体" w:cs="Times New Roman"/>
      <w:szCs w:val="21"/>
    </w:rPr>
  </w:style>
  <w:style w:type="character" w:styleId="983">
    <w:name w:val="标题 3 字符"/>
    <w:next w:val="983"/>
    <w:link w:val="970"/>
    <w:rPr>
      <w:rFonts w:ascii="Times New Roman" w:hAnsi="Times New Roman" w:eastAsia="宋体" w:cs="Times New Roman"/>
      <w:b/>
      <w:bCs/>
      <w:sz w:val="32"/>
      <w:szCs w:val="32"/>
    </w:rPr>
  </w:style>
  <w:style w:type="character" w:styleId="984">
    <w:name w:val="标题 4 字符"/>
    <w:next w:val="984"/>
    <w:link w:val="971"/>
    <w:rPr>
      <w:rFonts w:ascii="Arial" w:hAnsi="Arial" w:eastAsia="黑体" w:cs="Arial"/>
      <w:b/>
      <w:bCs/>
      <w:sz w:val="28"/>
      <w:szCs w:val="28"/>
    </w:rPr>
  </w:style>
  <w:style w:type="character" w:styleId="985">
    <w:name w:val="标题 5 字符"/>
    <w:next w:val="985"/>
    <w:link w:val="972"/>
    <w:rPr>
      <w:rFonts w:ascii="宋体" w:hAnsi="Times New Roman" w:eastAsia="宋体" w:cs="Times New Roman"/>
      <w:color w:val="000000"/>
      <w:sz w:val="28"/>
      <w:szCs w:val="28"/>
    </w:rPr>
  </w:style>
  <w:style w:type="character" w:styleId="986">
    <w:name w:val="标题 6 字符"/>
    <w:next w:val="986"/>
    <w:link w:val="973"/>
    <w:rPr>
      <w:rFonts w:ascii="Arial" w:hAnsi="Arial" w:eastAsia="黑体" w:cs="Times New Roman"/>
      <w:b/>
      <w:bCs/>
      <w:sz w:val="24"/>
      <w:szCs w:val="24"/>
    </w:rPr>
  </w:style>
  <w:style w:type="character" w:styleId="987">
    <w:name w:val="标题 7 字符"/>
    <w:next w:val="987"/>
    <w:link w:val="974"/>
    <w:rPr>
      <w:rFonts w:ascii="Times New Roman" w:hAnsi="Times New Roman" w:eastAsia="宋体" w:cs="Times New Roman"/>
      <w:b/>
      <w:bCs/>
      <w:sz w:val="24"/>
      <w:szCs w:val="24"/>
    </w:rPr>
  </w:style>
  <w:style w:type="character" w:styleId="988">
    <w:name w:val="标题 8 字符"/>
    <w:next w:val="988"/>
    <w:link w:val="975"/>
    <w:rPr>
      <w:rFonts w:ascii="Arial" w:hAnsi="Arial" w:eastAsia="黑体" w:cs="Times New Roman"/>
      <w:sz w:val="24"/>
      <w:szCs w:val="24"/>
    </w:rPr>
  </w:style>
  <w:style w:type="character" w:styleId="989">
    <w:name w:val="标题 9 字符"/>
    <w:next w:val="989"/>
    <w:link w:val="976"/>
    <w:rPr>
      <w:rFonts w:ascii="Arial" w:hAnsi="Arial" w:eastAsia="黑体" w:cs="Times New Roman"/>
      <w:szCs w:val="21"/>
    </w:rPr>
  </w:style>
  <w:style w:type="paragraph" w:styleId="990">
    <w:name w:val="列表 3"/>
    <w:basedOn w:val="967"/>
    <w:next w:val="990"/>
    <w:link w:val="967"/>
    <w:pPr>
      <w:ind w:left="100" w:hanging="200"/>
    </w:pPr>
  </w:style>
  <w:style w:type="paragraph" w:styleId="991">
    <w:name w:val="目录 7"/>
    <w:basedOn w:val="967"/>
    <w:next w:val="967"/>
    <w:link w:val="967"/>
    <w:semiHidden/>
    <w:pPr>
      <w:ind w:left="1260"/>
      <w:jc w:val="left"/>
    </w:pPr>
  </w:style>
  <w:style w:type="paragraph" w:styleId="992">
    <w:name w:val="文档结构图"/>
    <w:basedOn w:val="967"/>
    <w:next w:val="992"/>
    <w:link w:val="993"/>
    <w:semiHidden/>
    <w:pPr>
      <w:shd w:val="clear" w:color="auto" w:fill="000080"/>
    </w:pPr>
    <w:rPr>
      <w:sz w:val="20"/>
    </w:rPr>
  </w:style>
  <w:style w:type="character" w:styleId="993">
    <w:name w:val="文档结构图 字符"/>
    <w:next w:val="993"/>
    <w:link w:val="992"/>
    <w:semiHidden/>
    <w:rPr>
      <w:rFonts w:ascii="Times New Roman" w:hAnsi="Times New Roman" w:eastAsia="宋体" w:cs="Times New Roman"/>
      <w:szCs w:val="21"/>
      <w:shd w:val="clear" w:color="auto" w:fill="000080"/>
    </w:rPr>
  </w:style>
  <w:style w:type="paragraph" w:styleId="994">
    <w:name w:val="引文目录标题"/>
    <w:basedOn w:val="967"/>
    <w:next w:val="967"/>
    <w:link w:val="967"/>
    <w:uiPriority w:val="99"/>
    <w:unhideWhenUsed/>
    <w:qFormat/>
    <w:pPr>
      <w:spacing w:before="120"/>
    </w:pPr>
    <w:rPr>
      <w:rFonts w:ascii="Cambria" w:hAnsi="Cambria"/>
      <w:szCs w:val="24"/>
    </w:rPr>
  </w:style>
  <w:style w:type="paragraph" w:styleId="995">
    <w:name w:val="批注文字"/>
    <w:basedOn w:val="967"/>
    <w:next w:val="995"/>
    <w:link w:val="996"/>
    <w:semiHidden/>
    <w:pPr>
      <w:jc w:val="left"/>
    </w:pPr>
    <w:rPr>
      <w:sz w:val="20"/>
    </w:rPr>
  </w:style>
  <w:style w:type="character" w:styleId="996">
    <w:name w:val="批注文字 字符"/>
    <w:next w:val="996"/>
    <w:link w:val="995"/>
    <w:semiHidden/>
    <w:rPr>
      <w:rFonts w:ascii="Times New Roman" w:hAnsi="Times New Roman" w:eastAsia="宋体" w:cs="Times New Roman"/>
      <w:szCs w:val="21"/>
    </w:rPr>
  </w:style>
  <w:style w:type="paragraph" w:styleId="997">
    <w:name w:val="正文文本 3"/>
    <w:basedOn w:val="967"/>
    <w:next w:val="997"/>
    <w:link w:val="998"/>
    <w:rPr>
      <w:rFonts w:ascii="方正仿宋_GB2312" w:hAnsi="Arial" w:eastAsia="方正仿宋_GB2312"/>
      <w:sz w:val="32"/>
      <w:szCs w:val="32"/>
    </w:rPr>
  </w:style>
  <w:style w:type="character" w:styleId="998">
    <w:name w:val="正文文本 3 字符"/>
    <w:next w:val="998"/>
    <w:link w:val="997"/>
    <w:rPr>
      <w:rFonts w:ascii="方正仿宋_GB2312" w:hAnsi="Arial" w:eastAsia="方正仿宋_GB2312" w:cs="Times New Roman"/>
      <w:sz w:val="32"/>
      <w:szCs w:val="32"/>
    </w:rPr>
  </w:style>
  <w:style w:type="paragraph" w:styleId="999">
    <w:name w:val="正文文本"/>
    <w:basedOn w:val="967"/>
    <w:next w:val="967"/>
    <w:link w:val="1000"/>
    <w:rPr>
      <w:rFonts w:ascii="方正仿宋_GB2312" w:hAnsi="Arial" w:eastAsia="方正仿宋_GB2312"/>
      <w:sz w:val="28"/>
      <w:szCs w:val="28"/>
    </w:rPr>
  </w:style>
  <w:style w:type="character" w:styleId="1000">
    <w:name w:val="正文文本 字符"/>
    <w:next w:val="1000"/>
    <w:link w:val="999"/>
    <w:rPr>
      <w:rFonts w:ascii="方正仿宋_GB2312" w:hAnsi="Arial" w:eastAsia="方正仿宋_GB2312" w:cs="Times New Roman"/>
      <w:sz w:val="28"/>
      <w:szCs w:val="28"/>
    </w:rPr>
  </w:style>
  <w:style w:type="paragraph" w:styleId="1001">
    <w:name w:val="正文文本缩进"/>
    <w:basedOn w:val="967"/>
    <w:next w:val="1003"/>
    <w:link w:val="1002"/>
    <w:pPr>
      <w:ind w:firstLine="645"/>
    </w:pPr>
    <w:rPr>
      <w:rFonts w:ascii="方正仿宋_GB2312" w:eastAsia="方正仿宋_GB2312"/>
      <w:sz w:val="32"/>
      <w:szCs w:val="32"/>
    </w:rPr>
  </w:style>
  <w:style w:type="character" w:styleId="1002">
    <w:name w:val="正文文本缩进 字符"/>
    <w:next w:val="1002"/>
    <w:link w:val="1001"/>
    <w:rPr>
      <w:rFonts w:ascii="方正仿宋_GB2312" w:hAnsi="Times New Roman" w:eastAsia="方正仿宋_GB2312" w:cs="Times New Roman"/>
      <w:sz w:val="32"/>
      <w:szCs w:val="32"/>
    </w:rPr>
  </w:style>
  <w:style w:type="paragraph" w:styleId="1003">
    <w:name w:val="寄信人地址"/>
    <w:basedOn w:val="967"/>
    <w:next w:val="1003"/>
    <w:link w:val="967"/>
    <w:uiPriority w:val="99"/>
    <w:unhideWhenUsed/>
    <w:qFormat/>
    <w:rPr>
      <w:rFonts w:ascii="Arial" w:hAnsi="Arial"/>
    </w:rPr>
  </w:style>
  <w:style w:type="paragraph" w:styleId="1004">
    <w:name w:val="列表 2"/>
    <w:basedOn w:val="967"/>
    <w:next w:val="1004"/>
    <w:link w:val="967"/>
    <w:pPr>
      <w:ind w:left="100" w:hanging="200"/>
    </w:pPr>
  </w:style>
  <w:style w:type="paragraph" w:styleId="1005">
    <w:name w:val="目录 5"/>
    <w:basedOn w:val="967"/>
    <w:next w:val="967"/>
    <w:link w:val="967"/>
    <w:semiHidden/>
    <w:pPr>
      <w:ind w:left="840"/>
      <w:jc w:val="left"/>
    </w:pPr>
  </w:style>
  <w:style w:type="paragraph" w:styleId="1006">
    <w:name w:val="目录 3"/>
    <w:basedOn w:val="967"/>
    <w:next w:val="967"/>
    <w:link w:val="967"/>
    <w:semiHidden/>
    <w:pPr>
      <w:ind w:left="420"/>
      <w:jc w:val="left"/>
    </w:pPr>
    <w:rPr>
      <w:i/>
      <w:iCs/>
      <w:szCs w:val="24"/>
    </w:rPr>
  </w:style>
  <w:style w:type="paragraph" w:styleId="1007">
    <w:name w:val="纯文本"/>
    <w:basedOn w:val="967"/>
    <w:next w:val="1007"/>
    <w:link w:val="1008"/>
    <w:rPr>
      <w:rFonts w:ascii="宋体" w:hAnsi="Courier New"/>
      <w:sz w:val="20"/>
    </w:rPr>
  </w:style>
  <w:style w:type="character" w:styleId="1008">
    <w:name w:val="纯文本 字符"/>
    <w:next w:val="1008"/>
    <w:link w:val="1007"/>
    <w:rPr>
      <w:rFonts w:ascii="宋体" w:hAnsi="Courier New" w:eastAsia="宋体" w:cs="Courier New"/>
      <w:szCs w:val="21"/>
    </w:rPr>
  </w:style>
  <w:style w:type="paragraph" w:styleId="1009">
    <w:name w:val="目录 8"/>
    <w:basedOn w:val="967"/>
    <w:next w:val="967"/>
    <w:link w:val="967"/>
    <w:semiHidden/>
    <w:pPr>
      <w:ind w:left="1470"/>
      <w:jc w:val="left"/>
    </w:pPr>
  </w:style>
  <w:style w:type="paragraph" w:styleId="1010">
    <w:name w:val="日期"/>
    <w:basedOn w:val="967"/>
    <w:next w:val="967"/>
    <w:link w:val="1011"/>
    <w:rPr>
      <w:sz w:val="24"/>
      <w:szCs w:val="24"/>
    </w:rPr>
  </w:style>
  <w:style w:type="character" w:styleId="1011">
    <w:name w:val="日期 字符"/>
    <w:next w:val="1011"/>
    <w:link w:val="1010"/>
    <w:rPr>
      <w:rFonts w:ascii="Times New Roman" w:hAnsi="Times New Roman" w:eastAsia="宋体" w:cs="Times New Roman"/>
      <w:sz w:val="24"/>
      <w:szCs w:val="24"/>
    </w:rPr>
  </w:style>
  <w:style w:type="paragraph" w:styleId="1012">
    <w:name w:val="正文文本缩进 2"/>
    <w:basedOn w:val="967"/>
    <w:next w:val="1012"/>
    <w:link w:val="1013"/>
    <w:pPr>
      <w:ind w:left="630" w:firstLine="645"/>
    </w:pPr>
    <w:rPr>
      <w:rFonts w:ascii="Arial" w:hAnsi="Arial" w:eastAsia="方正仿宋_GB2312"/>
      <w:sz w:val="32"/>
      <w:szCs w:val="32"/>
    </w:rPr>
  </w:style>
  <w:style w:type="character" w:styleId="1013">
    <w:name w:val="正文文本缩进 2 字符"/>
    <w:next w:val="1013"/>
    <w:link w:val="1012"/>
    <w:rPr>
      <w:rFonts w:ascii="Arial" w:hAnsi="Arial" w:eastAsia="方正仿宋_GB2312" w:cs="Arial"/>
      <w:sz w:val="32"/>
      <w:szCs w:val="32"/>
    </w:rPr>
  </w:style>
  <w:style w:type="paragraph" w:styleId="1014">
    <w:name w:val="批注框文本"/>
    <w:basedOn w:val="967"/>
    <w:next w:val="1014"/>
    <w:link w:val="1015"/>
    <w:semiHidden/>
    <w:rPr>
      <w:sz w:val="18"/>
      <w:szCs w:val="18"/>
    </w:rPr>
  </w:style>
  <w:style w:type="character" w:styleId="1015">
    <w:name w:val="批注框文本 字符"/>
    <w:next w:val="1015"/>
    <w:link w:val="1014"/>
    <w:semiHidden/>
    <w:rPr>
      <w:rFonts w:ascii="Times New Roman" w:hAnsi="Times New Roman" w:eastAsia="宋体" w:cs="Times New Roman"/>
      <w:sz w:val="18"/>
      <w:szCs w:val="18"/>
    </w:rPr>
  </w:style>
  <w:style w:type="paragraph" w:styleId="1016">
    <w:name w:val="页脚"/>
    <w:basedOn w:val="967"/>
    <w:next w:val="1016"/>
    <w:link w:val="1017"/>
    <w:uiPriority w:val="99"/>
    <w:pPr>
      <w:jc w:val="left"/>
      <w:tabs>
        <w:tab w:val="center" w:pos="4153" w:leader="none"/>
        <w:tab w:val="right" w:pos="8306" w:leader="none"/>
      </w:tabs>
    </w:pPr>
    <w:rPr>
      <w:sz w:val="18"/>
      <w:szCs w:val="18"/>
    </w:rPr>
  </w:style>
  <w:style w:type="character" w:styleId="1017">
    <w:name w:val="页脚 字符"/>
    <w:next w:val="1017"/>
    <w:link w:val="1016"/>
    <w:uiPriority w:val="99"/>
    <w:rPr>
      <w:rFonts w:ascii="Times New Roman" w:hAnsi="Times New Roman" w:eastAsia="宋体" w:cs="Times New Roman"/>
      <w:sz w:val="18"/>
      <w:szCs w:val="18"/>
    </w:rPr>
  </w:style>
  <w:style w:type="paragraph" w:styleId="1018">
    <w:name w:val="页眉"/>
    <w:basedOn w:val="967"/>
    <w:next w:val="1018"/>
    <w:link w:val="1019"/>
    <w:pPr>
      <w:jc w:val="center"/>
      <w:tabs>
        <w:tab w:val="center" w:pos="4153" w:leader="none"/>
        <w:tab w:val="right" w:pos="8306" w:leader="none"/>
      </w:tabs>
      <w:pBdr>
        <w:bottom w:val="single" w:color="000000" w:sz="6" w:space="1"/>
      </w:pBdr>
    </w:pPr>
    <w:rPr>
      <w:sz w:val="18"/>
      <w:szCs w:val="18"/>
    </w:rPr>
  </w:style>
  <w:style w:type="character" w:styleId="1019">
    <w:name w:val="页眉 字符"/>
    <w:next w:val="1019"/>
    <w:link w:val="1018"/>
    <w:rPr>
      <w:rFonts w:ascii="Times New Roman" w:hAnsi="Times New Roman" w:eastAsia="宋体" w:cs="Times New Roman"/>
      <w:sz w:val="18"/>
      <w:szCs w:val="18"/>
    </w:rPr>
  </w:style>
  <w:style w:type="paragraph" w:styleId="1020">
    <w:name w:val="目录 1"/>
    <w:basedOn w:val="967"/>
    <w:next w:val="967"/>
    <w:link w:val="967"/>
    <w:semiHidden/>
    <w:pPr>
      <w:jc w:val="left"/>
      <w:spacing w:before="120" w:after="120" w:line="400" w:lineRule="exact"/>
      <w:tabs>
        <w:tab w:val="right" w:pos="8720" w:leader="dot"/>
      </w:tabs>
    </w:pPr>
    <w:rPr>
      <w:rFonts w:ascii="宋体" w:hAnsi="宋体"/>
      <w:caps/>
      <w:sz w:val="24"/>
      <w:szCs w:val="24"/>
    </w:rPr>
  </w:style>
  <w:style w:type="paragraph" w:styleId="1021">
    <w:name w:val="目录 4"/>
    <w:basedOn w:val="967"/>
    <w:next w:val="967"/>
    <w:link w:val="967"/>
    <w:semiHidden/>
    <w:pPr>
      <w:ind w:left="630"/>
      <w:jc w:val="left"/>
    </w:pPr>
  </w:style>
  <w:style w:type="paragraph" w:styleId="1022">
    <w:name w:val="列表"/>
    <w:basedOn w:val="967"/>
    <w:next w:val="1022"/>
    <w:link w:val="967"/>
    <w:pPr>
      <w:ind w:left="200" w:hanging="200"/>
    </w:pPr>
  </w:style>
  <w:style w:type="paragraph" w:styleId="1023">
    <w:name w:val="目录 6"/>
    <w:basedOn w:val="967"/>
    <w:next w:val="967"/>
    <w:link w:val="967"/>
    <w:semiHidden/>
    <w:pPr>
      <w:ind w:left="1050"/>
      <w:jc w:val="left"/>
    </w:pPr>
  </w:style>
  <w:style w:type="paragraph" w:styleId="1024">
    <w:name w:val="正文文本缩进 3"/>
    <w:basedOn w:val="967"/>
    <w:next w:val="1024"/>
    <w:link w:val="1025"/>
    <w:pPr>
      <w:ind w:left="645" w:firstLine="645"/>
    </w:pPr>
    <w:rPr>
      <w:rFonts w:ascii="Arial" w:hAnsi="Arial" w:eastAsia="方正仿宋_GB2312"/>
      <w:color w:val="ffff00"/>
      <w:sz w:val="32"/>
      <w:szCs w:val="32"/>
    </w:rPr>
  </w:style>
  <w:style w:type="character" w:styleId="1025">
    <w:name w:val="正文文本缩进 3 字符"/>
    <w:next w:val="1025"/>
    <w:link w:val="1024"/>
    <w:rPr>
      <w:rFonts w:ascii="Arial" w:hAnsi="Arial" w:eastAsia="方正仿宋_GB2312" w:cs="Arial"/>
      <w:color w:val="ffff00"/>
      <w:sz w:val="32"/>
      <w:szCs w:val="32"/>
    </w:rPr>
  </w:style>
  <w:style w:type="paragraph" w:styleId="1026">
    <w:name w:val="图表目录"/>
    <w:basedOn w:val="967"/>
    <w:next w:val="967"/>
    <w:link w:val="967"/>
    <w:semiHidden/>
    <w:pPr>
      <w:ind w:left="840" w:hanging="420"/>
    </w:pPr>
  </w:style>
  <w:style w:type="paragraph" w:styleId="1027">
    <w:name w:val="目录 2"/>
    <w:basedOn w:val="967"/>
    <w:next w:val="967"/>
    <w:link w:val="967"/>
    <w:semiHidden/>
    <w:pPr>
      <w:ind w:left="210"/>
      <w:jc w:val="left"/>
    </w:pPr>
    <w:rPr>
      <w:smallCaps/>
      <w:szCs w:val="24"/>
    </w:rPr>
  </w:style>
  <w:style w:type="paragraph" w:styleId="1028">
    <w:name w:val="目录 9"/>
    <w:basedOn w:val="967"/>
    <w:next w:val="967"/>
    <w:link w:val="967"/>
    <w:semiHidden/>
    <w:pPr>
      <w:ind w:left="1680"/>
      <w:jc w:val="left"/>
    </w:pPr>
  </w:style>
  <w:style w:type="paragraph" w:styleId="1029">
    <w:name w:val="正文文本 2"/>
    <w:basedOn w:val="967"/>
    <w:next w:val="1029"/>
    <w:link w:val="1030"/>
    <w:pPr>
      <w:jc w:val="center"/>
      <w:widowControl/>
    </w:pPr>
    <w:rPr>
      <w:rFonts w:ascii="方正仿宋_GB2312" w:eastAsia="方正仿宋_GB2312"/>
      <w:sz w:val="28"/>
      <w:szCs w:val="28"/>
    </w:rPr>
  </w:style>
  <w:style w:type="character" w:styleId="1030">
    <w:name w:val="正文文本 2 字符"/>
    <w:next w:val="1030"/>
    <w:link w:val="1029"/>
    <w:rPr>
      <w:rFonts w:ascii="方正仿宋_GB2312" w:hAnsi="Times New Roman" w:eastAsia="方正仿宋_GB2312" w:cs="Times New Roman"/>
      <w:sz w:val="28"/>
      <w:szCs w:val="28"/>
    </w:rPr>
  </w:style>
  <w:style w:type="paragraph" w:styleId="1031">
    <w:name w:val="普通(网站)"/>
    <w:basedOn w:val="967"/>
    <w:next w:val="1031"/>
    <w:link w:val="967"/>
    <w:uiPriority w:val="99"/>
    <w:pPr>
      <w:jc w:val="left"/>
      <w:spacing w:before="100" w:beforeAutospacing="1" w:after="100" w:afterAutospacing="1"/>
      <w:widowControl/>
    </w:pPr>
    <w:rPr>
      <w:rFonts w:ascii="宋体" w:hAnsi="宋体" w:cs="宋体"/>
      <w:sz w:val="24"/>
      <w:szCs w:val="24"/>
    </w:rPr>
  </w:style>
  <w:style w:type="paragraph" w:styleId="1032">
    <w:name w:val="索引 1"/>
    <w:basedOn w:val="967"/>
    <w:next w:val="967"/>
    <w:link w:val="967"/>
    <w:semiHidden/>
    <w:pPr>
      <w:spacing w:line="240" w:lineRule="atLeast"/>
    </w:pPr>
    <w:rPr>
      <w:b/>
      <w:bCs/>
    </w:rPr>
  </w:style>
  <w:style w:type="paragraph" w:styleId="1033">
    <w:name w:val="批注主题"/>
    <w:basedOn w:val="995"/>
    <w:next w:val="995"/>
    <w:link w:val="1034"/>
    <w:semiHidden/>
    <w:rPr>
      <w:b/>
      <w:bCs/>
    </w:rPr>
  </w:style>
  <w:style w:type="character" w:styleId="1034">
    <w:name w:val="批注主题 字符"/>
    <w:next w:val="1034"/>
    <w:link w:val="1033"/>
    <w:semiHidden/>
    <w:rPr>
      <w:rFonts w:ascii="Times New Roman" w:hAnsi="Times New Roman" w:eastAsia="宋体" w:cs="Times New Roman"/>
      <w:b/>
      <w:bCs/>
      <w:szCs w:val="21"/>
    </w:rPr>
  </w:style>
  <w:style w:type="paragraph" w:styleId="1035">
    <w:name w:val="正文首行缩进"/>
    <w:basedOn w:val="999"/>
    <w:next w:val="1037"/>
    <w:link w:val="1036"/>
    <w:pPr>
      <w:ind w:firstLine="200"/>
      <w:spacing w:line="360" w:lineRule="auto"/>
    </w:pPr>
    <w:rPr>
      <w:rFonts w:ascii="方正仿宋_GB2312" w:hAnsi="Times New Roman" w:eastAsia="方正仿宋_GB2312"/>
      <w:sz w:val="30"/>
      <w:szCs w:val="30"/>
    </w:rPr>
  </w:style>
  <w:style w:type="character" w:styleId="1036">
    <w:name w:val="正文文本首行缩进 字符"/>
    <w:next w:val="1036"/>
    <w:link w:val="1035"/>
    <w:rPr>
      <w:rFonts w:ascii="方正仿宋_GB2312" w:hAnsi="Times New Roman" w:eastAsia="方正仿宋_GB2312" w:cs="Times New Roman"/>
      <w:sz w:val="30"/>
      <w:szCs w:val="30"/>
    </w:rPr>
  </w:style>
  <w:style w:type="paragraph" w:styleId="1037">
    <w:name w:val="正文首行缩进 2"/>
    <w:basedOn w:val="1001"/>
    <w:next w:val="967"/>
    <w:link w:val="1038"/>
    <w:pPr>
      <w:ind w:firstLine="420"/>
      <w:spacing w:line="360" w:lineRule="auto"/>
    </w:pPr>
    <w:rPr>
      <w:rFonts w:ascii="宋体" w:hAnsi="宋体" w:eastAsia="宋体"/>
      <w:szCs w:val="20"/>
    </w:rPr>
  </w:style>
  <w:style w:type="character" w:styleId="1038">
    <w:name w:val="正文文本首行缩进 2 字符"/>
    <w:next w:val="1038"/>
    <w:link w:val="1037"/>
    <w:rPr>
      <w:rFonts w:ascii="宋体" w:hAnsi="宋体" w:eastAsia="宋体" w:cs="Times New Roman"/>
      <w:sz w:val="32"/>
      <w:szCs w:val="20"/>
    </w:rPr>
  </w:style>
  <w:style w:type="table" w:styleId="1039">
    <w:name w:val="网格型"/>
    <w:basedOn w:val="978"/>
    <w:next w:val="1039"/>
    <w:link w:val="967"/>
    <w:uiPriority w:val="59"/>
    <w:pPr>
      <w:jc w:val="both"/>
      <w:widowControl w:val="off"/>
    </w:pPr>
    <w:rPr>
      <w:rFonts w:ascii="Times New Roman" w:hAnsi="Times New Roman" w:eastAsia="宋体" w:cs="Times New Roman"/>
      <w:sz w:val="20"/>
      <w:szCs w:val="20"/>
    </w:rPr>
    <w:tblPr/>
  </w:style>
  <w:style w:type="character" w:styleId="1040">
    <w:name w:val="要点"/>
    <w:next w:val="1040"/>
    <w:link w:val="967"/>
    <w:qFormat/>
    <w:rPr>
      <w:b/>
      <w:bCs/>
    </w:rPr>
  </w:style>
  <w:style w:type="character" w:styleId="1041">
    <w:name w:val="页码"/>
    <w:next w:val="1041"/>
    <w:link w:val="967"/>
  </w:style>
  <w:style w:type="character" w:styleId="1042">
    <w:name w:val="已访问的超链接"/>
    <w:next w:val="1042"/>
    <w:link w:val="967"/>
    <w:rPr>
      <w:color w:val="800080"/>
      <w:u w:val="single"/>
    </w:rPr>
  </w:style>
  <w:style w:type="character" w:styleId="1043">
    <w:name w:val="超链接"/>
    <w:next w:val="1043"/>
    <w:link w:val="967"/>
    <w:rPr>
      <w:color w:val="0000ff"/>
      <w:u w:val="single"/>
    </w:rPr>
  </w:style>
  <w:style w:type="character" w:styleId="1044">
    <w:name w:val="批注引用"/>
    <w:next w:val="1044"/>
    <w:link w:val="967"/>
    <w:semiHidden/>
    <w:rPr>
      <w:sz w:val="21"/>
      <w:szCs w:val="21"/>
    </w:rPr>
  </w:style>
  <w:style w:type="paragraph" w:styleId="1045">
    <w:name w:val="style4"/>
    <w:basedOn w:val="967"/>
    <w:next w:val="1046"/>
    <w:link w:val="967"/>
    <w:qFormat/>
    <w:pPr>
      <w:spacing w:before="280" w:after="280"/>
      <w:widowControl/>
    </w:pPr>
    <w:rPr>
      <w:rFonts w:ascii="宋体"/>
      <w:sz w:val="18"/>
    </w:rPr>
  </w:style>
  <w:style w:type="paragraph" w:styleId="1046">
    <w:name w:val="2"/>
    <w:next w:val="967"/>
    <w:link w:val="967"/>
    <w:uiPriority w:val="99"/>
    <w:qFormat/>
    <w:pPr>
      <w:jc w:val="both"/>
      <w:widowControl w:val="off"/>
    </w:pPr>
    <w:rPr>
      <w:sz w:val="21"/>
      <w:szCs w:val="21"/>
      <w:lang w:val="en-US" w:eastAsia="zh-CN" w:bidi="ar-SA"/>
    </w:rPr>
  </w:style>
  <w:style w:type="character" w:styleId="1047">
    <w:name w:val="font5 Char"/>
    <w:next w:val="1047"/>
    <w:link w:val="967"/>
    <w:rPr>
      <w:rFonts w:ascii="宋体" w:hAnsi="宋体" w:eastAsia="宋体"/>
      <w:sz w:val="28"/>
      <w:szCs w:val="28"/>
      <w:lang w:val="en-US" w:eastAsia="zh-CN" w:bidi="ar-SA"/>
    </w:rPr>
  </w:style>
  <w:style w:type="character" w:styleId="1048">
    <w:name w:val="二级目录 Char"/>
    <w:next w:val="1048"/>
    <w:link w:val="1049"/>
    <w:rPr>
      <w:b/>
      <w:sz w:val="30"/>
      <w:szCs w:val="28"/>
      <w:lang w:val="en-US" w:eastAsia="zh-CN" w:bidi="ar-SA"/>
    </w:rPr>
  </w:style>
  <w:style w:type="paragraph" w:styleId="1049">
    <w:name w:val="二级目录"/>
    <w:next w:val="967"/>
    <w:link w:val="1048"/>
    <w:pPr>
      <w:numPr>
        <w:ilvl w:val="0"/>
        <w:numId w:val="2"/>
      </w:numPr>
      <w:tabs>
        <w:tab w:val="left" w:pos="907" w:leader="none"/>
        <w:tab w:val="left" w:pos="1145" w:leader="none"/>
      </w:tabs>
      <w:outlineLvl w:val="1"/>
    </w:pPr>
    <w:rPr>
      <w:b/>
      <w:sz w:val="30"/>
      <w:szCs w:val="28"/>
      <w:lang w:val="en-US" w:eastAsia="zh-CN" w:bidi="ar-SA"/>
    </w:rPr>
  </w:style>
  <w:style w:type="character" w:styleId="1050">
    <w:name w:val="列出段落 Char,Bullet List Char,numbered Char,FooterText Char,List Paragraph1 Char,Paragraphe de liste1 Char"/>
    <w:next w:val="1050"/>
    <w:link w:val="1051"/>
    <w:rPr>
      <w:rFonts w:ascii="Calibri" w:hAnsi="Calibri"/>
      <w:sz w:val="24"/>
      <w:szCs w:val="24"/>
      <w:lang w:eastAsia="en-US" w:bidi="en-US"/>
    </w:rPr>
  </w:style>
  <w:style w:type="paragraph" w:styleId="1051">
    <w:name w:val="列出段落1"/>
    <w:basedOn w:val="967"/>
    <w:next w:val="1051"/>
    <w:link w:val="1050"/>
    <w:qFormat/>
    <w:pPr>
      <w:contextualSpacing/>
      <w:ind w:left="720"/>
      <w:jc w:val="left"/>
      <w:widowControl/>
    </w:pPr>
    <w:rPr>
      <w:rFonts w:ascii="Calibri" w:hAnsi="Calibri"/>
      <w:sz w:val="24"/>
      <w:szCs w:val="24"/>
      <w:lang w:eastAsia="en-US" w:bidi="en-US"/>
    </w:rPr>
  </w:style>
  <w:style w:type="paragraph" w:styleId="1052">
    <w:name w:val="Body Text(ch)"/>
    <w:basedOn w:val="967"/>
    <w:next w:val="999"/>
    <w:link w:val="967"/>
    <w:pPr>
      <w:spacing w:after="120"/>
    </w:pPr>
    <w:rPr>
      <w:rFonts w:ascii="宋体" w:hAnsi="Arial"/>
      <w:bCs/>
      <w:iCs/>
      <w:szCs w:val="24"/>
    </w:rPr>
  </w:style>
  <w:style w:type="paragraph" w:styleId="1053">
    <w:name w:val="xl27"/>
    <w:basedOn w:val="967"/>
    <w:next w:val="1053"/>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6"/>
    <w:basedOn w:val="967"/>
    <w:next w:val="1054"/>
    <w:link w:val="9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name w:val="Char"/>
    <w:basedOn w:val="967"/>
    <w:next w:val="1055"/>
    <w:link w:val="967"/>
    <w:pPr>
      <w:ind w:firstLine="200"/>
      <w:tabs>
        <w:tab w:val="left" w:pos="360" w:leader="none"/>
      </w:tabs>
    </w:pPr>
    <w:rPr>
      <w:sz w:val="28"/>
      <w:szCs w:val="30"/>
    </w:rPr>
  </w:style>
  <w:style w:type="paragraph" w:styleId="1056">
    <w:name w:val=" Char"/>
    <w:basedOn w:val="992"/>
    <w:next w:val="1056"/>
    <w:link w:val="967"/>
    <w:rPr>
      <w:rFonts w:ascii="Tahoma" w:hAnsi="Tahoma"/>
      <w:sz w:val="24"/>
      <w:szCs w:val="24"/>
    </w:rPr>
  </w:style>
  <w:style w:type="paragraph" w:styleId="1057">
    <w:name w:val="普通正文"/>
    <w:basedOn w:val="967"/>
    <w:next w:val="1057"/>
    <w:link w:val="967"/>
    <w:pPr>
      <w:ind w:firstLine="480"/>
      <w:jc w:val="left"/>
      <w:spacing w:before="120" w:after="120" w:line="360" w:lineRule="auto"/>
    </w:pPr>
    <w:rPr>
      <w:rFonts w:ascii="Arial" w:hAnsi="Arial"/>
      <w:sz w:val="24"/>
      <w:szCs w:val="24"/>
    </w:rPr>
  </w:style>
  <w:style w:type="paragraph" w:styleId="1058">
    <w:name w:val="table_lines"/>
    <w:basedOn w:val="967"/>
    <w:next w:val="1058"/>
    <w:link w:val="967"/>
    <w:pPr>
      <w:jc w:val="left"/>
      <w:widowControl/>
    </w:pPr>
    <w:rPr>
      <w:sz w:val="20"/>
      <w:szCs w:val="20"/>
      <w:lang w:val="de-DE" w:eastAsia="de-DE"/>
    </w:rPr>
  </w:style>
  <w:style w:type="paragraph" w:styleId="1059">
    <w:name w:val="附录1"/>
    <w:next w:val="1059"/>
    <w:link w:val="967"/>
    <w:pPr>
      <w:numPr>
        <w:ilvl w:val="0"/>
        <w:numId w:val="2"/>
      </w:numPr>
      <w:spacing w:before="240" w:line="600" w:lineRule="atLeast"/>
      <w:tabs>
        <w:tab w:val="left" w:pos="907" w:leader="none"/>
      </w:tabs>
    </w:pPr>
    <w:rPr>
      <w:b/>
      <w:i/>
      <w:sz w:val="28"/>
      <w:lang w:val="en-US" w:eastAsia="zh-CN" w:bidi="ar-SA"/>
    </w:rPr>
  </w:style>
  <w:style w:type="paragraph" w:styleId="1060">
    <w:name w:val="font7"/>
    <w:basedOn w:val="967"/>
    <w:next w:val="1060"/>
    <w:link w:val="967"/>
    <w:pPr>
      <w:jc w:val="left"/>
      <w:spacing w:before="100" w:beforeAutospacing="1" w:after="100" w:afterAutospacing="1"/>
      <w:widowControl/>
    </w:pPr>
    <w:rPr>
      <w:rFonts w:hint="eastAsia" w:ascii="宋体" w:hAnsi="宋体"/>
      <w:sz w:val="18"/>
      <w:szCs w:val="18"/>
    </w:rPr>
  </w:style>
  <w:style w:type="paragraph" w:styleId="1061">
    <w:name w:val=" Char Char Char Char"/>
    <w:basedOn w:val="992"/>
    <w:next w:val="1061"/>
    <w:link w:val="967"/>
    <w:pPr>
      <w:spacing w:line="360" w:lineRule="auto"/>
    </w:pPr>
    <w:rPr>
      <w:rFonts w:ascii="Tahoma" w:hAnsi="Tahoma"/>
      <w:sz w:val="24"/>
      <w:szCs w:val="24"/>
    </w:rPr>
  </w:style>
  <w:style w:type="paragraph" w:styleId="1062">
    <w:name w:val="列表段落"/>
    <w:basedOn w:val="967"/>
    <w:next w:val="1062"/>
    <w:link w:val="967"/>
    <w:qFormat/>
    <w:pPr>
      <w:contextualSpacing/>
      <w:ind w:left="720"/>
      <w:jc w:val="left"/>
      <w:widowControl/>
    </w:pPr>
    <w:rPr>
      <w:rFonts w:ascii="Calibri" w:hAnsi="Calibri"/>
      <w:sz w:val="24"/>
      <w:szCs w:val="24"/>
      <w:lang w:eastAsia="en-US" w:bidi="en-US"/>
    </w:rPr>
  </w:style>
  <w:style w:type="paragraph" w:styleId="1063">
    <w:name w:val="4"/>
    <w:basedOn w:val="967"/>
    <w:next w:val="1024"/>
    <w:link w:val="967"/>
    <w:pPr>
      <w:ind w:firstLine="420"/>
      <w:spacing w:line="360" w:lineRule="auto"/>
    </w:pPr>
    <w:rPr>
      <w:color w:val="ff0000"/>
      <w:sz w:val="24"/>
      <w:szCs w:val="24"/>
    </w:rPr>
  </w:style>
  <w:style w:type="paragraph" w:styleId="1064">
    <w:name w:val="普通 (Web)"/>
    <w:basedOn w:val="967"/>
    <w:next w:val="1064"/>
    <w:link w:val="967"/>
    <w:pPr>
      <w:jc w:val="left"/>
      <w:spacing w:before="100" w:beforeAutospacing="1" w:after="100" w:afterAutospacing="1"/>
      <w:widowControl/>
    </w:pPr>
    <w:rPr>
      <w:rFonts w:ascii="宋体" w:hAnsi="宋体"/>
      <w:sz w:val="24"/>
      <w:szCs w:val="24"/>
    </w:rPr>
  </w:style>
  <w:style w:type="paragraph" w:styleId="1065">
    <w:name w:val=" Char Char Char Char Char Char Char Char Char Char"/>
    <w:basedOn w:val="967"/>
    <w:next w:val="1065"/>
    <w:link w:val="967"/>
    <w:pPr>
      <w:spacing w:line="360" w:lineRule="auto"/>
    </w:pPr>
    <w:rPr>
      <w:sz w:val="24"/>
      <w:szCs w:val="20"/>
    </w:rPr>
  </w:style>
  <w:style w:type="paragraph" w:styleId="1066">
    <w:name w:val="样式1"/>
    <w:basedOn w:val="967"/>
    <w:next w:val="1066"/>
    <w:link w:val="967"/>
    <w:pPr>
      <w:numPr>
        <w:ilvl w:val="0"/>
        <w:numId w:val="3"/>
      </w:numPr>
      <w:tabs>
        <w:tab w:val="left" w:pos="709" w:leader="none"/>
      </w:tabs>
    </w:pPr>
    <w:rPr>
      <w:rFonts w:ascii="宋体" w:hAnsi="宋体"/>
    </w:rPr>
  </w:style>
  <w:style w:type="paragraph" w:styleId="1067">
    <w:name w:val="font6"/>
    <w:basedOn w:val="967"/>
    <w:next w:val="1067"/>
    <w:link w:val="967"/>
    <w:pPr>
      <w:jc w:val="left"/>
      <w:spacing w:before="100" w:beforeAutospacing="1" w:after="100" w:afterAutospacing="1"/>
      <w:widowControl/>
    </w:pPr>
    <w:rPr>
      <w:rFonts w:hint="eastAsia" w:ascii="宋体" w:hAnsi="宋体"/>
      <w:sz w:val="28"/>
      <w:szCs w:val="28"/>
      <w:u w:val="single"/>
    </w:rPr>
  </w:style>
  <w:style w:type="paragraph" w:styleId="1068">
    <w:name w:val="xl25"/>
    <w:basedOn w:val="967"/>
    <w:next w:val="1068"/>
    <w:link w:val="967"/>
    <w:pPr>
      <w:jc w:val="center"/>
      <w:spacing w:before="100" w:beforeAutospacing="1" w:after="100" w:afterAutospacing="1"/>
      <w:widowControl/>
    </w:pPr>
    <w:rPr>
      <w:rFonts w:ascii="Arial Black" w:hAnsi="Arial Black" w:eastAsia="Arial Black" w:cs="Arial Black"/>
      <w:sz w:val="24"/>
      <w:szCs w:val="24"/>
    </w:rPr>
  </w:style>
  <w:style w:type="paragraph" w:styleId="1069">
    <w:name w:val="图标"/>
    <w:basedOn w:val="967"/>
    <w:next w:val="967"/>
    <w:link w:val="967"/>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70">
    <w:name w:val="标题3"/>
    <w:basedOn w:val="967"/>
    <w:next w:val="967"/>
    <w:link w:val="967"/>
    <w:pPr>
      <w:ind w:firstLine="624"/>
      <w:spacing w:line="590" w:lineRule="atLeast"/>
    </w:pPr>
    <w:rPr>
      <w:rFonts w:ascii="方正锐正黑_GBK 中" w:eastAsia="方正锐正黑_GBK 中"/>
      <w:sz w:val="32"/>
      <w:szCs w:val="32"/>
    </w:rPr>
  </w:style>
  <w:style w:type="paragraph" w:styleId="1071">
    <w:name w:val="xl24"/>
    <w:basedOn w:val="967"/>
    <w:next w:val="1071"/>
    <w:link w:val="9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name w:val="xl29"/>
    <w:basedOn w:val="967"/>
    <w:next w:val="1072"/>
    <w:link w:val="9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name w:val="Char Char Char Char Char Char Char Char"/>
    <w:basedOn w:val="967"/>
    <w:next w:val="1073"/>
    <w:link w:val="967"/>
    <w:pPr>
      <w:jc w:val="left"/>
      <w:spacing w:after="160" w:line="240" w:lineRule="exact"/>
      <w:widowControl/>
    </w:pPr>
    <w:rPr>
      <w:rFonts w:ascii="Verdana" w:hAnsi="Verdana"/>
      <w:sz w:val="20"/>
      <w:szCs w:val="20"/>
      <w:lang w:eastAsia="en-US"/>
    </w:rPr>
  </w:style>
  <w:style w:type="paragraph" w:styleId="1074">
    <w:name w:val="xl28"/>
    <w:basedOn w:val="967"/>
    <w:next w:val="1074"/>
    <w:link w:val="9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 Char Char Char Char Char Char Char Char"/>
    <w:basedOn w:val="967"/>
    <w:next w:val="1075"/>
    <w:link w:val="967"/>
    <w:pPr>
      <w:jc w:val="left"/>
      <w:spacing w:after="160" w:line="240" w:lineRule="exact"/>
      <w:widowControl/>
    </w:pPr>
    <w:rPr>
      <w:rFonts w:ascii="Verdana" w:hAnsi="Verdana"/>
      <w:sz w:val="20"/>
      <w:szCs w:val="20"/>
      <w:lang w:eastAsia="en-US"/>
    </w:rPr>
  </w:style>
  <w:style w:type="paragraph" w:styleId="1076">
    <w:name w:val="xl30"/>
    <w:basedOn w:val="967"/>
    <w:next w:val="1076"/>
    <w:link w:val="967"/>
    <w:pPr>
      <w:jc w:val="center"/>
      <w:spacing w:before="100" w:beforeAutospacing="1" w:after="100" w:afterAutospacing="1"/>
      <w:widowControl/>
    </w:pPr>
    <w:rPr>
      <w:rFonts w:ascii="宋体" w:hAnsi="宋体"/>
      <w:b/>
      <w:bCs/>
      <w:sz w:val="36"/>
      <w:szCs w:val="36"/>
    </w:rPr>
  </w:style>
  <w:style w:type="paragraph" w:styleId="1077">
    <w:name w:val="Char Char Char Char"/>
    <w:basedOn w:val="992"/>
    <w:next w:val="1077"/>
    <w:link w:val="967"/>
    <w:pPr>
      <w:spacing w:line="360" w:lineRule="auto"/>
    </w:pPr>
    <w:rPr>
      <w:rFonts w:ascii="Tahoma" w:hAnsi="Tahoma"/>
      <w:sz w:val="24"/>
      <w:szCs w:val="24"/>
    </w:rPr>
  </w:style>
  <w:style w:type="paragraph" w:styleId="1078">
    <w:name w:val="table_1stline"/>
    <w:basedOn w:val="967"/>
    <w:next w:val="1078"/>
    <w:link w:val="967"/>
    <w:pPr>
      <w:jc w:val="left"/>
      <w:spacing w:before="120"/>
      <w:widowControl/>
    </w:pPr>
    <w:rPr>
      <w:bCs/>
      <w:sz w:val="20"/>
      <w:szCs w:val="20"/>
      <w:lang w:val="de-DE" w:eastAsia="de-DE"/>
    </w:rPr>
  </w:style>
  <w:style w:type="paragraph" w:styleId="1079">
    <w:name w:val="font5"/>
    <w:basedOn w:val="967"/>
    <w:next w:val="1079"/>
    <w:link w:val="967"/>
    <w:pPr>
      <w:jc w:val="left"/>
      <w:spacing w:before="100" w:beforeAutospacing="1" w:after="100" w:afterAutospacing="1"/>
      <w:widowControl/>
    </w:pPr>
    <w:rPr>
      <w:rFonts w:hint="eastAsia" w:ascii="宋体" w:hAnsi="宋体"/>
      <w:sz w:val="28"/>
      <w:szCs w:val="28"/>
    </w:rPr>
  </w:style>
  <w:style w:type="paragraph" w:styleId="1080">
    <w:name w:val="标题1"/>
    <w:basedOn w:val="967"/>
    <w:next w:val="967"/>
    <w:link w:val="96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name w:val="修订"/>
    <w:next w:val="1081"/>
    <w:link w:val="967"/>
    <w:uiPriority w:val="99"/>
    <w:semiHidden/>
    <w:rPr>
      <w:sz w:val="21"/>
      <w:szCs w:val="21"/>
      <w:lang w:val="en-US" w:eastAsia="zh-CN" w:bidi="ar-SA"/>
    </w:rPr>
  </w:style>
  <w:style w:type="paragraph" w:styleId="1082">
    <w:name w:val="无间隔"/>
    <w:next w:val="1082"/>
    <w:link w:val="967"/>
    <w:uiPriority w:val="99"/>
    <w:qFormat/>
    <w:pPr>
      <w:jc w:val="both"/>
      <w:widowControl w:val="off"/>
    </w:pPr>
    <w:rPr>
      <w:sz w:val="21"/>
      <w:szCs w:val="21"/>
      <w:lang w:val="en-US" w:eastAsia="zh-CN" w:bidi="ar-SA"/>
    </w:rPr>
  </w:style>
  <w:style w:type="table" w:styleId="1083">
    <w:name w:val="网格型1"/>
    <w:basedOn w:val="978"/>
    <w:next w:val="1083"/>
    <w:link w:val="967"/>
    <w:uiPriority w:val="99"/>
    <w:qFormat/>
    <w:rPr>
      <w:rFonts w:ascii="Calibri" w:hAnsi="Calibri" w:eastAsia="宋体" w:cs="Times New Roman"/>
    </w:rPr>
    <w:tblPr/>
  </w:style>
  <w:style w:type="table" w:styleId="1084">
    <w:name w:val="网格型2"/>
    <w:basedOn w:val="978"/>
    <w:next w:val="1084"/>
    <w:link w:val="967"/>
    <w:uiPriority w:val="99"/>
    <w:qFormat/>
    <w:rPr>
      <w:rFonts w:ascii="Calibri" w:hAnsi="Calibri" w:eastAsia="宋体" w:cs="Times New Roman"/>
    </w:rPr>
    <w:tblPr/>
  </w:style>
  <w:style w:type="table" w:styleId="1085">
    <w:name w:val="网格型3"/>
    <w:basedOn w:val="978"/>
    <w:next w:val="1085"/>
    <w:link w:val="967"/>
    <w:rPr>
      <w:rFonts w:ascii="Calibri" w:hAnsi="Calibri" w:eastAsia="宋体" w:cs="Times New Roman"/>
    </w:rPr>
    <w:tblPr/>
  </w:style>
  <w:style w:type="table" w:styleId="1086">
    <w:name w:val="网格型4"/>
    <w:basedOn w:val="978"/>
    <w:next w:val="1086"/>
    <w:link w:val="967"/>
    <w:rPr>
      <w:rFonts w:ascii="Calibri" w:hAnsi="Calibri" w:eastAsia="宋体" w:cs="Times New Roman"/>
    </w:rPr>
    <w:tblPr/>
  </w:style>
  <w:style w:type="character" w:styleId="1087">
    <w:name w:val="正文缩进2格 Char"/>
    <w:next w:val="1087"/>
    <w:link w:val="1088"/>
    <w:rPr>
      <w:rFonts w:ascii="方正仿宋_GB2312" w:hAnsi="宋体" w:eastAsia="方正仿宋_GB2312"/>
      <w:sz w:val="31"/>
      <w:szCs w:val="28"/>
    </w:rPr>
  </w:style>
  <w:style w:type="paragraph" w:styleId="1088">
    <w:name w:val="正文缩进2格"/>
    <w:basedOn w:val="967"/>
    <w:next w:val="1088"/>
    <w:link w:val="1087"/>
    <w:pPr>
      <w:ind w:firstLine="639"/>
      <w:spacing w:line="600" w:lineRule="exact"/>
    </w:pPr>
    <w:rPr>
      <w:rFonts w:ascii="方正仿宋_GB2312" w:hAnsi="宋体" w:eastAsia="方正仿宋_GB2312"/>
      <w:sz w:val="31"/>
      <w:szCs w:val="28"/>
    </w:rPr>
  </w:style>
  <w:style w:type="character" w:styleId="1089">
    <w:name w:val="标题 1 Char Char"/>
    <w:next w:val="1089"/>
    <w:link w:val="967"/>
    <w:qFormat/>
    <w:rPr>
      <w:rFonts w:hint="eastAsia" w:ascii="宋体" w:hAnsi="宋体" w:eastAsia="宋体"/>
      <w:b/>
      <w:spacing w:val="-2"/>
      <w:sz w:val="24"/>
      <w:lang w:val="en-US" w:eastAsia="zh-CN"/>
    </w:rPr>
  </w:style>
  <w:style w:type="character" w:styleId="1090">
    <w:name w:val="font21"/>
    <w:next w:val="1090"/>
    <w:link w:val="967"/>
    <w:rPr>
      <w:rFonts w:ascii="仿宋_GB2312" w:eastAsia="仿宋_GB2312" w:cs="仿宋_GB2312"/>
      <w:i w:val="0"/>
      <w:iCs w:val="0"/>
      <w:color w:val="000000"/>
      <w:sz w:val="24"/>
      <w:szCs w:val="24"/>
      <w:u w:val="none"/>
    </w:rPr>
  </w:style>
  <w:style w:type="paragraph" w:styleId="1091">
    <w:name w:val="Table Text"/>
    <w:basedOn w:val="967"/>
    <w:next w:val="1091"/>
    <w:link w:val="967"/>
    <w:semiHidden/>
    <w:qFormat/>
    <w:rPr>
      <w:rFonts w:ascii="宋体" w:hAnsi="宋体" w:eastAsia="宋体" w:cs="宋体"/>
      <w:sz w:val="20"/>
      <w:szCs w:val="20"/>
      <w:lang w:val="en-US" w:eastAsia="en-US" w:bidi="ar-SA"/>
    </w:rPr>
  </w:style>
  <w:style w:type="table" w:styleId="1092">
    <w:name w:val="Table Normal"/>
    <w:next w:val="1092"/>
    <w:link w:val="967"/>
    <w:unhideWhenUsed/>
    <w:qFormat/>
    <w:rPr>
      <w:lang w:val="en-US" w:eastAsia="zh-CN" w:bidi="ar-SA"/>
    </w:rPr>
    <w:tblPr/>
  </w:style>
  <w:style w:type="paragraph" w:styleId="1093">
    <w:name w:val="msonormalcxspmiddle"/>
    <w:basedOn w:val="967"/>
    <w:next w:val="1093"/>
    <w:link w:val="967"/>
    <w:qFormat/>
    <w:pPr>
      <w:jc w:val="left"/>
      <w:spacing w:before="100" w:beforeAutospacing="1" w:after="100" w:afterAutospacing="1"/>
      <w:widowControl/>
    </w:pPr>
    <w:rPr>
      <w:rFonts w:ascii="宋体" w:hAnsi="宋体" w:eastAsia="宋体" w:cs="宋体"/>
      <w:sz w:val="24"/>
      <w:szCs w:val="22"/>
    </w:rPr>
  </w:style>
  <w:style w:type="paragraph" w:styleId="1094">
    <w:name w:val="正文首行缩进1"/>
    <w:basedOn w:val="1095"/>
    <w:next w:val="1094"/>
    <w:link w:val="967"/>
    <w:qFormat/>
    <w:pPr>
      <w:ind w:firstLine="200"/>
      <w:spacing w:line="360" w:lineRule="auto"/>
    </w:pPr>
    <w:rPr>
      <w:rFonts w:ascii="仿宋_GB2312" w:hAnsi="Times New Roman" w:eastAsia="仿宋_GB2312"/>
      <w:sz w:val="30"/>
      <w:szCs w:val="30"/>
    </w:rPr>
  </w:style>
  <w:style w:type="paragraph" w:styleId="1095">
    <w:name w:val="正文文本1"/>
    <w:basedOn w:val="967"/>
    <w:next w:val="1096"/>
    <w:link w:val="967"/>
    <w:qFormat/>
    <w:rPr>
      <w:rFonts w:ascii="楷体_GB2312" w:hAnsi="Arial" w:eastAsia="楷体_GB2312"/>
      <w:sz w:val="28"/>
      <w:szCs w:val="28"/>
    </w:rPr>
  </w:style>
  <w:style w:type="paragraph" w:styleId="1096">
    <w:name w:val="正文文本首行缩进1"/>
    <w:basedOn w:val="1095"/>
    <w:next w:val="1096"/>
    <w:link w:val="967"/>
    <w:qFormat/>
    <w:pPr>
      <w:ind w:firstLine="420"/>
      <w:spacing w:after="120"/>
      <w:tabs>
        <w:tab w:val="left" w:pos="2020" w:leader="none"/>
        <w:tab w:val="center" w:pos="4535" w:leader="none"/>
      </w:tabs>
    </w:pPr>
    <w:rPr>
      <w:sz w:val="21"/>
    </w:rPr>
  </w:style>
  <w:style w:type="paragraph" w:styleId="1097">
    <w:name w:val="页眉1"/>
    <w:basedOn w:val="967"/>
    <w:next w:val="1097"/>
    <w:link w:val="967"/>
    <w:qFormat/>
    <w:pPr>
      <w:jc w:val="center"/>
      <w:tabs>
        <w:tab w:val="center" w:pos="4153" w:leader="none"/>
        <w:tab w:val="right" w:pos="8306" w:leader="none"/>
      </w:tabs>
      <w:pBdr>
        <w:bottom w:val="single" w:color="000000" w:sz="6" w:space="1"/>
      </w:pBdr>
    </w:pPr>
    <w:rPr>
      <w:sz w:val="18"/>
      <w:szCs w:val="18"/>
    </w:rPr>
  </w:style>
  <w:style w:type="paragraph" w:styleId="1098">
    <w:name w:val="页脚1"/>
    <w:basedOn w:val="967"/>
    <w:next w:val="1098"/>
    <w:link w:val="967"/>
    <w:uiPriority w:val="99"/>
    <w:qFormat/>
    <w:pPr>
      <w:jc w:val="left"/>
      <w:tabs>
        <w:tab w:val="center" w:pos="4153" w:leader="none"/>
        <w:tab w:val="right" w:pos="8306" w:leader="none"/>
      </w:tabs>
    </w:pPr>
    <w:rPr>
      <w:sz w:val="18"/>
      <w:szCs w:val="18"/>
    </w:rPr>
  </w:style>
  <w:style w:type="paragraph" w:styleId="1099">
    <w:name w:val="Default"/>
    <w:next w:val="1099"/>
    <w:link w:val="967"/>
    <w:qFormat/>
    <w:pPr>
      <w:widowControl w:val="off"/>
    </w:pPr>
    <w:rPr>
      <w:rFonts w:ascii="宋体" w:cs="宋体"/>
      <w:color w:val="000000"/>
      <w:sz w:val="24"/>
      <w:szCs w:val="24"/>
      <w:lang w:val="en-US" w:eastAsia="zh-CN" w:bidi="ar-SA"/>
    </w:rPr>
  </w:style>
  <w:style w:type="paragraph" w:styleId="1100">
    <w:name w:val="BodyText1I21"/>
    <w:basedOn w:val="1101"/>
    <w:next w:val="1100"/>
    <w:link w:val="967"/>
    <w:uiPriority w:val="99"/>
    <w:qFormat/>
    <w:pPr>
      <w:ind w:firstLine="420"/>
    </w:pPr>
  </w:style>
  <w:style w:type="paragraph" w:styleId="1101">
    <w:name w:val="BodyTextIndent1"/>
    <w:basedOn w:val="967"/>
    <w:next w:val="1102"/>
    <w:link w:val="967"/>
    <w:uiPriority w:val="99"/>
    <w:qFormat/>
    <w:pPr>
      <w:ind w:left="420"/>
      <w:spacing w:after="120"/>
    </w:pPr>
  </w:style>
  <w:style w:type="paragraph" w:styleId="1102">
    <w:name w:val="EnvelopeReturn1"/>
    <w:basedOn w:val="967"/>
    <w:next w:val="1102"/>
    <w:link w:val="967"/>
    <w:uiPriority w:val="99"/>
    <w:qFormat/>
    <w:rPr>
      <w:rFonts w:ascii="Arial" w:hAnsi="Arial"/>
    </w:rPr>
  </w:style>
  <w:style w:type="character" w:styleId="1103">
    <w:name w:val="font01"/>
    <w:next w:val="1103"/>
    <w:link w:val="967"/>
    <w:rPr>
      <w:rFonts w:hint="eastAsia" w:ascii="等线" w:hAnsi="等线" w:eastAsia="等线" w:cs="等线"/>
      <w:color w:val="000000"/>
      <w:sz w:val="22"/>
      <w:szCs w:val="22"/>
      <w:u w:val="none"/>
    </w:rPr>
  </w:style>
  <w:style w:type="character" w:styleId="1104">
    <w:name w:val="font11"/>
    <w:next w:val="1104"/>
    <w:link w:val="967"/>
    <w:qFormat/>
    <w:rPr>
      <w:rFonts w:hint="eastAsia" w:ascii="等线" w:hAnsi="等线" w:eastAsia="等线" w:cs="等线"/>
      <w:color w:val="000000"/>
      <w:sz w:val="22"/>
      <w:szCs w:val="22"/>
      <w:u w:val="none"/>
    </w:rPr>
  </w:style>
  <w:style w:type="character" w:styleId="1105">
    <w:name w:val="font51"/>
    <w:next w:val="1105"/>
    <w:link w:val="967"/>
    <w:rPr>
      <w:rFonts w:hint="eastAsia" w:ascii="等线" w:hAnsi="等线" w:eastAsia="等线" w:cs="等线"/>
      <w:i w:val="0"/>
      <w:iCs w:val="0"/>
      <w:color w:val="000000"/>
      <w:sz w:val="22"/>
      <w:szCs w:val="22"/>
      <w:u w:val="none"/>
    </w:rPr>
  </w:style>
  <w:style w:type="character" w:styleId="1106">
    <w:name w:val="font61"/>
    <w:next w:val="1106"/>
    <w:link w:val="967"/>
    <w:rPr>
      <w:rFonts w:hint="eastAsia" w:ascii="等线" w:hAnsi="等线" w:eastAsia="等线" w:cs="等线"/>
      <w:b/>
      <w:bCs/>
      <w:i w:val="0"/>
      <w:iCs w:val="0"/>
      <w:color w:val="000000"/>
      <w:sz w:val="22"/>
      <w:szCs w:val="22"/>
      <w:u w:val="none"/>
    </w:rPr>
  </w:style>
  <w:style w:type="character" w:styleId="1107">
    <w:name w:val="font71"/>
    <w:next w:val="1107"/>
    <w:link w:val="967"/>
    <w:rPr>
      <w:rFonts w:hint="eastAsia" w:ascii="等线" w:hAnsi="等线" w:eastAsia="等线" w:cs="等线"/>
      <w:i w:val="0"/>
      <w:iCs w:val="0"/>
      <w:color w:val="ff0000"/>
      <w:sz w:val="22"/>
      <w:szCs w:val="22"/>
      <w:u w:val="none"/>
    </w:rPr>
  </w:style>
  <w:style w:type="paragraph" w:styleId="1108">
    <w:name w:val="正文文本111"/>
    <w:basedOn w:val="967"/>
    <w:next w:val="1099"/>
    <w:link w:val="967"/>
    <w:qFormat/>
    <w:pPr>
      <w:spacing w:after="120"/>
    </w:pPr>
    <w:rPr>
      <w:rFonts w:ascii="Times New Roman" w:hAnsi="Times New Roman"/>
    </w:rPr>
  </w:style>
  <w:style w:type="paragraph" w:styleId="1109">
    <w:name w:val="段"/>
    <w:next w:val="967"/>
    <w:link w:val="967"/>
    <w:qFormat/>
    <w:pPr>
      <w:ind w:firstLine="200"/>
      <w:jc w:val="both"/>
    </w:pPr>
    <w:rPr>
      <w:rFonts w:ascii="宋体" w:hAnsi="Calibri"/>
      <w:sz w:val="21"/>
      <w:lang w:val="en-US" w:eastAsia="zh-CN" w:bidi="ar-SA"/>
    </w:r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斌90</dc:creator>
  <cp:lastModifiedBy>张亚萍</cp:lastModifiedBy>
  <cp:revision>8</cp:revision>
  <dcterms:created xsi:type="dcterms:W3CDTF">2026-03-31T01:32:00Z</dcterms:created>
  <dcterms:modified xsi:type="dcterms:W3CDTF">2026-04-30T04:01:16Z</dcterms:modified>
</cp:coreProperties>
</file>