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pStyle w:val="965"/>
        <w:rPr>
          <w:color w:val="auto"/>
          <w:highlight w:val="none"/>
        </w:rPr>
      </w:pPr>
      <w:r>
        <w:rPr>
          <w:color w:val="auto"/>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JSZC-320585-SZTZ-G2026-0010</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零星五金配件配送服务</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(专门面向中小企业采购)</w:t>
      </w:r>
      <w:r/>
    </w:p>
    <w:p>
      <w:pPr>
        <w:ind w:left="480"/>
        <w:spacing w:line="360" w:lineRule="auto"/>
        <w:rPr>
          <w:rFonts w:hint="eastAsia" w:ascii="宋体" w:hAnsi="宋体" w:eastAsia="宋体" w:cs="宋体"/>
          <w:color w:val="auto"/>
          <w:sz w:val="30"/>
          <w:highlight w:val="none"/>
          <w:lang w:eastAsia="zh-CN"/>
        </w:rPr>
      </w:pPr>
      <w:r>
        <w:rPr>
          <w:rFonts w:hint="eastAsia" w:ascii="宋体" w:hAnsi="宋体" w:cs="宋体"/>
          <w:b/>
          <w:bCs/>
          <w:color w:val="auto"/>
          <w:sz w:val="30"/>
          <w:highlight w:val="none"/>
        </w:rPr>
        <w:t xml:space="preserve">所属行业：</w:t>
      </w:r>
      <w:r>
        <w:rPr>
          <w:rFonts w:hint="eastAsia" w:ascii="宋体" w:hAnsi="宋体" w:cs="宋体"/>
          <w:b/>
          <w:bCs/>
          <w:color w:val="auto"/>
          <w:sz w:val="30"/>
          <w:highlight w:val="none"/>
          <w:lang w:eastAsia="zh-CN"/>
        </w:rPr>
        <w:t xml:space="preserve">（五）零售业</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太仓市第一人民医院</w:t>
      </w:r>
      <w:r/>
    </w:p>
    <w:p>
      <w:pPr>
        <w:ind w:left="480" w:right="-159"/>
        <w:spacing w:line="480" w:lineRule="auto"/>
        <w:rPr>
          <w:rFonts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p>
    <w:p>
      <w:pPr>
        <w:ind w:left="480" w:right="-159"/>
        <w:spacing w:line="480" w:lineRule="auto"/>
        <w:rPr>
          <w:rFonts w:cs="宋体"/>
          <w:b/>
          <w:color w:val="auto"/>
          <w:sz w:val="30"/>
          <w:szCs w:val="30"/>
          <w:highlight w:val="none"/>
        </w:rPr>
      </w:pPr>
      <w:r>
        <w:rPr>
          <w:rFonts w:cs="宋体"/>
          <w:b/>
          <w:color w:val="auto"/>
          <w:sz w:val="30"/>
          <w:szCs w:val="30"/>
          <w:highlight w:val="none"/>
        </w:rPr>
      </w:r>
      <w:r/>
    </w:p>
    <w:p>
      <w:pPr>
        <w:ind w:firstLine="600"/>
        <w:rPr>
          <w:rFonts w:ascii="宋体" w:hAnsi="宋体" w:cs="宋体"/>
          <w:color w:val="auto"/>
          <w:sz w:val="30"/>
          <w:highlight w:val="none"/>
        </w:rPr>
      </w:pPr>
      <w:r>
        <w:rPr>
          <w:rFonts w:ascii="宋体" w:hAnsi="宋体" w:cs="宋体"/>
          <w:color w:val="auto"/>
          <w:sz w:val="30"/>
          <w:highlight w:val="none"/>
        </w:rPr>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五</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974"/>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974"/>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2"/>
          <w:footerReference w:type="even" r:id="rId13"/>
          <w:footnotePr/>
          <w:endnotePr/>
          <w:type w:val="nextPage"/>
          <w:pgSz w:w="11906" w:h="16838" w:orient="portrait"/>
          <w:pgMar w:top="1417" w:right="1417" w:bottom="1417" w:left="1417" w:header="851" w:footer="992" w:gutter="0"/>
          <w:cols w:num="1" w:sep="0" w:space="720" w:equalWidth="1"/>
          <w:docGrid w:linePitch="360"/>
          <w:titlePg/>
        </w:sectPr>
      </w:pPr>
      <w:r>
        <w:rPr>
          <w:color w:val="auto"/>
          <w:highlight w:val="none"/>
        </w:rPr>
        <w:tab/>
      </w:r>
      <w:r/>
    </w:p>
    <w:p>
      <w:pPr>
        <w:pStyle w:val="950"/>
        <w:numPr>
          <w:ilvl w:val="0"/>
          <w:numId w:val="0"/>
        </w:numPr>
        <w:jc w:val="center"/>
        <w:spacing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6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太仓市第一人民医院</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JSZC-320585-SZTZ-G2026-0010</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977"/>
              <w:ind w:firstLine="0"/>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零星五金配件配送服务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977"/>
              <w:ind w:firstLine="0"/>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bidi="zh-CN"/>
              </w:rPr>
              <w:t xml:space="preserve">（五）零售业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地址：太仓市娄东街道上海东路333号高展商务大厦10楼1003室   </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zh-CN"/>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时间：自招标文件公告发布之日起5个工作日</w:t>
            </w:r>
            <w:r/>
          </w:p>
          <w:p>
            <w:pPr>
              <w:pStyle w:val="980"/>
              <w:spacing w:beforeAutospacing="0" w:afterAutospacing="0" w:line="360" w:lineRule="auto"/>
              <w:rPr>
                <w:color w:val="auto"/>
                <w:sz w:val="21"/>
                <w:szCs w:val="21"/>
                <w:highlight w:val="none"/>
                <w:lang w:val="zh-CN"/>
              </w:rPr>
            </w:pPr>
            <w:r>
              <w:rPr>
                <w:rFonts w:hint="eastAsia"/>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color w:val="auto"/>
                <w:sz w:val="21"/>
                <w:szCs w:val="21"/>
                <w:highlight w:val="none"/>
                <w:shd w:val="clear" w:color="auto" w:fill="ffffff"/>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rPr>
              <w:t xml:space="preserve">2026年06月22日09点30分</w:t>
            </w:r>
            <w:r>
              <w:rPr>
                <w:rFonts w:hint="eastAsia" w:ascii="宋体" w:hAnsi="宋体" w:cs="宋体"/>
                <w:color w:val="auto"/>
                <w:sz w:val="21"/>
                <w:szCs w:val="21"/>
                <w:highlight w:val="none"/>
                <w:shd w:val="clear" w:color="auto" w:fill="ffffff"/>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时间：2026年06月22日09点30分（北京时间）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Height w:val="415"/>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由采购人支付。</w:t>
            </w:r>
            <w:r/>
          </w:p>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pStyle w:val="1042"/>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highlight w:val="none"/>
              </w:rPr>
              <w:t xml:space="preserve">说明：代理服务费以</w:t>
            </w: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预算金额为基数依据，参照以上规定的标准和差额定率累进法进行计算收取。例：如</w:t>
            </w: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预算金额为150万元，则代理服务费＝100万元以下部分×1.5%＋（150万元－100万元以下部分）×1.1%。如按上述方法计算的金额低于人民币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元整的，则按人民币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元整计收。本项目代理服务费</w:t>
            </w:r>
            <w:r>
              <w:rPr>
                <w:rFonts w:hint="eastAsia" w:ascii="宋体" w:hAnsi="宋体" w:eastAsia="宋体" w:cs="宋体"/>
                <w:color w:val="auto"/>
                <w:sz w:val="21"/>
                <w:highlight w:val="none"/>
                <w:lang w:val="en-US" w:eastAsia="zh-CN"/>
              </w:rPr>
              <w:t xml:space="preserve">为：</w:t>
            </w:r>
            <w:r>
              <w:rPr>
                <w:rFonts w:hint="eastAsia" w:ascii="宋体" w:hAnsi="宋体" w:cs="宋体"/>
                <w:color w:val="auto"/>
                <w:sz w:val="21"/>
                <w:highlight w:val="none"/>
                <w:lang w:val="en-US" w:eastAsia="zh-CN"/>
              </w:rPr>
              <w:t xml:space="preserve">贰万伍仟肆佰伍拾元整。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40"/>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spacing w:line="360" w:lineRule="auto"/>
              <w:rPr>
                <w:rFonts w:ascii="宋体" w:hAnsi="宋体" w:cs="宋体"/>
                <w:color w:val="auto"/>
                <w:sz w:val="21"/>
                <w:szCs w:val="21"/>
                <w:highlight w:val="none"/>
                <w:lang w:val="zh-CN"/>
              </w:rPr>
            </w:pPr>
            <w:r>
              <w:rPr>
                <w:rFonts w:hint="eastAsia" w:ascii="宋体" w:hAnsi="宋体"/>
                <w:color w:val="auto"/>
                <w:sz w:val="21"/>
                <w:szCs w:val="21"/>
                <w:highlight w:val="none"/>
              </w:rPr>
              <w:t xml:space="preserve">无</w:t>
            </w:r>
            <w:r/>
          </w:p>
        </w:tc>
      </w:tr>
    </w:tbl>
    <w:p>
      <w:pPr>
        <w:pStyle w:val="950"/>
        <w:numPr>
          <w:ilvl w:val="0"/>
          <w:numId w:val="0"/>
        </w:numPr>
        <w:jc w:val="center"/>
        <w:spacing w:line="480" w:lineRule="auto"/>
        <w:rPr>
          <w:rFonts w:ascii="宋体" w:hAnsi="宋体" w:eastAsia="宋体" w:cs="宋体"/>
          <w:color w:val="auto"/>
          <w:sz w:val="32"/>
          <w:szCs w:val="32"/>
          <w:highlight w:val="none"/>
        </w:rPr>
      </w:pPr>
      <w:r>
        <w:rPr>
          <w:rFonts w:hint="eastAsia" w:ascii="宋体" w:hAnsi="宋体" w:cs="宋体"/>
          <w:b w:val="0"/>
          <w:bCs/>
          <w:color w:val="auto"/>
          <w:spacing w:val="-14"/>
          <w:sz w:val="30"/>
          <w:highlight w:val="none"/>
        </w:rPr>
        <w:br w:type="page" w:clear="all"/>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960"/>
        <w:tblW w:w="4915" w:type="pct"/>
        <w:tblInd w:w="16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947"/>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零星五金配件配送服务JSZC-320585-SZTZ-G2026-0010</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2026年06月22日09点30分</w:t>
            </w:r>
            <w:r>
              <w:rPr>
                <w:rFonts w:hint="eastAsia" w:ascii="仿宋" w:hAnsi="仿宋" w:eastAsia="仿宋" w:cs="仿宋"/>
                <w:color w:val="auto"/>
                <w:sz w:val="21"/>
                <w:szCs w:val="21"/>
                <w:highlight w:val="none"/>
              </w:rPr>
              <w:t xml:space="preserve">（北京时间）前递交投标文件。</w:t>
            </w:r>
            <w:r/>
          </w:p>
        </w:tc>
      </w:tr>
    </w:tbl>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一、项目基本情况</w:t>
      </w:r>
      <w:r/>
    </w:p>
    <w:p>
      <w:pPr>
        <w:pStyle w:val="980"/>
        <w:ind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JSZC-320585-SZTZ-G2026-0010</w:t>
      </w:r>
      <w:r>
        <w:rPr>
          <w:rFonts w:hint="eastAsia" w:ascii="仿宋" w:hAnsi="仿宋" w:eastAsia="仿宋" w:cs="仿宋"/>
          <w:color w:val="auto"/>
          <w:sz w:val="21"/>
          <w:szCs w:val="21"/>
          <w:highlight w:val="none"/>
        </w:rPr>
        <w:t xml:space="preserve"> </w:t>
      </w:r>
      <w:r/>
    </w:p>
    <w:p>
      <w:pPr>
        <w:pStyle w:val="980"/>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零星五金配件配送服务</w:t>
      </w:r>
      <w:r>
        <w:rPr>
          <w:rFonts w:hint="eastAsia" w:ascii="仿宋" w:hAnsi="仿宋" w:eastAsia="仿宋" w:cs="仿宋"/>
          <w:color w:val="auto"/>
          <w:sz w:val="21"/>
          <w:szCs w:val="21"/>
          <w:highlight w:val="none"/>
        </w:rPr>
        <w:t xml:space="preserve"> </w:t>
      </w:r>
      <w:r/>
    </w:p>
    <w:p>
      <w:pPr>
        <w:pStyle w:val="980"/>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195.000000万元</w:t>
      </w:r>
      <w:r>
        <w:rPr>
          <w:rFonts w:hint="eastAsia" w:ascii="仿宋" w:hAnsi="仿宋" w:eastAsia="仿宋" w:cs="仿宋"/>
          <w:color w:val="auto"/>
          <w:sz w:val="21"/>
          <w:szCs w:val="21"/>
          <w:highlight w:val="none"/>
        </w:rPr>
        <w:t xml:space="preserve">   </w:t>
      </w:r>
      <w:r/>
    </w:p>
    <w:p>
      <w:pPr>
        <w:pStyle w:val="980"/>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val="en-US" w:eastAsia="zh-CN"/>
        </w:rPr>
        <w:t xml:space="preserve">195.000000万元</w:t>
      </w:r>
      <w:r>
        <w:rPr>
          <w:rFonts w:hint="eastAsia" w:ascii="仿宋" w:hAnsi="仿宋" w:eastAsia="仿宋" w:cs="仿宋"/>
          <w:color w:val="auto"/>
          <w:sz w:val="21"/>
          <w:szCs w:val="21"/>
          <w:highlight w:val="none"/>
        </w:rPr>
        <w:t xml:space="preserve">  </w:t>
      </w:r>
      <w:r/>
    </w:p>
    <w:p>
      <w:pPr>
        <w:pStyle w:val="980"/>
        <w:ind w:left="0"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ind w:left="0" w:firstLine="420"/>
        <w:jc w:val="both"/>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szCs w:val="21"/>
          <w:highlight w:val="none"/>
          <w:lang w:val="en-US" w:eastAsia="zh-CN"/>
        </w:rPr>
        <w:t xml:space="preserve">太仓市人民医院</w:t>
      </w:r>
      <w:r>
        <w:rPr>
          <w:rFonts w:hint="eastAsia" w:ascii="仿宋" w:hAnsi="仿宋" w:eastAsia="仿宋" w:cs="仿宋"/>
          <w:bCs/>
          <w:color w:val="auto"/>
          <w:sz w:val="21"/>
          <w:szCs w:val="21"/>
          <w:highlight w:val="none"/>
          <w:lang w:val="en-US" w:eastAsia="zh-CN" w:bidi="ar-SA"/>
        </w:rPr>
        <w:t xml:space="preserve">零星五金配件配送服务。</w:t>
      </w:r>
      <w:r>
        <w:rPr>
          <w:rFonts w:hint="eastAsia" w:ascii="仿宋" w:hAnsi="仿宋" w:eastAsia="仿宋" w:cs="仿宋"/>
          <w:color w:val="auto"/>
          <w:sz w:val="21"/>
          <w:szCs w:val="21"/>
          <w:highlight w:val="none"/>
          <w:lang w:eastAsia="zh-CN"/>
        </w:rPr>
        <w:t xml:space="preserve">具体要求详见第三</w:t>
      </w:r>
      <w:r>
        <w:rPr>
          <w:rFonts w:hint="eastAsia" w:ascii="仿宋" w:hAnsi="仿宋" w:eastAsia="仿宋" w:cs="仿宋"/>
          <w:color w:val="auto"/>
          <w:sz w:val="21"/>
          <w:szCs w:val="21"/>
          <w:highlight w:val="none"/>
          <w:lang w:val="en-US" w:eastAsia="zh-CN"/>
        </w:rPr>
        <w:t xml:space="preserve">章</w:t>
      </w:r>
      <w:r>
        <w:rPr>
          <w:rFonts w:hint="eastAsia" w:ascii="仿宋" w:hAnsi="仿宋" w:eastAsia="仿宋" w:cs="仿宋"/>
          <w:color w:val="auto"/>
          <w:sz w:val="21"/>
          <w:szCs w:val="21"/>
          <w:highlight w:val="none"/>
          <w:lang w:eastAsia="zh-CN"/>
        </w:rPr>
        <w:t xml:space="preserve">项目需求。</w:t>
      </w:r>
      <w:r/>
    </w:p>
    <w:p>
      <w:pPr>
        <w:pStyle w:val="980"/>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bCs/>
          <w:color w:val="auto"/>
          <w:sz w:val="21"/>
          <w:szCs w:val="21"/>
          <w:highlight w:val="none"/>
          <w:lang w:val="en-US" w:eastAsia="zh-CN"/>
        </w:rPr>
        <w:t xml:space="preserve">三年或项目累计结算金额达到预算金额为止，具体以采购人要求为准。</w:t>
      </w:r>
      <w:r/>
    </w:p>
    <w:p>
      <w:pPr>
        <w:pStyle w:val="980"/>
        <w:ind w:left="0"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本项目（是/否）接受联合体投标：不接受联合体</w:t>
      </w:r>
      <w:r/>
    </w:p>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二、申请人的资格要求</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w:t>
      </w:r>
      <w:r/>
    </w:p>
    <w:p>
      <w:pPr>
        <w:pStyle w:val="980"/>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w:t>
      </w:r>
      <w:r/>
    </w:p>
    <w:p>
      <w:pPr>
        <w:pStyle w:val="980"/>
        <w:ind w:firstLine="420"/>
        <w:spacing w:beforeAutospacing="0" w:afterAutospacing="0"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b w:val="0"/>
          <w:bCs w:val="0"/>
          <w:color w:val="auto"/>
          <w:sz w:val="21"/>
          <w:szCs w:val="21"/>
          <w:highlight w:val="none"/>
        </w:rPr>
        <w:t xml:space="preserve">法律、行政法规规定的其他条件</w:t>
      </w:r>
      <w:r/>
    </w:p>
    <w:p>
      <w:pPr>
        <w:pStyle w:val="980"/>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w:t>
      </w:r>
      <w:r/>
    </w:p>
    <w:p>
      <w:pPr>
        <w:ind w:firstLine="422"/>
        <w:keepLines w:val="0"/>
        <w:keepNext w:val="0"/>
        <w:pageBreakBefore w:val="0"/>
        <w:spacing w:line="360" w:lineRule="auto"/>
        <w:rPr>
          <w:rFonts w:hint="eastAsia" w:ascii="仿宋" w:hAnsi="仿宋" w:eastAsia="仿宋" w:cs="仿宋"/>
          <w:b/>
          <w:bCs/>
          <w:color w:val="auto"/>
          <w:sz w:val="21"/>
          <w:szCs w:val="21"/>
          <w:highlight w:val="none"/>
        </w:rPr>
      </w:pPr>
      <w:r>
        <w:rPr>
          <w:rStyle w:val="986"/>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ind w:firstLine="422"/>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shd w:val="clear" w:color="auto" w:fill="ffffff"/>
        </w:rPr>
        <w:t xml:space="preserve">2.本项目属于专门面向中小企业采购的项目，投标人应为中小微企业，必须提供《中小企业声明函》，小微企业不享受价格扣除优惠。提供《残疾人福利性单位声明函》或属于监狱企业的证明文件的视同小微企业。</w:t>
      </w:r>
      <w:r/>
    </w:p>
    <w:p>
      <w:pPr>
        <w:pStyle w:val="980"/>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ind w:firstLine="422"/>
        <w:jc w:val="left"/>
        <w:keepLines w:val="0"/>
        <w:keepNext w:val="0"/>
        <w:pageBreakBefore w:val="0"/>
        <w:spacing w:line="360" w:lineRule="auto"/>
        <w:widowControl w:val="off"/>
        <w:rPr>
          <w:rFonts w:hint="eastAsia" w:ascii="仿宋" w:hAnsi="仿宋" w:eastAsia="仿宋" w:cs="仿宋"/>
          <w:b/>
          <w:bCs/>
          <w:color w:val="auto"/>
          <w:sz w:val="21"/>
          <w:szCs w:val="21"/>
          <w:highlight w:val="none"/>
          <w:shd w:val="clear" w:color="auto" w:fill="ffffff"/>
          <w:lang w:val="en-US" w:eastAsia="zh-CN" w:bidi="ar"/>
        </w:rPr>
      </w:pPr>
      <w:r>
        <w:rPr>
          <w:rFonts w:hint="eastAsia" w:ascii="仿宋" w:hAnsi="仿宋" w:eastAsia="仿宋" w:cs="仿宋"/>
          <w:b/>
          <w:bCs/>
          <w:color w:val="auto"/>
          <w:sz w:val="21"/>
          <w:szCs w:val="21"/>
          <w:highlight w:val="none"/>
          <w:shd w:val="clear" w:color="auto" w:fill="ffffff"/>
          <w:lang w:val="en-US" w:eastAsia="zh-CN" w:bidi="ar"/>
        </w:rPr>
        <w:t xml:space="preserve">1、投标人须至少配备1辆送货车辆（如为自有的提供购置发票及车辆行驶证扫描件；如为租赁的提供租赁合同及车辆行驶证扫描件)；</w:t>
      </w:r>
      <w:r/>
    </w:p>
    <w:p>
      <w:pPr>
        <w:ind w:firstLine="422"/>
        <w:jc w:val="left"/>
        <w:keepLines w:val="0"/>
        <w:keepNext w:val="0"/>
        <w:pageBreakBefore w:val="0"/>
        <w:spacing w:line="360" w:lineRule="auto"/>
        <w:widowControl w:val="off"/>
        <w:rPr>
          <w:rStyle w:val="986"/>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shd w:val="clear" w:color="auto" w:fill="ffffff"/>
          <w:lang w:val="en-US" w:eastAsia="zh-CN" w:bidi="ar"/>
        </w:rPr>
        <w:t xml:space="preserve">2、本项目要求拟投入项目负责人1人，配送司机不少于1人，司机需持有机动车驾驶证（准驾车型需与拟投入的车型匹配）。投标文件中须提供相应证明材料和在投标人单位近三个月社保缴纳证明。</w:t>
      </w:r>
      <w:r/>
    </w:p>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时间：自招标文件公告发布之日起5个工作日</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951"/>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四、提交投标文件截止时间、开标时间和地点</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2026年06月22日09点30分</w:t>
      </w:r>
      <w:r>
        <w:rPr>
          <w:rFonts w:hint="eastAsia" w:ascii="仿宋" w:hAnsi="仿宋" w:eastAsia="仿宋" w:cs="仿宋"/>
          <w:color w:val="auto"/>
          <w:sz w:val="21"/>
          <w:szCs w:val="21"/>
          <w:highlight w:val="none"/>
        </w:rPr>
        <w:t xml:space="preserve"> （北京时间）</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五、公告期限</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986"/>
          <w:rFonts w:hint="eastAsia" w:ascii="仿宋" w:hAnsi="仿宋" w:eastAsia="仿宋" w:cs="仿宋"/>
          <w:color w:val="auto"/>
          <w:sz w:val="21"/>
          <w:szCs w:val="21"/>
          <w:highlight w:val="none"/>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986"/>
          <w:rFonts w:hint="eastAsia" w:ascii="仿宋" w:hAnsi="仿宋" w:eastAsia="仿宋" w:cs="仿宋"/>
          <w:color w:val="auto"/>
          <w:sz w:val="21"/>
          <w:szCs w:val="21"/>
          <w:highlight w:val="none"/>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3）投标截止时间后根据系统提示解密电子投标文件。</w:t>
      </w:r>
      <w:r>
        <w:rPr>
          <w:rStyle w:val="986"/>
          <w:rFonts w:hint="eastAsia" w:ascii="仿宋" w:hAnsi="仿宋" w:eastAsia="仿宋" w:cs="仿宋"/>
          <w:color w:val="auto"/>
          <w:sz w:val="21"/>
          <w:szCs w:val="21"/>
          <w:highlight w:val="none"/>
        </w:rPr>
        <w:t xml:space="preserve">解密时间为15分钟，</w:t>
      </w:r>
      <w:r>
        <w:rPr>
          <w:rFonts w:hint="eastAsia" w:ascii="仿宋" w:hAnsi="仿宋" w:eastAsia="仿宋" w:cs="仿宋"/>
          <w:color w:val="auto"/>
          <w:sz w:val="21"/>
          <w:szCs w:val="21"/>
          <w:highlight w:val="none"/>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Style w:val="986"/>
          <w:rFonts w:hint="eastAsia" w:ascii="仿宋" w:hAnsi="仿宋" w:eastAsia="仿宋" w:cs="仿宋"/>
          <w:color w:val="auto"/>
          <w:sz w:val="21"/>
          <w:szCs w:val="21"/>
          <w:highlight w:val="none"/>
        </w:rPr>
        <w:t xml:space="preserve">有关苏采云系统驱动安装，</w:t>
      </w:r>
      <w:r>
        <w:rPr>
          <w:rFonts w:hint="eastAsia" w:ascii="仿宋" w:hAnsi="仿宋" w:eastAsia="仿宋" w:cs="仿宋"/>
          <w:color w:val="auto"/>
          <w:sz w:val="21"/>
          <w:szCs w:val="21"/>
          <w:highlight w:val="none"/>
        </w:rPr>
        <w:t xml:space="preserve">登录苏州政府采购网，点击页面底部苏采云图标，进入苏采云政府采购一体化平台，点击“驱动下载”，下载</w:t>
      </w:r>
      <w:r>
        <w:rPr>
          <w:rStyle w:val="986"/>
          <w:rFonts w:hint="eastAsia" w:ascii="仿宋" w:hAnsi="仿宋" w:eastAsia="仿宋" w:cs="仿宋"/>
          <w:color w:val="auto"/>
          <w:sz w:val="21"/>
          <w:szCs w:val="21"/>
          <w:highlight w:val="none"/>
        </w:rPr>
        <w:t xml:space="preserve">“政务CA、方正签章控件驱动安装包及安装说明”</w:t>
      </w:r>
      <w:r>
        <w:rPr>
          <w:rFonts w:hint="eastAsia" w:ascii="仿宋" w:hAnsi="仿宋" w:eastAsia="仿宋" w:cs="仿宋"/>
          <w:color w:val="auto"/>
          <w:sz w:val="21"/>
          <w:szCs w:val="21"/>
          <w:highlight w:val="none"/>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Style w:val="986"/>
          <w:rFonts w:hint="eastAsia" w:ascii="仿宋" w:hAnsi="仿宋" w:eastAsia="仿宋" w:cs="仿宋"/>
          <w:color w:val="auto"/>
          <w:sz w:val="21"/>
          <w:szCs w:val="21"/>
          <w:highlight w:val="none"/>
        </w:rPr>
        <w:t xml:space="preserve">有关供应商注册、报名、下载电子招标文件、制作上传电子投标文件</w:t>
      </w:r>
      <w:r>
        <w:rPr>
          <w:rFonts w:hint="eastAsia" w:ascii="仿宋" w:hAnsi="仿宋" w:eastAsia="仿宋" w:cs="仿宋"/>
          <w:color w:val="auto"/>
          <w:sz w:val="21"/>
          <w:szCs w:val="21"/>
          <w:highlight w:val="none"/>
        </w:rPr>
        <w:t xml:space="preserve">、不见面开标及其他注意事项登录苏州政府采购网，在“下载中心”栏目下载“</w:t>
      </w:r>
      <w:r>
        <w:rPr>
          <w:rStyle w:val="986"/>
          <w:rFonts w:hint="eastAsia" w:ascii="仿宋" w:hAnsi="仿宋" w:eastAsia="仿宋" w:cs="仿宋"/>
          <w:color w:val="auto"/>
          <w:sz w:val="21"/>
          <w:szCs w:val="21"/>
          <w:highlight w:val="none"/>
        </w:rPr>
        <w:t xml:space="preserve">苏采云系统供应商操作手册”</w:t>
      </w:r>
      <w:r>
        <w:rPr>
          <w:rFonts w:hint="eastAsia" w:ascii="仿宋" w:hAnsi="仿宋" w:eastAsia="仿宋" w:cs="仿宋"/>
          <w:color w:val="auto"/>
          <w:sz w:val="21"/>
          <w:szCs w:val="21"/>
          <w:highlight w:val="none"/>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Style w:val="986"/>
          <w:rFonts w:hint="eastAsia" w:ascii="仿宋" w:hAnsi="仿宋" w:eastAsia="仿宋" w:cs="仿宋"/>
          <w:color w:val="auto"/>
          <w:sz w:val="21"/>
          <w:szCs w:val="21"/>
          <w:highlight w:val="none"/>
        </w:rPr>
        <w:t xml:space="preserve">有关办理CA数字申领及电子签章事项</w:t>
      </w:r>
      <w:r>
        <w:rPr>
          <w:rFonts w:hint="eastAsia" w:ascii="仿宋" w:hAnsi="仿宋" w:eastAsia="仿宋" w:cs="仿宋"/>
          <w:color w:val="auto"/>
          <w:sz w:val="21"/>
          <w:szCs w:val="21"/>
          <w:highlight w:val="none"/>
        </w:rPr>
        <w:t xml:space="preserve">，登录苏州政府采购网，点击页面底部苏采云图标，进入苏采云政府采购一体化平台，下载</w:t>
      </w:r>
      <w:r>
        <w:rPr>
          <w:rStyle w:val="986"/>
          <w:rFonts w:hint="eastAsia" w:ascii="仿宋" w:hAnsi="仿宋" w:eastAsia="仿宋" w:cs="仿宋"/>
          <w:color w:val="auto"/>
          <w:sz w:val="21"/>
          <w:szCs w:val="21"/>
          <w:highlight w:val="none"/>
        </w:rPr>
        <w:t xml:space="preserve">“新CA办理指南”</w:t>
      </w:r>
      <w:r>
        <w:rPr>
          <w:rFonts w:hint="eastAsia" w:ascii="仿宋" w:hAnsi="仿宋" w:eastAsia="仿宋" w:cs="仿宋"/>
          <w:color w:val="auto"/>
          <w:sz w:val="21"/>
          <w:szCs w:val="21"/>
          <w:highlight w:val="none"/>
        </w:rPr>
        <w:t xml:space="preserve">文件查阅。</w:t>
      </w:r>
      <w:r/>
    </w:p>
    <w:p>
      <w:pPr>
        <w:ind w:firstLine="422"/>
        <w:keepLines w:val="0"/>
        <w:keepNext w:val="0"/>
        <w:pageBreakBefore w:val="0"/>
        <w:spacing w:line="360" w:lineRule="auto"/>
        <w:rPr>
          <w:rFonts w:hint="eastAsia" w:ascii="仿宋" w:hAnsi="仿宋" w:eastAsia="仿宋" w:cs="仿宋"/>
          <w:color w:val="auto"/>
          <w:sz w:val="21"/>
          <w:szCs w:val="21"/>
          <w:highlight w:val="none"/>
        </w:rPr>
      </w:pPr>
      <w:r>
        <w:rPr>
          <w:rStyle w:val="986"/>
          <w:rFonts w:hint="eastAsia" w:ascii="仿宋" w:hAnsi="仿宋" w:eastAsia="仿宋" w:cs="仿宋"/>
          <w:color w:val="auto"/>
          <w:sz w:val="21"/>
          <w:szCs w:val="21"/>
          <w:highlight w:val="none"/>
        </w:rPr>
        <w:t xml:space="preserve">7、本次招标投标保证金</w:t>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本项目无须缴纳投标保证金</w:t>
      </w:r>
      <w:r>
        <w:rPr>
          <w:rStyle w:val="986"/>
          <w:rFonts w:hint="eastAsia" w:ascii="仿宋" w:hAnsi="仿宋" w:eastAsia="仿宋" w:cs="仿宋"/>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szCs w:val="21"/>
          <w:highlight w:val="none"/>
        </w:rPr>
        <w:t xml:space="preserve">8、</w:t>
      </w:r>
      <w:r>
        <w:rPr>
          <w:rStyle w:val="986"/>
          <w:rFonts w:hint="eastAsia" w:ascii="仿宋" w:hAnsi="仿宋" w:eastAsia="仿宋" w:cs="仿宋"/>
          <w:color w:val="auto"/>
          <w:sz w:val="21"/>
          <w:szCs w:val="21"/>
          <w:highlight w:val="none"/>
          <w:lang w:eastAsia="zh-CN"/>
        </w:rPr>
        <w:t xml:space="preserve">代理服务费</w:t>
      </w:r>
      <w:r>
        <w:rPr>
          <w:rStyle w:val="986"/>
          <w:rFonts w:hint="eastAsia" w:ascii="仿宋" w:hAnsi="仿宋" w:eastAsia="仿宋" w:cs="仿宋"/>
          <w:color w:val="auto"/>
          <w:sz w:val="21"/>
          <w:szCs w:val="21"/>
          <w:highlight w:val="none"/>
        </w:rPr>
        <w:t xml:space="preserve">：</w:t>
      </w:r>
      <w:r>
        <w:rPr>
          <w:rFonts w:hint="eastAsia" w:ascii="仿宋" w:hAnsi="仿宋" w:eastAsia="仿宋" w:cs="仿宋"/>
          <w:color w:val="auto"/>
          <w:sz w:val="21"/>
          <w:highlight w:val="none"/>
        </w:rPr>
        <w:t xml:space="preserve">由采购人支付。</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keepLines w:val="0"/>
        <w:keepNext w:val="0"/>
        <w:pageBreakBefore w:val="0"/>
        <w:spacing w:line="360" w:lineRule="auto"/>
        <w:rPr>
          <w:rFonts w:hint="eastAsia" w:ascii="宋体" w:hAnsi="宋体" w:eastAsia="宋体" w:cs="宋体"/>
          <w:color w:val="auto"/>
          <w:sz w:val="21"/>
          <w:highlight w:val="none"/>
          <w:lang w:val="en-US" w:eastAsia="zh-CN"/>
        </w:rPr>
      </w:pPr>
      <w:r>
        <w:rPr>
          <w:rFonts w:hint="eastAsia" w:ascii="仿宋" w:hAnsi="仿宋" w:eastAsia="仿宋" w:cs="仿宋"/>
          <w:color w:val="auto"/>
          <w:sz w:val="21"/>
          <w:highlight w:val="none"/>
        </w:rPr>
        <w:t xml:space="preserve">说明：代理服务费以</w:t>
      </w: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预算金额为基数依据，参照以上规定的标准和差额定率累进法进行计算收取。例：如</w:t>
      </w: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预算金额为150万元，则代理服务费＝100万元以下部分×1.5%＋（150万元－100万元以下部分）×1.1%。如按上述方法计算的金额低于人民币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元整的，则按人民币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元整计收。本项目代理服务费</w:t>
      </w:r>
      <w:r>
        <w:rPr>
          <w:rFonts w:hint="eastAsia" w:ascii="仿宋" w:hAnsi="仿宋" w:eastAsia="仿宋" w:cs="仿宋"/>
          <w:color w:val="auto"/>
          <w:sz w:val="21"/>
          <w:highlight w:val="none"/>
          <w:lang w:val="en-US" w:eastAsia="zh-CN"/>
        </w:rPr>
        <w:t xml:space="preserve">为：贰万伍仟肆佰伍拾元整。 </w:t>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账</w:t>
      </w:r>
      <w:r>
        <w:rPr>
          <w:rFonts w:hint="eastAsia" w:ascii="仿宋" w:hAnsi="仿宋" w:eastAsia="仿宋" w:cs="仿宋"/>
          <w:color w:val="auto"/>
          <w:sz w:val="21"/>
          <w:szCs w:val="21"/>
          <w:highlight w:val="none"/>
        </w:rPr>
        <w:t xml:space="preserve">户：苏州泰至鑫项目管理有限公司</w:t>
      </w:r>
      <w:r/>
    </w:p>
    <w:p>
      <w:pPr>
        <w:ind w:firstLine="420"/>
        <w:jc w:val="both"/>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开户行：中国建设银行股份有限公司太仓陆渡支行</w:t>
      </w:r>
      <w:r/>
    </w:p>
    <w:p>
      <w:pPr>
        <w:ind w:firstLine="420"/>
        <w:jc w:val="both"/>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账户：3225 0199 7348 0000 0598</w:t>
      </w:r>
      <w:r/>
    </w:p>
    <w:p>
      <w:pPr>
        <w:ind w:firstLine="420"/>
        <w:jc w:val="both"/>
        <w:spacing w:line="360" w:lineRule="auto"/>
        <w:shd w:val="clear" w:color="auto" w:fill="ffffff"/>
        <w:rPr>
          <w:color w:val="auto"/>
          <w:sz w:val="21"/>
          <w:szCs w:val="21"/>
          <w:highlight w:val="none"/>
        </w:rPr>
      </w:pPr>
      <w:r>
        <w:rPr>
          <w:rStyle w:val="986"/>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rPr>
        <w:t xml:space="preserve">政府采购履约资金扶持政策  </w:t>
      </w:r>
      <w:r/>
    </w:p>
    <w:p>
      <w:pPr>
        <w:numPr>
          <w:ilvl w:val="1"/>
          <w:numId w:val="0"/>
        </w:numPr>
        <w:ind w:firstLine="420"/>
        <w:keepLines w:val="0"/>
        <w:keepNext w:val="0"/>
        <w:pageBreakBefore w:val="0"/>
        <w:spacing w:line="360" w:lineRule="auto"/>
        <w:rPr>
          <w:rStyle w:val="986"/>
          <w:rFonts w:hint="eastAsia" w:ascii="仿宋" w:hAnsi="仿宋" w:eastAsia="仿宋" w:cs="仿宋"/>
          <w:b w:val="0"/>
          <w:bCs w:val="0"/>
          <w:color w:val="auto"/>
          <w:sz w:val="21"/>
          <w:szCs w:val="21"/>
          <w:highlight w:val="none"/>
        </w:rPr>
        <w:outlineLvl w:val="1"/>
      </w:pPr>
      <w:r>
        <w:rPr>
          <w:rFonts w:hint="eastAsia" w:ascii="仿宋" w:hAnsi="仿宋" w:eastAsia="仿宋" w:cs="仿宋"/>
          <w:color w:val="auto"/>
          <w:sz w:val="21"/>
          <w:szCs w:val="21"/>
          <w:highlight w:val="none"/>
          <w:shd w:val="clear" w:color="auto" w:fill="ffffff"/>
        </w:rPr>
        <w:t xml:space="preserve">中标供应商可凭政府采购合同办理融资贷款，详情请见江苏政府采购网“政采贷”专栏。</w:t>
      </w:r>
      <w:r/>
    </w:p>
    <w:p>
      <w:pPr>
        <w:pStyle w:val="951"/>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6"/>
          <w:rFonts w:hint="eastAsia" w:ascii="仿宋" w:hAnsi="仿宋" w:eastAsia="仿宋" w:cs="仿宋"/>
          <w:b/>
          <w:bCs/>
          <w:color w:val="auto"/>
          <w:sz w:val="21"/>
          <w:szCs w:val="21"/>
          <w:highlight w:val="none"/>
        </w:rPr>
        <w:t xml:space="preserve">七、对本次招标提出询问，请按以下方式联系</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980"/>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太仓市第一人民医院</w:t>
      </w:r>
      <w:r/>
    </w:p>
    <w:p>
      <w:pPr>
        <w:pStyle w:val="980"/>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江苏省苏州市太仓市常胜南路 58 号</w:t>
      </w:r>
      <w:r/>
    </w:p>
    <w:p>
      <w:pPr>
        <w:pStyle w:val="980"/>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汪玉杰</w:t>
      </w:r>
      <w:r>
        <w:rPr>
          <w:rFonts w:hint="eastAsia" w:ascii="仿宋" w:hAnsi="仿宋" w:eastAsia="仿宋" w:cs="仿宋"/>
          <w:color w:val="auto"/>
          <w:sz w:val="21"/>
          <w:szCs w:val="21"/>
          <w:highlight w:val="none"/>
        </w:rPr>
        <w:t xml:space="preserve"> </w:t>
      </w:r>
      <w:r/>
    </w:p>
    <w:p>
      <w:pPr>
        <w:pStyle w:val="980"/>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 </w:t>
      </w:r>
      <w:r>
        <w:rPr>
          <w:rFonts w:hint="eastAsia" w:ascii="仿宋" w:hAnsi="仿宋" w:eastAsia="仿宋" w:cs="仿宋"/>
          <w:color w:val="auto"/>
          <w:sz w:val="21"/>
          <w:szCs w:val="21"/>
          <w:highlight w:val="none"/>
          <w:lang w:val="en-US" w:eastAsia="zh-CN"/>
        </w:rPr>
        <w:t xml:space="preserve">17715386022</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单位地址：太仓市娄东街道上海东路333号1002室</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980"/>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顾孙英 联系电话：13145086180</w:t>
      </w:r>
      <w:r/>
    </w:p>
    <w:p>
      <w:pPr>
        <w:ind w:firstLine="422"/>
        <w:jc w:val="both"/>
        <w:spacing w:line="360" w:lineRule="auto"/>
        <w:rPr>
          <w:rStyle w:val="992"/>
          <w:rFonts w:ascii="宋体" w:hAnsi="宋体" w:eastAsia="宋体" w:cs="宋体"/>
          <w:color w:val="auto"/>
          <w:sz w:val="32"/>
          <w:szCs w:val="32"/>
          <w:highlight w:val="none"/>
        </w:rPr>
        <w:sectPr>
          <w:headerReference w:type="default" r:id="rId11"/>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Style w:val="986"/>
          <w:rFonts w:hint="eastAsia" w:ascii="仿宋" w:hAnsi="仿宋" w:eastAsia="仿宋" w:cs="仿宋"/>
          <w:color w:val="auto"/>
          <w:sz w:val="21"/>
          <w:szCs w:val="21"/>
          <w:highlight w:val="none"/>
        </w:rPr>
        <w:t xml:space="preserve">有关电子投标制作技术疑问，请咨询苏采云软件公司客服：18261002950、0512-69820854、0519-86722802，政府采购监督电话：0512-53512539</w:t>
      </w:r>
      <w:bookmarkStart w:id="2" w:name="_Toc15584"/>
      <w:r/>
      <w:r/>
    </w:p>
    <w:p>
      <w:pPr>
        <w:jc w:val="center"/>
        <w:widowControl w:val="off"/>
        <w:rPr>
          <w:rStyle w:val="992"/>
          <w:rFonts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t xml:space="preserve">第二章 投标人须知</w:t>
      </w:r>
      <w:bookmarkEnd w:id="2"/>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本次招标不接受联合投标。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 开标一览表（系统内直接填写）；</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13.2 资格性、符合性、技术、商务部分：</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具有独立承担民事责任的能力：提供投标单位营业执照及法定代表人身份证扫描件或自然人的身份证明、授权委托书（如有授权）、被授权人身份证（如有授权）、关于资格文件的声明函、投标人基本情况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13.2.1.2具有良好的商业信誉和健全的财务会计制度：提供参加本次政府采购活动前的财务状况报告或者银行出具的资信证明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13.2.1.3具有履行合同所必需的设备和专业技术能力：提供履行合同所必需的设备和专业技术能力的证明材料或书面声明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13.2.1.4具有依法缴纳税收和社会保障资金的良好记录：提供参加本次政府采购活动前半年任意一个月份依法缴纳税收和社会保障资金的证明材料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13.2.1.5参加政府采购活动前三年内，在经营活动中没有重大违法记录：提供参加本次政府采购活动前3年内在经营活动中没有重大违法记录的书面声明（详见投标文件格式）；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13.2.1.6</w:t>
      </w:r>
      <w:r>
        <w:rPr>
          <w:rFonts w:hint="eastAsia" w:ascii="宋体" w:hAnsi="宋体" w:eastAsia="宋体" w:cs="宋体"/>
          <w:b w:val="0"/>
          <w:bCs w:val="0"/>
          <w:color w:val="auto"/>
          <w:sz w:val="21"/>
          <w:szCs w:val="21"/>
          <w:highlight w:val="none"/>
        </w:rPr>
        <w:t xml:space="preserve">法律、行政法规规定的其他条件</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特定资格条件，投标人证明其符合招标文件规定的投标人特定资格条件的证书、证明和文件材料；（如有）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13.2.2.1服务条款偏离表（详见投标文件格式）；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价格折扣文件（本项目为专门面向中小微企业采购的项目，小微企业参与本项目的不享受价格扣除优惠政策）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lang w:val="zh-CN"/>
        </w:rPr>
        <w:t xml:space="preserve">投标报应包括完成该项工作所需的货物、人工（包括工资、奖金、社保、正常节假日的加班费、配送人员餐费及完成标书合同规定服务内容发生的延时加班等费用）、专用设备、运费，损耗费、装卸费、检测费、服装、通讯、保险、各种税费、利润、政策性文件规定及合同包含的所有风险、责任等的费用。投标报价为最终报价，除非因特殊原因并经买卖双方协商同意，投标人不得再要求追加任何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lang w:val="zh-CN"/>
        </w:rPr>
        <w:t xml:space="preserve">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98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zh-CN"/>
        </w:rPr>
        <w:t xml:space="preserve">24.7</w:t>
      </w:r>
      <w:r>
        <w:rPr>
          <w:rFonts w:hint="eastAsia" w:ascii="宋体" w:hAnsi="宋体" w:eastAsia="宋体" w:cs="宋体"/>
          <w:i w:val="0"/>
          <w:iCs w:val="0"/>
          <w:caps w:val="0"/>
          <w:color w:val="auto"/>
          <w:spacing w:val="0"/>
          <w:sz w:val="21"/>
          <w:szCs w:val="21"/>
          <w:highlight w:val="none"/>
          <w:shd w:val="clear" w:color="auto" w:fill="ffffff"/>
        </w:rPr>
        <w:t xml:space="preserve">异常低价</w:t>
      </w:r>
      <w:r/>
    </w:p>
    <w:p>
      <w:pPr>
        <w:pStyle w:val="98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rPr>
        <w:t xml:space="preserve">24.7.1</w:t>
      </w:r>
      <w:r>
        <w:rPr>
          <w:rFonts w:hint="eastAsia" w:ascii="宋体" w:hAnsi="宋体" w:eastAsia="宋体" w:cs="宋体"/>
          <w:b w:val="0"/>
          <w:bCs/>
          <w:i w:val="0"/>
          <w:iCs w:val="0"/>
          <w:caps w:val="0"/>
          <w:color w:val="auto"/>
          <w:spacing w:val="0"/>
          <w:sz w:val="21"/>
          <w:szCs w:val="21"/>
          <w:highlight w:val="none"/>
          <w:shd w:val="clear" w:color="auto" w:fill="ffffff"/>
        </w:rPr>
        <w:t xml:space="preserve">政府</w:t>
      </w:r>
      <w:r>
        <w:rPr>
          <w:rFonts w:hint="eastAsia" w:ascii="宋体" w:hAnsi="宋体" w:eastAsia="宋体" w:cs="宋体"/>
          <w:i w:val="0"/>
          <w:iCs w:val="0"/>
          <w:caps w:val="0"/>
          <w:color w:val="auto"/>
          <w:spacing w:val="0"/>
          <w:sz w:val="21"/>
          <w:szCs w:val="21"/>
          <w:highlight w:val="none"/>
          <w:shd w:val="clear" w:color="auto" w:fill="ffffff"/>
        </w:rPr>
        <w:t xml:space="preserve">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33、代理服务费</w:t>
      </w:r>
      <w:r/>
    </w:p>
    <w:p>
      <w:pPr>
        <w:ind w:firstLine="420"/>
        <w:jc w:val="both"/>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由采购人支付</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21"/>
          <w:szCs w:val="21"/>
          <w:highlight w:val="none"/>
          <w:lang w:val="zh-CN"/>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pStyle w:val="991"/>
        <w:ind w:firstLine="0"/>
        <w:jc w:val="center"/>
        <w:rPr>
          <w:color w:val="auto"/>
          <w:highlight w:val="none"/>
        </w:rPr>
      </w:pPr>
      <w:r/>
      <w:bookmarkStart w:id="4" w:name="_Toc28477"/>
      <w:r>
        <w:rPr>
          <w:rStyle w:val="992"/>
          <w:rFonts w:hint="eastAsia" w:ascii="宋体" w:hAnsi="宋体" w:eastAsia="宋体" w:cs="宋体"/>
          <w:color w:val="auto"/>
          <w:sz w:val="32"/>
          <w:szCs w:val="32"/>
          <w:highlight w:val="none"/>
        </w:rPr>
        <w:t xml:space="preserve">第三章 </w:t>
      </w:r>
      <w:bookmarkEnd w:id="4"/>
      <w:r>
        <w:rPr>
          <w:rStyle w:val="992"/>
          <w:rFonts w:hint="eastAsia" w:ascii="宋体" w:hAnsi="宋体" w:eastAsia="宋体" w:cs="宋体"/>
          <w:color w:val="auto"/>
          <w:sz w:val="32"/>
          <w:szCs w:val="32"/>
          <w:highlight w:val="none"/>
        </w:rPr>
        <w:t xml:space="preserve">项目需求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太仓市第一人民医院</w:t>
      </w:r>
      <w:r>
        <w:rPr>
          <w:rFonts w:hint="eastAsia" w:ascii="宋体" w:hAnsi="宋体" w:cs="宋体"/>
          <w:color w:val="auto"/>
          <w:sz w:val="21"/>
          <w:szCs w:val="21"/>
          <w:highlight w:val="none"/>
        </w:rPr>
        <w:t xml:space="preserve">之委托，苏州泰至鑫项目管理有限公司作为招标代理机构，对其拟采购的“</w:t>
      </w:r>
      <w:r>
        <w:rPr>
          <w:rFonts w:hint="eastAsia" w:ascii="宋体" w:hAnsi="宋体" w:cs="宋体"/>
          <w:color w:val="auto"/>
          <w:sz w:val="21"/>
          <w:szCs w:val="21"/>
          <w:highlight w:val="none"/>
          <w:lang w:eastAsia="zh-CN"/>
        </w:rPr>
        <w:t xml:space="preserve">零星五金配件配送服务</w:t>
      </w:r>
      <w:r>
        <w:rPr>
          <w:rFonts w:hint="eastAsia" w:ascii="宋体" w:hAnsi="宋体" w:cs="宋体"/>
          <w:color w:val="auto"/>
          <w:sz w:val="21"/>
          <w:szCs w:val="21"/>
          <w:highlight w:val="none"/>
        </w:rPr>
        <w:t xml:space="preserve">”进行国内公开招标。欢迎符合资格条件的供应商前来报名参加投标。</w:t>
      </w:r>
      <w:r/>
    </w:p>
    <w:p>
      <w:pPr>
        <w:pStyle w:val="961"/>
        <w:ind w:firstLine="420"/>
        <w:keepLines w:val="0"/>
        <w:keepNext w:val="0"/>
        <w:pageBreakBefore w:val="0"/>
        <w:spacing w:line="360" w:lineRule="auto"/>
        <w:widowControl/>
        <w:rPr>
          <w:color w:val="auto"/>
          <w:highlight w:val="none"/>
        </w:rPr>
      </w:pPr>
      <w:r>
        <w:rPr>
          <w:rFonts w:hint="eastAsia" w:ascii="宋体" w:hAnsi="宋体" w:cs="宋体"/>
          <w:color w:val="auto"/>
          <w:sz w:val="21"/>
          <w:szCs w:val="21"/>
          <w:highlight w:val="none"/>
        </w:rPr>
        <w:t xml:space="preserve">一、项目概况</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zh-CN"/>
        </w:rPr>
        <w:t xml:space="preserve">招标编号：</w:t>
      </w:r>
      <w:r>
        <w:rPr>
          <w:rFonts w:hint="eastAsia" w:ascii="宋体" w:hAnsi="宋体" w:cs="宋体"/>
          <w:bCs/>
          <w:color w:val="auto"/>
          <w:sz w:val="21"/>
          <w:szCs w:val="21"/>
          <w:highlight w:val="none"/>
          <w:lang w:val="zh-CN"/>
        </w:rPr>
        <w:t xml:space="preserve">JSZC-320585-SZTZ-G2026-0010</w:t>
      </w:r>
      <w:r/>
    </w:p>
    <w:p>
      <w:pPr>
        <w:ind w:firstLine="420"/>
        <w:keepLines w:val="0"/>
        <w:keepNext w:val="0"/>
        <w:pageBreakBefore w:val="0"/>
        <w:spacing w:line="360" w:lineRule="auto"/>
        <w:widowControl/>
        <w:tabs>
          <w:tab w:val="left" w:pos="3600"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zh-CN"/>
        </w:rPr>
        <w:t xml:space="preserve">项目名称：</w:t>
      </w:r>
      <w:r>
        <w:rPr>
          <w:rFonts w:hint="eastAsia" w:ascii="宋体" w:hAnsi="宋体" w:cs="宋体"/>
          <w:bCs/>
          <w:color w:val="auto"/>
          <w:sz w:val="21"/>
          <w:szCs w:val="21"/>
          <w:highlight w:val="none"/>
          <w:lang w:eastAsia="zh-CN"/>
        </w:rPr>
        <w:t xml:space="preserve">零星五金配件配送服务</w:t>
      </w:r>
      <w:r/>
    </w:p>
    <w:p>
      <w:pPr>
        <w:pStyle w:val="980"/>
        <w:ind w:firstLine="420"/>
        <w:keepLines w:val="0"/>
        <w:keepNext w:val="0"/>
        <w:pageBreakBefore w:val="0"/>
        <w:spacing w:beforeAutospacing="0" w:afterAutospacing="0" w:line="360" w:lineRule="auto"/>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cs="宋体"/>
          <w:color w:val="auto"/>
          <w:sz w:val="21"/>
          <w:szCs w:val="21"/>
          <w:highlight w:val="none"/>
          <w:lang w:val="en-US" w:eastAsia="zh-CN"/>
        </w:rPr>
        <w:t xml:space="preserve">195.000000万元</w:t>
      </w:r>
      <w:r/>
    </w:p>
    <w:p>
      <w:pPr>
        <w:pStyle w:val="980"/>
        <w:ind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最高限价（如有）：</w:t>
      </w:r>
      <w:r>
        <w:rPr>
          <w:rFonts w:hint="eastAsia" w:cs="宋体"/>
          <w:color w:val="auto"/>
          <w:sz w:val="21"/>
          <w:szCs w:val="21"/>
          <w:highlight w:val="none"/>
          <w:lang w:val="en-US" w:eastAsia="zh-CN"/>
        </w:rPr>
        <w:t xml:space="preserve">195.000000万元</w:t>
      </w:r>
      <w:r/>
    </w:p>
    <w:p>
      <w:pPr>
        <w:pStyle w:val="980"/>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合同履行期限：</w:t>
      </w:r>
      <w:r>
        <w:rPr>
          <w:rFonts w:hint="eastAsia" w:cs="宋体"/>
          <w:bCs/>
          <w:color w:val="auto"/>
          <w:sz w:val="21"/>
          <w:szCs w:val="21"/>
          <w:highlight w:val="none"/>
          <w:lang w:val="en-US" w:eastAsia="zh-CN"/>
        </w:rPr>
        <w:t xml:space="preserve">三年或项目累计结算金额达到预算金额为止</w:t>
      </w:r>
      <w:r>
        <w:rPr>
          <w:rFonts w:hint="eastAsia" w:ascii="宋体" w:hAnsi="宋体" w:eastAsia="宋体" w:cs="宋体"/>
          <w:bCs/>
          <w:color w:val="auto"/>
          <w:sz w:val="21"/>
          <w:szCs w:val="21"/>
          <w:highlight w:val="none"/>
          <w:lang w:val="en-US" w:eastAsia="zh-CN"/>
        </w:rPr>
        <w:t xml:space="preserve">，具体以采购人要求为准。</w:t>
      </w:r>
      <w:r/>
    </w:p>
    <w:p>
      <w:pPr>
        <w:pStyle w:val="980"/>
        <w:ind w:firstLine="420"/>
        <w:keepLines w:val="0"/>
        <w:keepNext w:val="0"/>
        <w:pageBreakBefore w:val="0"/>
        <w:spacing w:beforeAutospacing="0" w:afterAutospacing="0" w:line="360" w:lineRule="auto"/>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6、服务地点：采购方指定</w:t>
      </w:r>
      <w:r/>
    </w:p>
    <w:p>
      <w:pPr>
        <w:contextualSpacing/>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二、采购内容</w:t>
      </w:r>
      <w:r>
        <w:rPr>
          <w:rFonts w:hint="eastAsia" w:ascii="宋体" w:hAnsi="宋体" w:cs="宋体"/>
          <w:b/>
          <w:bCs/>
          <w:color w:val="auto"/>
          <w:sz w:val="21"/>
          <w:szCs w:val="21"/>
          <w:highlight w:val="none"/>
          <w:lang w:val="en-US" w:eastAsia="zh-CN"/>
        </w:rPr>
        <w:t xml:space="preserve">及要求</w:t>
      </w:r>
      <w:r>
        <w:rPr>
          <w:rFonts w:hint="eastAsia" w:ascii="宋体" w:hAnsi="宋体" w:eastAsia="宋体" w:cs="宋体"/>
          <w:color w:val="auto"/>
          <w:sz w:val="21"/>
          <w:szCs w:val="21"/>
          <w:highlight w:val="none"/>
          <w:lang w:val="en-US" w:eastAsia="zh-CN"/>
        </w:rPr>
        <w:t xml:space="preserve">：</w:t>
      </w:r>
      <w:r/>
    </w:p>
    <w:p>
      <w:pPr>
        <w:ind w:firstLine="422"/>
        <w:jc w:val="both"/>
        <w:keepLines w:val="0"/>
        <w:keepNext w:val="0"/>
        <w:pageBreakBefore w:val="0"/>
        <w:spacing w:line="360" w:lineRule="auto"/>
        <w:widowControl w:val="off"/>
        <w:rPr>
          <w:rFonts w:hint="default"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（一）采购清单</w:t>
      </w:r>
      <w:r/>
    </w:p>
    <w:p>
      <w:pPr>
        <w:ind w:firstLine="422"/>
        <w:jc w:val="both"/>
        <w:keepLines w:val="0"/>
        <w:keepNext w:val="0"/>
        <w:pageBreakBefore w:val="0"/>
        <w:spacing w:line="360" w:lineRule="auto"/>
        <w:widowControl w:val="off"/>
        <w:rPr>
          <w:rFonts w:hint="eastAsia"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1、本次配送服务主要包括但不限于：五金紧固件、焊接耗材、电气电料、水暖配件、工具量具、劳保防护、安全消防、油漆涂料、吊装索具、清洁用品、施工辅材等，要求响应单位具有一定的库存、能够及时配送。</w:t>
      </w:r>
      <w:r/>
    </w:p>
    <w:p>
      <w:pPr>
        <w:ind w:firstLine="422"/>
        <w:jc w:val="both"/>
        <w:keepLines w:val="0"/>
        <w:keepNext w:val="0"/>
        <w:pageBreakBefore w:val="0"/>
        <w:spacing w:line="360" w:lineRule="auto"/>
        <w:widowControl w:val="off"/>
        <w:rPr>
          <w:rFonts w:hint="default"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具体配送清单详见附件。</w:t>
      </w:r>
      <w:r/>
    </w:p>
    <w:p>
      <w:pPr>
        <w:jc w:val="both"/>
        <w:keepLines w:val="0"/>
        <w:keepNext w:val="0"/>
        <w:pageBreakBefore w:val="0"/>
        <w:spacing w:line="360" w:lineRule="auto"/>
        <w:widowControl w:val="off"/>
        <w:rPr>
          <w:rFonts w:hint="eastAsia"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8" o:title=""/>
          </v:shape>
          <o:OLEObject DrawAspect="Icon" r:id="rId19" ObjectID="_1525043" ProgID="Excel.Sheet.8" ShapeID="_x0000_i3" Type="Embed"/>
        </w:object>
      </w:r>
      <w:r/>
    </w:p>
    <w:p>
      <w:pPr>
        <w:ind w:firstLine="422"/>
        <w:jc w:val="both"/>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（二）配送要求</w:t>
      </w:r>
      <w:r/>
    </w:p>
    <w:p>
      <w:pPr>
        <w:ind w:firstLine="420"/>
        <w:jc w:val="both"/>
        <w:keepLines w:val="0"/>
        <w:keepNext w:val="0"/>
        <w:pageBreakBefore w:val="0"/>
        <w:spacing w:line="360" w:lineRule="auto"/>
        <w:widowControl w:val="off"/>
        <w:rPr>
          <w:rFonts w:hint="eastAsia" w:ascii="宋体" w:hAnsi="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1、配送要求：</w:t>
      </w:r>
      <w:r>
        <w:rPr>
          <w:rFonts w:hint="eastAsia" w:ascii="宋体" w:hAnsi="宋体" w:eastAsia="宋体" w:cs="Times New Roman"/>
          <w:color w:val="auto"/>
          <w:sz w:val="21"/>
          <w:szCs w:val="21"/>
          <w:highlight w:val="none"/>
        </w:rPr>
        <w:t xml:space="preserve">供应商应组织</w:t>
      </w:r>
      <w:r>
        <w:rPr>
          <w:rFonts w:hint="eastAsia" w:ascii="宋体" w:hAnsi="宋体" w:eastAsia="宋体" w:cs="Times New Roman"/>
          <w:color w:val="auto"/>
          <w:sz w:val="21"/>
          <w:szCs w:val="21"/>
          <w:highlight w:val="none"/>
          <w:lang w:val="en-US" w:eastAsia="zh-CN"/>
        </w:rPr>
        <w:t xml:space="preserve">成立服务小</w:t>
      </w:r>
      <w:r>
        <w:rPr>
          <w:rFonts w:hint="eastAsia" w:ascii="宋体" w:hAnsi="宋体" w:eastAsia="宋体" w:cs="Times New Roman"/>
          <w:color w:val="auto"/>
          <w:sz w:val="21"/>
          <w:szCs w:val="21"/>
          <w:highlight w:val="none"/>
        </w:rPr>
        <w:t xml:space="preserve">组</w:t>
      </w:r>
      <w:r>
        <w:rPr>
          <w:rFonts w:hint="eastAsia" w:ascii="宋体" w:hAnsi="宋体" w:eastAsia="宋体" w:cs="宋体"/>
          <w:color w:val="auto"/>
          <w:sz w:val="21"/>
          <w:szCs w:val="21"/>
          <w:highlight w:val="none"/>
          <w:lang w:val="en-US" w:eastAsia="zh-CN"/>
        </w:rPr>
        <w:t xml:space="preserve">，配备项目负责人1人，送货司机不少于1人。</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接到采购方通知要货时，需在</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小时之内响应，</w:t>
      </w:r>
      <w:r>
        <w:rPr>
          <w:rFonts w:hint="eastAsia" w:ascii="宋体" w:hAnsi="宋体" w:cs="Times New Roman"/>
          <w:color w:val="auto"/>
          <w:sz w:val="21"/>
          <w:szCs w:val="21"/>
          <w:highlight w:val="none"/>
          <w:lang w:val="en-US" w:eastAsia="zh-CN"/>
        </w:rPr>
        <w:t xml:space="preserve">24</w:t>
      </w:r>
      <w:r>
        <w:rPr>
          <w:rFonts w:hint="eastAsia" w:ascii="宋体" w:hAnsi="宋体" w:eastAsia="宋体" w:cs="Times New Roman"/>
          <w:color w:val="auto"/>
          <w:sz w:val="21"/>
          <w:szCs w:val="21"/>
          <w:highlight w:val="none"/>
        </w:rPr>
        <w:t xml:space="preserve">小时内完成</w:t>
      </w:r>
      <w:r>
        <w:rPr>
          <w:rFonts w:hint="eastAsia" w:ascii="宋体" w:hAnsi="宋体" w:cs="Times New Roman"/>
          <w:color w:val="auto"/>
          <w:sz w:val="21"/>
          <w:szCs w:val="21"/>
          <w:highlight w:val="none"/>
          <w:lang w:val="en-US" w:eastAsia="zh-CN"/>
        </w:rPr>
        <w:t xml:space="preserve">配送</w:t>
      </w:r>
      <w:r>
        <w:rPr>
          <w:rFonts w:hint="eastAsia" w:ascii="宋体" w:hAnsi="宋体" w:cs="Times New Roman"/>
          <w:color w:val="auto"/>
          <w:sz w:val="21"/>
          <w:szCs w:val="21"/>
          <w:highlight w:val="none"/>
          <w:lang w:eastAsia="zh-CN"/>
        </w:rPr>
        <w:t xml:space="preserve">，</w:t>
      </w:r>
      <w:r>
        <w:rPr>
          <w:rFonts w:hint="eastAsia" w:ascii="宋体" w:hAnsi="宋体" w:cs="宋体"/>
          <w:b/>
          <w:color w:val="auto"/>
          <w:sz w:val="21"/>
          <w:szCs w:val="21"/>
          <w:highlight w:val="none"/>
          <w:lang w:val="en-US" w:eastAsia="zh-CN" w:bidi="ar-SA"/>
        </w:rPr>
        <w:t xml:space="preserve">紧急供货2小时内到达现场，并立即开展服务；</w:t>
      </w:r>
      <w:r>
        <w:rPr>
          <w:rFonts w:hint="eastAsia" w:ascii="宋体" w:hAnsi="宋体" w:eastAsia="宋体" w:cs="Times New Roman"/>
          <w:color w:val="auto"/>
          <w:sz w:val="21"/>
          <w:szCs w:val="21"/>
          <w:highlight w:val="none"/>
        </w:rPr>
        <w:t xml:space="preserve">如不能如期供货，采购方有权自行采购，并处以采购金额等值的罚金，成交单位还须承担由此对采购方造成的损失。如</w:t>
      </w:r>
      <w:r>
        <w:rPr>
          <w:rFonts w:hint="eastAsia" w:ascii="宋体" w:hAnsi="宋体" w:eastAsia="宋体" w:cs="Times New Roman"/>
          <w:color w:val="auto"/>
          <w:sz w:val="21"/>
          <w:szCs w:val="21"/>
          <w:highlight w:val="none"/>
          <w:lang w:val="en-US" w:eastAsia="zh-CN"/>
        </w:rPr>
        <w:t xml:space="preserve">履约期内</w:t>
      </w:r>
      <w:r>
        <w:rPr>
          <w:rFonts w:hint="eastAsia" w:ascii="宋体" w:hAnsi="宋体" w:eastAsia="宋体" w:cs="Times New Roman"/>
          <w:color w:val="auto"/>
          <w:sz w:val="21"/>
          <w:szCs w:val="21"/>
          <w:highlight w:val="none"/>
        </w:rPr>
        <w:t xml:space="preserve">出现两次以上违约行为，采购方有权取消</w:t>
      </w:r>
      <w:r>
        <w:rPr>
          <w:rFonts w:hint="eastAsia" w:ascii="宋体" w:hAnsi="宋体" w:eastAsia="宋体" w:cs="Times New Roman"/>
          <w:color w:val="auto"/>
          <w:sz w:val="21"/>
          <w:szCs w:val="21"/>
          <w:highlight w:val="none"/>
          <w:lang w:val="en-US" w:eastAsia="zh-CN"/>
        </w:rPr>
        <w:t xml:space="preserve">合同</w:t>
      </w:r>
      <w:r>
        <w:rPr>
          <w:rFonts w:hint="eastAsia" w:ascii="宋体" w:hAnsi="宋体" w:eastAsia="宋体" w:cs="Times New Roman"/>
          <w:color w:val="auto"/>
          <w:sz w:val="21"/>
          <w:szCs w:val="21"/>
          <w:highlight w:val="none"/>
        </w:rPr>
        <w:t xml:space="preserve">，另行招标采购。</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响应单位所投</w:t>
      </w:r>
      <w:r>
        <w:rPr>
          <w:rFonts w:hint="eastAsia" w:ascii="宋体" w:hAnsi="宋体" w:eastAsia="宋体" w:cs="Times New Roman"/>
          <w:color w:val="auto"/>
          <w:sz w:val="21"/>
          <w:szCs w:val="21"/>
          <w:highlight w:val="none"/>
          <w:lang w:val="en-US" w:eastAsia="zh-CN"/>
        </w:rPr>
        <w:t xml:space="preserve">产品</w:t>
      </w:r>
      <w:r>
        <w:rPr>
          <w:rFonts w:hint="eastAsia" w:ascii="宋体" w:hAnsi="宋体" w:eastAsia="宋体" w:cs="Times New Roman"/>
          <w:color w:val="auto"/>
          <w:sz w:val="21"/>
          <w:szCs w:val="21"/>
          <w:highlight w:val="none"/>
        </w:rPr>
        <w:t xml:space="preserve">应与甲方现使用的</w:t>
      </w:r>
      <w:r>
        <w:rPr>
          <w:rFonts w:hint="eastAsia" w:ascii="宋体" w:hAnsi="宋体" w:eastAsia="宋体" w:cs="Times New Roman"/>
          <w:color w:val="auto"/>
          <w:sz w:val="21"/>
          <w:szCs w:val="21"/>
          <w:highlight w:val="none"/>
          <w:lang w:val="en-US" w:eastAsia="zh-CN"/>
        </w:rPr>
        <w:t xml:space="preserve">设备或</w:t>
      </w:r>
      <w:r>
        <w:rPr>
          <w:rFonts w:hint="eastAsia" w:ascii="宋体" w:hAnsi="宋体" w:eastAsia="宋体" w:cs="Times New Roman"/>
          <w:color w:val="auto"/>
          <w:sz w:val="21"/>
          <w:szCs w:val="21"/>
          <w:highlight w:val="none"/>
        </w:rPr>
        <w:t xml:space="preserve">配件耗材相匹配，配件与耗材中无规格、型号</w:t>
      </w:r>
      <w:r>
        <w:rPr>
          <w:rFonts w:hint="eastAsia" w:ascii="宋体" w:hAnsi="宋体" w:eastAsia="宋体" w:cs="Times New Roman"/>
          <w:color w:val="auto"/>
          <w:sz w:val="21"/>
          <w:szCs w:val="21"/>
          <w:highlight w:val="none"/>
          <w:lang w:val="en-US" w:eastAsia="zh-CN"/>
        </w:rPr>
        <w:t xml:space="preserve">或要求响应单位定制的</w:t>
      </w:r>
      <w:r>
        <w:rPr>
          <w:rFonts w:hint="eastAsia" w:ascii="宋体" w:hAnsi="宋体" w:eastAsia="宋体" w:cs="Times New Roman"/>
          <w:color w:val="auto"/>
          <w:sz w:val="21"/>
          <w:szCs w:val="21"/>
          <w:highlight w:val="none"/>
        </w:rPr>
        <w:t xml:space="preserve">部分产品，响应单位可以进行现场勘察、确认，成交后不得以此为理由拒绝供货或提高价格。</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响应单位报价时需综合考虑市场价格波动因素，合同周期内不予调价，不得以涨价为由拒绝或拖延供货，否则甲方有权自行采购并处以采购价格十倍的违约处罚。</w:t>
      </w:r>
      <w:r/>
    </w:p>
    <w:p>
      <w:pPr>
        <w:numPr>
          <w:ilvl w:val="0"/>
          <w:numId w:val="0"/>
        </w:numPr>
        <w:ind w:right="0"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4、成交单位提供的产品质量不合格或技术参数不符合要求的，采购方有权取消合同，并按《中华人民共和国政府采购法》第七十七条的相关办法处理。</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lang w:val="zh-CN" w:eastAsia="zh-CN" w:bidi="ar-SA"/>
        </w:rPr>
        <w:t xml:space="preserve">投标报价及费用支付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1、报价要求：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）本次报价</w:t>
      </w:r>
      <w:r>
        <w:rPr>
          <w:rFonts w:hint="eastAsia" w:ascii="宋体" w:hAnsi="宋体" w:eastAsia="宋体" w:cs="宋体"/>
          <w:color w:val="auto"/>
          <w:sz w:val="21"/>
          <w:szCs w:val="21"/>
          <w:highlight w:val="none"/>
          <w:lang w:val="en-US" w:eastAsia="zh-CN" w:bidi="ar-SA"/>
        </w:rPr>
        <w:t xml:space="preserve">采用</w:t>
      </w:r>
      <w:r>
        <w:rPr>
          <w:rFonts w:hint="eastAsia" w:ascii="宋体" w:hAnsi="宋体" w:eastAsia="宋体" w:cs="宋体"/>
          <w:color w:val="auto"/>
          <w:sz w:val="21"/>
          <w:szCs w:val="21"/>
          <w:highlight w:val="none"/>
          <w:lang w:val="zh-CN" w:eastAsia="zh-CN" w:bidi="ar-SA"/>
        </w:rPr>
        <w:t xml:space="preserve">优惠率报价，</w:t>
      </w:r>
      <w:r>
        <w:rPr>
          <w:rFonts w:hint="eastAsia" w:ascii="宋体" w:hAnsi="宋体" w:eastAsia="宋体" w:cs="宋体"/>
          <w:color w:val="auto"/>
          <w:sz w:val="21"/>
          <w:szCs w:val="21"/>
          <w:highlight w:val="none"/>
          <w:lang w:val="en-US" w:eastAsia="zh-CN" w:bidi="ar-SA"/>
        </w:rPr>
        <w:t xml:space="preserve">投标报价一次报定，</w:t>
      </w:r>
      <w:r>
        <w:rPr>
          <w:rFonts w:hint="eastAsia" w:ascii="宋体" w:hAnsi="宋体" w:cs="宋体"/>
          <w:color w:val="auto"/>
          <w:sz w:val="21"/>
          <w:szCs w:val="21"/>
          <w:highlight w:val="none"/>
          <w:lang w:val="zh-CN"/>
        </w:rPr>
        <w:t xml:space="preserve">投标报应包括完成该项工作所需的货物、人工（包括工资、奖金、社保、正常节假日的加班费、配送人员餐费及完成标书合同规定服务内容发生的延时加班等费用）、专用设备、运费，损耗费、装卸费、检测费、服装、通讯、保险、各种税费、利润、政策性文件规定及合同包含的所有风险、责任等的费用。投标报价为最终报价，除非因特殊原因并经买卖双方协商同意，投标人不得再要求追加任何费用。</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投标报价中必须适当考虑不在预期中的未知费用。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en-US" w:eastAsia="zh-CN" w:bidi="ar-SA"/>
        </w:rPr>
        <w:t xml:space="preserve">费用结算：</w:t>
      </w:r>
      <w:r>
        <w:rPr>
          <w:rFonts w:hint="eastAsia" w:ascii="宋体" w:hAnsi="宋体" w:eastAsia="宋体" w:cs="宋体"/>
          <w:color w:val="auto"/>
          <w:sz w:val="21"/>
          <w:szCs w:val="21"/>
          <w:highlight w:val="none"/>
          <w:lang w:val="zh-CN" w:eastAsia="zh-CN" w:bidi="ar-SA"/>
        </w:rPr>
        <w:t xml:space="preserve">本项目按固定综合单价结算，数量按实际发生计算，综合单价=单价最高限价*</w:t>
      </w:r>
      <w:r>
        <w:rPr>
          <w:rFonts w:hint="eastAsia" w:ascii="宋体" w:hAnsi="宋体" w:eastAsia="宋体" w:cs="宋体"/>
          <w:color w:val="auto"/>
          <w:sz w:val="21"/>
          <w:szCs w:val="21"/>
          <w:highlight w:val="none"/>
          <w:lang w:val="en-US" w:eastAsia="zh-CN" w:bidi="ar-SA"/>
        </w:rPr>
        <w:t xml:space="preserve">（1-中标优惠率）</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3、付款</w:t>
      </w:r>
      <w:r>
        <w:rPr>
          <w:rFonts w:hint="eastAsia" w:ascii="宋体" w:hAnsi="宋体" w:cs="宋体"/>
          <w:color w:val="auto"/>
          <w:sz w:val="21"/>
          <w:szCs w:val="21"/>
          <w:highlight w:val="none"/>
          <w:lang w:val="en-US" w:eastAsia="zh-CN" w:bidi="ar-SA"/>
        </w:rPr>
        <w:t xml:space="preserve">方式</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付款方式一：</w:t>
      </w:r>
      <w:r>
        <w:rPr>
          <w:rFonts w:hint="eastAsia" w:ascii="宋体" w:hAnsi="宋体" w:eastAsia="宋体" w:cs="宋体"/>
          <w:color w:val="auto"/>
          <w:sz w:val="21"/>
          <w:szCs w:val="21"/>
          <w:highlight w:val="none"/>
          <w:lang w:val="zh-CN" w:eastAsia="zh-CN" w:bidi="ar-SA"/>
        </w:rPr>
        <w:t xml:space="preserve">维修费用按</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lang w:val="zh-CN" w:eastAsia="zh-CN" w:bidi="ar-SA"/>
        </w:rPr>
        <w:t xml:space="preserve">结算，</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en-US" w:eastAsia="zh-CN"/>
        </w:rPr>
        <w:t xml:space="preserve">于每月结束后</w:t>
      </w:r>
      <w:r>
        <w:rPr>
          <w:rFonts w:hint="eastAsia"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rPr>
        <w:t xml:space="preserve">月10号前向采购人出具对账单，经采购人确认无误后出具发票进行结算</w:t>
      </w:r>
      <w:r>
        <w:rPr>
          <w:rFonts w:hint="eastAsia" w:ascii="宋体" w:hAnsi="宋体" w:eastAsia="宋体" w:cs="宋体"/>
          <w:color w:val="auto"/>
          <w:sz w:val="21"/>
          <w:szCs w:val="21"/>
          <w:highlight w:val="none"/>
          <w:lang w:val="zh-CN" w:eastAsia="zh-CN" w:bidi="ar-SA"/>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u w:val="none"/>
          <w:lang w:val="en-US" w:eastAsia="zh-CN"/>
        </w:rPr>
        <w:t xml:space="preserve">付款方式二：</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val="en-US" w:eastAsia="zh-CN"/>
        </w:rPr>
        <w:t xml:space="preserve">（1）合同签订生效后支付合同金额的10%预付款，余款按月结算，</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en-US" w:eastAsia="zh-CN"/>
        </w:rPr>
        <w:t xml:space="preserve">于每月结束后</w:t>
      </w:r>
      <w:r>
        <w:rPr>
          <w:rFonts w:hint="eastAsia"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rPr>
        <w:t xml:space="preserve">月10号前向采购人出具对账单，经采购人确认无误后出具发票进行结算</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（2）预付款扣回：甲方在第一个月付款中扣除全部预付款，若第一个月付款金额不足以全额扣回预付款，则差额部分从后续进度款中继续扣回，直至全部预付款扣清为止。</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en-US"/>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contextualSpacing/>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pPr>
      <w:r>
        <w:rPr>
          <w:rFonts w:hint="eastAsia" w:ascii="宋体" w:hAnsi="宋体" w:cs="宋体"/>
          <w:b/>
          <w:bCs/>
          <w:color w:val="auto"/>
          <w:sz w:val="21"/>
          <w:szCs w:val="24"/>
          <w:highlight w:val="none"/>
          <w:lang w:val="en-US" w:eastAsia="zh-CN"/>
        </w:rPr>
        <w:t xml:space="preserve">（四）</w:t>
      </w:r>
      <w:r>
        <w:rPr>
          <w:rFonts w:hint="eastAsia" w:ascii="宋体" w:hAnsi="宋体" w:eastAsia="宋体" w:cs="宋体"/>
          <w:b/>
          <w:bCs/>
          <w:color w:val="auto"/>
          <w:sz w:val="21"/>
          <w:szCs w:val="21"/>
          <w:highlight w:val="none"/>
          <w:lang w:val="en-US" w:eastAsia="zh-CN"/>
        </w:rPr>
        <w:t xml:space="preserve">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履约验收的实施主体：太仓市第一人民医院。</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履约验收时间：每</w:t>
      </w:r>
      <w:r>
        <w:rPr>
          <w:rFonts w:hint="eastAsia" w:ascii="宋体" w:hAnsi="宋体" w:eastAsia="宋体" w:cs="宋体"/>
          <w:color w:val="auto"/>
          <w:sz w:val="21"/>
          <w:szCs w:val="21"/>
          <w:highlight w:val="none"/>
          <w:lang w:val="en-US" w:eastAsia="zh-CN"/>
        </w:rPr>
        <w:t xml:space="preserve">个月甲方</w:t>
      </w:r>
      <w:r>
        <w:rPr>
          <w:rFonts w:hint="eastAsia" w:ascii="宋体" w:hAnsi="宋体" w:eastAsia="宋体" w:cs="宋体"/>
          <w:color w:val="auto"/>
          <w:sz w:val="21"/>
          <w:szCs w:val="21"/>
          <w:highlight w:val="none"/>
          <w:lang w:val="zh-CN" w:eastAsia="zh-CN"/>
        </w:rPr>
        <w:t xml:space="preserve">对</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的履约</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val="zh-CN" w:eastAsia="zh-CN"/>
        </w:rPr>
        <w:t xml:space="preserve">进行验收，</w:t>
      </w:r>
      <w:r>
        <w:rPr>
          <w:rFonts w:hint="eastAsia" w:ascii="宋体" w:hAnsi="宋体" w:eastAsia="宋体" w:cs="宋体"/>
          <w:color w:val="auto"/>
          <w:sz w:val="21"/>
          <w:szCs w:val="21"/>
          <w:highlight w:val="none"/>
          <w:lang w:val="en-US" w:eastAsia="zh-CN"/>
        </w:rPr>
        <w:t xml:space="preserve">验收前甲方向乙方发出《政府采购履约验收通知单》（合同附件），验收完成后形成《政府采购履约验收书》（合同附件）</w:t>
      </w:r>
      <w:r>
        <w:rPr>
          <w:rFonts w:hint="eastAsia" w:ascii="宋体" w:hAnsi="宋体" w:eastAsia="宋体" w:cs="宋体"/>
          <w:color w:val="auto"/>
          <w:sz w:val="21"/>
          <w:szCs w:val="21"/>
          <w:highlight w:val="none"/>
          <w:lang w:val="zh-CN"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履约验收方式：分段验收。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4、验收内容：验收内容包括但不限于：型号、规格、数量、外观质量、及货物包装是否完好等。甲方保留委托</w:t>
      </w:r>
      <w:r>
        <w:rPr>
          <w:rFonts w:hint="eastAsia" w:ascii="宋体" w:hAnsi="宋体" w:eastAsia="宋体" w:cs="宋体"/>
          <w:color w:val="auto"/>
          <w:sz w:val="21"/>
          <w:szCs w:val="21"/>
          <w:highlight w:val="none"/>
        </w:rPr>
        <w:t xml:space="preserve">第三方对成交产品进行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权利，在验收</w:t>
      </w:r>
      <w:r>
        <w:rPr>
          <w:rFonts w:hint="eastAsia" w:ascii="宋体" w:hAnsi="宋体" w:eastAsia="宋体" w:cs="宋体"/>
          <w:color w:val="auto"/>
          <w:sz w:val="21"/>
          <w:szCs w:val="21"/>
          <w:highlight w:val="none"/>
          <w:lang w:val="en-US" w:eastAsia="zh-CN"/>
        </w:rPr>
        <w:t xml:space="preserve">或使用</w:t>
      </w:r>
      <w:r>
        <w:rPr>
          <w:rFonts w:hint="eastAsia" w:ascii="宋体" w:hAnsi="宋体" w:eastAsia="宋体" w:cs="宋体"/>
          <w:color w:val="auto"/>
          <w:sz w:val="21"/>
          <w:szCs w:val="21"/>
          <w:highlight w:val="none"/>
        </w:rPr>
        <w:t xml:space="preserve">过程中发现不满足采购文件中要求的，经</w:t>
      </w:r>
      <w:r>
        <w:rPr>
          <w:rFonts w:hint="eastAsia" w:ascii="宋体" w:hAnsi="宋体" w:eastAsia="宋体" w:cs="宋体"/>
          <w:color w:val="auto"/>
          <w:sz w:val="21"/>
          <w:szCs w:val="21"/>
          <w:highlight w:val="none"/>
          <w:lang w:val="en-US" w:eastAsia="zh-CN"/>
        </w:rPr>
        <w:t xml:space="preserve">甲方或</w:t>
      </w:r>
      <w:r>
        <w:rPr>
          <w:rFonts w:hint="eastAsia" w:ascii="宋体" w:hAnsi="宋体" w:eastAsia="宋体" w:cs="宋体"/>
          <w:color w:val="auto"/>
          <w:sz w:val="21"/>
          <w:szCs w:val="21"/>
          <w:highlight w:val="none"/>
        </w:rPr>
        <w:t xml:space="preserve">第三方验证确实，</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有权要求</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无条件退货，并依据采购文件和合同进行相关处罚。</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履约验收标准：</w:t>
      </w:r>
      <w:r>
        <w:rPr>
          <w:rFonts w:hint="eastAsia" w:ascii="宋体" w:hAnsi="宋体" w:eastAsia="宋体" w:cs="宋体"/>
          <w:color w:val="auto"/>
          <w:sz w:val="21"/>
          <w:szCs w:val="21"/>
          <w:highlight w:val="none"/>
          <w:lang w:val="en-US" w:eastAsia="zh-CN" w:bidi="ar-SA"/>
        </w:rPr>
        <w:t xml:space="preserve">按照采购文件要求及相关法律法规、行业标准进行验收。</w:t>
      </w:r>
      <w:r/>
    </w:p>
    <w:p>
      <w:pPr>
        <w:contextualSpacing/>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（五）质量保证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1、响应单位</w:t>
      </w:r>
      <w:r>
        <w:rPr>
          <w:rFonts w:hint="eastAsia" w:ascii="宋体" w:hAnsi="宋体" w:eastAsia="宋体" w:cs="宋体"/>
          <w:color w:val="auto"/>
          <w:sz w:val="21"/>
          <w:szCs w:val="24"/>
          <w:highlight w:val="none"/>
        </w:rPr>
        <w:t xml:space="preserve">应保证</w:t>
      </w:r>
      <w:r>
        <w:rPr>
          <w:rFonts w:hint="eastAsia" w:ascii="宋体" w:hAnsi="宋体" w:eastAsia="宋体" w:cs="宋体"/>
          <w:color w:val="auto"/>
          <w:sz w:val="21"/>
          <w:szCs w:val="24"/>
          <w:highlight w:val="none"/>
          <w:lang w:val="en-US" w:eastAsia="zh-CN"/>
        </w:rPr>
        <w:t xml:space="preserve">所提供的配件材料</w:t>
      </w:r>
      <w:r>
        <w:rPr>
          <w:rFonts w:hint="eastAsia" w:ascii="宋体" w:hAnsi="宋体" w:eastAsia="宋体" w:cs="宋体"/>
          <w:color w:val="auto"/>
          <w:sz w:val="21"/>
          <w:szCs w:val="24"/>
          <w:highlight w:val="none"/>
        </w:rPr>
        <w:t xml:space="preserve">是未使用过的原厂生产的合格正品，</w:t>
      </w:r>
      <w:r>
        <w:rPr>
          <w:rFonts w:hint="eastAsia" w:ascii="宋体" w:hAnsi="宋体" w:cs="宋体"/>
          <w:color w:val="auto"/>
          <w:sz w:val="21"/>
          <w:szCs w:val="24"/>
          <w:highlight w:val="none"/>
          <w:lang w:val="en-US" w:eastAsia="zh-CN"/>
        </w:rPr>
        <w:t xml:space="preserve">符合国家或行业相关标准，</w:t>
      </w:r>
      <w:r>
        <w:rPr>
          <w:rFonts w:hint="eastAsia" w:ascii="宋体" w:hAnsi="宋体" w:eastAsia="宋体" w:cs="宋体"/>
          <w:color w:val="auto"/>
          <w:sz w:val="21"/>
          <w:szCs w:val="24"/>
          <w:highlight w:val="none"/>
        </w:rPr>
        <w:t xml:space="preserve">并完全符合</w:t>
      </w:r>
      <w:r>
        <w:rPr>
          <w:rFonts w:hint="eastAsia" w:ascii="宋体" w:hAnsi="宋体" w:eastAsia="宋体" w:cs="宋体"/>
          <w:color w:val="auto"/>
          <w:sz w:val="21"/>
          <w:szCs w:val="24"/>
          <w:highlight w:val="none"/>
          <w:lang w:val="en-US" w:eastAsia="zh-CN"/>
        </w:rPr>
        <w:t xml:space="preserve">采购文件</w:t>
      </w:r>
      <w:r>
        <w:rPr>
          <w:rFonts w:hint="eastAsia" w:ascii="宋体" w:hAnsi="宋体" w:eastAsia="宋体" w:cs="宋体"/>
          <w:color w:val="auto"/>
          <w:sz w:val="21"/>
          <w:szCs w:val="24"/>
          <w:highlight w:val="none"/>
        </w:rPr>
        <w:t xml:space="preserve">规定的质量和性能的要求。</w:t>
      </w:r>
      <w:r>
        <w:rPr>
          <w:rFonts w:hint="eastAsia" w:ascii="宋体" w:hAnsi="宋体" w:eastAsia="宋体" w:cs="宋体"/>
          <w:color w:val="auto"/>
          <w:sz w:val="21"/>
          <w:szCs w:val="24"/>
          <w:highlight w:val="none"/>
          <w:lang w:val="en-US" w:eastAsia="zh-CN"/>
        </w:rPr>
        <w:t xml:space="preserve">响应单位</w:t>
      </w:r>
      <w:r>
        <w:rPr>
          <w:rFonts w:hint="eastAsia" w:ascii="宋体" w:hAnsi="宋体" w:eastAsia="宋体" w:cs="宋体"/>
          <w:color w:val="auto"/>
          <w:sz w:val="21"/>
          <w:szCs w:val="24"/>
          <w:highlight w:val="none"/>
        </w:rPr>
        <w:t xml:space="preserve">应保证</w:t>
      </w:r>
      <w:r>
        <w:rPr>
          <w:rFonts w:hint="eastAsia" w:ascii="宋体" w:hAnsi="宋体" w:eastAsia="宋体" w:cs="宋体"/>
          <w:color w:val="auto"/>
          <w:sz w:val="21"/>
          <w:szCs w:val="24"/>
          <w:highlight w:val="none"/>
          <w:lang w:val="en-US" w:eastAsia="zh-CN"/>
        </w:rPr>
        <w:t xml:space="preserve">配件</w:t>
      </w:r>
      <w:r>
        <w:rPr>
          <w:rFonts w:hint="eastAsia" w:ascii="宋体" w:hAnsi="宋体" w:eastAsia="宋体" w:cs="宋体"/>
          <w:color w:val="auto"/>
          <w:sz w:val="21"/>
          <w:szCs w:val="24"/>
          <w:highlight w:val="none"/>
        </w:rPr>
        <w:t xml:space="preserve">材料在正确安装、正常使用和保养条件下，在其使用寿命期内应具有满意的性能。在质量保证期内，</w:t>
      </w:r>
      <w:r>
        <w:rPr>
          <w:rFonts w:hint="eastAsia" w:ascii="宋体" w:hAnsi="宋体" w:eastAsia="宋体" w:cs="宋体"/>
          <w:color w:val="auto"/>
          <w:sz w:val="21"/>
          <w:szCs w:val="24"/>
          <w:highlight w:val="none"/>
          <w:lang w:val="en-US" w:eastAsia="zh-CN"/>
        </w:rPr>
        <w:t xml:space="preserve">响应单位</w:t>
      </w:r>
      <w:r>
        <w:rPr>
          <w:rFonts w:hint="eastAsia" w:ascii="宋体" w:hAnsi="宋体" w:eastAsia="宋体" w:cs="宋体"/>
          <w:color w:val="auto"/>
          <w:sz w:val="21"/>
          <w:szCs w:val="24"/>
          <w:highlight w:val="none"/>
        </w:rPr>
        <w:t xml:space="preserve">应对</w:t>
      </w:r>
      <w:r>
        <w:rPr>
          <w:rFonts w:hint="eastAsia" w:ascii="宋体" w:hAnsi="宋体" w:eastAsia="宋体" w:cs="宋体"/>
          <w:color w:val="auto"/>
          <w:sz w:val="21"/>
          <w:szCs w:val="24"/>
          <w:highlight w:val="none"/>
          <w:lang w:val="en-US" w:eastAsia="zh-CN"/>
        </w:rPr>
        <w:t xml:space="preserve">所提供的配件</w:t>
      </w:r>
      <w:r>
        <w:rPr>
          <w:rFonts w:hint="eastAsia" w:ascii="宋体" w:hAnsi="宋体" w:eastAsia="宋体" w:cs="宋体"/>
          <w:color w:val="auto"/>
          <w:sz w:val="21"/>
          <w:szCs w:val="24"/>
          <w:highlight w:val="none"/>
        </w:rPr>
        <w:t xml:space="preserve">材料的缺陷负责，费用由</w:t>
      </w:r>
      <w:r>
        <w:rPr>
          <w:rFonts w:hint="eastAsia" w:ascii="宋体" w:hAnsi="宋体" w:eastAsia="宋体" w:cs="宋体"/>
          <w:color w:val="auto"/>
          <w:sz w:val="21"/>
          <w:szCs w:val="24"/>
          <w:highlight w:val="none"/>
          <w:lang w:val="en-US" w:eastAsia="zh-CN"/>
        </w:rPr>
        <w:t xml:space="preserve">响应单位</w:t>
      </w:r>
      <w:r>
        <w:rPr>
          <w:rFonts w:hint="eastAsia" w:ascii="宋体" w:hAnsi="宋体" w:eastAsia="宋体" w:cs="宋体"/>
          <w:color w:val="auto"/>
          <w:sz w:val="21"/>
          <w:szCs w:val="24"/>
          <w:highlight w:val="none"/>
        </w:rPr>
        <w:t xml:space="preserve">负担。</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、除特别约定外，</w:t>
      </w:r>
      <w:r>
        <w:rPr>
          <w:rFonts w:hint="eastAsia" w:ascii="宋体" w:hAnsi="宋体" w:eastAsia="宋体" w:cs="宋体"/>
          <w:color w:val="auto"/>
          <w:sz w:val="21"/>
          <w:szCs w:val="24"/>
          <w:highlight w:val="none"/>
          <w:lang w:val="en-US" w:eastAsia="zh-CN"/>
        </w:rPr>
        <w:t xml:space="preserve">响应单位所提供的</w:t>
      </w:r>
      <w:r>
        <w:rPr>
          <w:rFonts w:hint="eastAsia" w:ascii="宋体" w:hAnsi="宋体" w:cs="宋体"/>
          <w:color w:val="auto"/>
          <w:sz w:val="21"/>
          <w:szCs w:val="24"/>
          <w:highlight w:val="none"/>
          <w:lang w:val="en-US" w:eastAsia="zh-CN"/>
        </w:rPr>
        <w:t xml:space="preserve">500元以上的</w:t>
      </w:r>
      <w:r>
        <w:rPr>
          <w:rFonts w:hint="eastAsia" w:ascii="宋体" w:hAnsi="宋体" w:eastAsia="宋体" w:cs="宋体"/>
          <w:color w:val="auto"/>
          <w:sz w:val="21"/>
          <w:szCs w:val="24"/>
          <w:highlight w:val="none"/>
          <w:lang w:val="en-US" w:eastAsia="zh-CN"/>
        </w:rPr>
        <w:t xml:space="preserve">产品</w:t>
      </w:r>
      <w:r>
        <w:rPr>
          <w:rFonts w:hint="eastAsia" w:ascii="宋体" w:hAnsi="宋体" w:eastAsia="宋体" w:cs="宋体"/>
          <w:color w:val="auto"/>
          <w:sz w:val="21"/>
          <w:szCs w:val="24"/>
          <w:highlight w:val="none"/>
        </w:rPr>
        <w:t xml:space="preserve">的质量保证期均自标的物通过最终验收之日起</w:t>
      </w:r>
      <w:r>
        <w:rPr>
          <w:rFonts w:hint="eastAsia" w:ascii="宋体" w:hAnsi="宋体" w:cs="宋体"/>
          <w:color w:val="auto"/>
          <w:sz w:val="21"/>
          <w:szCs w:val="24"/>
          <w:highlight w:val="none"/>
          <w:lang w:val="en-US" w:eastAsia="zh-CN"/>
        </w:rPr>
        <w:t xml:space="preserve">不低于</w:t>
      </w:r>
      <w:r>
        <w:rPr>
          <w:rFonts w:hint="eastAsia" w:ascii="宋体" w:hAnsi="宋体" w:eastAsia="宋体" w:cs="宋体"/>
          <w:color w:val="auto"/>
          <w:sz w:val="21"/>
          <w:szCs w:val="24"/>
          <w:highlight w:val="none"/>
          <w:lang w:val="en-US" w:eastAsia="zh-CN"/>
        </w:rPr>
        <w:t xml:space="preserve">一年</w:t>
      </w:r>
      <w:r>
        <w:rPr>
          <w:rFonts w:hint="eastAsia" w:ascii="宋体" w:hAnsi="宋体" w:eastAsia="宋体" w:cs="宋体"/>
          <w:color w:val="auto"/>
          <w:sz w:val="21"/>
          <w:szCs w:val="24"/>
          <w:highlight w:val="none"/>
        </w:rPr>
        <w:t xml:space="preserve">。</w:t>
      </w:r>
      <w:r/>
    </w:p>
    <w:p>
      <w:pPr>
        <w:contextualSpacing/>
        <w:ind w:firstLine="422"/>
        <w:jc w:val="both"/>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（六）项目实施方案</w:t>
      </w:r>
      <w:r/>
    </w:p>
    <w:p>
      <w:pPr>
        <w:contextualSpacing/>
        <w:ind w:firstLine="420"/>
        <w:jc w:val="both"/>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为保证项目顺利实施，响应单位应根据项目需求编制实施方案，方案要求如下：</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配送服务方案</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Style w:val="986"/>
          <w:rFonts w:hint="eastAsia" w:ascii="宋体" w:hAnsi="宋体" w:eastAsia="宋体" w:cs="宋体"/>
          <w:b w:val="0"/>
          <w:bCs w:val="0"/>
          <w:color w:val="auto"/>
          <w:sz w:val="21"/>
          <w:szCs w:val="21"/>
          <w:highlight w:val="none"/>
          <w:lang w:val="en-US" w:eastAsia="zh-CN" w:bidi="ar"/>
        </w:rPr>
        <w:t xml:space="preserve">（1）</w:t>
      </w:r>
      <w:r>
        <w:rPr>
          <w:rStyle w:val="986"/>
          <w:rFonts w:hint="eastAsia" w:ascii="宋体" w:hAnsi="宋体" w:eastAsia="宋体" w:cs="宋体"/>
          <w:b/>
          <w:bCs/>
          <w:color w:val="auto"/>
          <w:sz w:val="21"/>
          <w:szCs w:val="21"/>
          <w:highlight w:val="none"/>
          <w:lang w:val="en-US" w:eastAsia="zh-CN" w:bidi="ar"/>
        </w:rPr>
        <w:t xml:space="preserve">五金耗材配送操作流程</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投标人须建立覆盖</w:t>
      </w:r>
      <w:r>
        <w:rPr>
          <w:rStyle w:val="986"/>
          <w:rFonts w:hint="eastAsia" w:ascii="宋体" w:hAnsi="宋体" w:eastAsia="宋体" w:cs="宋体"/>
          <w:b w:val="0"/>
          <w:bCs w:val="0"/>
          <w:color w:val="auto"/>
          <w:sz w:val="21"/>
          <w:szCs w:val="21"/>
          <w:highlight w:val="none"/>
          <w:lang w:val="en-US" w:eastAsia="zh-CN" w:bidi="ar"/>
        </w:rPr>
        <w:t xml:space="preserve">订单接收、订单确认、备货分拣、质量检验、打包防护、装车配送、现场交接、验收签收、单据归档</w:t>
      </w:r>
      <w:r>
        <w:rPr>
          <w:rFonts w:hint="eastAsia" w:ascii="宋体" w:hAnsi="宋体" w:eastAsia="宋体" w:cs="宋体"/>
          <w:b w:val="0"/>
          <w:bCs w:val="0"/>
          <w:color w:val="auto"/>
          <w:sz w:val="21"/>
          <w:szCs w:val="21"/>
          <w:highlight w:val="none"/>
          <w:lang w:val="en-US" w:eastAsia="zh-CN" w:bidi="ar"/>
        </w:rPr>
        <w:t xml:space="preserve">的全流程标准化配送操作流程，明确各环节责任人员、作业规范、时限要求，确保流程闭环、可追溯、可核查。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Style w:val="986"/>
          <w:rFonts w:hint="eastAsia" w:ascii="宋体" w:hAnsi="宋体" w:eastAsia="宋体" w:cs="宋体"/>
          <w:b w:val="0"/>
          <w:bCs w:val="0"/>
          <w:color w:val="auto"/>
          <w:sz w:val="21"/>
          <w:szCs w:val="21"/>
          <w:highlight w:val="none"/>
          <w:lang w:val="en-US" w:eastAsia="zh-CN" w:bidi="ar"/>
        </w:rPr>
        <w:t xml:space="preserve">（2）</w:t>
      </w:r>
      <w:r>
        <w:rPr>
          <w:rStyle w:val="986"/>
          <w:rFonts w:hint="eastAsia" w:ascii="宋体" w:hAnsi="宋体" w:eastAsia="宋体" w:cs="宋体"/>
          <w:b/>
          <w:bCs/>
          <w:color w:val="auto"/>
          <w:sz w:val="21"/>
          <w:szCs w:val="21"/>
          <w:highlight w:val="none"/>
          <w:lang w:val="en-US" w:eastAsia="zh-CN" w:bidi="ar"/>
        </w:rPr>
        <w:t xml:space="preserve">耗材质量管控措施</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投标人须建立</w:t>
      </w:r>
      <w:r>
        <w:rPr>
          <w:rStyle w:val="986"/>
          <w:rFonts w:hint="eastAsia" w:ascii="宋体" w:hAnsi="宋体" w:eastAsia="宋体" w:cs="宋体"/>
          <w:b w:val="0"/>
          <w:bCs w:val="0"/>
          <w:color w:val="auto"/>
          <w:sz w:val="21"/>
          <w:szCs w:val="21"/>
          <w:highlight w:val="none"/>
          <w:lang w:val="en-US" w:eastAsia="zh-CN" w:bidi="ar"/>
        </w:rPr>
        <w:t xml:space="preserve">入库验收、在库养护、出库复核、配送防护</w:t>
      </w:r>
      <w:r>
        <w:rPr>
          <w:rFonts w:hint="eastAsia" w:ascii="宋体" w:hAnsi="宋体" w:eastAsia="宋体" w:cs="宋体"/>
          <w:b w:val="0"/>
          <w:bCs w:val="0"/>
          <w:color w:val="auto"/>
          <w:sz w:val="21"/>
          <w:szCs w:val="21"/>
          <w:highlight w:val="none"/>
          <w:lang w:val="en-US" w:eastAsia="zh-CN" w:bidi="ar"/>
        </w:rPr>
        <w:t xml:space="preserve">全过程质量管控机制，所供五金耗材须符合国家、行业标准及采购人使用要求，资质齐全、来源正规；严禁供应三无产品、锈蚀变形、破损劣质、不符合规格的产品；针对易损、易锈、易划伤耗材须采取专项防护措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Style w:val="986"/>
          <w:rFonts w:hint="eastAsia" w:ascii="宋体" w:hAnsi="宋体" w:eastAsia="宋体" w:cs="宋体"/>
          <w:b w:val="0"/>
          <w:bCs w:val="0"/>
          <w:color w:val="auto"/>
          <w:sz w:val="21"/>
          <w:szCs w:val="21"/>
          <w:highlight w:val="none"/>
          <w:lang w:val="en-US" w:eastAsia="zh-CN" w:bidi="ar"/>
        </w:rPr>
        <w:t xml:space="preserve">（3）</w:t>
      </w:r>
      <w:r>
        <w:rPr>
          <w:rStyle w:val="986"/>
          <w:rFonts w:hint="eastAsia" w:ascii="宋体" w:hAnsi="宋体" w:eastAsia="宋体" w:cs="宋体"/>
          <w:b/>
          <w:bCs/>
          <w:color w:val="auto"/>
          <w:sz w:val="21"/>
          <w:szCs w:val="21"/>
          <w:highlight w:val="none"/>
          <w:lang w:val="en-US" w:eastAsia="zh-CN" w:bidi="ar"/>
        </w:rPr>
        <w:t xml:space="preserve">配送时效保障标准</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投标人须明确日常配送、常规补货、临时增补、应急抢修等不同场景的配送时效标准，承诺</w:t>
      </w:r>
      <w:r>
        <w:rPr>
          <w:rStyle w:val="986"/>
          <w:rFonts w:hint="eastAsia" w:ascii="宋体" w:hAnsi="宋体" w:eastAsia="宋体" w:cs="宋体"/>
          <w:b w:val="0"/>
          <w:bCs w:val="0"/>
          <w:color w:val="auto"/>
          <w:sz w:val="21"/>
          <w:szCs w:val="21"/>
          <w:highlight w:val="none"/>
          <w:lang w:val="en-US" w:eastAsia="zh-CN" w:bidi="ar"/>
        </w:rPr>
        <w:t xml:space="preserve">常规订单按时送达、临时急用订单快速响应、应急耗材优先保障</w:t>
      </w:r>
      <w:r>
        <w:rPr>
          <w:rFonts w:hint="eastAsia" w:ascii="宋体" w:hAnsi="宋体" w:eastAsia="宋体" w:cs="宋体"/>
          <w:b w:val="0"/>
          <w:bCs w:val="0"/>
          <w:color w:val="auto"/>
          <w:sz w:val="21"/>
          <w:szCs w:val="21"/>
          <w:highlight w:val="none"/>
          <w:lang w:val="en-US" w:eastAsia="zh-CN" w:bidi="ar"/>
        </w:rPr>
        <w:t xml:space="preserve">，并制定时效管控、延误预警及补救措施，确保不影响采购人正常使用。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Style w:val="986"/>
          <w:rFonts w:hint="eastAsia" w:ascii="宋体" w:hAnsi="宋体" w:eastAsia="宋体" w:cs="宋体"/>
          <w:b w:val="0"/>
          <w:bCs w:val="0"/>
          <w:color w:val="auto"/>
          <w:sz w:val="21"/>
          <w:szCs w:val="21"/>
          <w:highlight w:val="none"/>
          <w:lang w:val="en-US" w:eastAsia="zh-CN" w:bidi="ar"/>
        </w:rPr>
        <w:t xml:space="preserve">（4）</w:t>
      </w:r>
      <w:r>
        <w:rPr>
          <w:rStyle w:val="986"/>
          <w:rFonts w:hint="eastAsia" w:ascii="宋体" w:hAnsi="宋体" w:eastAsia="宋体" w:cs="宋体"/>
          <w:b/>
          <w:bCs/>
          <w:color w:val="auto"/>
          <w:sz w:val="21"/>
          <w:szCs w:val="21"/>
          <w:highlight w:val="none"/>
          <w:lang w:val="en-US" w:eastAsia="zh-CN" w:bidi="ar"/>
        </w:rPr>
        <w:t xml:space="preserve">退换货处理流程</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投标人须制定规范的退换货处理流程，明确</w:t>
      </w:r>
      <w:r>
        <w:rPr>
          <w:rStyle w:val="986"/>
          <w:rFonts w:hint="eastAsia" w:ascii="宋体" w:hAnsi="宋体" w:eastAsia="宋体" w:cs="宋体"/>
          <w:b w:val="0"/>
          <w:bCs w:val="0"/>
          <w:color w:val="auto"/>
          <w:sz w:val="21"/>
          <w:szCs w:val="21"/>
          <w:highlight w:val="none"/>
          <w:lang w:val="en-US" w:eastAsia="zh-CN" w:bidi="ar"/>
        </w:rPr>
        <w:t xml:space="preserve">申请受理、现场核实、免费退换、及时补发、责任认定、台账登记</w:t>
      </w:r>
      <w:r>
        <w:rPr>
          <w:rFonts w:hint="eastAsia" w:ascii="宋体" w:hAnsi="宋体" w:eastAsia="宋体" w:cs="宋体"/>
          <w:b w:val="0"/>
          <w:bCs w:val="0"/>
          <w:color w:val="auto"/>
          <w:sz w:val="21"/>
          <w:szCs w:val="21"/>
          <w:highlight w:val="none"/>
          <w:lang w:val="en-US" w:eastAsia="zh-CN" w:bidi="ar"/>
        </w:rPr>
        <w:t xml:space="preserve">等环节要求；对错发、漏发、破损、质量不合格等情形须</w:t>
      </w:r>
      <w:r>
        <w:rPr>
          <w:rStyle w:val="986"/>
          <w:rFonts w:hint="eastAsia" w:ascii="宋体" w:hAnsi="宋体" w:eastAsia="宋体" w:cs="宋体"/>
          <w:b w:val="0"/>
          <w:bCs w:val="0"/>
          <w:color w:val="auto"/>
          <w:sz w:val="21"/>
          <w:szCs w:val="21"/>
          <w:highlight w:val="none"/>
          <w:lang w:val="en-US" w:eastAsia="zh-CN" w:bidi="ar"/>
        </w:rPr>
        <w:t xml:space="preserve">无条件及时退换并补发到位</w:t>
      </w:r>
      <w:r>
        <w:rPr>
          <w:rFonts w:hint="eastAsia" w:ascii="宋体" w:hAnsi="宋体" w:eastAsia="宋体" w:cs="宋体"/>
          <w:b w:val="0"/>
          <w:bCs w:val="0"/>
          <w:color w:val="auto"/>
          <w:sz w:val="21"/>
          <w:szCs w:val="21"/>
          <w:highlight w:val="none"/>
          <w:lang w:val="en-US" w:eastAsia="zh-CN" w:bidi="ar"/>
        </w:rPr>
        <w:t xml:space="preserve">，不得推诿拖延，不得向采购人收取额外费用。</w:t>
      </w:r>
      <w:r/>
    </w:p>
    <w:p>
      <w:pPr>
        <w:numPr>
          <w:ilvl w:val="0"/>
          <w:numId w:val="4"/>
        </w:num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rPr>
        <w:t xml:space="preserve">管理制度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Style w:val="986"/>
          <w:rFonts w:hint="eastAsia" w:ascii="宋体" w:hAnsi="宋体" w:eastAsia="宋体" w:cs="宋体"/>
          <w:b w:val="0"/>
          <w:bCs w:val="0"/>
          <w:color w:val="auto"/>
          <w:sz w:val="21"/>
          <w:szCs w:val="21"/>
          <w:highlight w:val="none"/>
          <w:lang w:val="en-US" w:eastAsia="zh-CN" w:bidi="ar"/>
        </w:rPr>
        <w:t xml:space="preserve">（1）</w:t>
      </w:r>
      <w:r>
        <w:rPr>
          <w:rStyle w:val="986"/>
          <w:rFonts w:hint="eastAsia" w:ascii="宋体" w:hAnsi="宋体" w:eastAsia="宋体" w:cs="宋体"/>
          <w:b/>
          <w:bCs/>
          <w:color w:val="auto"/>
          <w:sz w:val="21"/>
          <w:szCs w:val="21"/>
          <w:highlight w:val="none"/>
          <w:lang w:val="en-US" w:eastAsia="zh-CN" w:bidi="ar"/>
        </w:rPr>
        <w:t xml:space="preserve">配件采购索证索票制度</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投标人须建立健全采购索证索票管理要求，所有供货厂商资质合法有效，产品具备合格证明、检测报告等相关文件；采购过程留存票据、合同、检验资料，做到</w:t>
      </w:r>
      <w:r>
        <w:rPr>
          <w:rStyle w:val="986"/>
          <w:rFonts w:hint="eastAsia" w:ascii="宋体" w:hAnsi="宋体" w:eastAsia="宋体" w:cs="宋体"/>
          <w:b w:val="0"/>
          <w:bCs w:val="0"/>
          <w:color w:val="auto"/>
          <w:sz w:val="21"/>
          <w:szCs w:val="21"/>
          <w:highlight w:val="none"/>
          <w:lang w:val="en-US" w:eastAsia="zh-CN" w:bidi="ar"/>
        </w:rPr>
        <w:t xml:space="preserve">来源可查、凭证齐全、归档规范</w:t>
      </w:r>
      <w:r>
        <w:rPr>
          <w:rFonts w:hint="eastAsia" w:ascii="宋体" w:hAnsi="宋体" w:eastAsia="宋体" w:cs="宋体"/>
          <w:b w:val="0"/>
          <w:bCs w:val="0"/>
          <w:color w:val="auto"/>
          <w:sz w:val="21"/>
          <w:szCs w:val="21"/>
          <w:highlight w:val="none"/>
          <w:lang w:val="en-US" w:eastAsia="zh-CN" w:bidi="ar"/>
        </w:rPr>
        <w:t xml:space="preserve">，确保所供耗材符合医院使用与合规管理要求。</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出入库台账登记制度</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投标人须建立规范的出入库台账登记制度，对耗材名称、规格、型号、数量、批次、厂家、入库时间、出库时间、领用去向等信息进行</w:t>
      </w:r>
      <w:r>
        <w:rPr>
          <w:rStyle w:val="986"/>
          <w:rFonts w:hint="eastAsia" w:ascii="宋体" w:hAnsi="宋体" w:eastAsia="宋体" w:cs="宋体"/>
          <w:b w:val="0"/>
          <w:bCs w:val="0"/>
          <w:color w:val="auto"/>
          <w:sz w:val="21"/>
          <w:szCs w:val="21"/>
          <w:highlight w:val="none"/>
          <w:lang w:val="en-US" w:eastAsia="zh-CN" w:bidi="ar"/>
        </w:rPr>
        <w:t xml:space="preserve">逐笔登记、及时更新</w:t>
      </w:r>
      <w:r>
        <w:rPr>
          <w:rFonts w:hint="eastAsia" w:ascii="宋体" w:hAnsi="宋体" w:eastAsia="宋体" w:cs="宋体"/>
          <w:b w:val="0"/>
          <w:bCs w:val="0"/>
          <w:color w:val="auto"/>
          <w:sz w:val="21"/>
          <w:szCs w:val="21"/>
          <w:highlight w:val="none"/>
          <w:lang w:val="en-US" w:eastAsia="zh-CN" w:bidi="ar"/>
        </w:rPr>
        <w:t xml:space="preserve">；做到账物相符、记录完整、清晰可查，满足医院日常核对与审计检查需要。</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库存管理制度：</w:t>
      </w:r>
      <w:r>
        <w:rPr>
          <w:rFonts w:hint="eastAsia" w:ascii="宋体" w:hAnsi="宋体" w:eastAsia="宋体" w:cs="宋体"/>
          <w:b w:val="0"/>
          <w:bCs w:val="0"/>
          <w:color w:val="auto"/>
          <w:sz w:val="21"/>
          <w:szCs w:val="21"/>
          <w:highlight w:val="none"/>
          <w:lang w:val="en-US" w:eastAsia="zh-CN" w:bidi="ar"/>
        </w:rPr>
        <w:t xml:space="preserve">投标人须建立符合医院耗材管理要求的库存管理制度，做到</w:t>
      </w:r>
      <w:r>
        <w:rPr>
          <w:rStyle w:val="986"/>
          <w:rFonts w:hint="eastAsia" w:ascii="宋体" w:hAnsi="宋体" w:eastAsia="宋体" w:cs="宋体"/>
          <w:b w:val="0"/>
          <w:bCs w:val="0"/>
          <w:color w:val="auto"/>
          <w:sz w:val="21"/>
          <w:szCs w:val="21"/>
          <w:highlight w:val="none"/>
          <w:lang w:val="en-US" w:eastAsia="zh-CN" w:bidi="ar"/>
        </w:rPr>
        <w:t xml:space="preserve">分区分类、码放整齐、离地离墙、防潮防锈、防尘防损</w:t>
      </w:r>
      <w:r>
        <w:rPr>
          <w:rFonts w:hint="eastAsia" w:ascii="宋体" w:hAnsi="宋体" w:eastAsia="宋体" w:cs="宋体"/>
          <w:b w:val="0"/>
          <w:bCs w:val="0"/>
          <w:color w:val="auto"/>
          <w:sz w:val="21"/>
          <w:szCs w:val="21"/>
          <w:highlight w:val="none"/>
          <w:lang w:val="en-US" w:eastAsia="zh-CN" w:bidi="ar"/>
        </w:rPr>
        <w:t xml:space="preserve">；定期盘点、及时补货，确保库存安全、数量准确、周转顺畅，保障医院不间断供应。</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质量追溯管理制度</w:t>
      </w:r>
      <w:r>
        <w:rPr>
          <w:rStyle w:val="986"/>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投标人须建立全程质量追溯管理制度，实现从采购、入库、存储、配送到使用的</w:t>
      </w:r>
      <w:r>
        <w:rPr>
          <w:rStyle w:val="986"/>
          <w:rFonts w:hint="eastAsia" w:ascii="宋体" w:hAnsi="宋体" w:eastAsia="宋体" w:cs="宋体"/>
          <w:b w:val="0"/>
          <w:bCs w:val="0"/>
          <w:color w:val="auto"/>
          <w:sz w:val="21"/>
          <w:szCs w:val="21"/>
          <w:highlight w:val="none"/>
          <w:lang w:val="en-US" w:eastAsia="zh-CN" w:bidi="ar"/>
        </w:rPr>
        <w:t xml:space="preserve">全链条可追溯</w:t>
      </w:r>
      <w:r>
        <w:rPr>
          <w:rFonts w:hint="eastAsia" w:ascii="宋体" w:hAnsi="宋体" w:eastAsia="宋体" w:cs="宋体"/>
          <w:b w:val="0"/>
          <w:bCs w:val="0"/>
          <w:color w:val="auto"/>
          <w:sz w:val="21"/>
          <w:szCs w:val="21"/>
          <w:highlight w:val="none"/>
          <w:lang w:val="en-US" w:eastAsia="zh-CN" w:bidi="ar"/>
        </w:rPr>
        <w:t xml:space="preserve">；一旦出现质量问题，能够快速锁定批次、查明原因、及时处置，按要求完成退换与召回，保障使用安全。</w:t>
      </w:r>
      <w:r/>
    </w:p>
    <w:p>
      <w:pPr>
        <w:numPr>
          <w:ilvl w:val="0"/>
          <w:numId w:val="0"/>
        </w:numPr>
        <w:ind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安全管理方案</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人员安全管理：</w:t>
      </w:r>
      <w:r>
        <w:rPr>
          <w:rFonts w:hint="eastAsia" w:ascii="宋体" w:hAnsi="宋体" w:eastAsia="宋体" w:cs="宋体"/>
          <w:color w:val="auto"/>
          <w:sz w:val="21"/>
          <w:szCs w:val="21"/>
          <w:highlight w:val="none"/>
          <w:lang w:val="en-US" w:eastAsia="zh-CN" w:bidi="ar"/>
        </w:rPr>
        <w:t xml:space="preserve">投标人须建立人员安全管理规范，所有上岗人员须经安全培训合格，遵守医院安全管理规定；配送人员持证上岗、规范操作，做好个人防护，杜绝违规作业，确保作业期间人身安全。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Style w:val="986"/>
          <w:rFonts w:hint="eastAsia" w:ascii="宋体" w:hAnsi="宋体" w:eastAsia="宋体" w:cs="宋体"/>
          <w:b/>
          <w:bCs/>
          <w:color w:val="auto"/>
          <w:sz w:val="21"/>
          <w:szCs w:val="21"/>
          <w:highlight w:val="none"/>
          <w:lang w:val="en-US" w:eastAsia="zh-CN" w:bidi="ar"/>
        </w:rPr>
        <w:t xml:space="preserve">配件存储安全管理：</w:t>
      </w:r>
      <w:r>
        <w:rPr>
          <w:rFonts w:hint="eastAsia" w:ascii="宋体" w:hAnsi="宋体" w:eastAsia="宋体" w:cs="宋体"/>
          <w:color w:val="auto"/>
          <w:sz w:val="21"/>
          <w:szCs w:val="21"/>
          <w:highlight w:val="none"/>
          <w:lang w:val="en-US" w:eastAsia="zh-CN" w:bidi="ar"/>
        </w:rPr>
        <w:t xml:space="preserve">投标人须建立配件存储安全管理制度，做到分类分区存放、防潮防锈、防火防盗、防挤压破损；严格执行仓储安全规范，定期排查安全隐患，确保库存物资存放安全、完好无损。</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配送车辆 / 仓储环境安全管理：</w:t>
      </w:r>
      <w:r>
        <w:rPr>
          <w:rFonts w:hint="eastAsia" w:ascii="宋体" w:hAnsi="宋体" w:eastAsia="宋体" w:cs="宋体"/>
          <w:color w:val="auto"/>
          <w:sz w:val="21"/>
          <w:szCs w:val="21"/>
          <w:highlight w:val="none"/>
          <w:lang w:val="en-US" w:eastAsia="zh-CN" w:bidi="ar"/>
        </w:rPr>
        <w:t xml:space="preserve">投标人须对配送车辆与仓储场所实行常态化安全管理，定期检查车辆状况、消防设施、用电安全、安防监控；保持车辆与仓储环境整洁有序，符合消防、安防及医院安全管理要求，保障配送与存储全过程安全。</w:t>
      </w:r>
      <w:r/>
    </w:p>
    <w:p>
      <w:pPr>
        <w:numPr>
          <w:ilvl w:val="0"/>
          <w:numId w:val="5"/>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应急处置预案（</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紧急抢修 / 突发配送需求保障：</w:t>
      </w:r>
      <w:r>
        <w:rPr>
          <w:rFonts w:hint="eastAsia" w:ascii="宋体" w:hAnsi="宋体" w:eastAsia="宋体" w:cs="宋体"/>
          <w:color w:val="auto"/>
          <w:sz w:val="21"/>
          <w:szCs w:val="21"/>
          <w:highlight w:val="none"/>
          <w:lang w:val="en-US" w:eastAsia="zh-CN" w:bidi="ar"/>
        </w:rPr>
        <w:t xml:space="preserve">投标人须建立应急配送机制，配备应急人员与备用物资，接到医院紧急抢修、突发耗材需求时，做到快速响应、优先备货、优先配送，确保及时满足医院应急使用。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恶劣天气配送保障：</w:t>
      </w:r>
      <w:r>
        <w:rPr>
          <w:rFonts w:hint="eastAsia" w:ascii="宋体" w:hAnsi="宋体" w:eastAsia="宋体" w:cs="宋体"/>
          <w:color w:val="auto"/>
          <w:sz w:val="21"/>
          <w:szCs w:val="21"/>
          <w:highlight w:val="none"/>
          <w:lang w:val="en-US" w:eastAsia="zh-CN" w:bidi="ar"/>
        </w:rPr>
        <w:t xml:space="preserve">投标人须针对雨雪、大风、高温、冰冻等恶劣天气制定专项保障方案，提前做好路线规划、车辆防护、物资保护，确保在恶劣天气下仍能安全、稳定完成配送任务。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质量问题应急处理：</w:t>
      </w:r>
      <w:r>
        <w:rPr>
          <w:rFonts w:hint="eastAsia" w:ascii="宋体" w:hAnsi="宋体" w:eastAsia="宋体" w:cs="宋体"/>
          <w:color w:val="auto"/>
          <w:sz w:val="21"/>
          <w:szCs w:val="21"/>
          <w:highlight w:val="none"/>
          <w:lang w:val="en-US" w:eastAsia="zh-CN" w:bidi="ar"/>
        </w:rPr>
        <w:t xml:space="preserve">投标人须建立质量问题应急处理流程，发现耗材质量不合格、破损、错发等情况，立即停止使用、就地封存，无条件退换并快速补发，全程配合医院处置。</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Style w:val="986"/>
          <w:rFonts w:hint="eastAsia" w:ascii="宋体" w:hAnsi="宋体" w:eastAsia="宋体" w:cs="宋体"/>
          <w:b/>
          <w:bCs/>
          <w:color w:val="auto"/>
          <w:sz w:val="21"/>
          <w:szCs w:val="21"/>
          <w:highlight w:val="none"/>
          <w:lang w:val="en-US" w:eastAsia="zh-CN" w:bidi="ar"/>
        </w:rPr>
        <w:t xml:space="preserve">配送延误补救措施：</w:t>
      </w:r>
      <w:r>
        <w:rPr>
          <w:rFonts w:hint="eastAsia" w:ascii="宋体" w:hAnsi="宋体" w:eastAsia="宋体" w:cs="宋体"/>
          <w:color w:val="auto"/>
          <w:sz w:val="21"/>
          <w:szCs w:val="21"/>
          <w:highlight w:val="none"/>
          <w:lang w:val="en-US" w:eastAsia="zh-CN" w:bidi="ar"/>
        </w:rPr>
        <w:t xml:space="preserve">投标人须制定配送延误预警与补救方案，因特殊情况可能延迟时第一时间告知医院，并立即启动备用车辆、人员或配送方式，最大限度缩短延误时间，降低对医院使用的影响。</w:t>
      </w:r>
      <w:r>
        <w:rPr>
          <w:rFonts w:hint="eastAsia" w:ascii="宋体" w:hAnsi="宋体" w:eastAsia="宋体" w:cs="宋体"/>
          <w:color w:val="auto"/>
          <w:sz w:val="21"/>
          <w:szCs w:val="21"/>
          <w:highlight w:val="none"/>
        </w:rPr>
        <w:t xml:space="preserve"> </w:t>
      </w:r>
      <w:r/>
    </w:p>
    <w:p>
      <w:pPr>
        <w:contextualSpacing/>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zh-CN" w:eastAsia="zh-CN"/>
        </w:rPr>
        <w:t xml:space="preserve">、综合说明：</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、投标供应商须保证所提供的投标文件真实有效，如因投标单位的投标文件不实而造成的后果由各投标单位自行承担。有虚假应标行为经查实的投标文件，评标小组有权予以其废标。</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、投标人应对所投项目的全部内容进行报价，只投其中部分内容者，其标书将被拒绝。</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zh-CN" w:eastAsia="zh-CN" w:bidi="ar-SA"/>
        </w:rPr>
        <w:t xml:space="preserve">、中标单位对服务缺陷不予更正，采购有权另请其他单位更正。</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CN" w:eastAsia="zh-CN" w:bidi="ar-SA"/>
        </w:rPr>
        <w:t xml:space="preserve">、中标单位须按照本招标文件的要求对该招标项目进行工作。</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zh-CN" w:eastAsia="zh-CN" w:bidi="ar-SA"/>
        </w:rPr>
        <w:t xml:space="preserve">、如遇采购范围内有大的调整情况，采购人将提前告知中标单位，合同内容经双方协商调整。</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7</w:t>
      </w:r>
      <w:r>
        <w:rPr>
          <w:rFonts w:hint="eastAsia" w:ascii="宋体" w:hAnsi="宋体" w:eastAsia="宋体" w:cs="宋体"/>
          <w:bCs/>
          <w:color w:val="auto"/>
          <w:sz w:val="21"/>
          <w:szCs w:val="21"/>
          <w:highlight w:val="none"/>
          <w:lang w:val="zh-CN" w:eastAsia="zh-CN" w:bidi="ar-SA"/>
        </w:rPr>
        <w:t xml:space="preserve">、中标人有责任配合招标人接受上级领导部门的监督、检查，提供必须的资料。</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lang w:val="zh-CN" w:eastAsia="zh-CN" w:bidi="ar-SA"/>
        </w:rPr>
        <w:t xml:space="preserve">、招标人不接受投标人任何因遗漏报价而发生的费用追加，因投标人违反《劳动法》等法律法规而造成招标人的连带责任和损失全部由中标人承担。</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bCs/>
          <w:color w:val="auto"/>
          <w:sz w:val="21"/>
          <w:szCs w:val="21"/>
          <w:highlight w:val="none"/>
          <w:lang w:val="en-US" w:eastAsia="zh-CN" w:bidi="ar-SA"/>
        </w:rPr>
        <w:t xml:space="preserve">9</w:t>
      </w:r>
      <w:r>
        <w:rPr>
          <w:rFonts w:hint="eastAsia" w:ascii="宋体" w:hAnsi="宋体" w:eastAsia="宋体" w:cs="宋体"/>
          <w:bCs/>
          <w:color w:val="auto"/>
          <w:sz w:val="21"/>
          <w:szCs w:val="21"/>
          <w:highlight w:val="none"/>
          <w:lang w:val="zh-CN" w:eastAsia="zh-CN" w:bidi="ar-SA"/>
        </w:rPr>
        <w:t xml:space="preserve">、凡涉及招标文件的补充说明和修改，均以江苏省政府采购网、苏州市政府采购网最后发布的内容为准。</w:t>
      </w:r>
      <w:bookmarkStart w:id="5" w:name="_Toc25002"/>
      <w:r/>
      <w:r/>
    </w:p>
    <w:p>
      <w:pPr>
        <w:jc w:val="center"/>
        <w:spacing w:line="400" w:lineRule="exact"/>
        <w:rPr>
          <w:rStyle w:val="992"/>
          <w:rFonts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t xml:space="preserve">第四章 投标文件格式</w:t>
      </w:r>
      <w:bookmarkEnd w:id="5"/>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0" w:firstLine="1807"/>
        <w:keepLines w:val="0"/>
        <w:keepNext w:val="0"/>
        <w:pageBreakBefore w:val="0"/>
        <w:spacing w:line="360" w:lineRule="auto"/>
        <w:widowControl/>
        <w:rPr>
          <w:b/>
          <w:color w:val="auto"/>
          <w:sz w:val="36"/>
          <w:szCs w:val="36"/>
          <w:highlight w:val="none"/>
        </w:rPr>
      </w:pPr>
      <w:r>
        <w:rPr>
          <w:rFonts w:hint="eastAsia"/>
          <w:b/>
          <w:color w:val="auto"/>
          <w:sz w:val="36"/>
          <w:szCs w:val="36"/>
          <w:highlight w:val="none"/>
        </w:rPr>
        <w:t xml:space="preserve">招标单位： </w:t>
      </w:r>
      <w:r/>
    </w:p>
    <w:p>
      <w:pPr>
        <w:ind w:left="0" w:firstLine="1807"/>
        <w:keepLines w:val="0"/>
        <w:keepNext w:val="0"/>
        <w:pageBreakBefore w:val="0"/>
        <w:spacing w:line="360" w:lineRule="auto"/>
        <w:widowControl/>
        <w:rPr>
          <w:b/>
          <w:color w:val="auto"/>
          <w:sz w:val="36"/>
          <w:szCs w:val="36"/>
          <w:highlight w:val="none"/>
        </w:rPr>
      </w:pPr>
      <w:r>
        <w:rPr>
          <w:b/>
          <w:color w:val="auto"/>
          <w:sz w:val="36"/>
          <w:szCs w:val="36"/>
          <w:highlight w:val="none"/>
        </w:rPr>
        <w:t xml:space="preserve">项目名称：</w:t>
      </w:r>
      <w:r/>
    </w:p>
    <w:p>
      <w:pPr>
        <w:ind w:left="0" w:firstLine="1807"/>
        <w:keepLines w:val="0"/>
        <w:keepNext w:val="0"/>
        <w:pageBreakBefore w:val="0"/>
        <w:spacing w:line="360" w:lineRule="auto"/>
        <w:widowControl/>
        <w:rPr>
          <w:b/>
          <w:color w:val="auto"/>
          <w:sz w:val="36"/>
          <w:szCs w:val="36"/>
          <w:highlight w:val="none"/>
        </w:rPr>
      </w:pPr>
      <w:r>
        <w:rPr>
          <w:rFonts w:hint="eastAsia"/>
          <w:b/>
          <w:color w:val="auto"/>
          <w:sz w:val="36"/>
          <w:szCs w:val="36"/>
          <w:highlight w:val="none"/>
        </w:rPr>
        <w:t xml:space="preserve">项目编号： </w:t>
      </w:r>
      <w:r/>
    </w:p>
    <w:p>
      <w:pPr>
        <w:ind w:left="0" w:firstLine="720"/>
        <w:keepLines w:val="0"/>
        <w:keepNext w:val="0"/>
        <w:pageBreakBefore w:val="0"/>
        <w:spacing w:line="360" w:lineRule="auto"/>
        <w:widowControl/>
        <w:rPr>
          <w:rFonts w:hint="default" w:eastAsia="宋体"/>
          <w:color w:val="auto"/>
          <w:sz w:val="36"/>
          <w:szCs w:val="36"/>
          <w:highlight w:val="none"/>
          <w:lang w:val="en-US" w:eastAsia="zh-CN"/>
        </w:rPr>
      </w:pPr>
      <w:r>
        <w:rPr>
          <w:rFonts w:hint="eastAsia"/>
          <w:color w:val="auto"/>
          <w:sz w:val="36"/>
          <w:szCs w:val="36"/>
          <w:highlight w:val="none"/>
          <w:lang w:val="en-US" w:eastAsia="zh-CN"/>
        </w:rPr>
        <w:t xml:space="preserve">      </w:t>
      </w:r>
      <w:r/>
    </w:p>
    <w:p>
      <w:pPr>
        <w:ind w:firstLine="542"/>
        <w:rPr>
          <w:b/>
          <w:color w:val="auto"/>
          <w:sz w:val="36"/>
          <w:szCs w:val="36"/>
          <w:highlight w:val="none"/>
        </w:rPr>
      </w:pPr>
      <w:r>
        <w:rPr>
          <w:b/>
          <w:color w:val="auto"/>
          <w:sz w:val="36"/>
          <w:szCs w:val="36"/>
          <w:highlight w:val="none"/>
        </w:rPr>
      </w:r>
      <w:r/>
    </w:p>
    <w:p>
      <w:pPr>
        <w:ind w:firstLine="542"/>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p>
    <w:p>
      <w:pPr>
        <w:ind w:left="617"/>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lang w:val="en-US" w:eastAsia="zh-CN"/>
        </w:rPr>
        <w:t xml:space="preserve">  </w:t>
      </w:r>
      <w:r>
        <w:rPr>
          <w:b/>
          <w:color w:val="auto"/>
          <w:sz w:val="36"/>
          <w:szCs w:val="36"/>
          <w:highlight w:val="none"/>
        </w:rPr>
        <w:t xml:space="preserve">年</w:t>
      </w:r>
      <w:r>
        <w:rPr>
          <w:rFonts w:hint="eastAsia"/>
          <w:b/>
          <w:color w:val="auto"/>
          <w:sz w:val="36"/>
          <w:szCs w:val="36"/>
          <w:highlight w:val="none"/>
          <w:lang w:val="en-US" w:eastAsia="zh-CN"/>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52"/>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报价部分</w:t>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rPr>
          <w:rFonts w:hint="eastAsia" w:ascii="宋体" w:hAnsi="宋体" w:cs="宋体"/>
          <w:b/>
          <w:bCs/>
          <w:color w:val="auto"/>
          <w:sz w:val="21"/>
          <w:szCs w:val="21"/>
          <w:highlight w:val="none"/>
          <w:lang w:val="zh-CN"/>
        </w:rPr>
        <w:t xml:space="preserve">）</w:t>
      </w:r>
      <w:r/>
    </w:p>
    <w:p>
      <w:pPr>
        <w:pStyle w:val="1009"/>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项目名称：          </w:t>
      </w:r>
      <w:r/>
    </w:p>
    <w:tbl>
      <w:tblPr>
        <w:tblStyle w:val="960"/>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tcPr>
          <w:p>
            <w:pPr>
              <w:jc w:val="center"/>
              <w:spacing w:line="360" w:lineRule="auto"/>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 xml:space="preserve">投标优惠率</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tcPr>
          <w:p>
            <w:pPr>
              <w:spacing w:line="360" w:lineRule="auto"/>
              <w:rPr>
                <w:rFonts w:cs="宋体"/>
                <w:color w:val="auto"/>
                <w:sz w:val="21"/>
                <w:szCs w:val="21"/>
                <w:highlight w:val="none"/>
              </w:rPr>
            </w:pPr>
            <w:r>
              <w:rPr>
                <w:rFonts w:cs="宋体"/>
                <w:color w:val="auto"/>
                <w:sz w:val="21"/>
                <w:szCs w:val="21"/>
                <w:highlight w:val="none"/>
              </w:rPr>
            </w:r>
            <w:r/>
          </w:p>
        </w:tc>
      </w:tr>
    </w:tbl>
    <w:p>
      <w:pPr>
        <w:ind w:firstLine="420"/>
        <w:jc w:val="left"/>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eastAsia="zh-CN" w:bidi="ar-SA"/>
        </w:rPr>
        <w:t xml:space="preserve">优惠率报价</w:t>
      </w:r>
      <w:r>
        <w:rPr>
          <w:rFonts w:hint="eastAsia" w:ascii="宋体" w:hAnsi="宋体" w:cs="宋体"/>
          <w:color w:val="auto"/>
          <w:sz w:val="21"/>
          <w:szCs w:val="21"/>
          <w:highlight w:val="none"/>
          <w:lang w:val="en-US" w:eastAsia="zh-CN"/>
        </w:rPr>
        <w:t xml:space="preserve">。最终结算单价=单价最高限价*（1-中标优惠率）</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投标单位对所投项目的全部内容进行报价，</w:t>
      </w:r>
      <w:r>
        <w:rPr>
          <w:rFonts w:hint="eastAsia" w:ascii="宋体" w:hAnsi="宋体" w:eastAsia="宋体" w:cs="宋体"/>
          <w:color w:val="auto"/>
          <w:sz w:val="21"/>
          <w:szCs w:val="21"/>
          <w:highlight w:val="none"/>
          <w:lang w:val="zh-CN"/>
        </w:rPr>
        <w:t xml:space="preserve">投标报应包括完成该项工作所需的货物、人工（包括工资、奖金、社保、正常节假日的加班费、配送人员餐费及完成标书合同规定服务内容发生的延时加班等费用）、</w:t>
      </w:r>
      <w:r>
        <w:rPr>
          <w:rFonts w:hint="eastAsia" w:ascii="宋体" w:hAnsi="宋体" w:cs="宋体"/>
          <w:color w:val="auto"/>
          <w:sz w:val="21"/>
          <w:szCs w:val="21"/>
          <w:highlight w:val="none"/>
          <w:lang w:val="zh-CN"/>
        </w:rPr>
        <w:t xml:space="preserve">专用设备、运费，损耗费、装卸费、检测费</w:t>
      </w:r>
      <w:r>
        <w:rPr>
          <w:rFonts w:hint="eastAsia" w:ascii="宋体" w:hAnsi="宋体" w:eastAsia="宋体" w:cs="宋体"/>
          <w:color w:val="auto"/>
          <w:sz w:val="21"/>
          <w:szCs w:val="21"/>
          <w:highlight w:val="none"/>
          <w:lang w:val="zh-CN"/>
        </w:rPr>
        <w:t xml:space="preserve">、服装、通讯、保险、各种税费、利润、政策性文件规定及合同包含的所有风险、责任等的费用。投标报价为最终报价，除非因特殊原因并经买卖双方协商同意，投标人不得再要求追加任何费用。</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投标报价中必须适当考虑不在预期中的未知费用。</w:t>
      </w:r>
      <w:r/>
    </w:p>
    <w:p>
      <w:pPr>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投标</w:t>
      </w:r>
      <w:r>
        <w:rPr>
          <w:rFonts w:hint="eastAsia" w:ascii="宋体" w:hAnsi="宋体"/>
          <w:color w:val="auto"/>
          <w:sz w:val="21"/>
          <w:szCs w:val="21"/>
          <w:highlight w:val="none"/>
          <w:lang w:val="zh-CN"/>
        </w:rPr>
        <w:t xml:space="preserve">单位</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日期：年月日</w:t>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投标报价合理性说明（如有）</w:t>
      </w:r>
      <w:r/>
    </w:p>
    <w:p>
      <w:pPr>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b/>
          <w:color w:val="auto"/>
          <w:sz w:val="44"/>
          <w:szCs w:val="44"/>
          <w:highlight w:val="none"/>
        </w:rPr>
      </w:pPr>
      <w:r>
        <w:rPr>
          <w:rFonts w:hint="eastAsia" w:ascii="宋体" w:hAnsi="宋体" w:cs="宋体"/>
          <w:color w:val="auto"/>
          <w:sz w:val="21"/>
          <w:szCs w:val="21"/>
          <w:highlight w:val="none"/>
          <w:lang w:val="zh-CN"/>
        </w:rPr>
        <w:t xml:space="preserve">      年     月     日</w:t>
      </w:r>
      <w:r/>
    </w:p>
    <w:p>
      <w:pPr>
        <w:pStyle w:val="961"/>
        <w:jc w:val="both"/>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both"/>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r>
      <w:r/>
    </w:p>
    <w:p>
      <w:pPr>
        <w:pStyle w:val="961"/>
        <w:jc w:val="center"/>
        <w:rPr>
          <w:rFonts w:hint="eastAsia"/>
          <w:b/>
          <w:color w:val="auto"/>
          <w:sz w:val="44"/>
          <w:szCs w:val="44"/>
          <w:highlight w:val="none"/>
        </w:rPr>
      </w:pPr>
      <w:r>
        <w:rPr>
          <w:rFonts w:hint="eastAsia"/>
          <w:b/>
          <w:color w:val="auto"/>
          <w:sz w:val="44"/>
          <w:szCs w:val="44"/>
          <w:highlight w:val="none"/>
        </w:rPr>
        <w:t xml:space="preserve">资格性、符合性、商务、技术部分</w:t>
      </w:r>
      <w:r/>
    </w:p>
    <w:p>
      <w:pPr>
        <w:pStyle w:val="961"/>
        <w:jc w:val="center"/>
        <w:rPr>
          <w:rFonts w:hint="eastAsia"/>
          <w:b/>
          <w:color w:val="auto"/>
          <w:sz w:val="44"/>
          <w:szCs w:val="44"/>
          <w:highlight w:val="none"/>
        </w:rPr>
      </w:pPr>
      <w:r>
        <w:rPr>
          <w:rFonts w:hint="eastAsia"/>
          <w:b/>
          <w:color w:val="auto"/>
          <w:sz w:val="44"/>
          <w:szCs w:val="44"/>
          <w:highlight w:val="none"/>
        </w:rPr>
      </w:r>
      <w:r/>
    </w:p>
    <w:p>
      <w:pPr>
        <w:pStyle w:val="962"/>
        <w:numPr>
          <w:ilvl w:val="0"/>
          <w:numId w:val="6"/>
        </w:numP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62"/>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62"/>
        <w:ind w:firstLine="0"/>
        <w:rPr>
          <w:rFonts w:ascii="宋体" w:hAnsi="宋体" w:eastAsia="宋体" w:cs="宋体"/>
          <w:b/>
          <w:color w:val="auto"/>
          <w:highlight w:val="none"/>
        </w:rPr>
      </w:pPr>
      <w:r>
        <w:rPr>
          <w:rFonts w:ascii="宋体" w:hAnsi="宋体" w:eastAsia="宋体" w:cs="宋体"/>
          <w:b/>
          <w:color w:val="auto"/>
          <w:highlight w:val="none"/>
        </w:rPr>
      </w:r>
      <w:r/>
    </w:p>
    <w:p>
      <w:pPr>
        <w:pStyle w:val="962"/>
        <w:ind w:firstLine="0"/>
        <w:rPr>
          <w:rFonts w:ascii="宋体" w:hAnsi="宋体" w:eastAsia="宋体" w:cs="宋体"/>
          <w:color w:val="auto"/>
          <w:highlight w:val="none"/>
        </w:rPr>
      </w:pPr>
      <w:r>
        <w:rPr>
          <w:rFonts w:ascii="宋体" w:hAnsi="宋体" w:eastAsia="宋体" w:cs="宋体"/>
          <w:color w:val="auto"/>
          <w:highlight w:val="none"/>
        </w:rPr>
      </w:r>
      <w:r/>
    </w:p>
    <w:p>
      <w:pPr>
        <w:pStyle w:val="962"/>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6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62"/>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09"/>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苏州泰至鑫项目管理有限公司</w:t>
      </w:r>
      <w:r>
        <w:rPr>
          <w:rFonts w:hint="eastAsia" w:hAnsi="宋体" w:eastAsia="宋体" w:cs="宋体"/>
          <w:b/>
          <w:bCs/>
          <w:color w:val="auto"/>
          <w:sz w:val="21"/>
          <w:szCs w:val="21"/>
          <w:highlight w:val="none"/>
        </w:rPr>
        <w:t xml:space="preserve">：</w:t>
      </w:r>
      <w:r/>
    </w:p>
    <w:p>
      <w:pPr>
        <w:pStyle w:val="962"/>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62"/>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投标单位营业执照或独立法人证书副本或三证合一营业执照扫描件；</w:t>
      </w:r>
      <w:r/>
    </w:p>
    <w:p>
      <w:pPr>
        <w:pStyle w:val="962"/>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962"/>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962"/>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962"/>
        <w:numPr>
          <w:ilvl w:val="0"/>
          <w:numId w:val="6"/>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1009"/>
        <w:jc w:val="center"/>
        <w:rPr>
          <w:rFonts w:hAnsi="宋体" w:eastAsia="宋体" w:cs="宋体"/>
          <w:b/>
          <w:bCs/>
          <w:color w:val="auto"/>
          <w:sz w:val="24"/>
          <w:szCs w:val="24"/>
          <w:highlight w:val="none"/>
        </w:rPr>
      </w:pPr>
      <w:r>
        <w:rPr>
          <w:rFonts w:hAnsi="宋体" w:eastAsia="宋体" w:cs="宋体"/>
          <w:b/>
          <w:bCs/>
          <w:color w:val="auto"/>
          <w:sz w:val="24"/>
          <w:szCs w:val="24"/>
          <w:highlight w:val="none"/>
        </w:rPr>
      </w:r>
      <w:r/>
    </w:p>
    <w:p>
      <w:pPr>
        <w:rPr>
          <w:b/>
          <w:bCs/>
          <w:color w:val="auto"/>
          <w:szCs w:val="21"/>
          <w:highlight w:val="none"/>
        </w:rPr>
      </w:pPr>
      <w:r>
        <w:rPr>
          <w:b/>
          <w:bCs/>
          <w:color w:val="auto"/>
          <w:szCs w:val="21"/>
          <w:highlight w:val="none"/>
        </w:rPr>
      </w:r>
      <w:r/>
    </w:p>
    <w:p>
      <w:pPr>
        <w:pStyle w:val="1009"/>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我单位在参加政府采购活动前三年内，没有重大违法记录，特此声明。</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格式7：</w:t>
      </w:r>
      <w:r>
        <w:rPr>
          <w:rFonts w:hint="eastAsia" w:ascii="宋体" w:hAnsi="宋体" w:eastAsia="宋体" w:cs="宋体"/>
          <w:b/>
          <w:bCs/>
          <w:color w:val="auto"/>
          <w:sz w:val="21"/>
          <w:szCs w:val="21"/>
          <w:highlight w:val="none"/>
        </w:rPr>
        <w:t xml:space="preserve">法律、行政法规规定的其他条件</w:t>
      </w:r>
      <w:r/>
    </w:p>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格式8：</w:t>
      </w: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rFonts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格式9：</w:t>
      </w:r>
      <w:r>
        <w:rPr>
          <w:rFonts w:hint="eastAsia" w:ascii="宋体" w:hAnsi="宋体" w:eastAsia="宋体" w:cs="宋体"/>
          <w:b/>
          <w:bCs/>
          <w:color w:val="auto"/>
          <w:sz w:val="21"/>
          <w:szCs w:val="21"/>
          <w:highlight w:val="none"/>
        </w:rPr>
        <w:t xml:space="preserve">投标人基本情况表</w:t>
      </w:r>
      <w:r/>
    </w:p>
    <w:p>
      <w:pPr>
        <w:pStyle w:val="962"/>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p>
    <w:tbl>
      <w:tblPr>
        <w:tblStyle w:val="96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224"/>
      </w:tblGrid>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ind w:firstLine="216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24"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格式10：</w:t>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ascii="宋体" w:hAnsi="宋体" w:cs="宋体"/>
          <w:b/>
          <w:color w:val="auto"/>
          <w:sz w:val="21"/>
          <w:szCs w:val="21"/>
          <w:highlight w:val="none"/>
          <w:lang w:val="zh-CN"/>
        </w:rPr>
        <w:outlineLvl w:val="0"/>
      </w:pPr>
      <w:r>
        <w:rPr>
          <w:rFonts w:ascii="宋体" w:hAnsi="宋体" w:cs="宋体"/>
          <w:b/>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bookmarkStart w:id="6" w:name="_Toc17310"/>
      <w:r/>
      <w:bookmarkStart w:id="7" w:name="_Toc18702"/>
      <w:r/>
      <w:bookmarkStart w:id="8" w:name="_Toc24626"/>
      <w:r/>
      <w:bookmarkStart w:id="9" w:name="_Toc5717"/>
      <w:r/>
      <w:bookmarkStart w:id="10" w:name="_Toc20811"/>
      <w:r/>
      <w:bookmarkStart w:id="11" w:name="_Toc14425"/>
      <w:r/>
      <w:bookmarkStart w:id="12" w:name="_Toc9742"/>
      <w:r/>
      <w:bookmarkStart w:id="13" w:name="_Toc29896"/>
      <w:r>
        <w:rPr>
          <w:rFonts w:hint="eastAsia" w:ascii="宋体" w:hAnsi="宋体" w:cs="宋体"/>
          <w:b/>
          <w:color w:val="auto"/>
          <w:sz w:val="21"/>
          <w:szCs w:val="21"/>
          <w:highlight w:val="none"/>
          <w:lang w:val="zh-CN"/>
        </w:rPr>
        <w:t xml:space="preserve">法人授权委托书</w:t>
      </w:r>
      <w:bookmarkEnd w:id="6"/>
      <w:r/>
      <w:bookmarkEnd w:id="7"/>
      <w:r/>
      <w:bookmarkEnd w:id="8"/>
      <w:r/>
      <w:bookmarkEnd w:id="9"/>
      <w:r/>
      <w:bookmarkEnd w:id="10"/>
      <w:r/>
      <w:bookmarkEnd w:id="11"/>
      <w:r/>
      <w:bookmarkEnd w:id="12"/>
      <w:r/>
      <w:bookmarkEnd w:id="13"/>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（姓名）系（投标人名称）的法定代表人，现授权委托（姓名）为我公司代理人，以本公司的名义参加苏州泰至鑫项目管理有限公司组织实施的</w:t>
      </w:r>
      <w:r>
        <w:rPr>
          <w:rFonts w:hint="eastAsia" w:ascii="宋体" w:hAnsi="宋体" w:cs="宋体"/>
          <w:color w:val="auto"/>
          <w:sz w:val="21"/>
          <w:szCs w:val="21"/>
          <w:highlight w:val="none"/>
        </w:rPr>
        <w:t xml:space="preserve">项目名称为编号为号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5"/>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ascii="宋体" w:hAnsi="宋体" w:cs="宋体"/>
          <w:b/>
          <w:color w:val="auto"/>
          <w:sz w:val="21"/>
          <w:szCs w:val="21"/>
          <w:highlight w:val="none"/>
        </w:rPr>
      </w:pPr>
      <w:r/>
      <w:bookmarkStart w:id="14" w:name="_Toc4786"/>
      <w:r/>
      <w:bookmarkStart w:id="15" w:name="_Toc30046"/>
      <w:r/>
      <w:bookmarkStart w:id="16" w:name="_Toc11973"/>
      <w:r/>
      <w:bookmarkStart w:id="17" w:name="_Toc7351"/>
      <w:r/>
      <w:bookmarkStart w:id="18" w:name="_Toc18588"/>
      <w:r/>
      <w:bookmarkStart w:id="19" w:name="_Toc6794"/>
      <w:r/>
      <w:bookmarkStart w:id="20" w:name="_Toc11337"/>
      <w:r/>
      <w:bookmarkStart w:id="21" w:name="_Toc25055"/>
      <w:r/>
      <w:bookmarkStart w:id="22" w:name="_Toc25556"/>
      <w:r>
        <w:rPr>
          <w:rFonts w:hint="eastAsia" w:ascii="宋体" w:hAnsi="宋体" w:cs="宋体"/>
          <w:b/>
          <w:color w:val="auto"/>
          <w:sz w:val="21"/>
          <w:szCs w:val="21"/>
          <w:highlight w:val="none"/>
        </w:rPr>
        <w:t xml:space="preserve">附：法定代表人身份扫描件件。</w:t>
      </w:r>
      <w:bookmarkEnd w:id="14"/>
      <w:r/>
      <w:bookmarkEnd w:id="15"/>
      <w:r/>
      <w:bookmarkEnd w:id="16"/>
      <w:r/>
      <w:bookmarkEnd w:id="17"/>
      <w:r/>
      <w:bookmarkEnd w:id="18"/>
      <w:r/>
      <w:bookmarkEnd w:id="19"/>
      <w:r/>
      <w:bookmarkEnd w:id="20"/>
      <w:r/>
      <w:bookmarkEnd w:id="21"/>
      <w:r/>
      <w:bookmarkEnd w:id="22"/>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5"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4" o:spid="_x0000_s4"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62"/>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6"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5" o:spid="_x0000_s5" style="position:absolute;z-index:251659264;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附：代理人身份扫描件件</w:t>
      </w:r>
      <w:r/>
    </w:p>
    <w:p>
      <w:pPr>
        <w:pStyle w:val="952"/>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pStyle w:val="952"/>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格式11：</w:t>
      </w:r>
      <w:r>
        <w:rPr>
          <w:rFonts w:hint="eastAsia" w:ascii="宋体" w:hAnsi="宋体" w:eastAsia="宋体" w:cs="宋体"/>
          <w:b/>
          <w:bCs/>
          <w:color w:val="auto"/>
          <w:sz w:val="21"/>
          <w:szCs w:val="21"/>
          <w:highlight w:val="none"/>
        </w:rPr>
        <w:t xml:space="preserve">中小企业声明函</w:t>
      </w:r>
      <w:r/>
    </w:p>
    <w:p>
      <w:pPr>
        <w:jc w:val="center"/>
        <w:spacing w:line="40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中小企业声明函</w:t>
      </w:r>
      <w:r/>
    </w:p>
    <w:p>
      <w:pPr>
        <w:pStyle w:val="1017"/>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61"/>
        <w:ind w:right="355" w:firstLine="640"/>
        <w:jc w:val="both"/>
        <w:spacing w:line="360" w:lineRule="auto"/>
        <w:widowControl w:val="off"/>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46"/>
        <w:numPr>
          <w:ilvl w:val="0"/>
          <w:numId w:val="7"/>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46"/>
        <w:numPr>
          <w:ilvl w:val="0"/>
          <w:numId w:val="7"/>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61"/>
        <w:ind w:left="860"/>
        <w:spacing w:before="11"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61"/>
        <w:ind w:right="357" w:firstLine="645"/>
        <w:jc w:val="both"/>
        <w:spacing w:before="108" w:line="360" w:lineRule="auto"/>
        <w:widowControl w:val="off"/>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61"/>
        <w:ind w:right="315" w:firstLine="64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投标单位（公章）：</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日期：年月日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2"/>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1、本项目属于专门面向中小企业采购的项目，必须提供</w:t>
      </w:r>
      <w:r>
        <w:rPr>
          <w:rFonts w:hint="eastAsia" w:ascii="宋体" w:hAnsi="宋体" w:cs="宋体"/>
          <w:b/>
          <w:bCs/>
          <w:color w:val="auto"/>
          <w:sz w:val="21"/>
          <w:szCs w:val="21"/>
          <w:highlight w:val="none"/>
        </w:rPr>
        <w:t xml:space="preserve">符合要求的</w:t>
      </w:r>
      <w:r>
        <w:rPr>
          <w:rFonts w:hint="eastAsia" w:ascii="宋体" w:hAnsi="宋体" w:cs="宋体"/>
          <w:b/>
          <w:bCs/>
          <w:color w:val="auto"/>
          <w:sz w:val="21"/>
          <w:szCs w:val="21"/>
          <w:highlight w:val="none"/>
          <w:lang w:val="zh-CN"/>
        </w:rPr>
        <w:t xml:space="preserve">中小企业声明函，</w:t>
      </w:r>
      <w:r>
        <w:rPr>
          <w:rFonts w:hint="eastAsia" w:ascii="宋体" w:hAnsi="宋体" w:cs="宋体"/>
          <w:b/>
          <w:bCs/>
          <w:color w:val="auto"/>
          <w:sz w:val="21"/>
          <w:szCs w:val="21"/>
          <w:highlight w:val="none"/>
        </w:rPr>
        <w:t xml:space="preserve">否则投标无效。</w:t>
      </w:r>
      <w:r>
        <w:rPr>
          <w:rFonts w:hint="eastAsia" w:ascii="宋体" w:hAnsi="宋体" w:cs="宋体"/>
          <w:b/>
          <w:bCs/>
          <w:color w:val="auto"/>
          <w:sz w:val="21"/>
          <w:szCs w:val="21"/>
          <w:highlight w:val="none"/>
          <w:lang w:val="zh-CN"/>
        </w:rPr>
        <w:t xml:space="preserve">中小企业划分标准详见“工信部联企业〔2011〕300号通知”。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格式12:</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37"/>
        <w:ind w:left="3400" w:firstLine="425"/>
        <w:spacing w:line="360" w:lineRule="auto"/>
        <w:rPr>
          <w:rFonts w:hAnsi="宋体" w:cs="宋体"/>
          <w:color w:val="auto"/>
          <w:sz w:val="21"/>
          <w:szCs w:val="21"/>
          <w:highlight w:val="none"/>
        </w:rPr>
      </w:pPr>
      <w:r>
        <w:rPr>
          <w:rFonts w:hint="eastAsia" w:hAnsi="宋体" w:cs="宋体"/>
          <w:color w:val="auto"/>
          <w:sz w:val="21"/>
          <w:szCs w:val="21"/>
          <w:highlight w:val="none"/>
        </w:rPr>
        <w:t xml:space="preserve">投标单位：（盖章）</w:t>
      </w:r>
      <w:r/>
    </w:p>
    <w:p>
      <w:pPr>
        <w:pStyle w:val="1037"/>
        <w:ind w:left="3825"/>
        <w:spacing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37"/>
        <w:ind w:firstLine="5250"/>
        <w:spacing w:line="360" w:lineRule="auto"/>
        <w:rPr>
          <w:rFonts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81"/>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81"/>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80"/>
        <w:spacing w:beforeAutospacing="0" w:afterAutospacing="0" w:line="360" w:lineRule="auto"/>
        <w:rPr>
          <w:color w:val="auto"/>
          <w:sz w:val="21"/>
          <w:szCs w:val="21"/>
          <w:highlight w:val="none"/>
        </w:rPr>
      </w:pPr>
      <w:r/>
      <w:bookmarkStart w:id="2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
    </w:p>
    <w:p>
      <w:pPr>
        <w:pStyle w:val="962"/>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格式13：</w:t>
      </w:r>
      <w:r>
        <w:rPr>
          <w:rFonts w:hint="eastAsia" w:ascii="宋体" w:hAnsi="宋体" w:eastAsia="宋体" w:cs="宋体"/>
          <w:b/>
          <w:bCs/>
          <w:color w:val="auto"/>
          <w:sz w:val="21"/>
          <w:szCs w:val="21"/>
          <w:highlight w:val="none"/>
        </w:rPr>
        <w:t xml:space="preserve">偏离表</w:t>
      </w:r>
      <w:r/>
    </w:p>
    <w:p>
      <w:pPr>
        <w:pStyle w:val="962"/>
        <w:rPr>
          <w:rFonts w:ascii="宋体" w:hAnsi="宋体" w:eastAsia="宋体"/>
          <w:b/>
          <w:bCs/>
          <w:color w:val="auto"/>
          <w:szCs w:val="24"/>
          <w:highlight w:val="none"/>
        </w:rPr>
      </w:pPr>
      <w:r>
        <w:rPr>
          <w:rFonts w:ascii="宋体" w:hAnsi="宋体" w:eastAsia="宋体"/>
          <w:b/>
          <w:bCs/>
          <w:color w:val="auto"/>
          <w:szCs w:val="24"/>
          <w:highlight w:val="none"/>
        </w:rPr>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（1）服务条款偏离表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lang w:val="en-US" w:eastAsia="zh-CN"/>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60"/>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557"/>
        <w:gridCol w:w="2181"/>
        <w:gridCol w:w="2320"/>
        <w:gridCol w:w="2200"/>
      </w:tblGrid>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序号</w:t>
            </w:r>
            <w:r/>
          </w:p>
        </w:tc>
        <w:tc>
          <w:tcPr>
            <w:tcW w:w="1557" w:type="dxa"/>
            <w:vAlign w:val="center"/>
            <w:textDirection w:val="lrTb"/>
            <w:noWrap/>
          </w:tcPr>
          <w:p>
            <w:pPr>
              <w:pStyle w:val="962"/>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181" w:type="dxa"/>
            <w:vAlign w:val="center"/>
            <w:textDirection w:val="lrTb"/>
            <w:noWrap/>
          </w:tcPr>
          <w:p>
            <w:pPr>
              <w:pStyle w:val="962"/>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320" w:type="dxa"/>
            <w:vAlign w:val="center"/>
            <w:textDirection w:val="lrTb"/>
            <w:noWrap/>
          </w:tcPr>
          <w:p>
            <w:pPr>
              <w:pStyle w:val="962"/>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响应</w:t>
            </w:r>
            <w:r/>
          </w:p>
        </w:tc>
        <w:tc>
          <w:tcPr>
            <w:tcW w:w="2200" w:type="dxa"/>
            <w:vAlign w:val="center"/>
            <w:textDirection w:val="lrTb"/>
            <w:noWrap/>
          </w:tcPr>
          <w:p>
            <w:pPr>
              <w:pStyle w:val="962"/>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1</w:t>
            </w:r>
            <w:r/>
          </w:p>
        </w:tc>
        <w:tc>
          <w:tcPr>
            <w:tcW w:w="1557" w:type="dxa"/>
            <w:vAlign w:val="center"/>
            <w:textDirection w:val="lrTb"/>
            <w:noWrap/>
          </w:tcPr>
          <w:p>
            <w:pPr>
              <w:pStyle w:val="962"/>
              <w:ind w:firstLine="699"/>
              <w:jc w:val="both"/>
              <w:spacing w:line="360" w:lineRule="auto"/>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2</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3</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4</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5</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6</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w:t>
            </w:r>
            <w:r/>
          </w:p>
        </w:tc>
        <w:tc>
          <w:tcPr>
            <w:tcW w:w="1557"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62"/>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ascii="宋体" w:hAnsi="宋体" w:cs="宋体"/>
          <w:b/>
          <w:color w:val="auto"/>
          <w:spacing w:val="20"/>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val="zh-CN"/>
        </w:rPr>
        <w:t xml:space="preserve"> 招标编号∶</w:t>
      </w:r>
      <w:r/>
    </w:p>
    <w:tbl>
      <w:tblPr>
        <w:tblStyle w:val="960"/>
        <w:tblW w:w="97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04"/>
        <w:gridCol w:w="1611"/>
        <w:gridCol w:w="3029"/>
        <w:gridCol w:w="2654"/>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报价要求</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1.供应商提交的响应文件中与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文件的技术（服务）、商务部分的要求有不同时，应在本表中把</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文件要求与实际响应内容逐项对应列出，并在“偏离说明”项下填写以下内容：优于的，填写“正偏离”；符合的，填写“无偏离”；低于的，填写“负偏离”。</w:t>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：相关证书一览表</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6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63"/>
        <w:gridCol w:w="3154"/>
        <w:gridCol w:w="1479"/>
        <w:gridCol w:w="1337"/>
        <w:gridCol w:w="1823"/>
      </w:tblGrid>
      <w:tr>
        <w:trPr>
          <w:cantSplit/>
          <w:jc w:val="center"/>
          <w:trHeight w:val="740"/>
        </w:trPr>
        <w:tc>
          <w:tcPr>
            <w:tcW w:w="1563"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3154"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479"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337"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6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6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62"/>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相关业绩一览表</w:t>
      </w:r>
      <w:r/>
    </w:p>
    <w:p>
      <w:pPr>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相关业绩一览表</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6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签订日期</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62"/>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62"/>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jc w:val="center"/>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pStyle w:val="961"/>
        <w:rPr>
          <w:color w:val="auto"/>
          <w:highlight w:val="none"/>
        </w:rPr>
      </w:pPr>
      <w:r>
        <w:rPr>
          <w:color w:val="auto"/>
          <w:highlight w:val="none"/>
        </w:rPr>
      </w:r>
      <w:r/>
    </w:p>
    <w:tbl>
      <w:tblPr>
        <w:tblStyle w:val="9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tcPr>
          <w:p>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t xml:space="preserve">相关证书</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如有</w:t>
            </w:r>
            <w:r>
              <w:rPr>
                <w:rFonts w:hint="eastAsia" w:ascii="宋体" w:hAnsi="宋体" w:cs="宋体"/>
                <w:b/>
                <w:color w:val="auto"/>
                <w:sz w:val="21"/>
                <w:szCs w:val="21"/>
                <w:highlight w:val="none"/>
                <w:lang w:eastAsia="zh-CN"/>
              </w:rPr>
              <w:t xml:space="preserve">）</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tcPr>
          <w:p>
            <w:pPr>
              <w:ind w:firstLine="17"/>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1037"/>
        <w:ind w:firstLine="492"/>
        <w:spacing w:line="360" w:lineRule="auto"/>
        <w:rPr>
          <w:rFonts w:hAnsi="宋体" w:cs="宋体"/>
          <w:color w:val="auto"/>
          <w:sz w:val="21"/>
          <w:szCs w:val="21"/>
          <w:highlight w:val="none"/>
          <w:u w:val="single"/>
        </w:rPr>
      </w:pPr>
      <w:r>
        <w:rPr>
          <w:rFonts w:hAnsi="宋体" w:cs="宋体"/>
          <w:color w:val="auto"/>
          <w:sz w:val="21"/>
          <w:szCs w:val="21"/>
          <w:highlight w:val="none"/>
          <w:u w:val="single"/>
        </w:rPr>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60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pStyle w:val="1037"/>
        <w:ind w:firstLine="5250"/>
        <w:spacing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rPr>
        <w:t xml:space="preserve">：服务方案及其他招标文件要求自行编写格式</w:t>
      </w:r>
      <w:r/>
    </w:p>
    <w:p>
      <w:pPr>
        <w:spacing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Style w:val="992"/>
          <w:rFonts w:hint="eastAsia" w:ascii="宋体" w:hAnsi="宋体" w:eastAsia="宋体" w:cs="宋体"/>
          <w:color w:val="auto"/>
          <w:sz w:val="32"/>
          <w:szCs w:val="32"/>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bookmarkStart w:id="24" w:name="_Toc19345"/>
      <w:r/>
      <w:r/>
    </w:p>
    <w:p>
      <w:pPr>
        <w:jc w:val="center"/>
        <w:spacing w:line="360" w:lineRule="auto"/>
        <w:rPr>
          <w:rStyle w:val="992"/>
          <w:rFonts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t xml:space="preserve">第五章 评标办法及评分标准</w:t>
      </w:r>
      <w:bookmarkEnd w:id="24"/>
      <w:r/>
      <w:r/>
    </w:p>
    <w:p>
      <w:pPr>
        <w:pStyle w:val="1017"/>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一、评标办法：</w:t>
      </w:r>
      <w:r/>
    </w:p>
    <w:p>
      <w:pPr>
        <w:pStyle w:val="1017"/>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auto"/>
          <w:sz w:val="21"/>
          <w:szCs w:val="21"/>
          <w:highlight w:val="none"/>
          <w:lang w:val="zh-CN"/>
        </w:rPr>
        <w:t xml:space="preserve">综合评分得分最高的投标人为中标候选人</w:t>
      </w:r>
      <w:r>
        <w:rPr>
          <w:rFonts w:hint="eastAsia" w:ascii="宋体"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政府采购政策</w:t>
      </w:r>
      <w:r/>
    </w:p>
    <w:p>
      <w:pPr>
        <w:numPr>
          <w:ilvl w:val="1"/>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节能产品和环境标志产品</w:t>
      </w:r>
      <w:r/>
    </w:p>
    <w:p>
      <w:pPr>
        <w:ind w:left="0"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bCs/>
          <w:color w:val="auto"/>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1"/>
          <w:numId w:val="8"/>
        </w:numPr>
        <w:ind w:lef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小微企业的价格分评审</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根据甲方申报采购实施计划及编制的采购需求，本项目属于专门面向</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企业</w:t>
      </w:r>
      <w:r>
        <w:rPr>
          <w:rFonts w:hint="eastAsia" w:ascii="宋体" w:hAnsi="宋体" w:eastAsia="宋体" w:cs="宋体"/>
          <w:color w:val="auto"/>
          <w:sz w:val="21"/>
          <w:szCs w:val="21"/>
          <w:highlight w:val="none"/>
          <w:lang w:val="en-US" w:eastAsia="zh-CN"/>
        </w:rPr>
        <w:t xml:space="preserve">采购的项目。相关政策按照</w:t>
      </w:r>
      <w:r>
        <w:rPr>
          <w:rFonts w:hint="eastAsia" w:ascii="宋体" w:hAnsi="宋体" w:eastAsia="宋体" w:cs="宋体"/>
          <w:color w:val="auto"/>
          <w:sz w:val="21"/>
          <w:szCs w:val="21"/>
          <w:highlight w:val="none"/>
        </w:rPr>
        <w:t xml:space="preserve">财政部《政府采购促进中小企业发展管理办法》（财库﹝2020﹞46号）及苏州市财政局《关于进一步做好政府采购政策贯彻执行工作的通知》（苏财购〔2017〕10号）文的规定</w:t>
      </w:r>
      <w:r>
        <w:rPr>
          <w:rFonts w:hint="eastAsia" w:ascii="宋体" w:hAnsi="宋体" w:eastAsia="宋体" w:cs="宋体"/>
          <w:color w:val="auto"/>
          <w:sz w:val="21"/>
          <w:szCs w:val="21"/>
          <w:highlight w:val="none"/>
          <w:lang w:val="en-US" w:eastAsia="zh-CN"/>
        </w:rPr>
        <w:t xml:space="preserve">执行</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）中小企业划分标准详见“工信部联企业〔2011〕300号通知”。</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）各投标单位若为中、小、微型企业，则必须提供《中小企业声明函》。（详见附件格式中小企业声明函）。未在投标文件中提供《中小企业声明函》的，不享受促进中小微企业发展的相关政府采购政策。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）提供其他企业制造的货物或服务，须同时提供其他企业的小微企业证明材料（材料同上条）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）符合中小企业划分标准的个体工商户，在政府采购活动中视同中小企业。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）中标、成交供应商为小微企业单位的，《中小企业声明函》应当随中标、成交结果同时公告，接受社会监督。</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填报“中小企业声明函”需严格按“工信部联企业〔2011〕300号通知”中的《中小企业划型标准规定》进行。</w:t>
      </w:r>
      <w:r/>
    </w:p>
    <w:p>
      <w:pPr>
        <w:pStyle w:val="980"/>
        <w:numPr>
          <w:ilvl w:val="0"/>
          <w:numId w:val="9"/>
        </w:numPr>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（3）中标、成交供应商为残疾人福利性单位的，《残疾人福利性单位声明函》应当随中标、成交结果同时公告，接受社会监督。</w:t>
      </w:r>
      <w:r/>
    </w:p>
    <w:p>
      <w:pPr>
        <w:pStyle w:val="980"/>
        <w:numPr>
          <w:ilvl w:val="0"/>
          <w:numId w:val="9"/>
        </w:numPr>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监狱企业发展政策：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numPr>
          <w:ilvl w:val="1"/>
          <w:numId w:val="8"/>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信用查询</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（1）查询时间：投标文件递交截止时间后。</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（2）查询渠道：通过“信用中国”网站、中国政府采购网等渠道查询相关主体信用记录。</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（4）信用记录使用规则：对供应商进行资格性审查时，应根据查询结果对供应商的不良信用记录逐项甄别确认。</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（一）投标报价（</w:t>
      </w:r>
      <w:r>
        <w:rPr>
          <w:rFonts w:hint="eastAsia" w:ascii="宋体" w:hAnsi="宋体" w:eastAsia="宋体" w:cs="宋体"/>
          <w:b/>
          <w:color w:val="auto"/>
          <w:sz w:val="21"/>
          <w:szCs w:val="21"/>
          <w:highlight w:val="none"/>
          <w:lang w:val="en-US" w:eastAsia="zh-CN"/>
        </w:rPr>
        <w:t xml:space="preserve">35</w:t>
      </w:r>
      <w:r>
        <w:rPr>
          <w:rFonts w:hint="eastAsia" w:ascii="宋体" w:hAnsi="宋体" w:eastAsia="宋体" w:cs="宋体"/>
          <w:b/>
          <w:color w:val="auto"/>
          <w:sz w:val="21"/>
          <w:szCs w:val="21"/>
          <w:highlight w:val="none"/>
        </w:rPr>
        <w:t xml:space="preserve">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报价低于或等于最高限价的为有效投标。超过最高限价的投标报价或招标文件规定的报价为无效投标。无效投标价的投标文件不进行评审，也不得标。报价得分：在所有有效投标报价中满足招标文件要求，且投标价格最低的投标报价为评标基准价，其价格分为满分。其他投标人的价格分统一按照下列公式计算（计算结果四舍五入保留两位小数）：</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报价得分=评审基准价/</w:t>
      </w:r>
      <w:r>
        <w:rPr>
          <w:rFonts w:hint="eastAsia" w:ascii="宋体" w:hAnsi="宋体" w:eastAsia="宋体" w:cs="宋体"/>
          <w:color w:val="auto"/>
          <w:sz w:val="21"/>
          <w:szCs w:val="21"/>
          <w:highlight w:val="none"/>
        </w:rPr>
        <w:t xml:space="preserve">投标报价</w:t>
      </w:r>
      <w:r>
        <w:rPr>
          <w:rFonts w:hint="eastAsia" w:ascii="宋体" w:hAnsi="宋体" w:eastAsia="宋体" w:cs="宋体"/>
          <w:color w:val="auto"/>
          <w:sz w:val="21"/>
          <w:szCs w:val="21"/>
          <w:highlight w:val="none"/>
          <w:lang w:val="en-US" w:eastAsia="zh-CN" w:bidi="ar-SA"/>
        </w:rPr>
        <w:t xml:space="preserve">*价格权值*100（本次采购价格权值为35%）。</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二）技术方案：（</w:t>
      </w:r>
      <w:r>
        <w:rPr>
          <w:rFonts w:hint="eastAsia" w:ascii="宋体" w:hAnsi="宋体" w:cs="宋体"/>
          <w:b/>
          <w:color w:val="000000" w:themeColor="text1"/>
          <w:sz w:val="21"/>
          <w:szCs w:val="21"/>
          <w:highlight w:val="none"/>
          <w:lang w:val="en-US" w:eastAsia="zh-CN"/>
        </w:rPr>
        <w:t xml:space="preserve">49</w:t>
      </w:r>
      <w:r>
        <w:rPr>
          <w:rFonts w:hint="eastAsia" w:ascii="宋体" w:hAnsi="宋体" w:eastAsia="宋体" w:cs="宋体"/>
          <w:b/>
          <w:color w:val="auto"/>
          <w:sz w:val="21"/>
          <w:szCs w:val="21"/>
          <w:highlight w:val="none"/>
        </w:rPr>
        <w:t xml:space="preserve">分）</w:t>
      </w:r>
      <w:r/>
    </w:p>
    <w:p>
      <w:pPr>
        <w:numPr>
          <w:ilvl w:val="0"/>
          <w:numId w:val="0"/>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配送服务方案（</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 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内容须包含：①五金耗材配送操作流程 ②耗材质量管控措施 ③配送时效保障标准 ④退换货处理流程。</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方案内容针对本项目且符合本项目实际需求的满足一项得3分，最高12分</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管理制度（12 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制度须包含：①</w:t>
      </w:r>
      <w:r>
        <w:rPr>
          <w:rFonts w:hint="eastAsia" w:ascii="宋体" w:hAnsi="宋体" w:eastAsia="宋体" w:cs="宋体"/>
          <w:color w:val="auto"/>
          <w:sz w:val="21"/>
          <w:szCs w:val="21"/>
          <w:highlight w:val="none"/>
          <w:lang w:val="en-US" w:eastAsia="zh-CN"/>
        </w:rPr>
        <w:t xml:space="preserve">配件</w:t>
      </w:r>
      <w:r>
        <w:rPr>
          <w:rFonts w:hint="eastAsia" w:ascii="宋体" w:hAnsi="宋体" w:eastAsia="宋体" w:cs="宋体"/>
          <w:color w:val="auto"/>
          <w:sz w:val="21"/>
          <w:szCs w:val="21"/>
          <w:highlight w:val="none"/>
        </w:rPr>
        <w:t xml:space="preserve">采购索证索票制度 ②出入库台账登记制度 ③库存管理制度 ④质量追溯管理制度。</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方案内容针对本项目且符合本项目实际需求的满足一项得3分，最高12分</w:t>
      </w:r>
      <w:r/>
    </w:p>
    <w:p>
      <w:pPr>
        <w:numPr>
          <w:ilvl w:val="0"/>
          <w:numId w:val="4"/>
        </w:num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安全管理方案（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内容须包含：①人员安全管理 ②</w:t>
      </w:r>
      <w:r>
        <w:rPr>
          <w:rFonts w:hint="eastAsia" w:ascii="宋体" w:hAnsi="宋体" w:eastAsia="宋体" w:cs="宋体"/>
          <w:color w:val="auto"/>
          <w:sz w:val="21"/>
          <w:szCs w:val="21"/>
          <w:highlight w:val="none"/>
          <w:lang w:val="en-US" w:eastAsia="zh-CN"/>
        </w:rPr>
        <w:t xml:space="preserve">配件</w:t>
      </w:r>
      <w:r>
        <w:rPr>
          <w:rFonts w:hint="eastAsia" w:ascii="宋体" w:hAnsi="宋体" w:eastAsia="宋体" w:cs="宋体"/>
          <w:color w:val="auto"/>
          <w:sz w:val="21"/>
          <w:szCs w:val="21"/>
          <w:highlight w:val="none"/>
        </w:rPr>
        <w:t xml:space="preserve">存储安全管理 ③配送车辆 / 仓储环境安全管理。</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方案内容针对本项目且符合本项目实际需求的满足一项得3分，最高9分</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bookmarkStart w:id="30" w:name="_GoBack"/>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应急处置预案（</w:t>
      </w: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内容须包含：①紧急抢修 / 突发</w:t>
      </w:r>
      <w:r>
        <w:rPr>
          <w:rFonts w:hint="eastAsia" w:ascii="宋体" w:hAnsi="宋体" w:eastAsia="宋体" w:cs="宋体"/>
          <w:color w:val="auto"/>
          <w:sz w:val="21"/>
          <w:szCs w:val="21"/>
          <w:highlight w:val="none"/>
          <w:lang w:val="en-US" w:eastAsia="zh-CN"/>
        </w:rPr>
        <w:t xml:space="preserve">配送</w:t>
      </w:r>
      <w:r>
        <w:rPr>
          <w:rFonts w:hint="eastAsia" w:ascii="宋体" w:hAnsi="宋体" w:eastAsia="宋体" w:cs="宋体"/>
          <w:color w:val="auto"/>
          <w:sz w:val="21"/>
          <w:szCs w:val="21"/>
          <w:highlight w:val="none"/>
        </w:rPr>
        <w:t xml:space="preserve">需求保障 ②恶劣天气配送保障 ③质量问题应急处理 ④配送延误补救措施。</w:t>
      </w:r>
      <w:r>
        <w:rPr>
          <w:rFonts w:hint="eastAsia" w:ascii="宋体" w:hAnsi="宋体" w:eastAsia="宋体" w:cs="宋体"/>
          <w:color w:val="auto"/>
          <w:sz w:val="21"/>
          <w:szCs w:val="21"/>
          <w:highlight w:val="none"/>
          <w:lang w:val="en-US" w:eastAsia="zh-CN"/>
        </w:rPr>
        <w:t xml:space="preserve">方案内容针对本项目且符合本项目实际需求的满足一项得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分，最高</w:t>
      </w: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val="en-US" w:eastAsia="zh-CN"/>
        </w:rPr>
        <w:t xml:space="preserve">分</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（三）供应商综合情况：（</w:t>
      </w:r>
      <w:r>
        <w:rPr>
          <w:rFonts w:hint="eastAsia" w:ascii="宋体" w:hAnsi="宋体" w:cs="宋体"/>
          <w:b/>
          <w:color w:val="auto"/>
          <w:sz w:val="21"/>
          <w:szCs w:val="21"/>
          <w:highlight w:val="none"/>
          <w:lang w:val="en-US" w:eastAsia="zh-CN"/>
        </w:rPr>
        <w:t xml:space="preserve">16</w:t>
      </w:r>
      <w:r>
        <w:rPr>
          <w:rFonts w:hint="eastAsia" w:ascii="宋体" w:hAnsi="宋体" w:eastAsia="宋体" w:cs="宋体"/>
          <w:b/>
          <w:color w:val="auto"/>
          <w:sz w:val="21"/>
          <w:szCs w:val="21"/>
          <w:highlight w:val="none"/>
          <w:lang w:val="en-US" w:eastAsia="zh-CN"/>
        </w:rPr>
        <w:t xml:space="preserve">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仓储能力（</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投标人具备</w:t>
      </w:r>
      <w:r>
        <w:rPr>
          <w:rStyle w:val="986"/>
          <w:rFonts w:hint="eastAsia" w:ascii="宋体" w:hAnsi="宋体" w:eastAsia="宋体" w:cs="宋体"/>
          <w:b/>
          <w:bCs/>
          <w:color w:val="auto"/>
          <w:sz w:val="21"/>
          <w:szCs w:val="21"/>
          <w:highlight w:val="none"/>
        </w:rPr>
        <w:t xml:space="preserve">自有</w:t>
      </w:r>
      <w:r>
        <w:rPr>
          <w:rStyle w:val="986"/>
          <w:rFonts w:hint="eastAsia" w:ascii="宋体" w:hAnsi="宋体" w:eastAsia="宋体" w:cs="宋体"/>
          <w:b/>
          <w:bCs/>
          <w:color w:val="auto"/>
          <w:sz w:val="21"/>
          <w:szCs w:val="21"/>
          <w:highlight w:val="none"/>
          <w:lang w:val="en-US" w:eastAsia="zh-CN"/>
        </w:rPr>
        <w:t xml:space="preserve">或</w:t>
      </w:r>
      <w:r>
        <w:rPr>
          <w:rStyle w:val="986"/>
          <w:rFonts w:hint="eastAsia" w:ascii="宋体" w:hAnsi="宋体" w:eastAsia="宋体" w:cs="宋体"/>
          <w:b/>
          <w:bCs/>
          <w:color w:val="auto"/>
          <w:sz w:val="21"/>
          <w:szCs w:val="21"/>
          <w:highlight w:val="none"/>
        </w:rPr>
        <w:t xml:space="preserve">租赁 200㎡及以上</w:t>
      </w:r>
      <w:r>
        <w:rPr>
          <w:rFonts w:hint="eastAsia" w:ascii="宋体" w:hAnsi="宋体" w:eastAsia="宋体" w:cs="宋体"/>
          <w:color w:val="auto"/>
          <w:sz w:val="21"/>
          <w:szCs w:val="21"/>
          <w:highlight w:val="none"/>
        </w:rPr>
        <w:t xml:space="preserve">专用五金</w:t>
      </w:r>
      <w:r>
        <w:rPr>
          <w:rFonts w:hint="eastAsia" w:ascii="宋体" w:hAnsi="宋体" w:eastAsia="宋体" w:cs="宋体"/>
          <w:color w:val="auto"/>
          <w:sz w:val="21"/>
          <w:szCs w:val="21"/>
          <w:highlight w:val="none"/>
          <w:lang w:val="en-US" w:eastAsia="zh-CN"/>
        </w:rPr>
        <w:t xml:space="preserve">配件</w:t>
      </w:r>
      <w:r>
        <w:rPr>
          <w:rFonts w:hint="eastAsia" w:ascii="宋体" w:hAnsi="宋体" w:eastAsia="宋体" w:cs="宋体"/>
          <w:color w:val="auto"/>
          <w:sz w:val="21"/>
          <w:szCs w:val="21"/>
          <w:highlight w:val="none"/>
        </w:rPr>
        <w:t xml:space="preserve">仓储场地的得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分；提供产权证明</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租赁合同、场地实景图，不提供或不符合要求不得分。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、类似业绩（</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eastAsia="zh-CN"/>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lang w:val="zh-CN" w:eastAsia="zh-CN"/>
        </w:rPr>
        <w:t xml:space="preserve">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年0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eastAsia="zh-CN"/>
        </w:rPr>
        <w:t xml:space="preserve">月至今</w:t>
      </w:r>
      <w:r>
        <w:rPr>
          <w:rFonts w:hint="eastAsia" w:ascii="宋体" w:hAnsi="宋体" w:eastAsia="宋体" w:cs="宋体"/>
          <w:color w:val="auto"/>
          <w:sz w:val="21"/>
          <w:szCs w:val="21"/>
          <w:highlight w:val="none"/>
          <w:lang w:val="en-US" w:eastAsia="zh-CN"/>
        </w:rPr>
        <w:t xml:space="preserve">承担过类似配送</w:t>
      </w:r>
      <w:r>
        <w:rPr>
          <w:rFonts w:hint="eastAsia" w:ascii="宋体" w:hAnsi="宋体" w:eastAsia="宋体" w:cs="宋体"/>
          <w:color w:val="auto"/>
          <w:sz w:val="21"/>
          <w:szCs w:val="21"/>
          <w:highlight w:val="none"/>
          <w:lang w:val="zh-CN" w:eastAsia="zh-CN"/>
        </w:rPr>
        <w:t xml:space="preserve">业绩</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zh-CN" w:eastAsia="zh-CN"/>
        </w:rPr>
        <w:t xml:space="preserve">，每有1个</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lang w:val="zh-CN" w:eastAsia="zh-CN"/>
        </w:rPr>
        <w:t xml:space="preserve">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eastAsia="zh-CN"/>
        </w:rPr>
        <w:t xml:space="preserve">分。</w:t>
      </w:r>
      <w:r>
        <w:rPr>
          <w:rFonts w:hint="eastAsia" w:ascii="宋体" w:hAnsi="宋体" w:eastAsia="宋体" w:cs="宋体"/>
          <w:color w:val="auto"/>
          <w:sz w:val="21"/>
          <w:szCs w:val="21"/>
          <w:highlight w:val="none"/>
          <w:lang w:val="en-US" w:eastAsia="zh-CN"/>
        </w:rPr>
        <w:t xml:space="preserve">提供合同扫描件，日期以合同签订时间为准</w:t>
      </w:r>
      <w:r>
        <w:rPr>
          <w:rFonts w:hint="eastAsia" w:ascii="宋体" w:hAnsi="宋体" w:cs="宋体"/>
          <w:color w:val="auto"/>
          <w:sz w:val="21"/>
          <w:szCs w:val="21"/>
          <w:highlight w:val="none"/>
          <w:lang w:val="en-US" w:eastAsia="zh-CN"/>
        </w:rPr>
        <w:t xml:space="preserve">。</w:t>
      </w:r>
      <w:bookmarkEnd w:id="30"/>
      <w:r/>
      <w:r/>
    </w:p>
    <w:p>
      <w:pPr>
        <w:pStyle w:val="1017"/>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92"/>
          <w:rFonts w:ascii="宋体" w:hAnsi="宋体" w:eastAsia="宋体" w:cs="宋体"/>
          <w:color w:val="auto"/>
          <w:sz w:val="32"/>
          <w:szCs w:val="32"/>
          <w:highlight w:val="none"/>
        </w:rPr>
      </w:pPr>
      <w:r>
        <w:rPr>
          <w:rStyle w:val="992"/>
          <w:rFonts w:hint="eastAsia" w:ascii="宋体" w:hAnsi="宋体" w:eastAsia="宋体" w:cs="宋体"/>
          <w:color w:val="auto"/>
          <w:sz w:val="32"/>
          <w:szCs w:val="32"/>
          <w:highlight w:val="none"/>
        </w:rPr>
        <w:br w:type="page" w:clear="all"/>
      </w:r>
      <w:bookmarkStart w:id="25" w:name="_Toc31315"/>
      <w:r>
        <w:rPr>
          <w:rStyle w:val="992"/>
          <w:rFonts w:hint="eastAsia" w:ascii="宋体" w:hAnsi="宋体" w:eastAsia="宋体" w:cs="宋体"/>
          <w:color w:val="auto"/>
          <w:sz w:val="32"/>
          <w:szCs w:val="32"/>
          <w:highlight w:val="none"/>
        </w:rPr>
        <w:t xml:space="preserve">第六章 合同格式</w:t>
      </w:r>
      <w:bookmarkEnd w:id="25"/>
      <w:r/>
      <w:r/>
    </w:p>
    <w:p>
      <w:pPr>
        <w:widowControl w:val="off"/>
        <w:rPr>
          <w:rFonts w:hint="default" w:ascii="宋体" w:hAnsi="Times New Roman" w:eastAsia="宋体" w:cs="宋体"/>
          <w:color w:val="auto"/>
          <w:sz w:val="24"/>
          <w:szCs w:val="24"/>
          <w:highlight w:val="none"/>
          <w:u w:val="single"/>
        </w:rPr>
      </w:pPr>
      <w:r/>
      <w:bookmarkStart w:id="26" w:name="_Toc479449569"/>
      <w:r/>
      <w:bookmarkStart w:id="27" w:name="_Toc479449483"/>
      <w:r/>
      <w:bookmarkStart w:id="28" w:name="_Toc480191160"/>
      <w:r>
        <w:rPr>
          <w:rFonts w:hint="eastAsia" w:ascii="宋体" w:hAnsi="Times New Roman" w:eastAsia="宋体" w:cs="宋体"/>
          <w:color w:val="auto"/>
          <w:sz w:val="24"/>
          <w:szCs w:val="24"/>
          <w:highlight w:val="none"/>
        </w:rPr>
        <w:t xml:space="preserve">合同编号：</w:t>
      </w:r>
      <w:r>
        <w:rPr>
          <w:rFonts w:hint="default" w:ascii="宋体" w:hAnsi="Times New Roman" w:eastAsia="宋体" w:cs="宋体"/>
          <w:color w:val="auto"/>
          <w:sz w:val="24"/>
          <w:szCs w:val="24"/>
          <w:highlight w:val="none"/>
          <w:u w:val="single"/>
        </w:rPr>
        <w:t xml:space="preserve">        </w:t>
      </w:r>
      <w:r>
        <w:rPr>
          <w:rFonts w:hint="eastAsia" w:ascii="宋体" w:hAnsi="Times New Roman" w:eastAsia="宋体" w:cs="宋体"/>
          <w:color w:val="auto"/>
          <w:sz w:val="24"/>
          <w:szCs w:val="24"/>
          <w:highlight w:val="none"/>
          <w:u w:val="single"/>
        </w:rPr>
        <w:t xml:space="preserve">   </w:t>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72"/>
          <w:szCs w:val="72"/>
          <w:highlight w:val="none"/>
        </w:rPr>
      </w:pPr>
      <w:r>
        <w:rPr>
          <w:rFonts w:hint="default" w:ascii="宋体" w:hAnsi="Times New Roman" w:eastAsia="宋体" w:cs="宋体"/>
          <w:b/>
          <w:color w:val="auto"/>
          <w:sz w:val="72"/>
          <w:szCs w:val="72"/>
          <w:highlight w:val="none"/>
        </w:rPr>
        <w:t xml:space="preserve">政府采购合同</w:t>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spacing w:before="120" w:line="22" w:lineRule="atLeast"/>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ind w:left="1430"/>
        <w:spacing w:before="120" w:line="360" w:lineRule="auto"/>
        <w:widowControl w:val="off"/>
        <w:rPr>
          <w:rFonts w:hint="default" w:ascii="宋体" w:hAnsi="Times New Roman" w:eastAsia="宋体" w:cs="宋体"/>
          <w:color w:val="auto"/>
          <w:sz w:val="28"/>
          <w:szCs w:val="28"/>
          <w:highlight w:val="none"/>
        </w:rPr>
      </w:pPr>
      <w:r>
        <w:rPr>
          <w:rFonts w:hint="eastAsia" w:ascii="宋体" w:hAnsi="Times New Roman" w:eastAsia="宋体" w:cs="宋体"/>
          <w:color w:val="auto"/>
          <w:sz w:val="28"/>
          <w:szCs w:val="28"/>
          <w:highlight w:val="none"/>
        </w:rPr>
        <w:t xml:space="preserve">项目名称：</w:t>
      </w:r>
      <w:r>
        <w:rPr>
          <w:rFonts w:hint="default" w:ascii="宋体" w:hAnsi="Times New Roman" w:eastAsia="宋体" w:cs="宋体"/>
          <w:color w:val="auto"/>
          <w:sz w:val="28"/>
          <w:szCs w:val="28"/>
          <w:highlight w:val="none"/>
        </w:rPr>
        <w:t xml:space="preserve"> </w:t>
      </w:r>
      <w:r/>
    </w:p>
    <w:p>
      <w:pPr>
        <w:ind w:left="1430"/>
        <w:spacing w:before="120" w:line="360" w:lineRule="auto"/>
        <w:widowControl w:val="off"/>
        <w:rPr>
          <w:rFonts w:hint="default" w:ascii="宋体" w:hAnsi="Times New Roman" w:eastAsia="宋体" w:cs="宋体"/>
          <w:color w:val="auto"/>
          <w:sz w:val="28"/>
          <w:szCs w:val="28"/>
          <w:highlight w:val="none"/>
        </w:rPr>
      </w:pPr>
      <w:r>
        <w:rPr>
          <w:rFonts w:hint="default" w:ascii="宋体" w:hAnsi="Times New Roman" w:eastAsia="宋体" w:cs="宋体"/>
          <w:color w:val="auto"/>
          <w:sz w:val="28"/>
          <w:szCs w:val="28"/>
          <w:highlight w:val="none"/>
        </w:rPr>
      </w:r>
      <w:r/>
    </w:p>
    <w:p>
      <w:pPr>
        <w:ind w:left="1430"/>
        <w:spacing w:before="120" w:line="360" w:lineRule="auto"/>
        <w:widowControl w:val="off"/>
        <w:rPr>
          <w:rFonts w:hint="default" w:ascii="宋体" w:hAnsi="Times New Roman" w:eastAsia="宋体" w:cs="宋体"/>
          <w:color w:val="auto"/>
          <w:sz w:val="28"/>
          <w:szCs w:val="28"/>
          <w:highlight w:val="none"/>
        </w:rPr>
      </w:pPr>
      <w:r>
        <w:rPr>
          <w:rFonts w:hint="default" w:ascii="宋体" w:hAnsi="Times New Roman" w:eastAsia="宋体" w:cs="宋体"/>
          <w:color w:val="auto"/>
          <w:sz w:val="28"/>
          <w:szCs w:val="28"/>
          <w:highlight w:val="none"/>
        </w:rPr>
      </w:r>
      <w:r/>
    </w:p>
    <w:p>
      <w:pPr>
        <w:ind w:left="1430"/>
        <w:spacing w:before="120" w:line="360" w:lineRule="auto"/>
        <w:widowControl w:val="off"/>
        <w:rPr>
          <w:rFonts w:hint="eastAsia" w:ascii="宋体" w:hAnsi="Times New Roman" w:eastAsia="宋体" w:cs="宋体"/>
          <w:color w:val="auto"/>
          <w:sz w:val="28"/>
          <w:szCs w:val="28"/>
          <w:highlight w:val="none"/>
          <w:u w:val="single"/>
          <w:lang w:eastAsia="zh-CN"/>
        </w:rPr>
      </w:pPr>
      <w:r>
        <w:rPr>
          <w:rFonts w:hint="eastAsia" w:ascii="宋体" w:hAnsi="Times New Roman" w:eastAsia="宋体" w:cs="宋体"/>
          <w:color w:val="auto"/>
          <w:sz w:val="28"/>
          <w:szCs w:val="28"/>
          <w:highlight w:val="none"/>
        </w:rPr>
        <w:t xml:space="preserve">甲方：</w:t>
      </w:r>
      <w:r>
        <w:rPr>
          <w:rFonts w:hint="eastAsia" w:ascii="宋体" w:cs="宋体"/>
          <w:color w:val="auto"/>
          <w:sz w:val="28"/>
          <w:szCs w:val="28"/>
          <w:highlight w:val="none"/>
          <w:u w:val="single"/>
          <w:lang w:eastAsia="zh-CN"/>
        </w:rPr>
        <w:t xml:space="preserve">太仓市第一人民医院</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乙方：</w:t>
      </w:r>
      <w:r>
        <w:rPr>
          <w:rFonts w:hint="eastAsia" w:ascii="宋体" w:hAnsi="Times New Roman" w:eastAsia="宋体" w:cs="宋体"/>
          <w:color w:val="auto"/>
          <w:sz w:val="28"/>
          <w:szCs w:val="28"/>
          <w:highlight w:val="none"/>
          <w:u w:val="single"/>
        </w:rPr>
        <w:t xml:space="preserve"> </w:t>
      </w:r>
      <w:r>
        <w:rPr>
          <w:rFonts w:hint="default" w:ascii="宋体" w:hAnsi="Times New Roman" w:eastAsia="宋体" w:cs="宋体"/>
          <w:color w:val="auto"/>
          <w:sz w:val="28"/>
          <w:szCs w:val="28"/>
          <w:highlight w:val="none"/>
          <w:u w:val="single"/>
        </w:rPr>
        <w:t xml:space="preserve">                      </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签订地：</w:t>
      </w:r>
      <w:r>
        <w:rPr>
          <w:rFonts w:hint="eastAsia" w:ascii="宋体" w:hAnsi="Times New Roman" w:eastAsia="宋体" w:cs="宋体"/>
          <w:color w:val="auto"/>
          <w:sz w:val="28"/>
          <w:szCs w:val="28"/>
          <w:highlight w:val="none"/>
          <w:u w:val="single"/>
        </w:rPr>
        <w:t xml:space="preserve">太仓市</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签订日期：</w:t>
      </w:r>
      <w:r>
        <w:rPr>
          <w:rFonts w:hint="default" w:ascii="宋体" w:hAnsi="Times New Roman" w:eastAsia="宋体" w:cs="宋体"/>
          <w:color w:val="auto"/>
          <w:sz w:val="28"/>
          <w:szCs w:val="28"/>
          <w:highlight w:val="none"/>
          <w:u w:val="single"/>
        </w:rPr>
        <w:t xml:space="preserve">202</w:t>
      </w:r>
      <w:r>
        <w:rPr>
          <w:rFonts w:hint="eastAsia" w:ascii="宋体" w:hAnsi="Times New Roman" w:eastAsia="宋体" w:cs="宋体"/>
          <w:color w:val="auto"/>
          <w:sz w:val="28"/>
          <w:szCs w:val="28"/>
          <w:highlight w:val="none"/>
          <w:u w:val="single"/>
          <w:lang w:val="en-US" w:eastAsia="zh-CN"/>
        </w:rPr>
        <w:t xml:space="preserve">6</w:t>
      </w:r>
      <w:r>
        <w:rPr>
          <w:rFonts w:hint="eastAsia" w:ascii="宋体" w:hAnsi="Times New Roman" w:eastAsia="宋体" w:cs="宋体"/>
          <w:color w:val="auto"/>
          <w:sz w:val="28"/>
          <w:szCs w:val="28"/>
          <w:highlight w:val="none"/>
        </w:rPr>
        <w:t xml:space="preserve">年</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 xml:space="preserve">月</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 xml:space="preserve">日</w:t>
      </w:r>
      <w:r/>
    </w:p>
    <w:p>
      <w:pPr>
        <w:ind w:firstLine="480"/>
        <w:spacing w:line="440" w:lineRule="exact"/>
        <w:widowControl/>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br w:type="page" w:clear="all"/>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rPr>
      </w:pPr>
      <w:r/>
      <w:bookmarkStart w:id="29" w:name="_Toc331685784"/>
      <w:r>
        <w:rPr>
          <w:rFonts w:hint="eastAsia" w:ascii="宋体" w:hAnsi="宋体" w:eastAsia="宋体" w:cs="宋体"/>
          <w:color w:val="auto"/>
          <w:sz w:val="21"/>
          <w:szCs w:val="24"/>
          <w:highlight w:val="none"/>
        </w:rPr>
        <w:t xml:space="preserve">根据《中华人民共和国民法典》、《中华人民共和国政府采购法》等法律法规的规定，甲乙双方按照</w:t>
      </w:r>
      <w:r>
        <w:rPr>
          <w:rFonts w:hint="eastAsia" w:ascii="宋体" w:hAnsi="宋体" w:cs="宋体"/>
          <w:b/>
          <w:bCs/>
          <w:color w:val="auto"/>
          <w:sz w:val="21"/>
          <w:szCs w:val="24"/>
          <w:highlight w:val="none"/>
          <w:u w:val="single"/>
          <w:lang w:eastAsia="zh-CN"/>
        </w:rPr>
        <w:t xml:space="preserve">零星五金配件配送服务</w:t>
      </w:r>
      <w:r>
        <w:rPr>
          <w:rFonts w:hint="eastAsia" w:ascii="宋体" w:hAnsi="宋体" w:eastAsia="宋体" w:cs="宋体"/>
          <w:color w:val="auto"/>
          <w:sz w:val="21"/>
          <w:szCs w:val="24"/>
          <w:highlight w:val="none"/>
        </w:rPr>
        <w:t xml:space="preserve">（</w:t>
      </w:r>
      <w:r>
        <w:rPr>
          <w:rFonts w:hint="eastAsia" w:ascii="宋体" w:hAnsi="宋体" w:eastAsia="宋体" w:cs="宋体"/>
          <w:b/>
          <w:bCs/>
          <w:color w:val="auto"/>
          <w:sz w:val="21"/>
          <w:szCs w:val="24"/>
          <w:highlight w:val="none"/>
        </w:rPr>
        <w:t xml:space="preserve">编号</w:t>
      </w:r>
      <w:r>
        <w:rPr>
          <w:rFonts w:hint="eastAsia" w:ascii="宋体" w:hAnsi="宋体" w:eastAsia="宋体" w:cs="宋体"/>
          <w:b w:val="0"/>
          <w:bCs w:val="0"/>
          <w:color w:val="auto"/>
          <w:sz w:val="21"/>
          <w:szCs w:val="24"/>
          <w:highlight w:val="none"/>
          <w:lang w:eastAsia="zh-CN"/>
        </w:rPr>
        <w:t xml:space="preserve"> </w:t>
      </w:r>
      <w:r>
        <w:rPr>
          <w:rFonts w:hint="eastAsia" w:ascii="宋体" w:hAnsi="宋体" w:cs="宋体"/>
          <w:b w:val="0"/>
          <w:bCs w:val="0"/>
          <w:color w:val="auto"/>
          <w:sz w:val="21"/>
          <w:szCs w:val="24"/>
          <w:highlight w:val="none"/>
          <w:lang w:eastAsia="zh-CN"/>
        </w:rPr>
        <w:t xml:space="preserve">JSZC-320585-SZTZ-G2026-0010</w:t>
      </w:r>
      <w:r>
        <w:rPr>
          <w:rFonts w:hint="eastAsia" w:ascii="宋体" w:hAnsi="宋体" w:eastAsia="宋体" w:cs="宋体"/>
          <w:color w:val="auto"/>
          <w:sz w:val="21"/>
          <w:szCs w:val="24"/>
          <w:highlight w:val="none"/>
        </w:rPr>
        <w:t xml:space="preserve">）的招标结果签订本合同。</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rPr>
        <w:t xml:space="preserve">一、组成本合同的有关文件 </w:t>
      </w:r>
      <w:r>
        <w:rPr>
          <w:rFonts w:hint="eastAsia" w:ascii="宋体" w:hAnsi="宋体" w:eastAsia="宋体" w:cs="宋体"/>
          <w:color w:val="auto"/>
          <w:sz w:val="21"/>
          <w:szCs w:val="24"/>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下列与本次采购活动有关的文件及有关附件是本合同不可分割的组成部分，与本合同具有同等法律效力，这些文件包括但不限于：</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1、招标采购文件（编号：</w:t>
      </w:r>
      <w:r>
        <w:rPr>
          <w:rFonts w:hint="eastAsia" w:ascii="宋体" w:hAnsi="宋体" w:cs="宋体"/>
          <w:bCs/>
          <w:color w:val="auto"/>
          <w:sz w:val="21"/>
          <w:szCs w:val="24"/>
          <w:highlight w:val="none"/>
          <w:lang w:eastAsia="zh-CN"/>
        </w:rPr>
        <w:t xml:space="preserve">JSZC-320585-SZTZ-G2026-0010</w:t>
      </w:r>
      <w:r>
        <w:rPr>
          <w:rFonts w:hint="eastAsia" w:ascii="宋体" w:hAnsi="宋体" w:eastAsia="宋体" w:cs="宋体"/>
          <w:color w:val="auto"/>
          <w:sz w:val="21"/>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2、乙方提供的投标文件；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zh-CN"/>
        </w:rPr>
        <w:t xml:space="preserve">3、乙方在投标过程中所作的其他承诺、声明、书面澄清等；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4、中标通知书；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5、甲乙双方商定的其他文件等。</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二、合同的标的物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1、甲方向乙方提供标的物具体的品种、规格</w:t>
      </w: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4"/>
          <w:highlight w:val="none"/>
          <w:lang w:val="en-US" w:eastAsia="zh-CN"/>
        </w:rPr>
        <w:t xml:space="preserve">单价详见附件</w:t>
      </w:r>
      <w:r>
        <w:rPr>
          <w:rFonts w:hint="eastAsia" w:ascii="宋体" w:hAnsi="宋体" w:eastAsia="宋体" w:cs="宋体"/>
          <w:color w:val="auto"/>
          <w:sz w:val="21"/>
          <w:szCs w:val="24"/>
          <w:highlight w:val="none"/>
        </w:rPr>
        <w:t xml:space="preserve">：</w:t>
      </w:r>
      <w:r/>
    </w:p>
    <w:p>
      <w:pPr>
        <w:ind w:firstLine="420"/>
        <w:jc w:val="left"/>
        <w:keepLines w:val="0"/>
        <w:keepNext w:val="0"/>
        <w:pageBreakBefore w:val="0"/>
        <w:spacing w:line="360" w:lineRule="auto"/>
        <w:widowControl w:val="off"/>
        <w:rPr>
          <w:rFonts w:hint="default" w:ascii="宋体" w:hAnsi="宋体" w:eastAsia="宋体" w:cs="宋体"/>
          <w:color w:val="auto"/>
          <w:sz w:val="21"/>
          <w:szCs w:val="24"/>
          <w:highlight w:val="none"/>
          <w:lang w:val="en-US" w:eastAsia="zh-CN"/>
        </w:rPr>
      </w:pPr>
      <w:r>
        <w:rPr>
          <w:rFonts w:hint="eastAsia" w:ascii="宋体" w:hAnsi="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服务期限：自 202</w:t>
      </w:r>
      <w:r>
        <w:rPr>
          <w:rFonts w:hint="eastAsia" w:ascii="宋体" w:hAnsi="宋体" w:eastAsia="宋体" w:cs="宋体"/>
          <w:color w:val="auto"/>
          <w:sz w:val="21"/>
          <w:szCs w:val="24"/>
          <w:highlight w:val="none"/>
          <w:lang w:val="en-US" w:eastAsia="zh-CN"/>
        </w:rPr>
        <w:t xml:space="preserve">6</w:t>
      </w:r>
      <w:r>
        <w:rPr>
          <w:rFonts w:hint="eastAsia" w:ascii="宋体" w:hAnsi="宋体" w:eastAsia="宋体" w:cs="宋体"/>
          <w:color w:val="auto"/>
          <w:sz w:val="21"/>
          <w:szCs w:val="24"/>
          <w:highlight w:val="none"/>
        </w:rPr>
        <w:t xml:space="preserve">年 </w:t>
      </w:r>
      <w:r>
        <w:rPr>
          <w:rFonts w:hint="eastAsia" w:ascii="宋体" w:hAnsi="宋体" w:eastAsia="宋体" w:cs="宋体"/>
          <w:color w:val="auto"/>
          <w:sz w:val="21"/>
          <w:szCs w:val="24"/>
          <w:highlight w:val="none"/>
          <w:lang w:val="en-US" w:eastAsia="zh-CN"/>
        </w:rPr>
        <w:t xml:space="preserve">   </w:t>
      </w:r>
      <w:r>
        <w:rPr>
          <w:rFonts w:hint="eastAsia" w:ascii="宋体" w:hAnsi="宋体" w:eastAsia="宋体" w:cs="宋体"/>
          <w:color w:val="auto"/>
          <w:sz w:val="21"/>
          <w:szCs w:val="24"/>
          <w:highlight w:val="none"/>
        </w:rPr>
        <w:t xml:space="preserve">月 </w:t>
      </w:r>
      <w:r>
        <w:rPr>
          <w:rFonts w:hint="eastAsia" w:ascii="宋体" w:hAnsi="宋体" w:eastAsia="宋体" w:cs="宋体"/>
          <w:color w:val="auto"/>
          <w:sz w:val="21"/>
          <w:szCs w:val="24"/>
          <w:highlight w:val="none"/>
          <w:lang w:val="en-US" w:eastAsia="zh-CN"/>
        </w:rPr>
        <w:t xml:space="preserve">  </w:t>
      </w:r>
      <w:r>
        <w:rPr>
          <w:rFonts w:hint="eastAsia" w:ascii="宋体" w:hAnsi="宋体" w:eastAsia="宋体" w:cs="宋体"/>
          <w:color w:val="auto"/>
          <w:sz w:val="21"/>
          <w:szCs w:val="24"/>
          <w:highlight w:val="none"/>
        </w:rPr>
        <w:t xml:space="preserve"> 日起至202</w:t>
      </w: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年  月  日止</w:t>
      </w:r>
      <w:r>
        <w:rPr>
          <w:rFonts w:hint="eastAsia" w:ascii="宋体" w:hAnsi="宋体" w:cs="宋体"/>
          <w:color w:val="auto"/>
          <w:sz w:val="21"/>
          <w:szCs w:val="24"/>
          <w:highlight w:val="none"/>
          <w:lang w:val="en-US" w:eastAsia="zh-CN"/>
        </w:rPr>
        <w:t xml:space="preserve">或项目累计结算金额达到195万元止。</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三、履约验收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履约验收的实施主体：</w:t>
      </w:r>
      <w:r>
        <w:rPr>
          <w:rFonts w:hint="eastAsia" w:ascii="宋体" w:hAnsi="宋体" w:cs="宋体"/>
          <w:color w:val="auto"/>
          <w:sz w:val="21"/>
          <w:szCs w:val="21"/>
          <w:highlight w:val="none"/>
          <w:lang w:val="zh-CN" w:eastAsia="zh-CN"/>
        </w:rPr>
        <w:t xml:space="preserve">太仓市第一人民医院</w:t>
      </w:r>
      <w:r>
        <w:rPr>
          <w:rFonts w:hint="eastAsia" w:ascii="宋体" w:hAnsi="宋体" w:eastAsia="宋体" w:cs="宋体"/>
          <w:color w:val="auto"/>
          <w:sz w:val="21"/>
          <w:szCs w:val="21"/>
          <w:highlight w:val="none"/>
          <w:lang w:val="zh-CN"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履约验收时间：每</w:t>
      </w:r>
      <w:r>
        <w:rPr>
          <w:rFonts w:hint="eastAsia" w:ascii="宋体" w:hAnsi="宋体" w:eastAsia="宋体" w:cs="宋体"/>
          <w:color w:val="auto"/>
          <w:sz w:val="21"/>
          <w:szCs w:val="21"/>
          <w:highlight w:val="none"/>
          <w:lang w:val="en-US" w:eastAsia="zh-CN"/>
        </w:rPr>
        <w:t xml:space="preserve">个月甲方</w:t>
      </w:r>
      <w:r>
        <w:rPr>
          <w:rFonts w:hint="eastAsia" w:ascii="宋体" w:hAnsi="宋体" w:eastAsia="宋体" w:cs="宋体"/>
          <w:color w:val="auto"/>
          <w:sz w:val="21"/>
          <w:szCs w:val="21"/>
          <w:highlight w:val="none"/>
          <w:lang w:val="zh-CN" w:eastAsia="zh-CN"/>
        </w:rPr>
        <w:t xml:space="preserve">对</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的履约</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val="zh-CN" w:eastAsia="zh-CN"/>
        </w:rPr>
        <w:t xml:space="preserve">进行验收，</w:t>
      </w:r>
      <w:r>
        <w:rPr>
          <w:rFonts w:hint="eastAsia" w:ascii="宋体" w:hAnsi="宋体" w:eastAsia="宋体" w:cs="宋体"/>
          <w:color w:val="auto"/>
          <w:sz w:val="21"/>
          <w:szCs w:val="21"/>
          <w:highlight w:val="none"/>
          <w:lang w:val="en-US" w:eastAsia="zh-CN"/>
        </w:rPr>
        <w:t xml:space="preserve">验收前甲方向乙方发出《政府采购履约验收通知单》（合同附件），验收完成后形成《政府采购履约验收书》（合同附件）</w:t>
      </w:r>
      <w:r>
        <w:rPr>
          <w:rFonts w:hint="eastAsia" w:ascii="宋体" w:hAnsi="宋体" w:eastAsia="宋体" w:cs="宋体"/>
          <w:color w:val="auto"/>
          <w:sz w:val="21"/>
          <w:szCs w:val="21"/>
          <w:highlight w:val="none"/>
          <w:lang w:val="zh-CN"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履约验收方式：分段验收。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4、验收内容：</w:t>
      </w:r>
      <w:r>
        <w:rPr>
          <w:rFonts w:hint="eastAsia" w:ascii="宋体" w:hAnsi="宋体" w:eastAsia="宋体" w:cs="宋体"/>
          <w:color w:val="auto"/>
          <w:sz w:val="21"/>
          <w:szCs w:val="21"/>
          <w:highlight w:val="none"/>
          <w:lang w:val="en-US" w:eastAsia="zh-CN"/>
        </w:rPr>
        <w:t xml:space="preserve">验收内容包括但不限于：型号、规格、数量、外观质量、及货物包装是否完好等。甲方保留委托</w:t>
      </w:r>
      <w:r>
        <w:rPr>
          <w:rFonts w:hint="eastAsia" w:ascii="宋体" w:hAnsi="宋体" w:eastAsia="宋体" w:cs="宋体"/>
          <w:color w:val="auto"/>
          <w:sz w:val="21"/>
          <w:szCs w:val="21"/>
          <w:highlight w:val="none"/>
        </w:rPr>
        <w:t xml:space="preserve">第三方对成交产品进行</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权利，在验收</w:t>
      </w:r>
      <w:r>
        <w:rPr>
          <w:rFonts w:hint="eastAsia" w:ascii="宋体" w:hAnsi="宋体" w:eastAsia="宋体" w:cs="宋体"/>
          <w:color w:val="auto"/>
          <w:sz w:val="21"/>
          <w:szCs w:val="21"/>
          <w:highlight w:val="none"/>
          <w:lang w:val="en-US" w:eastAsia="zh-CN"/>
        </w:rPr>
        <w:t xml:space="preserve">或使用</w:t>
      </w:r>
      <w:r>
        <w:rPr>
          <w:rFonts w:hint="eastAsia" w:ascii="宋体" w:hAnsi="宋体" w:eastAsia="宋体" w:cs="宋体"/>
          <w:color w:val="auto"/>
          <w:sz w:val="21"/>
          <w:szCs w:val="21"/>
          <w:highlight w:val="none"/>
        </w:rPr>
        <w:t xml:space="preserve">过程中发现不满足采购文件中要求的，经</w:t>
      </w:r>
      <w:r>
        <w:rPr>
          <w:rFonts w:hint="eastAsia" w:ascii="宋体" w:hAnsi="宋体" w:eastAsia="宋体" w:cs="宋体"/>
          <w:color w:val="auto"/>
          <w:sz w:val="21"/>
          <w:szCs w:val="21"/>
          <w:highlight w:val="none"/>
          <w:lang w:val="en-US" w:eastAsia="zh-CN"/>
        </w:rPr>
        <w:t xml:space="preserve">甲方或</w:t>
      </w:r>
      <w:r>
        <w:rPr>
          <w:rFonts w:hint="eastAsia" w:ascii="宋体" w:hAnsi="宋体" w:eastAsia="宋体" w:cs="宋体"/>
          <w:color w:val="auto"/>
          <w:sz w:val="21"/>
          <w:szCs w:val="21"/>
          <w:highlight w:val="none"/>
        </w:rPr>
        <w:t xml:space="preserve">第三方验证确实，</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有权要求</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无条件退货，并依据采购文件和合同进行相关处罚。</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zh-CN"/>
        </w:rPr>
        <w:t xml:space="preserve">履约验收标准：</w:t>
      </w:r>
      <w:r>
        <w:rPr>
          <w:rFonts w:hint="eastAsia" w:ascii="宋体" w:hAnsi="宋体" w:eastAsia="宋体" w:cs="宋体"/>
          <w:color w:val="auto"/>
          <w:sz w:val="21"/>
          <w:szCs w:val="21"/>
          <w:highlight w:val="none"/>
          <w:lang w:val="en-US" w:eastAsia="zh-CN" w:bidi="ar-SA"/>
        </w:rPr>
        <w:t xml:space="preserve">按照采购文件要求及相关法律法规、行业标准进行验收。</w:t>
      </w:r>
      <w:r/>
    </w:p>
    <w:p>
      <w:pPr>
        <w:ind w:firstLine="422"/>
        <w:jc w:val="left"/>
        <w:keepLines w:val="0"/>
        <w:keepNext w:val="0"/>
        <w:pageBreakBefore w:val="0"/>
        <w:spacing w:line="360" w:lineRule="auto"/>
        <w:widowControl w:val="off"/>
        <w:rPr>
          <w:rFonts w:hint="default" w:ascii="宋体" w:hAnsi="宋体" w:eastAsia="宋体" w:cs="宋体"/>
          <w:b/>
          <w:bCs/>
          <w:color w:val="auto"/>
          <w:sz w:val="21"/>
          <w:szCs w:val="24"/>
          <w:highlight w:val="none"/>
          <w:lang w:val="en-US" w:eastAsia="zh-CN"/>
        </w:rPr>
      </w:pPr>
      <w:r>
        <w:rPr>
          <w:rFonts w:hint="eastAsia" w:ascii="宋体" w:hAnsi="宋体" w:cs="宋体"/>
          <w:b/>
          <w:bCs/>
          <w:color w:val="auto"/>
          <w:sz w:val="21"/>
          <w:szCs w:val="24"/>
          <w:highlight w:val="none"/>
          <w:lang w:val="en-US" w:eastAsia="zh-CN"/>
        </w:rPr>
        <w:t xml:space="preserve">四、费用结算</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本项目按固定综合单价结算，数量按实际发生计算，</w:t>
      </w:r>
      <w:r>
        <w:rPr>
          <w:rFonts w:hint="eastAsia" w:ascii="宋体" w:hAnsi="宋体" w:eastAsia="宋体" w:cs="宋体"/>
          <w:color w:val="auto"/>
          <w:sz w:val="21"/>
          <w:szCs w:val="21"/>
          <w:highlight w:val="none"/>
          <w:lang w:val="en-US" w:eastAsia="zh-CN" w:bidi="ar-SA"/>
        </w:rPr>
        <w:t xml:space="preserve">具体单价详见本合同附件</w:t>
      </w:r>
      <w:r>
        <w:rPr>
          <w:rFonts w:hint="eastAsia" w:ascii="宋体" w:hAnsi="宋体" w:eastAsia="宋体" w:cs="宋体"/>
          <w:color w:val="auto"/>
          <w:sz w:val="21"/>
          <w:szCs w:val="21"/>
          <w:highlight w:val="none"/>
          <w:lang w:val="zh-CN" w:eastAsia="zh-CN" w:bidi="ar-SA"/>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lang w:val="zh-CN" w:eastAsia="zh-CN" w:bidi="ar-SA"/>
        </w:rPr>
        <w:t xml:space="preserve">、付款</w:t>
      </w:r>
      <w:r>
        <w:rPr>
          <w:rFonts w:hint="eastAsia" w:ascii="宋体" w:hAnsi="宋体" w:eastAsia="宋体" w:cs="宋体"/>
          <w:b/>
          <w:bCs/>
          <w:color w:val="auto"/>
          <w:sz w:val="21"/>
          <w:szCs w:val="21"/>
          <w:highlight w:val="none"/>
          <w:lang w:val="en-US" w:eastAsia="zh-CN" w:bidi="ar-SA"/>
        </w:rPr>
        <w:t xml:space="preserve">方式</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付款方式一：</w:t>
      </w:r>
      <w:r>
        <w:rPr>
          <w:rFonts w:hint="eastAsia" w:ascii="宋体" w:hAnsi="宋体" w:eastAsia="宋体" w:cs="宋体"/>
          <w:color w:val="auto"/>
          <w:sz w:val="21"/>
          <w:szCs w:val="21"/>
          <w:highlight w:val="none"/>
          <w:lang w:val="zh-CN" w:eastAsia="zh-CN" w:bidi="ar-SA"/>
        </w:rPr>
        <w:t xml:space="preserve">维修费用按</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lang w:val="zh-CN" w:eastAsia="zh-CN" w:bidi="ar-SA"/>
        </w:rPr>
        <w:t xml:space="preserve">结算，</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于每月结束后</w:t>
      </w:r>
      <w:r>
        <w:rPr>
          <w:rFonts w:hint="eastAsia"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rPr>
        <w:t xml:space="preserve">月10号前向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出具对账单，经</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确认无误后出具发票进行结算</w:t>
      </w:r>
      <w:r>
        <w:rPr>
          <w:rFonts w:hint="eastAsia" w:ascii="宋体" w:hAnsi="宋体" w:eastAsia="宋体" w:cs="宋体"/>
          <w:color w:val="auto"/>
          <w:sz w:val="21"/>
          <w:szCs w:val="21"/>
          <w:highlight w:val="none"/>
          <w:lang w:val="zh-CN" w:eastAsia="zh-CN" w:bidi="ar-SA"/>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u w:val="none"/>
          <w:lang w:val="en-US" w:eastAsia="zh-CN"/>
        </w:rPr>
        <w:t xml:space="preserve">付款方式二：</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val="en-US" w:eastAsia="zh-CN"/>
        </w:rPr>
        <w:t xml:space="preserve">（1）合同签订生效后甲方支付合同金额的10%预付款，余款按月结算，</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en-US" w:eastAsia="zh-CN"/>
        </w:rPr>
        <w:t xml:space="preserve">于每月结束后</w:t>
      </w:r>
      <w:r>
        <w:rPr>
          <w:rFonts w:hint="eastAsia" w:ascii="宋体" w:hAnsi="宋体" w:eastAsia="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rPr>
        <w:t xml:space="preserve">月10号前向</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出具对账单，经</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确认无误后出具发票进行结算</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（2）预付款扣回：甲方在第一个月付款中扣除全部预付款，若第一个月付款金额不足以全额扣回预付款，则差额部分从后续进度款中继续扣回，直至全部预付款扣清为止。</w:t>
      </w:r>
      <w:r/>
    </w:p>
    <w:p>
      <w:pPr>
        <w:ind w:firstLine="420"/>
        <w:jc w:val="both"/>
        <w:keepLines w:val="0"/>
        <w:keepNext w:val="0"/>
        <w:pageBreakBefore w:val="0"/>
        <w:spacing w:line="360" w:lineRule="auto"/>
        <w:widowControl w:val="off"/>
        <w:rPr>
          <w:rFonts w:hint="eastAsia" w:ascii="宋体" w:hAnsi="宋体" w:eastAsia="宋体" w:cs="宋体"/>
          <w:b/>
          <w:bCs/>
          <w:color w:val="auto"/>
          <w:sz w:val="21"/>
          <w:szCs w:val="24"/>
          <w:highlight w:val="none"/>
          <w:lang w:val="en-US" w:eastAsia="zh-CN"/>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b/>
          <w:bCs/>
          <w:color w:val="auto"/>
          <w:sz w:val="21"/>
          <w:szCs w:val="24"/>
          <w:highlight w:val="none"/>
          <w:lang w:val="en-US" w:eastAsia="zh-CN"/>
        </w:rPr>
        <w:t xml:space="preserve">六</w:t>
      </w:r>
      <w:r>
        <w:rPr>
          <w:rFonts w:hint="eastAsia" w:ascii="宋体" w:hAnsi="宋体" w:eastAsia="宋体" w:cs="宋体"/>
          <w:b/>
          <w:bCs/>
          <w:color w:val="auto"/>
          <w:sz w:val="21"/>
          <w:szCs w:val="24"/>
          <w:highlight w:val="none"/>
        </w:rPr>
        <w:t xml:space="preserve">、质量保证</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color w:val="auto"/>
          <w:sz w:val="21"/>
          <w:szCs w:val="24"/>
          <w:highlight w:val="none"/>
          <w:lang w:val="en-US" w:eastAsia="zh-CN"/>
        </w:rPr>
        <w:t xml:space="preserve">1、</w:t>
      </w:r>
      <w:r>
        <w:rPr>
          <w:rFonts w:hint="eastAsia" w:ascii="宋体" w:hAnsi="宋体" w:eastAsia="宋体" w:cs="宋体"/>
          <w:color w:val="auto"/>
          <w:sz w:val="21"/>
          <w:szCs w:val="24"/>
          <w:highlight w:val="none"/>
        </w:rPr>
        <w:t xml:space="preserve">乙方应保证</w:t>
      </w:r>
      <w:r>
        <w:rPr>
          <w:rFonts w:hint="eastAsia" w:ascii="宋体" w:hAnsi="宋体" w:cs="宋体"/>
          <w:color w:val="auto"/>
          <w:sz w:val="21"/>
          <w:szCs w:val="24"/>
          <w:highlight w:val="none"/>
          <w:lang w:val="en-US" w:eastAsia="zh-CN"/>
        </w:rPr>
        <w:t xml:space="preserve">所提供的配件材料</w:t>
      </w:r>
      <w:r>
        <w:rPr>
          <w:rFonts w:hint="eastAsia" w:ascii="宋体" w:hAnsi="宋体" w:eastAsia="宋体" w:cs="宋体"/>
          <w:color w:val="auto"/>
          <w:sz w:val="21"/>
          <w:szCs w:val="24"/>
          <w:highlight w:val="none"/>
        </w:rPr>
        <w:t xml:space="preserve">是未使用过的原厂生产的合格正品，并完全符合合同规定的质量和性能的要求。乙方应保证</w:t>
      </w:r>
      <w:r>
        <w:rPr>
          <w:rFonts w:hint="eastAsia" w:ascii="宋体" w:hAnsi="宋体" w:cs="宋体"/>
          <w:color w:val="auto"/>
          <w:sz w:val="21"/>
          <w:szCs w:val="24"/>
          <w:highlight w:val="none"/>
          <w:lang w:val="en-US" w:eastAsia="zh-CN"/>
        </w:rPr>
        <w:t xml:space="preserve">配件</w:t>
      </w:r>
      <w:r>
        <w:rPr>
          <w:rFonts w:hint="eastAsia" w:ascii="宋体" w:hAnsi="宋体" w:eastAsia="宋体" w:cs="宋体"/>
          <w:color w:val="auto"/>
          <w:sz w:val="21"/>
          <w:szCs w:val="24"/>
          <w:highlight w:val="none"/>
        </w:rPr>
        <w:t xml:space="preserve">材料在正确安装、正常使用和保养条件下，在其使用寿命期内应具有满意的性能。在质量保证期内，乙方应对</w:t>
      </w:r>
      <w:r>
        <w:rPr>
          <w:rFonts w:hint="eastAsia" w:ascii="宋体" w:hAnsi="宋体" w:cs="宋体"/>
          <w:color w:val="auto"/>
          <w:sz w:val="21"/>
          <w:szCs w:val="24"/>
          <w:highlight w:val="none"/>
          <w:lang w:val="en-US" w:eastAsia="zh-CN"/>
        </w:rPr>
        <w:t xml:space="preserve">所提供的配件</w:t>
      </w:r>
      <w:r>
        <w:rPr>
          <w:rFonts w:hint="eastAsia" w:ascii="宋体" w:hAnsi="宋体" w:eastAsia="宋体" w:cs="宋体"/>
          <w:color w:val="auto"/>
          <w:sz w:val="21"/>
          <w:szCs w:val="24"/>
          <w:highlight w:val="none"/>
        </w:rPr>
        <w:t xml:space="preserve">材料的缺陷负责，费用由乙方负担。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、除特别约定外，</w:t>
      </w:r>
      <w:r>
        <w:rPr>
          <w:rFonts w:hint="eastAsia" w:ascii="宋体" w:hAnsi="宋体" w:cs="宋体"/>
          <w:color w:val="auto"/>
          <w:sz w:val="21"/>
          <w:szCs w:val="24"/>
          <w:highlight w:val="none"/>
          <w:lang w:val="en-US" w:eastAsia="zh-CN"/>
        </w:rPr>
        <w:t xml:space="preserve">乙方</w:t>
      </w:r>
      <w:r>
        <w:rPr>
          <w:rFonts w:hint="eastAsia" w:ascii="宋体" w:hAnsi="宋体" w:cs="宋体"/>
          <w:color w:val="auto"/>
          <w:sz w:val="21"/>
          <w:szCs w:val="24"/>
          <w:highlight w:val="none"/>
          <w:lang w:eastAsia="zh-CN"/>
        </w:rPr>
        <w:t xml:space="preserve">所提供的500元以上的产品的质量保证期均自标的物通过最终验收之日起不低于一年。</w:t>
      </w:r>
      <w:r/>
    </w:p>
    <w:p>
      <w:pPr>
        <w:ind w:firstLine="422"/>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七</w:t>
      </w:r>
      <w:r>
        <w:rPr>
          <w:rFonts w:hint="eastAsia" w:ascii="宋体" w:hAnsi="宋体" w:eastAsia="宋体" w:cs="宋体"/>
          <w:b/>
          <w:bCs/>
          <w:color w:val="auto"/>
          <w:sz w:val="21"/>
          <w:szCs w:val="24"/>
          <w:highlight w:val="none"/>
        </w:rPr>
        <w:t xml:space="preserve">、索赔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1、甲方有权根据当地产品质量检验机构或其他有权部门出具的检验证书向乙方提出索赔；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2、在本合同规定的检验期限和质量保证期内，如果乙方对甲方提出的索赔或差异有责任，则乙方应按甲方同意的下列一种或多种方式解决索赔事宜；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4"/>
          <w:highlight w:val="none"/>
          <w:lang w:val="en-US" w:eastAsia="zh-CN"/>
        </w:rPr>
        <w:t xml:space="preserve">1</w:t>
      </w:r>
      <w:r>
        <w:rPr>
          <w:rFonts w:hint="eastAsia" w:ascii="宋体" w:hAnsi="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根据</w:t>
      </w:r>
      <w:r>
        <w:rPr>
          <w:rFonts w:hint="eastAsia" w:ascii="宋体" w:hAnsi="宋体" w:cs="宋体"/>
          <w:color w:val="auto"/>
          <w:sz w:val="21"/>
          <w:szCs w:val="24"/>
          <w:highlight w:val="none"/>
          <w:lang w:val="en-US" w:eastAsia="zh-CN"/>
        </w:rPr>
        <w:t xml:space="preserve">产品</w:t>
      </w:r>
      <w:r>
        <w:rPr>
          <w:rFonts w:hint="eastAsia" w:ascii="宋体" w:hAnsi="宋体" w:eastAsia="宋体" w:cs="宋体"/>
          <w:color w:val="auto"/>
          <w:sz w:val="21"/>
          <w:szCs w:val="24"/>
          <w:highlight w:val="none"/>
        </w:rPr>
        <w:t xml:space="preserve">质量的低劣程度、损坏程度以及甲方遭受损失的数额，经双方协商确定不低于成本的价格赔偿；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cs="宋体"/>
          <w:color w:val="auto"/>
          <w:sz w:val="21"/>
          <w:szCs w:val="24"/>
          <w:highlight w:val="none"/>
          <w:lang w:eastAsia="zh-CN"/>
        </w:rPr>
        <w:t xml:space="preserve">（</w:t>
      </w:r>
      <w:r>
        <w:rPr>
          <w:rFonts w:hint="eastAsia" w:ascii="宋体" w:hAnsi="宋体" w:cs="宋体"/>
          <w:color w:val="auto"/>
          <w:sz w:val="21"/>
          <w:szCs w:val="24"/>
          <w:highlight w:val="none"/>
          <w:lang w:val="en-US" w:eastAsia="zh-CN"/>
        </w:rPr>
        <w:t xml:space="preserve">2</w:t>
      </w:r>
      <w:r>
        <w:rPr>
          <w:rFonts w:hint="eastAsia" w:ascii="宋体" w:hAnsi="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使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按照行业规定的质保期为基础，增加保质期不低于10天。</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八</w:t>
      </w:r>
      <w:r>
        <w:rPr>
          <w:rFonts w:hint="eastAsia" w:ascii="宋体" w:hAnsi="宋体" w:eastAsia="宋体" w:cs="宋体"/>
          <w:b/>
          <w:bCs/>
          <w:color w:val="auto"/>
          <w:sz w:val="21"/>
          <w:szCs w:val="24"/>
          <w:highlight w:val="none"/>
        </w:rPr>
        <w:t xml:space="preserve">、合同的解除和转让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1、甲方和乙方协商一致，可以解除合同；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2、有下列情形之一，合同一方可以解除合同：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（1）因不可抗力致使不能实现合同目的，未受不可抗力影响的一方有权解除合同；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（2）因合同一方违约导致合同不能履行，另一方有权解除合同；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（3）有权解除合同的一方，应当在违约事实或不可抗力发生之后三十天内书面通知对方以主张解除合同，合同在书面通知到达对方时解除；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3、合同的部分和全部都不得转让。</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九</w:t>
      </w:r>
      <w:r>
        <w:rPr>
          <w:rFonts w:hint="eastAsia" w:ascii="宋体" w:hAnsi="宋体" w:eastAsia="宋体" w:cs="宋体"/>
          <w:b/>
          <w:bCs/>
          <w:color w:val="auto"/>
          <w:sz w:val="21"/>
          <w:szCs w:val="24"/>
          <w:highlight w:val="none"/>
        </w:rPr>
        <w:t xml:space="preserve">、合同的生效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1、合同经供需双方代表签字、加盖公章（或合同章）后生效，至网上系统备案。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合同签订，备案生效后供需双方即直接产生权利与义务的关系，合同执行过程中出现的问题应按照《民法典》的规定办理。在合同履行过程中，双方如有争议，则任何一方均可向需方所在地人民法院提起诉讼。</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合同在执行过程中出现的未尽事宜，双方应在不违背本合同和需方采购目的的原则下协商解决，协商结果以书面形式盖章记录在案，并提交代理机构一份备存，作为本合同的附件，与本合同具有同等的法律效力。</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十</w:t>
      </w:r>
      <w:r>
        <w:rPr>
          <w:rFonts w:hint="eastAsia" w:ascii="宋体" w:hAnsi="宋体" w:eastAsia="宋体" w:cs="宋体"/>
          <w:b/>
          <w:bCs/>
          <w:color w:val="auto"/>
          <w:sz w:val="21"/>
          <w:szCs w:val="24"/>
          <w:highlight w:val="none"/>
        </w:rPr>
        <w:t xml:space="preserve">、争议的解决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甲乙双方因合同发生争议，应在代理机构的主持下进行调解，协商不成，任何一方可以向甲方所在地人民法院起诉。</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rPr>
        <w:t xml:space="preserve">十</w:t>
      </w:r>
      <w:r>
        <w:rPr>
          <w:rFonts w:hint="eastAsia" w:ascii="宋体" w:hAnsi="宋体" w:eastAsia="宋体" w:cs="宋体"/>
          <w:b/>
          <w:bCs/>
          <w:color w:val="auto"/>
          <w:sz w:val="21"/>
          <w:szCs w:val="24"/>
          <w:highlight w:val="none"/>
          <w:lang w:val="en-US" w:eastAsia="zh-CN"/>
        </w:rPr>
        <w:t xml:space="preserve">一</w:t>
      </w:r>
      <w:r>
        <w:rPr>
          <w:rFonts w:hint="eastAsia" w:ascii="宋体" w:hAnsi="宋体" w:eastAsia="宋体" w:cs="宋体"/>
          <w:b/>
          <w:bCs/>
          <w:color w:val="auto"/>
          <w:sz w:val="21"/>
          <w:szCs w:val="24"/>
          <w:highlight w:val="none"/>
        </w:rPr>
        <w:t xml:space="preserve">、附则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1、合同份数</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本合同一式</w:t>
      </w:r>
      <w:r>
        <w:rPr>
          <w:rFonts w:hint="eastAsia" w:ascii="宋体" w:hAnsi="宋体" w:cs="宋体"/>
          <w:color w:val="auto"/>
          <w:sz w:val="21"/>
          <w:szCs w:val="24"/>
          <w:highlight w:val="none"/>
          <w:lang w:val="en-US" w:eastAsia="zh-CN"/>
        </w:rPr>
        <w:t xml:space="preserve">五</w:t>
      </w:r>
      <w:r>
        <w:rPr>
          <w:rFonts w:hint="eastAsia" w:ascii="宋体" w:hAnsi="宋体" w:eastAsia="宋体" w:cs="宋体"/>
          <w:color w:val="auto"/>
          <w:sz w:val="21"/>
          <w:szCs w:val="24"/>
          <w:highlight w:val="none"/>
        </w:rPr>
        <w:t xml:space="preserve">份，甲方</w:t>
      </w:r>
      <w:r>
        <w:rPr>
          <w:rFonts w:hint="eastAsia" w:ascii="宋体" w:hAnsi="宋体" w:cs="宋体"/>
          <w:color w:val="auto"/>
          <w:sz w:val="21"/>
          <w:szCs w:val="24"/>
          <w:highlight w:val="none"/>
          <w:lang w:val="en-US" w:eastAsia="zh-CN"/>
        </w:rPr>
        <w:t xml:space="preserve">贰</w:t>
      </w:r>
      <w:r>
        <w:rPr>
          <w:rFonts w:hint="eastAsia" w:ascii="宋体" w:hAnsi="宋体" w:eastAsia="宋体" w:cs="宋体"/>
          <w:color w:val="auto"/>
          <w:sz w:val="21"/>
          <w:szCs w:val="24"/>
          <w:highlight w:val="none"/>
        </w:rPr>
        <w:t xml:space="preserve">份，乙方贰份，招标代理一份。</w:t>
      </w:r>
      <w:r/>
    </w:p>
    <w:p>
      <w:pPr>
        <w:ind w:firstLine="420"/>
        <w:jc w:val="left"/>
        <w:keepLines w:val="0"/>
        <w:keepNext w:val="0"/>
        <w:pageBreakBefore w:val="0"/>
        <w:spacing w:line="360" w:lineRule="auto"/>
        <w:widowControl w:val="off"/>
        <w:tabs>
          <w:tab w:val="left" w:pos="502"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2、未尽事宜：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本合同未尽事宜应按《中华人民共和国民法典》以及其同相关法律、法规之规定解释。</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甲方（采购人）：（盖章）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乙方（供应商）：（盖章）</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代表人（盖章</w:t>
      </w:r>
      <w:r>
        <w:rPr>
          <w:rFonts w:hint="eastAsia" w:ascii="Times New Roman" w:hAnsi="Times New Roman" w:eastAsia="宋体" w:cs="宋体"/>
          <w:color w:val="auto"/>
          <w:sz w:val="21"/>
          <w:szCs w:val="24"/>
          <w:highlight w:val="none"/>
          <w:lang w:val="en-US" w:eastAsia="zh-CN"/>
        </w:rPr>
        <w:t xml:space="preserve">/签字</w:t>
      </w:r>
      <w:r>
        <w:rPr>
          <w:rFonts w:hint="eastAsia" w:ascii="Times New Roman" w:hAnsi="Times New Roman" w:eastAsia="宋体" w:cs="宋体"/>
          <w:color w:val="auto"/>
          <w:sz w:val="21"/>
          <w:szCs w:val="24"/>
          <w:highlight w:val="none"/>
        </w:rPr>
        <w:t xml:space="preserve">）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代表人（盖章</w:t>
      </w:r>
      <w:r>
        <w:rPr>
          <w:rFonts w:hint="eastAsia" w:ascii="Times New Roman" w:hAnsi="Times New Roman" w:eastAsia="宋体" w:cs="宋体"/>
          <w:color w:val="auto"/>
          <w:sz w:val="21"/>
          <w:szCs w:val="24"/>
          <w:highlight w:val="none"/>
          <w:lang w:val="en-US" w:eastAsia="zh-CN"/>
        </w:rPr>
        <w:t xml:space="preserve">/签字</w:t>
      </w:r>
      <w:r>
        <w:rPr>
          <w:rFonts w:hint="eastAsia" w:ascii="Times New Roman" w:hAnsi="Times New Roman" w:eastAsia="宋体" w:cs="宋体"/>
          <w:color w:val="auto"/>
          <w:sz w:val="21"/>
          <w:szCs w:val="24"/>
          <w:highlight w:val="none"/>
        </w:rPr>
        <w:t xml:space="preserve">） ：</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电    话：</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w:t>
      </w:r>
      <w:r>
        <w:rPr>
          <w:rFonts w:hint="eastAsia" w:ascii="Times New Roman" w:hAnsi="Times New Roman" w:eastAsia="宋体" w:cs="宋体"/>
          <w:color w:val="auto"/>
          <w:sz w:val="21"/>
          <w:szCs w:val="24"/>
          <w:highlight w:val="none"/>
          <w:lang w:val="en-US" w:eastAsia="zh-CN"/>
        </w:rPr>
        <w:t xml:space="preserve">   </w:t>
      </w:r>
      <w:r>
        <w:rPr>
          <w:rFonts w:hint="eastAsia" w:ascii="Times New Roman" w:hAnsi="Times New Roman" w:eastAsia="宋体" w:cs="宋体"/>
          <w:color w:val="auto"/>
          <w:sz w:val="21"/>
          <w:szCs w:val="24"/>
          <w:highlight w:val="none"/>
        </w:rPr>
        <w:t xml:space="preserve">电    话：</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开户银行：                     </w:t>
      </w:r>
      <w:r>
        <w:rPr>
          <w:rFonts w:hint="eastAsia" w:ascii="Times New Roman" w:hAnsi="Times New Roman" w:eastAsia="宋体" w:cs="宋体"/>
          <w:color w:val="auto"/>
          <w:sz w:val="21"/>
          <w:szCs w:val="24"/>
          <w:highlight w:val="none"/>
          <w:lang w:val="en-US" w:eastAsia="zh-CN"/>
        </w:rPr>
        <w:t xml:space="preserve">   </w:t>
      </w:r>
      <w:r>
        <w:rPr>
          <w:rFonts w:hint="eastAsia" w:ascii="Times New Roman" w:hAnsi="Times New Roman" w:eastAsia="宋体" w:cs="宋体"/>
          <w:color w:val="auto"/>
          <w:sz w:val="21"/>
          <w:szCs w:val="24"/>
          <w:highlight w:val="none"/>
        </w:rPr>
        <w:t xml:space="preserve">开户银行：</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cs="宋体"/>
          <w:color w:val="auto"/>
          <w:sz w:val="21"/>
          <w:szCs w:val="24"/>
          <w:highlight w:val="none"/>
          <w:lang w:eastAsia="zh-CN"/>
        </w:rPr>
        <w:t xml:space="preserve">账</w:t>
      </w:r>
      <w:r>
        <w:rPr>
          <w:rFonts w:hint="eastAsia" w:ascii="Times New Roman" w:hAnsi="Times New Roman" w:eastAsia="宋体" w:cs="宋体"/>
          <w:color w:val="auto"/>
          <w:sz w:val="21"/>
          <w:szCs w:val="24"/>
          <w:highlight w:val="none"/>
        </w:rPr>
        <w:t xml:space="preserve">    号：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w:t>
      </w:r>
      <w:r>
        <w:rPr>
          <w:rFonts w:hint="eastAsia" w:cs="宋体"/>
          <w:color w:val="auto"/>
          <w:sz w:val="21"/>
          <w:szCs w:val="24"/>
          <w:highlight w:val="none"/>
          <w:lang w:eastAsia="zh-CN"/>
        </w:rPr>
        <w:t xml:space="preserve">账</w:t>
      </w:r>
      <w:r>
        <w:rPr>
          <w:rFonts w:hint="eastAsia" w:ascii="Times New Roman" w:hAnsi="Times New Roman" w:eastAsia="宋体" w:cs="宋体"/>
          <w:color w:val="auto"/>
          <w:sz w:val="21"/>
          <w:szCs w:val="24"/>
          <w:highlight w:val="none"/>
        </w:rPr>
        <w:t xml:space="preserve">    号：</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日期： 年 月 日                   日期：  年  月  日</w:t>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bookmarkEnd w:id="29"/>
      <w:r/>
      <w:r/>
    </w:p>
    <w:p>
      <w:pPr>
        <w:spacing w:line="360" w:lineRule="auto"/>
        <w:widowControl/>
        <w:rPr>
          <w:rFonts w:hAnsi="宋体"/>
          <w:color w:val="auto"/>
          <w:sz w:val="21"/>
          <w:szCs w:val="21"/>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Ansi="宋体"/>
          <w:color w:val="auto"/>
          <w:sz w:val="21"/>
          <w:szCs w:val="21"/>
          <w:highlight w:val="none"/>
        </w:rPr>
      </w:r>
      <w:bookmarkEnd w:id="26"/>
      <w:r/>
      <w:bookmarkEnd w:id="27"/>
      <w:r/>
      <w:bookmarkEnd w:id="28"/>
      <w:r/>
      <w:r/>
    </w:p>
    <w:p>
      <w:pPr>
        <w:pStyle w:val="1049"/>
        <w:ind w:firstLine="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附件</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w:t>
      </w:r>
      <w:r/>
    </w:p>
    <w:p>
      <w:pPr>
        <w:jc w:val="center"/>
        <w:keepLines/>
        <w:keepNext/>
        <w:spacing w:before="320" w:after="200"/>
        <w:widowControl w:val="off"/>
        <w:rPr>
          <w:rFonts w:hint="eastAsia" w:ascii="微软雅黑" w:hAnsi="微软雅黑" w:eastAsia="微软雅黑" w:cs="微软雅黑"/>
          <w:color w:val="auto"/>
          <w:sz w:val="36"/>
          <w:szCs w:val="36"/>
          <w:highlight w:val="none"/>
        </w:rPr>
        <w:outlineLvl w:val="2"/>
      </w:pPr>
      <w:r>
        <w:rPr>
          <w:rFonts w:hint="eastAsia" w:ascii="微软雅黑" w:hAnsi="微软雅黑" w:eastAsia="微软雅黑" w:cs="微软雅黑"/>
          <w:color w:val="auto"/>
          <w:sz w:val="36"/>
          <w:szCs w:val="36"/>
          <w:highlight w:val="none"/>
        </w:rPr>
        <w:t xml:space="preserve">政府采购履约验收通知单（参考样本）</w:t>
      </w:r>
      <w:r/>
    </w:p>
    <w:p>
      <w:pPr>
        <w:ind w:left="85"/>
        <w:spacing w:before="216" w:line="214" w:lineRule="auto"/>
        <w:rPr>
          <w:rFonts w:ascii="宋体" w:hAnsi="宋体" w:cs="宋体"/>
          <w:color w:val="auto"/>
          <w:sz w:val="21"/>
          <w:szCs w:val="21"/>
          <w:highlight w:val="none"/>
          <w:lang w:eastAsia="en-US"/>
        </w:rPr>
      </w:pPr>
      <w:r>
        <w:rPr>
          <w:rFonts w:hint="eastAsia" w:ascii="宋体" w:hAnsi="宋体" w:cs="宋体"/>
          <w:color w:val="auto"/>
          <w:spacing w:val="9"/>
          <w:sz w:val="21"/>
          <w:szCs w:val="21"/>
          <w:highlight w:val="none"/>
          <w:lang w:eastAsia="en-US"/>
        </w:rPr>
        <w:t xml:space="preserve">供应商：</w:t>
      </w:r>
      <w:r/>
    </w:p>
    <w:p>
      <w:pPr>
        <w:spacing w:line="44" w:lineRule="exact"/>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bl>
      <w:tblPr>
        <w:tblStyle w:val="960"/>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采购人</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项目名称</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合同名称</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合同金额</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8" w:line="213"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验收地点</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ascii="宋体" w:hAnsi="宋体" w:cs="宋体"/>
                <w:color w:val="auto"/>
                <w:sz w:val="21"/>
                <w:szCs w:val="21"/>
                <w:highlight w:val="none"/>
                <w:lang w:eastAsia="en-US"/>
              </w:rPr>
            </w:pPr>
            <w:r>
              <w:rPr>
                <w:rFonts w:hint="eastAsia" w:ascii="宋体" w:hAnsi="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5"/>
              <w:spacing w:before="248" w:line="213"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联系电话</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gridSpan w:val="4"/>
            <w:tcW w:w="9318" w:type="dxa"/>
            <w:textDirection w:val="lrTb"/>
            <w:noWrap w:val="false"/>
          </w:tcPr>
          <w:p>
            <w:pPr>
              <w:ind w:left="3353"/>
              <w:spacing w:before="250" w:line="212" w:lineRule="auto"/>
              <w:rPr>
                <w:rFonts w:ascii="宋体" w:hAnsi="宋体" w:cs="宋体"/>
                <w:color w:val="auto"/>
                <w:sz w:val="21"/>
                <w:szCs w:val="21"/>
                <w:highlight w:val="none"/>
              </w:rPr>
            </w:pPr>
            <w:r>
              <w:rPr>
                <w:rFonts w:hint="eastAsia" w:ascii="宋体" w:hAnsi="宋体" w:cs="宋体"/>
                <w:color w:val="auto"/>
                <w:spacing w:val="7"/>
                <w:sz w:val="21"/>
                <w:szCs w:val="21"/>
                <w:highlight w:val="none"/>
              </w:rPr>
              <w:t xml:space="preserve">履约验收方案及工作要求</w:t>
            </w:r>
            <w:r/>
          </w:p>
        </w:tc>
      </w:tr>
      <w:tr>
        <w:trPr>
          <w:trHeight w:val="7569"/>
        </w:trPr>
        <w:tc>
          <w:tcPr>
            <w:gridSpan w:val="4"/>
            <w:tcW w:w="9318" w:type="dxa"/>
            <w:textDirection w:val="lrTb"/>
            <w:noWrap w:val="false"/>
          </w:tcPr>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5411" w:right="2893" w:hanging="54"/>
              <w:spacing w:before="75" w:line="507" w:lineRule="auto"/>
              <w:rPr>
                <w:rFonts w:ascii="宋体" w:hAnsi="宋体" w:cs="宋体"/>
                <w:color w:val="auto"/>
                <w:sz w:val="23"/>
                <w:szCs w:val="23"/>
                <w:highlight w:val="none"/>
                <w:lang w:eastAsia="en-US"/>
              </w:rPr>
            </w:pPr>
            <w:r>
              <w:rPr>
                <w:rFonts w:hint="eastAsia" w:ascii="宋体" w:hAnsi="宋体" w:cs="宋体"/>
                <w:color w:val="auto"/>
                <w:spacing w:val="3"/>
                <w:sz w:val="23"/>
                <w:szCs w:val="23"/>
                <w:highlight w:val="none"/>
                <w:lang w:eastAsia="en-US"/>
              </w:rPr>
              <w:t xml:space="preserve">单位公章</w:t>
            </w:r>
            <w:r>
              <w:rPr>
                <w:rFonts w:hint="eastAsia" w:ascii="宋体" w:hAnsi="宋体" w:cs="宋体"/>
                <w:color w:val="auto"/>
                <w:spacing w:val="-16"/>
                <w:sz w:val="23"/>
                <w:szCs w:val="23"/>
                <w:highlight w:val="none"/>
                <w:lang w:eastAsia="en-US"/>
              </w:rPr>
              <w:t xml:space="preserve">年</w:t>
            </w:r>
            <w:r>
              <w:rPr>
                <w:rFonts w:hint="eastAsia" w:ascii="宋体" w:hAnsi="宋体" w:cs="宋体"/>
                <w:color w:val="auto"/>
                <w:spacing w:val="-16"/>
                <w:sz w:val="23"/>
                <w:szCs w:val="23"/>
                <w:highlight w:val="none"/>
                <w:lang w:val="en-US" w:eastAsia="zh-CN"/>
              </w:rPr>
              <w:t xml:space="preserve">  </w:t>
            </w:r>
            <w:r>
              <w:rPr>
                <w:rFonts w:hint="eastAsia" w:ascii="宋体" w:hAnsi="宋体" w:cs="宋体"/>
                <w:color w:val="auto"/>
                <w:spacing w:val="-16"/>
                <w:sz w:val="23"/>
                <w:szCs w:val="23"/>
                <w:highlight w:val="none"/>
                <w:lang w:eastAsia="en-US"/>
              </w:rPr>
              <w:t xml:space="preserve">月</w:t>
            </w:r>
            <w:r>
              <w:rPr>
                <w:rFonts w:hint="eastAsia" w:ascii="宋体" w:hAnsi="宋体" w:cs="宋体"/>
                <w:color w:val="auto"/>
                <w:spacing w:val="-16"/>
                <w:sz w:val="23"/>
                <w:szCs w:val="23"/>
                <w:highlight w:val="none"/>
                <w:lang w:val="en-US" w:eastAsia="zh-CN"/>
              </w:rPr>
              <w:t xml:space="preserve">   </w:t>
            </w:r>
            <w:r>
              <w:rPr>
                <w:rFonts w:hint="eastAsia" w:ascii="宋体" w:hAnsi="宋体" w:cs="宋体"/>
                <w:color w:val="auto"/>
                <w:spacing w:val="-16"/>
                <w:sz w:val="23"/>
                <w:szCs w:val="23"/>
                <w:highlight w:val="none"/>
                <w:lang w:eastAsia="en-US"/>
              </w:rPr>
              <w:t xml:space="preserve">日</w:t>
            </w:r>
            <w:r/>
          </w:p>
        </w:tc>
      </w:tr>
    </w:tbl>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ascii="宋体" w:hAnsi="宋体" w:cs="宋体"/>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w:t>
      </w:r>
      <w:r/>
    </w:p>
    <w:p>
      <w:pPr>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政府采购履约验收书参考样本(服务类)</w:t>
      </w:r>
      <w:r/>
    </w:p>
    <w:tbl>
      <w:tblPr>
        <w:tblStyle w:val="960"/>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
        <w:gridCol w:w="1339"/>
        <w:gridCol w:w="1251"/>
        <w:gridCol w:w="1257"/>
        <w:gridCol w:w="1363"/>
        <w:gridCol w:w="1519"/>
        <w:gridCol w:w="74"/>
        <w:gridCol w:w="1442"/>
        <w:gridCol w:w="1579"/>
      </w:tblGrid>
      <w:tr>
        <w:trPr>
          <w:gridBefore w:val="1"/>
          <w:trHeight w:val="562"/>
        </w:trPr>
        <w:tc>
          <w:tcPr>
            <w:tcW w:w="1339"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3"/>
                <w:highlight w:val="none"/>
              </w:rPr>
              <w:t xml:space="preserve">采购人</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3"/>
                <w:highlight w:val="none"/>
              </w:rPr>
              <w:t xml:space="preserve">项目名称</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合同名称</w:t>
            </w:r>
            <w:r/>
          </w:p>
        </w:tc>
        <w:tc>
          <w:tcPr>
            <w:tcW w:w="157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64"/>
        </w:trPr>
        <w:tc>
          <w:tcPr>
            <w:tcW w:w="1339"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3"/>
                <w:highlight w:val="none"/>
              </w:rPr>
              <w:t xml:space="preserve">供应商</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项目及合同编号</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合同金额</w:t>
            </w:r>
            <w:r/>
          </w:p>
        </w:tc>
        <w:tc>
          <w:tcPr>
            <w:tcW w:w="157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59"/>
        </w:trPr>
        <w:tc>
          <w:tcPr>
            <w:tcW w:w="1339"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position w:val="1"/>
                <w:highlight w:val="none"/>
              </w:rPr>
              <w:t xml:space="preserve">分期（段）验收</w:t>
            </w:r>
            <w:r/>
          </w:p>
        </w:tc>
        <w:tc>
          <w:tcPr>
            <w:tcW w:w="1251"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6"/>
                <w:position w:val="1"/>
                <w:highlight w:val="none"/>
              </w:rPr>
              <w:t xml:space="preserve">是□否□</w:t>
            </w:r>
            <w:r/>
          </w:p>
        </w:tc>
        <w:tc>
          <w:tcPr>
            <w:tcW w:w="1257"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position w:val="1"/>
                <w:highlight w:val="none"/>
              </w:rPr>
              <w:t xml:space="preserve">分期（段）情况</w:t>
            </w:r>
            <w:r/>
          </w:p>
        </w:tc>
        <w:tc>
          <w:tcPr>
            <w:gridSpan w:val="5"/>
            <w:tcW w:w="5977" w:type="dxa"/>
            <w:vAlign w:val="center"/>
            <w:textDirection w:val="lrTb"/>
            <w:noWrap w:val="false"/>
          </w:tcPr>
          <w:p>
            <w:pPr>
              <w:pStyle w:val="1064"/>
              <w:ind w:left="120"/>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共分   期（段</w:t>
            </w:r>
            <w:r>
              <w:rPr>
                <w:color w:val="auto"/>
                <w:spacing w:val="6"/>
                <w:position w:val="1"/>
                <w:highlight w:val="none"/>
                <w:lang w:eastAsia="zh-CN"/>
              </w:rPr>
              <w:t xml:space="preserve">），</w:t>
            </w:r>
            <w:r>
              <w:rPr>
                <w:color w:val="auto"/>
                <w:spacing w:val="-1"/>
                <w:position w:val="1"/>
                <w:highlight w:val="none"/>
                <w:lang w:eastAsia="zh-CN"/>
              </w:rPr>
              <w:t xml:space="preserve">此为第   期（段）验收</w:t>
            </w:r>
            <w:r/>
          </w:p>
        </w:tc>
      </w:tr>
      <w:tr>
        <w:trPr>
          <w:gridBefore w:val="1"/>
          <w:trHeight w:val="1600"/>
        </w:trPr>
        <w:tc>
          <w:tcPr>
            <w:tcW w:w="133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4"/>
              <w:ind w:left="120" w:firstLine="176"/>
              <w:keepLines w:val="0"/>
              <w:keepNext w:val="0"/>
              <w:pageBreakBefore w:val="0"/>
              <w:spacing w:line="360" w:lineRule="auto"/>
              <w:widowControl/>
              <w:rPr>
                <w:color w:val="auto"/>
                <w:highlight w:val="none"/>
              </w:rPr>
            </w:pPr>
            <w:r>
              <w:rPr>
                <w:color w:val="auto"/>
                <w:spacing w:val="-2"/>
                <w:highlight w:val="none"/>
              </w:rPr>
              <w:t xml:space="preserve">验收时间</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验收地点</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验收组织形式</w:t>
            </w:r>
            <w:r/>
          </w:p>
        </w:tc>
        <w:tc>
          <w:tcPr>
            <w:tcW w:w="1579" w:type="dxa"/>
            <w:vAlign w:val="center"/>
            <w:textDirection w:val="lrTb"/>
            <w:noWrap w:val="false"/>
          </w:tcPr>
          <w:p>
            <w:pPr>
              <w:pStyle w:val="1064"/>
              <w:ind w:left="120"/>
              <w:keepLines w:val="0"/>
              <w:keepNext w:val="0"/>
              <w:pageBreakBefore w:val="0"/>
              <w:spacing w:line="360" w:lineRule="auto"/>
              <w:widowControl/>
              <w:rPr>
                <w:color w:val="auto"/>
                <w:highlight w:val="none"/>
                <w:lang w:eastAsia="zh-CN"/>
              </w:rPr>
            </w:pPr>
            <w:r>
              <w:rPr>
                <w:color w:val="auto"/>
                <w:spacing w:val="-4"/>
                <w:position w:val="1"/>
                <w:highlight w:val="none"/>
                <w:lang w:eastAsia="zh-CN"/>
              </w:rPr>
              <w:t xml:space="preserve">□自行简易验收</w:t>
            </w:r>
            <w:r/>
          </w:p>
          <w:p>
            <w:pPr>
              <w:pStyle w:val="1064"/>
              <w:ind w:left="120"/>
              <w:keepLines w:val="0"/>
              <w:keepNext w:val="0"/>
              <w:pageBreakBefore w:val="0"/>
              <w:spacing w:line="360" w:lineRule="auto"/>
              <w:widowControl/>
              <w:rPr>
                <w:color w:val="auto"/>
                <w:highlight w:val="none"/>
                <w:lang w:eastAsia="zh-CN"/>
              </w:rPr>
            </w:pPr>
            <w:r>
              <w:rPr>
                <w:color w:val="auto"/>
                <w:spacing w:val="-4"/>
                <w:position w:val="1"/>
                <w:highlight w:val="none"/>
                <w:lang w:eastAsia="zh-CN"/>
              </w:rPr>
              <w:t xml:space="preserve">□验收小组验收</w:t>
            </w:r>
            <w:r/>
          </w:p>
          <w:p>
            <w:pPr>
              <w:pStyle w:val="1064"/>
              <w:ind w:left="120"/>
              <w:keepLines w:val="0"/>
              <w:keepNext w:val="0"/>
              <w:pageBreakBefore w:val="0"/>
              <w:spacing w:line="360" w:lineRule="auto"/>
              <w:widowControl/>
              <w:rPr>
                <w:color w:val="auto"/>
                <w:highlight w:val="none"/>
              </w:rPr>
            </w:pPr>
            <w:r>
              <w:rPr>
                <w:color w:val="auto"/>
                <w:spacing w:val="-3"/>
                <w:position w:val="1"/>
                <w:highlight w:val="none"/>
              </w:rPr>
              <w:t xml:space="preserve">□采购代理机构验收</w:t>
            </w:r>
            <w:r/>
          </w:p>
        </w:tc>
      </w:tr>
      <w:tr>
        <w:trPr>
          <w:gridBefore w:val="1"/>
          <w:trHeight w:val="641"/>
        </w:trPr>
        <w:tc>
          <w:tcPr>
            <w:tcBorders>
              <w:bottom w:val="none" w:color="000000" w:sz="4" w:space="0"/>
            </w:tcBorders>
            <w:tcW w:w="1339" w:type="dxa"/>
            <w:vAlign w:val="center"/>
            <w:vMerge w:val="restart"/>
            <w:textDirection w:val="lrTb"/>
            <w:noWrap w:val="false"/>
          </w:tcPr>
          <w:p>
            <w:pPr>
              <w:pStyle w:val="1064"/>
              <w:jc w:val="center"/>
              <w:keepLines w:val="0"/>
              <w:keepNext w:val="0"/>
              <w:pageBreakBefore w:val="0"/>
              <w:spacing w:line="360" w:lineRule="auto"/>
              <w:widowControl/>
              <w:rPr>
                <w:color w:val="auto"/>
                <w:highlight w:val="none"/>
              </w:rPr>
            </w:pPr>
            <w:r>
              <w:rPr>
                <w:color w:val="auto"/>
                <w:spacing w:val="-2"/>
                <w:highlight w:val="none"/>
              </w:rPr>
              <w:t xml:space="preserve">验收内容</w:t>
            </w:r>
            <w:r/>
          </w:p>
        </w:tc>
        <w:tc>
          <w:tcPr>
            <w:tcW w:w="1251" w:type="dxa"/>
            <w:vAlign w:val="center"/>
            <w:vMerge w:val="restart"/>
            <w:textDirection w:val="lrTb"/>
            <w:noWrap w:val="false"/>
          </w:tcPr>
          <w:p>
            <w:pPr>
              <w:pStyle w:val="1064"/>
              <w:ind w:left="120"/>
              <w:jc w:val="center"/>
              <w:keepLines w:val="0"/>
              <w:keepNext w:val="0"/>
              <w:pageBreakBefore w:val="0"/>
              <w:spacing w:line="360" w:lineRule="auto"/>
              <w:widowControl/>
              <w:rPr>
                <w:color w:val="auto"/>
                <w:highlight w:val="none"/>
              </w:rPr>
            </w:pPr>
            <w:r>
              <w:rPr>
                <w:color w:val="auto"/>
                <w:spacing w:val="-2"/>
                <w:highlight w:val="none"/>
              </w:rPr>
              <w:t xml:space="preserve">服务质量</w:t>
            </w:r>
            <w:r/>
          </w:p>
        </w:tc>
        <w:tc>
          <w:tcPr>
            <w:tcW w:w="1257" w:type="dxa"/>
            <w:vAlign w:val="center"/>
            <w:textDirection w:val="lrTb"/>
            <w:noWrap w:val="false"/>
          </w:tcPr>
          <w:p>
            <w:pPr>
              <w:pStyle w:val="1064"/>
              <w:ind w:left="120"/>
              <w:jc w:val="center"/>
              <w:keepLines w:val="0"/>
              <w:keepNext w:val="0"/>
              <w:pageBreakBefore w:val="0"/>
              <w:spacing w:line="360" w:lineRule="auto"/>
              <w:widowControl/>
              <w:rPr>
                <w:color w:val="auto"/>
                <w:highlight w:val="none"/>
              </w:rPr>
            </w:pPr>
            <w:r>
              <w:rPr>
                <w:color w:val="auto"/>
                <w:spacing w:val="-2"/>
                <w:highlight w:val="none"/>
              </w:rPr>
              <w:t xml:space="preserve">服务进度</w:t>
            </w:r>
            <w:r/>
          </w:p>
        </w:tc>
        <w:tc>
          <w:tcPr>
            <w:tcW w:w="1363" w:type="dxa"/>
            <w:vAlign w:val="center"/>
            <w:textDirection w:val="lrTb"/>
            <w:noWrap w:val="false"/>
          </w:tcPr>
          <w:p>
            <w:pPr>
              <w:pStyle w:val="1064"/>
              <w:ind w:left="120"/>
              <w:jc w:val="center"/>
              <w:keepLines w:val="0"/>
              <w:keepNext w:val="0"/>
              <w:pageBreakBefore w:val="0"/>
              <w:spacing w:line="360" w:lineRule="auto"/>
              <w:widowControl/>
              <w:rPr>
                <w:color w:val="auto"/>
                <w:highlight w:val="none"/>
              </w:rPr>
            </w:pPr>
            <w:r>
              <w:rPr>
                <w:color w:val="auto"/>
                <w:spacing w:val="-1"/>
                <w:highlight w:val="none"/>
              </w:rPr>
              <w:t xml:space="preserve">人员、设备 配备情况</w:t>
            </w:r>
            <w:r/>
          </w:p>
        </w:tc>
        <w:tc>
          <w:tcPr>
            <w:tcW w:w="1519" w:type="dxa"/>
            <w:vAlign w:val="center"/>
            <w:textDirection w:val="lrTb"/>
            <w:noWrap w:val="false"/>
          </w:tcPr>
          <w:p>
            <w:pPr>
              <w:pStyle w:val="1064"/>
              <w:ind w:left="120"/>
              <w:jc w:val="center"/>
              <w:keepLines w:val="0"/>
              <w:keepNext w:val="0"/>
              <w:pageBreakBefore w:val="0"/>
              <w:spacing w:line="360" w:lineRule="auto"/>
              <w:widowControl/>
              <w:rPr>
                <w:color w:val="auto"/>
                <w:highlight w:val="none"/>
              </w:rPr>
            </w:pPr>
            <w:r>
              <w:rPr>
                <w:color w:val="auto"/>
                <w:spacing w:val="-2"/>
                <w:highlight w:val="none"/>
              </w:rPr>
              <w:t xml:space="preserve">行业、安全标准</w:t>
            </w:r>
            <w:r/>
          </w:p>
        </w:tc>
        <w:tc>
          <w:tcPr>
            <w:gridSpan w:val="2"/>
            <w:tcW w:w="1516" w:type="dxa"/>
            <w:vAlign w:val="center"/>
            <w:textDirection w:val="lrTb"/>
            <w:noWrap w:val="false"/>
          </w:tcPr>
          <w:p>
            <w:pPr>
              <w:pStyle w:val="1064"/>
              <w:ind w:left="120"/>
              <w:jc w:val="center"/>
              <w:keepLines w:val="0"/>
              <w:keepNext w:val="0"/>
              <w:pageBreakBefore w:val="0"/>
              <w:spacing w:line="360" w:lineRule="auto"/>
              <w:widowControl/>
              <w:rPr>
                <w:color w:val="auto"/>
                <w:highlight w:val="none"/>
              </w:rPr>
            </w:pPr>
            <w:r>
              <w:rPr>
                <w:color w:val="auto"/>
                <w:spacing w:val="-2"/>
                <w:highlight w:val="none"/>
              </w:rPr>
              <w:t xml:space="preserve">项目需求、服务承诺</w:t>
            </w:r>
            <w:r/>
          </w:p>
        </w:tc>
        <w:tc>
          <w:tcPr>
            <w:tcW w:w="1579" w:type="dxa"/>
            <w:vAlign w:val="center"/>
            <w:textDirection w:val="lrTb"/>
            <w:noWrap w:val="false"/>
          </w:tcPr>
          <w:p>
            <w:pPr>
              <w:pStyle w:val="1064"/>
              <w:ind w:left="120"/>
              <w:jc w:val="center"/>
              <w:keepLines w:val="0"/>
              <w:keepNext w:val="0"/>
              <w:pageBreakBefore w:val="0"/>
              <w:spacing w:line="360" w:lineRule="auto"/>
              <w:widowControl/>
              <w:rPr>
                <w:color w:val="auto"/>
                <w:highlight w:val="none"/>
                <w:lang w:eastAsia="zh-CN"/>
              </w:rPr>
            </w:pPr>
            <w:r>
              <w:rPr>
                <w:color w:val="auto"/>
                <w:spacing w:val="-1"/>
                <w:highlight w:val="none"/>
                <w:lang w:eastAsia="zh-CN"/>
              </w:rPr>
              <w:t xml:space="preserve">合同履约时间、 地点、方式</w:t>
            </w:r>
            <w:r/>
          </w:p>
        </w:tc>
      </w:tr>
      <w:tr>
        <w:trPr>
          <w:gridBefore w:val="1"/>
          <w:trHeight w:val="937"/>
        </w:trPr>
        <w:tc>
          <w:tcPr>
            <w:tcBorders>
              <w:top w:val="none" w:color="000000" w:sz="4" w:space="0"/>
            </w:tcBorders>
            <w:tcW w:w="1339" w:type="dxa"/>
            <w:vAlign w:val="center"/>
            <w:vMerge w:val="continue"/>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W w:w="1251" w:type="dxa"/>
            <w:vAlign w:val="center"/>
            <w:textDirection w:val="lrTb"/>
            <w:noWrap w:val="false"/>
          </w:tcPr>
          <w:p>
            <w:pPr>
              <w:pStyle w:val="1064"/>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4"/>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257" w:type="dxa"/>
            <w:vAlign w:val="center"/>
            <w:textDirection w:val="lrTb"/>
            <w:noWrap w:val="false"/>
          </w:tcPr>
          <w:p>
            <w:pPr>
              <w:pStyle w:val="1064"/>
              <w:ind w:left="121" w:hanging="1"/>
              <w:jc w:val="center"/>
              <w:keepLines w:val="0"/>
              <w:keepNext w:val="0"/>
              <w:pageBreakBefore w:val="0"/>
              <w:spacing w:line="360" w:lineRule="auto"/>
              <w:widowControl/>
              <w:rPr>
                <w:color w:val="auto"/>
                <w:spacing w:val="-8"/>
                <w:highlight w:val="none"/>
              </w:rPr>
            </w:pPr>
            <w:r>
              <w:rPr>
                <w:color w:val="auto"/>
                <w:spacing w:val="-8"/>
                <w:highlight w:val="none"/>
              </w:rPr>
              <w:t xml:space="preserve">按时□</w:t>
            </w:r>
            <w:r/>
          </w:p>
          <w:p>
            <w:pPr>
              <w:pStyle w:val="1064"/>
              <w:ind w:left="121" w:hanging="1"/>
              <w:jc w:val="center"/>
              <w:keepLines w:val="0"/>
              <w:keepNext w:val="0"/>
              <w:pageBreakBefore w:val="0"/>
              <w:spacing w:line="360" w:lineRule="auto"/>
              <w:widowControl/>
              <w:rPr>
                <w:color w:val="auto"/>
                <w:highlight w:val="none"/>
              </w:rPr>
            </w:pPr>
            <w:r>
              <w:rPr>
                <w:color w:val="auto"/>
                <w:spacing w:val="-3"/>
                <w:highlight w:val="none"/>
              </w:rPr>
              <w:t xml:space="preserve">不按时□</w:t>
            </w:r>
            <w:r/>
          </w:p>
        </w:tc>
        <w:tc>
          <w:tcPr>
            <w:tcW w:w="1363" w:type="dxa"/>
            <w:vAlign w:val="center"/>
            <w:textDirection w:val="lrTb"/>
            <w:noWrap w:val="false"/>
          </w:tcPr>
          <w:p>
            <w:pPr>
              <w:pStyle w:val="1064"/>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4"/>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519" w:type="dxa"/>
            <w:vAlign w:val="center"/>
            <w:textDirection w:val="lrTb"/>
            <w:noWrap w:val="false"/>
          </w:tcPr>
          <w:p>
            <w:pPr>
              <w:pStyle w:val="1064"/>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4"/>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gridSpan w:val="2"/>
            <w:tcW w:w="1516" w:type="dxa"/>
            <w:vAlign w:val="center"/>
            <w:textDirection w:val="lrTb"/>
            <w:noWrap w:val="false"/>
          </w:tcPr>
          <w:p>
            <w:pPr>
              <w:pStyle w:val="1064"/>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4"/>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579" w:type="dxa"/>
            <w:vAlign w:val="center"/>
            <w:textDirection w:val="lrTb"/>
            <w:noWrap w:val="false"/>
          </w:tcPr>
          <w:p>
            <w:pPr>
              <w:pStyle w:val="1064"/>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4"/>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r>
      <w:tr>
        <w:trPr>
          <w:gridBefore w:val="1"/>
          <w:trHeight w:val="1119"/>
        </w:trPr>
        <w:tc>
          <w:tcPr>
            <w:tcW w:w="1339" w:type="dxa"/>
            <w:vAlign w:val="center"/>
            <w:textDirection w:val="lrTb"/>
            <w:noWrap w:val="false"/>
          </w:tcPr>
          <w:p>
            <w:pPr>
              <w:pStyle w:val="1064"/>
              <w:ind w:left="120"/>
              <w:keepLines w:val="0"/>
              <w:keepNext w:val="0"/>
              <w:pageBreakBefore w:val="0"/>
              <w:spacing w:line="360" w:lineRule="auto"/>
              <w:widowControl/>
              <w:rPr>
                <w:color w:val="auto"/>
                <w:highlight w:val="none"/>
                <w:lang w:eastAsia="zh-CN"/>
              </w:rPr>
            </w:pPr>
            <w:r>
              <w:rPr>
                <w:color w:val="auto"/>
                <w:spacing w:val="-2"/>
                <w:highlight w:val="none"/>
                <w:lang w:eastAsia="zh-CN"/>
              </w:rPr>
              <w:t xml:space="preserve">专业检测机构情</w:t>
            </w:r>
            <w:r>
              <w:rPr>
                <w:color w:val="auto"/>
                <w:spacing w:val="-3"/>
                <w:highlight w:val="none"/>
                <w:lang w:eastAsia="zh-CN"/>
              </w:rPr>
              <w:t xml:space="preserve">况说明</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gridBefore w:val="1"/>
          <w:trHeight w:val="1120"/>
        </w:trPr>
        <w:tc>
          <w:tcPr>
            <w:tcW w:w="133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4"/>
              <w:ind w:left="120"/>
              <w:keepLines w:val="0"/>
              <w:keepNext w:val="0"/>
              <w:pageBreakBefore w:val="0"/>
              <w:spacing w:line="360" w:lineRule="auto"/>
              <w:widowControl/>
              <w:rPr>
                <w:color w:val="auto"/>
                <w:highlight w:val="none"/>
              </w:rPr>
            </w:pPr>
            <w:r>
              <w:rPr>
                <w:color w:val="auto"/>
                <w:spacing w:val="-2"/>
                <w:highlight w:val="none"/>
              </w:rPr>
              <w:t xml:space="preserve">存在问题和改进意见</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87"/>
        </w:trPr>
        <w:tc>
          <w:tcPr>
            <w:gridSpan w:val="2"/>
            <w:tcW w:w="134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64"/>
              <w:ind w:left="120"/>
              <w:keepLines w:val="0"/>
              <w:keepNext w:val="0"/>
              <w:pageBreakBefore w:val="0"/>
              <w:spacing w:line="360" w:lineRule="auto"/>
              <w:widowControl/>
              <w:rPr>
                <w:color w:val="auto"/>
                <w:highlight w:val="none"/>
              </w:rPr>
            </w:pPr>
            <w:r>
              <w:rPr>
                <w:color w:val="auto"/>
                <w:spacing w:val="-3"/>
                <w:highlight w:val="none"/>
              </w:rPr>
              <w:t xml:space="preserve">最终结论</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64"/>
              <w:ind w:left="120" w:firstLine="352"/>
              <w:keepLines w:val="0"/>
              <w:keepNext w:val="0"/>
              <w:pageBreakBefore w:val="0"/>
              <w:spacing w:line="360" w:lineRule="auto"/>
              <w:widowControl/>
              <w:rPr>
                <w:color w:val="auto"/>
                <w:highlight w:val="none"/>
              </w:rPr>
            </w:pPr>
            <w:r>
              <w:rPr>
                <w:color w:val="auto"/>
                <w:spacing w:val="-2"/>
                <w:position w:val="1"/>
                <w:highlight w:val="none"/>
              </w:rPr>
              <w:t xml:space="preserve">合  格□不合格□</w:t>
            </w:r>
            <w:r/>
          </w:p>
        </w:tc>
      </w:tr>
      <w:tr>
        <w:trPr>
          <w:trHeight w:val="835"/>
        </w:trPr>
        <w:tc>
          <w:tcPr>
            <w:gridSpan w:val="2"/>
            <w:tcW w:w="1345"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验收小组成</w:t>
            </w:r>
            <w:r>
              <w:rPr>
                <w:color w:val="auto"/>
                <w:spacing w:val="-4"/>
                <w:highlight w:val="none"/>
              </w:rPr>
              <w:t xml:space="preserve">签字</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66"/>
        </w:trPr>
        <w:tc>
          <w:tcPr>
            <w:gridSpan w:val="7"/>
            <w:tcW w:w="6809"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1"/>
                <w:highlight w:val="none"/>
              </w:rPr>
              <w:t xml:space="preserve">采购代理机构意见</w:t>
            </w:r>
            <w:r/>
          </w:p>
        </w:tc>
        <w:tc>
          <w:tcPr>
            <w:gridSpan w:val="2"/>
            <w:tcW w:w="3021" w:type="dxa"/>
            <w:vAlign w:val="center"/>
            <w:textDirection w:val="lrTb"/>
            <w:noWrap w:val="false"/>
          </w:tcPr>
          <w:p>
            <w:pPr>
              <w:pStyle w:val="1064"/>
              <w:ind w:left="120"/>
              <w:keepLines w:val="0"/>
              <w:keepNext w:val="0"/>
              <w:pageBreakBefore w:val="0"/>
              <w:spacing w:line="360" w:lineRule="auto"/>
              <w:widowControl/>
              <w:rPr>
                <w:color w:val="auto"/>
                <w:highlight w:val="none"/>
              </w:rPr>
            </w:pPr>
            <w:r>
              <w:rPr>
                <w:color w:val="auto"/>
                <w:spacing w:val="-2"/>
                <w:highlight w:val="none"/>
              </w:rPr>
              <w:t xml:space="preserve">采购人意见</w:t>
            </w:r>
            <w:r/>
          </w:p>
        </w:tc>
      </w:tr>
      <w:tr>
        <w:trPr>
          <w:trHeight w:val="999"/>
        </w:trPr>
        <w:tc>
          <w:tcPr>
            <w:gridSpan w:val="7"/>
            <w:tcW w:w="680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4"/>
              <w:ind w:firstLine="182"/>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经办人：         </w:t>
            </w:r>
            <w:r>
              <w:rPr>
                <w:rFonts w:hint="eastAsia"/>
                <w:color w:val="auto"/>
                <w:spacing w:val="1"/>
                <w:position w:val="1"/>
                <w:highlight w:val="none"/>
                <w:lang w:val="en-US" w:eastAsia="zh-CN"/>
              </w:rPr>
              <w:t xml:space="preserve">               </w:t>
            </w:r>
            <w:r>
              <w:rPr>
                <w:color w:val="auto"/>
                <w:spacing w:val="1"/>
                <w:position w:val="1"/>
                <w:highlight w:val="none"/>
                <w:lang w:eastAsia="zh-CN"/>
              </w:rPr>
              <w:t xml:space="preserve">负责人</w:t>
            </w:r>
            <w:r>
              <w:rPr>
                <w:color w:val="auto"/>
                <w:spacing w:val="-18"/>
                <w:position w:val="1"/>
                <w:highlight w:val="none"/>
                <w:lang w:eastAsia="zh-CN"/>
              </w:rPr>
              <w:t xml:space="preserve">：（</w:t>
            </w:r>
            <w:r>
              <w:rPr>
                <w:color w:val="auto"/>
                <w:spacing w:val="1"/>
                <w:position w:val="1"/>
                <w:highlight w:val="none"/>
                <w:lang w:eastAsia="zh-CN"/>
              </w:rPr>
              <w:t xml:space="preserve">采购代理机构公章）</w:t>
            </w:r>
            <w:r/>
          </w:p>
        </w:tc>
        <w:tc>
          <w:tcPr>
            <w:gridSpan w:val="2"/>
            <w:tcW w:w="3021" w:type="dxa"/>
            <w:vAlign w:val="center"/>
            <w:textDirection w:val="lrTb"/>
            <w:noWrap w:val="false"/>
          </w:tcPr>
          <w:p>
            <w:pPr>
              <w:pStyle w:val="1064"/>
              <w:keepLines w:val="0"/>
              <w:keepNext w:val="0"/>
              <w:pageBreakBefore w:val="0"/>
              <w:spacing w:line="360" w:lineRule="auto"/>
              <w:widowControl/>
              <w:rPr>
                <w:color w:val="auto"/>
                <w:spacing w:val="1"/>
                <w:position w:val="1"/>
                <w:highlight w:val="none"/>
                <w:lang w:eastAsia="zh-CN"/>
              </w:rPr>
            </w:pPr>
            <w:r>
              <w:rPr>
                <w:color w:val="auto"/>
                <w:spacing w:val="1"/>
                <w:position w:val="1"/>
                <w:highlight w:val="none"/>
                <w:lang w:eastAsia="zh-CN"/>
              </w:rPr>
            </w:r>
            <w:r/>
          </w:p>
          <w:p>
            <w:pPr>
              <w:pStyle w:val="1064"/>
              <w:keepLines w:val="0"/>
              <w:keepNext w:val="0"/>
              <w:pageBreakBefore w:val="0"/>
              <w:spacing w:line="360" w:lineRule="auto"/>
              <w:widowControl/>
              <w:rPr>
                <w:color w:val="auto"/>
                <w:spacing w:val="1"/>
                <w:position w:val="1"/>
                <w:highlight w:val="none"/>
                <w:lang w:eastAsia="zh-CN"/>
              </w:rPr>
            </w:pPr>
            <w:r>
              <w:rPr>
                <w:color w:val="auto"/>
                <w:spacing w:val="1"/>
                <w:position w:val="1"/>
                <w:highlight w:val="none"/>
                <w:lang w:eastAsia="zh-CN"/>
              </w:rPr>
              <w:t xml:space="preserve">经办人：         </w:t>
            </w:r>
            <w:r/>
          </w:p>
          <w:p>
            <w:pPr>
              <w:pStyle w:val="1064"/>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负责人</w:t>
            </w:r>
            <w:r>
              <w:rPr>
                <w:color w:val="auto"/>
                <w:spacing w:val="-17"/>
                <w:position w:val="1"/>
                <w:highlight w:val="none"/>
                <w:lang w:eastAsia="zh-CN"/>
              </w:rPr>
              <w:t xml:space="preserve">：（</w:t>
            </w:r>
            <w:r>
              <w:rPr>
                <w:color w:val="auto"/>
                <w:spacing w:val="1"/>
                <w:position w:val="1"/>
                <w:highlight w:val="none"/>
                <w:lang w:eastAsia="zh-CN"/>
              </w:rPr>
              <w:t xml:space="preserve">采购人公章）</w:t>
            </w:r>
            <w:r/>
          </w:p>
        </w:tc>
      </w:tr>
      <w:tr>
        <w:trPr>
          <w:trHeight w:val="992"/>
        </w:trPr>
        <w:tc>
          <w:tcPr>
            <w:gridSpan w:val="9"/>
            <w:tcW w:w="9830" w:type="dxa"/>
            <w:vAlign w:val="center"/>
            <w:textDirection w:val="lrTb"/>
            <w:noWrap w:val="false"/>
          </w:tcPr>
          <w:p>
            <w:pPr>
              <w:pStyle w:val="1064"/>
              <w:ind w:left="120"/>
              <w:keepLines w:val="0"/>
              <w:keepNext w:val="0"/>
              <w:pageBreakBefore w:val="0"/>
              <w:spacing w:line="360" w:lineRule="auto"/>
              <w:widowControl/>
              <w:rPr>
                <w:color w:val="auto"/>
                <w:spacing w:val="-2"/>
                <w:highlight w:val="none"/>
                <w:lang w:eastAsia="zh-CN"/>
              </w:rPr>
            </w:pPr>
            <w:r>
              <w:rPr>
                <w:color w:val="auto"/>
                <w:spacing w:val="-2"/>
                <w:highlight w:val="none"/>
                <w:lang w:eastAsia="zh-CN"/>
              </w:rPr>
            </w:r>
            <w:r/>
          </w:p>
          <w:p>
            <w:pPr>
              <w:pStyle w:val="1064"/>
              <w:ind w:left="120"/>
              <w:keepLines w:val="0"/>
              <w:keepNext w:val="0"/>
              <w:pageBreakBefore w:val="0"/>
              <w:spacing w:line="360" w:lineRule="auto"/>
              <w:widowControl/>
              <w:rPr>
                <w:rFonts w:ascii="Arial" w:hAnsi="Arial" w:eastAsia="Arial" w:cs="Arial"/>
                <w:color w:val="auto"/>
                <w:sz w:val="21"/>
                <w:szCs w:val="21"/>
                <w:highlight w:val="none"/>
              </w:rPr>
            </w:pPr>
            <w:r>
              <w:rPr>
                <w:color w:val="auto"/>
                <w:spacing w:val="-2"/>
                <w:highlight w:val="none"/>
                <w:lang w:eastAsia="zh-CN"/>
              </w:rPr>
              <w:t xml:space="preserve">供应商确认：</w:t>
            </w:r>
            <w:r/>
          </w:p>
          <w:p>
            <w:pPr>
              <w:pStyle w:val="1064"/>
              <w:ind w:left="120"/>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（单位公章或授权代表签字）</w:t>
            </w:r>
            <w:r/>
          </w:p>
        </w:tc>
      </w:tr>
    </w:tbl>
    <w:p>
      <w:pPr>
        <w:ind w:left="85"/>
        <w:spacing w:before="296" w:line="211" w:lineRule="auto"/>
        <w:rPr>
          <w:rFonts w:ascii="宋体" w:hAnsi="宋体" w:cs="宋体"/>
          <w:color w:val="auto"/>
          <w:sz w:val="18"/>
          <w:szCs w:val="18"/>
          <w:highlight w:val="none"/>
        </w:rPr>
      </w:pPr>
      <w:r>
        <w:rPr>
          <w:rFonts w:ascii="宋体" w:hAnsi="宋体" w:cs="宋体"/>
          <w:color w:val="auto"/>
          <w:sz w:val="18"/>
          <w:szCs w:val="18"/>
          <w:highlight w:val="none"/>
        </w:rPr>
        <w:t xml:space="preserve">说明：1.该表为服务类项目履约验收的参考样表，采购人或采购代理机构可以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25"/>
        <w:spacing w:before="59" w:line="211" w:lineRule="auto"/>
        <w:rPr>
          <w:rFonts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87"/>
      </w:rPr>
      <w:framePr w:wrap="around" w:vAnchor="text" w:hAnchor="margin" w:xAlign="center" w:y="2"/>
    </w:pPr>
    <w:r>
      <w:fldChar w:fldCharType="begin"/>
    </w:r>
    <w:r>
      <w:rPr>
        <w:rStyle w:val="987"/>
      </w:rPr>
      <w:instrText xml:space="preserve">PAGE  </w:instrText>
    </w:r>
    <w:r>
      <w:fldChar w:fldCharType="separate"/>
    </w:r>
    <w:r>
      <w:rPr>
        <w:rStyle w:val="987"/>
      </w:rPr>
      <w:t xml:space="preserve">0</w:t>
    </w:r>
    <w:r>
      <w:fldChar w:fldCharType="end"/>
    </w:r>
    <w:r/>
  </w:p>
  <w:p>
    <w:pPr>
      <w:pStyle w:val="97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宋体" w:hAnsi="Times New Roman" w:eastAsia="宋体" w:cs="Times New Roman"/>
        <w:sz w:val="18"/>
        <w:szCs w:val="18"/>
      </w:rPr>
    </w:pPr>
    <w:r>
      <w:rPr>
        <w:rFonts w:hint="default" w:ascii="宋体" w:hAnsi="Times New Roman" w:eastAsia="宋体"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819" w:leader="none"/>
      </w:tabs>
    </w:pP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left"/>
      <w:rPr>
        <w:rFonts w:hint="eastAsia" w:eastAsia="宋体"/>
        <w:sz w:val="21"/>
        <w:szCs w:val="21"/>
        <w:lang w:eastAsia="zh-CN"/>
      </w:rPr>
    </w:pPr>
    <w:r>
      <mc:AlternateContent>
        <mc:Choice Requires="wpg">
          <w:drawing>
            <wp:inline xmlns:wp="http://schemas.openxmlformats.org/drawingml/2006/wordprocessingDrawing" distT="0" distB="0" distL="0" distR="0">
              <wp:extent cx="276225" cy="228600"/>
              <wp:effectExtent l="0" t="0" r="9525" b="0"/>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622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pt;height:18.0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w:t>
    </w:r>
    <w:r>
      <w:rPr>
        <w:rFonts w:hint="eastAsia"/>
        <w:lang w:val="en-US" w:eastAsia="zh-CN"/>
      </w:rPr>
      <w:t xml:space="preserve">        </w:t>
    </w:r>
    <w:r>
      <w:rPr>
        <w:rFonts w:hint="eastAsia"/>
      </w:rPr>
      <w:t xml:space="preserve">招标编号： </w:t>
    </w:r>
    <w:r>
      <w:rPr>
        <w:rFonts w:hint="eastAsia"/>
        <w:lang w:eastAsia="zh-CN"/>
      </w:rPr>
      <w:t xml:space="preserve">JSZC-320585-SZTZ-G2026-0010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rPr>
        <w:rFonts w:hint="eastAsia" w:eastAsia="宋体"/>
        <w:lang w:eastAsia="zh-CN"/>
      </w:rPr>
    </w:pPr>
    <w:r>
      <mc:AlternateContent>
        <mc:Choice Requires="wpg">
          <w:drawing>
            <wp:inline xmlns:wp="http://schemas.openxmlformats.org/drawingml/2006/wordprocessingDrawing" distT="0" distB="0" distL="0" distR="0">
              <wp:extent cx="285750" cy="228600"/>
              <wp:effectExtent l="0" t="0" r="0" b="0"/>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605335703(1)"/>
                      <pic:cNvPicPr>
                        <a:picLocks noChangeAspect="1"/>
                      </pic:cNvPicPr>
                      <pic:nvPr/>
                    </pic:nvPicPr>
                    <pic:blipFill>
                      <a:blip r:embed="rId1"/>
                      <a:stretch/>
                    </pic:blipFill>
                    <pic:spPr bwMode="auto">
                      <a:xfrm>
                        <a:off x="0" y="0"/>
                        <a:ext cx="2857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5pt;height:18.0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JSZC-320585-SZTZ-G2026-0010</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b/>
        <w:bCs/>
      </w:rPr>
      <w:pBdr>
        <w:bottom w:val="single" w:color="auto" w:sz="6" w:space="1"/>
      </w:pBdr>
    </w:pPr>
    <w:r>
      <w:rPr>
        <w:rFonts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5750" cy="228600"/>
              <wp:effectExtent l="0" t="0" r="0" b="0"/>
              <wp:docPr id="3"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857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5pt;height:18.0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苏州泰至鑫项目管理有限公司                                 编号：</w:t>
    </w:r>
    <w:r>
      <w:rPr>
        <w:rFonts w:hint="eastAsia" w:cs="Times New Roman"/>
        <w:sz w:val="18"/>
        <w:szCs w:val="18"/>
        <w:lang w:val="en-US" w:eastAsia="zh-CN" w:bidi="ar-SA"/>
      </w:rPr>
      <w:t xml:space="preserve">JSZC-320585-SZTZ-G2026-0010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50"/>
      <w:isLgl w:val="false"/>
      <w:suff w:val="nothing"/>
      <w:lvlText w:val="%1、"/>
      <w:lvlJc w:val="left"/>
      <w:pPr>
        <w:ind w:left="0" w:firstLine="0"/>
      </w:pPr>
      <w:rPr>
        <w:rFonts w:hint="eastAsia"/>
      </w:rPr>
    </w:lvl>
    <w:lvl w:ilvl="1">
      <w:start w:val="1"/>
      <w:numFmt w:val="chineseCounting"/>
      <w:pStyle w:val="951"/>
      <w:isLgl w:val="false"/>
      <w:suff w:val="nothing"/>
      <w:lvlText w:val="（%2）"/>
      <w:lvlJc w:val="left"/>
      <w:pPr>
        <w:ind w:left="0" w:firstLine="0"/>
      </w:pPr>
      <w:rPr>
        <w:rFonts w:hint="eastAsia"/>
      </w:rPr>
    </w:lvl>
    <w:lvl w:ilvl="2">
      <w:start w:val="1"/>
      <w:numFmt w:val="decimal"/>
      <w:pStyle w:val="952"/>
      <w:isLgl w:val="false"/>
      <w:suff w:val="nothing"/>
      <w:lvlText w:val="%3．"/>
      <w:lvlJc w:val="left"/>
      <w:pPr>
        <w:ind w:left="0" w:firstLine="400"/>
      </w:pPr>
      <w:rPr>
        <w:rFonts w:hint="eastAsia"/>
      </w:rPr>
    </w:lvl>
    <w:lvl w:ilvl="3">
      <w:start w:val="1"/>
      <w:numFmt w:val="decimal"/>
      <w:pStyle w:val="953"/>
      <w:isLgl w:val="false"/>
      <w:suff w:val="nothing"/>
      <w:lvlText w:val="（%4）"/>
      <w:lvlJc w:val="left"/>
      <w:pPr>
        <w:ind w:left="0" w:firstLine="402"/>
      </w:pPr>
      <w:rPr>
        <w:rFonts w:hint="eastAsia"/>
      </w:rPr>
    </w:lvl>
    <w:lvl w:ilvl="4">
      <w:start w:val="1"/>
      <w:numFmt w:val="decimalEnclosedCircleChinese"/>
      <w:pStyle w:val="954"/>
      <w:isLgl w:val="false"/>
      <w:suff w:val="nothing"/>
      <w:lvlText w:val="%5"/>
      <w:lvlJc w:val="left"/>
      <w:pPr>
        <w:ind w:left="0" w:firstLine="402"/>
      </w:pPr>
      <w:rPr>
        <w:rFonts w:hint="eastAsia"/>
      </w:rPr>
    </w:lvl>
    <w:lvl w:ilvl="5">
      <w:start w:val="1"/>
      <w:numFmt w:val="decimal"/>
      <w:pStyle w:val="955"/>
      <w:isLgl w:val="false"/>
      <w:suff w:val="nothing"/>
      <w:lvlText w:val="%6）"/>
      <w:lvlJc w:val="left"/>
      <w:pPr>
        <w:ind w:left="0" w:firstLine="402"/>
      </w:pPr>
      <w:rPr>
        <w:rFonts w:hint="eastAsia"/>
      </w:rPr>
    </w:lvl>
    <w:lvl w:ilvl="6">
      <w:start w:val="1"/>
      <w:numFmt w:val="lowerLetter"/>
      <w:pStyle w:val="956"/>
      <w:isLgl w:val="false"/>
      <w:suff w:val="nothing"/>
      <w:lvlText w:val="%7．"/>
      <w:lvlJc w:val="left"/>
      <w:pPr>
        <w:ind w:left="0" w:firstLine="402"/>
      </w:pPr>
      <w:rPr>
        <w:rFonts w:hint="eastAsia"/>
      </w:rPr>
    </w:lvl>
    <w:lvl w:ilvl="7">
      <w:start w:val="1"/>
      <w:numFmt w:val="lowerLetter"/>
      <w:pStyle w:val="957"/>
      <w:isLgl w:val="false"/>
      <w:suff w:val="nothing"/>
      <w:lvlText w:val="%8）"/>
      <w:lvlJc w:val="left"/>
      <w:pPr>
        <w:ind w:left="0" w:firstLine="402"/>
      </w:pPr>
      <w:rPr>
        <w:rFonts w:hint="eastAsia"/>
      </w:rPr>
    </w:lvl>
    <w:lvl w:ilvl="8">
      <w:start w:val="1"/>
      <w:numFmt w:val="lowerRoman"/>
      <w:pStyle w:val="958"/>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7"/>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5">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27"/>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3"/>
  </w:num>
  <w:num w:numId="5">
    <w:abstractNumId w:val="6"/>
  </w:num>
  <w:num w:numId="6">
    <w:abstractNumId w:val="7"/>
  </w:num>
  <w:num w:numId="7">
    <w:abstractNumId w:val="0"/>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9">
    <w:name w:val="Heading 1 Char"/>
    <w:basedOn w:val="959"/>
    <w:link w:val="950"/>
    <w:uiPriority w:val="9"/>
    <w:rPr>
      <w:rFonts w:ascii="Arial" w:hAnsi="Arial" w:eastAsia="Arial" w:cs="Arial"/>
      <w:sz w:val="40"/>
      <w:szCs w:val="40"/>
    </w:rPr>
  </w:style>
  <w:style w:type="character" w:styleId="790">
    <w:name w:val="Heading 2 Char"/>
    <w:basedOn w:val="959"/>
    <w:link w:val="951"/>
    <w:uiPriority w:val="9"/>
    <w:rPr>
      <w:rFonts w:ascii="Arial" w:hAnsi="Arial" w:eastAsia="Arial" w:cs="Arial"/>
      <w:sz w:val="34"/>
    </w:rPr>
  </w:style>
  <w:style w:type="character" w:styleId="791">
    <w:name w:val="Heading 3 Char"/>
    <w:basedOn w:val="959"/>
    <w:link w:val="952"/>
    <w:uiPriority w:val="9"/>
    <w:rPr>
      <w:rFonts w:ascii="Arial" w:hAnsi="Arial" w:eastAsia="Arial" w:cs="Arial"/>
      <w:sz w:val="30"/>
      <w:szCs w:val="30"/>
    </w:rPr>
  </w:style>
  <w:style w:type="character" w:styleId="792">
    <w:name w:val="Heading 4 Char"/>
    <w:basedOn w:val="959"/>
    <w:link w:val="953"/>
    <w:uiPriority w:val="9"/>
    <w:rPr>
      <w:rFonts w:ascii="Arial" w:hAnsi="Arial" w:eastAsia="Arial" w:cs="Arial"/>
      <w:b/>
      <w:bCs/>
      <w:sz w:val="26"/>
      <w:szCs w:val="26"/>
    </w:rPr>
  </w:style>
  <w:style w:type="character" w:styleId="793">
    <w:name w:val="Heading 5 Char"/>
    <w:basedOn w:val="959"/>
    <w:link w:val="954"/>
    <w:uiPriority w:val="9"/>
    <w:rPr>
      <w:rFonts w:ascii="Arial" w:hAnsi="Arial" w:eastAsia="Arial" w:cs="Arial"/>
      <w:b/>
      <w:bCs/>
      <w:sz w:val="24"/>
      <w:szCs w:val="24"/>
    </w:rPr>
  </w:style>
  <w:style w:type="character" w:styleId="794">
    <w:name w:val="Heading 6 Char"/>
    <w:basedOn w:val="959"/>
    <w:link w:val="955"/>
    <w:uiPriority w:val="9"/>
    <w:rPr>
      <w:rFonts w:ascii="Arial" w:hAnsi="Arial" w:eastAsia="Arial" w:cs="Arial"/>
      <w:b/>
      <w:bCs/>
      <w:sz w:val="22"/>
      <w:szCs w:val="22"/>
    </w:rPr>
  </w:style>
  <w:style w:type="character" w:styleId="795">
    <w:name w:val="Heading 7 Char"/>
    <w:basedOn w:val="959"/>
    <w:link w:val="956"/>
    <w:uiPriority w:val="9"/>
    <w:rPr>
      <w:rFonts w:ascii="Arial" w:hAnsi="Arial" w:eastAsia="Arial" w:cs="Arial"/>
      <w:b/>
      <w:bCs/>
      <w:i/>
      <w:iCs/>
      <w:sz w:val="22"/>
      <w:szCs w:val="22"/>
    </w:rPr>
  </w:style>
  <w:style w:type="character" w:styleId="796">
    <w:name w:val="Heading 8 Char"/>
    <w:basedOn w:val="959"/>
    <w:link w:val="957"/>
    <w:uiPriority w:val="9"/>
    <w:rPr>
      <w:rFonts w:ascii="Arial" w:hAnsi="Arial" w:eastAsia="Arial" w:cs="Arial"/>
      <w:i/>
      <w:iCs/>
      <w:sz w:val="22"/>
      <w:szCs w:val="22"/>
    </w:rPr>
  </w:style>
  <w:style w:type="character" w:styleId="797">
    <w:name w:val="Heading 9 Char"/>
    <w:basedOn w:val="959"/>
    <w:link w:val="958"/>
    <w:uiPriority w:val="9"/>
    <w:rPr>
      <w:rFonts w:ascii="Arial" w:hAnsi="Arial" w:eastAsia="Arial" w:cs="Arial"/>
      <w:i/>
      <w:iCs/>
      <w:sz w:val="21"/>
      <w:szCs w:val="21"/>
    </w:rPr>
  </w:style>
  <w:style w:type="paragraph" w:styleId="798">
    <w:name w:val="List Paragraph"/>
    <w:basedOn w:val="949"/>
    <w:uiPriority w:val="34"/>
    <w:qFormat/>
    <w:pPr>
      <w:contextualSpacing/>
      <w:ind w:left="720"/>
    </w:pPr>
  </w:style>
  <w:style w:type="character" w:styleId="799">
    <w:name w:val="Title Char"/>
    <w:basedOn w:val="959"/>
    <w:link w:val="981"/>
    <w:uiPriority w:val="10"/>
    <w:rPr>
      <w:sz w:val="48"/>
      <w:szCs w:val="48"/>
    </w:rPr>
  </w:style>
  <w:style w:type="character" w:styleId="800">
    <w:name w:val="Subtitle Char"/>
    <w:basedOn w:val="959"/>
    <w:link w:val="976"/>
    <w:uiPriority w:val="11"/>
    <w:rPr>
      <w:sz w:val="24"/>
      <w:szCs w:val="24"/>
    </w:rPr>
  </w:style>
  <w:style w:type="paragraph" w:styleId="801">
    <w:name w:val="Quote"/>
    <w:basedOn w:val="949"/>
    <w:next w:val="949"/>
    <w:link w:val="802"/>
    <w:uiPriority w:val="29"/>
    <w:qFormat/>
    <w:pPr>
      <w:ind w:left="720" w:right="720"/>
    </w:pPr>
    <w:rPr>
      <w:i/>
    </w:rPr>
  </w:style>
  <w:style w:type="character" w:styleId="802">
    <w:name w:val="Quote Char"/>
    <w:link w:val="801"/>
    <w:uiPriority w:val="29"/>
    <w:rPr>
      <w:i/>
    </w:rPr>
  </w:style>
  <w:style w:type="paragraph" w:styleId="803">
    <w:name w:val="Intense Quote"/>
    <w:basedOn w:val="949"/>
    <w:next w:val="949"/>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character" w:styleId="805">
    <w:name w:val="Header Char"/>
    <w:basedOn w:val="959"/>
    <w:link w:val="973"/>
    <w:uiPriority w:val="99"/>
  </w:style>
  <w:style w:type="character" w:styleId="806">
    <w:name w:val="Footer Char"/>
    <w:basedOn w:val="959"/>
    <w:link w:val="971"/>
    <w:uiPriority w:val="99"/>
  </w:style>
  <w:style w:type="paragraph" w:styleId="807">
    <w:name w:val="Caption"/>
    <w:basedOn w:val="949"/>
    <w:next w:val="949"/>
    <w:uiPriority w:val="35"/>
    <w:semiHidden/>
    <w:unhideWhenUsed/>
    <w:qFormat/>
    <w:pPr>
      <w:spacing w:line="276" w:lineRule="auto"/>
    </w:pPr>
    <w:rPr>
      <w:b/>
      <w:bCs/>
      <w:color w:val="4f81bd" w:themeColor="accent1"/>
      <w:sz w:val="18"/>
      <w:szCs w:val="18"/>
    </w:rPr>
  </w:style>
  <w:style w:type="character" w:styleId="808">
    <w:name w:val="Caption Char"/>
    <w:basedOn w:val="807"/>
    <w:link w:val="971"/>
    <w:uiPriority w:val="99"/>
  </w:style>
  <w:style w:type="table" w:styleId="809">
    <w:name w:val="Table Grid Light"/>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basedOn w:val="9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basedOn w:val="9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basedOn w:val="9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basedOn w:val="9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basedOn w:val="9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basedOn w:val="9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basedOn w:val="9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basedOn w:val="9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basedOn w:val="9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basedOn w:val="9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basedOn w:val="9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basedOn w:val="9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basedOn w:val="9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basedOn w:val="9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basedOn w:val="9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basedOn w:val="9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basedOn w:val="9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basedOn w:val="9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basedOn w:val="9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basedOn w:val="9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basedOn w:val="9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basedOn w:val="9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basedOn w:val="9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basedOn w:val="9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basedOn w:val="9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basedOn w:val="9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basedOn w:val="9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basedOn w:val="9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basedOn w:val="9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basedOn w:val="9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basedOn w:val="9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basedOn w:val="9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basedOn w:val="9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basedOn w:val="9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basedOn w:val="9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basedOn w:val="9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basedOn w:val="9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basedOn w:val="9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basedOn w:val="9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basedOn w:val="9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basedOn w:val="9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basedOn w:val="9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basedOn w:val="9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basedOn w:val="9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basedOn w:val="9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basedOn w:val="9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basedOn w:val="9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basedOn w:val="9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basedOn w:val="9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basedOn w:val="9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basedOn w:val="9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basedOn w:val="9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basedOn w:val="9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basedOn w:val="9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basedOn w:val="9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basedOn w:val="9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basedOn w:val="9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basedOn w:val="9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basedOn w:val="9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basedOn w:val="9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basedOn w:val="9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basedOn w:val="9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basedOn w:val="9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basedOn w:val="9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basedOn w:val="9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basedOn w:val="9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basedOn w:val="9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basedOn w:val="9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basedOn w:val="9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basedOn w:val="9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basedOn w:val="9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basedOn w:val="9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basedOn w:val="9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basedOn w:val="9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basedOn w:val="9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basedOn w:val="9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basedOn w:val="9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basedOn w:val="9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basedOn w:val="9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4">
    <w:name w:val="footnote text"/>
    <w:basedOn w:val="949"/>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basedOn w:val="959"/>
    <w:uiPriority w:val="99"/>
    <w:unhideWhenUsed/>
    <w:rPr>
      <w:vertAlign w:val="superscript"/>
    </w:rPr>
  </w:style>
  <w:style w:type="paragraph" w:styleId="937">
    <w:name w:val="endnote text"/>
    <w:basedOn w:val="949"/>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basedOn w:val="959"/>
    <w:uiPriority w:val="99"/>
    <w:semiHidden/>
    <w:unhideWhenUsed/>
    <w:rPr>
      <w:vertAlign w:val="superscript"/>
    </w:rPr>
  </w:style>
  <w:style w:type="paragraph" w:styleId="940">
    <w:name w:val="toc 2"/>
    <w:basedOn w:val="949"/>
    <w:next w:val="949"/>
    <w:uiPriority w:val="39"/>
    <w:unhideWhenUsed/>
    <w:pPr>
      <w:ind w:left="283" w:right="0" w:firstLine="0"/>
      <w:spacing w:after="57"/>
    </w:pPr>
  </w:style>
  <w:style w:type="paragraph" w:styleId="941">
    <w:name w:val="toc 3"/>
    <w:basedOn w:val="949"/>
    <w:next w:val="949"/>
    <w:uiPriority w:val="39"/>
    <w:unhideWhenUsed/>
    <w:pPr>
      <w:ind w:left="567"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61"/>
    <w:uiPriority w:val="0"/>
    <w:qFormat/>
    <w:rPr>
      <w:rFonts w:ascii="Times New Roman" w:hAnsi="Times New Roman" w:eastAsia="宋体" w:cs="Times New Roman"/>
      <w:sz w:val="24"/>
      <w:szCs w:val="24"/>
      <w:lang w:val="en-US" w:eastAsia="zh-CN" w:bidi="ar-SA"/>
    </w:rPr>
  </w:style>
  <w:style w:type="paragraph" w:styleId="950">
    <w:name w:val="Heading 1"/>
    <w:basedOn w:val="949"/>
    <w:next w:val="949"/>
    <w:link w:val="992"/>
    <w:uiPriority w:val="0"/>
    <w:qFormat/>
    <w:pPr>
      <w:numPr>
        <w:ilvl w:val="0"/>
        <w:numId w:val="1"/>
      </w:numPr>
      <w:jc w:val="both"/>
      <w:keepLines/>
      <w:keepNext/>
      <w:spacing w:line="576" w:lineRule="auto"/>
      <w:widowControl w:val="off"/>
      <w:outlineLvl w:val="0"/>
    </w:pPr>
    <w:rPr>
      <w:rFonts w:eastAsia="楷体_GB2312"/>
      <w:b/>
      <w:sz w:val="44"/>
      <w:szCs w:val="20"/>
    </w:rPr>
  </w:style>
  <w:style w:type="paragraph" w:styleId="951">
    <w:name w:val="Heading 2"/>
    <w:basedOn w:val="949"/>
    <w:next w:val="949"/>
    <w:link w:val="993"/>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952">
    <w:name w:val="Heading 3"/>
    <w:basedOn w:val="949"/>
    <w:next w:val="949"/>
    <w:uiPriority w:val="0"/>
    <w:qFormat/>
    <w:pPr>
      <w:numPr>
        <w:ilvl w:val="2"/>
        <w:numId w:val="1"/>
      </w:numPr>
      <w:keepLines/>
      <w:keepNext/>
      <w:spacing w:before="260" w:after="260" w:line="416" w:lineRule="auto"/>
      <w:outlineLvl w:val="2"/>
    </w:pPr>
    <w:rPr>
      <w:b/>
      <w:bCs/>
      <w:sz w:val="32"/>
      <w:szCs w:val="32"/>
    </w:rPr>
  </w:style>
  <w:style w:type="paragraph" w:styleId="953">
    <w:name w:val="Heading 4"/>
    <w:basedOn w:val="949"/>
    <w:next w:val="962"/>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54">
    <w:name w:val="Heading 5"/>
    <w:basedOn w:val="949"/>
    <w:next w:val="949"/>
    <w:uiPriority w:val="0"/>
    <w:qFormat/>
    <w:pPr>
      <w:numPr>
        <w:ilvl w:val="4"/>
        <w:numId w:val="1"/>
      </w:numPr>
      <w:keepLines/>
      <w:keepNext/>
      <w:spacing w:before="280" w:after="290" w:line="376" w:lineRule="auto"/>
      <w:outlineLvl w:val="4"/>
    </w:pPr>
    <w:rPr>
      <w:b/>
      <w:bCs/>
      <w:sz w:val="28"/>
      <w:szCs w:val="28"/>
    </w:rPr>
  </w:style>
  <w:style w:type="paragraph" w:styleId="955">
    <w:name w:val="Heading 6"/>
    <w:basedOn w:val="949"/>
    <w:next w:val="949"/>
    <w:uiPriority w:val="0"/>
    <w:qFormat/>
    <w:pPr>
      <w:numPr>
        <w:ilvl w:val="5"/>
        <w:numId w:val="1"/>
      </w:numPr>
      <w:keepLines/>
      <w:keepNext/>
      <w:spacing w:before="240" w:after="64" w:line="320" w:lineRule="auto"/>
      <w:outlineLvl w:val="5"/>
    </w:pPr>
    <w:rPr>
      <w:rFonts w:ascii="Arial" w:hAnsi="Arial" w:eastAsia="黑体"/>
      <w:b/>
      <w:bCs/>
    </w:rPr>
  </w:style>
  <w:style w:type="paragraph" w:styleId="956">
    <w:name w:val="Heading 7"/>
    <w:basedOn w:val="949"/>
    <w:next w:val="949"/>
    <w:uiPriority w:val="0"/>
    <w:qFormat/>
    <w:pPr>
      <w:numPr>
        <w:ilvl w:val="6"/>
        <w:numId w:val="1"/>
      </w:numPr>
      <w:jc w:val="center"/>
      <w:keepLines/>
      <w:keepNext/>
      <w:outlineLvl w:val="6"/>
    </w:pPr>
    <w:rPr>
      <w:rFonts w:eastAsia="黑体"/>
      <w:lang w:val="zh-CN"/>
    </w:rPr>
  </w:style>
  <w:style w:type="paragraph" w:styleId="957">
    <w:name w:val="Heading 8"/>
    <w:basedOn w:val="956"/>
    <w:next w:val="949"/>
    <w:uiPriority w:val="0"/>
    <w:qFormat/>
    <w:pPr>
      <w:numPr>
        <w:ilvl w:val="7"/>
      </w:numPr>
      <w:keepLines w:val="0"/>
      <w:keepNext w:val="0"/>
      <w:outlineLvl w:val="7"/>
    </w:pPr>
  </w:style>
  <w:style w:type="paragraph" w:styleId="958">
    <w:name w:val="Heading 9"/>
    <w:basedOn w:val="949"/>
    <w:next w:val="949"/>
    <w:uiPriority w:val="0"/>
    <w:qFormat/>
    <w:pPr>
      <w:numPr>
        <w:ilvl w:val="8"/>
        <w:numId w:val="1"/>
      </w:numPr>
      <w:keepLines/>
      <w:keepNext/>
      <w:spacing w:line="317" w:lineRule="auto"/>
      <w:outlineLvl w:val="8"/>
    </w:pPr>
    <w:rPr>
      <w:rFonts w:ascii="Arial" w:hAnsi="Arial" w:eastAsia="黑体"/>
      <w:sz w:val="21"/>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name w:val="Body Text"/>
    <w:basedOn w:val="949"/>
    <w:next w:val="949"/>
    <w:uiPriority w:val="0"/>
    <w:qFormat/>
  </w:style>
  <w:style w:type="paragraph" w:styleId="962">
    <w:name w:val="Normal Indent"/>
    <w:basedOn w:val="949"/>
    <w:uiPriority w:val="0"/>
    <w:qFormat/>
    <w:pPr>
      <w:ind w:firstLine="420"/>
      <w:widowControl w:val="off"/>
    </w:pPr>
    <w:rPr>
      <w:rFonts w:eastAsia="楷体_GB2312"/>
      <w:szCs w:val="20"/>
    </w:rPr>
  </w:style>
  <w:style w:type="paragraph" w:styleId="963">
    <w:name w:val="Document Map"/>
    <w:basedOn w:val="949"/>
    <w:link w:val="994"/>
    <w:uiPriority w:val="0"/>
    <w:qFormat/>
    <w:pPr>
      <w:shd w:val="clear" w:color="auto" w:fill="000080"/>
    </w:pPr>
  </w:style>
  <w:style w:type="paragraph" w:styleId="964">
    <w:name w:val="annotation text"/>
    <w:basedOn w:val="949"/>
    <w:uiPriority w:val="0"/>
    <w:qFormat/>
  </w:style>
  <w:style w:type="paragraph" w:styleId="965">
    <w:name w:val="Body Text Indent"/>
    <w:basedOn w:val="949"/>
    <w:uiPriority w:val="0"/>
    <w:qFormat/>
    <w:pPr>
      <w:ind w:right="-159" w:firstLine="246"/>
      <w:jc w:val="both"/>
      <w:spacing w:line="240" w:lineRule="atLeast"/>
      <w:widowControl w:val="off"/>
    </w:pPr>
    <w:rPr>
      <w:spacing w:val="20"/>
      <w:sz w:val="21"/>
    </w:rPr>
  </w:style>
  <w:style w:type="paragraph" w:styleId="966">
    <w:name w:val="Block Text"/>
    <w:basedOn w:val="94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67">
    <w:name w:val="Plain Text"/>
    <w:basedOn w:val="949"/>
    <w:link w:val="995"/>
    <w:uiPriority w:val="0"/>
    <w:qFormat/>
    <w:rPr>
      <w:rFonts w:ascii="宋体" w:hAnsi="Courier New" w:eastAsia="楷体_GB2312"/>
      <w:sz w:val="26"/>
      <w:szCs w:val="20"/>
    </w:rPr>
  </w:style>
  <w:style w:type="paragraph" w:styleId="968">
    <w:name w:val="Date"/>
    <w:basedOn w:val="949"/>
    <w:next w:val="949"/>
    <w:link w:val="996"/>
    <w:uiPriority w:val="0"/>
    <w:qFormat/>
    <w:pPr>
      <w:ind w:left="100"/>
      <w:jc w:val="both"/>
      <w:widowControl w:val="off"/>
    </w:pPr>
    <w:rPr>
      <w:b/>
      <w:bCs/>
      <w:spacing w:val="20"/>
      <w:sz w:val="21"/>
    </w:rPr>
  </w:style>
  <w:style w:type="paragraph" w:styleId="969">
    <w:name w:val="Body Text Indent 2"/>
    <w:basedOn w:val="949"/>
    <w:uiPriority w:val="0"/>
    <w:qFormat/>
    <w:pPr>
      <w:ind w:firstLine="460"/>
      <w:spacing w:line="360" w:lineRule="auto"/>
    </w:pPr>
    <w:rPr>
      <w:spacing w:val="20"/>
      <w:sz w:val="21"/>
    </w:rPr>
  </w:style>
  <w:style w:type="paragraph" w:styleId="970">
    <w:name w:val="Balloon Text"/>
    <w:basedOn w:val="949"/>
    <w:uiPriority w:val="0"/>
    <w:qFormat/>
    <w:rPr>
      <w:sz w:val="18"/>
      <w:szCs w:val="18"/>
    </w:rPr>
  </w:style>
  <w:style w:type="paragraph" w:styleId="971">
    <w:name w:val="Footer"/>
    <w:basedOn w:val="949"/>
    <w:link w:val="997"/>
    <w:uiPriority w:val="99"/>
    <w:qFormat/>
    <w:pPr>
      <w:widowControl w:val="off"/>
      <w:tabs>
        <w:tab w:val="center" w:pos="4153" w:leader="none"/>
        <w:tab w:val="right" w:pos="8306" w:leader="none"/>
      </w:tabs>
    </w:pPr>
    <w:rPr>
      <w:sz w:val="18"/>
      <w:szCs w:val="18"/>
    </w:rPr>
  </w:style>
  <w:style w:type="paragraph" w:styleId="972">
    <w:name w:val="envelope return"/>
    <w:basedOn w:val="949"/>
    <w:uiPriority w:val="99"/>
    <w:unhideWhenUsed/>
    <w:qFormat/>
    <w:rPr>
      <w:rFonts w:ascii="Arial" w:hAnsi="Arial"/>
    </w:rPr>
  </w:style>
  <w:style w:type="paragraph" w:styleId="973">
    <w:name w:val="Header"/>
    <w:basedOn w:val="949"/>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74">
    <w:name w:val="toc 1"/>
    <w:basedOn w:val="949"/>
    <w:next w:val="949"/>
    <w:uiPriority w:val="0"/>
    <w:qFormat/>
    <w:pPr>
      <w:widowControl w:val="off"/>
    </w:pPr>
    <w:rPr>
      <w:rFonts w:eastAsia="楷体_GB2312"/>
      <w:szCs w:val="20"/>
    </w:rPr>
  </w:style>
  <w:style w:type="paragraph" w:styleId="975">
    <w:name w:val="toc 4"/>
    <w:basedOn w:val="949"/>
    <w:next w:val="949"/>
    <w:uiPriority w:val="39"/>
    <w:unhideWhenUsed/>
    <w:qFormat/>
    <w:pPr>
      <w:ind w:left="1260"/>
    </w:pPr>
  </w:style>
  <w:style w:type="paragraph" w:styleId="976">
    <w:name w:val="Subtitle"/>
    <w:basedOn w:val="949"/>
    <w:next w:val="949"/>
    <w:uiPriority w:val="0"/>
    <w:qFormat/>
    <w:pPr>
      <w:jc w:val="center"/>
      <w:spacing w:before="240" w:after="60" w:line="312" w:lineRule="auto"/>
      <w:outlineLvl w:val="1"/>
    </w:pPr>
    <w:rPr>
      <w:rFonts w:ascii="宋体" w:hAnsi="Courier New" w:eastAsia="楷体_GB2312"/>
      <w:sz w:val="26"/>
      <w:szCs w:val="20"/>
    </w:rPr>
  </w:style>
  <w:style w:type="paragraph" w:styleId="977">
    <w:name w:val="Body Text Indent 3"/>
    <w:basedOn w:val="949"/>
    <w:link w:val="998"/>
    <w:uiPriority w:val="0"/>
    <w:qFormat/>
    <w:pPr>
      <w:ind w:firstLine="480"/>
      <w:spacing w:line="300" w:lineRule="auto"/>
      <w:widowControl w:val="off"/>
    </w:pPr>
  </w:style>
  <w:style w:type="paragraph" w:styleId="978">
    <w:name w:val="Body Text 2"/>
    <w:basedOn w:val="949"/>
    <w:uiPriority w:val="0"/>
    <w:qFormat/>
    <w:pPr>
      <w:spacing w:line="480" w:lineRule="auto"/>
    </w:pPr>
  </w:style>
  <w:style w:type="paragraph" w:styleId="979">
    <w:name w:val="HTML Preformatted"/>
    <w:basedOn w:val="94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80">
    <w:name w:val="Normal (Web)"/>
    <w:basedOn w:val="949"/>
    <w:uiPriority w:val="0"/>
    <w:qFormat/>
    <w:pPr>
      <w:spacing w:beforeAutospacing="1" w:afterAutospacing="1"/>
    </w:pPr>
    <w:rPr>
      <w:rFonts w:ascii="宋体" w:hAnsi="宋体" w:cs="宋体"/>
    </w:rPr>
  </w:style>
  <w:style w:type="paragraph" w:styleId="981">
    <w:name w:val="Title"/>
    <w:basedOn w:val="949"/>
    <w:next w:val="949"/>
    <w:link w:val="999"/>
    <w:uiPriority w:val="0"/>
    <w:qFormat/>
    <w:pPr>
      <w:jc w:val="center"/>
      <w:spacing w:before="240" w:after="60"/>
      <w:outlineLvl w:val="0"/>
    </w:pPr>
    <w:rPr>
      <w:rFonts w:ascii="Cambria" w:hAnsi="Cambria"/>
      <w:b/>
      <w:bCs/>
      <w:sz w:val="32"/>
      <w:szCs w:val="32"/>
    </w:rPr>
  </w:style>
  <w:style w:type="paragraph" w:styleId="982">
    <w:name w:val="annotation subject"/>
    <w:basedOn w:val="964"/>
    <w:next w:val="964"/>
    <w:uiPriority w:val="0"/>
    <w:qFormat/>
    <w:rPr>
      <w:b/>
      <w:bCs/>
    </w:rPr>
  </w:style>
  <w:style w:type="paragraph" w:styleId="983">
    <w:name w:val="Body Text First Indent"/>
    <w:basedOn w:val="961"/>
    <w:uiPriority w:val="0"/>
    <w:qFormat/>
    <w:pPr>
      <w:ind w:firstLine="420"/>
      <w:tabs>
        <w:tab w:val="left" w:pos="5250" w:leader="none"/>
      </w:tabs>
    </w:pPr>
  </w:style>
  <w:style w:type="paragraph" w:styleId="984">
    <w:name w:val="Body Text First Indent 2"/>
    <w:basedOn w:val="965"/>
    <w:uiPriority w:val="99"/>
    <w:qFormat/>
    <w:pPr>
      <w:ind w:firstLine="420"/>
    </w:pPr>
  </w:style>
  <w:style w:type="table" w:styleId="985">
    <w:name w:val="Table Grid"/>
    <w:basedOn w:val="9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6">
    <w:name w:val="Strong"/>
    <w:uiPriority w:val="0"/>
    <w:qFormat/>
    <w:rPr>
      <w:b/>
      <w:bCs/>
    </w:rPr>
  </w:style>
  <w:style w:type="character" w:styleId="987">
    <w:name w:val="page number"/>
    <w:uiPriority w:val="0"/>
    <w:qFormat/>
  </w:style>
  <w:style w:type="character" w:styleId="988">
    <w:name w:val="FollowedHyperlink"/>
    <w:uiPriority w:val="0"/>
    <w:qFormat/>
    <w:rPr>
      <w:color w:val="333333"/>
      <w:u w:val="none"/>
    </w:rPr>
  </w:style>
  <w:style w:type="character" w:styleId="989">
    <w:name w:val="Hyperlink"/>
    <w:uiPriority w:val="0"/>
    <w:qFormat/>
    <w:rPr>
      <w:color w:val="333333"/>
      <w:u w:val="none"/>
    </w:rPr>
  </w:style>
  <w:style w:type="character" w:styleId="990">
    <w:name w:val="annotation reference"/>
    <w:uiPriority w:val="0"/>
    <w:qFormat/>
    <w:rPr>
      <w:sz w:val="21"/>
      <w:szCs w:val="21"/>
    </w:rPr>
  </w:style>
  <w:style w:type="paragraph" w:styleId="991" w:customStyle="1">
    <w:name w:val="正文1"/>
    <w:basedOn w:val="949"/>
    <w:next w:val="949"/>
    <w:uiPriority w:val="0"/>
    <w:qFormat/>
    <w:pPr>
      <w:ind w:firstLine="540"/>
    </w:pPr>
    <w:rPr>
      <w:szCs w:val="20"/>
    </w:rPr>
  </w:style>
  <w:style w:type="character" w:styleId="992" w:customStyle="1">
    <w:name w:val="标题 1 Char"/>
    <w:link w:val="950"/>
    <w:uiPriority w:val="0"/>
    <w:qFormat/>
    <w:rPr>
      <w:rFonts w:eastAsia="楷体_GB2312"/>
      <w:b/>
      <w:sz w:val="44"/>
      <w:szCs w:val="20"/>
    </w:rPr>
  </w:style>
  <w:style w:type="character" w:styleId="993" w:customStyle="1">
    <w:name w:val="标题 2 Char"/>
    <w:basedOn w:val="959"/>
    <w:link w:val="951"/>
    <w:uiPriority w:val="9"/>
    <w:qFormat/>
    <w:rPr>
      <w:rFonts w:ascii="Cambria" w:hAnsi="Cambria" w:eastAsia="宋体" w:cs="Times New Roman"/>
      <w:b/>
      <w:bCs/>
      <w:sz w:val="32"/>
      <w:szCs w:val="32"/>
    </w:rPr>
  </w:style>
  <w:style w:type="character" w:styleId="994" w:customStyle="1">
    <w:name w:val="文档结构图 Char"/>
    <w:link w:val="963"/>
    <w:uiPriority w:val="0"/>
    <w:qFormat/>
    <w:rPr>
      <w:sz w:val="24"/>
      <w:szCs w:val="24"/>
      <w:shd w:val="clear" w:color="auto" w:fill="000080"/>
    </w:rPr>
  </w:style>
  <w:style w:type="character" w:styleId="995" w:customStyle="1">
    <w:name w:val="纯文本 Char"/>
    <w:link w:val="967"/>
    <w:uiPriority w:val="0"/>
    <w:qFormat/>
    <w:rPr>
      <w:rFonts w:ascii="宋体" w:hAnsi="Courier New" w:eastAsia="楷体_GB2312"/>
      <w:sz w:val="26"/>
    </w:rPr>
  </w:style>
  <w:style w:type="character" w:styleId="996" w:customStyle="1">
    <w:name w:val="日期 Char"/>
    <w:link w:val="968"/>
    <w:uiPriority w:val="0"/>
    <w:qFormat/>
    <w:rPr>
      <w:b/>
      <w:bCs/>
      <w:spacing w:val="20"/>
      <w:sz w:val="21"/>
      <w:szCs w:val="24"/>
    </w:rPr>
  </w:style>
  <w:style w:type="character" w:styleId="997" w:customStyle="1">
    <w:name w:val="页脚 Char"/>
    <w:link w:val="971"/>
    <w:uiPriority w:val="99"/>
    <w:qFormat/>
    <w:rPr>
      <w:sz w:val="18"/>
      <w:szCs w:val="18"/>
    </w:rPr>
  </w:style>
  <w:style w:type="character" w:styleId="998" w:customStyle="1">
    <w:name w:val="正文文本缩进 3 Char"/>
    <w:link w:val="977"/>
    <w:uiPriority w:val="0"/>
    <w:qFormat/>
    <w:rPr>
      <w:sz w:val="24"/>
      <w:szCs w:val="24"/>
    </w:rPr>
  </w:style>
  <w:style w:type="character" w:styleId="999" w:customStyle="1">
    <w:name w:val="标题 Char"/>
    <w:link w:val="981"/>
    <w:uiPriority w:val="0"/>
    <w:qFormat/>
    <w:rPr>
      <w:rFonts w:ascii="Cambria" w:hAnsi="Cambria" w:cs="Times New Roman"/>
      <w:b/>
      <w:bCs/>
      <w:sz w:val="32"/>
      <w:szCs w:val="32"/>
    </w:rPr>
  </w:style>
  <w:style w:type="character" w:styleId="1000" w:customStyle="1">
    <w:name w:val="font31"/>
    <w:basedOn w:val="959"/>
    <w:uiPriority w:val="0"/>
    <w:qFormat/>
    <w:rPr>
      <w:rFonts w:hint="eastAsia" w:ascii="宋体" w:hAnsi="宋体" w:eastAsia="宋体" w:cs="宋体"/>
      <w:color w:val="000000"/>
      <w:sz w:val="21"/>
      <w:szCs w:val="21"/>
      <w:u w:val="none"/>
    </w:rPr>
  </w:style>
  <w:style w:type="character" w:styleId="1001" w:customStyle="1">
    <w:name w:val="无"/>
    <w:uiPriority w:val="0"/>
    <w:qFormat/>
  </w:style>
  <w:style w:type="character" w:styleId="1002" w:customStyle="1">
    <w:name w:val="apple-converted-space"/>
    <w:uiPriority w:val="0"/>
    <w:qFormat/>
  </w:style>
  <w:style w:type="character" w:styleId="1003" w:customStyle="1">
    <w:name w:val="font21"/>
    <w:basedOn w:val="959"/>
    <w:uiPriority w:val="0"/>
    <w:qFormat/>
    <w:rPr>
      <w:rFonts w:hint="eastAsia" w:ascii="宋体" w:hAnsi="宋体" w:eastAsia="宋体" w:cs="宋体"/>
      <w:color w:val="000000"/>
      <w:sz w:val="24"/>
      <w:szCs w:val="24"/>
      <w:u w:val="none"/>
    </w:rPr>
  </w:style>
  <w:style w:type="character" w:styleId="1004" w:customStyle="1">
    <w:name w:val="NormalCharacter"/>
    <w:uiPriority w:val="0"/>
    <w:qFormat/>
  </w:style>
  <w:style w:type="character" w:styleId="1005" w:customStyle="1">
    <w:name w:val="font11"/>
    <w:uiPriority w:val="0"/>
    <w:qFormat/>
    <w:rPr>
      <w:rFonts w:hint="eastAsia" w:ascii="宋体" w:hAnsi="宋体" w:eastAsia="宋体" w:cs="宋体"/>
      <w:color w:val="000000"/>
      <w:sz w:val="24"/>
      <w:szCs w:val="24"/>
      <w:u w:val="none"/>
    </w:rPr>
  </w:style>
  <w:style w:type="character" w:styleId="1006" w:customStyle="1">
    <w:name w:val="font01"/>
    <w:uiPriority w:val="0"/>
    <w:qFormat/>
    <w:rPr>
      <w:rFonts w:hint="eastAsia" w:ascii="宋体" w:hAnsi="宋体" w:eastAsia="宋体" w:cs="宋体"/>
      <w:color w:val="000000"/>
      <w:sz w:val="24"/>
      <w:szCs w:val="24"/>
      <w:u w:val="none"/>
    </w:rPr>
  </w:style>
  <w:style w:type="character" w:styleId="1007" w:customStyle="1">
    <w:name w:val="font51"/>
    <w:basedOn w:val="959"/>
    <w:uiPriority w:val="0"/>
    <w:qFormat/>
    <w:rPr>
      <w:rFonts w:hint="eastAsia" w:ascii="宋体" w:hAnsi="宋体" w:eastAsia="宋体" w:cs="宋体"/>
      <w:color w:val="000000"/>
      <w:sz w:val="24"/>
      <w:szCs w:val="24"/>
      <w:u w:val="none"/>
    </w:rPr>
  </w:style>
  <w:style w:type="character" w:styleId="1008" w:customStyle="1">
    <w:name w:val="Plain Text Char"/>
    <w:link w:val="1009"/>
    <w:uiPriority w:val="0"/>
    <w:qFormat/>
    <w:rPr>
      <w:rFonts w:ascii="宋体" w:hAnsi="Courier New" w:eastAsia="楷体_GB2312"/>
      <w:sz w:val="26"/>
    </w:rPr>
  </w:style>
  <w:style w:type="paragraph" w:styleId="1009" w:customStyle="1">
    <w:name w:val="纯文本1"/>
    <w:basedOn w:val="949"/>
    <w:link w:val="1008"/>
    <w:uiPriority w:val="0"/>
    <w:qFormat/>
    <w:pPr>
      <w:jc w:val="both"/>
      <w:widowControl w:val="off"/>
    </w:pPr>
    <w:rPr>
      <w:rFonts w:ascii="宋体" w:hAnsi="Courier New" w:eastAsia="楷体_GB2312"/>
      <w:sz w:val="26"/>
      <w:szCs w:val="20"/>
    </w:rPr>
  </w:style>
  <w:style w:type="character" w:styleId="1010" w:customStyle="1">
    <w:name w:val="Andy_正文 Char"/>
    <w:link w:val="1011"/>
    <w:uiPriority w:val="0"/>
    <w:qFormat/>
    <w:rPr>
      <w:rFonts w:ascii="Calibri" w:hAnsi="Calibri"/>
      <w:sz w:val="24"/>
      <w:szCs w:val="24"/>
    </w:rPr>
  </w:style>
  <w:style w:type="paragraph" w:styleId="1011" w:customStyle="1">
    <w:name w:val="Andy_正文"/>
    <w:basedOn w:val="949"/>
    <w:link w:val="1010"/>
    <w:uiPriority w:val="0"/>
    <w:qFormat/>
    <w:pPr>
      <w:ind w:firstLine="480"/>
      <w:jc w:val="both"/>
      <w:spacing w:line="360" w:lineRule="auto"/>
      <w:widowControl w:val="off"/>
    </w:pPr>
    <w:rPr>
      <w:rFonts w:ascii="Calibri" w:hAnsi="Calibri"/>
    </w:rPr>
  </w:style>
  <w:style w:type="paragraph" w:styleId="1012" w:customStyle="1">
    <w:name w:val="H-TextFormat"/>
    <w:uiPriority w:val="0"/>
    <w:qFormat/>
    <w:rPr>
      <w:rFonts w:ascii="Arial" w:hAnsi="Arial" w:eastAsia="宋体" w:cs="Times New Roman"/>
      <w:sz w:val="22"/>
      <w:lang w:val="en-GB" w:eastAsia="en-US" w:bidi="ar-SA"/>
    </w:rPr>
  </w:style>
  <w:style w:type="paragraph" w:styleId="1013" w:customStyle="1">
    <w:name w:val="Char1"/>
    <w:basedOn w:val="949"/>
    <w:uiPriority w:val="0"/>
    <w:qFormat/>
    <w:pPr>
      <w:jc w:val="both"/>
      <w:widowControl w:val="off"/>
    </w:pPr>
    <w:rPr>
      <w:rFonts w:ascii="Tahoma" w:hAnsi="Tahoma"/>
      <w:szCs w:val="20"/>
    </w:rPr>
  </w:style>
  <w:style w:type="paragraph" w:styleId="1014" w:customStyle="1">
    <w:name w:val="_Style 12"/>
    <w:basedOn w:val="963"/>
    <w:uiPriority w:val="0"/>
    <w:qFormat/>
    <w:pPr>
      <w:spacing w:line="360" w:lineRule="auto"/>
    </w:pPr>
  </w:style>
  <w:style w:type="paragraph" w:styleId="1015" w:customStyle="1">
    <w:name w:val="Table Paragraph"/>
    <w:basedOn w:val="949"/>
    <w:uiPriority w:val="1"/>
    <w:qFormat/>
    <w:pPr>
      <w:widowControl w:val="off"/>
    </w:pPr>
    <w:rPr>
      <w:rFonts w:ascii="宋体" w:hAnsi="宋体" w:cs="宋体"/>
      <w:sz w:val="22"/>
      <w:szCs w:val="22"/>
      <w:lang w:val="zh-CN" w:bidi="zh-CN"/>
    </w:rPr>
  </w:style>
  <w:style w:type="paragraph" w:styleId="1016" w:customStyle="1">
    <w:name w:val="_Style 25"/>
    <w:basedOn w:val="949"/>
    <w:uiPriority w:val="0"/>
    <w:qFormat/>
    <w:pPr>
      <w:spacing w:after="160" w:line="240" w:lineRule="exact"/>
    </w:pPr>
    <w:rPr>
      <w:szCs w:val="20"/>
    </w:rPr>
  </w:style>
  <w:style w:type="paragraph" w:styleId="1017" w:customStyle="1">
    <w:name w:val="纯文本11"/>
    <w:basedOn w:val="949"/>
    <w:uiPriority w:val="0"/>
    <w:qFormat/>
    <w:pPr>
      <w:jc w:val="both"/>
      <w:widowControl w:val="off"/>
    </w:pPr>
    <w:rPr>
      <w:rFonts w:ascii="宋体" w:hAnsi="Courier New" w:eastAsia="楷体_GB2312"/>
      <w:sz w:val="28"/>
      <w:szCs w:val="20"/>
    </w:rPr>
  </w:style>
  <w:style w:type="paragraph" w:styleId="1018" w:customStyle="1">
    <w:name w:val="样式1"/>
    <w:basedOn w:val="949"/>
    <w:uiPriority w:val="0"/>
    <w:qFormat/>
    <w:pPr>
      <w:jc w:val="center"/>
    </w:pPr>
  </w:style>
  <w:style w:type="paragraph" w:styleId="1019"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20" w:customStyle="1">
    <w:name w:val="Char Char Char1 Char Char Char Char"/>
    <w:basedOn w:val="949"/>
    <w:uiPriority w:val="0"/>
    <w:qFormat/>
    <w:pPr>
      <w:spacing w:line="240" w:lineRule="exact"/>
    </w:pPr>
  </w:style>
  <w:style w:type="paragraph" w:styleId="1021" w:customStyle="1">
    <w:name w:val="表正文"/>
    <w:basedOn w:val="949"/>
    <w:next w:val="965"/>
    <w:uiPriority w:val="0"/>
    <w:qFormat/>
    <w:pPr>
      <w:ind w:left="420"/>
      <w:spacing w:after="120"/>
    </w:pPr>
    <w:rPr>
      <w:sz w:val="21"/>
    </w:rPr>
  </w:style>
  <w:style w:type="paragraph" w:styleId="1022" w:customStyle="1">
    <w:name w:val="Char Char Char Char Char Char Char Char Char Char"/>
    <w:basedOn w:val="949"/>
    <w:uiPriority w:val="0"/>
    <w:qFormat/>
    <w:pPr>
      <w:ind w:left="795" w:hanging="360"/>
      <w:jc w:val="both"/>
      <w:widowControl w:val="off"/>
      <w:tabs>
        <w:tab w:val="left" w:pos="795" w:leader="none"/>
      </w:tabs>
    </w:pPr>
  </w:style>
  <w:style w:type="paragraph" w:styleId="1023" w:customStyle="1">
    <w:name w:val="Char1 Char Char Char"/>
    <w:basedOn w:val="949"/>
    <w:uiPriority w:val="0"/>
    <w:qFormat/>
    <w:pPr>
      <w:jc w:val="both"/>
      <w:widowControl w:val="off"/>
    </w:pPr>
    <w:rPr>
      <w:sz w:val="21"/>
    </w:rPr>
  </w:style>
  <w:style w:type="paragraph" w:styleId="102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25">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2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27" w:customStyle="1">
    <w:name w:val="Andy_2级"/>
    <w:basedOn w:val="949"/>
    <w:uiPriority w:val="0"/>
    <w:qFormat/>
    <w:pPr>
      <w:numPr>
        <w:ilvl w:val="1"/>
        <w:numId w:val="2"/>
      </w:numPr>
      <w:ind w:left="0" w:firstLine="510"/>
      <w:spacing w:line="360" w:lineRule="auto"/>
    </w:pPr>
    <w:rPr>
      <w:rFonts w:ascii="Calibri" w:hAnsi="Calibri"/>
      <w:szCs w:val="20"/>
    </w:rPr>
  </w:style>
  <w:style w:type="paragraph" w:styleId="1028" w:customStyle="1">
    <w:name w:val="p16"/>
    <w:basedOn w:val="949"/>
    <w:uiPriority w:val="0"/>
    <w:qFormat/>
    <w:rPr>
      <w:rFonts w:ascii="宋体" w:hAnsi="宋体" w:cs="宋体"/>
      <w:sz w:val="26"/>
      <w:szCs w:val="26"/>
    </w:rPr>
  </w:style>
  <w:style w:type="paragraph" w:styleId="1029" w:customStyle="1">
    <w:name w:val="纯文本3"/>
    <w:basedOn w:val="949"/>
    <w:uiPriority w:val="0"/>
    <w:qFormat/>
    <w:rPr>
      <w:rFonts w:ascii="宋体" w:hAnsi="Courier New"/>
      <w:sz w:val="26"/>
    </w:rPr>
  </w:style>
  <w:style w:type="paragraph" w:styleId="1030" w:customStyle="1">
    <w:name w:val="Char Char Char"/>
    <w:basedOn w:val="949"/>
    <w:uiPriority w:val="0"/>
    <w:qFormat/>
    <w:pPr>
      <w:ind w:left="795" w:hanging="360"/>
      <w:jc w:val="both"/>
      <w:widowControl w:val="off"/>
      <w:tabs>
        <w:tab w:val="left" w:pos="795" w:leader="none"/>
      </w:tabs>
    </w:pPr>
  </w:style>
  <w:style w:type="paragraph" w:styleId="1031" w:customStyle="1">
    <w:name w:val="样式2"/>
    <w:basedOn w:val="1018"/>
    <w:uiPriority w:val="0"/>
    <w:qFormat/>
    <w:rPr>
      <w:sz w:val="21"/>
    </w:rPr>
  </w:style>
  <w:style w:type="paragraph" w:styleId="1032" w:customStyle="1">
    <w:name w:val="f正文"/>
    <w:basedOn w:val="949"/>
    <w:uiPriority w:val="0"/>
    <w:qFormat/>
    <w:pPr>
      <w:ind w:firstLine="200"/>
    </w:pPr>
  </w:style>
  <w:style w:type="paragraph" w:styleId="1033" w:customStyle="1">
    <w:name w:val="_Style 3"/>
    <w:basedOn w:val="949"/>
    <w:uiPriority w:val="0"/>
    <w:qFormat/>
    <w:pPr>
      <w:ind w:left="795" w:hanging="360"/>
      <w:jc w:val="both"/>
      <w:widowControl w:val="off"/>
      <w:tabs>
        <w:tab w:val="left" w:pos="540" w:leader="none"/>
      </w:tabs>
    </w:pPr>
  </w:style>
  <w:style w:type="paragraph" w:styleId="1034" w:customStyle="1">
    <w:name w:val="Char Char Char Char Char Char Char Char Char1 Char"/>
    <w:basedOn w:val="963"/>
    <w:uiPriority w:val="0"/>
    <w:qFormat/>
    <w:pPr>
      <w:jc w:val="both"/>
      <w:spacing w:line="360" w:lineRule="auto"/>
      <w:widowControl w:val="off"/>
    </w:pPr>
    <w:rPr>
      <w:rFonts w:ascii="Tahoma" w:hAnsi="Tahoma"/>
    </w:rPr>
  </w:style>
  <w:style w:type="paragraph" w:styleId="1035" w:customStyle="1">
    <w:name w:val="纯文本5"/>
    <w:basedOn w:val="949"/>
    <w:uiPriority w:val="0"/>
    <w:qFormat/>
    <w:rPr>
      <w:rFonts w:ascii="宋体" w:hAnsi="Courier New" w:eastAsia="楷体_GB2312"/>
      <w:sz w:val="28"/>
      <w:szCs w:val="20"/>
    </w:rPr>
  </w:style>
  <w:style w:type="paragraph" w:styleId="1036" w:customStyle="1">
    <w:name w:val="p18"/>
    <w:basedOn w:val="949"/>
    <w:uiPriority w:val="0"/>
    <w:qFormat/>
    <w:pPr>
      <w:ind w:firstLine="420"/>
    </w:pPr>
  </w:style>
  <w:style w:type="paragraph" w:styleId="1037" w:customStyle="1">
    <w:name w:val="纯文本2"/>
    <w:basedOn w:val="949"/>
    <w:uiPriority w:val="0"/>
    <w:qFormat/>
    <w:rPr>
      <w:rFonts w:ascii="宋体" w:hAnsi="Courier New"/>
    </w:rPr>
  </w:style>
  <w:style w:type="paragraph" w:styleId="1038" w:customStyle="1">
    <w:name w:val="Char Char2"/>
    <w:basedOn w:val="963"/>
    <w:uiPriority w:val="0"/>
    <w:qFormat/>
    <w:pPr>
      <w:spacing w:line="360" w:lineRule="auto"/>
    </w:pPr>
  </w:style>
  <w:style w:type="paragraph" w:styleId="1039" w:customStyle="1">
    <w:name w:val="_Style 5"/>
    <w:basedOn w:val="949"/>
    <w:uiPriority w:val="0"/>
    <w:qFormat/>
    <w:pPr>
      <w:spacing w:after="160" w:line="240" w:lineRule="exact"/>
    </w:pPr>
    <w:rPr>
      <w:szCs w:val="20"/>
    </w:rPr>
  </w:style>
  <w:style w:type="paragraph" w:styleId="1040" w:customStyle="1">
    <w:name w:val="段"/>
    <w:next w:val="949"/>
    <w:uiPriority w:val="0"/>
    <w:qFormat/>
    <w:pPr>
      <w:ind w:firstLine="200"/>
      <w:jc w:val="both"/>
    </w:pPr>
    <w:rPr>
      <w:rFonts w:ascii="宋体" w:hAnsi="Times New Roman" w:eastAsia="宋体" w:cs="Times New Roman"/>
      <w:sz w:val="21"/>
      <w:szCs w:val="22"/>
      <w:lang w:val="en-US" w:eastAsia="zh-CN" w:bidi="ar-SA"/>
    </w:rPr>
  </w:style>
  <w:style w:type="paragraph" w:styleId="1041" w:customStyle="1">
    <w:name w:val="Char Char Char Char"/>
    <w:basedOn w:val="963"/>
    <w:uiPriority w:val="0"/>
    <w:qFormat/>
    <w:pPr>
      <w:jc w:val="both"/>
      <w:spacing w:line="360" w:lineRule="auto"/>
      <w:widowControl w:val="off"/>
    </w:pPr>
    <w:rPr>
      <w:szCs w:val="20"/>
    </w:rPr>
  </w:style>
  <w:style w:type="paragraph" w:styleId="1042" w:customStyle="1">
    <w:name w:val="p0"/>
    <w:basedOn w:val="949"/>
    <w:uiPriority w:val="0"/>
    <w:qFormat/>
  </w:style>
  <w:style w:type="paragraph" w:styleId="1043" w:customStyle="1">
    <w:name w:val="Char Char Char Char Char Char Char Char Char1 Char1"/>
    <w:basedOn w:val="963"/>
    <w:uiPriority w:val="0"/>
    <w:qFormat/>
    <w:pPr>
      <w:jc w:val="both"/>
      <w:spacing w:line="360" w:lineRule="auto"/>
      <w:widowControl w:val="off"/>
    </w:pPr>
    <w:rPr>
      <w:rFonts w:ascii="Tahoma" w:hAnsi="Tahoma"/>
    </w:rPr>
  </w:style>
  <w:style w:type="paragraph" w:styleId="1044" w:customStyle="1">
    <w:name w:val="列出段落1"/>
    <w:basedOn w:val="949"/>
    <w:uiPriority w:val="0"/>
    <w:qFormat/>
    <w:pPr>
      <w:ind w:firstLine="420"/>
    </w:pPr>
    <w:rPr>
      <w:rFonts w:ascii="Calibri" w:hAnsi="Calibri" w:cs="Calibri"/>
      <w:szCs w:val="22"/>
    </w:rPr>
  </w:style>
  <w:style w:type="paragraph" w:styleId="1045" w:customStyle="1">
    <w:name w:val="纯文本111"/>
    <w:basedOn w:val="949"/>
    <w:uiPriority w:val="0"/>
    <w:qFormat/>
    <w:rPr>
      <w:rFonts w:ascii="宋体" w:hAnsi="Courier New"/>
    </w:rPr>
  </w:style>
  <w:style w:type="paragraph" w:styleId="1046" w:customStyle="1">
    <w:name w:val="列出段落2"/>
    <w:basedOn w:val="949"/>
    <w:uiPriority w:val="0"/>
    <w:qFormat/>
    <w:pPr>
      <w:ind w:firstLine="420"/>
      <w:jc w:val="both"/>
      <w:widowControl w:val="off"/>
    </w:pPr>
    <w:rPr>
      <w:rFonts w:ascii="Calibri" w:hAnsi="Calibri"/>
      <w:sz w:val="21"/>
      <w:szCs w:val="22"/>
    </w:rPr>
  </w:style>
  <w:style w:type="paragraph" w:styleId="1047" w:customStyle="1">
    <w:name w:val="Char Char3"/>
    <w:basedOn w:val="949"/>
    <w:uiPriority w:val="0"/>
    <w:qFormat/>
    <w:pPr>
      <w:numPr>
        <w:ilvl w:val="0"/>
        <w:numId w:val="3"/>
      </w:numPr>
      <w:jc w:val="both"/>
      <w:widowControl w:val="off"/>
    </w:pPr>
  </w:style>
  <w:style w:type="paragraph" w:styleId="1048" w:customStyle="1">
    <w:name w:val="Char"/>
    <w:basedOn w:val="949"/>
    <w:uiPriority w:val="0"/>
    <w:qFormat/>
    <w:pPr>
      <w:jc w:val="both"/>
      <w:widowControl w:val="off"/>
    </w:pPr>
    <w:rPr>
      <w:rFonts w:ascii="Tahoma" w:hAnsi="Tahoma" w:cs="Tahoma"/>
    </w:rPr>
  </w:style>
  <w:style w:type="paragraph" w:styleId="1049" w:customStyle="1">
    <w:name w:val="01 章标"/>
    <w:basedOn w:val="949"/>
    <w:uiPriority w:val="0"/>
    <w:qFormat/>
    <w:pPr>
      <w:ind w:firstLine="883"/>
      <w:jc w:val="center"/>
      <w:outlineLvl w:val="0"/>
    </w:pPr>
    <w:rPr>
      <w:b/>
      <w:sz w:val="44"/>
      <w:szCs w:val="44"/>
    </w:rPr>
  </w:style>
  <w:style w:type="paragraph" w:styleId="1050" w:customStyle="1">
    <w:name w:val="首行缩进"/>
    <w:basedOn w:val="949"/>
    <w:uiPriority w:val="0"/>
    <w:qFormat/>
    <w:pPr>
      <w:ind w:firstLine="480"/>
    </w:pPr>
    <w:rPr>
      <w:rFonts w:eastAsia="楷体_GB2312"/>
      <w:sz w:val="26"/>
      <w:szCs w:val="20"/>
      <w:lang w:val="zh-CN"/>
    </w:rPr>
  </w:style>
  <w:style w:type="paragraph" w:styleId="1051" w:customStyle="1">
    <w:name w:val="Other|1"/>
    <w:basedOn w:val="949"/>
    <w:uiPriority w:val="0"/>
    <w:qFormat/>
    <w:pPr>
      <w:spacing w:line="306" w:lineRule="exact"/>
    </w:pPr>
    <w:rPr>
      <w:rFonts w:ascii="宋体" w:hAnsi="宋体" w:cs="宋体"/>
      <w:sz w:val="20"/>
      <w:szCs w:val="20"/>
      <w:lang w:val="zh-TW" w:eastAsia="zh-TW" w:bidi="zh-TW"/>
    </w:rPr>
  </w:style>
  <w:style w:type="paragraph" w:styleId="1052" w:customStyle="1">
    <w:name w:val="Plain Text1"/>
    <w:basedOn w:val="949"/>
    <w:uiPriority w:val="0"/>
    <w:qFormat/>
    <w:rPr>
      <w:rFonts w:hint="eastAsia" w:ascii="宋体" w:hAnsi="Courier New"/>
    </w:rPr>
  </w:style>
  <w:style w:type="paragraph" w:styleId="1053" w:customStyle="1">
    <w:name w:val="正文2"/>
    <w:basedOn w:val="949"/>
    <w:uiPriority w:val="0"/>
    <w:qFormat/>
    <w:pPr>
      <w:ind w:firstLine="200"/>
      <w:spacing w:line="360" w:lineRule="auto"/>
    </w:pPr>
    <w:rPr>
      <w:rFonts w:ascii="Verdana" w:hAnsi="Verdana" w:eastAsia="黑体"/>
      <w:sz w:val="21"/>
      <w:szCs w:val="20"/>
      <w:lang w:eastAsia="en-US"/>
    </w:rPr>
  </w:style>
  <w:style w:type="paragraph" w:styleId="1054" w:customStyle="1">
    <w:name w:val="图片格式"/>
    <w:basedOn w:val="949"/>
    <w:uiPriority w:val="0"/>
    <w:qFormat/>
    <w:pPr>
      <w:jc w:val="center"/>
      <w:tabs>
        <w:tab w:val="center" w:pos="4153" w:leader="none"/>
        <w:tab w:val="right" w:pos="8306" w:leader="none"/>
      </w:tabs>
    </w:pPr>
    <w:rPr>
      <w:rFonts w:cs="宋体"/>
      <w:szCs w:val="20"/>
    </w:rPr>
  </w:style>
  <w:style w:type="paragraph" w:styleId="1055" w:customStyle="1">
    <w:name w:val="p17"/>
    <w:basedOn w:val="949"/>
    <w:uiPriority w:val="0"/>
    <w:qFormat/>
    <w:pPr>
      <w:jc w:val="both"/>
    </w:pPr>
    <w:rPr>
      <w:rFonts w:ascii="宋体" w:hAnsi="宋体" w:cs="宋体"/>
      <w:sz w:val="26"/>
      <w:szCs w:val="26"/>
    </w:rPr>
  </w:style>
  <w:style w:type="paragraph" w:styleId="1056" w:customStyle="1">
    <w:name w:val="Char2"/>
    <w:basedOn w:val="963"/>
    <w:uiPriority w:val="0"/>
    <w:qFormat/>
    <w:pPr>
      <w:jc w:val="both"/>
      <w:spacing w:line="360" w:lineRule="auto"/>
      <w:widowControl w:val="off"/>
    </w:pPr>
    <w:rPr>
      <w:sz w:val="21"/>
    </w:rPr>
  </w:style>
  <w:style w:type="paragraph" w:styleId="1057" w:customStyle="1">
    <w:name w:val="无间隔1"/>
    <w:uiPriority w:val="1"/>
    <w:qFormat/>
    <w:rPr>
      <w:rFonts w:ascii="微软雅黑." w:hAnsi="微软雅黑." w:eastAsia="宋体" w:cs="Times New Roman"/>
      <w:sz w:val="22"/>
      <w:szCs w:val="22"/>
      <w:lang w:val="en-US" w:eastAsia="zh-CN" w:bidi="ar-SA"/>
    </w:rPr>
  </w:style>
  <w:style w:type="paragraph" w:styleId="1058" w:customStyle="1">
    <w:name w:val="方案正文"/>
    <w:basedOn w:val="949"/>
    <w:uiPriority w:val="0"/>
    <w:qFormat/>
    <w:pPr>
      <w:spacing w:line="440" w:lineRule="atLeast"/>
    </w:pPr>
  </w:style>
  <w:style w:type="paragraph" w:styleId="1059" w:customStyle="1">
    <w:name w:val="*正文"/>
    <w:basedOn w:val="949"/>
    <w:uiPriority w:val="0"/>
    <w:qFormat/>
    <w:rPr>
      <w:rFonts w:ascii="宋体" w:hAnsi="宋体"/>
      <w:lang w:val="zh-CN"/>
    </w:rPr>
  </w:style>
  <w:style w:type="paragraph" w:styleId="1060" w:customStyle="1">
    <w:name w:val="正文首行缩进 21"/>
    <w:basedOn w:val="965"/>
    <w:uiPriority w:val="99"/>
    <w:qFormat/>
    <w:pPr>
      <w:ind w:firstLine="420"/>
    </w:pPr>
  </w:style>
  <w:style w:type="paragraph" w:styleId="1061" w:customStyle="1">
    <w:name w:val="普通正文"/>
    <w:basedOn w:val="949"/>
    <w:uiPriority w:val="0"/>
    <w:qFormat/>
    <w:pPr>
      <w:ind w:firstLine="480"/>
      <w:spacing w:before="120" w:after="120" w:line="360" w:lineRule="auto"/>
    </w:pPr>
    <w:rPr>
      <w:rFonts w:ascii="Arial" w:hAnsi="Arial" w:cs="Arial"/>
    </w:rPr>
  </w:style>
  <w:style w:type="paragraph" w:styleId="1062" w:customStyle="1">
    <w:name w:val="_Style 7"/>
    <w:basedOn w:val="961"/>
    <w:next w:val="983"/>
    <w:uiPriority w:val="0"/>
    <w:qFormat/>
    <w:pPr>
      <w:ind w:firstLine="420"/>
    </w:pPr>
    <w:rPr>
      <w:rFonts w:ascii="Calibri" w:hAnsi="Calibri"/>
    </w:rPr>
  </w:style>
  <w:style w:type="paragraph" w:styleId="1063" w:customStyle="1">
    <w:name w:val="表格内容"/>
    <w:next w:val="949"/>
    <w:uiPriority w:val="0"/>
    <w:qFormat/>
    <w:pPr>
      <w:jc w:val="center"/>
    </w:pPr>
    <w:rPr>
      <w:rFonts w:ascii="Times New Roman" w:hAnsi="Times New Roman" w:eastAsia="宋体" w:cs="Times New Roman"/>
      <w:sz w:val="21"/>
      <w:szCs w:val="22"/>
      <w:lang w:val="en-US" w:eastAsia="zh-CN" w:bidi="ar-SA"/>
    </w:rPr>
  </w:style>
  <w:style w:type="paragraph" w:styleId="1064" w:customStyle="1">
    <w:name w:val="Table Text"/>
    <w:uiPriority w:val="0"/>
    <w:semiHidden/>
    <w:qFormat/>
    <w:rPr>
      <w:rFonts w:ascii="宋体" w:hAnsi="宋体" w:eastAsia="宋体" w:cs="宋体"/>
      <w:color w:val="000000"/>
      <w:sz w:val="18"/>
      <w:szCs w:val="18"/>
      <w:lang w:val="en-US" w:eastAsia="en-US" w:bidi="ar-SA"/>
    </w:rPr>
  </w:style>
  <w:style w:type="table" w:styleId="1065" w:customStyle="1">
    <w:name w:val="Table Normal"/>
    <w:uiPriority w:val="0"/>
    <w:semiHidden/>
    <w:unhideWhenUsed/>
    <w:qFormat/>
    <w:tblPr>
      <w:tblCellMar>
        <w:left w:w="0" w:type="dxa"/>
        <w:top w:w="0" w:type="dxa"/>
        <w:right w:w="0" w:type="dxa"/>
        <w:bottom w:w="0" w:type="dxa"/>
      </w:tblCellMar>
    </w:tblPr>
  </w:style>
  <w:style w:type="paragraph" w:styleId="1066" w:customStyle="1">
    <w:name w:val="正文文本缩进1"/>
    <w:next w:val="949"/>
    <w:uiPriority w:val="0"/>
    <w:qFormat/>
    <w:pPr>
      <w:ind w:firstLine="574"/>
      <w:jc w:val="both"/>
      <w:spacing w:line="312" w:lineRule="atLeast"/>
      <w:widowControl w:val="off"/>
    </w:pPr>
    <w:rPr>
      <w:rFonts w:ascii="宋体" w:hAnsi="Times New Roman" w:eastAsia="宋体" w:cs="Times New Roman"/>
      <w:sz w:val="28"/>
      <w:lang w:val="en-US" w:eastAsia="zh-CN" w:bidi="ar-SA"/>
    </w:rPr>
  </w:style>
  <w:style w:type="paragraph" w:styleId="1067" w:customStyle="1">
    <w:name w:val="批注文字1"/>
    <w:uiPriority w:val="0"/>
    <w:qFormat/>
    <w:pPr>
      <w:widowControl w:val="off"/>
    </w:pPr>
    <w:rPr>
      <w:rFonts w:ascii="Times New Roman" w:hAnsi="Times New Roman" w:eastAsia="宋体" w:cs="Times New Roman"/>
      <w:sz w:val="21"/>
      <w:lang w:val="en-US" w:eastAsia="zh-CN" w:bidi="ar-SA"/>
    </w:rPr>
  </w:style>
  <w:style w:type="paragraph" w:styleId="1068" w:customStyle="1">
    <w:name w:val="Body text|1"/>
    <w:uiPriority w:val="0"/>
    <w:qFormat/>
    <w:pPr>
      <w:ind w:firstLine="320"/>
      <w:jc w:val="both"/>
      <w:widowControl w:val="off"/>
    </w:pPr>
    <w:rPr>
      <w:rFonts w:ascii="宋体" w:hAnsi="宋体" w:eastAsia="宋体" w:cs="宋体"/>
      <w:sz w:val="21"/>
      <w:szCs w:val="24"/>
      <w:lang w:val="zh-TW" w:eastAsia="zh-TW" w:bidi="zh-TW"/>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2.emf"/><Relationship Id="rId19"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17</cp:revision>
  <dcterms:created xsi:type="dcterms:W3CDTF">2020-10-19T23:57:00Z</dcterms:created>
  <dcterms:modified xsi:type="dcterms:W3CDTF">2026-05-29T01:52:06Z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63BA2DA63A26471794F8A2C84B3F78F3_13</vt:lpwstr>
  </property>
  <property fmtid="{D5CDD505-2E9C-101B-9397-08002B2CF9AE}" pid="4" name="KSOTemplateDocerSaveRecord">
    <vt:lpwstr>eyJoZGlkIjoiNjBiOWMwNzE3NTQ2MzdmZjU5YjNkNzJkMzI5MWY0MzIiLCJ1c2VySWQiOiI5NzQwMTI5NzIifQ==</vt:lpwstr>
  </property>
</Properties>
</file>