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int="eastAsia"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spacing w:line="360" w:lineRule="auto"/>
        <w:rPr>
          <w:rFonts w:hint="eastAsia" w:ascii="楷体_GB2312" w:eastAsia="楷体_GB2312"/>
          <w:bCs/>
          <w:color w:val="auto"/>
          <w:sz w:val="30"/>
          <w:highlight w:val="none"/>
        </w:rPr>
      </w:pPr>
      <w:r>
        <w:rPr>
          <w:rFonts w:hint="eastAsia" w:ascii="楷体_GB2312" w:eastAsia="楷体_GB2312"/>
          <w:bCs/>
          <w:color w:val="auto"/>
          <w:sz w:val="30"/>
          <w:highlight w:val="none"/>
        </w:rPr>
      </w:r>
      <w:r/>
    </w:p>
    <w:p>
      <w:pPr>
        <w:jc w:val="center"/>
        <w:spacing w:line="360" w:lineRule="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 锡 市 政 府 采 购</w:t>
      </w:r>
      <w:r/>
    </w:p>
    <w:p>
      <w:pPr>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spacing w:line="36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36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华文中宋" w:eastAsia="黑体"/>
          <w:bCs/>
          <w:color w:val="auto"/>
          <w:spacing w:val="20"/>
          <w:sz w:val="52"/>
          <w:szCs w:val="52"/>
          <w:highlight w:val="none"/>
        </w:rPr>
        <w:t xml:space="preserve">招  标  文  件</w:t>
      </w:r>
      <w:r/>
    </w:p>
    <w:p>
      <w:pPr>
        <w:jc w:val="left"/>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1575"/>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政府采购编号：</w:t>
      </w:r>
      <w:r>
        <w:rPr>
          <w:rFonts w:hint="eastAsia" w:ascii="黑体" w:hAnsi="华文中宋" w:eastAsia="黑体"/>
          <w:bCs/>
          <w:color w:val="auto"/>
          <w:sz w:val="30"/>
          <w:szCs w:val="30"/>
          <w:highlight w:val="none"/>
          <w:lang w:eastAsia="zh-CN"/>
        </w:rPr>
        <w:t xml:space="preserve">JSZC-320200-PXGJ-G2026-0032</w:t>
      </w:r>
      <w:r/>
    </w:p>
    <w:p>
      <w:pPr>
        <w:ind w:left="2995" w:hanging="2100"/>
        <w:spacing w:line="360" w:lineRule="auto"/>
        <w:rPr>
          <w:rFonts w:hint="eastAsia" w:ascii="宋体" w:hAnsi="宋体" w:eastAsia="黑体"/>
          <w:b/>
          <w:color w:val="auto"/>
          <w:sz w:val="24"/>
          <w:highlight w:val="none"/>
          <w:u w:val="singl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蠡湖智慧监测“一张网”（数字蠡湖）项目（现场建设）</w:t>
      </w:r>
      <w:r/>
    </w:p>
    <w:p>
      <w:pPr>
        <w:ind w:firstLine="9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   购   人：</w:t>
      </w:r>
      <w:r>
        <w:rPr>
          <w:rFonts w:hint="eastAsia" w:ascii="黑体" w:hAnsi="华文中宋" w:eastAsia="黑体"/>
          <w:bCs/>
          <w:color w:val="auto"/>
          <w:sz w:val="30"/>
          <w:szCs w:val="30"/>
          <w:highlight w:val="none"/>
          <w:lang w:eastAsia="zh-CN"/>
        </w:rPr>
        <w:t xml:space="preserve">无锡市生态环境局</w:t>
      </w:r>
      <w:r/>
    </w:p>
    <w:p>
      <w:pPr>
        <w:ind w:firstLine="9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采购代理机构：普信国际工程咨询有限公司 </w:t>
      </w:r>
      <w:r/>
    </w:p>
    <w:p>
      <w:pPr>
        <w:jc w:val="center"/>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spacing w:line="360" w:lineRule="auto"/>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二〇二</w:t>
      </w:r>
      <w:r>
        <w:rPr>
          <w:rFonts w:hint="eastAsia" w:ascii="黑体" w:hAnsi="华文中宋" w:eastAsia="黑体"/>
          <w:bCs/>
          <w:color w:val="auto"/>
          <w:sz w:val="44"/>
          <w:szCs w:val="44"/>
          <w:highlight w:val="none"/>
          <w:lang w:val="en-US"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val="en-US" w:eastAsia="zh-CN"/>
        </w:rPr>
        <w:t xml:space="preserve">五</w:t>
      </w:r>
      <w:r>
        <w:rPr>
          <w:rFonts w:hint="eastAsia" w:ascii="黑体" w:hAnsi="华文中宋" w:eastAsia="黑体"/>
          <w:bCs/>
          <w:color w:val="auto"/>
          <w:sz w:val="44"/>
          <w:szCs w:val="44"/>
          <w:highlight w:val="none"/>
        </w:rPr>
        <w:t xml:space="preserve">月</w:t>
      </w:r>
      <w:r/>
    </w:p>
    <w:p>
      <w:pPr>
        <w:jc w:val="center"/>
        <w:spacing w:line="360" w:lineRule="auto"/>
        <w:rPr>
          <w:rStyle w:val="772"/>
          <w:rFonts w:hint="eastAsia" w:eastAsia="黑体"/>
          <w:bCs/>
          <w:color w:val="auto"/>
          <w:sz w:val="48"/>
          <w:highlight w:val="none"/>
        </w:rPr>
      </w:pPr>
      <w:r>
        <w:rPr>
          <w:rStyle w:val="772"/>
          <w:rFonts w:eastAsia="黑体"/>
          <w:bCs/>
          <w:color w:val="auto"/>
          <w:sz w:val="48"/>
          <w:highlight w:val="none"/>
        </w:rPr>
        <w:br w:type="page" w:clear="all"/>
      </w:r>
      <w:r>
        <w:rPr>
          <w:rStyle w:val="772"/>
          <w:rFonts w:hint="eastAsia" w:eastAsia="黑体"/>
          <w:bCs/>
          <w:color w:val="auto"/>
          <w:sz w:val="48"/>
          <w:highlight w:val="none"/>
        </w:rPr>
        <w:t xml:space="preserve">目   录</w:t>
      </w:r>
      <w:r/>
    </w:p>
    <w:p>
      <w:pPr>
        <w:jc w:val="center"/>
        <w:spacing w:line="360" w:lineRule="auto"/>
        <w:rPr>
          <w:rFonts w:hint="eastAsia" w:ascii="黑体" w:eastAsia="黑体"/>
          <w:bCs/>
          <w:color w:val="auto"/>
          <w:sz w:val="30"/>
          <w:highlight w:val="none"/>
        </w:rPr>
      </w:pPr>
      <w:r>
        <w:rPr>
          <w:rFonts w:hint="eastAsia" w:ascii="黑体" w:eastAsia="黑体"/>
          <w:bCs/>
          <w:color w:val="auto"/>
          <w:sz w:val="30"/>
          <w:highlight w:val="none"/>
        </w:rPr>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一．投标</w:t>
      </w:r>
      <w:bookmarkStart w:id="0" w:name="_Hlt529243434"/>
      <w:r/>
      <w:bookmarkEnd w:id="0"/>
      <w:r>
        <w:rPr>
          <w:rFonts w:hint="eastAsia" w:ascii="宋体" w:hAnsi="宋体"/>
          <w:bCs/>
          <w:color w:val="auto"/>
          <w:sz w:val="30"/>
          <w:szCs w:val="30"/>
          <w:highlight w:val="none"/>
        </w:rPr>
        <w:t xml:space="preserve">邀请函</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二．投标供应商须知</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三．采购需求</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四. 合同书格式</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五．合同条款</w:t>
      </w:r>
      <w:r/>
    </w:p>
    <w:p>
      <w:pPr>
        <w:ind w:firstLine="630"/>
        <w:spacing w:line="360" w:lineRule="auto"/>
        <w:rPr>
          <w:rFonts w:hint="eastAsia" w:ascii="宋体" w:hAnsi="宋体"/>
          <w:bCs/>
          <w:color w:val="auto"/>
          <w:sz w:val="28"/>
          <w:szCs w:val="28"/>
          <w:highlight w:val="none"/>
        </w:rPr>
      </w:pPr>
      <w:r>
        <w:rPr>
          <w:rFonts w:hint="eastAsia" w:ascii="宋体" w:hAnsi="宋体"/>
          <w:bCs/>
          <w:color w:val="auto"/>
          <w:sz w:val="30"/>
          <w:szCs w:val="30"/>
          <w:highlight w:val="none"/>
        </w:rPr>
        <w:t xml:space="preserve">六．投标文件格式</w:t>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before="470" w:line="360" w:lineRule="auto"/>
        <w:widowControl/>
        <w:rPr>
          <w:rFonts w:ascii="宋体" w:hAnsi="宋体"/>
          <w:b/>
          <w:color w:val="auto"/>
          <w:sz w:val="24"/>
          <w:highlight w:val="none"/>
        </w:rPr>
      </w:pPr>
      <w:r>
        <w:rPr>
          <w:rFonts w:ascii="宋体" w:hAnsi="宋体"/>
          <w:b/>
          <w:color w:val="auto"/>
          <w:sz w:val="24"/>
          <w:highlight w:val="none"/>
        </w:rPr>
      </w:r>
      <w:r/>
    </w:p>
    <w:p>
      <w:pPr>
        <w:jc w:val="center"/>
        <w:spacing w:line="360" w:lineRule="auto"/>
        <w:rPr>
          <w:rFonts w:hint="eastAsia" w:ascii="黑体" w:eastAsia="黑体"/>
          <w:b/>
          <w:bCs/>
          <w:color w:val="auto"/>
          <w:sz w:val="32"/>
          <w:szCs w:val="32"/>
          <w:highlight w:val="none"/>
        </w:rPr>
      </w:pPr>
      <w:r>
        <w:rPr>
          <w:rFonts w:ascii="宋体" w:hAnsi="宋体"/>
          <w:b/>
          <w:color w:val="auto"/>
          <w:sz w:val="24"/>
          <w:highlight w:val="none"/>
        </w:rPr>
        <w:br w:type="page" w:clear="all"/>
      </w:r>
      <w:r>
        <w:rPr>
          <w:rFonts w:hint="eastAsia" w:ascii="宋体" w:hAnsi="宋体"/>
          <w:b/>
          <w:color w:val="auto"/>
          <w:sz w:val="24"/>
          <w:highlight w:val="none"/>
          <w:lang w:eastAsia="zh-CN"/>
        </w:rPr>
        <w:t xml:space="preserve">一、</w:t>
      </w:r>
      <w:r>
        <w:rPr>
          <w:rFonts w:hint="eastAsia" w:ascii="黑体" w:eastAsia="黑体"/>
          <w:b/>
          <w:bCs/>
          <w:color w:val="auto"/>
          <w:sz w:val="32"/>
          <w:szCs w:val="32"/>
          <w:highlight w:val="none"/>
        </w:rPr>
        <w:t xml:space="preserve">投标邀请函</w:t>
      </w:r>
      <w:r/>
    </w:p>
    <w:p>
      <w:pPr>
        <w:ind w:firstLine="424"/>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普信国际工程咨询有限公司受</w:t>
      </w:r>
      <w:r>
        <w:rPr>
          <w:rFonts w:hint="eastAsia" w:ascii="宋体" w:hAnsi="宋体"/>
          <w:b/>
          <w:color w:val="auto"/>
          <w:sz w:val="24"/>
          <w:highlight w:val="none"/>
          <w:u w:val="single"/>
          <w:lang w:eastAsia="zh-CN"/>
        </w:rPr>
        <w:t xml:space="preserve">无锡市生态环境局</w:t>
      </w:r>
      <w:r>
        <w:rPr>
          <w:rFonts w:hint="eastAsia" w:ascii="宋体" w:hAnsi="宋体"/>
          <w:bCs/>
          <w:color w:val="auto"/>
          <w:sz w:val="24"/>
          <w:highlight w:val="none"/>
        </w:rPr>
        <w:t xml:space="preserve">的委托，就其</w:t>
      </w:r>
      <w:r>
        <w:rPr>
          <w:rFonts w:hint="eastAsia" w:ascii="宋体" w:hAnsi="宋体"/>
          <w:b/>
          <w:color w:val="auto"/>
          <w:sz w:val="24"/>
          <w:highlight w:val="none"/>
          <w:u w:val="single"/>
          <w:lang w:eastAsia="zh-CN"/>
        </w:rPr>
        <w:t xml:space="preserve">蠡湖智慧监测“一张网”（数字蠡湖）项目（现场建设）</w:t>
      </w:r>
      <w:r>
        <w:rPr>
          <w:rFonts w:hint="eastAsia" w:ascii="宋体" w:hAnsi="宋体"/>
          <w:bCs/>
          <w:color w:val="auto"/>
          <w:sz w:val="24"/>
          <w:highlight w:val="none"/>
        </w:rPr>
        <w:t xml:space="preserve">进行公开招标，欢迎你单位参加投标并提请注意下列附表中的相关事项：</w:t>
      </w:r>
      <w:r/>
    </w:p>
    <w:tbl>
      <w:tblPr>
        <w:tblStyle w:val="712"/>
        <w:tblW w:w="976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30"/>
      </w:tblGrid>
      <w:tr>
        <w:trPr>
          <w:trHeight w:val="70"/>
        </w:trPr>
        <w:tc>
          <w:tcPr>
            <w:tcW w:w="735" w:type="dxa"/>
            <w:vAlign w:val="top"/>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序号</w:t>
            </w:r>
            <w:r/>
          </w:p>
        </w:tc>
        <w:tc>
          <w:tcPr>
            <w:tcW w:w="9030" w:type="dxa"/>
            <w:vAlign w:val="top"/>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内    容</w:t>
            </w:r>
            <w:r/>
          </w:p>
        </w:tc>
      </w:tr>
      <w:tr>
        <w:trPr>
          <w:trHeight w:val="489"/>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p>
        </w:tc>
        <w:tc>
          <w:tcPr>
            <w:tcW w:w="9030" w:type="dxa"/>
            <w:vAlign w:val="top"/>
            <w:textDirection w:val="lrTb"/>
            <w:noWrap w:val="false"/>
          </w:tcPr>
          <w:p>
            <w:pPr>
              <w:ind w:left="1680" w:hanging="16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采购项目名称：</w:t>
            </w:r>
            <w:r>
              <w:rPr>
                <w:rFonts w:hint="eastAsia" w:ascii="宋体" w:hAnsi="宋体"/>
                <w:bCs/>
                <w:color w:val="auto"/>
                <w:sz w:val="24"/>
                <w:highlight w:val="none"/>
                <w:lang w:eastAsia="zh-CN"/>
              </w:rPr>
              <w:t xml:space="preserve">蠡湖智慧监测“一张网”（数字蠡湖）项目（现场建设）</w:t>
            </w:r>
            <w:r/>
          </w:p>
          <w:p>
            <w:pPr>
              <w:ind w:left="1680" w:hanging="16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采购项目编号：</w:t>
            </w:r>
            <w:r>
              <w:rPr>
                <w:rFonts w:hint="eastAsia" w:ascii="宋体" w:hAnsi="宋体"/>
                <w:bCs/>
                <w:color w:val="auto"/>
                <w:sz w:val="24"/>
                <w:highlight w:val="none"/>
                <w:lang w:eastAsia="zh-CN"/>
              </w:rPr>
              <w:t xml:space="preserve">JSZC-320200-PXGJ-G2026-0032</w:t>
            </w:r>
            <w:r/>
          </w:p>
          <w:p>
            <w:pPr>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采 购 人：</w:t>
            </w:r>
            <w:r>
              <w:rPr>
                <w:rFonts w:hint="eastAsia" w:ascii="宋体" w:hAnsi="宋体"/>
                <w:bCs/>
                <w:color w:val="auto"/>
                <w:sz w:val="24"/>
                <w:highlight w:val="none"/>
                <w:lang w:eastAsia="zh-CN"/>
              </w:rPr>
              <w:t xml:space="preserve">无锡市生态环境局</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采购方式：公开招标</w:t>
            </w:r>
            <w:r/>
          </w:p>
        </w:tc>
      </w:tr>
      <w:tr>
        <w:trPr>
          <w:trHeight w:val="9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p>
        </w:tc>
        <w:tc>
          <w:tcPr>
            <w:tcW w:w="9030" w:type="dxa"/>
            <w:vAlign w:val="top"/>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采购代理机构：普信国际工程咨询有限公司</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地        址：无锡市蠡湖大道2018号普信COPO 2号楼312</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p>
        </w:tc>
        <w:tc>
          <w:tcPr>
            <w:tcW w:w="9030" w:type="dxa"/>
            <w:vAlign w:val="top"/>
            <w:textDirection w:val="lrTb"/>
            <w:noWrap w:val="false"/>
          </w:tcPr>
          <w:p>
            <w:pPr>
              <w:pStyle w:val="974"/>
              <w:spacing w:line="360" w:lineRule="auto"/>
              <w:rPr>
                <w:rFonts w:hint="eastAsia"/>
                <w:color w:val="auto"/>
                <w:highlight w:val="none"/>
              </w:rPr>
            </w:pPr>
            <w:r>
              <w:rPr>
                <w:rFonts w:hint="eastAsia"/>
                <w:color w:val="auto"/>
                <w:highlight w:val="none"/>
              </w:rPr>
              <w:t xml:space="preserve">采购项目概况、要求： </w:t>
            </w:r>
            <w:r/>
          </w:p>
          <w:p>
            <w:pPr>
              <w:pStyle w:val="974"/>
              <w:spacing w:line="360" w:lineRule="auto"/>
              <w:rPr>
                <w:rFonts w:hint="eastAsia" w:hAnsi="Times New Roman" w:eastAsia="宋体" w:cs="Times New Roman"/>
                <w:color w:val="auto"/>
                <w:highlight w:val="none"/>
              </w:rPr>
            </w:pPr>
            <w:r>
              <w:rPr>
                <w:rFonts w:hint="eastAsia" w:hAnsi="Times New Roman" w:eastAsia="宋体" w:cs="Times New Roman"/>
                <w:color w:val="auto"/>
                <w:highlight w:val="none"/>
              </w:rPr>
              <w:t xml:space="preserve">（1）项目概况：</w:t>
            </w:r>
            <w:r>
              <w:rPr>
                <w:rFonts w:hint="eastAsia" w:ascii="宋体" w:hAnsi="宋体" w:eastAsia="宋体" w:cs="宋体"/>
                <w:color w:val="auto"/>
                <w:sz w:val="24"/>
                <w:szCs w:val="24"/>
                <w:highlight w:val="none"/>
                <w:lang w:val="en-US" w:eastAsia="zh-CN"/>
              </w:rPr>
              <w:t xml:space="preserve">本项目建设旨在补齐蠡湖当前监测体系短板，聚焦湖区、主要入湖河流、非重点支流及排</w:t>
            </w:r>
            <w:r>
              <w:rPr>
                <w:rFonts w:hint="eastAsia" w:ascii="宋体" w:hAnsi="宋体" w:eastAsia="宋体" w:cs="宋体"/>
                <w:color w:val="auto"/>
                <w:sz w:val="24"/>
                <w:szCs w:val="24"/>
                <w:highlight w:val="none"/>
                <w:lang w:val="en-US" w:eastAsia="zh-CN"/>
              </w:rPr>
              <w:t xml:space="preserve">污口四大核心区域，通过浮船式水质监测站、微型水质自动监测站、智能无人岸边采样站、自动化实验室等技术手段搭建全域感知网，并辅以人工采样方式对蠡湖水生态现状进行调查，与现有监测能力形成互补，实现湖体生态环境状态的高效、全面跟踪监测，为蠡湖流域水生态环境精准治理、科学决策提供坚实数据支撑。通过本项目的实施，将有效提升蠡湖流域水生态环境监测的智能化、精细化水平，完善“监测-预警-溯源-治理-评估”的闭环管理机制，为蠡湖水环境深度治理、生态修复工程成效评估、蠡湖未来城生态基底筑牢及太湖流域水生态保护提供有力技术保障。</w:t>
            </w:r>
            <w:r/>
          </w:p>
          <w:p>
            <w:pPr>
              <w:pStyle w:val="974"/>
              <w:spacing w:line="360" w:lineRule="auto"/>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供货及安装期</w:t>
            </w:r>
            <w:r>
              <w:rPr>
                <w:rFonts w:hint="eastAsia"/>
                <w:color w:val="auto"/>
                <w:highlight w:val="none"/>
              </w:rPr>
              <w:t xml:space="preserve">：</w:t>
            </w:r>
            <w:r>
              <w:rPr>
                <w:rFonts w:hint="eastAsia"/>
                <w:color w:val="auto"/>
                <w:highlight w:val="none"/>
                <w:lang w:val="en-US" w:eastAsia="zh-CN"/>
              </w:rPr>
              <w:t xml:space="preserve">本项目工期12个月（含试运行3个月），硬件部署、软件开发、软件功能测试和系统联调9个月，上线试运行3个月</w:t>
            </w:r>
            <w:r>
              <w:rPr>
                <w:rFonts w:hint="eastAsia" w:hAnsi="宋体" w:cs="宋体"/>
                <w:color w:val="auto"/>
                <w:szCs w:val="24"/>
                <w:highlight w:val="none"/>
              </w:rPr>
              <w:t xml:space="preserve">。</w:t>
            </w:r>
            <w:r/>
          </w:p>
          <w:p>
            <w:pPr>
              <w:pStyle w:val="974"/>
              <w:spacing w:line="360" w:lineRule="auto"/>
              <w:rPr>
                <w:rFonts w:hint="eastAsia"/>
                <w:color w:val="auto"/>
                <w:highlight w:val="none"/>
              </w:rPr>
            </w:pPr>
            <w:r>
              <w:rPr>
                <w:rFonts w:hint="eastAsia"/>
                <w:color w:val="auto"/>
                <w:highlight w:val="none"/>
              </w:rPr>
              <w:t xml:space="preserve">（3）质量标准：满足采购人需求。</w:t>
            </w:r>
            <w:r/>
          </w:p>
          <w:p>
            <w:pPr>
              <w:pStyle w:val="974"/>
              <w:spacing w:line="360" w:lineRule="auto"/>
              <w:rPr>
                <w:rFonts w:hint="eastAsia"/>
                <w:color w:val="auto"/>
                <w:highlight w:val="none"/>
              </w:rPr>
            </w:pPr>
            <w:r>
              <w:rPr>
                <w:rFonts w:hint="eastAsia"/>
                <w:color w:val="auto"/>
                <w:highlight w:val="none"/>
              </w:rPr>
              <w:t xml:space="preserve">（4）预算价：</w:t>
            </w:r>
            <w:r>
              <w:rPr>
                <w:rFonts w:hint="eastAsia"/>
                <w:color w:val="auto"/>
                <w:highlight w:val="none"/>
                <w:lang w:val="en-US" w:eastAsia="zh-CN"/>
              </w:rPr>
              <w:t xml:space="preserve">1136.22</w:t>
            </w:r>
            <w:r>
              <w:rPr>
                <w:rFonts w:hint="eastAsia"/>
                <w:color w:val="auto"/>
                <w:highlight w:val="none"/>
              </w:rPr>
              <w:t xml:space="preserve">万元。</w:t>
            </w:r>
            <w:r/>
          </w:p>
          <w:p>
            <w:pPr>
              <w:pStyle w:val="974"/>
              <w:spacing w:line="360" w:lineRule="auto"/>
              <w:rPr>
                <w:rFonts w:hint="eastAsia"/>
                <w:color w:val="auto"/>
                <w:highlight w:val="none"/>
              </w:rPr>
            </w:pPr>
            <w:r>
              <w:rPr>
                <w:rFonts w:hint="eastAsia"/>
                <w:color w:val="auto"/>
                <w:highlight w:val="none"/>
              </w:rPr>
              <w:t xml:space="preserve">（5）最高限价：</w:t>
            </w:r>
            <w:r>
              <w:rPr>
                <w:rFonts w:hint="eastAsia"/>
                <w:color w:val="auto"/>
                <w:highlight w:val="none"/>
                <w:lang w:val="en-US" w:eastAsia="zh-CN"/>
              </w:rPr>
              <w:t xml:space="preserve">1136.22</w:t>
            </w:r>
            <w:r>
              <w:rPr>
                <w:rFonts w:hint="eastAsia"/>
                <w:color w:val="auto"/>
                <w:highlight w:val="none"/>
              </w:rPr>
              <w:t xml:space="preserve">万元；</w:t>
            </w:r>
            <w:r>
              <w:rPr>
                <w:rFonts w:hint="eastAsia"/>
                <w:b/>
                <w:bCs/>
                <w:color w:val="auto"/>
                <w:highlight w:val="none"/>
              </w:rPr>
              <w:t xml:space="preserve">投标报价高于最高限价的作为无效投标处理</w:t>
            </w:r>
            <w:r>
              <w:rPr>
                <w:rFonts w:hint="eastAsia"/>
                <w:b/>
                <w:bCs/>
                <w:color w:val="auto"/>
                <w:highlight w:val="none"/>
                <w:lang w:eastAsia="zh-CN"/>
              </w:rPr>
              <w:t xml:space="preserve">，</w:t>
            </w:r>
            <w:r>
              <w:rPr>
                <w:rFonts w:hint="eastAsia"/>
                <w:b/>
                <w:bCs/>
                <w:color w:val="auto"/>
                <w:highlight w:val="none"/>
                <w:lang w:val="en-US" w:eastAsia="zh-CN"/>
              </w:rPr>
              <w:t xml:space="preserve">单项报价高于单项最高限价的</w:t>
            </w:r>
            <w:r>
              <w:rPr>
                <w:rFonts w:hint="eastAsia"/>
                <w:b/>
                <w:bCs/>
                <w:color w:val="auto"/>
                <w:highlight w:val="none"/>
              </w:rPr>
              <w:t xml:space="preserve">作为无效投标处理</w:t>
            </w:r>
            <w:r>
              <w:rPr>
                <w:rFonts w:hint="eastAsia"/>
                <w:color w:val="auto"/>
                <w:highlight w:val="none"/>
              </w:rPr>
              <w:t xml:space="preserve">。</w:t>
            </w:r>
            <w:r/>
          </w:p>
          <w:p>
            <w:pPr>
              <w:pStyle w:val="974"/>
              <w:spacing w:line="360" w:lineRule="auto"/>
              <w:rPr>
                <w:rFonts w:hint="eastAsia" w:hAnsi="Times New Roman" w:eastAsia="宋体" w:cs="Times New Roman"/>
                <w:color w:val="auto"/>
                <w:highlight w:val="none"/>
              </w:rPr>
            </w:pPr>
            <w:r>
              <w:rPr>
                <w:rFonts w:hint="eastAsia"/>
                <w:color w:val="auto"/>
                <w:highlight w:val="none"/>
              </w:rPr>
              <w:t xml:space="preserve">（6）本项目标的所属行</w:t>
            </w:r>
            <w:r>
              <w:rPr>
                <w:rFonts w:hint="eastAsia" w:hAnsi="Times New Roman" w:eastAsia="宋体" w:cs="Times New Roman"/>
                <w:color w:val="auto"/>
                <w:highlight w:val="none"/>
              </w:rPr>
              <w:t xml:space="preserve">业：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74"/>
              <w:spacing w:line="360" w:lineRule="auto"/>
              <w:rPr>
                <w:rFonts w:hint="eastAsia"/>
                <w:color w:val="auto"/>
                <w:highlight w:val="none"/>
              </w:rPr>
            </w:pPr>
            <w:r>
              <w:rPr>
                <w:rFonts w:hint="eastAsia" w:hAnsi="Times New Roman" w:eastAsia="宋体" w:cs="Times New Roman"/>
                <w:color w:val="auto"/>
                <w:highlight w:val="none"/>
              </w:rPr>
              <w:t xml:space="preserve">（7）本项目专</w:t>
            </w:r>
            <w:r>
              <w:rPr>
                <w:rFonts w:hint="eastAsia"/>
                <w:color w:val="auto"/>
                <w:highlight w:val="none"/>
              </w:rPr>
              <w:t xml:space="preserve">门面向中小企业的采购项目。</w:t>
            </w:r>
            <w:r/>
          </w:p>
        </w:tc>
      </w:tr>
      <w:tr>
        <w:trPr>
          <w:trHeight w:val="416"/>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p>
        </w:tc>
        <w:tc>
          <w:tcPr>
            <w:tcW w:w="9030" w:type="dxa"/>
            <w:vAlign w:val="top"/>
            <w:textDirection w:val="lrTb"/>
            <w:noWrap w:val="false"/>
          </w:tcPr>
          <w:p>
            <w:pPr>
              <w:ind w:left="-27" w:firstLine="26"/>
              <w:spacing w:line="360" w:lineRule="auto"/>
              <w:rPr>
                <w:rFonts w:hint="eastAsia"/>
                <w:color w:val="auto"/>
                <w:sz w:val="24"/>
                <w:highlight w:val="none"/>
              </w:rPr>
            </w:pPr>
            <w:r>
              <w:rPr>
                <w:rFonts w:hint="eastAsia" w:ascii="宋体" w:hAnsi="宋体"/>
                <w:color w:val="auto"/>
                <w:sz w:val="24"/>
                <w:highlight w:val="none"/>
              </w:rPr>
              <w:t xml:space="preserve">投标供应商条件：投标供应商参加本次政府采购活动除应当符合《中华人民共和国政府采购法》第二十二条的规</w:t>
            </w:r>
            <w:r>
              <w:rPr>
                <w:rFonts w:hint="eastAsia"/>
                <w:color w:val="auto"/>
                <w:sz w:val="24"/>
                <w:highlight w:val="none"/>
              </w:rPr>
              <w:t xml:space="preserve">定外，还必须具备以下条件：</w:t>
            </w:r>
            <w:r/>
          </w:p>
          <w:p>
            <w:pPr>
              <w:numPr>
                <w:ilvl w:val="0"/>
                <w:numId w:val="7"/>
              </w:numPr>
              <w:ind w:left="-26" w:firstLine="26"/>
              <w:spacing w:line="360" w:lineRule="auto"/>
              <w:rPr>
                <w:rFonts w:hint="eastAsia" w:hAnsi="宋体" w:cs="Arial"/>
                <w:color w:val="auto"/>
                <w:sz w:val="24"/>
                <w:highlight w:val="none"/>
              </w:rPr>
            </w:pPr>
            <w:r>
              <w:rPr>
                <w:rFonts w:hint="eastAsia" w:ascii="宋体" w:hAnsi="宋体"/>
                <w:color w:val="auto"/>
                <w:sz w:val="24"/>
                <w:highlight w:val="none"/>
              </w:rPr>
              <w:t xml:space="preserve">中华人民共和国境内注册的企业法人，具有独立法人资格的法人，且具有独立签订合同的权利和良好履行合同的能力</w:t>
            </w:r>
            <w:r>
              <w:rPr>
                <w:rFonts w:hint="eastAsia" w:hAnsi="宋体" w:cs="Arial"/>
                <w:color w:val="auto"/>
                <w:sz w:val="24"/>
                <w:highlight w:val="none"/>
              </w:rPr>
              <w:t xml:space="preserve">，企业财务状况良好。</w:t>
            </w:r>
            <w:r/>
          </w:p>
          <w:p>
            <w:pPr>
              <w:ind w:left="-27" w:firstLine="26"/>
              <w:spacing w:line="360" w:lineRule="auto"/>
              <w:rPr>
                <w:rFonts w:hint="eastAsia" w:ascii="宋体" w:hAnsi="宋体" w:cs="宋体"/>
                <w:color w:val="auto"/>
                <w:sz w:val="24"/>
                <w:highlight w:val="none"/>
              </w:rPr>
            </w:pPr>
            <w:r>
              <w:rPr>
                <w:rFonts w:hint="eastAsia" w:hAnsi="宋体" w:cs="Arial"/>
                <w:color w:val="auto"/>
                <w:sz w:val="24"/>
                <w:highlight w:val="none"/>
              </w:rPr>
              <w:t xml:space="preserve">2）本项目不接受联合体投标。</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w:t>
            </w:r>
            <w:r/>
          </w:p>
        </w:tc>
        <w:tc>
          <w:tcPr>
            <w:tcW w:w="9030" w:type="dxa"/>
            <w:vAlign w:val="top"/>
            <w:textDirection w:val="lrTb"/>
            <w:noWrap w:val="false"/>
          </w:tcPr>
          <w:p>
            <w:pPr>
              <w:jc w:val="left"/>
              <w:spacing w:line="360" w:lineRule="auto"/>
              <w:rPr>
                <w:rFonts w:ascii="宋体" w:hAnsi="宋体"/>
                <w:color w:val="auto"/>
                <w:sz w:val="24"/>
                <w:highlight w:val="none"/>
              </w:rPr>
            </w:pPr>
            <w:r>
              <w:rPr>
                <w:rFonts w:hint="eastAsia" w:ascii="宋体" w:hAnsi="宋体"/>
                <w:color w:val="auto"/>
                <w:sz w:val="24"/>
                <w:highlight w:val="none"/>
              </w:rPr>
              <w:t xml:space="preserve">1.采购文件获取时间：自本公告发布之日起五个工作日内（法定假日除外）。五个工作日后仍可下载招标文件，但不作为供应商权益受到损害的证明材料和依据。</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2.获取采购文件的方式和地点：本项目采用网上注册登记方式，网上注册登记成功后系统内免费下载。</w:t>
            </w:r>
            <w:r/>
          </w:p>
          <w:p>
            <w:pPr>
              <w:ind w:left="-59"/>
              <w:spacing w:line="360" w:lineRule="auto"/>
              <w:rPr>
                <w:rFonts w:hint="eastAsia" w:ascii="宋体" w:hAnsi="宋体"/>
                <w:bCs/>
                <w:color w:val="auto"/>
                <w:sz w:val="24"/>
                <w:highlight w:val="none"/>
              </w:rPr>
            </w:pPr>
            <w:r>
              <w:rPr>
                <w:rFonts w:hint="eastAsia" w:ascii="宋体" w:hAnsi="宋体"/>
                <w:color w:val="auto"/>
                <w:sz w:val="24"/>
                <w:highlight w:val="none"/>
              </w:rPr>
              <w:t xml:space="preserve">供应商应承担其编制投标文件以及递交投标文件所涉及的一切费用。无论投标结果如何，</w:t>
            </w:r>
            <w:r>
              <w:rPr>
                <w:rFonts w:hint="eastAsia" w:ascii="宋体" w:hAnsi="宋体"/>
                <w:color w:val="auto"/>
                <w:sz w:val="24"/>
                <w:highlight w:val="none"/>
                <w:lang w:eastAsia="zh-CN"/>
              </w:rPr>
              <w:t xml:space="preserve">采购方</w:t>
            </w:r>
            <w:r>
              <w:rPr>
                <w:rFonts w:hint="eastAsia" w:ascii="宋体" w:hAnsi="宋体"/>
                <w:color w:val="auto"/>
                <w:sz w:val="24"/>
                <w:highlight w:val="none"/>
              </w:rPr>
              <w:t xml:space="preserve">对上述费用不负任何责任。</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6</w:t>
            </w:r>
            <w:r/>
          </w:p>
        </w:tc>
        <w:tc>
          <w:tcPr>
            <w:tcW w:w="9030" w:type="dxa"/>
            <w:vAlign w:val="top"/>
            <w:textDirection w:val="lrTb"/>
            <w:noWrap w:val="false"/>
          </w:tcPr>
          <w:p>
            <w:pPr>
              <w:spacing w:line="420" w:lineRule="exact"/>
              <w:rPr>
                <w:rFonts w:hint="eastAsia" w:hAnsi="宋体"/>
                <w:bCs/>
                <w:color w:val="auto"/>
                <w:sz w:val="24"/>
                <w:highlight w:val="none"/>
              </w:rPr>
            </w:pPr>
            <w:r>
              <w:rPr>
                <w:rFonts w:hint="eastAsia" w:hAnsi="宋体"/>
                <w:bCs/>
                <w:color w:val="auto"/>
                <w:sz w:val="24"/>
                <w:highlight w:val="none"/>
              </w:rPr>
              <w:t xml:space="preserve">提疑截止时间：202</w:t>
            </w:r>
            <w:r>
              <w:rPr>
                <w:rFonts w:hint="eastAsia" w:hAnsi="宋体"/>
                <w:bCs/>
                <w:color w:val="auto"/>
                <w:sz w:val="24"/>
                <w:highlight w:val="none"/>
                <w:lang w:val="en-US" w:eastAsia="zh-CN"/>
              </w:rPr>
              <w:t xml:space="preserve">6</w:t>
            </w:r>
            <w:r>
              <w:rPr>
                <w:rFonts w:hint="eastAsia" w:hAnsi="宋体"/>
                <w:bCs/>
                <w:color w:val="auto"/>
                <w:sz w:val="24"/>
                <w:highlight w:val="none"/>
              </w:rPr>
              <w:t xml:space="preserve">年</w:t>
            </w:r>
            <w:r>
              <w:rPr>
                <w:rFonts w:hint="eastAsia" w:hAnsi="宋体"/>
                <w:bCs/>
                <w:color w:val="auto"/>
                <w:sz w:val="24"/>
                <w:highlight w:val="none"/>
                <w:lang w:val="en-US" w:eastAsia="zh-CN"/>
              </w:rPr>
              <w:t xml:space="preserve">5</w:t>
            </w:r>
            <w:r>
              <w:rPr>
                <w:rFonts w:hint="eastAsia" w:hAnsi="宋体"/>
                <w:bCs/>
                <w:color w:val="auto"/>
                <w:sz w:val="24"/>
                <w:highlight w:val="none"/>
              </w:rPr>
              <w:t xml:space="preserve">月</w:t>
            </w:r>
            <w:r>
              <w:rPr>
                <w:rFonts w:hint="eastAsia" w:hAnsi="宋体"/>
                <w:bCs/>
                <w:color w:val="auto"/>
                <w:sz w:val="24"/>
                <w:highlight w:val="none"/>
                <w:lang w:val="en-US" w:eastAsia="zh-CN"/>
              </w:rPr>
              <w:t xml:space="preserve">26</w:t>
            </w:r>
            <w:r>
              <w:rPr>
                <w:rFonts w:hint="eastAsia" w:hAnsi="宋体"/>
                <w:bCs/>
                <w:color w:val="auto"/>
                <w:sz w:val="24"/>
                <w:highlight w:val="none"/>
              </w:rPr>
              <w:t xml:space="preserve">日16:00时前；以书面及电子文档形式同时送至采购代理机构。邮箱：825107487@qq.com</w:t>
            </w:r>
            <w:r/>
          </w:p>
          <w:p>
            <w:pPr>
              <w:spacing w:line="420" w:lineRule="exact"/>
              <w:rPr>
                <w:rFonts w:hint="eastAsia" w:ascii="宋体" w:hAnsi="宋体"/>
                <w:bCs/>
                <w:color w:val="auto"/>
                <w:sz w:val="24"/>
                <w:highlight w:val="none"/>
              </w:rPr>
            </w:pPr>
            <w:r>
              <w:rPr>
                <w:rFonts w:hint="eastAsia" w:hAnsi="宋体"/>
                <w:bCs/>
                <w:color w:val="auto"/>
                <w:sz w:val="24"/>
                <w:highlight w:val="none"/>
              </w:rPr>
              <w:t xml:space="preserve">答疑时间：202</w:t>
            </w:r>
            <w:r>
              <w:rPr>
                <w:rFonts w:hint="eastAsia" w:hAnsi="宋体"/>
                <w:bCs/>
                <w:color w:val="auto"/>
                <w:sz w:val="24"/>
                <w:highlight w:val="none"/>
                <w:lang w:val="en-US" w:eastAsia="zh-CN"/>
              </w:rPr>
              <w:t xml:space="preserve">6</w:t>
            </w:r>
            <w:r>
              <w:rPr>
                <w:rFonts w:hint="eastAsia" w:hAnsi="宋体"/>
                <w:bCs/>
                <w:color w:val="auto"/>
                <w:sz w:val="24"/>
                <w:highlight w:val="none"/>
              </w:rPr>
              <w:t xml:space="preserve">年</w:t>
            </w:r>
            <w:r>
              <w:rPr>
                <w:rFonts w:hint="eastAsia" w:hAnsi="宋体"/>
                <w:bCs/>
                <w:color w:val="auto"/>
                <w:sz w:val="24"/>
                <w:highlight w:val="none"/>
                <w:lang w:val="en-US" w:eastAsia="zh-CN"/>
              </w:rPr>
              <w:t xml:space="preserve">5</w:t>
            </w:r>
            <w:r>
              <w:rPr>
                <w:rFonts w:hint="eastAsia" w:hAnsi="宋体"/>
                <w:bCs/>
                <w:color w:val="auto"/>
                <w:sz w:val="24"/>
                <w:highlight w:val="none"/>
              </w:rPr>
              <w:t xml:space="preserve">月</w:t>
            </w:r>
            <w:r>
              <w:rPr>
                <w:rFonts w:hint="eastAsia" w:hAnsi="宋体"/>
                <w:bCs/>
                <w:color w:val="auto"/>
                <w:sz w:val="24"/>
                <w:highlight w:val="none"/>
                <w:lang w:val="en-US" w:eastAsia="zh-CN"/>
              </w:rPr>
              <w:t xml:space="preserve">26</w:t>
            </w:r>
            <w:r>
              <w:rPr>
                <w:rFonts w:hint="eastAsia" w:hAnsi="宋体"/>
                <w:bCs/>
                <w:color w:val="auto"/>
                <w:sz w:val="24"/>
                <w:highlight w:val="none"/>
              </w:rPr>
              <w:t xml:space="preserve">日17：00</w:t>
            </w:r>
            <w:r/>
          </w:p>
        </w:tc>
      </w:tr>
      <w:tr>
        <w:trPr>
          <w:trHeight w:val="458"/>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7</w:t>
            </w:r>
            <w:r/>
          </w:p>
        </w:tc>
        <w:tc>
          <w:tcPr>
            <w:tcW w:w="9030" w:type="dxa"/>
            <w:vAlign w:val="top"/>
            <w:textDirection w:val="lrTb"/>
            <w:noWrap w:val="false"/>
          </w:tcPr>
          <w:p>
            <w:pPr>
              <w:ind w:left="-27" w:firstLine="26"/>
              <w:spacing w:line="360" w:lineRule="auto"/>
              <w:rPr>
                <w:rFonts w:hint="eastAsia" w:ascii="宋体" w:hAnsi="宋体"/>
                <w:color w:val="auto"/>
                <w:sz w:val="24"/>
                <w:highlight w:val="none"/>
              </w:rPr>
            </w:pPr>
            <w:r>
              <w:rPr>
                <w:rFonts w:hint="eastAsia" w:ascii="宋体" w:hAnsi="宋体" w:cs="宋体"/>
                <w:bCs/>
                <w:color w:val="auto"/>
                <w:sz w:val="24"/>
                <w:highlight w:val="none"/>
              </w:rPr>
              <w:t xml:space="preserve">本项目不需要缴纳投标保证金。</w:t>
            </w:r>
            <w:r/>
          </w:p>
        </w:tc>
      </w:tr>
      <w:tr>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8</w:t>
            </w:r>
            <w:r/>
          </w:p>
        </w:tc>
        <w:tc>
          <w:tcPr>
            <w:tcW w:w="9030" w:type="dxa"/>
            <w:vAlign w:val="top"/>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投标有效期：开标之日起90天</w:t>
            </w:r>
            <w:r/>
          </w:p>
        </w:tc>
      </w:tr>
      <w:tr>
        <w:trPr>
          <w:trHeight w:val="509"/>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w:t>
            </w:r>
            <w:r/>
          </w:p>
        </w:tc>
        <w:tc>
          <w:tcPr>
            <w:tcW w:w="9030" w:type="dxa"/>
            <w:vAlign w:val="top"/>
            <w:textDirection w:val="lrTb"/>
            <w:noWrap w:val="false"/>
          </w:tcPr>
          <w:p>
            <w:pPr>
              <w:spacing w:line="360" w:lineRule="auto"/>
              <w:widowControl/>
              <w:rPr>
                <w:rFonts w:ascii="宋体" w:hAnsi="宋体"/>
                <w:color w:val="auto"/>
                <w:sz w:val="24"/>
                <w:highlight w:val="none"/>
              </w:rPr>
            </w:pPr>
            <w:r>
              <w:rPr>
                <w:rFonts w:hint="eastAsia" w:ascii="宋体" w:hAnsi="宋体"/>
                <w:color w:val="auto"/>
                <w:sz w:val="24"/>
                <w:highlight w:val="none"/>
              </w:rPr>
              <w:t xml:space="preserve">1、网上投标截止时间：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日13:30</w:t>
            </w:r>
            <w:r>
              <w:rPr>
                <w:rFonts w:hint="eastAsia" w:ascii="宋体" w:hAnsi="宋体"/>
                <w:color w:val="auto"/>
                <w:sz w:val="24"/>
                <w:highlight w:val="none"/>
              </w:rPr>
              <w:t xml:space="preserve">，投标截止时间后的投标文件恕不接受。</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2、网上投标解密时间：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日13:30</w:t>
            </w:r>
            <w:r>
              <w:rPr>
                <w:rFonts w:hint="eastAsia" w:ascii="宋体" w:hAnsi="宋体"/>
                <w:color w:val="auto"/>
                <w:sz w:val="24"/>
                <w:highlight w:val="none"/>
              </w:rPr>
              <w:t xml:space="preserve">，</w:t>
            </w:r>
            <w:r>
              <w:rPr>
                <w:rFonts w:ascii="宋体" w:hAnsi="宋体"/>
                <w:b/>
                <w:color w:val="auto"/>
                <w:sz w:val="24"/>
                <w:highlight w:val="none"/>
              </w:rPr>
              <w:t xml:space="preserve">解密时限</w:t>
            </w:r>
            <w:r>
              <w:rPr>
                <w:rFonts w:hint="eastAsia" w:ascii="宋体" w:hAnsi="宋体"/>
                <w:b/>
                <w:color w:val="auto"/>
                <w:sz w:val="24"/>
                <w:highlight w:val="none"/>
              </w:rPr>
              <w:t xml:space="preserve">：开启解密后3</w:t>
            </w:r>
            <w:r>
              <w:rPr>
                <w:rFonts w:ascii="宋体" w:hAnsi="宋体"/>
                <w:b/>
                <w:color w:val="auto"/>
                <w:sz w:val="24"/>
                <w:highlight w:val="none"/>
              </w:rPr>
              <w:t xml:space="preserve">0分钟</w:t>
            </w:r>
            <w:r>
              <w:rPr>
                <w:rFonts w:hint="eastAsia" w:ascii="宋体" w:hAnsi="宋体"/>
                <w:b/>
                <w:color w:val="auto"/>
                <w:sz w:val="24"/>
                <w:highlight w:val="none"/>
              </w:rPr>
              <w:t xml:space="preserve">。</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3、投标文件提交地点：</w:t>
            </w:r>
            <w:r>
              <w:rPr>
                <w:rFonts w:hint="eastAsia" w:ascii="宋体" w:hAnsi="宋体" w:cs="宋体"/>
                <w:color w:val="auto"/>
                <w:sz w:val="24"/>
                <w:highlight w:val="none"/>
                <w:shd w:val="clear" w:color="auto" w:fill="ffffff"/>
              </w:rPr>
              <w:t xml:space="preserve">江苏省政府采购（苏采云）平台投标，线上不见面开标。</w:t>
            </w:r>
            <w:r/>
          </w:p>
          <w:p>
            <w:pPr>
              <w:spacing w:line="360" w:lineRule="auto"/>
              <w:widowControl/>
              <w:rPr>
                <w:rFonts w:ascii="宋体" w:hAnsi="宋体"/>
                <w:b/>
                <w:color w:val="auto"/>
                <w:sz w:val="24"/>
                <w:highlight w:val="none"/>
              </w:rPr>
            </w:pPr>
            <w:r>
              <w:rPr>
                <w:rFonts w:hint="eastAsia" w:ascii="宋体" w:hAnsi="宋体"/>
                <w:b/>
                <w:color w:val="auto"/>
                <w:sz w:val="24"/>
                <w:highlight w:val="none"/>
              </w:rPr>
              <w:t xml:space="preserve">特别提醒：</w:t>
            </w:r>
            <w:r/>
          </w:p>
          <w:p>
            <w:pPr>
              <w:ind w:left="1"/>
              <w:spacing w:line="360" w:lineRule="auto"/>
              <w:rPr>
                <w:rFonts w:ascii="宋体" w:hAnsi="宋体"/>
                <w:color w:val="auto"/>
                <w:sz w:val="24"/>
                <w:highlight w:val="none"/>
              </w:rPr>
            </w:pPr>
            <w:r>
              <w:rPr>
                <w:rFonts w:hint="eastAsia" w:ascii="宋体" w:hAnsi="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 xml:space="preserve">具体操作流程详见《“苏采云”系统供应商操作手册》。</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w:t>
            </w:r>
            <w:r/>
          </w:p>
        </w:tc>
        <w:tc>
          <w:tcPr>
            <w:tcW w:w="9030" w:type="dxa"/>
            <w:vAlign w:val="top"/>
            <w:textDirection w:val="lrTb"/>
            <w:noWrap w:val="false"/>
          </w:tcPr>
          <w:p>
            <w:pPr>
              <w:ind w:left="1"/>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评审时间：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日</w:t>
            </w:r>
            <w:r>
              <w:rPr>
                <w:rFonts w:hint="eastAsia" w:ascii="宋体" w:hAnsi="宋体" w:cs="宋体"/>
                <w:bCs/>
                <w:color w:val="auto"/>
                <w:sz w:val="24"/>
                <w:highlight w:val="none"/>
                <w:lang w:val="zh-CN"/>
              </w:rPr>
              <w:t xml:space="preserve">唱标结束后  </w:t>
            </w:r>
            <w:r/>
          </w:p>
          <w:p>
            <w:pPr>
              <w:ind w:left="1"/>
              <w:spacing w:line="360" w:lineRule="auto"/>
              <w:rPr>
                <w:rFonts w:ascii="宋体" w:hAnsi="宋体"/>
                <w:color w:val="auto"/>
                <w:sz w:val="24"/>
                <w:highlight w:val="none"/>
              </w:rPr>
            </w:pPr>
            <w:r>
              <w:rPr>
                <w:rFonts w:hint="eastAsia" w:ascii="宋体" w:hAnsi="宋体" w:cs="宋体"/>
                <w:bCs/>
                <w:color w:val="auto"/>
                <w:sz w:val="24"/>
                <w:highlight w:val="none"/>
              </w:rPr>
              <w:t xml:space="preserve">评审地点：无锡市蠡湖大道2018号2号楼</w:t>
            </w:r>
            <w:r>
              <w:rPr>
                <w:rFonts w:hint="eastAsia" w:ascii="宋体" w:hAnsi="宋体" w:cs="宋体"/>
                <w:bCs/>
                <w:color w:val="auto"/>
                <w:sz w:val="24"/>
                <w:highlight w:val="none"/>
                <w:lang w:val="en-US" w:eastAsia="zh-CN"/>
              </w:rPr>
              <w:t xml:space="preserve">421</w:t>
            </w:r>
            <w:r>
              <w:rPr>
                <w:rFonts w:hint="eastAsia" w:ascii="宋体" w:hAnsi="宋体" w:cs="宋体"/>
                <w:bCs/>
                <w:color w:val="auto"/>
                <w:sz w:val="24"/>
                <w:highlight w:val="none"/>
              </w:rPr>
              <w:t xml:space="preserve">会议室</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11</w:t>
            </w:r>
            <w:r/>
          </w:p>
        </w:tc>
        <w:tc>
          <w:tcPr>
            <w:tcW w:w="9030" w:type="dxa"/>
            <w:vAlign w:val="top"/>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定标时间：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日</w:t>
            </w:r>
            <w:r>
              <w:rPr>
                <w:rFonts w:hint="eastAsia" w:ascii="宋体" w:hAnsi="宋体"/>
                <w:bCs/>
                <w:color w:val="auto"/>
                <w:sz w:val="24"/>
                <w:highlight w:val="none"/>
              </w:rPr>
              <w:t xml:space="preserve">评标结</w:t>
            </w:r>
            <w:bookmarkStart w:id="782" w:name="_GoBack"/>
            <w:r/>
            <w:bookmarkEnd w:id="782"/>
            <w:r>
              <w:rPr>
                <w:rFonts w:hint="eastAsia" w:ascii="宋体" w:hAnsi="宋体"/>
                <w:bCs/>
                <w:color w:val="auto"/>
                <w:sz w:val="24"/>
                <w:highlight w:val="none"/>
              </w:rPr>
              <w:t xml:space="preserve">束</w:t>
            </w:r>
            <w:r/>
          </w:p>
          <w:p>
            <w:pPr>
              <w:ind w:left="1"/>
              <w:spacing w:line="360" w:lineRule="auto"/>
              <w:rPr>
                <w:rFonts w:hint="eastAsia" w:ascii="宋体" w:hAnsi="宋体"/>
                <w:color w:val="auto"/>
                <w:sz w:val="24"/>
                <w:highlight w:val="none"/>
              </w:rPr>
            </w:pPr>
            <w:r>
              <w:rPr>
                <w:rFonts w:hint="eastAsia" w:ascii="宋体" w:hAnsi="宋体"/>
                <w:bCs/>
                <w:color w:val="auto"/>
                <w:sz w:val="24"/>
                <w:highlight w:val="none"/>
              </w:rPr>
              <w:t xml:space="preserve">定标地</w:t>
            </w:r>
            <w:r>
              <w:rPr>
                <w:rFonts w:hint="eastAsia" w:ascii="宋体" w:hAnsi="宋体"/>
                <w:color w:val="auto"/>
                <w:sz w:val="24"/>
                <w:highlight w:val="none"/>
              </w:rPr>
              <w:t xml:space="preserve">点：无锡市蠡湖大道2018号2号楼</w:t>
            </w:r>
            <w:r>
              <w:rPr>
                <w:rFonts w:hint="eastAsia" w:ascii="宋体" w:hAnsi="宋体" w:cs="宋体"/>
                <w:bCs/>
                <w:color w:val="auto"/>
                <w:sz w:val="24"/>
                <w:highlight w:val="none"/>
                <w:lang w:val="en-US" w:eastAsia="zh-CN"/>
              </w:rPr>
              <w:t xml:space="preserve">421</w:t>
            </w:r>
            <w:r>
              <w:rPr>
                <w:rFonts w:hint="eastAsia" w:ascii="宋体" w:hAnsi="宋体" w:cs="宋体"/>
                <w:bCs/>
                <w:color w:val="auto"/>
                <w:sz w:val="24"/>
                <w:highlight w:val="none"/>
              </w:rPr>
              <w:t xml:space="preserve">会议室</w:t>
            </w:r>
            <w:r/>
          </w:p>
        </w:tc>
      </w:tr>
      <w:tr>
        <w:trPr>
          <w:trHeight w:val="665"/>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w:t>
            </w:r>
            <w:r/>
          </w:p>
        </w:tc>
        <w:tc>
          <w:tcPr>
            <w:tcW w:w="9030" w:type="dxa"/>
            <w:vAlign w:val="center"/>
            <w:textDirection w:val="lrTb"/>
            <w:noWrap w:val="false"/>
          </w:tcPr>
          <w:p>
            <w:pPr>
              <w:spacing w:line="360" w:lineRule="auto"/>
              <w:widowControl/>
              <w:rPr>
                <w:rFonts w:ascii="宋体" w:hAnsi="宋体"/>
                <w:color w:val="auto"/>
                <w:sz w:val="24"/>
                <w:highlight w:val="none"/>
              </w:rPr>
            </w:pPr>
            <w:r>
              <w:rPr>
                <w:rFonts w:hint="eastAsia" w:ascii="宋体" w:hAnsi="宋体"/>
                <w:color w:val="auto"/>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bCs/>
                <w:color w:val="auto"/>
                <w:sz w:val="24"/>
                <w:highlight w:val="none"/>
              </w:rPr>
            </w:pPr>
            <w:r>
              <w:rPr>
                <w:rFonts w:hint="eastAsia" w:ascii="宋体" w:hAnsi="宋体"/>
                <w:color w:val="auto"/>
                <w:sz w:val="24"/>
                <w:highlight w:val="none"/>
              </w:rPr>
              <w:t xml:space="preserve">本项目为线上不见面采购，投标供应商无需到开标现场及递交纸质文件。中标供应商在收到中标通知书后与</w:t>
            </w:r>
            <w:r>
              <w:rPr>
                <w:rFonts w:hint="eastAsia" w:ascii="宋体" w:hAnsi="宋体"/>
                <w:color w:val="auto"/>
                <w:sz w:val="24"/>
                <w:highlight w:val="none"/>
                <w:lang w:eastAsia="zh-CN"/>
              </w:rPr>
              <w:t xml:space="preserve">采购方</w:t>
            </w:r>
            <w:r>
              <w:rPr>
                <w:rFonts w:hint="eastAsia" w:ascii="宋体" w:hAnsi="宋体"/>
                <w:color w:val="auto"/>
                <w:sz w:val="24"/>
                <w:highlight w:val="none"/>
              </w:rPr>
              <w:t xml:space="preserve">签订合同前，必须提供与系统中电子投标文件一致的纸质投标文件正本一份，副本二份。</w:t>
            </w:r>
            <w:r/>
          </w:p>
        </w:tc>
      </w:tr>
      <w:tr>
        <w:trPr>
          <w:cantSplit/>
          <w:trHeight w:val="168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w:t>
            </w:r>
            <w:r/>
          </w:p>
        </w:tc>
        <w:tc>
          <w:tcPr>
            <w:tcW w:w="9030" w:type="dxa"/>
            <w:vAlign w:val="top"/>
            <w:textDirection w:val="lrTb"/>
            <w:noWrap w:val="false"/>
          </w:tcPr>
          <w:p>
            <w:pPr>
              <w:spacing w:after="120"/>
              <w:rPr>
                <w:rFonts w:hint="eastAsia" w:ascii="宋体" w:hAnsi="宋体" w:cs="宋体"/>
                <w:color w:val="auto"/>
                <w:sz w:val="24"/>
                <w:highlight w:val="none"/>
              </w:rPr>
            </w:pPr>
            <w:r>
              <w:rPr>
                <w:rFonts w:hint="eastAsia" w:ascii="宋体" w:hAnsi="宋体" w:cs="宋体"/>
                <w:bCs/>
                <w:color w:val="auto"/>
                <w:sz w:val="24"/>
                <w:highlight w:val="none"/>
              </w:rPr>
              <w:t xml:space="preserve">有关本次招标活动程序方面的</w:t>
            </w:r>
            <w:r>
              <w:rPr>
                <w:rFonts w:hint="eastAsia" w:ascii="宋体" w:hAnsi="宋体" w:cs="宋体"/>
                <w:color w:val="auto"/>
                <w:sz w:val="24"/>
                <w:highlight w:val="none"/>
              </w:rPr>
              <w:t xml:space="preserve">问题,可来人、来函（传真）或电话联系。</w:t>
            </w:r>
            <w:r/>
          </w:p>
          <w:p>
            <w:pPr>
              <w:spacing w:after="120"/>
              <w:rPr>
                <w:rFonts w:hint="eastAsia" w:ascii="宋体" w:hAnsi="宋体" w:cs="宋体"/>
                <w:color w:val="auto"/>
                <w:sz w:val="24"/>
                <w:highlight w:val="none"/>
              </w:rPr>
            </w:pPr>
            <w:r>
              <w:rPr>
                <w:rFonts w:hint="eastAsia" w:ascii="宋体" w:hAnsi="宋体" w:cs="宋体"/>
                <w:color w:val="auto"/>
                <w:sz w:val="24"/>
                <w:highlight w:val="none"/>
              </w:rPr>
              <w:t xml:space="preserve">联系地址：普信国际工程咨询有限公司（滨湖区蠡湖大道2018号</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号楼</w:t>
            </w:r>
            <w:r>
              <w:rPr>
                <w:rFonts w:hint="eastAsia" w:ascii="宋体" w:hAnsi="宋体" w:cs="宋体"/>
                <w:color w:val="auto"/>
                <w:sz w:val="24"/>
                <w:highlight w:val="none"/>
                <w:lang w:val="en-US" w:eastAsia="zh-CN"/>
              </w:rPr>
              <w:t xml:space="preserve">1807</w:t>
            </w:r>
            <w:r>
              <w:rPr>
                <w:rFonts w:hint="eastAsia" w:ascii="宋体" w:hAnsi="宋体" w:cs="宋体"/>
                <w:color w:val="auto"/>
                <w:sz w:val="24"/>
                <w:highlight w:val="none"/>
              </w:rPr>
              <w:t xml:space="preserve">室）</w:t>
            </w:r>
            <w:r/>
          </w:p>
          <w:p>
            <w:pPr>
              <w:spacing w:after="120"/>
              <w:rPr>
                <w:rFonts w:hint="eastAsia" w:ascii="宋体" w:hAnsi="宋体" w:cs="宋体"/>
                <w:bCs/>
                <w:color w:val="auto"/>
                <w:sz w:val="24"/>
                <w:highlight w:val="none"/>
              </w:rPr>
            </w:pPr>
            <w:r>
              <w:rPr>
                <w:rFonts w:hint="eastAsia" w:ascii="宋体" w:hAnsi="宋体" w:cs="宋体"/>
                <w:bCs/>
                <w:color w:val="auto"/>
                <w:sz w:val="24"/>
                <w:highlight w:val="none"/>
              </w:rPr>
              <w:t xml:space="preserve">联系人：王奕 、孙荣新、王圆逸</w:t>
            </w:r>
            <w:r/>
          </w:p>
          <w:p>
            <w:pPr>
              <w:rPr>
                <w:rFonts w:hint="eastAsia" w:ascii="宋体" w:hAnsi="宋体"/>
                <w:bCs/>
                <w:color w:val="auto"/>
                <w:sz w:val="24"/>
                <w:highlight w:val="none"/>
              </w:rPr>
            </w:pP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lang w:eastAsia="zh-CN"/>
              </w:rPr>
              <w:t xml:space="preserve">0510-82703504</w:t>
            </w:r>
            <w:r/>
          </w:p>
        </w:tc>
      </w:tr>
      <w:tr>
        <w:trPr>
          <w:cantSplit/>
          <w:trHeight w:val="449"/>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14</w:t>
            </w:r>
            <w:r/>
          </w:p>
        </w:tc>
        <w:tc>
          <w:tcPr>
            <w:tcW w:w="9030" w:type="dxa"/>
            <w:vAlign w:val="top"/>
            <w:textDirection w:val="lrTb"/>
            <w:noWrap w:val="false"/>
          </w:tcPr>
          <w:p>
            <w:pPr>
              <w:rPr>
                <w:rFonts w:hint="eastAsia" w:ascii="宋体" w:hAnsi="宋体"/>
                <w:bCs/>
                <w:color w:val="auto"/>
                <w:sz w:val="24"/>
                <w:highlight w:val="none"/>
              </w:rPr>
            </w:pPr>
            <w:r>
              <w:rPr>
                <w:rFonts w:hint="eastAsia" w:ascii="宋体" w:hAnsi="宋体"/>
                <w:color w:val="auto"/>
                <w:sz w:val="24"/>
                <w:highlight w:val="none"/>
              </w:rPr>
              <w:t xml:space="preserve">资金来源：财政资金</w:t>
            </w:r>
            <w:r/>
          </w:p>
        </w:tc>
      </w:tr>
    </w:tbl>
    <w:p>
      <w:pPr>
        <w:jc w:val="center"/>
        <w:spacing w:line="360" w:lineRule="auto"/>
        <w:rPr>
          <w:rFonts w:hint="eastAsia" w:ascii="黑体" w:eastAsia="黑体"/>
          <w:b/>
          <w:bCs/>
          <w:color w:val="auto"/>
          <w:sz w:val="32"/>
          <w:szCs w:val="32"/>
          <w:highlight w:val="none"/>
        </w:rPr>
      </w:pPr>
      <w:r>
        <w:rPr>
          <w:rFonts w:hint="eastAsia" w:ascii="黑体" w:eastAsia="黑体"/>
          <w:b/>
          <w:bCs/>
          <w:color w:val="auto"/>
          <w:sz w:val="32"/>
          <w:szCs w:val="32"/>
          <w:highlight w:val="none"/>
        </w:rPr>
        <w:br w:type="page" w:clear="all"/>
      </w:r>
      <w:r>
        <w:rPr>
          <w:rFonts w:hint="eastAsia" w:ascii="黑体" w:eastAsia="黑体"/>
          <w:b/>
          <w:bCs/>
          <w:color w:val="auto"/>
          <w:sz w:val="32"/>
          <w:szCs w:val="32"/>
          <w:highlight w:val="none"/>
          <w:lang w:eastAsia="zh-CN"/>
        </w:rPr>
        <w:t xml:space="preserve">二、</w:t>
      </w:r>
      <w:r>
        <w:rPr>
          <w:rFonts w:hint="eastAsia" w:ascii="黑体" w:eastAsia="黑体"/>
          <w:b/>
          <w:bCs/>
          <w:color w:val="auto"/>
          <w:sz w:val="32"/>
          <w:szCs w:val="32"/>
          <w:highlight w:val="none"/>
        </w:rPr>
        <w:t xml:space="preserve">投标供应商须知</w:t>
      </w:r>
      <w:r/>
    </w:p>
    <w:p>
      <w:pPr>
        <w:numPr>
          <w:ilvl w:val="0"/>
          <w:numId w:val="8"/>
        </w:numPr>
        <w:ind w:left="0" w:firstLine="420"/>
        <w:spacing w:line="360" w:lineRule="auto"/>
        <w:tabs>
          <w:tab w:val="left" w:pos="735" w:leader="none"/>
        </w:tabs>
        <w:rPr>
          <w:rFonts w:ascii="黑体" w:hAnsi="宋体" w:eastAsia="黑体"/>
          <w:bCs/>
          <w:color w:val="auto"/>
          <w:sz w:val="24"/>
          <w:highlight w:val="none"/>
        </w:rPr>
      </w:pPr>
      <w:r>
        <w:rPr>
          <w:rFonts w:hint="eastAsia" w:ascii="黑体" w:hAnsi="宋体" w:eastAsia="黑体"/>
          <w:bCs/>
          <w:color w:val="auto"/>
          <w:sz w:val="24"/>
          <w:highlight w:val="none"/>
        </w:rPr>
        <w:t xml:space="preserve">遵循原则：</w:t>
      </w:r>
      <w:r/>
    </w:p>
    <w:p>
      <w:pPr>
        <w:ind w:firstLine="523"/>
        <w:spacing w:line="360" w:lineRule="auto"/>
        <w:rPr>
          <w:rFonts w:ascii="黑体" w:hAnsi="宋体" w:eastAsia="黑体"/>
          <w:bCs/>
          <w:color w:val="auto"/>
          <w:sz w:val="24"/>
          <w:highlight w:val="none"/>
        </w:rPr>
      </w:pPr>
      <w:r>
        <w:rPr>
          <w:rFonts w:hint="eastAsia" w:ascii="宋体" w:hAnsi="宋体"/>
          <w:bCs/>
          <w:color w:val="auto"/>
          <w:sz w:val="24"/>
          <w:highlight w:val="none"/>
        </w:rPr>
        <w:t xml:space="preserve">公开透明原则、公平竞争原则、公正原则和诚实信用原则。</w:t>
      </w:r>
      <w:r/>
    </w:p>
    <w:p>
      <w:pPr>
        <w:numPr>
          <w:ilvl w:val="0"/>
          <w:numId w:val="8"/>
        </w:numPr>
        <w:ind w:left="0" w:firstLine="420"/>
        <w:spacing w:line="360" w:lineRule="auto"/>
        <w:tabs>
          <w:tab w:val="left" w:pos="735" w:leader="none"/>
        </w:tabs>
        <w:rPr>
          <w:rFonts w:ascii="黑体" w:hAnsi="宋体" w:eastAsia="黑体"/>
          <w:bCs/>
          <w:color w:val="auto"/>
          <w:sz w:val="24"/>
          <w:highlight w:val="none"/>
        </w:rPr>
      </w:pPr>
      <w:r>
        <w:rPr>
          <w:rFonts w:hint="eastAsia" w:ascii="黑体" w:hAnsi="宋体" w:eastAsia="黑体"/>
          <w:bCs/>
          <w:color w:val="auto"/>
          <w:sz w:val="24"/>
          <w:highlight w:val="none"/>
        </w:rPr>
        <w:t xml:space="preserve">招标文件：</w:t>
      </w:r>
      <w:r/>
    </w:p>
    <w:p>
      <w:pPr>
        <w:numPr>
          <w:ilvl w:val="0"/>
          <w:numId w:val="9"/>
        </w:numPr>
        <w:spacing w:line="360" w:lineRule="auto"/>
        <w:rPr>
          <w:rFonts w:ascii="宋体" w:hAnsi="宋体"/>
          <w:bCs/>
          <w:color w:val="auto"/>
          <w:sz w:val="24"/>
          <w:highlight w:val="none"/>
        </w:rPr>
      </w:pPr>
      <w:r>
        <w:rPr>
          <w:rFonts w:hint="eastAsia" w:ascii="宋体" w:hAnsi="宋体"/>
          <w:bCs/>
          <w:color w:val="auto"/>
          <w:sz w:val="24"/>
          <w:highlight w:val="none"/>
        </w:rPr>
        <w:t xml:space="preserve">招标文件包括本文件目录所列全部内容，投标人应仔细阅读，并在投标文件中充分响应招标文件的所有要求。</w:t>
      </w:r>
      <w:r/>
    </w:p>
    <w:p>
      <w:pPr>
        <w:numPr>
          <w:ilvl w:val="0"/>
          <w:numId w:val="9"/>
        </w:numPr>
        <w:spacing w:line="360" w:lineRule="auto"/>
        <w:rPr>
          <w:rFonts w:ascii="宋体" w:hAnsi="宋体"/>
          <w:bCs/>
          <w:color w:val="auto"/>
          <w:sz w:val="24"/>
          <w:highlight w:val="none"/>
        </w:rPr>
      </w:pPr>
      <w:r>
        <w:rPr>
          <w:rFonts w:hint="eastAsia" w:ascii="宋体" w:hAnsi="宋体"/>
          <w:color w:val="auto"/>
          <w:sz w:val="24"/>
          <w:highlight w:val="none"/>
        </w:rPr>
        <w:t xml:space="preserve">投标</w:t>
      </w:r>
      <w:r>
        <w:rPr>
          <w:rFonts w:hint="eastAsia" w:ascii="宋体" w:hAnsi="宋体"/>
          <w:color w:val="auto"/>
          <w:sz w:val="24"/>
          <w:highlight w:val="none"/>
          <w:lang w:val="zh-CN"/>
        </w:rPr>
        <w:t xml:space="preserve">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olor w:val="auto"/>
          <w:sz w:val="24"/>
          <w:highlight w:val="none"/>
        </w:rPr>
        <w:t xml:space="preserve">江苏省政府采购（苏采云）平台 （</w:t>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olor w:val="auto"/>
          <w:sz w:val="24"/>
          <w:highlight w:val="none"/>
          <w:lang w:val="zh-CN"/>
        </w:rPr>
        <w:t xml:space="preserve">在线申请获取采购文件</w:t>
      </w:r>
      <w:r>
        <w:rPr>
          <w:rFonts w:hint="eastAsia" w:ascii="宋体" w:hAnsi="宋体"/>
          <w:color w:val="auto"/>
          <w:sz w:val="24"/>
          <w:highlight w:val="none"/>
        </w:rPr>
        <w:t xml:space="preserve">及有关资料，</w:t>
      </w:r>
      <w:r>
        <w:rPr>
          <w:rFonts w:hint="eastAsia" w:hAnsi="宋体"/>
          <w:color w:val="auto"/>
          <w:sz w:val="24"/>
          <w:highlight w:val="none"/>
        </w:rPr>
        <w:t xml:space="preserve">按采购文件要求提交全部资料并对采购文件各项内容做出实质性响应，否则投标无效</w:t>
      </w:r>
      <w:r>
        <w:rPr>
          <w:rFonts w:hint="eastAsia" w:ascii="宋体" w:hAnsi="宋体"/>
          <w:color w:val="auto"/>
          <w:sz w:val="24"/>
          <w:highlight w:val="none"/>
          <w:lang w:val="zh-CN"/>
        </w:rPr>
        <w:t xml:space="preserve">。</w:t>
      </w:r>
      <w:r/>
    </w:p>
    <w:p>
      <w:pPr>
        <w:numPr>
          <w:ilvl w:val="0"/>
          <w:numId w:val="9"/>
        </w:numPr>
        <w:spacing w:line="360" w:lineRule="auto"/>
        <w:rPr>
          <w:rFonts w:ascii="宋体" w:hAnsi="宋体"/>
          <w:bCs/>
          <w:color w:val="auto"/>
          <w:sz w:val="24"/>
          <w:highlight w:val="none"/>
        </w:rPr>
      </w:pPr>
      <w:r>
        <w:rPr>
          <w:rFonts w:hint="eastAsia" w:ascii="宋体" w:hAnsi="宋体"/>
          <w:bCs/>
          <w:color w:val="auto"/>
          <w:sz w:val="24"/>
          <w:highlight w:val="none"/>
        </w:rPr>
        <w:t xml:space="preserve">投标人一旦参加本项目投标，即表明承诺接受了本招标文件中的所有条件和规定。</w:t>
      </w:r>
      <w:r/>
    </w:p>
    <w:p>
      <w:pPr>
        <w:numPr>
          <w:ilvl w:val="0"/>
          <w:numId w:val="9"/>
        </w:numPr>
        <w:spacing w:line="360" w:lineRule="auto"/>
        <w:rPr>
          <w:rFonts w:ascii="宋体" w:hAnsi="宋体"/>
          <w:bCs/>
          <w:color w:val="auto"/>
          <w:sz w:val="24"/>
          <w:highlight w:val="none"/>
        </w:rPr>
      </w:pPr>
      <w:r>
        <w:rPr>
          <w:rFonts w:hint="eastAsia" w:ascii="宋体" w:hAnsi="宋体"/>
          <w:bCs/>
          <w:color w:val="auto"/>
          <w:sz w:val="24"/>
          <w:highlight w:val="none"/>
        </w:rPr>
        <w:t xml:space="preserve">招标文件仅作为本次招投标使用。</w:t>
      </w:r>
      <w:r/>
    </w:p>
    <w:p>
      <w:pPr>
        <w:ind w:left="-2" w:firstLine="420"/>
        <w:spacing w:line="360" w:lineRule="auto"/>
        <w:tabs>
          <w:tab w:val="left" w:pos="630" w:leader="none"/>
        </w:tabs>
        <w:rPr>
          <w:rFonts w:ascii="黑体" w:hAnsi="宋体" w:eastAsia="黑体"/>
          <w:bCs/>
          <w:color w:val="auto"/>
          <w:sz w:val="24"/>
          <w:highlight w:val="none"/>
        </w:rPr>
      </w:pPr>
      <w:r>
        <w:rPr>
          <w:rFonts w:hint="eastAsia" w:ascii="黑体" w:hAnsi="宋体" w:eastAsia="黑体"/>
          <w:bCs/>
          <w:color w:val="auto"/>
          <w:sz w:val="24"/>
          <w:highlight w:val="none"/>
        </w:rPr>
        <w:t xml:space="preserve">（三） 招标文件的解释：</w:t>
      </w:r>
      <w:r/>
    </w:p>
    <w:p>
      <w:pPr>
        <w:numPr>
          <w:ilvl w:val="2"/>
          <w:numId w:val="8"/>
        </w:numPr>
        <w:ind w:left="0" w:firstLine="628"/>
        <w:spacing w:line="360" w:lineRule="auto"/>
        <w:tabs>
          <w:tab w:val="left" w:pos="525" w:leader="none"/>
          <w:tab w:val="left" w:pos="1050" w:leader="none"/>
        </w:tabs>
        <w:rPr>
          <w:rFonts w:ascii="宋体" w:hAnsi="宋体"/>
          <w:bCs/>
          <w:color w:val="auto"/>
          <w:sz w:val="24"/>
          <w:highlight w:val="none"/>
        </w:rPr>
      </w:pPr>
      <w:r>
        <w:rPr>
          <w:rFonts w:hint="eastAsia" w:ascii="宋体" w:hAnsi="宋体"/>
          <w:color w:val="auto"/>
          <w:sz w:val="24"/>
          <w:highlight w:val="none"/>
        </w:rPr>
        <w:t xml:space="preserve">投标供应商如有需要对采购文件要求澄清的问题，请以书面提出，并按“投标邀请函”第6项规定的时间将电子邮件送</w:t>
      </w:r>
      <w:r>
        <w:rPr>
          <w:rFonts w:hint="eastAsia" w:ascii="宋体" w:hAnsi="宋体"/>
          <w:bCs/>
          <w:color w:val="auto"/>
          <w:sz w:val="24"/>
          <w:highlight w:val="none"/>
        </w:rPr>
        <w:t xml:space="preserve">至普信国际工程咨询有限公司。</w:t>
      </w:r>
      <w:r/>
    </w:p>
    <w:p>
      <w:pPr>
        <w:ind w:firstLine="600"/>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E-mail:825107487@qq.com</w:t>
      </w:r>
      <w:r/>
    </w:p>
    <w:p>
      <w:pPr>
        <w:numPr>
          <w:ilvl w:val="2"/>
          <w:numId w:val="8"/>
        </w:numPr>
        <w:ind w:left="0" w:firstLine="628"/>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lang w:eastAsia="zh-CN"/>
        </w:rPr>
        <w:t xml:space="preserve">采购方</w:t>
      </w:r>
      <w:r>
        <w:rPr>
          <w:rFonts w:hint="eastAsia" w:ascii="宋体" w:hAnsi="宋体"/>
          <w:bCs/>
          <w:color w:val="auto"/>
          <w:sz w:val="24"/>
          <w:highlight w:val="none"/>
        </w:rPr>
        <w:t xml:space="preserve">、普信国际工程咨询有限公司将</w:t>
      </w:r>
      <w:r>
        <w:rPr>
          <w:rFonts w:hint="eastAsia" w:ascii="宋体" w:hAnsi="宋体"/>
          <w:color w:val="auto"/>
          <w:sz w:val="24"/>
          <w:highlight w:val="none"/>
        </w:rPr>
        <w:t xml:space="preserve">按“投标邀请函”第6项规定的时间对投标供应商针对采购文件书面提出的要求澄清的问题进行书面答疑</w:t>
      </w:r>
      <w:r>
        <w:rPr>
          <w:rFonts w:hint="eastAsia" w:ascii="宋体" w:hAnsi="宋体"/>
          <w:bCs/>
          <w:color w:val="auto"/>
          <w:sz w:val="24"/>
          <w:highlight w:val="none"/>
        </w:rPr>
        <w:t xml:space="preserve">。</w:t>
      </w:r>
      <w:r/>
    </w:p>
    <w:p>
      <w:pPr>
        <w:numPr>
          <w:ilvl w:val="2"/>
          <w:numId w:val="8"/>
        </w:numPr>
        <w:ind w:left="0" w:firstLine="628"/>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本文件的最终解释权归</w:t>
      </w:r>
      <w:r>
        <w:rPr>
          <w:rFonts w:hint="eastAsia" w:ascii="宋体" w:hAnsi="宋体"/>
          <w:bCs/>
          <w:color w:val="auto"/>
          <w:sz w:val="24"/>
          <w:highlight w:val="none"/>
          <w:lang w:eastAsia="zh-CN"/>
        </w:rPr>
        <w:t xml:space="preserve">采购方</w:t>
      </w:r>
      <w:r>
        <w:rPr>
          <w:rFonts w:hint="eastAsia" w:ascii="宋体" w:hAnsi="宋体"/>
          <w:bCs/>
          <w:color w:val="auto"/>
          <w:sz w:val="24"/>
          <w:highlight w:val="none"/>
        </w:rPr>
        <w:t xml:space="preserve">。</w:t>
      </w:r>
      <w:r/>
    </w:p>
    <w:p>
      <w:pPr>
        <w:numPr>
          <w:ilvl w:val="0"/>
          <w:numId w:val="10"/>
        </w:numPr>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 xml:space="preserve">招标文件的补充或修正：</w:t>
      </w:r>
      <w:r/>
    </w:p>
    <w:p>
      <w:pPr>
        <w:ind w:firstLine="480"/>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eastAsia="zh-CN"/>
        </w:rPr>
        <w:t xml:space="preserve">采购方</w:t>
      </w:r>
      <w:r>
        <w:rPr>
          <w:rFonts w:ascii="宋体" w:hAnsi="宋体"/>
          <w:bCs/>
          <w:color w:val="auto"/>
          <w:sz w:val="24"/>
          <w:highlight w:val="none"/>
        </w:rPr>
        <w:t xml:space="preserve">或者采购代理机构可以对已发出的采购文件进行必要的澄清或者修改，但不得改变采购标的和资格条件。如需对采购文件进行澄清或修正，</w:t>
      </w:r>
      <w:r>
        <w:rPr>
          <w:rFonts w:hint="eastAsia" w:ascii="宋体" w:hAnsi="宋体"/>
          <w:bCs/>
          <w:color w:val="auto"/>
          <w:sz w:val="24"/>
          <w:highlight w:val="none"/>
        </w:rPr>
        <w:t xml:space="preserve">普信国际工程咨询有限公司</w:t>
      </w:r>
      <w:r>
        <w:rPr>
          <w:rFonts w:ascii="宋体" w:hAnsi="宋体"/>
          <w:bCs/>
          <w:color w:val="auto"/>
          <w:sz w:val="24"/>
          <w:highlight w:val="none"/>
        </w:rPr>
        <w:t xml:space="preserve">将在财政部门指定的政府采购信息发布媒体上（</w:t>
      </w:r>
      <w:r>
        <w:rPr>
          <w:rFonts w:hint="eastAsia" w:ascii="宋体" w:hAnsi="宋体"/>
          <w:bCs/>
          <w:color w:val="auto"/>
          <w:sz w:val="24"/>
          <w:highlight w:val="none"/>
        </w:rPr>
        <w:t xml:space="preserve">江苏省政府采购网、中国政府采购网</w:t>
      </w:r>
      <w:r>
        <w:rPr>
          <w:rFonts w:ascii="宋体" w:hAnsi="宋体"/>
          <w:bCs/>
          <w:color w:val="auto"/>
          <w:sz w:val="24"/>
          <w:highlight w:val="none"/>
        </w:rPr>
        <w:t xml:space="preserve">）发布更正公告并书面通知已报名单位，该澄清或修正的内容为采购文件的组成部分。投标供应商应在投标截止时间前关注原招标公告媒体上发布的相关更正公告。请采购文件的收受人下载此更正公告后，于投标截止日前书面回函（传真件）</w:t>
      </w:r>
      <w:r>
        <w:rPr>
          <w:rFonts w:hint="eastAsia" w:ascii="宋体" w:hAnsi="宋体"/>
          <w:bCs/>
          <w:color w:val="auto"/>
          <w:sz w:val="24"/>
          <w:highlight w:val="none"/>
        </w:rPr>
        <w:t xml:space="preserve">普信国际工程咨询有限公司</w:t>
      </w:r>
      <w:r>
        <w:rPr>
          <w:rFonts w:ascii="宋体" w:hAnsi="宋体"/>
          <w:bCs/>
          <w:color w:val="auto"/>
          <w:sz w:val="24"/>
          <w:highlight w:val="none"/>
        </w:rPr>
        <w:t xml:space="preserve">，逾期不回视同收到此公告。澄清或者修改的内容为采购文件的组成部分</w:t>
      </w:r>
      <w:r>
        <w:rPr>
          <w:rFonts w:hint="eastAsia" w:ascii="宋体" w:hAnsi="宋体"/>
          <w:bCs/>
          <w:color w:val="auto"/>
          <w:sz w:val="24"/>
          <w:highlight w:val="none"/>
        </w:rPr>
        <w:t xml:space="preserve">。</w:t>
      </w:r>
      <w:r/>
    </w:p>
    <w:p>
      <w:pPr>
        <w:ind w:firstLine="480"/>
        <w:spacing w:line="360" w:lineRule="auto"/>
        <w:tabs>
          <w:tab w:val="left" w:pos="525" w:leader="none"/>
          <w:tab w:val="left" w:pos="1050" w:leader="none"/>
        </w:tabs>
        <w:rPr>
          <w:rFonts w:ascii="宋体" w:hAnsi="宋体"/>
          <w:bCs/>
          <w:color w:val="auto"/>
          <w:sz w:val="24"/>
          <w:highlight w:val="none"/>
        </w:rPr>
      </w:pPr>
      <w:r>
        <w:rPr>
          <w:rFonts w:hAnsi="宋体"/>
          <w:bCs/>
          <w:color w:val="auto"/>
          <w:sz w:val="24"/>
          <w:highlight w:val="none"/>
        </w:rPr>
        <w:t xml:space="preserve">2</w:t>
      </w:r>
      <w:r>
        <w:rPr>
          <w:rFonts w:hint="eastAsia" w:hAnsi="宋体"/>
          <w:bCs/>
          <w:color w:val="auto"/>
          <w:sz w:val="24"/>
          <w:highlight w:val="none"/>
        </w:rPr>
        <w:t xml:space="preserve">、</w:t>
      </w:r>
      <w:r>
        <w:rPr>
          <w:rFonts w:hAnsi="宋体"/>
          <w:bCs/>
          <w:color w:val="auto"/>
          <w:sz w:val="24"/>
          <w:highlight w:val="none"/>
        </w:rPr>
        <w:t xml:space="preserve">澄清或者修改的内容可能影响投标文件编制的，</w:t>
      </w:r>
      <w:r>
        <w:rPr>
          <w:rFonts w:hint="eastAsia" w:hAnsi="宋体"/>
          <w:bCs/>
          <w:color w:val="auto"/>
          <w:sz w:val="24"/>
          <w:highlight w:val="none"/>
          <w:lang w:eastAsia="zh-CN"/>
        </w:rPr>
        <w:t xml:space="preserve">采购方</w:t>
      </w:r>
      <w:r>
        <w:rPr>
          <w:rFonts w:hAnsi="宋体"/>
          <w:bCs/>
          <w:color w:val="auto"/>
          <w:sz w:val="24"/>
          <w:highlight w:val="none"/>
        </w:rPr>
        <w:t xml:space="preserve">或者采购代理机构将</w:t>
      </w:r>
      <w:r>
        <w:rPr>
          <w:rFonts w:hint="eastAsia" w:ascii="宋体" w:hAnsi="宋体"/>
          <w:bCs/>
          <w:color w:val="auto"/>
          <w:sz w:val="24"/>
          <w:highlight w:val="none"/>
        </w:rPr>
        <w:t xml:space="preserve">在投标截止时间十五日前对招标文件进行必要的澄清或者修改，不足十五日的，将顺延提交投标文件的截止时间和开标日期</w:t>
      </w:r>
      <w:r>
        <w:rPr>
          <w:bCs/>
          <w:color w:val="auto"/>
          <w:sz w:val="24"/>
          <w:highlight w:val="none"/>
        </w:rPr>
        <w:t xml:space="preserve">。</w:t>
      </w:r>
      <w:r/>
    </w:p>
    <w:p>
      <w:pPr>
        <w:numPr>
          <w:ilvl w:val="0"/>
          <w:numId w:val="0"/>
        </w:numPr>
        <w:ind w:left="418"/>
        <w:spacing w:line="360" w:lineRule="auto"/>
        <w:rPr>
          <w:rFonts w:hint="eastAsia" w:ascii="Times New Roman" w:hAnsi="宋体" w:eastAsia="宋体" w:cs="宋体"/>
          <w:b/>
          <w:bCs/>
          <w:color w:val="auto"/>
          <w:sz w:val="24"/>
          <w:highlight w:val="none"/>
        </w:rPr>
      </w:pPr>
      <w:r>
        <w:rPr>
          <w:rFonts w:hint="eastAsia" w:ascii="Times New Roman" w:hAnsi="宋体" w:eastAsia="宋体" w:cs="宋体"/>
          <w:b/>
          <w:bCs/>
          <w:color w:val="auto"/>
          <w:sz w:val="24"/>
          <w:highlight w:val="none"/>
        </w:rPr>
        <w:t xml:space="preserve">投标文件的组成：相应内容上传至投标客户端。</w:t>
      </w:r>
      <w:r/>
    </w:p>
    <w:p>
      <w:pPr>
        <w:ind w:left="418" w:firstLine="482"/>
        <w:spacing w:line="360" w:lineRule="auto"/>
        <w:rPr>
          <w:rFonts w:hint="eastAsia"/>
          <w:color w:val="auto"/>
          <w:highlight w:val="none"/>
        </w:rPr>
      </w:pPr>
      <w:r>
        <w:rPr>
          <w:rFonts w:hint="eastAsia" w:hAnsi="宋体" w:cs="宋体"/>
          <w:b/>
          <w:bCs/>
          <w:color w:val="auto"/>
          <w:sz w:val="24"/>
          <w:highlight w:val="none"/>
        </w:rPr>
        <w:t xml:space="preserve">投标文件的明标部分：</w:t>
      </w:r>
      <w:r/>
    </w:p>
    <w:p>
      <w:pPr>
        <w:ind w:left="840"/>
        <w:spacing w:after="120" w:line="360" w:lineRule="auto"/>
        <w:rPr>
          <w:rFonts w:ascii="宋体" w:hAnsi="宋体" w:cs="宋体"/>
          <w:color w:val="auto"/>
          <w:sz w:val="24"/>
          <w:highlight w:val="none"/>
        </w:rPr>
      </w:pPr>
      <w:r>
        <w:rPr>
          <w:rFonts w:hint="eastAsia" w:ascii="宋体" w:hAnsi="宋体" w:cs="宋体"/>
          <w:color w:val="auto"/>
          <w:sz w:val="24"/>
          <w:highlight w:val="none"/>
        </w:rPr>
        <w:t xml:space="preserve">1、证明文件</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关于资格的声明函</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（格式见附件）；</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投标供应商法定代表人授权委托书</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（法定代表人亲自参与投标的除外，格式见附件）；</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投标供应商法定代表人身份证</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及被授权代表身份证</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具有独立承担民事责任能力的投标供应商营业执照</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投标人近三个月中任意一个月份（不含投标当月）的依法缴纳税收的相关材料（提供相关主管部门证明或银行代扣证明）</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投标人近三个月中任意一个月份（不含投标当月）的依法缴纳社会保障资金的相关材料（提供相关主管部门证明或银行代扣证明）</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报价供应商近三个月中任意一个月份（不含投标当月）的财务状况报告（资产负债表、利润表）或由会计师事务所出具的202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或2025年度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审计报告</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承诺书原件扫描件（格式见附件）</w:t>
      </w:r>
      <w:r>
        <w:rPr>
          <w:rFonts w:hint="eastAsia" w:ascii="宋体" w:hAnsi="宋体" w:cs="宋体"/>
          <w:bCs/>
          <w:color w:val="auto"/>
          <w:sz w:val="24"/>
          <w:highlight w:val="none"/>
          <w:lang w:eastAsia="zh-CN"/>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中小企业声明函原件扫描件（格式见附件）。</w:t>
      </w:r>
      <w:r/>
    </w:p>
    <w:p>
      <w:pPr>
        <w:ind w:left="840"/>
        <w:spacing w:after="120"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补充证明文件</w:t>
      </w:r>
      <w:r/>
    </w:p>
    <w:p>
      <w:pPr>
        <w:numPr>
          <w:ilvl w:val="0"/>
          <w:numId w:val="12"/>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投标单位情况说明表原件扫描件（格式见附件）</w:t>
      </w:r>
      <w:r/>
    </w:p>
    <w:p>
      <w:pPr>
        <w:numPr>
          <w:ilvl w:val="0"/>
          <w:numId w:val="12"/>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残疾人福利性单位声明函</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（供应商为残疾人福利性单位的必须提供，格式见附件）。</w:t>
      </w:r>
      <w:r/>
    </w:p>
    <w:p>
      <w:pPr>
        <w:numPr>
          <w:ilvl w:val="0"/>
          <w:numId w:val="12"/>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由省级以上监狱管理局、戒毒管理局出具的属于监狱企业的证明文件</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（如是）。</w:t>
      </w:r>
      <w:r/>
    </w:p>
    <w:p>
      <w:pPr>
        <w:numPr>
          <w:ilvl w:val="0"/>
          <w:numId w:val="12"/>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；（如是）</w:t>
      </w:r>
      <w:r/>
    </w:p>
    <w:p>
      <w:pPr>
        <w:ind w:firstLine="482"/>
        <w:spacing w:line="360" w:lineRule="auto"/>
        <w:tabs>
          <w:tab w:val="left" w:pos="1050" w:leader="none"/>
        </w:tabs>
        <w:rPr>
          <w:rFonts w:ascii="宋体" w:hAnsi="宋体" w:cs="宋体"/>
          <w:b/>
          <w:color w:val="auto"/>
          <w:sz w:val="24"/>
          <w:highlight w:val="none"/>
        </w:rPr>
      </w:pPr>
      <w:r>
        <w:rPr>
          <w:rFonts w:hint="eastAsia" w:ascii="宋体" w:hAnsi="宋体" w:cs="宋体"/>
          <w:b/>
          <w:color w:val="auto"/>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3、投标函部分</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投标函（格式见附件）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开标一览表（格式见附件）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明细报价表（格式见附件）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偏差表（格式见附件）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要求采购人提供的配合（如有自拟并自行添加）</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评分标准中对应的</w:t>
      </w:r>
      <w:r>
        <w:rPr>
          <w:rFonts w:hint="eastAsia" w:ascii="宋体" w:hAnsi="宋体"/>
          <w:bCs/>
          <w:color w:val="auto"/>
          <w:sz w:val="24"/>
          <w:highlight w:val="none"/>
          <w:lang w:eastAsia="zh-CN"/>
        </w:rPr>
        <w:t xml:space="preserve">其他所需</w:t>
      </w:r>
      <w:r>
        <w:rPr>
          <w:rFonts w:hint="eastAsia" w:ascii="宋体" w:hAnsi="宋体"/>
          <w:bCs/>
          <w:color w:val="auto"/>
          <w:sz w:val="24"/>
          <w:highlight w:val="none"/>
        </w:rPr>
        <w:t xml:space="preserve">证明材料（如有自行添加）（以上未提供格式的自行编制格式）</w:t>
      </w:r>
      <w:r/>
    </w:p>
    <w:p>
      <w:p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
          <w:color w:val="auto"/>
          <w:sz w:val="24"/>
          <w:highlight w:val="none"/>
        </w:rPr>
        <w:t xml:space="preserve">投标文件的暗标部分：</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4、技术部分</w:t>
      </w:r>
      <w:r/>
    </w:p>
    <w:p>
      <w:pPr>
        <w:numPr>
          <w:ilvl w:val="0"/>
          <w:numId w:val="14"/>
        </w:numPr>
        <w:spacing w:line="360" w:lineRule="auto"/>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项目需求分析方案</w:t>
      </w:r>
      <w:r/>
    </w:p>
    <w:p>
      <w:pPr>
        <w:numPr>
          <w:ilvl w:val="0"/>
          <w:numId w:val="14"/>
        </w:numPr>
        <w:spacing w:line="360" w:lineRule="auto"/>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项目实施方案</w:t>
      </w:r>
      <w:r/>
    </w:p>
    <w:p>
      <w:pPr>
        <w:numPr>
          <w:ilvl w:val="0"/>
          <w:numId w:val="14"/>
        </w:numPr>
        <w:spacing w:line="360" w:lineRule="auto"/>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自动化实验室设备集成方案</w:t>
      </w:r>
      <w:r/>
    </w:p>
    <w:p>
      <w:pPr>
        <w:numPr>
          <w:ilvl w:val="0"/>
          <w:numId w:val="14"/>
        </w:numPr>
        <w:spacing w:line="360" w:lineRule="auto"/>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运行维护与售后服务方案</w:t>
      </w:r>
      <w:r/>
    </w:p>
    <w:p>
      <w:pPr>
        <w:spacing w:line="360" w:lineRule="auto"/>
        <w:rPr>
          <w:rFonts w:ascii="宋体" w:hAnsi="宋体"/>
          <w:color w:val="auto"/>
          <w:sz w:val="24"/>
          <w:szCs w:val="28"/>
          <w:highlight w:val="none"/>
        </w:rPr>
      </w:pPr>
      <w:r>
        <w:rPr>
          <w:rFonts w:hint="eastAsia" w:ascii="黑体" w:hAnsi="宋体" w:eastAsia="黑体"/>
          <w:bCs/>
          <w:color w:val="auto"/>
          <w:sz w:val="24"/>
          <w:highlight w:val="none"/>
        </w:rPr>
        <w:t xml:space="preserve">   （六）投标报价说明：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bookmarkStart w:id="1" w:name="_Hlk496085485"/>
      <w:r>
        <w:rPr>
          <w:rFonts w:hint="eastAsia" w:ascii="宋体" w:hAnsi="宋体"/>
          <w:bCs/>
          <w:color w:val="auto"/>
          <w:sz w:val="24"/>
          <w:highlight w:val="none"/>
        </w:rPr>
        <w:t xml:space="preserve">总报价包括满足本项目要求的所有产品及其配件、包装、运杂、</w:t>
      </w:r>
      <w:r>
        <w:rPr>
          <w:rFonts w:hint="eastAsia" w:ascii="宋体" w:hAnsi="宋体"/>
          <w:color w:val="auto"/>
          <w:sz w:val="24"/>
          <w:szCs w:val="28"/>
          <w:highlight w:val="none"/>
        </w:rPr>
        <w:t xml:space="preserve">人工费、</w:t>
      </w:r>
      <w:r>
        <w:rPr>
          <w:rFonts w:hint="eastAsia" w:ascii="宋体" w:hAnsi="宋体" w:cs="宋体"/>
          <w:color w:val="auto"/>
          <w:sz w:val="24"/>
          <w:highlight w:val="none"/>
        </w:rPr>
        <w:t xml:space="preserve">运输、保管、检验、到货验收合格、税费、保修期内的售后服务</w:t>
      </w:r>
      <w:r>
        <w:rPr>
          <w:rFonts w:hint="eastAsia" w:ascii="宋体" w:hAnsi="宋体"/>
          <w:bCs/>
          <w:color w:val="auto"/>
          <w:sz w:val="24"/>
          <w:highlight w:val="none"/>
        </w:rPr>
        <w:t xml:space="preserve">等从项目成交起到项目正式交付以及免费质保期内所发生的一切费用</w:t>
      </w:r>
      <w:r>
        <w:rPr>
          <w:rFonts w:hint="eastAsia" w:ascii="宋体" w:hAnsi="宋体"/>
          <w:color w:val="auto"/>
          <w:sz w:val="24"/>
          <w:szCs w:val="28"/>
          <w:highlight w:val="none"/>
        </w:rPr>
        <w:t xml:space="preserve">。</w:t>
      </w:r>
      <w:bookmarkEnd w:id="1"/>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供应商应结合本企业的技术水平、管理水平、市场风险自主报价。供应商自行承担投标费用，无论成交与否，采购人不作解释。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、经评标委员会认定投标供应商的投标报价明显低于其他通过符合性审查投标供应</w:t>
      </w:r>
      <w:r>
        <w:rPr>
          <w:rFonts w:hint="eastAsia" w:ascii="宋体" w:hAnsi="宋体" w:eastAsia="宋体" w:cs="Times New Roman"/>
          <w:color w:val="auto"/>
          <w:sz w:val="24"/>
          <w:highlight w:val="none"/>
        </w:rPr>
        <w:t xml:space="preserve">商的报价，有可能影响产品质量或者不能诚信履约，要求其在合理的时间</w:t>
      </w:r>
      <w:r>
        <w:rPr>
          <w:rFonts w:hint="eastAsia" w:ascii="宋体" w:hAnsi="宋体" w:eastAsia="宋体" w:cs="Times New Roman"/>
          <w:color w:val="auto"/>
          <w:sz w:val="24"/>
          <w:highlight w:val="none"/>
          <w:lang w:val="en-US" w:eastAsia="zh-CN"/>
        </w:rPr>
        <w:t xml:space="preserve">内（自江苏省政府采购（苏采云）平台通知之时起一小时内）</w:t>
      </w:r>
      <w:r>
        <w:rPr>
          <w:rFonts w:hint="eastAsia" w:ascii="宋体" w:hAnsi="宋体" w:eastAsia="宋体" w:cs="Times New Roman"/>
          <w:color w:val="auto"/>
          <w:sz w:val="24"/>
          <w:highlight w:val="none"/>
        </w:rPr>
        <w:t xml:space="preserve">提供书面说明，并提交相关证明材料。投标供应商不能证明其报价合理性的，评标委员会当将</w:t>
      </w:r>
      <w:r>
        <w:rPr>
          <w:rFonts w:hint="eastAsia" w:ascii="宋体" w:hAnsi="宋体"/>
          <w:color w:val="auto"/>
          <w:sz w:val="24"/>
          <w:highlight w:val="none"/>
        </w:rPr>
        <w:t xml:space="preserve">其作为无效标书处理。</w:t>
      </w:r>
      <w:r/>
    </w:p>
    <w:p>
      <w:pPr>
        <w:numPr>
          <w:ilvl w:val="0"/>
          <w:numId w:val="15"/>
        </w:numPr>
        <w:ind w:hanging="774"/>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 xml:space="preserve">投标文件的要求：</w:t>
      </w:r>
      <w:r/>
    </w:p>
    <w:p>
      <w:pPr>
        <w:ind w:firstLine="480"/>
        <w:jc w:val="left"/>
        <w:spacing w:line="360" w:lineRule="auto"/>
        <w:rPr>
          <w:rFonts w:hAnsi="宋体"/>
          <w:color w:val="auto"/>
          <w:sz w:val="24"/>
          <w:highlight w:val="none"/>
        </w:rPr>
      </w:pPr>
      <w:r>
        <w:rPr>
          <w:rFonts w:hAnsi="宋体"/>
          <w:color w:val="auto"/>
          <w:sz w:val="24"/>
          <w:highlight w:val="none"/>
        </w:rPr>
        <w:t xml:space="preserve">1.</w:t>
      </w:r>
      <w:r>
        <w:rPr>
          <w:rFonts w:hint="eastAsia" w:hAnsi="宋体"/>
          <w:color w:val="auto"/>
          <w:sz w:val="24"/>
          <w:highlight w:val="none"/>
        </w:rPr>
        <w:t xml:space="preserve">所有文件、往来函件均应使用简体中文（规格、型号辅助符号除外）。</w:t>
      </w:r>
      <w:r/>
    </w:p>
    <w:p>
      <w:pPr>
        <w:ind w:firstLine="480"/>
        <w:jc w:val="left"/>
        <w:spacing w:line="360" w:lineRule="auto"/>
        <w:rPr>
          <w:rFonts w:hAnsi="宋体"/>
          <w:color w:val="auto"/>
          <w:sz w:val="24"/>
          <w:highlight w:val="none"/>
        </w:rPr>
      </w:pPr>
      <w:r>
        <w:rPr>
          <w:rFonts w:hAnsi="宋体"/>
          <w:color w:val="auto"/>
          <w:sz w:val="24"/>
          <w:highlight w:val="none"/>
        </w:rPr>
        <w:t xml:space="preserve">2.</w:t>
      </w:r>
      <w:r>
        <w:rPr>
          <w:rFonts w:hint="eastAsia"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hAnsi="宋体"/>
          <w:color w:val="auto"/>
          <w:sz w:val="24"/>
          <w:highlight w:val="none"/>
        </w:rPr>
      </w:pPr>
      <w:r>
        <w:rPr>
          <w:rFonts w:hAnsi="宋体"/>
          <w:color w:val="auto"/>
          <w:sz w:val="24"/>
          <w:highlight w:val="none"/>
        </w:rPr>
        <w:t xml:space="preserve">3.</w:t>
      </w:r>
      <w:r>
        <w:rPr>
          <w:rFonts w:hint="eastAsia" w:hAnsi="宋体"/>
          <w:color w:val="auto"/>
          <w:sz w:val="24"/>
          <w:highlight w:val="none"/>
        </w:rPr>
        <w:t xml:space="preserve">投标供应商报价一律以人民币为报价结算货币，结算单位为“元”。</w:t>
      </w:r>
      <w:r/>
    </w:p>
    <w:p>
      <w:pPr>
        <w:ind w:firstLine="480"/>
        <w:jc w:val="left"/>
        <w:spacing w:line="360" w:lineRule="auto"/>
        <w:rPr>
          <w:rFonts w:hAnsi="宋体"/>
          <w:color w:val="auto"/>
          <w:sz w:val="24"/>
          <w:highlight w:val="none"/>
        </w:rPr>
      </w:pPr>
      <w:r>
        <w:rPr>
          <w:rFonts w:hint="eastAsia" w:hAnsi="宋体"/>
          <w:color w:val="auto"/>
          <w:sz w:val="24"/>
          <w:highlight w:val="none"/>
        </w:rPr>
        <w:t xml:space="preserve">4</w:t>
      </w:r>
      <w:r>
        <w:rPr>
          <w:rFonts w:hAnsi="宋体"/>
          <w:color w:val="auto"/>
          <w:sz w:val="24"/>
          <w:highlight w:val="none"/>
        </w:rPr>
        <w:t xml:space="preserve">.</w:t>
      </w:r>
      <w:r>
        <w:rPr>
          <w:rFonts w:hint="eastAsia" w:hAnsi="宋体"/>
          <w:color w:val="auto"/>
          <w:sz w:val="24"/>
          <w:highlight w:val="none"/>
        </w:rPr>
        <w:t xml:space="preserve">投标费用自理。</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5.投标供应商应由其法定代表人或法定代表人授权代表在规定的网上投标时间内，凭CA数字证书</w:t>
      </w:r>
      <w:r>
        <w:rPr>
          <w:rFonts w:hint="eastAsia" w:hAnsi="宋体"/>
          <w:color w:val="auto"/>
          <w:sz w:val="24"/>
          <w:highlight w:val="none"/>
          <w:lang w:eastAsia="zh-CN"/>
        </w:rPr>
        <w:t xml:space="preserve">登录</w:t>
      </w:r>
      <w:r>
        <w:rPr>
          <w:rFonts w:hint="eastAsia" w:hAnsi="宋体"/>
          <w:color w:val="auto"/>
          <w:sz w:val="24"/>
          <w:highlight w:val="none"/>
        </w:rPr>
        <w:t xml:space="preserve">江苏省政府采购（苏采云）平台获取招标文件，在</w:t>
      </w:r>
      <w:r>
        <w:rPr>
          <w:rFonts w:hint="eastAsia" w:hAnsi="宋体"/>
          <w:bCs/>
          <w:color w:val="auto"/>
          <w:sz w:val="24"/>
          <w:highlight w:val="none"/>
        </w:rPr>
        <w:t xml:space="preserve">政府采购客户端</w:t>
      </w:r>
      <w:r>
        <w:rPr>
          <w:rFonts w:hint="eastAsia" w:hAnsi="宋体"/>
          <w:color w:val="auto"/>
          <w:sz w:val="24"/>
          <w:highlight w:val="none"/>
        </w:rPr>
        <w:t xml:space="preserve">制作投标文件（电子数据），并在投标截止时间之前上传投标文件。</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6.投标供应商应对CA数字证书妥善保管，如被他人盗用投标，后果自负。</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7.投标供应商按招标文件规定的网上解密时间进行解密，如未按时解密后果自负。</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8.投标供应商应当对招标文件提出的要求和条件作出实质性响应，并在电子投标系统逐条应答。</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9.投标供应商应对要求提供的资格证明文件（如资质证书、资格证书）、商务资料（如白皮书、彩页、手册、业绩、报告等）扫描上传至投标系统。</w:t>
      </w:r>
      <w:r/>
    </w:p>
    <w:p>
      <w:pPr>
        <w:ind w:firstLine="480"/>
        <w:jc w:val="left"/>
        <w:spacing w:line="360" w:lineRule="auto"/>
        <w:tabs>
          <w:tab w:val="left" w:pos="0" w:leader="none"/>
        </w:tabs>
        <w:rPr>
          <w:rFonts w:hint="eastAsia" w:hAnsi="宋体"/>
          <w:color w:val="auto"/>
          <w:sz w:val="24"/>
          <w:highlight w:val="none"/>
        </w:rPr>
      </w:pPr>
      <w:r>
        <w:rPr>
          <w:rFonts w:hint="eastAsia" w:hAnsi="宋体"/>
          <w:color w:val="auto"/>
          <w:sz w:val="24"/>
          <w:highlight w:val="none"/>
        </w:rPr>
        <w:t xml:space="preserve">10.投标供应商进行网上投标请参照</w:t>
      </w:r>
      <w:r>
        <w:rPr>
          <w:rFonts w:hint="eastAsia" w:hAnsi="宋体"/>
          <w:bCs/>
          <w:color w:val="auto"/>
          <w:sz w:val="24"/>
          <w:highlight w:val="none"/>
        </w:rPr>
        <w:t xml:space="preserve">《“苏采云”系统供应商操作手册》</w:t>
      </w:r>
      <w:r>
        <w:rPr>
          <w:rFonts w:hint="eastAsia" w:hAnsi="宋体"/>
          <w:color w:val="auto"/>
          <w:sz w:val="24"/>
          <w:highlight w:val="none"/>
        </w:rPr>
        <w:t xml:space="preserve">。</w:t>
      </w:r>
      <w:r/>
    </w:p>
    <w:p>
      <w:pPr>
        <w:ind w:firstLine="480"/>
        <w:spacing w:line="360" w:lineRule="auto"/>
        <w:rPr>
          <w:rFonts w:hint="default" w:ascii="宋体" w:hAnsi="宋体" w:eastAsia="宋体"/>
          <w:b/>
          <w:bCs/>
          <w:color w:val="auto"/>
          <w:sz w:val="24"/>
          <w:highlight w:val="none"/>
          <w:lang w:val="en-US" w:eastAsia="zh-CN"/>
        </w:rPr>
      </w:pPr>
      <w:r>
        <w:rPr>
          <w:rFonts w:hint="eastAsia" w:hAnsi="宋体"/>
          <w:color w:val="auto"/>
          <w:sz w:val="24"/>
          <w:highlight w:val="none"/>
          <w:lang w:val="en-US" w:eastAsia="zh-CN"/>
        </w:rPr>
        <w:t xml:space="preserve">11.</w:t>
      </w:r>
      <w:r>
        <w:rPr>
          <w:rFonts w:hint="eastAsia" w:ascii="宋体" w:hAnsi="宋体"/>
          <w:b/>
          <w:bCs/>
          <w:color w:val="auto"/>
          <w:sz w:val="24"/>
          <w:highlight w:val="none"/>
        </w:rPr>
        <w:t xml:space="preserve">暗标排版要求：字体为小四号宋体</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黑色</w:t>
      </w:r>
      <w:r>
        <w:rPr>
          <w:rFonts w:hint="eastAsia" w:ascii="宋体" w:hAnsi="宋体"/>
          <w:b/>
          <w:bCs/>
          <w:color w:val="auto"/>
          <w:sz w:val="24"/>
          <w:highlight w:val="none"/>
        </w:rPr>
        <w:t xml:space="preserve">。单倍行间距，不得有任何加粗、斜体、下划线、边框、底纹、阴影等标记，不得设置页眉，页脚只准出现页码，页码采用小五号阿拉伯数字格式，设在页脚对中位置，页码应当连续，不得有空白页。</w:t>
      </w:r>
      <w:r>
        <w:rPr>
          <w:rFonts w:hint="eastAsia" w:ascii="宋体" w:hAnsi="宋体"/>
          <w:b/>
          <w:bCs/>
          <w:color w:val="auto"/>
          <w:sz w:val="24"/>
          <w:highlight w:val="none"/>
          <w:lang w:val="en-US" w:eastAsia="zh-CN"/>
        </w:rPr>
        <w:t xml:space="preserve">网络图、平面图、操作功能截图、现场考察图片、系统架构图、仪器原理图等图片中字体、字号不作限制。</w:t>
      </w:r>
      <w:r/>
    </w:p>
    <w:p>
      <w:pPr>
        <w:ind w:left="-2" w:firstLine="420"/>
        <w:spacing w:line="360" w:lineRule="auto"/>
        <w:rPr>
          <w:rFonts w:hint="default" w:eastAsia="宋体"/>
          <w:color w:val="auto"/>
          <w:highlight w:val="none"/>
          <w:lang w:val="en-US" w:eastAsia="zh-CN"/>
        </w:rPr>
      </w:pPr>
      <w:r>
        <w:rPr>
          <w:rFonts w:hint="eastAsia" w:ascii="宋体" w:hAnsi="宋体"/>
          <w:color w:val="auto"/>
          <w:sz w:val="24"/>
          <w:highlight w:val="none"/>
        </w:rPr>
        <w:t xml:space="preserve">暗标不按照以上要求制作的视为无效投标文件。</w:t>
      </w:r>
      <w:r/>
    </w:p>
    <w:p>
      <w:pPr>
        <w:ind w:left="-2" w:firstLine="420"/>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 xml:space="preserve">（八） 无效投标文件的确认：</w:t>
      </w:r>
      <w:r/>
    </w:p>
    <w:p>
      <w:pPr>
        <w:ind w:left="-2" w:firstLine="480"/>
        <w:spacing w:line="360" w:lineRule="auto"/>
        <w:rPr>
          <w:rFonts w:ascii="宋体"/>
          <w:color w:val="auto"/>
          <w:sz w:val="24"/>
          <w:highlight w:val="none"/>
        </w:rPr>
        <w:outlineLvl w:val="0"/>
      </w:pPr>
      <w:r>
        <w:rPr>
          <w:rFonts w:hint="eastAsia" w:ascii="宋体" w:hAnsi="宋体" w:cs="宋体"/>
          <w:color w:val="auto"/>
          <w:sz w:val="24"/>
          <w:highlight w:val="none"/>
        </w:rPr>
        <w:t xml:space="preserve">投标供应商有下列情况之一者，其投标文件无效：</w:t>
      </w:r>
      <w:r/>
    </w:p>
    <w:p>
      <w:pPr>
        <w:numPr>
          <w:ilvl w:val="0"/>
          <w:numId w:val="16"/>
        </w:numPr>
        <w:spacing w:line="360" w:lineRule="auto"/>
        <w:rPr>
          <w:rFonts w:hAnsi="宋体"/>
          <w:color w:val="auto"/>
          <w:sz w:val="24"/>
          <w:highlight w:val="none"/>
        </w:rPr>
      </w:pPr>
      <w:r>
        <w:rPr>
          <w:rFonts w:hint="eastAsia" w:hAnsi="宋体"/>
          <w:color w:val="auto"/>
          <w:sz w:val="24"/>
          <w:highlight w:val="none"/>
        </w:rPr>
        <w:t xml:space="preserve">电子投标文件未按规定时间上传的，纸质投标文件（如有）未按规定的期限、地点送达的；</w:t>
      </w:r>
      <w:r/>
    </w:p>
    <w:p>
      <w:pPr>
        <w:numPr>
          <w:ilvl w:val="0"/>
          <w:numId w:val="16"/>
        </w:numPr>
        <w:spacing w:line="360" w:lineRule="auto"/>
        <w:rPr>
          <w:rFonts w:hAnsi="宋体"/>
          <w:color w:val="auto"/>
          <w:sz w:val="24"/>
          <w:highlight w:val="none"/>
        </w:rPr>
      </w:pPr>
      <w:r>
        <w:rPr>
          <w:rFonts w:hint="eastAsia" w:hAnsi="宋体"/>
          <w:color w:val="auto"/>
          <w:sz w:val="24"/>
          <w:highlight w:val="none"/>
        </w:rPr>
        <w:t xml:space="preserve">电子投标文件未按招标文件要求签章的；</w:t>
      </w:r>
      <w:r/>
    </w:p>
    <w:p>
      <w:pPr>
        <w:numPr>
          <w:ilvl w:val="0"/>
          <w:numId w:val="16"/>
        </w:numPr>
        <w:spacing w:line="360" w:lineRule="auto"/>
        <w:rPr>
          <w:rFonts w:hAnsi="宋体"/>
          <w:color w:val="auto"/>
          <w:sz w:val="24"/>
          <w:highlight w:val="none"/>
        </w:rPr>
      </w:pPr>
      <w:r>
        <w:rPr>
          <w:rFonts w:hint="eastAsia" w:hAnsi="宋体"/>
          <w:color w:val="auto"/>
          <w:sz w:val="24"/>
          <w:highlight w:val="none"/>
        </w:rPr>
        <w:t xml:space="preserve">投标供应商未按招标文件要求解密的；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不具备招标文件中规定的资格要求及未按招标文件规定的要求提供资格证明文件的；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投标文件含有采购人不能接受的附加条件的；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投标文件未按招标文件规定的格式、内容和要求填写、制作的；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投标文件书写潦草、字迹模糊不清、无法辨认的；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投标文件中有招标文件未允许提供的选择性内容的；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恶意串通其他投标供应商，故意哄抬价格或压价的；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提供虚假材料的（包括工商营业执照、财务报表、资格证明文件等）；</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不同投标供应商投标文件中的项目相关人员出现同一人的；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不同投标供应商聘请同一人为其投标提供技术或经济咨询服务的；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不同投标供应商的单位负责人为同一人或者存在直接控股、管理关系的；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投标供应商为本项目提供整体设计、规范编制或者项目管理、监理、检测等服务的；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不同投标人的投标文件异常一致或者投标报价呈规律性差异；</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投标文件商务标（明标）中同一方案有选择性报价且未声明以哪一个为准的；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技术标（暗标）中出现该投标供应商单位名称、简称、人员姓名、Logo、商标、电话号码等任何标识标记及其他暗示性标志的；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商务标（明标）和技术标（暗标），其中某一标被本项目评委确认为无效投标文件的；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未按要求提供技术文件的或不满足技术要求的；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投标文件报价出现前后不一致，投标供应商拒不确认修正后的报价的；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超过招标文件规定的最高限价的；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评标委员会认为投标供应商的报价明显低于其他通过符合性审查投标人的报价，有可能影响产品质量或者不能诚信履约的，要求其在评标现场合理的时间内提供书面说明，必要时提交相关证明材料；投标人不能证明其报价合理性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未通过初步资格性审查、投标文件资格性检查、投标文件符合性检查的；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不同投标供应商的投标文件的排版格式、文字风格等存在明显的相似性或一致性，特征显示由同一单位或者同一个人编制的；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不同投标供应商投标文件内容存在非正常一致、项目组成员或者联系人员出现同一人、投标文件中错误（或异常）一致或雷同的；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不同投标供应商的委托代理人、项目负责人以及其他相关人员有在同一个单位缴纳社会保险的；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同一投标文件中单位名称落款与公章不是同一单位的；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不同投标人委托同一单位或者个人办理投标事宜的；</w:t>
      </w:r>
      <w:r/>
    </w:p>
    <w:p>
      <w:pPr>
        <w:numPr>
          <w:ilvl w:val="0"/>
          <w:numId w:val="16"/>
        </w:numPr>
        <w:spacing w:line="360" w:lineRule="auto"/>
        <w:rPr>
          <w:rFonts w:ascii="宋体" w:hAnsi="宋体" w:cs="宋体"/>
          <w:color w:val="auto"/>
          <w:sz w:val="24"/>
          <w:highlight w:val="none"/>
        </w:rPr>
      </w:pPr>
      <w:r>
        <w:rPr>
          <w:rFonts w:hint="eastAsia" w:ascii="Times New Roman" w:hAnsi="宋体" w:eastAsia="宋体" w:cs="Times New Roman"/>
          <w:color w:val="auto"/>
          <w:sz w:val="24"/>
          <w:highlight w:val="none"/>
        </w:rPr>
        <w:t xml:space="preserve">投标文件内容不全或不符合法律法规和招标文件中规定的其他实质性要求的。</w:t>
      </w:r>
      <w:r/>
    </w:p>
    <w:p>
      <w:pPr>
        <w:ind w:left="-2" w:firstLine="420"/>
        <w:spacing w:line="360" w:lineRule="auto"/>
        <w:rPr>
          <w:rFonts w:ascii="黑体" w:hAnsi="宋体" w:eastAsia="黑体"/>
          <w:bCs/>
          <w:color w:val="auto"/>
          <w:sz w:val="24"/>
          <w:highlight w:val="none"/>
        </w:rPr>
      </w:pPr>
      <w:r>
        <w:rPr>
          <w:rFonts w:hint="eastAsia" w:ascii="宋体" w:hAnsi="宋体" w:eastAsia="黑体" w:cs="宋体"/>
          <w:color w:val="auto"/>
          <w:sz w:val="24"/>
          <w:highlight w:val="none"/>
        </w:rPr>
        <w:t xml:space="preserve">（九）</w:t>
      </w:r>
      <w:r>
        <w:rPr>
          <w:rFonts w:hint="eastAsia" w:ascii="黑体" w:hAnsi="宋体" w:eastAsia="黑体"/>
          <w:bCs/>
          <w:color w:val="auto"/>
          <w:sz w:val="24"/>
          <w:highlight w:val="none"/>
        </w:rPr>
        <w:t xml:space="preserve">开标、评标：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1．所有投标单位在招标文件规定的时间内解密各自投标文件。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3.投标文件的审查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（1）开标一览表内容与响应函内容不一致的，以开标一览表为准。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（2）总价金额与按单价汇总金额不一致的，以单价金额计算结果为准。单价金额小数点有明显错位的，应以总价为准，并修改单价。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（3）大写金额与小写金额不一致的，以大写金额为准。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（4）对不同文字文本投标文件的解释发生异议的，以中文文本为准。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（5）电子投标文件与纸质投标文件（如有）不符的，以电子投标文件为准。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（6）投标供应商未参加开标的，视同认可开标结果。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4.评标程序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评标工作由普信国际工程咨询有限公司负责组织，具体评标事务由依法组建的评标委员会负责。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（1）投标文件初审。初审分为资格性检查和符合性检查。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A．资格性检查。</w:t>
      </w:r>
      <w:r>
        <w:rPr>
          <w:rFonts w:hint="eastAsia" w:ascii="宋体" w:hAnsi="宋体"/>
          <w:color w:val="auto"/>
          <w:sz w:val="24"/>
          <w:highlight w:val="none"/>
          <w:lang w:eastAsia="zh-CN"/>
        </w:rPr>
        <w:t xml:space="preserve">采购方</w:t>
      </w:r>
      <w:r>
        <w:rPr>
          <w:rFonts w:hint="eastAsia" w:ascii="宋体" w:hAnsi="宋体"/>
          <w:color w:val="auto"/>
          <w:sz w:val="24"/>
          <w:highlight w:val="none"/>
        </w:rPr>
        <w:t xml:space="preserve">依据法律法规和招标文件的规定，对投标文件中的资格证明、投标（报价）承诺函等进行审查；通过“信用中国”网站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www.creditchina.gov.cn）、中国政府采购网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5.评标方法</w:t>
      </w:r>
      <w:r/>
    </w:p>
    <w:p>
      <w:pPr>
        <w:ind w:firstLine="424"/>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投标供应商通过初审的，方可进入</w:t>
      </w:r>
      <w:r>
        <w:rPr>
          <w:rFonts w:ascii="宋体" w:hAnsi="宋体"/>
          <w:bCs/>
          <w:color w:val="auto"/>
          <w:sz w:val="24"/>
          <w:highlight w:val="none"/>
        </w:rPr>
        <w:t xml:space="preserve">比较与评价</w:t>
      </w:r>
      <w:r>
        <w:rPr>
          <w:rFonts w:hint="eastAsia" w:ascii="宋体" w:hAnsi="宋体"/>
          <w:bCs/>
          <w:color w:val="auto"/>
          <w:sz w:val="24"/>
          <w:highlight w:val="none"/>
        </w:rPr>
        <w:t xml:space="preserve">程序。</w:t>
      </w:r>
      <w:r/>
    </w:p>
    <w:p>
      <w:pPr>
        <w:ind w:firstLine="424"/>
        <w:spacing w:line="360" w:lineRule="auto"/>
        <w:rPr>
          <w:rFonts w:ascii="宋体" w:hAnsi="宋体"/>
          <w:bCs/>
          <w:color w:val="auto"/>
          <w:sz w:val="24"/>
          <w:highlight w:val="none"/>
        </w:rPr>
      </w:pPr>
      <w:r>
        <w:rPr>
          <w:rFonts w:ascii="宋体" w:hAnsi="宋体"/>
          <w:bCs/>
          <w:color w:val="auto"/>
          <w:sz w:val="24"/>
          <w:highlight w:val="none"/>
        </w:rPr>
        <w:t xml:space="preserve">比较与评价</w:t>
      </w:r>
      <w:r>
        <w:rPr>
          <w:rFonts w:hint="eastAsia" w:ascii="宋体" w:hAnsi="宋体"/>
          <w:bCs/>
          <w:color w:val="auto"/>
          <w:sz w:val="24"/>
          <w:highlight w:val="none"/>
        </w:rPr>
        <w:t xml:space="preserve">采用综合评分法（计分均保留2位小数）。</w:t>
      </w:r>
      <w:r/>
    </w:p>
    <w:p>
      <w:pPr>
        <w:ind w:firstLine="371"/>
        <w:spacing w:line="360" w:lineRule="auto"/>
        <w:tabs>
          <w:tab w:val="left" w:pos="630" w:leader="none"/>
          <w:tab w:val="left" w:pos="1365" w:leader="none"/>
        </w:tabs>
        <w:rPr>
          <w:color w:val="auto"/>
          <w:sz w:val="24"/>
          <w:highlight w:val="none"/>
        </w:rPr>
      </w:pPr>
      <w:r>
        <w:rPr>
          <w:color w:val="auto"/>
          <w:sz w:val="24"/>
          <w:highlight w:val="none"/>
        </w:rPr>
        <w:t xml:space="preserve">次评标采用综合评分法，是指投标文件满足采购文件全部实质性要求，且按照评审因素的量化指标评审得分最高的投标供应商为中标候选人的评标方法。</w:t>
      </w:r>
      <w:r/>
    </w:p>
    <w:p>
      <w:pPr>
        <w:ind w:firstLine="424"/>
        <w:spacing w:line="360" w:lineRule="auto"/>
        <w:tabs>
          <w:tab w:val="left" w:pos="525" w:leader="none"/>
          <w:tab w:val="left" w:pos="1050" w:leader="none"/>
        </w:tabs>
        <w:rPr>
          <w:color w:val="auto"/>
          <w:sz w:val="24"/>
          <w:highlight w:val="none"/>
        </w:rPr>
      </w:pPr>
      <w:r>
        <w:rPr>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供应商为中标候选人。</w:t>
      </w:r>
      <w:r/>
    </w:p>
    <w:p>
      <w:pPr>
        <w:numPr>
          <w:ilvl w:val="0"/>
          <w:numId w:val="17"/>
        </w:numPr>
        <w:ind w:firstLine="424"/>
        <w:spacing w:line="360" w:lineRule="auto"/>
        <w:rPr>
          <w:rFonts w:ascii="宋体" w:hAnsi="宋体" w:cs="宋体"/>
          <w:bCs/>
          <w:color w:val="auto"/>
          <w:sz w:val="24"/>
          <w:highlight w:val="none"/>
        </w:rPr>
      </w:pPr>
      <w:r>
        <w:rPr>
          <w:rFonts w:hint="eastAsia" w:ascii="宋体" w:hAnsi="宋体"/>
          <w:color w:val="auto"/>
          <w:sz w:val="24"/>
          <w:highlight w:val="none"/>
        </w:rPr>
        <w:t xml:space="preserve">评分标准</w:t>
      </w:r>
      <w:r/>
    </w:p>
    <w:p>
      <w:pPr>
        <w:ind w:firstLine="523"/>
        <w:spacing w:line="360" w:lineRule="auto"/>
        <w:rPr>
          <w:rFonts w:ascii="宋体" w:hAnsi="宋体"/>
          <w:color w:val="auto"/>
          <w:sz w:val="24"/>
          <w:highlight w:val="none"/>
        </w:rPr>
      </w:pPr>
      <w:r>
        <w:rPr>
          <w:rFonts w:hint="eastAsia" w:ascii="宋体" w:hAnsi="宋体"/>
          <w:color w:val="auto"/>
          <w:sz w:val="24"/>
          <w:highlight w:val="none"/>
        </w:rPr>
        <w:t xml:space="preserve">比较与评价采用综合评分法（计分均保留2位小数）。</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（一)评分项目及分值（总分100分）</w:t>
      </w:r>
      <w:r/>
    </w:p>
    <w:p>
      <w:pPr>
        <w:ind w:firstLine="480"/>
        <w:jc w:val="left"/>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（1）投标报价                                     </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w:t>
      </w:r>
      <w:r/>
    </w:p>
    <w:p>
      <w:pPr>
        <w:ind w:firstLine="480"/>
        <w:jc w:val="left"/>
        <w:spacing w:line="360" w:lineRule="auto"/>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（2）服务</w:t>
      </w:r>
      <w:r>
        <w:rPr>
          <w:rFonts w:hint="eastAsia" w:ascii="宋体" w:hAnsi="宋体" w:eastAsia="宋体" w:cs="宋体"/>
          <w:color w:val="auto"/>
          <w:sz w:val="24"/>
          <w:highlight w:val="none"/>
        </w:rPr>
        <w:t xml:space="preserve">能力                                     </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分</w:t>
      </w:r>
      <w:r/>
    </w:p>
    <w:p>
      <w:pPr>
        <w:ind w:firstLine="480"/>
        <w:jc w:val="left"/>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技术要求</w:t>
      </w:r>
      <w:r>
        <w:rPr>
          <w:rFonts w:hint="eastAsia" w:ascii="宋体" w:hAnsi="宋体" w:eastAsia="宋体" w:cs="宋体"/>
          <w:color w:val="auto"/>
          <w:sz w:val="24"/>
          <w:highlight w:val="none"/>
          <w:lang w:val="en-US" w:eastAsia="zh-CN"/>
        </w:rPr>
        <w:t xml:space="preserve">                                     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rPr>
        <w:t xml:space="preserve"> </w:t>
      </w:r>
      <w:r/>
    </w:p>
    <w:p>
      <w:pPr>
        <w:ind w:firstLine="480"/>
        <w:jc w:val="left"/>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）技术方案</w:t>
      </w:r>
      <w:r>
        <w:rPr>
          <w:rFonts w:hint="eastAsia" w:ascii="宋体" w:hAnsi="宋体" w:cs="宋体"/>
          <w:b/>
          <w:bCs/>
          <w:color w:val="auto"/>
          <w:sz w:val="24"/>
          <w:highlight w:val="none"/>
        </w:rPr>
        <w:t xml:space="preserve">（暗标）</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分</w:t>
      </w:r>
      <w:r/>
    </w:p>
    <w:p>
      <w:pPr>
        <w:ind w:firstLine="480"/>
        <w:jc w:val="left"/>
        <w:spacing w:line="360" w:lineRule="auto"/>
        <w:tabs>
          <w:tab w:val="left" w:pos="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国家政策导向                                 2分</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（二)各项目评分标准</w:t>
      </w:r>
      <w:r/>
    </w:p>
    <w:p>
      <w:pPr>
        <w:ind w:firstLine="482"/>
        <w:jc w:val="left"/>
        <w:spacing w:line="360" w:lineRule="auto"/>
        <w:tabs>
          <w:tab w:val="left" w:pos="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（1）投标报价（</w:t>
      </w:r>
      <w:r>
        <w:rPr>
          <w:rFonts w:hint="eastAsia" w:ascii="宋体" w:hAnsi="宋体" w:cs="宋体"/>
          <w:b/>
          <w:bCs/>
          <w:color w:val="auto"/>
          <w:sz w:val="24"/>
          <w:highlight w:val="none"/>
          <w:lang w:val="en-US" w:eastAsia="zh-CN"/>
        </w:rPr>
        <w:t xml:space="preserve">30</w:t>
      </w:r>
      <w:r>
        <w:rPr>
          <w:rFonts w:hint="eastAsia" w:ascii="宋体" w:hAnsi="宋体" w:cs="宋体"/>
          <w:b/>
          <w:bCs/>
          <w:color w:val="auto"/>
          <w:sz w:val="24"/>
          <w:highlight w:val="none"/>
        </w:rPr>
        <w:t xml:space="preserve">分）</w:t>
      </w:r>
      <w:r/>
    </w:p>
    <w:p>
      <w:pPr>
        <w:ind w:firstLine="480"/>
        <w:jc w:val="left"/>
        <w:spacing w:line="360" w:lineRule="auto"/>
        <w:tabs>
          <w:tab w:val="left" w:pos="840"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840"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投标报价)×价格权值。</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hAnsi="Times New Roman"/>
          <w:bCs w:val="0"/>
          <w:color w:val="auto"/>
          <w:sz w:val="24"/>
          <w:szCs w:val="20"/>
          <w:highlight w:val="none"/>
          <w:u w:val="none"/>
          <w:lang w:val="en-US" w:eastAsia="zh-CN"/>
        </w:rPr>
        <w:t xml:space="preserve">注：1）</w:t>
      </w:r>
      <w:r>
        <w:rPr>
          <w:rFonts w:hint="eastAsia"/>
          <w:b w:val="0"/>
          <w:bCs w:val="0"/>
          <w:color w:val="auto"/>
          <w:sz w:val="24"/>
          <w:highlight w:val="none"/>
          <w:u w:val="none"/>
        </w:rPr>
        <w:t xml:space="preserve">评审过程中出现下列情形之一的，评审委员会应当启动异常低价投标审查程序：</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rPr>
        <w:t xml:space="preserve">①</w:t>
      </w:r>
      <w:r>
        <w:rPr>
          <w:rFonts w:hint="eastAsia"/>
          <w:b w:val="0"/>
          <w:bCs w:val="0"/>
          <w:color w:val="auto"/>
          <w:sz w:val="24"/>
          <w:highlight w:val="none"/>
          <w:u w:val="none"/>
          <w:lang w:val="en-US" w:eastAsia="zh-CN"/>
        </w:rPr>
        <w:t xml:space="preserve">投标（响应）报价低于全部通过符合性审查供应商投标（响应）报价平均值50%的，即投标（响应）报价&lt;全部通过符合性审查供应商投标（响应）报价平均值×50%</w:t>
      </w:r>
      <w:r>
        <w:rPr>
          <w:rFonts w:hint="eastAsia"/>
          <w:b w:val="0"/>
          <w:bCs w:val="0"/>
          <w:color w:val="auto"/>
          <w:sz w:val="24"/>
          <w:highlight w:val="none"/>
          <w:u w:val="none"/>
        </w:rPr>
        <w:t xml:space="preserve">；</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rPr>
        <w:t xml:space="preserve">②</w:t>
      </w:r>
      <w:r>
        <w:rPr>
          <w:rFonts w:hint="eastAsia"/>
          <w:b w:val="0"/>
          <w:bCs w:val="0"/>
          <w:color w:val="auto"/>
          <w:sz w:val="24"/>
          <w:highlight w:val="none"/>
          <w:u w:val="none"/>
          <w:lang w:val="en-US" w:eastAsia="zh-CN"/>
        </w:rPr>
        <w:t xml:space="preserve">投标（响应）报价低于通过符合性审查的次低报价供应商投标（响应）报价50%的，即投标（响应）报价&lt;通过符合性审查的次低报价供应商投标（响应）报价×50%</w:t>
      </w:r>
      <w:r>
        <w:rPr>
          <w:rFonts w:hint="eastAsia"/>
          <w:b w:val="0"/>
          <w:bCs w:val="0"/>
          <w:color w:val="auto"/>
          <w:sz w:val="24"/>
          <w:highlight w:val="none"/>
          <w:u w:val="none"/>
        </w:rPr>
        <w:t xml:space="preserve">；</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rPr>
        <w:t xml:space="preserve">③</w:t>
      </w:r>
      <w:r>
        <w:rPr>
          <w:rFonts w:hint="eastAsia"/>
          <w:b w:val="0"/>
          <w:bCs w:val="0"/>
          <w:color w:val="auto"/>
          <w:sz w:val="24"/>
          <w:highlight w:val="none"/>
          <w:u w:val="none"/>
          <w:lang w:val="en-US" w:eastAsia="zh-CN"/>
        </w:rPr>
        <w:t xml:space="preserve">投标（响应）报价低于采购项目最高限价45%的，即投标（响应）报价&lt;采购项目最高限价×45%；</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lang w:val="en-US" w:eastAsia="zh-CN"/>
        </w:rPr>
        <w:t xml:space="preserve">④评审委员会基于专业判断，认为供应商报价过低，有可能影响产品质量或者不能诚信履约的其他情形</w:t>
      </w:r>
      <w:r>
        <w:rPr>
          <w:rFonts w:hint="eastAsia"/>
          <w:b w:val="0"/>
          <w:bCs w:val="0"/>
          <w:color w:val="auto"/>
          <w:sz w:val="24"/>
          <w:highlight w:val="none"/>
          <w:u w:val="none"/>
        </w:rPr>
        <w:t xml:space="preserve">。</w:t>
      </w:r>
      <w:r/>
    </w:p>
    <w:p>
      <w:pPr>
        <w:ind w:firstLine="480"/>
        <w:jc w:val="left"/>
        <w:spacing w:line="360" w:lineRule="auto"/>
        <w:tabs>
          <w:tab w:val="left" w:pos="840" w:leader="none"/>
          <w:tab w:val="left" w:pos="1050" w:leader="none"/>
        </w:tabs>
        <w:rPr>
          <w:rFonts w:hint="eastAsia" w:ascii="宋体" w:hAnsi="宋体" w:eastAsia="宋体" w:cs="宋体"/>
          <w:bCs/>
          <w:color w:val="auto"/>
          <w:sz w:val="24"/>
          <w:szCs w:val="24"/>
          <w:highlight w:val="none"/>
          <w:lang w:val="zh-CN"/>
        </w:rPr>
      </w:pPr>
      <w:r>
        <w:rPr>
          <w:rFonts w:hint="eastAsia" w:ascii="宋体" w:hAnsi="Times New Roman" w:eastAsia="宋体" w:cs="Times New Roman"/>
          <w:b w:val="0"/>
          <w:bCs w:val="0"/>
          <w:color w:val="auto"/>
          <w:sz w:val="24"/>
          <w:highlight w:val="none"/>
          <w:u w:val="none"/>
          <w:lang w:val="en-US" w:eastAsia="zh-CN"/>
        </w:rPr>
        <w:t xml:space="preserve">2</w:t>
      </w:r>
      <w:r>
        <w:rPr>
          <w:rFonts w:hint="eastAsia" w:ascii="宋体" w:hAnsi="Times New Roman" w:eastAsia="宋体" w:cs="Times New Roman"/>
          <w:b w:val="0"/>
          <w:bCs w:val="0"/>
          <w:color w:val="auto"/>
          <w:sz w:val="24"/>
          <w:highlight w:val="none"/>
          <w:u w:val="none"/>
        </w:rPr>
        <w:t xml:space="preserve">）启动异常低价投标审查后，评审委员会应当要求相关供应商在评标现场合理的时间内，提供项目具体成本测算等与报价合理性相关的书面说明及相关证明材料，对投标价格作出解释，</w:t>
      </w:r>
      <w:r>
        <w:rPr>
          <w:rFonts w:hint="eastAsia" w:ascii="宋体" w:hAnsi="Times New Roman" w:eastAsia="宋体" w:cs="Times New Roman"/>
          <w:color w:val="auto"/>
          <w:sz w:val="24"/>
          <w:highlight w:val="none"/>
          <w:u w:val="none"/>
        </w:rPr>
        <w:t xml:space="preserve">由评审委员会结合同类</w:t>
      </w:r>
      <w:r>
        <w:rPr>
          <w:rFonts w:hint="eastAsia" w:ascii="宋体" w:hAnsi="Times New Roman" w:eastAsia="宋体" w:cs="Times New Roman"/>
          <w:color w:val="auto"/>
          <w:sz w:val="24"/>
          <w:highlight w:val="none"/>
          <w:u w:val="none"/>
          <w:lang w:val="en-US" w:eastAsia="zh-CN"/>
        </w:rPr>
        <w:t xml:space="preserve">项目</w:t>
      </w:r>
      <w:r>
        <w:rPr>
          <w:rFonts w:hint="eastAsia" w:ascii="宋体" w:hAnsi="Times New Roman" w:eastAsia="宋体" w:cs="Times New Roman"/>
          <w:color w:val="auto"/>
          <w:sz w:val="24"/>
          <w:highlight w:val="none"/>
          <w:u w:val="none"/>
        </w:rPr>
        <w:t xml:space="preserve">在类似产品市场的价格</w:t>
      </w:r>
      <w:r>
        <w:rPr>
          <w:rFonts w:hint="eastAsia" w:ascii="宋体" w:hAnsi="Times New Roman" w:eastAsia="宋体" w:cs="Times New Roman"/>
          <w:b w:val="0"/>
          <w:bCs w:val="0"/>
          <w:color w:val="auto"/>
          <w:sz w:val="24"/>
          <w:highlight w:val="none"/>
          <w:u w:val="none"/>
        </w:rPr>
        <w:t xml:space="preserve">、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（2）服务能力（</w:t>
      </w:r>
      <w:r>
        <w:rPr>
          <w:rFonts w:hint="eastAsia" w:ascii="宋体" w:hAnsi="宋体" w:cs="宋体"/>
          <w:b/>
          <w:bCs/>
          <w:color w:val="auto"/>
          <w:sz w:val="24"/>
          <w:highlight w:val="none"/>
          <w:lang w:val="en-US" w:eastAsia="zh-CN"/>
        </w:rPr>
        <w:t xml:space="preserve">14</w:t>
      </w:r>
      <w:r>
        <w:rPr>
          <w:rFonts w:hint="eastAsia" w:ascii="宋体" w:hAnsi="宋体" w:cs="宋体"/>
          <w:b/>
          <w:bCs/>
          <w:color w:val="auto"/>
          <w:sz w:val="24"/>
          <w:highlight w:val="none"/>
        </w:rPr>
        <w:t xml:space="preserve">分）</w:t>
      </w:r>
      <w:r/>
    </w:p>
    <w:p>
      <w:pPr>
        <w:pStyle w:val="726"/>
        <w:ind w:firstLine="424"/>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t xml:space="preserve">）投标人综合情况（</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tabs>
          <w:tab w:val="left" w:pos="840" w:leader="none"/>
          <w:tab w:val="left" w:pos="1050" w:leader="none"/>
        </w:tabs>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①</w:t>
      </w:r>
      <w:r>
        <w:rPr>
          <w:rFonts w:hint="eastAsia" w:ascii="宋体" w:hAnsi="宋体" w:eastAsia="宋体" w:cs="宋体"/>
          <w:bCs/>
          <w:color w:val="auto"/>
          <w:sz w:val="24"/>
          <w:highlight w:val="none"/>
          <w:lang w:val="zh-CN"/>
        </w:rPr>
        <w:t xml:space="preserve">投标人具有在有效期内的质量管理体系认证证书、环境管理体系认证证书、职业健康安全管理体系认证证书</w:t>
      </w:r>
      <w:r>
        <w:rPr>
          <w:rFonts w:hint="eastAsia" w:ascii="宋体" w:hAnsi="宋体" w:eastAsia="宋体" w:cs="宋体"/>
          <w:bCs/>
          <w:color w:val="auto"/>
          <w:sz w:val="24"/>
          <w:highlight w:val="none"/>
          <w:lang w:val="zh-CN" w:eastAsia="zh-CN"/>
        </w:rPr>
        <w:t xml:space="preserve">，</w:t>
      </w:r>
      <w:r>
        <w:rPr>
          <w:rFonts w:hint="eastAsia" w:ascii="宋体" w:hAnsi="宋体" w:eastAsia="宋体" w:cs="宋体"/>
          <w:bCs/>
          <w:color w:val="auto"/>
          <w:sz w:val="24"/>
          <w:highlight w:val="none"/>
          <w:lang w:val="zh-CN"/>
        </w:rPr>
        <w:t xml:space="preserve">每有一个得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val="zh-CN"/>
        </w:rPr>
        <w:t xml:space="preserve">分，最高得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分</w:t>
      </w:r>
      <w:r>
        <w:rPr>
          <w:rFonts w:hint="eastAsia" w:hAnsi="宋体"/>
          <w:bCs/>
          <w:color w:val="auto"/>
          <w:sz w:val="24"/>
          <w:highlight w:val="none"/>
          <w:lang w:eastAsia="zh-CN"/>
        </w:rPr>
        <w:t xml:space="preserve">。</w:t>
      </w:r>
      <w:r>
        <w:rPr>
          <w:rFonts w:hint="default"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投标文件中</w:t>
      </w:r>
      <w:r>
        <w:rPr>
          <w:rFonts w:hint="default" w:ascii="宋体" w:hAnsi="宋体" w:eastAsia="宋体" w:cs="宋体"/>
          <w:b/>
          <w:bCs/>
          <w:color w:val="auto"/>
          <w:sz w:val="24"/>
          <w:highlight w:val="none"/>
          <w:lang w:val="en-US" w:eastAsia="zh-CN"/>
        </w:rPr>
        <w:t xml:space="preserve">提供相关有效证书</w:t>
      </w:r>
      <w:r>
        <w:rPr>
          <w:rFonts w:hint="eastAsia" w:hAnsi="宋体" w:cs="宋体"/>
          <w:b/>
          <w:bCs/>
          <w:color w:val="auto"/>
          <w:sz w:val="24"/>
          <w:highlight w:val="none"/>
          <w:lang w:val="en-US" w:eastAsia="zh-CN"/>
        </w:rPr>
        <w:t xml:space="preserve">原件</w:t>
      </w:r>
      <w:r>
        <w:rPr>
          <w:rFonts w:hint="eastAsia" w:ascii="宋体" w:hAnsi="宋体" w:eastAsia="宋体" w:cs="宋体"/>
          <w:b/>
          <w:bCs/>
          <w:color w:val="auto"/>
          <w:sz w:val="24"/>
          <w:highlight w:val="none"/>
        </w:rPr>
        <w:t xml:space="preserve">扫描件</w:t>
      </w:r>
      <w:r>
        <w:rPr>
          <w:rFonts w:hint="eastAsia" w:hAnsi="宋体" w:cs="宋体"/>
          <w:b/>
          <w:bCs/>
          <w:color w:val="auto"/>
          <w:sz w:val="24"/>
          <w:highlight w:val="none"/>
          <w:lang w:eastAsia="zh-CN"/>
        </w:rPr>
        <w:t xml:space="preserve">、</w:t>
      </w:r>
      <w:r>
        <w:rPr>
          <w:rFonts w:hint="eastAsia" w:hAnsi="宋体" w:cs="宋体"/>
          <w:b/>
          <w:bCs/>
          <w:color w:val="auto"/>
          <w:sz w:val="24"/>
          <w:highlight w:val="none"/>
          <w:lang w:val="en-US" w:eastAsia="zh-CN"/>
        </w:rPr>
        <w:t xml:space="preserve">官网查询截图</w:t>
      </w:r>
      <w:r>
        <w:rPr>
          <w:rFonts w:hint="eastAsia" w:ascii="宋体" w:hAnsi="宋体" w:eastAsia="宋体" w:cs="宋体"/>
          <w:b/>
          <w:bCs/>
          <w:color w:val="auto"/>
          <w:sz w:val="24"/>
          <w:highlight w:val="none"/>
        </w:rPr>
        <w:t xml:space="preserve">，否则</w:t>
      </w:r>
      <w:r>
        <w:rPr>
          <w:rFonts w:hint="eastAsia" w:hAnsi="宋体" w:cs="宋体"/>
          <w:b/>
          <w:bCs/>
          <w:color w:val="auto"/>
          <w:sz w:val="24"/>
          <w:highlight w:val="none"/>
        </w:rPr>
        <w:t xml:space="preserve">不</w:t>
      </w:r>
      <w:r>
        <w:rPr>
          <w:rFonts w:hint="eastAsia" w:ascii="宋体" w:hAnsi="宋体" w:eastAsia="宋体" w:cs="宋体"/>
          <w:b/>
          <w:bCs/>
          <w:color w:val="auto"/>
          <w:sz w:val="24"/>
          <w:highlight w:val="none"/>
        </w:rPr>
        <w:t xml:space="preserve">得分</w:t>
      </w:r>
      <w:r>
        <w:rPr>
          <w:rFonts w:hint="default" w:ascii="宋体" w:hAnsi="宋体" w:eastAsia="宋体" w:cs="宋体"/>
          <w:b/>
          <w:bCs/>
          <w:color w:val="auto"/>
          <w:sz w:val="24"/>
          <w:highlight w:val="none"/>
          <w:lang w:val="en-US" w:eastAsia="zh-CN"/>
        </w:rPr>
        <w:t xml:space="preserve">）</w:t>
      </w:r>
      <w:r/>
    </w:p>
    <w:p>
      <w:pPr>
        <w:ind w:firstLine="480"/>
        <w:spacing w:line="360" w:lineRule="auto"/>
        <w:tabs>
          <w:tab w:val="left" w:pos="840" w:leader="none"/>
          <w:tab w:val="left" w:pos="1050" w:leader="none"/>
        </w:tabs>
        <w:rPr>
          <w:rFonts w:hint="eastAsia" w:ascii="Times New Roman" w:hAnsi="宋体" w:eastAsia="宋体" w:cs="Times New Roman"/>
          <w:bCs/>
          <w:color w:val="auto"/>
          <w:sz w:val="24"/>
          <w:highlight w:val="none"/>
          <w:lang w:val="zh-CN" w:bidi="zh-CN"/>
        </w:rPr>
      </w:pPr>
      <w:r>
        <w:rPr>
          <w:rFonts w:hint="eastAsia" w:ascii="宋体" w:hAnsi="宋体" w:cs="宋体"/>
          <w:bCs/>
          <w:color w:val="auto"/>
          <w:sz w:val="24"/>
          <w:highlight w:val="none"/>
          <w:lang w:val="zh-CN"/>
        </w:rPr>
        <w:t xml:space="preserve">②</w:t>
      </w:r>
      <w:r>
        <w:rPr>
          <w:rFonts w:hint="eastAsia" w:ascii="宋体" w:hAnsi="宋体" w:eastAsia="宋体" w:cs="宋体"/>
          <w:bCs/>
          <w:color w:val="auto"/>
          <w:sz w:val="24"/>
          <w:szCs w:val="24"/>
          <w:highlight w:val="none"/>
          <w:lang w:val="en-US"/>
        </w:rPr>
        <w:t xml:space="preserve">投标人具有在有效期内的信息安全服务资质认证证书</w:t>
      </w:r>
      <w:r>
        <w:rPr>
          <w:rFonts w:hint="eastAsia" w:ascii="宋体" w:hAnsi="宋体" w:eastAsia="宋体" w:cs="宋体"/>
          <w:bCs/>
          <w:color w:val="auto"/>
          <w:sz w:val="24"/>
          <w:szCs w:val="24"/>
          <w:highlight w:val="none"/>
          <w:lang w:val="en-US" w:eastAsia="zh-CN"/>
        </w:rPr>
        <w:t xml:space="preserve">的，得2分，提供证书复印件加盖公章放入投标文件中。</w:t>
      </w:r>
      <w:r>
        <w:rPr>
          <w:rFonts w:hint="default"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投标文件中</w:t>
      </w:r>
      <w:r>
        <w:rPr>
          <w:rFonts w:hint="default" w:ascii="宋体" w:hAnsi="宋体" w:eastAsia="宋体" w:cs="宋体"/>
          <w:b/>
          <w:bCs/>
          <w:color w:val="auto"/>
          <w:sz w:val="24"/>
          <w:highlight w:val="none"/>
          <w:lang w:val="en-US" w:eastAsia="zh-CN"/>
        </w:rPr>
        <w:t xml:space="preserve">提供相关有效证书</w:t>
      </w:r>
      <w:r>
        <w:rPr>
          <w:rFonts w:hint="eastAsia" w:hAnsi="宋体" w:cs="宋体"/>
          <w:b/>
          <w:bCs/>
          <w:color w:val="auto"/>
          <w:sz w:val="24"/>
          <w:highlight w:val="none"/>
          <w:lang w:val="en-US" w:eastAsia="zh-CN"/>
        </w:rPr>
        <w:t xml:space="preserve">原件</w:t>
      </w:r>
      <w:r>
        <w:rPr>
          <w:rFonts w:hint="eastAsia" w:ascii="宋体" w:hAnsi="宋体" w:eastAsia="宋体" w:cs="宋体"/>
          <w:b/>
          <w:bCs/>
          <w:color w:val="auto"/>
          <w:sz w:val="24"/>
          <w:highlight w:val="none"/>
        </w:rPr>
        <w:t xml:space="preserve">扫描件</w:t>
      </w:r>
      <w:r>
        <w:rPr>
          <w:rFonts w:hint="eastAsia" w:hAnsi="宋体" w:cs="宋体"/>
          <w:b/>
          <w:bCs/>
          <w:color w:val="auto"/>
          <w:sz w:val="24"/>
          <w:highlight w:val="none"/>
          <w:lang w:eastAsia="zh-CN"/>
        </w:rPr>
        <w:t xml:space="preserve">、</w:t>
      </w:r>
      <w:r>
        <w:rPr>
          <w:rFonts w:hint="eastAsia" w:hAnsi="宋体" w:cs="宋体"/>
          <w:b/>
          <w:bCs/>
          <w:color w:val="auto"/>
          <w:sz w:val="24"/>
          <w:highlight w:val="none"/>
          <w:lang w:val="en-US" w:eastAsia="zh-CN"/>
        </w:rPr>
        <w:t xml:space="preserve">官网查询截图</w:t>
      </w:r>
      <w:r>
        <w:rPr>
          <w:rFonts w:hint="eastAsia" w:ascii="宋体" w:hAnsi="宋体" w:eastAsia="宋体" w:cs="宋体"/>
          <w:b/>
          <w:bCs/>
          <w:color w:val="auto"/>
          <w:sz w:val="24"/>
          <w:highlight w:val="none"/>
        </w:rPr>
        <w:t xml:space="preserve">，否则</w:t>
      </w:r>
      <w:r>
        <w:rPr>
          <w:rFonts w:hint="eastAsia" w:hAnsi="宋体" w:cs="宋体"/>
          <w:b/>
          <w:bCs/>
          <w:color w:val="auto"/>
          <w:sz w:val="24"/>
          <w:highlight w:val="none"/>
        </w:rPr>
        <w:t xml:space="preserve">不</w:t>
      </w:r>
      <w:r>
        <w:rPr>
          <w:rFonts w:hint="eastAsia" w:ascii="宋体" w:hAnsi="宋体" w:eastAsia="宋体" w:cs="宋体"/>
          <w:b/>
          <w:bCs/>
          <w:color w:val="auto"/>
          <w:sz w:val="24"/>
          <w:highlight w:val="none"/>
        </w:rPr>
        <w:t xml:space="preserve">得分</w:t>
      </w:r>
      <w:r>
        <w:rPr>
          <w:rFonts w:hint="default" w:ascii="宋体" w:hAnsi="宋体" w:eastAsia="宋体" w:cs="宋体"/>
          <w:b/>
          <w:bCs/>
          <w:color w:val="auto"/>
          <w:sz w:val="24"/>
          <w:highlight w:val="none"/>
          <w:lang w:val="en-US" w:eastAsia="zh-CN"/>
        </w:rPr>
        <w:t xml:space="preserve">）</w:t>
      </w:r>
      <w:r/>
    </w:p>
    <w:p>
      <w:pPr>
        <w:ind w:firstLine="480"/>
        <w:spacing w:line="360" w:lineRule="auto"/>
        <w:tabs>
          <w:tab w:val="left" w:pos="840" w:leader="none"/>
          <w:tab w:val="left" w:pos="1050" w:leader="none"/>
        </w:tabs>
        <w:rPr>
          <w:rFonts w:ascii="Times New Roman" w:hAnsi="宋体" w:eastAsia="宋体" w:cs="Times New Roman"/>
          <w:bCs/>
          <w:color w:val="auto"/>
          <w:sz w:val="24"/>
          <w:highlight w:val="none"/>
          <w:lang w:bidi="zh-CN"/>
        </w:rPr>
      </w:pPr>
      <w:r>
        <w:rPr>
          <w:rFonts w:hint="eastAsia" w:ascii="Times New Roman" w:hAnsi="宋体" w:eastAsia="宋体" w:cs="Times New Roman"/>
          <w:bCs/>
          <w:color w:val="auto"/>
          <w:sz w:val="24"/>
          <w:highlight w:val="none"/>
          <w:lang w:val="zh-CN" w:bidi="zh-CN"/>
        </w:rPr>
        <w:t xml:space="preserve">③</w:t>
      </w:r>
      <w:r>
        <w:rPr>
          <w:rFonts w:hint="eastAsia" w:ascii="宋体" w:hAnsi="宋体" w:eastAsia="宋体" w:cs="Times New Roman"/>
          <w:bCs/>
          <w:color w:val="auto"/>
          <w:sz w:val="24"/>
          <w:szCs w:val="24"/>
          <w:highlight w:val="none"/>
        </w:rPr>
        <w:t xml:space="preserve">投标</w:t>
      </w:r>
      <w:r>
        <w:rPr>
          <w:rFonts w:hint="eastAsia" w:ascii="宋体" w:hAnsi="宋体" w:eastAsia="宋体" w:cs="Times New Roman"/>
          <w:bCs/>
          <w:color w:val="auto"/>
          <w:sz w:val="24"/>
          <w:szCs w:val="24"/>
          <w:highlight w:val="none"/>
          <w:lang w:val="en-US" w:eastAsia="zh-CN"/>
        </w:rPr>
        <w:t xml:space="preserve">人自202</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年1月1日（合同落款日期至本项目发布招标公告首日计算）</w:t>
      </w:r>
      <w:r>
        <w:rPr>
          <w:rFonts w:hint="eastAsia" w:ascii="宋体" w:hAnsi="宋体" w:eastAsia="宋体" w:cs="Times New Roman"/>
          <w:bCs/>
          <w:color w:val="auto"/>
          <w:sz w:val="24"/>
          <w:szCs w:val="24"/>
          <w:highlight w:val="none"/>
        </w:rPr>
        <w:t xml:space="preserve">以来</w:t>
      </w:r>
      <w:r>
        <w:rPr>
          <w:rFonts w:hint="eastAsia" w:ascii="宋体" w:hAnsi="宋体" w:eastAsia="宋体" w:cs="Times New Roman"/>
          <w:bCs/>
          <w:color w:val="auto"/>
          <w:sz w:val="24"/>
          <w:szCs w:val="24"/>
          <w:highlight w:val="none"/>
          <w:lang w:val="en-US" w:eastAsia="zh-CN"/>
        </w:rPr>
        <w:t xml:space="preserve">承接过类似</w:t>
      </w:r>
      <w:r>
        <w:rPr>
          <w:rFonts w:hint="eastAsia" w:ascii="宋体" w:hAnsi="宋体" w:eastAsia="宋体" w:cs="Times New Roman"/>
          <w:bCs/>
          <w:color w:val="auto"/>
          <w:sz w:val="24"/>
          <w:szCs w:val="24"/>
          <w:highlight w:val="none"/>
        </w:rPr>
        <w:t xml:space="preserve">业绩的，每提供一份</w:t>
      </w:r>
      <w:r>
        <w:rPr>
          <w:rFonts w:hint="eastAsia" w:ascii="宋体" w:hAnsi="宋体" w:eastAsia="宋体" w:cs="Times New Roman"/>
          <w:bCs/>
          <w:color w:val="auto"/>
          <w:sz w:val="24"/>
          <w:szCs w:val="24"/>
          <w:highlight w:val="none"/>
          <w:lang w:eastAsia="zh-CN"/>
        </w:rPr>
        <w:t xml:space="preserve">得</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eastAsia="zh-CN"/>
        </w:rPr>
        <w:t xml:space="preserve">分，最多得</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分</w:t>
      </w:r>
      <w:r>
        <w:rPr>
          <w:rFonts w:hint="eastAsia" w:ascii="宋体" w:hAnsi="宋体" w:cs="Times New Roman"/>
          <w:bCs/>
          <w:color w:val="auto"/>
          <w:sz w:val="24"/>
          <w:szCs w:val="24"/>
          <w:highlight w:val="none"/>
          <w:lang w:eastAsia="zh-CN"/>
        </w:rPr>
        <w:t xml:space="preserve">。</w:t>
      </w:r>
      <w:r>
        <w:rPr>
          <w:rFonts w:hint="eastAsia" w:ascii="宋体" w:hAnsi="Times New Roman" w:eastAsia="宋体" w:cs="Times New Roman"/>
          <w:b/>
          <w:bCs/>
          <w:color w:val="auto"/>
          <w:sz w:val="24"/>
          <w:szCs w:val="24"/>
          <w:highlight w:val="none"/>
        </w:rPr>
        <w:t xml:space="preserve">（日期以合同或协议签订日期为准，投标文件中提供合同或协议扫</w:t>
      </w:r>
      <w:r>
        <w:rPr>
          <w:rFonts w:hint="eastAsia" w:ascii="宋体" w:hAnsi="Times New Roman" w:eastAsia="宋体" w:cs="Times New Roman"/>
          <w:b/>
          <w:bCs/>
          <w:color w:val="auto"/>
          <w:sz w:val="24"/>
          <w:szCs w:val="24"/>
          <w:highlight w:val="none"/>
          <w:lang w:val="en-US" w:eastAsia="zh-CN"/>
        </w:rPr>
        <w:t xml:space="preserve">原件</w:t>
      </w:r>
      <w:r>
        <w:rPr>
          <w:rFonts w:hint="eastAsia" w:ascii="宋体" w:hAnsi="Times New Roman" w:eastAsia="宋体" w:cs="Times New Roman"/>
          <w:b/>
          <w:bCs/>
          <w:color w:val="auto"/>
          <w:sz w:val="24"/>
          <w:szCs w:val="24"/>
          <w:highlight w:val="none"/>
        </w:rPr>
        <w:t xml:space="preserve">描件，否则不得分）</w:t>
      </w:r>
      <w:r/>
    </w:p>
    <w:p>
      <w:pPr>
        <w:ind w:firstLine="424"/>
        <w:spacing w:line="360" w:lineRule="auto"/>
        <w:tabs>
          <w:tab w:val="left" w:pos="945" w:leader="none"/>
          <w:tab w:val="left" w:pos="1155" w:leader="none"/>
          <w:tab w:val="left" w:pos="3823" w:leader="none"/>
        </w:tabs>
        <w:rPr>
          <w:rFonts w:ascii="宋体" w:hAnsi="宋体" w:cs="宋体"/>
          <w:b/>
          <w:bCs/>
          <w:color w:val="auto"/>
          <w:sz w:val="24"/>
          <w:highlight w:val="none"/>
        </w:rPr>
      </w:pPr>
      <w:r>
        <w:rPr>
          <w:rFonts w:hint="eastAsia" w:ascii="宋体" w:hAnsi="宋体" w:cs="宋体"/>
          <w:b/>
          <w:bCs/>
          <w:color w:val="auto"/>
          <w:sz w:val="24"/>
          <w:highlight w:val="none"/>
        </w:rPr>
        <w:t xml:space="preserve">2）项目</w:t>
      </w:r>
      <w:r>
        <w:rPr>
          <w:rFonts w:hint="eastAsia" w:ascii="宋体" w:hAnsi="宋体" w:cs="宋体"/>
          <w:b/>
          <w:bCs/>
          <w:color w:val="auto"/>
          <w:sz w:val="24"/>
          <w:highlight w:val="none"/>
        </w:rPr>
        <w:t xml:space="preserve">团队管理能力（</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分）</w:t>
      </w:r>
      <w:r/>
    </w:p>
    <w:p>
      <w:pPr>
        <w:ind w:firstLine="480"/>
        <w:spacing w:line="360" w:lineRule="auto"/>
        <w:tabs>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①项目负责人（</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为保障投标人项目负责人的技术专业性，项目负责人具有</w:t>
      </w:r>
      <w:r>
        <w:rPr>
          <w:rFonts w:hint="eastAsia" w:ascii="宋体" w:hAnsi="宋体" w:eastAsia="宋体" w:cs="宋体"/>
          <w:color w:val="auto"/>
          <w:sz w:val="24"/>
          <w:szCs w:val="24"/>
          <w:highlight w:val="none"/>
          <w:lang w:val="en-US" w:eastAsia="zh-CN"/>
        </w:rPr>
        <w:t xml:space="preserve">水行业相关高级职称的</w:t>
      </w:r>
      <w:r>
        <w:rPr>
          <w:rFonts w:hint="eastAsia" w:ascii="宋体" w:hAnsi="宋体" w:eastAsia="宋体" w:cs="宋体"/>
          <w:color w:val="auto"/>
          <w:sz w:val="24"/>
          <w:szCs w:val="24"/>
          <w:highlight w:val="none"/>
        </w:rPr>
        <w:t xml:space="preserve">，得1分；项目负责人</w:t>
      </w:r>
      <w:r>
        <w:rPr>
          <w:rFonts w:hint="eastAsia" w:ascii="宋体" w:hAnsi="宋体" w:eastAsia="宋体" w:cs="宋体"/>
          <w:color w:val="auto"/>
          <w:sz w:val="24"/>
          <w:szCs w:val="24"/>
          <w:highlight w:val="none"/>
          <w:lang w:val="en-US" w:eastAsia="zh-CN"/>
        </w:rPr>
        <w:t xml:space="preserve">具有水行业相关执业资格证书的，得1分；项目负责人具有建造相关证书的，得1分，本项最高得3分。（提供项目负责人相关证书原件扫描件、与企业所签订的劳动合同原件扫描件、由社保机构出具的投标人为其缴纳的近三个月中（不含投标当月）任一月的缴费证明，如企业成立年限不足3个月的，则按企业实际成立时间提供社保缴费相关证明）</w:t>
      </w:r>
      <w:r/>
    </w:p>
    <w:p>
      <w:pPr>
        <w:ind w:firstLine="480"/>
        <w:spacing w:line="360" w:lineRule="auto"/>
        <w:tabs>
          <w:tab w:val="left" w:pos="945" w:leader="none"/>
          <w:tab w:val="left" w:pos="1155" w:leader="none"/>
          <w:tab w:val="left" w:pos="3823"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②项目组技术骨干（3分）：为保障投标人项目团队整体的专业性、针对性，项目组技术骨干中具备计算机与网络高级职称的，得1分；技术骨干中具有工程管理相关职称证书的，得1分；具有信息安全相关证书的，得1分，本项最高得3分。（提供相关人员相关证书原件扫描件、与企业所签订的劳动合同原件扫描件、由社保机构出具的投标人为其缴纳的近三个月中（不含投标当月）任一月的缴费证明，如企业成立年限不足3个月的，则按企业实际成立时间提供社保缴费相关证明）</w:t>
      </w:r>
      <w:r/>
    </w:p>
    <w:p>
      <w:pPr>
        <w:ind w:firstLine="482"/>
        <w:spacing w:line="360" w:lineRule="auto"/>
        <w:tabs>
          <w:tab w:val="left" w:pos="945" w:leader="none"/>
          <w:tab w:val="left" w:pos="1155" w:leader="none"/>
          <w:tab w:val="left" w:pos="3823" w:leader="none"/>
        </w:tabs>
        <w:rPr>
          <w:rFonts w:hint="eastAsia" w:ascii="Times New Roman" w:hAnsi="Times New Roman" w:eastAsia="宋体" w:cs="Times New Roman"/>
          <w:bCs/>
          <w:color w:val="auto"/>
          <w:sz w:val="24"/>
          <w:highlight w:val="none"/>
        </w:rPr>
      </w:pPr>
      <w:r>
        <w:rPr>
          <w:rFonts w:hint="eastAsia" w:ascii="宋体" w:hAnsi="宋体" w:eastAsia="宋体" w:cs="宋体"/>
          <w:b/>
          <w:bCs/>
          <w:color w:val="auto"/>
          <w:sz w:val="24"/>
          <w:szCs w:val="24"/>
          <w:highlight w:val="none"/>
        </w:rPr>
        <w:t xml:space="preserve">（</w:t>
      </w:r>
      <w:r>
        <w:rPr>
          <w:rFonts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rPr>
        <w:t xml:space="preserve">）技术要求（</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ascii="宋体" w:hAnsi="宋体" w:eastAsia="宋体" w:cs="宋体"/>
          <w:b/>
          <w:bCs/>
          <w:color w:val="auto"/>
          <w:sz w:val="24"/>
          <w:szCs w:val="24"/>
          <w:highlight w:val="none"/>
        </w:rPr>
        <w:t xml:space="preserve">：</w:t>
      </w:r>
      <w:r/>
    </w:p>
    <w:p>
      <w:pPr>
        <w:ind w:firstLine="480"/>
        <w:spacing w:line="360" w:lineRule="auto"/>
        <w:tabs>
          <w:tab w:val="left" w:pos="510"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标注“</w:t>
      </w:r>
      <w:r>
        <w:rPr>
          <w:rFonts w:ascii="Wingdings 2" w:hAnsi="Wingdings 2" w:eastAsia="Wingdings 2" w:cs="Wingdings 2"/>
          <w:bCs/>
          <w:color w:val="auto"/>
          <w:sz w:val="24"/>
          <w:szCs w:val="24"/>
          <w:highlight w:val="none"/>
        </w:rPr>
        <w:t xml:space="preserve">ê</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lang w:val="en-US" w:eastAsia="zh-CN"/>
        </w:rPr>
        <w:t xml:space="preserve">技术</w:t>
      </w:r>
      <w:r>
        <w:rPr>
          <w:rFonts w:hint="eastAsia" w:ascii="宋体" w:hAnsi="宋体"/>
          <w:bCs/>
          <w:color w:val="auto"/>
          <w:sz w:val="24"/>
          <w:szCs w:val="24"/>
          <w:highlight w:val="none"/>
        </w:rPr>
        <w:t xml:space="preserve">条款，每满足一条</w:t>
      </w:r>
      <w:r>
        <w:rPr>
          <w:rFonts w:hint="eastAsia" w:ascii="宋体" w:hAnsi="宋体"/>
          <w:bCs/>
          <w:color w:val="auto"/>
          <w:sz w:val="24"/>
          <w:szCs w:val="24"/>
          <w:highlight w:val="none"/>
          <w:lang w:val="en-US" w:eastAsia="zh-CN"/>
        </w:rPr>
        <w:t xml:space="preserve">得2</w:t>
      </w:r>
      <w:r>
        <w:rPr>
          <w:rFonts w:hint="eastAsia" w:ascii="宋体" w:hAnsi="宋体"/>
          <w:bCs/>
          <w:color w:val="auto"/>
          <w:sz w:val="24"/>
          <w:szCs w:val="24"/>
          <w:highlight w:val="none"/>
        </w:rPr>
        <w:t xml:space="preserve">分，需</w:t>
      </w:r>
      <w:r>
        <w:rPr>
          <w:rFonts w:hint="eastAsia" w:ascii="宋体" w:hAnsi="宋体"/>
          <w:bCs/>
          <w:color w:val="auto"/>
          <w:sz w:val="24"/>
          <w:szCs w:val="24"/>
          <w:highlight w:val="none"/>
          <w:lang w:val="en-US" w:eastAsia="zh-CN"/>
        </w:rPr>
        <w:t xml:space="preserve">按要求提供证明材料</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否则</w:t>
      </w:r>
      <w:r>
        <w:rPr>
          <w:rFonts w:hint="eastAsia" w:ascii="宋体" w:hAnsi="宋体"/>
          <w:bCs/>
          <w:color w:val="auto"/>
          <w:sz w:val="24"/>
          <w:szCs w:val="24"/>
          <w:highlight w:val="none"/>
        </w:rPr>
        <w:t xml:space="preserve">不得分。</w:t>
      </w:r>
      <w:r/>
    </w:p>
    <w:tbl>
      <w:tblPr>
        <w:tblStyle w:val="769"/>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1424"/>
        <w:gridCol w:w="4402"/>
        <w:gridCol w:w="1821"/>
      </w:tblGrid>
      <w:tr>
        <w:trPr>
          <w:jc w:val="center"/>
        </w:trPr>
        <w:tc>
          <w:tcPr>
            <w:gridSpan w:val="4"/>
            <w:tcW w:w="8522"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ascii="Wingdings 2" w:hAnsi="Wingdings 2" w:eastAsia="Wingdings 2" w:cs="Wingdings 2"/>
                <w:bCs/>
                <w:color w:val="auto"/>
                <w:sz w:val="24"/>
                <w:szCs w:val="24"/>
                <w:highlight w:val="none"/>
              </w:rPr>
              <w:t xml:space="preserve">ê</w:t>
            </w:r>
            <w:r>
              <w:rPr>
                <w:rFonts w:hint="eastAsia" w:ascii="宋体" w:hAnsi="宋体" w:eastAsia="宋体" w:cs="宋体"/>
                <w:b/>
                <w:bCs/>
                <w:color w:val="auto"/>
                <w:sz w:val="24"/>
                <w:szCs w:val="24"/>
                <w:highlight w:val="none"/>
              </w:rPr>
              <w:t xml:space="preserve">”项</w:t>
            </w:r>
            <w:r>
              <w:rPr>
                <w:rFonts w:hint="eastAsia" w:ascii="宋体" w:hAnsi="宋体" w:eastAsia="宋体" w:cs="宋体"/>
                <w:b/>
                <w:bCs/>
                <w:color w:val="auto"/>
                <w:sz w:val="24"/>
                <w:szCs w:val="24"/>
                <w:highlight w:val="none"/>
                <w:lang w:val="en-US" w:eastAsia="zh-CN"/>
              </w:rPr>
              <w:t xml:space="preserve">技术条款汇总</w:t>
            </w:r>
            <w:r/>
          </w:p>
        </w:tc>
      </w:tr>
      <w:tr>
        <w:trPr>
          <w:jc w:val="center"/>
        </w:trPr>
        <w:tc>
          <w:tcPr>
            <w:tcW w:w="875"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w:t>
            </w:r>
            <w:r/>
          </w:p>
        </w:tc>
        <w:tc>
          <w:tcPr>
            <w:gridSpan w:val="2"/>
            <w:tcW w:w="5826"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技术条款</w:t>
            </w:r>
            <w:r/>
          </w:p>
        </w:tc>
        <w:tc>
          <w:tcPr>
            <w:tcW w:w="1821"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需提供的证明材料</w:t>
            </w:r>
            <w:r/>
          </w:p>
        </w:tc>
      </w:tr>
      <w:tr>
        <w:trPr>
          <w:jc w:val="center"/>
        </w:trPr>
        <w:tc>
          <w:tcPr>
            <w:tcW w:w="875"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微型水质监测站</w:t>
            </w:r>
            <w:r/>
          </w:p>
        </w:tc>
        <w:tc>
          <w:tcPr>
            <w:gridSpan w:val="2"/>
            <w:tcW w:w="5826" w:type="dxa"/>
            <w:vAlign w:val="center"/>
            <w:textDirection w:val="lrTb"/>
            <w:noWrap w:val="false"/>
          </w:tcPr>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系统支持多种水样沉降模式，支持手动设置沉降时长，可按上层水样浊度阈值执行沉降，还能依据原水浊度区间智能匹配沉降时长。</w:t>
            </w:r>
            <w:r/>
          </w:p>
        </w:tc>
        <w:tc>
          <w:tcPr>
            <w:tcW w:w="1821" w:type="dxa"/>
            <w:vAlign w:val="center"/>
            <w:vMerge w:val="restart"/>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提供省级及以上权威机构出具的检测报告原件扫描件</w:t>
            </w:r>
            <w:r/>
          </w:p>
        </w:tc>
      </w:tr>
      <w:tr>
        <w:trPr>
          <w:jc w:val="center"/>
        </w:trPr>
        <w:tc>
          <w:tcPr>
            <w:tcW w:w="875"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浮船式水质自动站</w:t>
            </w:r>
            <w:r/>
          </w:p>
        </w:tc>
        <w:tc>
          <w:tcPr>
            <w:gridSpan w:val="2"/>
            <w:tcW w:w="5826" w:type="dxa"/>
            <w:vAlign w:val="center"/>
            <w:textDirection w:val="lrTb"/>
            <w:noWrap w:val="false"/>
          </w:tcPr>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系统</w:t>
            </w:r>
            <w:r>
              <w:rPr>
                <w:rFonts w:hint="eastAsia" w:ascii="宋体" w:hAnsi="宋体" w:eastAsia="宋体" w:cs="宋体"/>
                <w:bCs/>
                <w:color w:val="auto"/>
                <w:sz w:val="24"/>
                <w:szCs w:val="24"/>
                <w:highlight w:val="none"/>
              </w:rPr>
              <w:t xml:space="preserve">可对高锰酸盐指数、氨氮、总磷、总氮水质自动分析仪开展自动标样核查、零点核查、跨度核查等质量控制操作</w:t>
            </w:r>
            <w:r>
              <w:rPr>
                <w:rFonts w:hint="eastAsia" w:ascii="宋体" w:hAnsi="宋体" w:eastAsia="宋体" w:cs="宋体"/>
                <w:bCs/>
                <w:color w:val="auto"/>
                <w:sz w:val="24"/>
                <w:szCs w:val="24"/>
                <w:highlight w:val="none"/>
                <w:lang w:eastAsia="zh-CN"/>
              </w:rPr>
              <w:t xml:space="preserve">。</w:t>
            </w:r>
            <w:r/>
          </w:p>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意外断电恢复供电后，</w:t>
            </w:r>
            <w:r>
              <w:rPr>
                <w:rFonts w:hint="eastAsia" w:ascii="宋体" w:hAnsi="宋体" w:eastAsia="宋体" w:cs="宋体"/>
                <w:bCs/>
                <w:color w:val="auto"/>
                <w:sz w:val="24"/>
                <w:szCs w:val="24"/>
                <w:highlight w:val="none"/>
                <w:lang w:val="en-US" w:eastAsia="zh-CN"/>
              </w:rPr>
              <w:t xml:space="preserve">系统</w:t>
            </w:r>
            <w:r>
              <w:rPr>
                <w:rFonts w:hint="eastAsia" w:ascii="宋体" w:hAnsi="宋体" w:eastAsia="宋体" w:cs="宋体"/>
                <w:bCs/>
                <w:color w:val="auto"/>
                <w:sz w:val="24"/>
                <w:szCs w:val="24"/>
                <w:highlight w:val="none"/>
              </w:rPr>
              <w:t xml:space="preserve">可自动排空待测水样与试剂，</w:t>
            </w:r>
            <w:r>
              <w:rPr>
                <w:rFonts w:hint="eastAsia" w:ascii="宋体" w:hAnsi="宋体" w:eastAsia="宋体" w:cs="宋体"/>
                <w:bCs/>
                <w:color w:val="auto"/>
                <w:sz w:val="24"/>
                <w:szCs w:val="24"/>
                <w:highlight w:val="none"/>
                <w:lang w:val="en-US" w:eastAsia="zh-CN"/>
              </w:rPr>
              <w:t xml:space="preserve">可</w:t>
            </w:r>
            <w:r>
              <w:rPr>
                <w:rFonts w:hint="eastAsia" w:ascii="宋体" w:hAnsi="宋体" w:eastAsia="宋体" w:cs="宋体"/>
                <w:bCs/>
                <w:color w:val="auto"/>
                <w:sz w:val="24"/>
                <w:szCs w:val="24"/>
                <w:highlight w:val="none"/>
              </w:rPr>
              <w:t xml:space="preserve">自动清洗管路并复位至待测状态；若断电前处于加热消解流程，复电后可自动冷却并复位</w:t>
            </w:r>
            <w:r>
              <w:rPr>
                <w:rFonts w:hint="eastAsia" w:ascii="宋体" w:hAnsi="宋体" w:eastAsia="宋体" w:cs="宋体"/>
                <w:bCs/>
                <w:color w:val="auto"/>
                <w:sz w:val="24"/>
                <w:szCs w:val="24"/>
                <w:highlight w:val="none"/>
                <w:lang w:eastAsia="zh-CN"/>
              </w:rPr>
              <w:t xml:space="preserve">。</w:t>
            </w:r>
            <w:r/>
          </w:p>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船载视频监控支持手机远程查看、移动侦测、动态分析、越界报警、区域入侵报警，非法闯入时可唤醒摄像机录制视频并清晰抓拍现场画面。</w:t>
            </w:r>
            <w:r/>
          </w:p>
        </w:tc>
        <w:tc>
          <w:tcPr>
            <w:tcW w:w="1821" w:type="dxa"/>
            <w:vAlign w:val="center"/>
            <w:vMerge w:val="continue"/>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75" w:type="dxa"/>
            <w:vAlign w:val="center"/>
            <w:textDirection w:val="lrTb"/>
            <w:noWrap w:val="false"/>
          </w:tcPr>
          <w:p>
            <w:pPr>
              <w:jc w:val="both"/>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无人岸边采样站</w:t>
            </w:r>
            <w:r/>
          </w:p>
        </w:tc>
        <w:tc>
          <w:tcPr>
            <w:gridSpan w:val="2"/>
            <w:tcW w:w="5826" w:type="dxa"/>
            <w:vAlign w:val="center"/>
            <w:textDirection w:val="lrTb"/>
            <w:noWrap w:val="false"/>
          </w:tcPr>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采样时</w:t>
            </w:r>
            <w:r>
              <w:rPr>
                <w:rFonts w:hint="eastAsia" w:ascii="宋体" w:hAnsi="宋体" w:eastAsia="宋体" w:cs="宋体"/>
                <w:bCs/>
                <w:color w:val="auto"/>
                <w:sz w:val="24"/>
                <w:szCs w:val="24"/>
                <w:highlight w:val="none"/>
              </w:rPr>
              <w:t xml:space="preserve">采样瓶可自动启闭阀门，采样完成后自动密封防篡改，可与系统管路快速插拔对接；瓶载</w:t>
            </w:r>
            <w:r>
              <w:rPr>
                <w:rFonts w:hint="eastAsia" w:ascii="宋体" w:hAnsi="宋体" w:eastAsia="宋体" w:cs="宋体"/>
                <w:bCs/>
                <w:color w:val="auto"/>
                <w:sz w:val="24"/>
                <w:szCs w:val="24"/>
                <w:highlight w:val="none"/>
                <w:lang w:val="en-US" w:eastAsia="zh-CN"/>
              </w:rPr>
              <w:t xml:space="preserve">信息存储载体</w:t>
            </w:r>
            <w:r>
              <w:rPr>
                <w:rFonts w:hint="eastAsia" w:ascii="宋体" w:hAnsi="宋体" w:eastAsia="宋体" w:cs="宋体"/>
                <w:bCs/>
                <w:color w:val="auto"/>
                <w:sz w:val="24"/>
                <w:szCs w:val="24"/>
                <w:highlight w:val="none"/>
              </w:rPr>
              <w:t xml:space="preserve">可存储样品编号、采样时间、采样点位、操作人员等信息。</w:t>
            </w:r>
            <w:r/>
          </w:p>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配套便携式操作系统</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包括但不限于手机端APP，PC端程序等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可实现防伪采样、空瓶更换、样品信息上传、采样参数配置、单点调试控制，可查询采样记录、交接记录与防伪溯源信息。</w:t>
            </w:r>
            <w:r/>
          </w:p>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配置进样控制阀，进样结束后</w:t>
            </w:r>
            <w:r>
              <w:rPr>
                <w:rFonts w:hint="eastAsia" w:ascii="宋体" w:hAnsi="宋体" w:eastAsia="宋体" w:cs="宋体"/>
                <w:bCs/>
                <w:color w:val="auto"/>
                <w:sz w:val="24"/>
                <w:szCs w:val="24"/>
                <w:highlight w:val="none"/>
                <w:lang w:eastAsia="zh-CN"/>
              </w:rPr>
              <w:t xml:space="preserve">可</w:t>
            </w:r>
            <w:r>
              <w:rPr>
                <w:rFonts w:hint="eastAsia" w:ascii="宋体" w:hAnsi="宋体" w:eastAsia="宋体" w:cs="宋体"/>
                <w:bCs/>
                <w:color w:val="auto"/>
                <w:sz w:val="24"/>
                <w:szCs w:val="24"/>
                <w:highlight w:val="none"/>
              </w:rPr>
              <w:t xml:space="preserve">自动关闭，实现密封防护。</w:t>
            </w:r>
            <w:r/>
          </w:p>
        </w:tc>
        <w:tc>
          <w:tcPr>
            <w:tcW w:w="1821" w:type="dxa"/>
            <w:vAlign w:val="center"/>
            <w:vMerge w:val="continue"/>
            <w:textDirection w:val="lrTb"/>
            <w:noWrap w:val="false"/>
          </w:tcPr>
          <w:p>
            <w:pPr>
              <w:jc w:val="center"/>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632"/>
        </w:trPr>
        <w:tc>
          <w:tcPr>
            <w:tcW w:w="87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自动化实验室</w:t>
            </w:r>
            <w:r/>
          </w:p>
        </w:tc>
        <w:tc>
          <w:tcPr>
            <w:tcW w:w="14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进样检测单元</w:t>
            </w:r>
            <w:r/>
          </w:p>
        </w:tc>
        <w:tc>
          <w:tcPr>
            <w:tcW w:w="440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rPr>
              <w:t xml:space="preserve">检测模块集成干扰抑制处理</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，可动态消除浊度、色度对检测结果的影响，具备良好的抗浊度、抗色度干扰能力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支持连续式进样检测模式，实现前序样品检测与后序样品前处理同步并行。</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关键部件异常保护</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加样系统、驱动电机等核心部件出现连续故障达到限定次数时，设备自动停机保护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具备完善的异常报警与信息管理功能，可对部件故障、测量超量程、数据异常、试剂短缺等状态实时报警，并自动记录与上传报警信息。</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rPr>
              <w:t xml:space="preserve">支持实验室全流程质量控制管理，可根据需求自定义质控方案，每批次检测可同步嵌入空白试验、准确度验证、抗干扰测试等质控措施。</w:t>
            </w:r>
            <w:r/>
          </w:p>
        </w:tc>
        <w:tc>
          <w:tcPr>
            <w:tcW w:w="1821" w:type="dxa"/>
            <w:vAlign w:val="center"/>
            <w:vMerge w:val="continue"/>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632"/>
        </w:trPr>
        <w:tc>
          <w:tcPr>
            <w:tcW w:w="875" w:type="dxa"/>
            <w:vAlign w:val="center"/>
            <w:textDirection w:val="lrTb"/>
            <w:noWrap w:val="false"/>
          </w:tcPr>
          <w:p>
            <w:pPr>
              <w:pStyle w:val="871"/>
              <w:numPr>
                <w:ilvl w:val="0"/>
                <w:numId w:val="0"/>
              </w:numPr>
              <w:jc w:val="left"/>
              <w:keepLines w:val="0"/>
              <w:keepNext w:val="0"/>
              <w:pageBreakBefore w:val="0"/>
              <w:spacing w:line="240" w:lineRule="auto"/>
              <w:widowControl w:val="off"/>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样品瓶</w:t>
            </w:r>
            <w:r/>
          </w:p>
        </w:tc>
        <w:tc>
          <w:tcPr>
            <w:gridSpan w:val="2"/>
            <w:tcW w:w="5826" w:type="dxa"/>
            <w:vAlign w:val="center"/>
            <w:textDirection w:val="lrTb"/>
            <w:noWrap w:val="false"/>
          </w:tcPr>
          <w:p>
            <w:pPr>
              <w:pStyle w:val="871"/>
              <w:numPr>
                <w:ilvl w:val="0"/>
                <w:numId w:val="0"/>
              </w:numPr>
              <w:jc w:val="left"/>
              <w:keepLines w:val="0"/>
              <w:keepNext w:val="0"/>
              <w:pageBreakBefore w:val="0"/>
              <w:spacing w:line="240" w:lineRule="auto"/>
              <w:widowControl w:val="off"/>
              <w:tabs>
                <w:tab w:val="left" w:pos="1155" w:leader="none"/>
              </w:tabs>
              <w:rPr>
                <w:rFonts w:hint="eastAsia" w:ascii="宋体" w:hAnsi="宋体" w:eastAsia="宋体" w:cs="宋体"/>
                <w:bCs/>
                <w:color w:val="auto"/>
                <w:sz w:val="24"/>
                <w:szCs w:val="24"/>
                <w:highlight w:val="none"/>
                <w:lang w:val="en-US" w:eastAsia="zh-CN" w:bidi="ar-SA"/>
              </w:rPr>
            </w:pPr>
            <w:r>
              <w:rPr>
                <w:rFonts w:ascii="Wingdings 2" w:hAnsi="Wingdings 2" w:eastAsia="Wingdings 2" w:cs="Wingdings 2"/>
                <w:bCs/>
                <w:color w:val="auto"/>
                <w:sz w:val="24"/>
                <w:szCs w:val="24"/>
                <w:highlight w:val="none"/>
                <w:lang w:val="en-US" w:eastAsia="zh-CN" w:bidi="ar-SA"/>
              </w:rPr>
              <w:t xml:space="preserve">ê</w:t>
            </w:r>
            <w:r>
              <w:rPr>
                <w:rFonts w:hint="eastAsia" w:ascii="宋体" w:hAnsi="宋体" w:eastAsia="宋体" w:cs="宋体"/>
                <w:bCs/>
                <w:color w:val="auto"/>
                <w:sz w:val="24"/>
                <w:szCs w:val="24"/>
                <w:highlight w:val="none"/>
                <w:lang w:val="en-US" w:eastAsia="zh-CN" w:bidi="ar-SA"/>
              </w:rPr>
              <w:t xml:space="preserve">①支持至少两种采样模式，支持不同深度(≤3m)的采样需求。</w:t>
            </w:r>
            <w:r/>
          </w:p>
        </w:tc>
        <w:tc>
          <w:tcPr>
            <w:tcW w:w="182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bl>
    <w:p>
      <w:pPr>
        <w:ind w:firstLine="480"/>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360" w:lineRule="auto"/>
        <w:widowControl w:val="off"/>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注：①其他技术条款无需提供证明材料，但需编制技术响应偏离表。</w:t>
      </w:r>
      <w:r/>
    </w:p>
    <w:p>
      <w:pPr>
        <w:ind w:firstLine="482"/>
        <w:spacing w:line="360" w:lineRule="auto"/>
        <w:tabs>
          <w:tab w:val="left" w:pos="510" w:leader="none"/>
          <w:tab w:val="left" w:pos="945" w:leader="none"/>
          <w:tab w:val="left" w:pos="1155" w:leader="none"/>
          <w:tab w:val="left" w:pos="3823"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（4）方案设计（</w:t>
      </w:r>
      <w:r>
        <w:rPr>
          <w:rFonts w:hint="eastAsia" w:ascii="宋体" w:hAnsi="宋体" w:cs="宋体"/>
          <w:b/>
          <w:bCs/>
          <w:color w:val="auto"/>
          <w:sz w:val="24"/>
          <w:szCs w:val="24"/>
          <w:highlight w:val="none"/>
          <w:lang w:val="en-US" w:eastAsia="zh-CN"/>
        </w:rPr>
        <w:t xml:space="preserve">32</w:t>
      </w:r>
      <w:r>
        <w:rPr>
          <w:rFonts w:hint="eastAsia" w:ascii="宋体" w:hAnsi="宋体" w:eastAsia="宋体" w:cs="宋体"/>
          <w:b/>
          <w:bCs/>
          <w:color w:val="auto"/>
          <w:sz w:val="24"/>
          <w:szCs w:val="24"/>
          <w:highlight w:val="none"/>
          <w:lang w:val="en-US" w:eastAsia="zh-CN"/>
        </w:rPr>
        <w:t xml:space="preserve">）暗标部分</w:t>
      </w:r>
      <w:r/>
    </w:p>
    <w:p>
      <w:p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1）项目需求分析方案（8分）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根据投标人提供的项目需求分析方案（包含但不限于：①项目背景分析；②项目建设目标理解；③水质现状分析；④现场情况）进行综合评审。</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方案内容丰富饱满、系统全面、针对性强。项目背景分析合理，建设目标理解透彻，项目现状分析到位、论据充分，现场情况了解全面，得8分；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方案内容较为丰富、有一定针对性。对项目背景有一定认识、对项目现状较为合理、现场情况了解较为简单，得5分；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方案内容不够清晰完善。对项目背景、现状、目标、现场情况等叙述不足，得2分；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未提供相应方案不得分。</w:t>
      </w:r>
      <w:r/>
    </w:p>
    <w:p>
      <w:p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2）项目实施方案（8分）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根据投标人提供的项目实施方案（包含但不限于：①设备的介绍；②设备安装点位选址；③选址现场考察情况；④建设难点分析；⑤项目实施计划）进行综合评审。</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bookmarkStart w:id="2" w:name="_Hlk163315528"/>
      <w:r>
        <w:rPr>
          <w:rFonts w:hint="eastAsia" w:ascii="宋体" w:hAnsi="宋体" w:eastAsia="宋体" w:cs="宋体"/>
          <w:color w:val="auto"/>
          <w:sz w:val="24"/>
          <w:szCs w:val="24"/>
          <w:highlight w:val="none"/>
          <w:lang w:val="en-US" w:eastAsia="zh-CN"/>
        </w:rPr>
        <w:t xml:space="preserve">方案内容清晰完善，对所投入的设备有详细的说明介绍，设备安装点位设置合理、考虑全面、并有详细的现场考察，对现场建设的难点分析到位，项目实施计划安排合理，得8分</w:t>
      </w:r>
      <w:bookmarkEnd w:id="2"/>
      <w:r>
        <w:rPr>
          <w:rFonts w:hint="eastAsia" w:ascii="宋体" w:hAnsi="宋体" w:eastAsia="宋体" w:cs="宋体"/>
          <w:color w:val="auto"/>
          <w:sz w:val="24"/>
          <w:szCs w:val="24"/>
          <w:highlight w:val="none"/>
          <w:lang w:val="en-US" w:eastAsia="zh-CN"/>
        </w:rPr>
        <w:t xml:space="preserve">；</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方案内容较为全面，对所投入的设备有较为详细的说明，设备安装点位设置合理，现场考察较为简单，对现场建设的难点有一定的认识，项目实施计划安排不够合理，得5分；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方案内容不够清晰，对所投入设备说明不足、设备安装点位设置不够合理，未开展现场考察的，得2分；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未提供相应方案不得分。</w:t>
      </w:r>
      <w:r/>
    </w:p>
    <w:p>
      <w:pPr>
        <w:numPr>
          <w:ilvl w:val="0"/>
          <w:numId w:val="18"/>
        </w:num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自动化实验室设备集成方案（10分）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根据投标人提供的自动化实验室设备集成方案(方案内容应包含但不限于：①对现有实验室系统结构与组成了解程度、②对现有实验室空间布局设计了解程度、③新增设备与原有进样系统集成方案等）进行评审：</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方案内容完整详实、表述清晰，方案贴合需求、阐述分析准确，完全满足需求要求，可操作性、针对性强，得10分；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方案内容较完整，阐述分析较准确，满足需求要求且具备操作性，针对性较强，得7分；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方案内容基本完整，进行了阐述分析，基本满足需求要求，但细节有待完善，方案基本合理、可行，得4分； </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方案内容不足，阐述不完整，有需求有一定偏差，得2分；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未提供方案的得0分。</w:t>
      </w:r>
      <w:r/>
    </w:p>
    <w:p>
      <w:p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4）运行维护与售后服务方案（6分）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运行维护与售后服务方案(方案内容应包含但不限于：运维巡检内容、实施流程、仪器维护及试剂更换周期、远程监控、质量控制、故障维修、售后服务网点及人员、售后质量保证范围、响应时间及响应措施等）进行评审：</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方案内容完整详实、表述清晰，方案贴合需求、阐述分析准确，完全满足需求要求，可操作性、针对性强，得6分；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方案内容较完整，阐述分析较准确，满足需求要求且具备操作性，针对性较强，得3分；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方案内容基本完整，进行了阐述分析，基本满足需求要求，但细节有待完善，方案基本合理、可行，得1分； </w:t>
      </w:r>
      <w:r/>
    </w:p>
    <w:p>
      <w:pPr>
        <w:ind w:firstLine="480"/>
        <w:spacing w:line="360" w:lineRule="auto"/>
        <w:tabs>
          <w:tab w:val="left" w:pos="510" w:leader="none"/>
          <w:tab w:val="left" w:pos="945" w:leader="none"/>
          <w:tab w:val="left" w:pos="1155" w:leader="none"/>
          <w:tab w:val="left" w:pos="3823"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未提供方案的得0分。</w:t>
      </w:r>
      <w:r/>
    </w:p>
    <w:p>
      <w:p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（5）国家政策导向（2分）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1）环境标志产品：投标产品有《环境标志产品政府采购品目清单》内产品，并提供参与实施政府采购环境标志产品认证机构出具的认证证书得1分。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2）节能产品：投标产品有《节能产品政府采购品目清单》内产品，并提供参与实施政府采购节能产品认证机构出具的认证证书得1分。</w:t>
      </w:r>
      <w:r/>
    </w:p>
    <w:p>
      <w:pPr>
        <w:ind w:firstLine="424"/>
        <w:spacing w:line="360" w:lineRule="auto"/>
        <w:rPr>
          <w:rFonts w:hint="eastAsia" w:ascii="黑体" w:hAnsi="宋体" w:eastAsia="黑体"/>
          <w:bCs/>
          <w:color w:val="auto"/>
          <w:sz w:val="24"/>
          <w:highlight w:val="none"/>
        </w:rPr>
      </w:pPr>
      <w:r>
        <w:rPr>
          <w:rFonts w:hint="eastAsia" w:ascii="宋体" w:hAnsi="宋体" w:cs="宋体"/>
          <w:color w:val="auto"/>
          <w:sz w:val="24"/>
          <w:highlight w:val="none"/>
        </w:rPr>
        <w:t xml:space="preserve">评委在</w:t>
      </w:r>
      <w:r>
        <w:rPr>
          <w:rFonts w:ascii="宋体" w:hAnsi="宋体" w:cs="宋体"/>
          <w:color w:val="auto"/>
          <w:sz w:val="24"/>
          <w:highlight w:val="none"/>
        </w:rPr>
        <w:t xml:space="preserve">5</w:t>
      </w:r>
      <w:r>
        <w:rPr>
          <w:rFonts w:hint="eastAsia" w:ascii="宋体" w:hAnsi="宋体" w:cs="宋体"/>
          <w:color w:val="auto"/>
          <w:sz w:val="24"/>
          <w:highlight w:val="none"/>
        </w:rPr>
        <w:t xml:space="preserve">人及</w:t>
      </w:r>
      <w:r>
        <w:rPr>
          <w:rFonts w:ascii="宋体" w:hAnsi="宋体" w:cs="宋体"/>
          <w:color w:val="auto"/>
          <w:sz w:val="24"/>
          <w:highlight w:val="none"/>
        </w:rPr>
        <w:t xml:space="preserve">5</w:t>
      </w:r>
      <w:r>
        <w:rPr>
          <w:rFonts w:hint="eastAsia" w:ascii="宋体" w:hAnsi="宋体" w:cs="宋体"/>
          <w:color w:val="auto"/>
          <w:sz w:val="24"/>
          <w:highlight w:val="none"/>
        </w:rPr>
        <w:t xml:space="preserve">人以上的，取所有成员的平均值。投标文件无相应评分内容时，该项目为零分。</w:t>
      </w:r>
      <w:r>
        <w:rPr>
          <w:rFonts w:hint="eastAsia" w:ascii="宋体" w:hAnsi="宋体"/>
          <w:bCs/>
          <w:color w:val="auto"/>
          <w:sz w:val="24"/>
          <w:highlight w:val="none"/>
        </w:rPr>
        <w:t xml:space="preserve">评分办法及评分细则的解释权属采购人。未列入本评分细则的其他条件不作为评分内容</w:t>
      </w:r>
      <w:r>
        <w:rPr>
          <w:rFonts w:hint="eastAsia" w:ascii="宋体" w:hAnsi="宋体"/>
          <w:b/>
          <w:bCs/>
          <w:color w:val="auto"/>
          <w:sz w:val="24"/>
          <w:highlight w:val="none"/>
        </w:rPr>
        <w:t xml:space="preserve">。</w:t>
      </w:r>
      <w:r/>
    </w:p>
    <w:p>
      <w:pPr>
        <w:ind w:firstLine="480"/>
        <w:spacing w:line="360" w:lineRule="auto"/>
        <w:tabs>
          <w:tab w:val="left" w:pos="1155" w:leader="none"/>
        </w:tabs>
        <w:rPr>
          <w:rFonts w:ascii="宋体" w:hAnsi="宋体" w:cs="宋体"/>
          <w:color w:val="auto"/>
          <w:sz w:val="24"/>
          <w:highlight w:val="none"/>
        </w:rPr>
      </w:pPr>
      <w:r/>
      <w:bookmarkStart w:id="3" w:name="_Toc231463948"/>
      <w:r>
        <w:rPr>
          <w:rFonts w:ascii="宋体" w:hAnsi="宋体"/>
          <w:bCs/>
          <w:color w:val="auto"/>
          <w:sz w:val="24"/>
          <w:highlight w:val="none"/>
        </w:rPr>
        <w:t xml:space="preserve">1.</w:t>
      </w:r>
      <w:r>
        <w:rPr>
          <w:rFonts w:hint="eastAsia" w:ascii="宋体" w:hAnsi="宋体"/>
          <w:bCs/>
          <w:color w:val="auto"/>
          <w:sz w:val="24"/>
          <w:highlight w:val="none"/>
        </w:rPr>
        <w:t xml:space="preserve"> 评标委员会根据招标文件规定的评标方法和评标标准进行评审，按本次招标的定标规则确定中标候选人，</w:t>
      </w:r>
      <w:r>
        <w:rPr>
          <w:rFonts w:hint="eastAsia" w:ascii="宋体" w:hAnsi="宋体" w:cs="宋体"/>
          <w:color w:val="auto"/>
          <w:sz w:val="24"/>
          <w:highlight w:val="none"/>
        </w:rPr>
        <w:t xml:space="preserve">采</w:t>
      </w:r>
      <w:r>
        <w:rPr>
          <w:rFonts w:hint="eastAsia" w:ascii="宋体" w:hAnsi="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普信国际工程咨询有限公司自中标人确定之日起2个工作日内，在省级以上财政部门指定的媒体（江苏政府采购网、中国政府采购网）上公告中标结</w:t>
      </w:r>
      <w:r>
        <w:rPr>
          <w:rFonts w:hint="eastAsia" w:ascii="宋体" w:hAnsi="宋体" w:cs="宋体"/>
          <w:color w:val="auto"/>
          <w:sz w:val="24"/>
          <w:highlight w:val="none"/>
        </w:rPr>
        <w:t xml:space="preserve">果，在公告中标结果的同时，普信国际工程咨询有限公司向中标人发出中标通知书。</w:t>
      </w:r>
      <w:r/>
    </w:p>
    <w:p>
      <w:pPr>
        <w:ind w:firstLine="480"/>
        <w:spacing w:line="360" w:lineRule="auto"/>
        <w:tabs>
          <w:tab w:val="left" w:pos="1155" w:leader="none"/>
        </w:tabs>
        <w:rPr>
          <w:rFonts w:ascii="宋体" w:hAnsi="宋体" w:cs="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 如有质疑，</w:t>
      </w:r>
      <w:r>
        <w:rPr>
          <w:rFonts w:hint="eastAsia" w:ascii="宋体" w:hAnsi="宋体"/>
          <w:bCs/>
          <w:color w:val="auto"/>
          <w:sz w:val="24"/>
          <w:highlight w:val="none"/>
        </w:rPr>
        <w:t xml:space="preserve">按中华人民共和国财政部令第94号--政府采购质疑和投诉办法执行，供应商在法定质疑期限外送达的质疑函或法定质疑期限内送达的质疑函不符合下述要求的均为无效质疑，普信国际工程咨询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2）供应商提出质疑应当提交质疑函和必要的证明材料。质疑函应当包括下列内容：</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A</w:t>
      </w:r>
      <w:r>
        <w:rPr>
          <w:rFonts w:hint="eastAsia" w:ascii="宋体" w:hAnsi="宋体" w:eastAsia="宋体"/>
          <w:bCs/>
          <w:color w:val="auto"/>
          <w:sz w:val="24"/>
          <w:szCs w:val="24"/>
          <w:highlight w:val="none"/>
        </w:rPr>
        <w:t xml:space="preserve">．供应商的姓名或者名称、地址、邮编、联系人及联系电话；</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B</w:t>
      </w:r>
      <w:r>
        <w:rPr>
          <w:rFonts w:hint="eastAsia" w:ascii="宋体" w:hAnsi="宋体" w:eastAsia="宋体"/>
          <w:bCs/>
          <w:color w:val="auto"/>
          <w:sz w:val="24"/>
          <w:szCs w:val="24"/>
          <w:highlight w:val="none"/>
        </w:rPr>
        <w:t xml:space="preserve">．质疑项目的名称、编号；</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C</w:t>
      </w:r>
      <w:r>
        <w:rPr>
          <w:rFonts w:hint="eastAsia" w:ascii="宋体" w:hAnsi="宋体" w:eastAsia="宋体"/>
          <w:bCs/>
          <w:color w:val="auto"/>
          <w:sz w:val="24"/>
          <w:szCs w:val="24"/>
          <w:highlight w:val="none"/>
        </w:rPr>
        <w:t xml:space="preserve">．具体、明确的质疑事项和与质疑事项相关的请求；</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D</w:t>
      </w:r>
      <w:r>
        <w:rPr>
          <w:rFonts w:hint="eastAsia" w:ascii="宋体" w:hAnsi="宋体" w:eastAsia="宋体"/>
          <w:bCs/>
          <w:color w:val="auto"/>
          <w:sz w:val="24"/>
          <w:szCs w:val="24"/>
          <w:highlight w:val="none"/>
        </w:rPr>
        <w:t xml:space="preserve">．事实依据；</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E</w:t>
      </w:r>
      <w:r>
        <w:rPr>
          <w:rFonts w:hint="eastAsia" w:ascii="宋体" w:hAnsi="宋体" w:eastAsia="宋体"/>
          <w:bCs/>
          <w:color w:val="auto"/>
          <w:sz w:val="24"/>
          <w:szCs w:val="24"/>
          <w:highlight w:val="none"/>
        </w:rPr>
        <w:t xml:space="preserve">．必要的法律依据；</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F</w:t>
      </w:r>
      <w:r>
        <w:rPr>
          <w:rFonts w:hint="eastAsia" w:ascii="宋体" w:hAnsi="宋体" w:eastAsia="宋体"/>
          <w:bCs/>
          <w:color w:val="auto"/>
          <w:sz w:val="24"/>
          <w:szCs w:val="24"/>
          <w:highlight w:val="none"/>
        </w:rPr>
        <w:t xml:space="preserve">．提出质疑的日期。</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726"/>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480"/>
        <w:spacing w:line="360" w:lineRule="auto"/>
        <w:tabs>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投标、开标及定标的整个过程均由有关部门进行现场监督。</w:t>
      </w:r>
      <w:r/>
    </w:p>
    <w:p>
      <w:pPr>
        <w:ind w:firstLine="480"/>
        <w:spacing w:line="360" w:lineRule="auto"/>
        <w:tabs>
          <w:tab w:val="left" w:pos="1155" w:leader="none"/>
        </w:tabs>
        <w:rPr>
          <w:rFonts w:ascii="宋体"/>
          <w:color w:val="auto"/>
          <w:sz w:val="24"/>
          <w:highlight w:val="none"/>
        </w:rPr>
      </w:pPr>
      <w:r>
        <w:rPr>
          <w:rFonts w:hint="eastAsia" w:ascii="宋体" w:hAnsi="宋体"/>
          <w:bCs/>
          <w:color w:val="auto"/>
          <w:sz w:val="24"/>
          <w:highlight w:val="none"/>
        </w:rPr>
        <w:t xml:space="preserve">4.未中标供应商的投标文件正本、中标供应商的投标文件正本及副本（两份）留存，其余投标文件副本和原件退还各投标供应商。</w:t>
      </w:r>
      <w:r/>
    </w:p>
    <w:p>
      <w:pPr>
        <w:ind w:left="-2" w:firstLine="420"/>
        <w:spacing w:line="360" w:lineRule="auto"/>
        <w:rPr>
          <w:rFonts w:ascii="黑体" w:hAnsi="宋体" w:eastAsia="黑体"/>
          <w:color w:val="auto"/>
          <w:sz w:val="24"/>
          <w:highlight w:val="none"/>
        </w:rPr>
        <w:outlineLvl w:val="0"/>
      </w:pPr>
      <w:r>
        <w:rPr>
          <w:rFonts w:hint="eastAsia" w:ascii="黑体" w:hAnsi="宋体" w:eastAsia="黑体" w:cs="黑体"/>
          <w:color w:val="auto"/>
          <w:sz w:val="24"/>
          <w:highlight w:val="none"/>
        </w:rPr>
        <w:t xml:space="preserve">（十一）</w:t>
      </w:r>
      <w:r>
        <w:rPr>
          <w:rFonts w:ascii="黑体" w:hAnsi="宋体" w:eastAsia="黑体" w:cs="黑体"/>
          <w:color w:val="auto"/>
          <w:sz w:val="24"/>
          <w:highlight w:val="none"/>
        </w:rPr>
        <w:t xml:space="preserve"> </w:t>
      </w:r>
      <w:r>
        <w:rPr>
          <w:rFonts w:hint="eastAsia" w:ascii="黑体" w:hAnsi="宋体" w:eastAsia="黑体" w:cs="黑体"/>
          <w:color w:val="auto"/>
          <w:sz w:val="24"/>
          <w:highlight w:val="none"/>
        </w:rPr>
        <w:t xml:space="preserve">废标的确认：</w:t>
      </w:r>
      <w:r/>
    </w:p>
    <w:p>
      <w:pPr>
        <w:ind w:firstLine="480"/>
        <w:spacing w:line="360" w:lineRule="auto"/>
        <w:rPr>
          <w:rFonts w:ascii="宋体"/>
          <w:color w:val="auto"/>
          <w:sz w:val="24"/>
          <w:highlight w:val="none"/>
        </w:rPr>
      </w:pPr>
      <w:r>
        <w:rPr>
          <w:rFonts w:hint="eastAsia" w:ascii="宋体" w:hAnsi="宋体" w:cs="宋体"/>
          <w:color w:val="auto"/>
          <w:sz w:val="24"/>
          <w:highlight w:val="none"/>
        </w:rPr>
        <w:t xml:space="preserve">在招标采购中，出现下列情况之一的，应予废标：</w:t>
      </w:r>
      <w:r/>
    </w:p>
    <w:p>
      <w:pPr>
        <w:ind w:firstLine="480"/>
        <w:spacing w:line="360" w:lineRule="auto"/>
        <w:tabs>
          <w:tab w:val="left" w:pos="1155" w:leader="none"/>
          <w:tab w:val="left" w:pos="1260" w:leader="none"/>
        </w:tabs>
        <w:rPr>
          <w:rFonts w:ascii="宋体"/>
          <w:color w:val="auto"/>
          <w:sz w:val="24"/>
          <w:highlight w:val="none"/>
        </w:rPr>
      </w:pPr>
      <w:r>
        <w:rPr>
          <w:rFonts w:ascii="宋体" w:hAnsi="宋体" w:cs="宋体"/>
          <w:color w:val="auto"/>
          <w:sz w:val="24"/>
          <w:highlight w:val="none"/>
        </w:rPr>
        <w:t xml:space="preserve">1. </w:t>
      </w:r>
      <w:r>
        <w:rPr>
          <w:rFonts w:hint="eastAsia" w:ascii="宋体" w:hAnsi="宋体" w:cs="宋体"/>
          <w:color w:val="auto"/>
          <w:sz w:val="24"/>
          <w:highlight w:val="none"/>
        </w:rPr>
        <w:t xml:space="preserve">符合专业条件的投标供应商或者对招标文件作出实质性响应的投标供应商不足三家；</w:t>
      </w:r>
      <w:r/>
    </w:p>
    <w:p>
      <w:pPr>
        <w:ind w:firstLine="480"/>
        <w:spacing w:line="360" w:lineRule="auto"/>
        <w:tabs>
          <w:tab w:val="left" w:pos="1155" w:leader="none"/>
          <w:tab w:val="left" w:pos="1260" w:leader="none"/>
        </w:tabs>
        <w:rPr>
          <w:rFonts w:ascii="宋体"/>
          <w:color w:val="auto"/>
          <w:sz w:val="24"/>
          <w:highlight w:val="none"/>
        </w:rPr>
      </w:pPr>
      <w:r>
        <w:rPr>
          <w:rFonts w:ascii="宋体" w:hAnsi="宋体" w:cs="宋体"/>
          <w:color w:val="auto"/>
          <w:sz w:val="24"/>
          <w:highlight w:val="none"/>
        </w:rPr>
        <w:t xml:space="preserve">2. </w:t>
      </w:r>
      <w:r>
        <w:rPr>
          <w:rFonts w:hint="eastAsia" w:ascii="宋体" w:hAnsi="宋体" w:cs="宋体"/>
          <w:color w:val="auto"/>
          <w:sz w:val="24"/>
          <w:highlight w:val="none"/>
        </w:rPr>
        <w:t xml:space="preserve">出现影响采购公正的违法、违规行为；</w:t>
      </w:r>
      <w:r/>
    </w:p>
    <w:p>
      <w:pPr>
        <w:ind w:firstLine="480"/>
        <w:spacing w:line="360" w:lineRule="auto"/>
        <w:tabs>
          <w:tab w:val="left" w:pos="1155" w:leader="none"/>
          <w:tab w:val="left" w:pos="1260" w:leader="none"/>
        </w:tabs>
        <w:rPr>
          <w:rFonts w:ascii="宋体"/>
          <w:color w:val="auto"/>
          <w:sz w:val="24"/>
          <w:highlight w:val="none"/>
        </w:rPr>
      </w:pPr>
      <w:r>
        <w:rPr>
          <w:rFonts w:ascii="宋体" w:hAnsi="宋体" w:cs="宋体"/>
          <w:color w:val="auto"/>
          <w:sz w:val="24"/>
          <w:highlight w:val="none"/>
        </w:rPr>
        <w:t xml:space="preserve">3. </w:t>
      </w:r>
      <w:r>
        <w:rPr>
          <w:rFonts w:hint="eastAsia" w:ascii="宋体" w:hAnsi="宋体" w:cs="宋体"/>
          <w:color w:val="auto"/>
          <w:sz w:val="24"/>
          <w:highlight w:val="none"/>
        </w:rPr>
        <w:t xml:space="preserve">投标供应商的报价均超过采购预算，采购人不能支付的；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4. </w:t>
      </w:r>
      <w:r>
        <w:rPr>
          <w:rFonts w:hint="eastAsia" w:ascii="宋体" w:hAnsi="宋体" w:cs="宋体"/>
          <w:color w:val="auto"/>
          <w:sz w:val="24"/>
          <w:highlight w:val="none"/>
        </w:rPr>
        <w:t xml:space="preserve">因重大变故，采购任务取消。</w:t>
      </w:r>
      <w:r/>
    </w:p>
    <w:p>
      <w:pPr>
        <w:ind w:left="-2" w:firstLine="422"/>
        <w:spacing w:line="360" w:lineRule="auto"/>
        <w:rPr>
          <w:rFonts w:ascii="黑体" w:hAnsi="宋体" w:eastAsia="黑体"/>
          <w:color w:val="auto"/>
          <w:sz w:val="24"/>
          <w:highlight w:val="none"/>
        </w:rPr>
        <w:outlineLvl w:val="0"/>
      </w:pPr>
      <w:r>
        <w:rPr>
          <w:rFonts w:hint="eastAsia" w:ascii="黑体" w:hAnsi="宋体" w:eastAsia="黑体" w:cs="黑体"/>
          <w:b/>
          <w:bCs/>
          <w:color w:val="auto"/>
          <w:sz w:val="24"/>
          <w:highlight w:val="none"/>
        </w:rPr>
        <w:t xml:space="preserve">（十二）</w:t>
      </w:r>
      <w:r>
        <w:rPr>
          <w:rFonts w:hint="eastAsia" w:ascii="黑体" w:hAnsi="宋体" w:eastAsia="黑体" w:cs="黑体"/>
          <w:color w:val="auto"/>
          <w:sz w:val="24"/>
          <w:highlight w:val="none"/>
        </w:rPr>
        <w:t xml:space="preserve">中标无效的确认：</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1.</w:t>
      </w:r>
      <w:r>
        <w:rPr>
          <w:rFonts w:hint="eastAsia" w:ascii="宋体" w:hAnsi="宋体" w:cs="宋体"/>
          <w:color w:val="auto"/>
          <w:sz w:val="24"/>
          <w:highlight w:val="none"/>
        </w:rPr>
        <w:t xml:space="preserve">提供虚假材料谋取中标的；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2.</w:t>
      </w:r>
      <w:r>
        <w:rPr>
          <w:rFonts w:hint="eastAsia" w:ascii="宋体" w:hAnsi="宋体" w:cs="宋体"/>
          <w:color w:val="auto"/>
          <w:sz w:val="24"/>
          <w:highlight w:val="none"/>
        </w:rPr>
        <w:t xml:space="preserve">采取不正当手段诋毁、排挤其他投标供应商的；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3.</w:t>
      </w:r>
      <w:r>
        <w:rPr>
          <w:rFonts w:hint="eastAsia" w:ascii="宋体" w:hAnsi="宋体" w:cs="宋体"/>
          <w:color w:val="auto"/>
          <w:sz w:val="24"/>
          <w:highlight w:val="none"/>
        </w:rPr>
        <w:t xml:space="preserve">与招标采购单位、其他投标供应商恶意串通的：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4.</w:t>
      </w:r>
      <w:r>
        <w:rPr>
          <w:rFonts w:hint="eastAsia" w:ascii="宋体" w:hAnsi="宋体" w:cs="宋体"/>
          <w:color w:val="auto"/>
          <w:sz w:val="24"/>
          <w:highlight w:val="none"/>
        </w:rPr>
        <w:t xml:space="preserve">向招标采购单位行贿或者提供其他不正当利益的；</w:t>
      </w:r>
      <w:r/>
    </w:p>
    <w:p>
      <w:pPr>
        <w:ind w:left="-2" w:firstLine="480"/>
        <w:spacing w:line="360" w:lineRule="auto"/>
        <w:rPr>
          <w:rFonts w:ascii="宋体"/>
          <w:color w:val="auto"/>
          <w:sz w:val="24"/>
          <w:highlight w:val="none"/>
        </w:rPr>
        <w:outlineLvl w:val="0"/>
      </w:pPr>
      <w:r>
        <w:rPr>
          <w:rFonts w:ascii="宋体" w:hAnsi="宋体" w:cs="宋体"/>
          <w:color w:val="auto"/>
          <w:sz w:val="24"/>
          <w:highlight w:val="none"/>
        </w:rPr>
        <w:t xml:space="preserve">5.</w:t>
      </w:r>
      <w:r>
        <w:rPr>
          <w:rFonts w:hint="eastAsia" w:ascii="宋体" w:hAnsi="宋体" w:cs="宋体"/>
          <w:color w:val="auto"/>
          <w:sz w:val="24"/>
          <w:highlight w:val="none"/>
        </w:rPr>
        <w:t xml:space="preserve">在招标过程中与招标采购单位进行协商谈判、不按照招标文件和中标单位的投标文件订立合同，或者与采购单位另行订立背离合同实质性内容的协议的；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6.</w:t>
      </w:r>
      <w:r>
        <w:rPr>
          <w:rFonts w:hint="eastAsia" w:ascii="宋体" w:hAnsi="宋体" w:cs="宋体"/>
          <w:color w:val="auto"/>
          <w:sz w:val="24"/>
          <w:highlight w:val="none"/>
        </w:rPr>
        <w:t xml:space="preserve">拒绝有关部门监督检查或者提供虚假情况的。</w:t>
      </w:r>
      <w:r/>
    </w:p>
    <w:p>
      <w:pPr>
        <w:ind w:firstLine="480"/>
        <w:spacing w:line="360" w:lineRule="auto"/>
        <w:rPr>
          <w:rFonts w:hint="eastAsia" w:ascii="宋体" w:hAnsi="宋体"/>
          <w:bCs/>
          <w:color w:val="auto"/>
          <w:sz w:val="24"/>
          <w:highlight w:val="none"/>
        </w:rPr>
        <w:outlineLvl w:val="0"/>
      </w:pPr>
      <w:r>
        <w:rPr>
          <w:rFonts w:hint="eastAsia" w:ascii="宋体" w:hAnsi="宋体" w:cs="宋体"/>
          <w:color w:val="auto"/>
          <w:sz w:val="24"/>
          <w:highlight w:val="none"/>
        </w:rPr>
        <w:t xml:space="preserve">投标供应商有上述</w:t>
      </w:r>
      <w:r>
        <w:rPr>
          <w:rFonts w:ascii="宋体" w:hAnsi="宋体" w:cs="宋体"/>
          <w:color w:val="auto"/>
          <w:sz w:val="24"/>
          <w:highlight w:val="none"/>
        </w:rPr>
        <w:t xml:space="preserve">1</w:t>
      </w:r>
      <w:r>
        <w:rPr>
          <w:rFonts w:hint="eastAsia" w:ascii="宋体" w:hAnsi="宋体" w:cs="宋体"/>
          <w:color w:val="auto"/>
          <w:sz w:val="24"/>
          <w:highlight w:val="none"/>
        </w:rPr>
        <w:t xml:space="preserve">至</w:t>
      </w:r>
      <w:r>
        <w:rPr>
          <w:rFonts w:ascii="宋体" w:hAnsi="宋体" w:cs="宋体"/>
          <w:color w:val="auto"/>
          <w:sz w:val="24"/>
          <w:highlight w:val="none"/>
        </w:rPr>
        <w:t xml:space="preserve">5</w:t>
      </w:r>
      <w:r>
        <w:rPr>
          <w:rFonts w:hint="eastAsia" w:ascii="宋体" w:hAnsi="宋体" w:cs="宋体"/>
          <w:color w:val="auto"/>
          <w:sz w:val="24"/>
          <w:highlight w:val="none"/>
        </w:rPr>
        <w:t xml:space="preserve">项情形之一的，中标无效。有上述</w:t>
      </w:r>
      <w:r>
        <w:rPr>
          <w:rFonts w:ascii="宋体" w:hAnsi="宋体" w:cs="宋体"/>
          <w:color w:val="auto"/>
          <w:sz w:val="24"/>
          <w:highlight w:val="none"/>
        </w:rPr>
        <w:t xml:space="preserve">1</w:t>
      </w:r>
      <w:r>
        <w:rPr>
          <w:rFonts w:hint="eastAsia" w:ascii="宋体" w:hAnsi="宋体" w:cs="宋体"/>
          <w:color w:val="auto"/>
          <w:sz w:val="24"/>
          <w:highlight w:val="none"/>
        </w:rPr>
        <w:t xml:space="preserve">至</w:t>
      </w:r>
      <w:r>
        <w:rPr>
          <w:rFonts w:ascii="宋体" w:hAnsi="宋体" w:cs="宋体"/>
          <w:color w:val="auto"/>
          <w:sz w:val="24"/>
          <w:highlight w:val="none"/>
        </w:rPr>
        <w:t xml:space="preserve">6</w:t>
      </w:r>
      <w:r>
        <w:rPr>
          <w:rFonts w:hint="eastAsia" w:ascii="宋体" w:hAnsi="宋体" w:cs="宋体"/>
          <w:color w:val="auto"/>
          <w:sz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360"/>
        <w:spacing w:line="360" w:lineRule="auto"/>
        <w:rPr>
          <w:rFonts w:hint="eastAsia" w:ascii="宋体" w:hAnsi="宋体" w:cs="宋体"/>
          <w:b/>
          <w:color w:val="auto"/>
          <w:sz w:val="24"/>
          <w:highlight w:val="none"/>
        </w:rPr>
        <w:outlineLvl w:val="0"/>
      </w:pPr>
      <w:r>
        <w:rPr>
          <w:rFonts w:hint="eastAsia" w:ascii="黑体" w:hAnsi="宋体" w:eastAsia="黑体"/>
          <w:bCs/>
          <w:color w:val="auto"/>
          <w:sz w:val="24"/>
          <w:highlight w:val="none"/>
        </w:rPr>
        <w:t xml:space="preserve">（十三）</w:t>
      </w:r>
      <w:r>
        <w:rPr>
          <w:rFonts w:hint="eastAsia" w:ascii="宋体" w:hAnsi="宋体" w:cs="宋体"/>
          <w:b/>
          <w:color w:val="auto"/>
          <w:sz w:val="24"/>
          <w:highlight w:val="none"/>
        </w:rPr>
        <w:t xml:space="preserve">履约担保（本项目履约保证金</w:t>
      </w:r>
      <w:r>
        <w:rPr>
          <w:rFonts w:hint="eastAsia" w:ascii="宋体" w:hAnsi="宋体" w:cs="宋体"/>
          <w:b/>
          <w:color w:val="auto"/>
          <w:sz w:val="24"/>
          <w:highlight w:val="none"/>
          <w:lang w:val="en-US" w:eastAsia="zh-CN"/>
        </w:rPr>
        <w:t xml:space="preserve">合同价的10%</w:t>
      </w:r>
      <w:r>
        <w:rPr>
          <w:rFonts w:hint="eastAsia" w:ascii="宋体" w:hAnsi="宋体" w:cs="宋体"/>
          <w:b/>
          <w:color w:val="auto"/>
          <w:sz w:val="24"/>
          <w:highlight w:val="none"/>
        </w:rPr>
        <w:t xml:space="preserve">）</w:t>
      </w:r>
      <w:r/>
    </w:p>
    <w:p>
      <w:pPr>
        <w:ind w:firstLine="60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根据我市政府采购信用担保政策文件要求，履约担保要求如下：</w:t>
      </w:r>
      <w:r/>
    </w:p>
    <w:p>
      <w:pPr>
        <w:ind w:firstLine="60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720"/>
        <w:spacing w:line="360" w:lineRule="auto"/>
        <w:tabs>
          <w:tab w:val="left" w:pos="900" w:leader="none"/>
        </w:tabs>
        <w:rPr>
          <w:rFonts w:hint="eastAsia"/>
          <w:color w:val="auto"/>
          <w:highlight w:val="none"/>
        </w:rPr>
      </w:pPr>
      <w:r>
        <w:rPr>
          <w:rFonts w:hint="eastAsia" w:ascii="宋体" w:hAnsi="宋体" w:cs="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360" w:lineRule="auto"/>
        <w:tabs>
          <w:tab w:val="left" w:pos="525" w:leader="none"/>
          <w:tab w:val="left" w:pos="900" w:leader="none"/>
          <w:tab w:val="left" w:pos="105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（十四）合同融资</w:t>
      </w:r>
      <w:r/>
    </w:p>
    <w:p>
      <w:pPr>
        <w:ind w:left="37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根据我市《关于开展政府采购合同融资工作的通知》（锡财购〔2020〕17号）要求，合同融资条款</w:t>
      </w:r>
      <w:r>
        <w:rPr>
          <w:rFonts w:hint="eastAsia" w:ascii="宋体" w:hAnsi="宋体" w:cs="宋体"/>
          <w:bCs/>
          <w:color w:val="auto"/>
          <w:sz w:val="24"/>
          <w:highlight w:val="none"/>
        </w:rPr>
        <w:t xml:space="preserve">要求如下</w:t>
      </w:r>
      <w:r>
        <w:rPr>
          <w:rFonts w:hint="eastAsia" w:ascii="宋体" w:hAnsi="宋体" w:cs="宋体"/>
          <w:color w:val="auto"/>
          <w:sz w:val="24"/>
          <w:highlight w:val="none"/>
        </w:rPr>
        <w:t xml:space="preserve">：</w:t>
      </w:r>
      <w:r/>
    </w:p>
    <w:p>
      <w:pPr>
        <w:ind w:left="37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合同融资，是指参与政府采购的供应商，凭借中</w:t>
      </w:r>
      <w:r>
        <w:rPr>
          <w:rFonts w:hint="eastAsia" w:ascii="宋体" w:hAnsi="宋体" w:cs="宋体"/>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479"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2"/>
        <w:spacing w:line="360" w:lineRule="auto"/>
        <w:tabs>
          <w:tab w:val="left" w:pos="525" w:leader="none"/>
          <w:tab w:val="left" w:pos="900" w:leader="none"/>
          <w:tab w:val="left" w:pos="105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（十五）其他：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招标文件的条款必须认真审阅，投标人应自行检查招标文件页数是否齐全。若有遗漏、重复或不清楚，需立刻通知采购人予以更正；凡属对条款的误解所造成的投标价格失误，由投标人负责。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本项目招标代理费由中标人在领取中标通知书时向招标代理</w:t>
      </w:r>
      <w:r>
        <w:rPr>
          <w:rFonts w:hint="eastAsia" w:ascii="宋体" w:hAnsi="宋体" w:cs="宋体"/>
          <w:color w:val="auto"/>
          <w:sz w:val="24"/>
          <w:highlight w:val="none"/>
          <w:lang w:eastAsia="zh-CN"/>
        </w:rPr>
        <w:t xml:space="preserve">机构</w:t>
      </w:r>
      <w:r>
        <w:rPr>
          <w:rFonts w:hint="eastAsia" w:ascii="宋体" w:hAnsi="宋体" w:cs="宋体"/>
          <w:color w:val="auto"/>
          <w:sz w:val="24"/>
          <w:highlight w:val="none"/>
        </w:rPr>
        <w:t xml:space="preserve">支付，各投标人应将招标代理服务费自行考虑包含在投标报价中。本项目招标代理服务费按照标段中标金额100万以下部分费率为中标金额的1.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%，100-500万部分费率为中标金额的0.</w:t>
      </w:r>
      <w:r>
        <w:rPr>
          <w:rFonts w:hint="eastAsia" w:ascii="宋体" w:hAnsi="宋体" w:cs="宋体"/>
          <w:color w:val="auto"/>
          <w:sz w:val="24"/>
          <w:highlight w:val="none"/>
          <w:lang w:val="en-US" w:eastAsia="zh-CN"/>
        </w:rPr>
        <w:t xml:space="preserve">88</w:t>
      </w: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00-</w:t>
      </w:r>
      <w:r>
        <w:rPr>
          <w:rFonts w:ascii="宋体" w:hAnsi="宋体" w:cs="宋体"/>
          <w:color w:val="auto"/>
          <w:sz w:val="24"/>
          <w:highlight w:val="none"/>
        </w:rPr>
        <w:t xml:space="preserve">10</w:t>
      </w:r>
      <w:r>
        <w:rPr>
          <w:rFonts w:hint="eastAsia" w:ascii="宋体" w:hAnsi="宋体" w:cs="宋体"/>
          <w:color w:val="auto"/>
          <w:sz w:val="24"/>
          <w:highlight w:val="none"/>
        </w:rPr>
        <w:t xml:space="preserve">00万部分费率为中标金额的0.</w:t>
      </w:r>
      <w:r>
        <w:rPr>
          <w:rFonts w:hint="eastAsia" w:ascii="宋体" w:hAnsi="宋体" w:cs="宋体"/>
          <w:color w:val="auto"/>
          <w:sz w:val="24"/>
          <w:highlight w:val="none"/>
          <w:lang w:val="en-US" w:eastAsia="zh-CN"/>
        </w:rPr>
        <w:t xml:space="preserve">64</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1000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0</w:t>
      </w:r>
      <w:r>
        <w:rPr>
          <w:rFonts w:hint="eastAsia" w:ascii="宋体" w:hAnsi="宋体" w:cs="宋体"/>
          <w:color w:val="auto"/>
          <w:sz w:val="24"/>
          <w:highlight w:val="none"/>
        </w:rPr>
        <w:t xml:space="preserve">00万部分费率为中标金额的0.</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p>
    <w:p>
      <w:pPr>
        <w:numPr>
          <w:ilvl w:val="0"/>
          <w:numId w:val="19"/>
        </w:numPr>
        <w:ind w:left="2732" w:hanging="2732"/>
        <w:jc w:val="center"/>
        <w:spacing w:after="120" w:line="360" w:lineRule="auto"/>
        <w:rPr>
          <w:rFonts w:ascii="宋体" w:hAnsi="宋体" w:cs="宋体"/>
          <w:b/>
          <w:bCs/>
          <w:color w:val="auto"/>
          <w:sz w:val="36"/>
          <w:szCs w:val="36"/>
          <w:highlight w:val="none"/>
        </w:rPr>
        <w:sectPr>
          <w:headerReference w:type="default" r:id="rId9"/>
          <w:headerReference w:type="first" r:id="rId10"/>
          <w:footerReference w:type="default" r:id="rId11"/>
          <w:footnotePr/>
          <w:endnotePr/>
          <w:type w:val="nextPage"/>
          <w:pgSz w:w="11906" w:h="16838" w:orient="portrait"/>
          <w:pgMar w:top="1240" w:right="1440" w:bottom="1318" w:left="1440" w:header="851" w:footer="992" w:gutter="0"/>
          <w:cols w:num="1" w:sep="0" w:space="720" w:equalWidth="1"/>
          <w:docGrid w:linePitch="360"/>
        </w:sectPr>
      </w:pPr>
      <w:r>
        <w:rPr>
          <w:rFonts w:ascii="宋体" w:hAnsi="宋体" w:cs="宋体"/>
          <w:b/>
          <w:bCs/>
          <w:color w:val="auto"/>
          <w:sz w:val="36"/>
          <w:szCs w:val="36"/>
          <w:highlight w:val="none"/>
        </w:rPr>
      </w:r>
      <w:r/>
    </w:p>
    <w:p>
      <w:pPr>
        <w:numPr>
          <w:ilvl w:val="0"/>
          <w:numId w:val="20"/>
        </w:num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项目需求及有关说明</w:t>
      </w:r>
      <w:bookmarkEnd w:id="3"/>
      <w:r/>
      <w:bookmarkStart w:id="4" w:name="_Toc471740285"/>
      <w:r/>
      <w:bookmarkEnd w:id="4"/>
      <w:r/>
      <w:bookmarkStart w:id="5" w:name="_Toc388279018"/>
      <w:r/>
      <w:bookmarkEnd w:id="5"/>
      <w:r/>
      <w:bookmarkStart w:id="6" w:name="_Toc452556656"/>
      <w:r/>
      <w:bookmarkEnd w:id="6"/>
      <w:r/>
      <w:bookmarkStart w:id="7" w:name="_Toc452502371"/>
      <w:r/>
      <w:bookmarkEnd w:id="7"/>
      <w:r/>
      <w:bookmarkStart w:id="8" w:name="_Toc452556730"/>
      <w:r/>
      <w:bookmarkEnd w:id="8"/>
      <w:r/>
      <w:bookmarkStart w:id="9" w:name="_Toc452502463"/>
      <w:r/>
      <w:bookmarkEnd w:id="9"/>
      <w:r/>
      <w:bookmarkStart w:id="10" w:name="_Toc452556496"/>
      <w:r/>
      <w:bookmarkEnd w:id="10"/>
      <w:r/>
      <w:bookmarkStart w:id="11" w:name="_Toc382579311"/>
      <w:r/>
      <w:bookmarkEnd w:id="11"/>
      <w:r/>
      <w:bookmarkStart w:id="12" w:name="_Toc452502449"/>
      <w:r/>
      <w:bookmarkEnd w:id="12"/>
      <w:r/>
      <w:bookmarkStart w:id="13" w:name="_Toc471745368"/>
      <w:r/>
      <w:bookmarkEnd w:id="13"/>
      <w:r/>
      <w:bookmarkStart w:id="14" w:name="_Toc402880664"/>
      <w:r/>
      <w:bookmarkEnd w:id="14"/>
      <w:r/>
      <w:bookmarkStart w:id="15" w:name="_Toc452556504"/>
      <w:r/>
      <w:bookmarkEnd w:id="15"/>
      <w:r/>
      <w:bookmarkStart w:id="16" w:name="_Toc452502557"/>
      <w:r/>
      <w:bookmarkEnd w:id="16"/>
      <w:r/>
      <w:bookmarkStart w:id="17" w:name="_Toc452502552"/>
      <w:r/>
      <w:bookmarkEnd w:id="17"/>
      <w:r/>
      <w:bookmarkStart w:id="18" w:name="_Toc402880646"/>
      <w:r/>
      <w:bookmarkEnd w:id="18"/>
      <w:r/>
      <w:bookmarkStart w:id="19" w:name="_Toc452502377"/>
      <w:r/>
      <w:bookmarkEnd w:id="19"/>
      <w:r/>
      <w:bookmarkStart w:id="20" w:name="_Toc452556736"/>
      <w:r/>
      <w:bookmarkEnd w:id="20"/>
      <w:r/>
      <w:bookmarkStart w:id="21" w:name="_Toc452556541"/>
      <w:r/>
      <w:bookmarkEnd w:id="21"/>
      <w:r/>
      <w:bookmarkStart w:id="22" w:name="_Toc452502500"/>
      <w:r/>
      <w:bookmarkEnd w:id="22"/>
      <w:r/>
      <w:bookmarkStart w:id="23" w:name="_Toc452502573"/>
      <w:r/>
      <w:bookmarkEnd w:id="23"/>
      <w:r/>
      <w:bookmarkStart w:id="24" w:name="_Toc452502311"/>
      <w:r/>
      <w:bookmarkEnd w:id="24"/>
      <w:r/>
      <w:bookmarkStart w:id="25" w:name="_Toc452556669"/>
      <w:r/>
      <w:bookmarkEnd w:id="25"/>
      <w:r/>
      <w:bookmarkStart w:id="26" w:name="_Toc443332026"/>
      <w:r/>
      <w:bookmarkEnd w:id="26"/>
      <w:r/>
      <w:bookmarkStart w:id="27" w:name="_Toc452502315"/>
      <w:r/>
      <w:bookmarkEnd w:id="27"/>
      <w:r/>
      <w:bookmarkStart w:id="28" w:name="_Toc402880604"/>
      <w:r/>
      <w:bookmarkEnd w:id="28"/>
      <w:r/>
      <w:bookmarkStart w:id="29" w:name="_Toc452502476"/>
      <w:r/>
      <w:bookmarkEnd w:id="29"/>
      <w:r/>
      <w:bookmarkStart w:id="30" w:name="_Toc452556751"/>
      <w:r/>
      <w:bookmarkEnd w:id="30"/>
      <w:r/>
      <w:bookmarkStart w:id="31" w:name="_Toc443332025"/>
      <w:r/>
      <w:bookmarkEnd w:id="31"/>
      <w:r/>
      <w:bookmarkStart w:id="32" w:name="_Toc452556713"/>
      <w:r/>
      <w:bookmarkEnd w:id="32"/>
      <w:r/>
      <w:bookmarkStart w:id="33" w:name="_Toc452502560"/>
      <w:r/>
      <w:bookmarkEnd w:id="33"/>
      <w:r/>
      <w:bookmarkStart w:id="34" w:name="_Toc471743612"/>
      <w:r/>
      <w:bookmarkEnd w:id="34"/>
      <w:r/>
      <w:bookmarkStart w:id="35" w:name="_Toc381964099"/>
      <w:r/>
      <w:bookmarkEnd w:id="35"/>
      <w:r/>
      <w:bookmarkStart w:id="36" w:name="_Toc452502458"/>
      <w:r/>
      <w:bookmarkEnd w:id="36"/>
      <w:r/>
      <w:bookmarkStart w:id="37" w:name="_Toc381963376"/>
      <w:r/>
      <w:bookmarkEnd w:id="37"/>
      <w:r/>
      <w:bookmarkStart w:id="38" w:name="_Toc452502330"/>
      <w:r/>
      <w:bookmarkEnd w:id="38"/>
      <w:r/>
      <w:bookmarkStart w:id="39" w:name="_Toc452502460"/>
      <w:r/>
      <w:bookmarkEnd w:id="39"/>
      <w:r/>
      <w:bookmarkStart w:id="40" w:name="_Toc452502481"/>
      <w:r/>
      <w:bookmarkEnd w:id="40"/>
      <w:r/>
      <w:bookmarkStart w:id="41" w:name="_Toc452502473"/>
      <w:r/>
      <w:bookmarkEnd w:id="41"/>
      <w:r/>
      <w:bookmarkStart w:id="42" w:name="_Toc452556554"/>
      <w:r/>
      <w:bookmarkEnd w:id="42"/>
      <w:r/>
      <w:bookmarkStart w:id="43" w:name="_Toc452502493"/>
      <w:r/>
      <w:bookmarkEnd w:id="43"/>
      <w:r/>
      <w:bookmarkStart w:id="44" w:name="_Toc452556695"/>
      <w:r/>
      <w:bookmarkEnd w:id="44"/>
      <w:r/>
      <w:bookmarkStart w:id="45" w:name="_Toc471740776"/>
      <w:r/>
      <w:bookmarkEnd w:id="45"/>
      <w:r/>
      <w:bookmarkStart w:id="46" w:name="_Toc452556517"/>
      <w:r/>
      <w:bookmarkEnd w:id="46"/>
      <w:r/>
      <w:bookmarkStart w:id="47" w:name="_Toc452502511"/>
      <w:r/>
      <w:bookmarkEnd w:id="47"/>
      <w:r/>
      <w:bookmarkStart w:id="48" w:name="_Toc452502527"/>
      <w:r/>
      <w:bookmarkEnd w:id="48"/>
      <w:r/>
      <w:bookmarkStart w:id="49" w:name="_Toc452556598"/>
      <w:r/>
      <w:bookmarkEnd w:id="49"/>
      <w:r/>
      <w:bookmarkStart w:id="50" w:name="_Toc452502339"/>
      <w:r/>
      <w:bookmarkEnd w:id="50"/>
      <w:r/>
      <w:bookmarkStart w:id="51" w:name="_Toc471745869"/>
      <w:r/>
      <w:bookmarkEnd w:id="51"/>
      <w:r/>
      <w:bookmarkStart w:id="52" w:name="_Toc452556649"/>
      <w:r/>
      <w:bookmarkEnd w:id="52"/>
      <w:r/>
      <w:bookmarkStart w:id="53" w:name="_Toc452556769"/>
      <w:r/>
      <w:bookmarkEnd w:id="53"/>
      <w:r/>
      <w:bookmarkStart w:id="54" w:name="_Toc381964098"/>
      <w:r/>
      <w:bookmarkEnd w:id="54"/>
      <w:r/>
      <w:bookmarkStart w:id="55" w:name="_Toc452556630"/>
      <w:r/>
      <w:bookmarkEnd w:id="55"/>
      <w:r/>
      <w:bookmarkStart w:id="56" w:name="_Toc452556766"/>
      <w:r/>
      <w:bookmarkEnd w:id="56"/>
      <w:r/>
      <w:bookmarkStart w:id="57" w:name="_Toc402880656"/>
      <w:r/>
      <w:bookmarkEnd w:id="57"/>
      <w:r/>
      <w:bookmarkStart w:id="58" w:name="_Toc452502561"/>
      <w:r/>
      <w:bookmarkEnd w:id="58"/>
      <w:r/>
      <w:bookmarkStart w:id="59" w:name="_Toc452502544"/>
      <w:r/>
      <w:bookmarkEnd w:id="59"/>
      <w:r/>
      <w:bookmarkStart w:id="60" w:name="_Toc452556508"/>
      <w:r/>
      <w:bookmarkEnd w:id="60"/>
      <w:r/>
      <w:bookmarkStart w:id="61" w:name="_Toc452502499"/>
      <w:r/>
      <w:bookmarkEnd w:id="61"/>
      <w:r/>
      <w:bookmarkStart w:id="62" w:name="_Toc452502379"/>
      <w:r/>
      <w:bookmarkEnd w:id="62"/>
      <w:r/>
      <w:bookmarkStart w:id="63" w:name="_Toc452556665"/>
      <w:r/>
      <w:bookmarkEnd w:id="63"/>
      <w:r/>
      <w:bookmarkStart w:id="64" w:name="_Toc402880605"/>
      <w:r/>
      <w:bookmarkEnd w:id="64"/>
      <w:r/>
      <w:bookmarkStart w:id="65" w:name="_Toc452502419"/>
      <w:r/>
      <w:bookmarkEnd w:id="65"/>
      <w:r/>
      <w:bookmarkStart w:id="66" w:name="_Toc452556507"/>
      <w:r/>
      <w:bookmarkEnd w:id="66"/>
      <w:r/>
      <w:bookmarkStart w:id="67" w:name="_Toc452556721"/>
      <w:r/>
      <w:bookmarkEnd w:id="67"/>
      <w:r/>
      <w:bookmarkStart w:id="68" w:name="_Toc471745369"/>
      <w:r/>
      <w:bookmarkEnd w:id="68"/>
      <w:r/>
      <w:bookmarkStart w:id="69" w:name="_Toc402880619"/>
      <w:r/>
      <w:bookmarkEnd w:id="69"/>
      <w:r/>
      <w:bookmarkStart w:id="70" w:name="_Toc402880642"/>
      <w:r/>
      <w:bookmarkEnd w:id="70"/>
      <w:r/>
      <w:bookmarkStart w:id="71" w:name="_Toc452502422"/>
      <w:r/>
      <w:bookmarkEnd w:id="71"/>
      <w:r/>
      <w:bookmarkStart w:id="72" w:name="_Toc381963374"/>
      <w:r/>
      <w:bookmarkEnd w:id="72"/>
      <w:r/>
      <w:bookmarkStart w:id="73" w:name="_Toc452556816"/>
      <w:r/>
      <w:bookmarkEnd w:id="73"/>
      <w:r/>
      <w:bookmarkStart w:id="74" w:name="_Toc452502569"/>
      <w:r/>
      <w:bookmarkEnd w:id="74"/>
      <w:r/>
      <w:bookmarkStart w:id="75" w:name="_Toc452556513"/>
      <w:r/>
      <w:bookmarkEnd w:id="75"/>
      <w:r/>
      <w:bookmarkStart w:id="76" w:name="_Toc402880660"/>
      <w:r/>
      <w:bookmarkEnd w:id="76"/>
      <w:r/>
      <w:bookmarkStart w:id="77" w:name="_Toc452502467"/>
      <w:r/>
      <w:bookmarkEnd w:id="77"/>
      <w:r/>
      <w:bookmarkStart w:id="78" w:name="_Toc452556733"/>
      <w:r/>
      <w:bookmarkEnd w:id="78"/>
      <w:r/>
      <w:bookmarkStart w:id="79" w:name="_Toc452502327"/>
      <w:r/>
      <w:bookmarkEnd w:id="79"/>
      <w:r/>
      <w:bookmarkStart w:id="80" w:name="_Toc452556763"/>
      <w:r/>
      <w:bookmarkEnd w:id="80"/>
      <w:r/>
      <w:bookmarkStart w:id="81" w:name="_Toc452556825"/>
      <w:r/>
      <w:bookmarkEnd w:id="81"/>
      <w:r/>
      <w:bookmarkStart w:id="82" w:name="_Toc452502387"/>
      <w:r/>
      <w:bookmarkEnd w:id="82"/>
      <w:r/>
      <w:bookmarkStart w:id="83" w:name="_Toc402880626"/>
      <w:r/>
      <w:bookmarkEnd w:id="83"/>
      <w:r/>
      <w:bookmarkStart w:id="84" w:name="_Toc471745868"/>
      <w:r/>
      <w:bookmarkEnd w:id="84"/>
      <w:r/>
      <w:bookmarkStart w:id="85" w:name="_Toc452502548"/>
      <w:r/>
      <w:bookmarkEnd w:id="85"/>
      <w:r/>
      <w:bookmarkStart w:id="86" w:name="_Toc402880679"/>
      <w:r/>
      <w:bookmarkEnd w:id="86"/>
      <w:r/>
      <w:bookmarkStart w:id="87" w:name="_Toc452502352"/>
      <w:r/>
      <w:bookmarkEnd w:id="87"/>
      <w:r/>
      <w:bookmarkStart w:id="88" w:name="_Toc452502524"/>
      <w:r/>
      <w:bookmarkEnd w:id="88"/>
      <w:r/>
      <w:bookmarkStart w:id="89" w:name="_Toc402880689"/>
      <w:r/>
      <w:bookmarkEnd w:id="89"/>
      <w:r/>
      <w:bookmarkStart w:id="90" w:name="_Toc452556527"/>
      <w:r/>
      <w:bookmarkEnd w:id="90"/>
      <w:r/>
      <w:bookmarkStart w:id="91" w:name="_Toc471745362"/>
      <w:r/>
      <w:bookmarkEnd w:id="91"/>
      <w:r/>
      <w:bookmarkStart w:id="92" w:name="_Toc400913979"/>
      <w:r/>
      <w:bookmarkEnd w:id="92"/>
      <w:r/>
      <w:bookmarkStart w:id="93" w:name="_Toc452502429"/>
      <w:r/>
      <w:bookmarkEnd w:id="93"/>
      <w:r/>
      <w:bookmarkStart w:id="94" w:name="_Toc452502483"/>
      <w:r/>
      <w:bookmarkEnd w:id="94"/>
      <w:r/>
      <w:bookmarkStart w:id="95" w:name="_Toc452556802"/>
      <w:r/>
      <w:bookmarkEnd w:id="95"/>
      <w:r/>
      <w:bookmarkStart w:id="96" w:name="_Toc452502350"/>
      <w:r/>
      <w:bookmarkEnd w:id="96"/>
      <w:r/>
      <w:bookmarkStart w:id="97" w:name="_Toc443332019"/>
      <w:r/>
      <w:bookmarkEnd w:id="97"/>
      <w:r/>
      <w:bookmarkStart w:id="98" w:name="_Toc452502401"/>
      <w:r/>
      <w:bookmarkEnd w:id="98"/>
      <w:r/>
      <w:bookmarkStart w:id="99" w:name="_Toc452502529"/>
      <w:r/>
      <w:bookmarkEnd w:id="99"/>
      <w:r/>
      <w:bookmarkStart w:id="100" w:name="_Toc452502342"/>
      <w:r/>
      <w:bookmarkEnd w:id="100"/>
      <w:r/>
      <w:bookmarkStart w:id="101" w:name="_Toc452556538"/>
      <w:r/>
      <w:bookmarkEnd w:id="101"/>
      <w:r/>
      <w:bookmarkStart w:id="102" w:name="_Toc471741425"/>
      <w:r/>
      <w:bookmarkEnd w:id="102"/>
      <w:r/>
      <w:bookmarkStart w:id="103" w:name="_Toc452502501"/>
      <w:r/>
      <w:bookmarkEnd w:id="103"/>
      <w:r/>
      <w:bookmarkStart w:id="104" w:name="_Toc452502329"/>
      <w:r/>
      <w:bookmarkEnd w:id="104"/>
      <w:r/>
      <w:bookmarkStart w:id="105" w:name="_Toc452556703"/>
      <w:r/>
      <w:bookmarkEnd w:id="105"/>
      <w:r/>
      <w:bookmarkStart w:id="106" w:name="_Toc402880623"/>
      <w:r/>
      <w:bookmarkEnd w:id="106"/>
      <w:r/>
      <w:bookmarkStart w:id="107" w:name="_Toc452502435"/>
      <w:r/>
      <w:bookmarkEnd w:id="107"/>
      <w:r/>
      <w:bookmarkStart w:id="108" w:name="_Toc452502497"/>
      <w:r/>
      <w:bookmarkEnd w:id="108"/>
      <w:r/>
      <w:bookmarkStart w:id="109" w:name="_Toc381963372"/>
      <w:r/>
      <w:bookmarkEnd w:id="109"/>
      <w:r/>
      <w:bookmarkStart w:id="110" w:name="_Toc452502373"/>
      <w:r/>
      <w:bookmarkEnd w:id="110"/>
      <w:r/>
      <w:bookmarkStart w:id="111" w:name="_Toc452502408"/>
      <w:r/>
      <w:bookmarkEnd w:id="111"/>
      <w:r/>
      <w:bookmarkStart w:id="112" w:name="_Toc452556750"/>
      <w:r/>
      <w:bookmarkEnd w:id="112"/>
      <w:r/>
      <w:bookmarkStart w:id="113" w:name="_Toc452556629"/>
      <w:r/>
      <w:bookmarkEnd w:id="113"/>
      <w:r/>
      <w:bookmarkStart w:id="114" w:name="_Toc471745860"/>
      <w:r/>
      <w:bookmarkEnd w:id="114"/>
      <w:r/>
      <w:bookmarkStart w:id="115" w:name="_Toc402880652"/>
      <w:r/>
      <w:bookmarkEnd w:id="115"/>
      <w:r/>
      <w:bookmarkStart w:id="116" w:name="_Toc452502492"/>
      <w:r/>
      <w:bookmarkEnd w:id="116"/>
      <w:r/>
      <w:bookmarkStart w:id="117" w:name="_Toc452556772"/>
      <w:r/>
      <w:bookmarkEnd w:id="117"/>
      <w:r/>
      <w:bookmarkStart w:id="118" w:name="_Toc402880672"/>
      <w:r/>
      <w:bookmarkEnd w:id="118"/>
      <w:r/>
      <w:bookmarkStart w:id="119" w:name="_Toc452502487"/>
      <w:r/>
      <w:bookmarkEnd w:id="119"/>
      <w:r/>
      <w:bookmarkStart w:id="120" w:name="_Toc452556581"/>
      <w:r/>
      <w:bookmarkEnd w:id="120"/>
      <w:r/>
      <w:bookmarkStart w:id="121" w:name="_Toc452556686"/>
      <w:r/>
      <w:bookmarkEnd w:id="121"/>
      <w:r/>
      <w:bookmarkStart w:id="122" w:name="_Toc452502484"/>
      <w:r/>
      <w:bookmarkEnd w:id="122"/>
      <w:r/>
      <w:bookmarkStart w:id="123" w:name="_Toc452556761"/>
      <w:r/>
      <w:bookmarkEnd w:id="123"/>
      <w:r/>
      <w:bookmarkStart w:id="124" w:name="_Toc452556692"/>
      <w:r/>
      <w:bookmarkEnd w:id="124"/>
      <w:r/>
      <w:bookmarkStart w:id="125" w:name="_Toc471741424"/>
      <w:r/>
      <w:bookmarkEnd w:id="125"/>
      <w:r/>
      <w:bookmarkStart w:id="126" w:name="_Toc402880669"/>
      <w:r/>
      <w:bookmarkEnd w:id="126"/>
      <w:r/>
      <w:bookmarkStart w:id="127" w:name="_Toc452502383"/>
      <w:r/>
      <w:bookmarkEnd w:id="127"/>
      <w:r/>
      <w:bookmarkStart w:id="128" w:name="_Toc452502338"/>
      <w:r/>
      <w:bookmarkEnd w:id="128"/>
      <w:r/>
      <w:bookmarkStart w:id="129" w:name="_Toc452556567"/>
      <w:r/>
      <w:bookmarkEnd w:id="129"/>
      <w:r/>
      <w:bookmarkStart w:id="130" w:name="_Toc443332024"/>
      <w:r/>
      <w:bookmarkEnd w:id="130"/>
      <w:r/>
      <w:bookmarkStart w:id="131" w:name="_Toc452556674"/>
      <w:r/>
      <w:bookmarkEnd w:id="131"/>
      <w:r/>
      <w:bookmarkStart w:id="132" w:name="_Toc452556830"/>
      <w:r/>
      <w:bookmarkEnd w:id="132"/>
      <w:r/>
      <w:bookmarkStart w:id="133" w:name="_Toc402880644"/>
      <w:r/>
      <w:bookmarkEnd w:id="133"/>
      <w:r/>
      <w:bookmarkStart w:id="134" w:name="_Toc452556550"/>
      <w:r/>
      <w:bookmarkEnd w:id="134"/>
      <w:r/>
      <w:bookmarkStart w:id="135" w:name="_Toc452556639"/>
      <w:r/>
      <w:bookmarkEnd w:id="135"/>
      <w:r/>
      <w:bookmarkStart w:id="136" w:name="_Toc452556605"/>
      <w:r/>
      <w:bookmarkEnd w:id="136"/>
      <w:r/>
      <w:bookmarkStart w:id="137" w:name="_Toc452556539"/>
      <w:r/>
      <w:bookmarkEnd w:id="137"/>
      <w:r/>
      <w:bookmarkStart w:id="138" w:name="_Toc452556738"/>
      <w:r/>
      <w:bookmarkEnd w:id="138"/>
      <w:r/>
      <w:bookmarkStart w:id="139" w:name="_Toc452556545"/>
      <w:r/>
      <w:bookmarkEnd w:id="139"/>
      <w:r/>
      <w:bookmarkStart w:id="140" w:name="_Toc452502359"/>
      <w:r/>
      <w:bookmarkEnd w:id="140"/>
      <w:r/>
      <w:bookmarkStart w:id="141" w:name="_Toc452502526"/>
      <w:r/>
      <w:bookmarkEnd w:id="141"/>
      <w:r/>
      <w:bookmarkStart w:id="142" w:name="_Toc452502570"/>
      <w:r/>
      <w:bookmarkEnd w:id="142"/>
      <w:r/>
      <w:bookmarkStart w:id="143" w:name="_Toc452556637"/>
      <w:r/>
      <w:bookmarkEnd w:id="143"/>
      <w:r/>
      <w:bookmarkStart w:id="144" w:name="_Toc452556646"/>
      <w:r/>
      <w:bookmarkEnd w:id="144"/>
      <w:r/>
      <w:bookmarkStart w:id="145" w:name="_Toc452502440"/>
      <w:r/>
      <w:bookmarkEnd w:id="145"/>
      <w:r/>
      <w:bookmarkStart w:id="146" w:name="_Toc452502555"/>
      <w:r/>
      <w:bookmarkEnd w:id="146"/>
      <w:r/>
      <w:bookmarkStart w:id="147" w:name="_Toc452556530"/>
      <w:r/>
      <w:bookmarkEnd w:id="147"/>
      <w:r/>
      <w:bookmarkStart w:id="148" w:name="_Toc452502551"/>
      <w:r/>
      <w:bookmarkEnd w:id="148"/>
      <w:r/>
      <w:bookmarkStart w:id="149" w:name="_Toc452556762"/>
      <w:r/>
      <w:bookmarkEnd w:id="149"/>
      <w:r/>
      <w:bookmarkStart w:id="150" w:name="_Toc452556746"/>
      <w:r/>
      <w:bookmarkEnd w:id="150"/>
      <w:r/>
      <w:bookmarkStart w:id="151" w:name="_Toc452556625"/>
      <w:r/>
      <w:bookmarkEnd w:id="151"/>
      <w:r/>
      <w:bookmarkStart w:id="152" w:name="_Toc471739452"/>
      <w:r/>
      <w:bookmarkEnd w:id="152"/>
      <w:r/>
      <w:bookmarkStart w:id="153" w:name="_Toc402880653"/>
      <w:r/>
      <w:bookmarkEnd w:id="153"/>
      <w:r/>
      <w:bookmarkStart w:id="154" w:name="_Toc471744487"/>
      <w:r/>
      <w:bookmarkEnd w:id="154"/>
      <w:r/>
      <w:bookmarkStart w:id="155" w:name="_Toc452556689"/>
      <w:r/>
      <w:bookmarkEnd w:id="155"/>
      <w:r/>
      <w:bookmarkStart w:id="156" w:name="_Toc452502534"/>
      <w:r/>
      <w:bookmarkEnd w:id="156"/>
      <w:r/>
      <w:bookmarkStart w:id="157" w:name="_Toc471745874"/>
      <w:r/>
      <w:bookmarkEnd w:id="157"/>
      <w:r/>
      <w:bookmarkStart w:id="158" w:name="_Toc471745363"/>
      <w:r/>
      <w:bookmarkEnd w:id="158"/>
      <w:r/>
      <w:bookmarkStart w:id="159" w:name="_Toc471745359"/>
      <w:r/>
      <w:bookmarkEnd w:id="159"/>
      <w:r/>
      <w:bookmarkStart w:id="160" w:name="_Toc402880632"/>
      <w:r/>
      <w:bookmarkEnd w:id="160"/>
      <w:r/>
      <w:bookmarkStart w:id="161" w:name="_Toc443332015"/>
      <w:r/>
      <w:bookmarkEnd w:id="161"/>
      <w:r/>
      <w:bookmarkStart w:id="162" w:name="_Toc452502505"/>
      <w:r/>
      <w:bookmarkEnd w:id="162"/>
      <w:r/>
      <w:bookmarkStart w:id="163" w:name="_Toc402880687"/>
      <w:r/>
      <w:bookmarkEnd w:id="163"/>
      <w:r/>
      <w:bookmarkStart w:id="164" w:name="_Toc402880629"/>
      <w:r/>
      <w:bookmarkEnd w:id="164"/>
      <w:r/>
      <w:bookmarkStart w:id="165" w:name="_Toc452502513"/>
      <w:r/>
      <w:bookmarkEnd w:id="165"/>
      <w:r/>
      <w:bookmarkStart w:id="166" w:name="_Toc452502368"/>
      <w:r/>
      <w:bookmarkEnd w:id="166"/>
      <w:r/>
      <w:bookmarkStart w:id="167" w:name="_Toc452502417"/>
      <w:r/>
      <w:bookmarkEnd w:id="167"/>
      <w:r/>
      <w:bookmarkStart w:id="168" w:name="_Toc452556652"/>
      <w:r/>
      <w:bookmarkEnd w:id="168"/>
      <w:r/>
      <w:bookmarkStart w:id="169" w:name="_Toc452556549"/>
      <w:r/>
      <w:bookmarkEnd w:id="169"/>
      <w:r/>
      <w:bookmarkStart w:id="170" w:name="_Toc452556826"/>
      <w:r/>
      <w:bookmarkEnd w:id="170"/>
      <w:r/>
      <w:bookmarkStart w:id="171" w:name="_Toc452556702"/>
      <w:r/>
      <w:bookmarkEnd w:id="171"/>
      <w:r/>
      <w:bookmarkStart w:id="172" w:name="_Toc452556589"/>
      <w:r/>
      <w:bookmarkEnd w:id="172"/>
      <w:r/>
      <w:bookmarkStart w:id="173" w:name="_Toc452502011"/>
      <w:r/>
      <w:bookmarkEnd w:id="173"/>
      <w:r/>
      <w:bookmarkStart w:id="174" w:name="_Toc452556680"/>
      <w:r/>
      <w:bookmarkEnd w:id="174"/>
      <w:r/>
      <w:bookmarkStart w:id="175" w:name="_Toc452556676"/>
      <w:r/>
      <w:bookmarkEnd w:id="175"/>
      <w:r/>
      <w:bookmarkStart w:id="176" w:name="_Toc452502345"/>
      <w:r/>
      <w:bookmarkEnd w:id="176"/>
      <w:r/>
      <w:bookmarkStart w:id="177" w:name="_Toc388279021"/>
      <w:r/>
      <w:bookmarkEnd w:id="177"/>
      <w:r/>
      <w:bookmarkStart w:id="178" w:name="_Toc471740777"/>
      <w:r/>
      <w:bookmarkEnd w:id="178"/>
      <w:r/>
      <w:bookmarkStart w:id="179" w:name="_Toc452556685"/>
      <w:r/>
      <w:bookmarkEnd w:id="179"/>
      <w:r/>
      <w:bookmarkStart w:id="180" w:name="_Toc452502508"/>
      <w:r/>
      <w:bookmarkEnd w:id="180"/>
      <w:r/>
      <w:bookmarkStart w:id="181" w:name="_Toc452556731"/>
      <w:r/>
      <w:bookmarkEnd w:id="181"/>
      <w:r/>
      <w:bookmarkStart w:id="182" w:name="_Toc452502332"/>
      <w:r/>
      <w:bookmarkEnd w:id="182"/>
      <w:r/>
      <w:bookmarkStart w:id="183" w:name="_Toc452556725"/>
      <w:r/>
      <w:bookmarkEnd w:id="183"/>
      <w:r/>
      <w:bookmarkStart w:id="184" w:name="_Toc452556671"/>
      <w:r/>
      <w:bookmarkEnd w:id="184"/>
      <w:r/>
      <w:bookmarkStart w:id="185" w:name="_Toc452502325"/>
      <w:r/>
      <w:bookmarkEnd w:id="185"/>
      <w:r/>
      <w:bookmarkStart w:id="186" w:name="_Toc452502399"/>
      <w:r/>
      <w:bookmarkEnd w:id="186"/>
      <w:r/>
      <w:bookmarkStart w:id="187" w:name="_Toc381964100"/>
      <w:r/>
      <w:bookmarkEnd w:id="187"/>
      <w:r/>
      <w:bookmarkStart w:id="188" w:name="_Toc452502542"/>
      <w:r/>
      <w:bookmarkEnd w:id="188"/>
      <w:r/>
      <w:bookmarkStart w:id="189" w:name="_Toc452556591"/>
      <w:r/>
      <w:bookmarkEnd w:id="189"/>
      <w:r/>
      <w:bookmarkStart w:id="190" w:name="_Toc402880615"/>
      <w:r/>
      <w:bookmarkEnd w:id="190"/>
      <w:r/>
      <w:bookmarkStart w:id="191" w:name="_Toc452556705"/>
      <w:r/>
      <w:bookmarkEnd w:id="191"/>
      <w:r/>
      <w:bookmarkStart w:id="192" w:name="_Toc452502438"/>
      <w:r/>
      <w:bookmarkEnd w:id="192"/>
      <w:r/>
      <w:bookmarkStart w:id="193" w:name="_Toc402880651"/>
      <w:r/>
      <w:bookmarkEnd w:id="193"/>
      <w:r/>
      <w:bookmarkStart w:id="194" w:name="_Toc452556512"/>
      <w:r/>
      <w:bookmarkEnd w:id="194"/>
      <w:r/>
      <w:bookmarkStart w:id="195" w:name="_Toc402880684"/>
      <w:r/>
      <w:bookmarkEnd w:id="195"/>
      <w:r/>
      <w:bookmarkStart w:id="196" w:name="_Toc452556635"/>
      <w:r/>
      <w:bookmarkEnd w:id="196"/>
      <w:r/>
      <w:bookmarkStart w:id="197" w:name="_Toc402880686"/>
      <w:r/>
      <w:bookmarkEnd w:id="197"/>
      <w:r/>
      <w:bookmarkStart w:id="198" w:name="_Toc443332012"/>
      <w:r/>
      <w:bookmarkEnd w:id="198"/>
      <w:r/>
      <w:bookmarkStart w:id="199" w:name="_Toc452556531"/>
      <w:r/>
      <w:bookmarkEnd w:id="199"/>
      <w:r/>
      <w:bookmarkStart w:id="200" w:name="_Toc471745867"/>
      <w:r/>
      <w:bookmarkEnd w:id="200"/>
      <w:r/>
      <w:bookmarkStart w:id="201" w:name="_Toc452502426"/>
      <w:r/>
      <w:bookmarkEnd w:id="201"/>
      <w:r/>
      <w:bookmarkStart w:id="202" w:name="_Toc452502456"/>
      <w:r/>
      <w:bookmarkEnd w:id="202"/>
      <w:r/>
      <w:bookmarkStart w:id="203" w:name="_Toc452556585"/>
      <w:r/>
      <w:bookmarkEnd w:id="203"/>
      <w:r/>
      <w:bookmarkStart w:id="204" w:name="_Toc452502496"/>
      <w:r/>
      <w:bookmarkEnd w:id="204"/>
      <w:r/>
      <w:bookmarkStart w:id="205" w:name="_Toc452502452"/>
      <w:r/>
      <w:bookmarkEnd w:id="205"/>
      <w:r/>
      <w:bookmarkStart w:id="206" w:name="_Toc452502416"/>
      <w:r/>
      <w:bookmarkEnd w:id="206"/>
      <w:r/>
      <w:bookmarkStart w:id="207" w:name="_Toc452502389"/>
      <w:r/>
      <w:bookmarkEnd w:id="207"/>
      <w:r/>
      <w:bookmarkStart w:id="208" w:name="_Toc452556579"/>
      <w:r/>
      <w:bookmarkEnd w:id="208"/>
      <w:r/>
      <w:bookmarkStart w:id="209" w:name="_Toc452556660"/>
      <w:r/>
      <w:bookmarkEnd w:id="209"/>
      <w:r/>
      <w:bookmarkStart w:id="210" w:name="_Toc452556801"/>
      <w:r/>
      <w:bookmarkEnd w:id="210"/>
      <w:r/>
      <w:bookmarkStart w:id="211" w:name="_Toc452556758"/>
      <w:r/>
      <w:bookmarkEnd w:id="211"/>
      <w:r/>
      <w:bookmarkStart w:id="212" w:name="_Toc452502451"/>
      <w:r/>
      <w:bookmarkEnd w:id="212"/>
      <w:r/>
      <w:bookmarkStart w:id="213" w:name="_Toc402880647"/>
      <w:r/>
      <w:bookmarkEnd w:id="213"/>
      <w:r/>
      <w:bookmarkStart w:id="214" w:name="_Toc452502464"/>
      <w:r/>
      <w:bookmarkEnd w:id="214"/>
      <w:r/>
      <w:bookmarkStart w:id="215" w:name="_Toc452502445"/>
      <w:r/>
      <w:bookmarkEnd w:id="215"/>
      <w:r/>
      <w:bookmarkStart w:id="216" w:name="_Toc452556754"/>
      <w:r/>
      <w:bookmarkEnd w:id="216"/>
      <w:r/>
      <w:bookmarkStart w:id="217" w:name="_Toc402880640"/>
      <w:r/>
      <w:bookmarkEnd w:id="217"/>
      <w:r/>
      <w:bookmarkStart w:id="218" w:name="_Toc452556776"/>
      <w:r/>
      <w:bookmarkEnd w:id="218"/>
      <w:r/>
      <w:bookmarkStart w:id="219" w:name="_Toc452556749"/>
      <w:r/>
      <w:bookmarkEnd w:id="219"/>
      <w:r/>
      <w:bookmarkStart w:id="220" w:name="_Toc452556610"/>
      <w:r/>
      <w:bookmarkEnd w:id="220"/>
      <w:r/>
      <w:bookmarkStart w:id="221" w:name="_Toc452556544"/>
      <w:r/>
      <w:bookmarkEnd w:id="221"/>
      <w:r/>
      <w:bookmarkStart w:id="222" w:name="_Toc452502317"/>
      <w:r/>
      <w:bookmarkEnd w:id="222"/>
      <w:r/>
      <w:bookmarkStart w:id="223" w:name="_Toc402880674"/>
      <w:r/>
      <w:bookmarkEnd w:id="223"/>
      <w:r/>
      <w:bookmarkStart w:id="224" w:name="_Toc452556755"/>
      <w:r/>
      <w:bookmarkEnd w:id="224"/>
      <w:r/>
      <w:bookmarkStart w:id="225" w:name="_Toc452502462"/>
      <w:r/>
      <w:bookmarkEnd w:id="225"/>
      <w:r/>
      <w:bookmarkStart w:id="226" w:name="_Toc452556740"/>
      <w:r/>
      <w:bookmarkEnd w:id="226"/>
      <w:r/>
      <w:bookmarkStart w:id="227" w:name="_Toc452502489"/>
      <w:r/>
      <w:bookmarkEnd w:id="227"/>
      <w:r/>
      <w:bookmarkStart w:id="228" w:name="_Toc402880680"/>
      <w:r/>
      <w:bookmarkEnd w:id="228"/>
      <w:r/>
      <w:bookmarkStart w:id="229" w:name="_Toc452556599"/>
      <w:r/>
      <w:bookmarkEnd w:id="229"/>
      <w:r/>
      <w:bookmarkStart w:id="230" w:name="_Toc452556529"/>
      <w:r/>
      <w:bookmarkEnd w:id="230"/>
      <w:r/>
      <w:bookmarkStart w:id="231" w:name="_Toc452556597"/>
      <w:r/>
      <w:bookmarkEnd w:id="231"/>
      <w:r/>
      <w:bookmarkStart w:id="232" w:name="_Toc452502312"/>
      <w:r/>
      <w:bookmarkEnd w:id="232"/>
      <w:r/>
      <w:bookmarkStart w:id="233" w:name="_Toc452502432"/>
      <w:r/>
      <w:bookmarkEnd w:id="233"/>
      <w:r/>
      <w:bookmarkStart w:id="234" w:name="_Toc452556711"/>
      <w:r/>
      <w:bookmarkEnd w:id="234"/>
      <w:r/>
      <w:bookmarkStart w:id="235" w:name="_Toc452502372"/>
      <w:r/>
      <w:bookmarkEnd w:id="235"/>
      <w:r/>
      <w:bookmarkStart w:id="236" w:name="_Toc471745859"/>
      <w:r/>
      <w:bookmarkEnd w:id="236"/>
      <w:r/>
      <w:bookmarkStart w:id="237" w:name="_Toc452556728"/>
      <w:r/>
      <w:bookmarkEnd w:id="237"/>
      <w:r/>
      <w:bookmarkStart w:id="238" w:name="_Toc452556708"/>
      <w:r/>
      <w:bookmarkEnd w:id="238"/>
      <w:r/>
      <w:bookmarkStart w:id="239" w:name="_Toc443332020"/>
      <w:r/>
      <w:bookmarkEnd w:id="239"/>
      <w:r/>
      <w:bookmarkStart w:id="240" w:name="_Toc452502535"/>
      <w:r/>
      <w:bookmarkEnd w:id="240"/>
      <w:r/>
      <w:bookmarkStart w:id="241" w:name="_Toc452556675"/>
      <w:r/>
      <w:bookmarkEnd w:id="241"/>
      <w:r/>
      <w:bookmarkStart w:id="242" w:name="_Toc452502539"/>
      <w:r/>
      <w:bookmarkEnd w:id="242"/>
      <w:r/>
      <w:bookmarkStart w:id="243" w:name="_Toc452556501"/>
      <w:r/>
      <w:bookmarkEnd w:id="243"/>
      <w:r/>
      <w:bookmarkStart w:id="244" w:name="_Toc452502549"/>
      <w:r/>
      <w:bookmarkEnd w:id="244"/>
      <w:r/>
      <w:bookmarkStart w:id="245" w:name="_Toc452556701"/>
      <w:r/>
      <w:bookmarkEnd w:id="245"/>
      <w:r/>
      <w:bookmarkStart w:id="246" w:name="_Toc402880688"/>
      <w:r/>
      <w:bookmarkEnd w:id="246"/>
      <w:r/>
      <w:bookmarkStart w:id="247" w:name="_Toc452556797"/>
      <w:r/>
      <w:bookmarkEnd w:id="247"/>
      <w:r/>
      <w:bookmarkStart w:id="248" w:name="_Toc400913976"/>
      <w:r/>
      <w:bookmarkEnd w:id="248"/>
      <w:r/>
      <w:bookmarkStart w:id="249" w:name="_Toc471745358"/>
      <w:r/>
      <w:bookmarkEnd w:id="249"/>
      <w:r/>
      <w:bookmarkStart w:id="250" w:name="_Toc452502543"/>
      <w:r/>
      <w:bookmarkEnd w:id="250"/>
      <w:r/>
      <w:bookmarkStart w:id="251" w:name="_Toc452556571"/>
      <w:r/>
      <w:bookmarkEnd w:id="251"/>
      <w:r/>
      <w:bookmarkStart w:id="252" w:name="_Toc402880663"/>
      <w:r/>
      <w:bookmarkEnd w:id="252"/>
      <w:r/>
      <w:bookmarkStart w:id="253" w:name="_Toc471745357"/>
      <w:r/>
      <w:bookmarkEnd w:id="253"/>
      <w:r/>
      <w:bookmarkStart w:id="254" w:name="_Toc452556612"/>
      <w:r/>
      <w:bookmarkEnd w:id="254"/>
      <w:r/>
      <w:bookmarkStart w:id="255" w:name="_Toc402880682"/>
      <w:r/>
      <w:bookmarkEnd w:id="255"/>
      <w:r/>
      <w:bookmarkStart w:id="256" w:name="_Toc452502504"/>
      <w:r/>
      <w:bookmarkEnd w:id="256"/>
      <w:r/>
      <w:bookmarkStart w:id="257" w:name="_Toc402880698"/>
      <w:r/>
      <w:bookmarkEnd w:id="257"/>
      <w:r/>
      <w:bookmarkStart w:id="258" w:name="_Toc452556747"/>
      <w:r/>
      <w:bookmarkEnd w:id="258"/>
      <w:r/>
      <w:bookmarkStart w:id="259" w:name="_Toc452556684"/>
      <w:r/>
      <w:bookmarkEnd w:id="259"/>
      <w:r/>
      <w:bookmarkStart w:id="260" w:name="_Toc471739946"/>
      <w:r/>
      <w:bookmarkEnd w:id="260"/>
      <w:r/>
      <w:bookmarkStart w:id="261" w:name="_Toc402880673"/>
      <w:r/>
      <w:bookmarkEnd w:id="261"/>
      <w:r/>
      <w:bookmarkStart w:id="262" w:name="_Toc452502333"/>
      <w:r/>
      <w:bookmarkEnd w:id="262"/>
      <w:r/>
      <w:bookmarkStart w:id="263" w:name="_Toc452502344"/>
      <w:r/>
      <w:bookmarkEnd w:id="263"/>
      <w:r/>
      <w:bookmarkStart w:id="264" w:name="_Toc452502396"/>
      <w:r/>
      <w:bookmarkEnd w:id="264"/>
      <w:r/>
      <w:bookmarkStart w:id="265" w:name="_Toc452502403"/>
      <w:r/>
      <w:bookmarkEnd w:id="265"/>
      <w:r/>
      <w:bookmarkStart w:id="266" w:name="_Toc402880633"/>
      <w:r/>
      <w:bookmarkEnd w:id="266"/>
      <w:r/>
      <w:bookmarkStart w:id="267" w:name="_Toc452556615"/>
      <w:r/>
      <w:bookmarkEnd w:id="267"/>
      <w:r/>
      <w:bookmarkStart w:id="268" w:name="_Toc388279024"/>
      <w:r/>
      <w:bookmarkEnd w:id="268"/>
      <w:r/>
      <w:bookmarkStart w:id="269" w:name="_Toc402880618"/>
      <w:r/>
      <w:bookmarkEnd w:id="269"/>
      <w:r/>
      <w:bookmarkStart w:id="270" w:name="_Toc452502369"/>
      <w:r/>
      <w:bookmarkEnd w:id="270"/>
      <w:r/>
      <w:bookmarkStart w:id="271" w:name="_Toc452502400"/>
      <w:r/>
      <w:bookmarkEnd w:id="271"/>
      <w:r/>
      <w:bookmarkStart w:id="272" w:name="_Toc452556737"/>
      <w:r/>
      <w:bookmarkEnd w:id="272"/>
      <w:r/>
      <w:bookmarkStart w:id="273" w:name="_Toc452556757"/>
      <w:r/>
      <w:bookmarkEnd w:id="273"/>
      <w:r/>
      <w:bookmarkStart w:id="274" w:name="_Toc452502523"/>
      <w:r/>
      <w:bookmarkEnd w:id="274"/>
      <w:r/>
      <w:bookmarkStart w:id="275" w:name="_Toc402880691"/>
      <w:r/>
      <w:bookmarkEnd w:id="275"/>
      <w:r/>
      <w:bookmarkStart w:id="276" w:name="_Toc452502430"/>
      <w:r/>
      <w:bookmarkEnd w:id="276"/>
      <w:r/>
      <w:bookmarkStart w:id="277" w:name="_Toc452502390"/>
      <w:r/>
      <w:bookmarkEnd w:id="277"/>
      <w:r/>
      <w:bookmarkStart w:id="278" w:name="_Toc452556587"/>
      <w:r/>
      <w:bookmarkEnd w:id="278"/>
      <w:r/>
      <w:bookmarkStart w:id="279" w:name="_Toc452556714"/>
      <w:r/>
      <w:bookmarkEnd w:id="279"/>
      <w:r/>
      <w:bookmarkStart w:id="280" w:name="_Toc452502515"/>
      <w:r/>
      <w:bookmarkEnd w:id="280"/>
      <w:r/>
      <w:bookmarkStart w:id="281" w:name="_Toc452502356"/>
      <w:r/>
      <w:bookmarkEnd w:id="281"/>
      <w:r/>
      <w:bookmarkStart w:id="282" w:name="_Toc452556602"/>
      <w:r/>
      <w:bookmarkEnd w:id="282"/>
      <w:r/>
      <w:bookmarkStart w:id="283" w:name="_Toc452556706"/>
      <w:r/>
      <w:bookmarkEnd w:id="283"/>
      <w:r/>
      <w:bookmarkStart w:id="284" w:name="_Toc452556697"/>
      <w:r/>
      <w:bookmarkEnd w:id="284"/>
      <w:r/>
      <w:bookmarkStart w:id="285" w:name="_Toc443332034"/>
      <w:r/>
      <w:bookmarkEnd w:id="285"/>
      <w:r/>
      <w:bookmarkStart w:id="286" w:name="_Toc452502437"/>
      <w:r/>
      <w:bookmarkEnd w:id="286"/>
      <w:r/>
      <w:bookmarkStart w:id="287" w:name="_Toc402880622"/>
      <w:r/>
      <w:bookmarkEnd w:id="287"/>
      <w:r/>
      <w:bookmarkStart w:id="288" w:name="_Toc452556595"/>
      <w:r/>
      <w:bookmarkEnd w:id="288"/>
      <w:r/>
      <w:bookmarkStart w:id="289" w:name="_Toc402880639"/>
      <w:r/>
      <w:bookmarkEnd w:id="289"/>
      <w:r/>
      <w:bookmarkStart w:id="290" w:name="_Toc452502346"/>
      <w:r/>
      <w:bookmarkEnd w:id="290"/>
      <w:r/>
      <w:bookmarkStart w:id="291" w:name="_Toc452502374"/>
      <w:r/>
      <w:bookmarkEnd w:id="291"/>
      <w:r/>
      <w:bookmarkStart w:id="292" w:name="_Toc452556532"/>
      <w:r/>
      <w:bookmarkEnd w:id="292"/>
      <w:r/>
      <w:bookmarkStart w:id="293" w:name="_Toc452556831"/>
      <w:r/>
      <w:bookmarkEnd w:id="293"/>
      <w:r/>
      <w:bookmarkStart w:id="294" w:name="_Toc452556771"/>
      <w:r/>
      <w:bookmarkEnd w:id="294"/>
      <w:r/>
      <w:bookmarkStart w:id="295" w:name="_Toc452556575"/>
      <w:r/>
      <w:bookmarkEnd w:id="295"/>
      <w:r/>
      <w:bookmarkStart w:id="296" w:name="_Toc452556528"/>
      <w:r/>
      <w:bookmarkEnd w:id="296"/>
      <w:r/>
      <w:bookmarkStart w:id="297" w:name="_Toc443332013"/>
      <w:r/>
      <w:bookmarkEnd w:id="297"/>
      <w:r/>
      <w:bookmarkStart w:id="298" w:name="_Toc452556515"/>
      <w:r/>
      <w:bookmarkEnd w:id="298"/>
      <w:r/>
      <w:bookmarkStart w:id="299" w:name="_Toc452556732"/>
      <w:r/>
      <w:bookmarkEnd w:id="299"/>
      <w:r/>
      <w:bookmarkStart w:id="300" w:name="_Toc402880658"/>
      <w:r/>
      <w:bookmarkEnd w:id="300"/>
      <w:r/>
      <w:bookmarkStart w:id="301" w:name="_Toc452556564"/>
      <w:r/>
      <w:bookmarkEnd w:id="301"/>
      <w:r/>
      <w:bookmarkStart w:id="302" w:name="_Toc452556788"/>
      <w:r/>
      <w:bookmarkEnd w:id="302"/>
      <w:r/>
      <w:bookmarkStart w:id="303" w:name="_Toc452556522"/>
      <w:r/>
      <w:bookmarkEnd w:id="303"/>
      <w:r/>
      <w:bookmarkStart w:id="304" w:name="_Toc452556573"/>
      <w:r/>
      <w:bookmarkEnd w:id="304"/>
      <w:r/>
      <w:bookmarkStart w:id="305" w:name="_Toc452502454"/>
      <w:r/>
      <w:bookmarkEnd w:id="305"/>
      <w:r/>
      <w:bookmarkStart w:id="306" w:name="_Toc452502343"/>
      <w:r/>
      <w:bookmarkEnd w:id="306"/>
      <w:r/>
      <w:bookmarkStart w:id="307" w:name="_Toc452556756"/>
      <w:r/>
      <w:bookmarkEnd w:id="307"/>
      <w:r/>
      <w:bookmarkStart w:id="308" w:name="_Toc452556812"/>
      <w:r/>
      <w:bookmarkEnd w:id="308"/>
      <w:r/>
      <w:bookmarkStart w:id="309" w:name="_Toc388279025"/>
      <w:r/>
      <w:bookmarkEnd w:id="309"/>
      <w:r/>
      <w:bookmarkStart w:id="310" w:name="_Toc452556794"/>
      <w:r/>
      <w:bookmarkEnd w:id="310"/>
      <w:r/>
      <w:bookmarkStart w:id="311" w:name="_Toc452502540"/>
      <w:r/>
      <w:bookmarkEnd w:id="311"/>
      <w:r/>
      <w:bookmarkStart w:id="312" w:name="_Toc402880638"/>
      <w:r/>
      <w:bookmarkEnd w:id="312"/>
      <w:r/>
      <w:bookmarkStart w:id="313" w:name="_Toc452556696"/>
      <w:r/>
      <w:bookmarkEnd w:id="313"/>
      <w:r/>
      <w:bookmarkStart w:id="314" w:name="_Toc452556668"/>
      <w:r/>
      <w:bookmarkEnd w:id="314"/>
      <w:r/>
      <w:bookmarkStart w:id="315" w:name="_Toc452556584"/>
      <w:r/>
      <w:bookmarkEnd w:id="315"/>
      <w:r/>
      <w:bookmarkStart w:id="316" w:name="_Toc452556719"/>
      <w:r/>
      <w:bookmarkEnd w:id="316"/>
      <w:r/>
      <w:bookmarkStart w:id="317" w:name="_Toc471743615"/>
      <w:r/>
      <w:bookmarkEnd w:id="317"/>
      <w:r/>
      <w:bookmarkStart w:id="318" w:name="_Toc452556556"/>
      <w:r/>
      <w:bookmarkEnd w:id="318"/>
      <w:r/>
      <w:bookmarkStart w:id="319" w:name="_Toc452556553"/>
      <w:r/>
      <w:bookmarkEnd w:id="319"/>
      <w:r/>
      <w:bookmarkStart w:id="320" w:name="_Toc452556806"/>
      <w:r/>
      <w:bookmarkEnd w:id="320"/>
      <w:r/>
      <w:bookmarkStart w:id="321" w:name="_Toc471744484"/>
      <w:r/>
      <w:bookmarkEnd w:id="321"/>
      <w:r/>
      <w:bookmarkStart w:id="322" w:name="_Toc452556566"/>
      <w:r/>
      <w:bookmarkEnd w:id="322"/>
      <w:r/>
      <w:bookmarkStart w:id="323" w:name="_Toc452502442"/>
      <w:r/>
      <w:bookmarkEnd w:id="323"/>
      <w:r/>
      <w:bookmarkStart w:id="324" w:name="_Toc452556616"/>
      <w:r/>
      <w:bookmarkEnd w:id="324"/>
      <w:r/>
      <w:bookmarkStart w:id="325" w:name="_Toc452502388"/>
      <w:r/>
      <w:bookmarkEnd w:id="325"/>
      <w:r/>
      <w:bookmarkStart w:id="326" w:name="_Toc452502488"/>
      <w:r/>
      <w:bookmarkEnd w:id="326"/>
      <w:r/>
      <w:bookmarkStart w:id="327" w:name="_Toc452556596"/>
      <w:r/>
      <w:bookmarkEnd w:id="327"/>
      <w:r/>
      <w:bookmarkStart w:id="328" w:name="_Toc452556604"/>
      <w:r/>
      <w:bookmarkEnd w:id="328"/>
      <w:r/>
      <w:bookmarkStart w:id="329" w:name="_Toc452556634"/>
      <w:r/>
      <w:bookmarkEnd w:id="329"/>
      <w:r/>
      <w:bookmarkStart w:id="330" w:name="_Toc452556633"/>
      <w:r/>
      <w:bookmarkEnd w:id="330"/>
      <w:r/>
      <w:bookmarkStart w:id="331" w:name="_Toc471745873"/>
      <w:r/>
      <w:bookmarkEnd w:id="331"/>
      <w:r/>
      <w:bookmarkStart w:id="332" w:name="_Toc452556683"/>
      <w:r/>
      <w:bookmarkEnd w:id="332"/>
      <w:r/>
      <w:bookmarkStart w:id="333" w:name="_Toc452556792"/>
      <w:r/>
      <w:bookmarkEnd w:id="333"/>
      <w:r/>
      <w:bookmarkStart w:id="334" w:name="_Toc452556693"/>
      <w:r/>
      <w:bookmarkEnd w:id="334"/>
      <w:r/>
      <w:bookmarkStart w:id="335" w:name="_Toc452502349"/>
      <w:r/>
      <w:bookmarkEnd w:id="335"/>
      <w:r/>
      <w:bookmarkStart w:id="336" w:name="_Toc402880635"/>
      <w:r/>
      <w:bookmarkEnd w:id="336"/>
      <w:r/>
      <w:bookmarkStart w:id="337" w:name="_Toc452556787"/>
      <w:r/>
      <w:bookmarkEnd w:id="337"/>
      <w:r/>
      <w:bookmarkStart w:id="338" w:name="_Toc452556552"/>
      <w:r/>
      <w:bookmarkEnd w:id="338"/>
      <w:r/>
      <w:bookmarkStart w:id="339" w:name="_Toc452502550"/>
      <w:r/>
      <w:bookmarkEnd w:id="339"/>
      <w:r/>
      <w:bookmarkStart w:id="340" w:name="_Toc452556803"/>
      <w:r/>
      <w:bookmarkEnd w:id="340"/>
      <w:r/>
      <w:bookmarkStart w:id="341" w:name="_Toc452556819"/>
      <w:r/>
      <w:bookmarkEnd w:id="341"/>
      <w:r/>
      <w:bookmarkStart w:id="342" w:name="_Toc443332021"/>
      <w:r/>
      <w:bookmarkEnd w:id="342"/>
      <w:r/>
      <w:bookmarkStart w:id="343" w:name="_Toc471744979"/>
      <w:r/>
      <w:bookmarkEnd w:id="343"/>
      <w:r/>
      <w:bookmarkStart w:id="344" w:name="_Toc452556661"/>
      <w:r/>
      <w:bookmarkEnd w:id="344"/>
      <w:r/>
      <w:bookmarkStart w:id="345" w:name="_Toc452502326"/>
      <w:r/>
      <w:bookmarkEnd w:id="345"/>
      <w:r/>
      <w:bookmarkStart w:id="346" w:name="_Toc452556710"/>
      <w:r/>
      <w:bookmarkEnd w:id="346"/>
      <w:r/>
      <w:bookmarkStart w:id="347" w:name="_Toc452556543"/>
      <w:r/>
      <w:bookmarkEnd w:id="347"/>
      <w:r/>
      <w:bookmarkStart w:id="348" w:name="_Toc452556694"/>
      <w:r/>
      <w:bookmarkEnd w:id="348"/>
      <w:r/>
      <w:bookmarkStart w:id="349" w:name="_Toc452502521"/>
      <w:r/>
      <w:bookmarkEnd w:id="349"/>
      <w:r/>
      <w:bookmarkStart w:id="350" w:name="_Toc452502328"/>
      <w:r/>
      <w:bookmarkEnd w:id="350"/>
      <w:r/>
      <w:bookmarkStart w:id="351" w:name="_Toc452556511"/>
      <w:r/>
      <w:bookmarkEnd w:id="351"/>
      <w:r/>
      <w:bookmarkStart w:id="352" w:name="_Toc452556768"/>
      <w:r/>
      <w:bookmarkEnd w:id="352"/>
      <w:r/>
      <w:bookmarkStart w:id="353" w:name="_Toc452502553"/>
      <w:r/>
      <w:bookmarkEnd w:id="353"/>
      <w:r/>
      <w:bookmarkStart w:id="354" w:name="_Toc452556568"/>
      <w:r/>
      <w:bookmarkEnd w:id="354"/>
      <w:r/>
      <w:bookmarkStart w:id="355" w:name="_Toc452556673"/>
      <w:r/>
      <w:bookmarkEnd w:id="355"/>
      <w:r/>
      <w:bookmarkStart w:id="356" w:name="_Toc452502444"/>
      <w:r/>
      <w:bookmarkEnd w:id="356"/>
      <w:r/>
      <w:bookmarkStart w:id="357" w:name="_Toc402880690"/>
      <w:r/>
      <w:bookmarkEnd w:id="357"/>
      <w:r/>
      <w:bookmarkStart w:id="358" w:name="_Toc452502465"/>
      <w:r/>
      <w:bookmarkEnd w:id="358"/>
      <w:r/>
      <w:bookmarkStart w:id="359" w:name="_Toc402880655"/>
      <w:r/>
      <w:bookmarkEnd w:id="359"/>
      <w:r/>
      <w:bookmarkStart w:id="360" w:name="_Toc452556619"/>
      <w:r/>
      <w:bookmarkEnd w:id="360"/>
      <w:r/>
      <w:bookmarkStart w:id="361" w:name="_Toc402880649"/>
      <w:r/>
      <w:bookmarkEnd w:id="361"/>
      <w:r/>
      <w:bookmarkStart w:id="362" w:name="_Toc452556626"/>
      <w:r/>
      <w:bookmarkEnd w:id="362"/>
      <w:r/>
      <w:bookmarkStart w:id="363" w:name="_Toc452502482"/>
      <w:r/>
      <w:bookmarkEnd w:id="363"/>
      <w:r/>
      <w:bookmarkStart w:id="364" w:name="_Toc452502385"/>
      <w:r/>
      <w:bookmarkEnd w:id="364"/>
      <w:r/>
      <w:bookmarkStart w:id="365" w:name="_Toc452556648"/>
      <w:r/>
      <w:bookmarkEnd w:id="365"/>
      <w:r/>
      <w:bookmarkStart w:id="366" w:name="_Toc452556679"/>
      <w:r/>
      <w:bookmarkEnd w:id="366"/>
      <w:r/>
      <w:bookmarkStart w:id="367" w:name="_Toc452556603"/>
      <w:r/>
      <w:bookmarkEnd w:id="367"/>
      <w:r/>
      <w:bookmarkStart w:id="368" w:name="_Toc452502357"/>
      <w:r/>
      <w:bookmarkEnd w:id="368"/>
      <w:r/>
      <w:bookmarkStart w:id="369" w:name="_Toc452502532"/>
      <w:r/>
      <w:bookmarkEnd w:id="369"/>
      <w:r/>
      <w:bookmarkStart w:id="370" w:name="_Toc382579315"/>
      <w:r/>
      <w:bookmarkEnd w:id="370"/>
      <w:r/>
      <w:bookmarkStart w:id="371" w:name="_Toc443332033"/>
      <w:r/>
      <w:bookmarkEnd w:id="371"/>
      <w:r/>
      <w:bookmarkStart w:id="372" w:name="_Toc452556741"/>
      <w:r/>
      <w:bookmarkEnd w:id="372"/>
      <w:r/>
      <w:bookmarkStart w:id="373" w:name="_Toc452502517"/>
      <w:r/>
      <w:bookmarkEnd w:id="373"/>
      <w:r/>
      <w:bookmarkStart w:id="374" w:name="_Toc452556525"/>
      <w:r/>
      <w:bookmarkEnd w:id="374"/>
      <w:r/>
      <w:bookmarkStart w:id="375" w:name="_Toc452556520"/>
      <w:r/>
      <w:bookmarkEnd w:id="375"/>
      <w:r/>
      <w:bookmarkStart w:id="376" w:name="_Toc452556509"/>
      <w:r/>
      <w:bookmarkEnd w:id="376"/>
      <w:r/>
      <w:bookmarkStart w:id="377" w:name="_Toc452502518"/>
      <w:r/>
      <w:bookmarkEnd w:id="377"/>
      <w:r/>
      <w:bookmarkStart w:id="378" w:name="_Toc452556563"/>
      <w:r/>
      <w:bookmarkEnd w:id="378"/>
      <w:r/>
      <w:bookmarkStart w:id="379" w:name="_Toc402880645"/>
      <w:r/>
      <w:bookmarkEnd w:id="379"/>
      <w:r/>
      <w:bookmarkStart w:id="380" w:name="_Toc452556577"/>
      <w:r/>
      <w:bookmarkEnd w:id="380"/>
      <w:r/>
      <w:bookmarkStart w:id="381" w:name="_Toc452502398"/>
      <w:r/>
      <w:bookmarkEnd w:id="381"/>
      <w:r/>
      <w:bookmarkStart w:id="382" w:name="_Toc402880616"/>
      <w:r/>
      <w:bookmarkEnd w:id="382"/>
      <w:r/>
      <w:bookmarkStart w:id="383" w:name="_Toc452556811"/>
      <w:r/>
      <w:bookmarkEnd w:id="383"/>
      <w:r/>
      <w:bookmarkStart w:id="384" w:name="_Toc452556617"/>
      <w:r/>
      <w:bookmarkEnd w:id="384"/>
      <w:r/>
      <w:bookmarkStart w:id="385" w:name="_Toc452502364"/>
      <w:r/>
      <w:bookmarkEnd w:id="385"/>
      <w:r/>
      <w:bookmarkStart w:id="386" w:name="_Toc452502494"/>
      <w:r/>
      <w:bookmarkEnd w:id="386"/>
      <w:r/>
      <w:bookmarkStart w:id="387" w:name="_Toc452502381"/>
      <w:r/>
      <w:bookmarkEnd w:id="387"/>
      <w:r/>
      <w:bookmarkStart w:id="388" w:name="_Toc452502514"/>
      <w:r/>
      <w:bookmarkEnd w:id="388"/>
      <w:r/>
      <w:bookmarkStart w:id="389" w:name="_Toc402880668"/>
      <w:r/>
      <w:bookmarkEnd w:id="389"/>
      <w:r/>
      <w:bookmarkStart w:id="390" w:name="_Toc452502545"/>
      <w:r/>
      <w:bookmarkEnd w:id="390"/>
      <w:r/>
      <w:bookmarkStart w:id="391" w:name="_Toc402880648"/>
      <w:r/>
      <w:bookmarkEnd w:id="391"/>
      <w:r/>
      <w:bookmarkStart w:id="392" w:name="_Toc443332027"/>
      <w:r/>
      <w:bookmarkEnd w:id="392"/>
      <w:r/>
      <w:bookmarkStart w:id="393" w:name="_Toc402880657"/>
      <w:r/>
      <w:bookmarkEnd w:id="393"/>
      <w:r/>
      <w:bookmarkStart w:id="394" w:name="_Toc452502316"/>
      <w:r/>
      <w:bookmarkEnd w:id="394"/>
      <w:r/>
      <w:bookmarkStart w:id="395" w:name="_Toc452502380"/>
      <w:r/>
      <w:bookmarkEnd w:id="395"/>
      <w:r/>
      <w:bookmarkStart w:id="396" w:name="_Toc452556516"/>
      <w:r/>
      <w:bookmarkEnd w:id="396"/>
      <w:r/>
      <w:bookmarkStart w:id="397" w:name="_Toc452556767"/>
      <w:r/>
      <w:bookmarkEnd w:id="397"/>
      <w:r/>
      <w:bookmarkStart w:id="398" w:name="_Toc452556642"/>
      <w:r/>
      <w:bookmarkEnd w:id="398"/>
      <w:r/>
      <w:bookmarkStart w:id="399" w:name="_Toc452556586"/>
      <w:r/>
      <w:bookmarkEnd w:id="399"/>
      <w:r/>
      <w:bookmarkStart w:id="400" w:name="_Toc452502447"/>
      <w:r/>
      <w:bookmarkEnd w:id="400"/>
      <w:r/>
      <w:bookmarkStart w:id="401" w:name="_Toc452556611"/>
      <w:r/>
      <w:bookmarkEnd w:id="401"/>
      <w:r/>
      <w:bookmarkStart w:id="402" w:name="_Toc452502410"/>
      <w:r/>
      <w:bookmarkEnd w:id="402"/>
      <w:r/>
      <w:bookmarkStart w:id="403" w:name="_Toc452556600"/>
      <w:r/>
      <w:bookmarkEnd w:id="403"/>
      <w:r/>
      <w:bookmarkStart w:id="404" w:name="_Toc452556760"/>
      <w:r/>
      <w:bookmarkEnd w:id="404"/>
      <w:r/>
      <w:bookmarkStart w:id="405" w:name="_Toc452556672"/>
      <w:r/>
      <w:bookmarkEnd w:id="405"/>
      <w:r/>
      <w:bookmarkStart w:id="406" w:name="_Toc452556628"/>
      <w:r/>
      <w:bookmarkEnd w:id="406"/>
      <w:r/>
      <w:bookmarkStart w:id="407" w:name="_Toc452556712"/>
      <w:r/>
      <w:bookmarkEnd w:id="407"/>
      <w:r/>
      <w:bookmarkStart w:id="408" w:name="_Toc452556640"/>
      <w:r/>
      <w:bookmarkEnd w:id="408"/>
      <w:r/>
      <w:bookmarkStart w:id="409" w:name="_Toc452556774"/>
      <w:r/>
      <w:bookmarkEnd w:id="409"/>
      <w:r/>
      <w:bookmarkStart w:id="410" w:name="_Toc452556729"/>
      <w:r/>
      <w:bookmarkEnd w:id="410"/>
      <w:r/>
      <w:bookmarkStart w:id="411" w:name="_Toc452556647"/>
      <w:r/>
      <w:bookmarkEnd w:id="411"/>
      <w:r/>
      <w:bookmarkStart w:id="412" w:name="_Toc452556536"/>
      <w:r/>
      <w:bookmarkEnd w:id="412"/>
      <w:r/>
      <w:bookmarkStart w:id="413" w:name="_Toc402880677"/>
      <w:r/>
      <w:bookmarkEnd w:id="413"/>
      <w:r/>
      <w:bookmarkStart w:id="414" w:name="_Toc443332030"/>
      <w:r/>
      <w:bookmarkEnd w:id="414"/>
      <w:r/>
      <w:bookmarkStart w:id="415" w:name="_Toc452556784"/>
      <w:r/>
      <w:bookmarkEnd w:id="415"/>
      <w:r/>
      <w:bookmarkStart w:id="416" w:name="_Toc452502459"/>
      <w:r/>
      <w:bookmarkEnd w:id="416"/>
      <w:r/>
      <w:bookmarkStart w:id="417" w:name="_Toc402880634"/>
      <w:r/>
      <w:bookmarkEnd w:id="417"/>
      <w:r/>
      <w:bookmarkStart w:id="418" w:name="_Toc471745863"/>
      <w:r/>
      <w:bookmarkEnd w:id="418"/>
      <w:r/>
      <w:bookmarkStart w:id="419" w:name="_Toc443332009"/>
      <w:r/>
      <w:bookmarkEnd w:id="419"/>
      <w:r/>
      <w:bookmarkStart w:id="420" w:name="_Toc452502563"/>
      <w:r/>
      <w:bookmarkEnd w:id="420"/>
      <w:r/>
      <w:bookmarkStart w:id="421" w:name="_Toc388279020"/>
      <w:r/>
      <w:bookmarkEnd w:id="421"/>
      <w:r/>
      <w:bookmarkStart w:id="422" w:name="_Toc452556690"/>
      <w:r/>
      <w:bookmarkEnd w:id="422"/>
      <w:r/>
      <w:bookmarkStart w:id="423" w:name="_Toc452502559"/>
      <w:r/>
      <w:bookmarkEnd w:id="423"/>
      <w:r/>
      <w:bookmarkStart w:id="424" w:name="_Toc452502439"/>
      <w:r/>
      <w:bookmarkEnd w:id="424"/>
      <w:r/>
      <w:bookmarkStart w:id="425" w:name="_Toc452556497"/>
      <w:r/>
      <w:bookmarkEnd w:id="425"/>
      <w:r/>
      <w:bookmarkStart w:id="426" w:name="_Toc452502443"/>
      <w:r/>
      <w:bookmarkEnd w:id="426"/>
      <w:r/>
      <w:bookmarkStart w:id="427" w:name="_Toc452502520"/>
      <w:r/>
      <w:bookmarkEnd w:id="427"/>
      <w:r/>
      <w:bookmarkStart w:id="428" w:name="_Toc452502353"/>
      <w:r/>
      <w:bookmarkEnd w:id="428"/>
      <w:r/>
      <w:bookmarkStart w:id="429" w:name="_Toc452556677"/>
      <w:r/>
      <w:bookmarkEnd w:id="429"/>
      <w:r/>
      <w:bookmarkStart w:id="430" w:name="_Toc452556688"/>
      <w:r/>
      <w:bookmarkEnd w:id="430"/>
      <w:r/>
      <w:bookmarkStart w:id="431" w:name="_Toc388279019"/>
      <w:r/>
      <w:bookmarkEnd w:id="431"/>
      <w:r/>
      <w:bookmarkStart w:id="432" w:name="_Toc452556641"/>
      <w:r/>
      <w:bookmarkEnd w:id="432"/>
      <w:r/>
      <w:bookmarkStart w:id="433" w:name="_Toc452502434"/>
      <w:r/>
      <w:bookmarkEnd w:id="433"/>
      <w:r/>
      <w:bookmarkStart w:id="434" w:name="_Toc452556699"/>
      <w:r/>
      <w:bookmarkEnd w:id="434"/>
      <w:r/>
      <w:bookmarkStart w:id="435" w:name="_Toc452556562"/>
      <w:r/>
      <w:bookmarkEnd w:id="435"/>
      <w:r/>
      <w:bookmarkStart w:id="436" w:name="_Toc452556709"/>
      <w:r/>
      <w:bookmarkEnd w:id="436"/>
      <w:r/>
      <w:bookmarkStart w:id="437" w:name="_Toc452502566"/>
      <w:r/>
      <w:bookmarkEnd w:id="437"/>
      <w:r/>
      <w:bookmarkStart w:id="438" w:name="_Toc452502491"/>
      <w:r/>
      <w:bookmarkEnd w:id="438"/>
      <w:r/>
      <w:bookmarkStart w:id="439" w:name="_Toc443332018"/>
      <w:r/>
      <w:bookmarkEnd w:id="439"/>
      <w:r/>
      <w:bookmarkStart w:id="440" w:name="_Toc452502567"/>
      <w:r/>
      <w:bookmarkEnd w:id="440"/>
      <w:r/>
      <w:bookmarkStart w:id="441" w:name="_Toc452556804"/>
      <w:r/>
      <w:bookmarkEnd w:id="441"/>
      <w:r/>
      <w:bookmarkStart w:id="442" w:name="_Toc452502366"/>
      <w:r/>
      <w:bookmarkEnd w:id="442"/>
      <w:r/>
      <w:bookmarkStart w:id="443" w:name="_Toc443332032"/>
      <w:r/>
      <w:bookmarkEnd w:id="443"/>
      <w:r/>
      <w:bookmarkStart w:id="444" w:name="_Toc452502347"/>
      <w:r/>
      <w:bookmarkEnd w:id="444"/>
      <w:r/>
      <w:bookmarkStart w:id="445" w:name="_Toc452502411"/>
      <w:r/>
      <w:bookmarkEnd w:id="445"/>
      <w:r/>
      <w:bookmarkStart w:id="446" w:name="_Toc452502525"/>
      <w:r/>
      <w:bookmarkEnd w:id="446"/>
      <w:r/>
      <w:bookmarkStart w:id="447" w:name="_Toc452502310"/>
      <w:r/>
      <w:bookmarkEnd w:id="447"/>
      <w:r/>
      <w:bookmarkStart w:id="448" w:name="_Toc452502397"/>
      <w:r/>
      <w:bookmarkEnd w:id="448"/>
      <w:r/>
      <w:bookmarkStart w:id="449" w:name="_Toc452556793"/>
      <w:r/>
      <w:bookmarkEnd w:id="449"/>
      <w:r/>
      <w:bookmarkStart w:id="450" w:name="_Toc452556638"/>
      <w:r/>
      <w:bookmarkEnd w:id="450"/>
      <w:r/>
      <w:bookmarkStart w:id="451" w:name="_Toc471744106"/>
      <w:r/>
      <w:bookmarkEnd w:id="451"/>
      <w:r/>
      <w:bookmarkStart w:id="452" w:name="_Toc381964102"/>
      <w:r/>
      <w:bookmarkEnd w:id="452"/>
      <w:r/>
      <w:bookmarkStart w:id="453" w:name="_Toc443332031"/>
      <w:r/>
      <w:bookmarkEnd w:id="453"/>
      <w:r/>
      <w:bookmarkStart w:id="454" w:name="_Toc452502409"/>
      <w:r/>
      <w:bookmarkEnd w:id="454"/>
      <w:r/>
      <w:bookmarkStart w:id="455" w:name="_Toc452556524"/>
      <w:r/>
      <w:bookmarkEnd w:id="455"/>
      <w:r/>
      <w:bookmarkStart w:id="456" w:name="_Toc452556590"/>
      <w:r/>
      <w:bookmarkEnd w:id="456"/>
      <w:r/>
      <w:bookmarkStart w:id="457" w:name="_Toc452502441"/>
      <w:r/>
      <w:bookmarkEnd w:id="457"/>
      <w:r/>
      <w:bookmarkStart w:id="458" w:name="_Toc452502395"/>
      <w:r/>
      <w:bookmarkEnd w:id="458"/>
      <w:r/>
      <w:bookmarkStart w:id="459" w:name="_Toc452556742"/>
      <w:r/>
      <w:bookmarkEnd w:id="459"/>
      <w:r/>
      <w:bookmarkStart w:id="460" w:name="_Toc452502485"/>
      <w:r/>
      <w:bookmarkEnd w:id="460"/>
      <w:r/>
      <w:bookmarkStart w:id="461" w:name="_Toc452502490"/>
      <w:r/>
      <w:bookmarkEnd w:id="461"/>
      <w:r/>
      <w:bookmarkStart w:id="462" w:name="_Toc452502503"/>
      <w:r/>
      <w:bookmarkEnd w:id="462"/>
      <w:r/>
      <w:bookmarkStart w:id="463" w:name="_Toc402880676"/>
      <w:r/>
      <w:bookmarkEnd w:id="463"/>
      <w:r/>
      <w:bookmarkStart w:id="464" w:name="_Toc452556643"/>
      <w:r/>
      <w:bookmarkEnd w:id="464"/>
      <w:r/>
      <w:bookmarkStart w:id="465" w:name="_Toc452556569"/>
      <w:r/>
      <w:bookmarkEnd w:id="465"/>
      <w:r/>
      <w:bookmarkStart w:id="466" w:name="_Toc452556537"/>
      <w:r/>
      <w:bookmarkEnd w:id="466"/>
      <w:r/>
      <w:bookmarkStart w:id="467" w:name="_Toc452556718"/>
      <w:r/>
      <w:bookmarkEnd w:id="467"/>
      <w:r/>
      <w:bookmarkStart w:id="468" w:name="_Toc452556798"/>
      <w:r/>
      <w:bookmarkEnd w:id="468"/>
      <w:r/>
      <w:bookmarkStart w:id="469" w:name="_Toc471745364"/>
      <w:r/>
      <w:bookmarkEnd w:id="469"/>
      <w:r/>
      <w:bookmarkStart w:id="470" w:name="_Toc452502423"/>
      <w:r/>
      <w:bookmarkEnd w:id="470"/>
      <w:r/>
      <w:bookmarkStart w:id="471" w:name="_Toc452502405"/>
      <w:r/>
      <w:bookmarkEnd w:id="471"/>
      <w:r/>
      <w:bookmarkStart w:id="472" w:name="_Toc452556631"/>
      <w:r/>
      <w:bookmarkEnd w:id="472"/>
      <w:r/>
      <w:bookmarkStart w:id="473" w:name="_Toc452502512"/>
      <w:r/>
      <w:bookmarkEnd w:id="473"/>
      <w:r/>
      <w:bookmarkStart w:id="474" w:name="_Toc471745866"/>
      <w:r/>
      <w:bookmarkEnd w:id="474"/>
      <w:r/>
      <w:bookmarkStart w:id="475" w:name="_Toc443332008"/>
      <w:r/>
      <w:bookmarkEnd w:id="475"/>
      <w:r/>
      <w:bookmarkStart w:id="476" w:name="_Toc452556621"/>
      <w:r/>
      <w:bookmarkEnd w:id="476"/>
      <w:r/>
      <w:bookmarkStart w:id="477" w:name="_Toc452556791"/>
      <w:r/>
      <w:bookmarkEnd w:id="477"/>
      <w:r/>
      <w:bookmarkStart w:id="478" w:name="_Toc452556500"/>
      <w:r/>
      <w:bookmarkEnd w:id="478"/>
      <w:r/>
      <w:bookmarkStart w:id="479" w:name="_Toc402880671"/>
      <w:r/>
      <w:bookmarkEnd w:id="479"/>
      <w:r/>
      <w:bookmarkStart w:id="480" w:name="_Toc400913975"/>
      <w:r/>
      <w:bookmarkEnd w:id="480"/>
      <w:r/>
      <w:bookmarkStart w:id="481" w:name="_Toc452502455"/>
      <w:r/>
      <w:bookmarkEnd w:id="481"/>
      <w:r/>
      <w:bookmarkStart w:id="482" w:name="_Toc452556502"/>
      <w:r/>
      <w:bookmarkEnd w:id="482"/>
      <w:r/>
      <w:bookmarkStart w:id="483" w:name="_Toc452556565"/>
      <w:r/>
      <w:bookmarkEnd w:id="483"/>
      <w:r/>
      <w:bookmarkStart w:id="484" w:name="_Toc402880609"/>
      <w:r/>
      <w:bookmarkEnd w:id="484"/>
      <w:r/>
      <w:bookmarkStart w:id="485" w:name="_Toc452556614"/>
      <w:r/>
      <w:bookmarkEnd w:id="485"/>
      <w:r/>
      <w:bookmarkStart w:id="486" w:name="_Toc452556717"/>
      <w:r/>
      <w:bookmarkEnd w:id="486"/>
      <w:r/>
      <w:bookmarkStart w:id="487" w:name="_Toc452556716"/>
      <w:r/>
      <w:bookmarkEnd w:id="487"/>
      <w:r/>
      <w:bookmarkStart w:id="488" w:name="_Toc452502370"/>
      <w:r/>
      <w:bookmarkEnd w:id="488"/>
      <w:r/>
      <w:bookmarkStart w:id="489" w:name="_Toc452502536"/>
      <w:r/>
      <w:bookmarkEnd w:id="489"/>
      <w:r/>
      <w:bookmarkStart w:id="490" w:name="_Toc452556727"/>
      <w:r/>
      <w:bookmarkEnd w:id="490"/>
      <w:r/>
      <w:bookmarkStart w:id="491" w:name="_Toc402880636"/>
      <w:r/>
      <w:bookmarkEnd w:id="491"/>
      <w:r/>
      <w:bookmarkStart w:id="492" w:name="_Toc452556623"/>
      <w:r/>
      <w:bookmarkEnd w:id="492"/>
      <w:r/>
      <w:bookmarkStart w:id="493" w:name="_Toc452502313"/>
      <w:r/>
      <w:bookmarkEnd w:id="493"/>
      <w:r/>
      <w:bookmarkStart w:id="494" w:name="_Toc452502478"/>
      <w:r/>
      <w:bookmarkEnd w:id="494"/>
      <w:r/>
      <w:bookmarkStart w:id="495" w:name="_Toc402880696"/>
      <w:r/>
      <w:bookmarkEnd w:id="495"/>
      <w:r/>
      <w:bookmarkStart w:id="496" w:name="_Toc452556547"/>
      <w:r/>
      <w:bookmarkEnd w:id="496"/>
      <w:r/>
      <w:bookmarkStart w:id="497" w:name="_Toc452502568"/>
      <w:r/>
      <w:bookmarkEnd w:id="497"/>
      <w:r/>
      <w:bookmarkStart w:id="498" w:name="_Toc471745367"/>
      <w:r/>
      <w:bookmarkEnd w:id="498"/>
      <w:r/>
      <w:bookmarkStart w:id="499" w:name="_Toc452556622"/>
      <w:r/>
      <w:bookmarkEnd w:id="499"/>
      <w:r/>
      <w:bookmarkStart w:id="500" w:name="_Toc452502354"/>
      <w:r/>
      <w:bookmarkEnd w:id="500"/>
      <w:r/>
      <w:bookmarkStart w:id="501" w:name="_Toc452556542"/>
      <w:r/>
      <w:bookmarkEnd w:id="501"/>
      <w:r/>
      <w:bookmarkStart w:id="502" w:name="_Toc402880693"/>
      <w:r/>
      <w:bookmarkEnd w:id="502"/>
      <w:r/>
      <w:bookmarkStart w:id="503" w:name="_Toc452502415"/>
      <w:r/>
      <w:bookmarkEnd w:id="503"/>
      <w:r/>
      <w:bookmarkStart w:id="504" w:name="_Toc402880700"/>
      <w:r/>
      <w:bookmarkEnd w:id="504"/>
      <w:r/>
      <w:bookmarkStart w:id="505" w:name="_Toc452502363"/>
      <w:r/>
      <w:bookmarkEnd w:id="505"/>
      <w:r/>
      <w:bookmarkStart w:id="506" w:name="_Toc402880624"/>
      <w:r/>
      <w:bookmarkEnd w:id="506"/>
      <w:r/>
      <w:bookmarkStart w:id="507" w:name="_Toc452556824"/>
      <w:r/>
      <w:bookmarkEnd w:id="507"/>
      <w:r/>
      <w:bookmarkStart w:id="508" w:name="_Toc452502498"/>
      <w:r/>
      <w:bookmarkEnd w:id="508"/>
      <w:r/>
      <w:bookmarkStart w:id="509" w:name="_Toc452502516"/>
      <w:r/>
      <w:bookmarkEnd w:id="509"/>
      <w:r/>
      <w:bookmarkStart w:id="510" w:name="_Toc452556698"/>
      <w:r/>
      <w:bookmarkEnd w:id="510"/>
      <w:r/>
      <w:bookmarkStart w:id="511" w:name="_Toc452556526"/>
      <w:r/>
      <w:bookmarkEnd w:id="511"/>
      <w:r/>
      <w:bookmarkStart w:id="512" w:name="_Toc452556608"/>
      <w:r/>
      <w:bookmarkEnd w:id="512"/>
      <w:r/>
      <w:bookmarkStart w:id="513" w:name="_Toc471745360"/>
      <w:r/>
      <w:bookmarkEnd w:id="513"/>
      <w:r/>
      <w:bookmarkStart w:id="514" w:name="_Toc402880614"/>
      <w:r/>
      <w:bookmarkEnd w:id="514"/>
      <w:r/>
      <w:bookmarkStart w:id="515" w:name="_Toc452556724"/>
      <w:r/>
      <w:bookmarkEnd w:id="515"/>
      <w:r/>
      <w:bookmarkStart w:id="516" w:name="_Toc381963375"/>
      <w:r/>
      <w:bookmarkEnd w:id="516"/>
      <w:r/>
      <w:bookmarkStart w:id="517" w:name="_Toc471745864"/>
      <w:r/>
      <w:bookmarkEnd w:id="517"/>
      <w:r/>
      <w:bookmarkStart w:id="518" w:name="_Toc452502358"/>
      <w:r/>
      <w:bookmarkEnd w:id="518"/>
      <w:r/>
      <w:bookmarkStart w:id="519" w:name="_Toc452556813"/>
      <w:r/>
      <w:bookmarkEnd w:id="519"/>
      <w:r/>
      <w:bookmarkStart w:id="520" w:name="_Toc402880650"/>
      <w:r/>
      <w:bookmarkEnd w:id="520"/>
      <w:r/>
      <w:bookmarkStart w:id="521" w:name="_Toc452556572"/>
      <w:r/>
      <w:bookmarkEnd w:id="521"/>
      <w:r/>
      <w:bookmarkStart w:id="522" w:name="_Toc452556559"/>
      <w:r/>
      <w:bookmarkEnd w:id="522"/>
      <w:r/>
      <w:bookmarkStart w:id="523" w:name="_Toc452556503"/>
      <w:r/>
      <w:bookmarkEnd w:id="523"/>
      <w:r/>
      <w:bookmarkStart w:id="524" w:name="_Toc452556654"/>
      <w:r/>
      <w:bookmarkEnd w:id="524"/>
      <w:r/>
      <w:bookmarkStart w:id="525" w:name="_Toc452556658"/>
      <w:r/>
      <w:bookmarkEnd w:id="525"/>
      <w:r/>
      <w:bookmarkStart w:id="526" w:name="_Toc452556827"/>
      <w:r/>
      <w:bookmarkEnd w:id="526"/>
      <w:r/>
      <w:bookmarkStart w:id="527" w:name="_Toc381964101"/>
      <w:r/>
      <w:bookmarkEnd w:id="527"/>
      <w:r/>
      <w:bookmarkStart w:id="528" w:name="_Toc400913977"/>
      <w:r/>
      <w:bookmarkEnd w:id="528"/>
      <w:r/>
      <w:bookmarkStart w:id="529" w:name="_Toc452502314"/>
      <w:r/>
      <w:bookmarkEnd w:id="529"/>
      <w:r/>
      <w:bookmarkStart w:id="530" w:name="_Toc452502336"/>
      <w:r/>
      <w:bookmarkEnd w:id="530"/>
      <w:r/>
      <w:bookmarkStart w:id="531" w:name="_Toc452556199"/>
      <w:r/>
      <w:bookmarkEnd w:id="531"/>
      <w:r/>
      <w:bookmarkStart w:id="532" w:name="_Toc452502375"/>
      <w:r/>
      <w:bookmarkEnd w:id="532"/>
      <w:r/>
      <w:bookmarkStart w:id="533" w:name="_Toc402880692"/>
      <w:r/>
      <w:bookmarkEnd w:id="533"/>
      <w:r/>
      <w:bookmarkStart w:id="534" w:name="_Toc452502450"/>
      <w:r/>
      <w:bookmarkEnd w:id="534"/>
      <w:r/>
      <w:bookmarkStart w:id="535" w:name="_Toc452502537"/>
      <w:r/>
      <w:bookmarkEnd w:id="535"/>
      <w:r/>
      <w:bookmarkStart w:id="536" w:name="_Toc452502433"/>
      <w:r/>
      <w:bookmarkEnd w:id="536"/>
      <w:r/>
      <w:bookmarkStart w:id="537" w:name="_Toc402880620"/>
      <w:r/>
      <w:bookmarkEnd w:id="537"/>
      <w:r/>
      <w:bookmarkStart w:id="538" w:name="_Toc452556817"/>
      <w:r/>
      <w:bookmarkEnd w:id="538"/>
      <w:r/>
      <w:bookmarkStart w:id="539" w:name="_Toc452556592"/>
      <w:r/>
      <w:bookmarkEnd w:id="539"/>
      <w:r/>
      <w:bookmarkStart w:id="540" w:name="_Toc452502384"/>
      <w:r/>
      <w:bookmarkEnd w:id="540"/>
      <w:r/>
      <w:bookmarkStart w:id="541" w:name="_Toc452502361"/>
      <w:r/>
      <w:bookmarkEnd w:id="541"/>
      <w:r/>
      <w:bookmarkStart w:id="542" w:name="_Toc452556759"/>
      <w:r/>
      <w:bookmarkEnd w:id="542"/>
      <w:r/>
      <w:bookmarkStart w:id="543" w:name="_Toc452502461"/>
      <w:r/>
      <w:bookmarkEnd w:id="543"/>
      <w:r/>
      <w:bookmarkStart w:id="544" w:name="_Toc452502547"/>
      <w:r/>
      <w:bookmarkEnd w:id="544"/>
      <w:r/>
      <w:bookmarkStart w:id="545" w:name="_Toc452556775"/>
      <w:r/>
      <w:bookmarkEnd w:id="545"/>
      <w:r/>
      <w:bookmarkStart w:id="546" w:name="_Toc452502469"/>
      <w:r/>
      <w:bookmarkEnd w:id="546"/>
      <w:r/>
      <w:bookmarkStart w:id="547" w:name="_Toc471745871"/>
      <w:r/>
      <w:bookmarkEnd w:id="547"/>
      <w:r/>
      <w:bookmarkStart w:id="548" w:name="_Toc452556723"/>
      <w:r/>
      <w:bookmarkEnd w:id="548"/>
      <w:r/>
      <w:bookmarkStart w:id="549" w:name="_Toc402880621"/>
      <w:r/>
      <w:bookmarkEnd w:id="549"/>
      <w:r/>
      <w:bookmarkStart w:id="550" w:name="_Toc388279013"/>
      <w:r/>
      <w:bookmarkEnd w:id="550"/>
      <w:r/>
      <w:bookmarkStart w:id="551" w:name="_Toc452556578"/>
      <w:r/>
      <w:bookmarkEnd w:id="551"/>
      <w:r/>
      <w:bookmarkStart w:id="552" w:name="_Toc452556726"/>
      <w:r/>
      <w:bookmarkEnd w:id="552"/>
      <w:r/>
      <w:bookmarkStart w:id="553" w:name="_Toc402880612"/>
      <w:r/>
      <w:bookmarkEnd w:id="553"/>
      <w:r/>
      <w:bookmarkStart w:id="554" w:name="_Toc452556558"/>
      <w:r/>
      <w:bookmarkEnd w:id="554"/>
      <w:r/>
      <w:bookmarkStart w:id="555" w:name="_Toc452502309"/>
      <w:r/>
      <w:bookmarkEnd w:id="555"/>
      <w:r/>
      <w:bookmarkStart w:id="556" w:name="_Toc471745365"/>
      <w:r/>
      <w:bookmarkEnd w:id="556"/>
      <w:r/>
      <w:bookmarkStart w:id="557" w:name="_Toc452556700"/>
      <w:r/>
      <w:bookmarkEnd w:id="557"/>
      <w:r/>
      <w:bookmarkStart w:id="558" w:name="_Toc443332028"/>
      <w:r/>
      <w:bookmarkEnd w:id="558"/>
      <w:r/>
      <w:bookmarkStart w:id="559" w:name="_Toc452556601"/>
      <w:r/>
      <w:bookmarkEnd w:id="559"/>
      <w:r/>
      <w:bookmarkStart w:id="560" w:name="_Toc452556534"/>
      <w:r/>
      <w:bookmarkEnd w:id="560"/>
      <w:r/>
      <w:bookmarkStart w:id="561" w:name="_Toc402880695"/>
      <w:r/>
      <w:bookmarkEnd w:id="561"/>
      <w:r/>
      <w:bookmarkStart w:id="562" w:name="_Toc452556743"/>
      <w:r/>
      <w:bookmarkEnd w:id="562"/>
      <w:r/>
      <w:bookmarkStart w:id="563" w:name="_Toc452502572"/>
      <w:r/>
      <w:bookmarkEnd w:id="563"/>
      <w:r/>
      <w:bookmarkStart w:id="564" w:name="_Toc402880610"/>
      <w:r/>
      <w:bookmarkEnd w:id="564"/>
      <w:r/>
      <w:bookmarkStart w:id="565" w:name="_Toc452556752"/>
      <w:r/>
      <w:bookmarkEnd w:id="565"/>
      <w:r/>
      <w:bookmarkStart w:id="566" w:name="_Toc452556551"/>
      <w:r/>
      <w:bookmarkEnd w:id="566"/>
      <w:r/>
      <w:bookmarkStart w:id="567" w:name="_Toc452502533"/>
      <w:r/>
      <w:bookmarkEnd w:id="567"/>
      <w:r/>
      <w:bookmarkStart w:id="568" w:name="_Toc452502436"/>
      <w:r/>
      <w:bookmarkEnd w:id="568"/>
      <w:r/>
      <w:bookmarkStart w:id="569" w:name="_Toc452502392"/>
      <w:r/>
      <w:bookmarkEnd w:id="569"/>
      <w:r/>
      <w:bookmarkStart w:id="570" w:name="_Toc452502448"/>
      <w:r/>
      <w:bookmarkEnd w:id="570"/>
      <w:r/>
      <w:bookmarkStart w:id="571" w:name="_Toc402880630"/>
      <w:r/>
      <w:bookmarkEnd w:id="571"/>
      <w:r/>
      <w:bookmarkStart w:id="572" w:name="_Toc402880613"/>
      <w:r/>
      <w:bookmarkEnd w:id="572"/>
      <w:r/>
      <w:bookmarkStart w:id="573" w:name="_Toc452502453"/>
      <w:r/>
      <w:bookmarkEnd w:id="573"/>
      <w:r/>
      <w:bookmarkStart w:id="574" w:name="_Toc452556514"/>
      <w:r/>
      <w:bookmarkEnd w:id="574"/>
      <w:r/>
      <w:bookmarkStart w:id="575" w:name="_Toc452556829"/>
      <w:r/>
      <w:bookmarkEnd w:id="575"/>
      <w:r/>
      <w:bookmarkStart w:id="576" w:name="_Toc452556818"/>
      <w:r/>
      <w:bookmarkEnd w:id="576"/>
      <w:r/>
      <w:bookmarkStart w:id="577" w:name="_Toc452502510"/>
      <w:r/>
      <w:bookmarkEnd w:id="577"/>
      <w:r/>
      <w:bookmarkStart w:id="578" w:name="_Toc402880675"/>
      <w:r/>
      <w:bookmarkEnd w:id="578"/>
      <w:r/>
      <w:bookmarkStart w:id="579" w:name="_Toc471744107"/>
      <w:r/>
      <w:bookmarkEnd w:id="579"/>
      <w:r/>
      <w:bookmarkStart w:id="580" w:name="_Toc452556782"/>
      <w:r/>
      <w:bookmarkEnd w:id="580"/>
      <w:r/>
      <w:bookmarkStart w:id="581" w:name="_Toc452502425"/>
      <w:r/>
      <w:bookmarkEnd w:id="581"/>
      <w:r/>
      <w:bookmarkStart w:id="582" w:name="_Toc452556704"/>
      <w:r/>
      <w:bookmarkEnd w:id="582"/>
      <w:r/>
      <w:bookmarkStart w:id="583" w:name="_Toc452556593"/>
      <w:r/>
      <w:bookmarkEnd w:id="583"/>
      <w:r/>
      <w:bookmarkStart w:id="584" w:name="_Toc452556548"/>
      <w:r/>
      <w:bookmarkEnd w:id="584"/>
      <w:r/>
      <w:bookmarkStart w:id="585" w:name="_Toc402880654"/>
      <w:r/>
      <w:bookmarkEnd w:id="585"/>
      <w:r/>
      <w:bookmarkStart w:id="586" w:name="_Toc452556498"/>
      <w:r/>
      <w:bookmarkEnd w:id="586"/>
      <w:r/>
      <w:bookmarkStart w:id="587" w:name="_Toc452502394"/>
      <w:r/>
      <w:bookmarkEnd w:id="587"/>
      <w:r/>
      <w:bookmarkStart w:id="588" w:name="_Toc452556613"/>
      <w:r/>
      <w:bookmarkEnd w:id="588"/>
      <w:r/>
      <w:bookmarkStart w:id="589" w:name="_Toc402880694"/>
      <w:r/>
      <w:bookmarkEnd w:id="589"/>
      <w:r/>
      <w:bookmarkStart w:id="590" w:name="_Toc402880627"/>
      <w:r/>
      <w:bookmarkEnd w:id="590"/>
      <w:r/>
      <w:bookmarkStart w:id="591" w:name="_Toc452556789"/>
      <w:r/>
      <w:bookmarkEnd w:id="591"/>
      <w:r/>
      <w:bookmarkStart w:id="592" w:name="_Toc452556770"/>
      <w:r/>
      <w:bookmarkEnd w:id="592"/>
      <w:r/>
      <w:bookmarkStart w:id="593" w:name="_Toc452556821"/>
      <w:r/>
      <w:bookmarkEnd w:id="593"/>
      <w:r/>
      <w:bookmarkStart w:id="594" w:name="_Toc452502554"/>
      <w:r/>
      <w:bookmarkEnd w:id="594"/>
      <w:r/>
      <w:bookmarkStart w:id="595" w:name="_Toc452556785"/>
      <w:r/>
      <w:bookmarkEnd w:id="595"/>
      <w:r/>
      <w:bookmarkStart w:id="596" w:name="_Toc452502502"/>
      <w:r/>
      <w:bookmarkEnd w:id="596"/>
      <w:r/>
      <w:bookmarkStart w:id="597" w:name="_Toc452556734"/>
      <w:r/>
      <w:bookmarkEnd w:id="597"/>
      <w:r/>
      <w:bookmarkStart w:id="598" w:name="_Toc452556807"/>
      <w:r/>
      <w:bookmarkEnd w:id="598"/>
      <w:r/>
      <w:bookmarkStart w:id="599" w:name="_Toc400913978"/>
      <w:r/>
      <w:bookmarkEnd w:id="599"/>
      <w:r/>
      <w:bookmarkStart w:id="600" w:name="_Toc452556620"/>
      <w:r/>
      <w:bookmarkEnd w:id="600"/>
      <w:r/>
      <w:bookmarkStart w:id="601" w:name="_Toc452556720"/>
      <w:r/>
      <w:bookmarkEnd w:id="601"/>
      <w:r/>
      <w:bookmarkStart w:id="602" w:name="_Toc388279017"/>
      <w:r/>
      <w:bookmarkEnd w:id="602"/>
      <w:r/>
      <w:bookmarkStart w:id="603" w:name="_Toc452502420"/>
      <w:r/>
      <w:bookmarkEnd w:id="603"/>
      <w:r/>
      <w:bookmarkStart w:id="604" w:name="_Toc452502457"/>
      <w:r/>
      <w:bookmarkEnd w:id="604"/>
      <w:r/>
      <w:bookmarkStart w:id="605" w:name="_Toc452502421"/>
      <w:r/>
      <w:bookmarkEnd w:id="605"/>
      <w:r/>
      <w:bookmarkStart w:id="606" w:name="_Toc452556607"/>
      <w:r/>
      <w:bookmarkEnd w:id="606"/>
      <w:r/>
      <w:bookmarkStart w:id="607" w:name="_Toc452502404"/>
      <w:r/>
      <w:bookmarkEnd w:id="607"/>
      <w:r/>
      <w:bookmarkStart w:id="608" w:name="_Toc452502406"/>
      <w:r/>
      <w:bookmarkEnd w:id="608"/>
      <w:r/>
      <w:bookmarkStart w:id="609" w:name="_Toc452502402"/>
      <w:r/>
      <w:bookmarkEnd w:id="609"/>
      <w:r/>
      <w:bookmarkStart w:id="610" w:name="_Toc452556662"/>
      <w:r/>
      <w:bookmarkEnd w:id="610"/>
      <w:r/>
      <w:bookmarkStart w:id="611" w:name="_Toc402880666"/>
      <w:r/>
      <w:bookmarkEnd w:id="611"/>
      <w:r/>
      <w:bookmarkStart w:id="612" w:name="_Toc452556650"/>
      <w:r/>
      <w:bookmarkEnd w:id="612"/>
      <w:r/>
      <w:bookmarkStart w:id="613" w:name="_Toc402880637"/>
      <w:r/>
      <w:bookmarkEnd w:id="613"/>
      <w:r/>
      <w:bookmarkStart w:id="614" w:name="_Toc452556627"/>
      <w:r/>
      <w:bookmarkEnd w:id="614"/>
      <w:r/>
      <w:bookmarkStart w:id="615" w:name="_Toc452502470"/>
      <w:r/>
      <w:bookmarkEnd w:id="615"/>
      <w:r/>
      <w:bookmarkStart w:id="616" w:name="_Toc443332010"/>
      <w:r/>
      <w:bookmarkEnd w:id="616"/>
      <w:r/>
      <w:bookmarkStart w:id="617" w:name="_Toc402880606"/>
      <w:r/>
      <w:bookmarkEnd w:id="617"/>
      <w:r/>
      <w:bookmarkStart w:id="618" w:name="_Toc452502506"/>
      <w:r/>
      <w:bookmarkEnd w:id="618"/>
      <w:r/>
      <w:bookmarkStart w:id="619" w:name="_Toc452556678"/>
      <w:r/>
      <w:bookmarkEnd w:id="619"/>
      <w:r/>
      <w:bookmarkStart w:id="620" w:name="_Toc452502376"/>
      <w:r/>
      <w:bookmarkEnd w:id="620"/>
      <w:r/>
      <w:bookmarkStart w:id="621" w:name="_Toc452556518"/>
      <w:r/>
      <w:bookmarkEnd w:id="621"/>
      <w:r/>
      <w:bookmarkStart w:id="622" w:name="_Toc402880617"/>
      <w:r/>
      <w:bookmarkEnd w:id="622"/>
      <w:r/>
      <w:bookmarkStart w:id="623" w:name="_Toc452556644"/>
      <w:r/>
      <w:bookmarkEnd w:id="623"/>
      <w:r/>
      <w:bookmarkStart w:id="624" w:name="_Toc452502334"/>
      <w:r/>
      <w:bookmarkEnd w:id="624"/>
      <w:r/>
      <w:bookmarkStart w:id="625" w:name="_Toc443332016"/>
      <w:r/>
      <w:bookmarkEnd w:id="625"/>
      <w:r/>
      <w:bookmarkStart w:id="626" w:name="_Toc452556655"/>
      <w:r/>
      <w:bookmarkEnd w:id="626"/>
      <w:r/>
      <w:bookmarkStart w:id="627" w:name="_Toc402880628"/>
      <w:r/>
      <w:bookmarkEnd w:id="627"/>
      <w:r/>
      <w:bookmarkStart w:id="628" w:name="_Toc452502480"/>
      <w:r/>
      <w:bookmarkEnd w:id="628"/>
      <w:r/>
      <w:bookmarkStart w:id="629" w:name="_Toc452556748"/>
      <w:r/>
      <w:bookmarkEnd w:id="629"/>
      <w:r/>
      <w:bookmarkStart w:id="630" w:name="_Toc452502335"/>
      <w:r/>
      <w:bookmarkEnd w:id="630"/>
      <w:r/>
      <w:bookmarkStart w:id="631" w:name="_Toc452556582"/>
      <w:r/>
      <w:bookmarkEnd w:id="631"/>
      <w:r/>
      <w:bookmarkStart w:id="632" w:name="_Toc452502468"/>
      <w:r/>
      <w:bookmarkEnd w:id="632"/>
      <w:r/>
      <w:bookmarkStart w:id="633" w:name="_Toc452556588"/>
      <w:r/>
      <w:bookmarkEnd w:id="633"/>
      <w:r/>
      <w:bookmarkStart w:id="634" w:name="_Toc452556659"/>
      <w:r/>
      <w:bookmarkEnd w:id="634"/>
      <w:r/>
      <w:bookmarkStart w:id="635" w:name="_Toc452502407"/>
      <w:r/>
      <w:bookmarkEnd w:id="635"/>
      <w:r/>
      <w:bookmarkStart w:id="636" w:name="_Toc452502382"/>
      <w:r/>
      <w:bookmarkEnd w:id="636"/>
      <w:r/>
      <w:bookmarkStart w:id="637" w:name="_Toc452556666"/>
      <w:r/>
      <w:bookmarkEnd w:id="637"/>
      <w:r/>
      <w:bookmarkStart w:id="638" w:name="_Toc471745872"/>
      <w:r/>
      <w:bookmarkEnd w:id="638"/>
      <w:r/>
      <w:bookmarkStart w:id="639" w:name="_Toc452556670"/>
      <w:r/>
      <w:bookmarkEnd w:id="639"/>
      <w:r/>
      <w:bookmarkStart w:id="640" w:name="_Toc452502530"/>
      <w:r/>
      <w:bookmarkEnd w:id="640"/>
      <w:r/>
      <w:bookmarkStart w:id="641" w:name="_Toc471744978"/>
      <w:r/>
      <w:bookmarkEnd w:id="641"/>
      <w:r/>
      <w:bookmarkStart w:id="642" w:name="_Toc452502337"/>
      <w:r/>
      <w:bookmarkEnd w:id="642"/>
      <w:r/>
      <w:bookmarkStart w:id="643" w:name="_Toc452502413"/>
      <w:r/>
      <w:bookmarkEnd w:id="643"/>
      <w:r/>
      <w:bookmarkStart w:id="644" w:name="_Toc471745862"/>
      <w:r/>
      <w:bookmarkEnd w:id="644"/>
      <w:r/>
      <w:bookmarkStart w:id="645" w:name="_Toc452556715"/>
      <w:r/>
      <w:bookmarkEnd w:id="645"/>
      <w:r/>
      <w:bookmarkStart w:id="646" w:name="_Toc452556745"/>
      <w:r/>
      <w:bookmarkEnd w:id="646"/>
      <w:r/>
      <w:bookmarkStart w:id="647" w:name="_Toc452556809"/>
      <w:r/>
      <w:bookmarkEnd w:id="647"/>
      <w:r/>
      <w:bookmarkStart w:id="648" w:name="_Toc452556561"/>
      <w:r/>
      <w:bookmarkEnd w:id="648"/>
      <w:r/>
      <w:bookmarkStart w:id="649" w:name="_Toc452556653"/>
      <w:r/>
      <w:bookmarkEnd w:id="649"/>
      <w:r/>
      <w:bookmarkStart w:id="650" w:name="_Toc452556519"/>
      <w:r/>
      <w:bookmarkEnd w:id="650"/>
      <w:r/>
      <w:bookmarkStart w:id="651" w:name="_Toc452502471"/>
      <w:r/>
      <w:bookmarkEnd w:id="651"/>
      <w:r/>
      <w:bookmarkStart w:id="652" w:name="_Toc452556521"/>
      <w:r/>
      <w:bookmarkEnd w:id="652"/>
      <w:r/>
      <w:bookmarkStart w:id="653" w:name="_Toc452556681"/>
      <w:r/>
      <w:bookmarkEnd w:id="653"/>
      <w:r/>
      <w:bookmarkStart w:id="654" w:name="_Toc452502528"/>
      <w:r/>
      <w:bookmarkEnd w:id="654"/>
      <w:r/>
      <w:bookmarkStart w:id="655" w:name="_Toc452556753"/>
      <w:r/>
      <w:bookmarkEnd w:id="655"/>
      <w:r/>
      <w:bookmarkStart w:id="656" w:name="_Toc402880611"/>
      <w:r/>
      <w:bookmarkEnd w:id="656"/>
      <w:r/>
      <w:bookmarkStart w:id="657" w:name="_Toc452502519"/>
      <w:r/>
      <w:bookmarkEnd w:id="657"/>
      <w:r/>
      <w:bookmarkStart w:id="658" w:name="_Toc402880699"/>
      <w:r/>
      <w:bookmarkEnd w:id="658"/>
      <w:r/>
      <w:bookmarkStart w:id="659" w:name="_Toc452502412"/>
      <w:r/>
      <w:bookmarkEnd w:id="659"/>
      <w:r/>
      <w:bookmarkStart w:id="660" w:name="_Toc452502427"/>
      <w:r/>
      <w:bookmarkEnd w:id="660"/>
      <w:r/>
      <w:bookmarkStart w:id="661" w:name="_Toc452502431"/>
      <w:r/>
      <w:bookmarkEnd w:id="661"/>
      <w:r/>
      <w:bookmarkStart w:id="662" w:name="_Toc452556773"/>
      <w:r/>
      <w:bookmarkEnd w:id="662"/>
      <w:r/>
      <w:bookmarkStart w:id="663" w:name="_Toc452502414"/>
      <w:r/>
      <w:bookmarkEnd w:id="663"/>
      <w:r/>
      <w:bookmarkStart w:id="664" w:name="_Toc471739945"/>
      <w:r/>
      <w:bookmarkEnd w:id="664"/>
      <w:r/>
      <w:bookmarkStart w:id="665" w:name="_Toc402880667"/>
      <w:r/>
      <w:bookmarkEnd w:id="665"/>
      <w:r/>
      <w:bookmarkStart w:id="666" w:name="_Toc452556781"/>
      <w:r/>
      <w:bookmarkEnd w:id="666"/>
      <w:r/>
      <w:bookmarkStart w:id="667" w:name="_Toc452502475"/>
      <w:r/>
      <w:bookmarkEnd w:id="667"/>
      <w:r/>
      <w:bookmarkStart w:id="668" w:name="_Toc452502558"/>
      <w:r/>
      <w:bookmarkEnd w:id="668"/>
      <w:r/>
      <w:bookmarkStart w:id="669" w:name="_Toc452556651"/>
      <w:r/>
      <w:bookmarkEnd w:id="669"/>
      <w:r/>
      <w:bookmarkStart w:id="670" w:name="_Toc452502340"/>
      <w:r/>
      <w:bookmarkEnd w:id="670"/>
      <w:r/>
      <w:bookmarkStart w:id="671" w:name="_Toc452556682"/>
      <w:r/>
      <w:bookmarkEnd w:id="671"/>
      <w:r/>
      <w:bookmarkStart w:id="672" w:name="_Toc443332007"/>
      <w:r/>
      <w:bookmarkEnd w:id="672"/>
      <w:r/>
      <w:bookmarkStart w:id="673" w:name="_Toc452556606"/>
      <w:r/>
      <w:bookmarkEnd w:id="673"/>
      <w:r/>
      <w:bookmarkStart w:id="674" w:name="_Toc471745870"/>
      <w:r/>
      <w:bookmarkEnd w:id="674"/>
      <w:r/>
      <w:bookmarkStart w:id="675" w:name="_Toc452502531"/>
      <w:r/>
      <w:bookmarkEnd w:id="675"/>
      <w:r/>
      <w:bookmarkStart w:id="676" w:name="_Toc452502546"/>
      <w:r/>
      <w:bookmarkEnd w:id="676"/>
      <w:r/>
      <w:bookmarkStart w:id="677" w:name="_Toc452556722"/>
      <w:r/>
      <w:bookmarkEnd w:id="677"/>
      <w:r/>
      <w:bookmarkStart w:id="678" w:name="_Toc452502479"/>
      <w:r/>
      <w:bookmarkEnd w:id="678"/>
      <w:r/>
      <w:bookmarkStart w:id="679" w:name="_Toc452556808"/>
      <w:r/>
      <w:bookmarkEnd w:id="679"/>
      <w:r/>
      <w:bookmarkStart w:id="680" w:name="_Toc443332014"/>
      <w:r/>
      <w:bookmarkEnd w:id="680"/>
      <w:r/>
      <w:bookmarkStart w:id="681" w:name="_Toc452502348"/>
      <w:r/>
      <w:bookmarkEnd w:id="681"/>
      <w:r/>
      <w:bookmarkStart w:id="682" w:name="_Toc402880697"/>
      <w:r/>
      <w:bookmarkEnd w:id="682"/>
      <w:r/>
      <w:bookmarkStart w:id="683" w:name="_Toc452556555"/>
      <w:r/>
      <w:bookmarkEnd w:id="683"/>
      <w:r/>
      <w:bookmarkStart w:id="684" w:name="_Toc443332006"/>
      <w:r/>
      <w:bookmarkEnd w:id="684"/>
      <w:r/>
      <w:bookmarkStart w:id="685" w:name="_Toc452502367"/>
      <w:r/>
      <w:bookmarkEnd w:id="685"/>
      <w:r/>
      <w:bookmarkStart w:id="686" w:name="_Toc452556687"/>
      <w:r/>
      <w:bookmarkEnd w:id="686"/>
      <w:r/>
      <w:bookmarkStart w:id="687" w:name="_Toc452502318"/>
      <w:r/>
      <w:bookmarkEnd w:id="687"/>
      <w:r/>
      <w:bookmarkStart w:id="688" w:name="_Toc452556624"/>
      <w:r/>
      <w:bookmarkEnd w:id="688"/>
      <w:r/>
      <w:bookmarkStart w:id="689" w:name="_Toc402880683"/>
      <w:r/>
      <w:bookmarkEnd w:id="689"/>
      <w:r/>
      <w:bookmarkStart w:id="690" w:name="_Toc402880641"/>
      <w:r/>
      <w:bookmarkEnd w:id="690"/>
      <w:r/>
      <w:bookmarkStart w:id="691" w:name="_Toc452502393"/>
      <w:r/>
      <w:bookmarkEnd w:id="691"/>
      <w:r/>
      <w:bookmarkStart w:id="692" w:name="_Toc452556707"/>
      <w:r/>
      <w:bookmarkEnd w:id="692"/>
      <w:r/>
      <w:bookmarkStart w:id="693" w:name="_Toc452502428"/>
      <w:r/>
      <w:bookmarkEnd w:id="693"/>
      <w:r/>
      <w:bookmarkStart w:id="694" w:name="_Toc402880665"/>
      <w:r/>
      <w:bookmarkEnd w:id="694"/>
      <w:r/>
      <w:bookmarkStart w:id="695" w:name="_Toc452556777"/>
      <w:r/>
      <w:bookmarkEnd w:id="695"/>
      <w:r/>
      <w:bookmarkStart w:id="696" w:name="_Toc402880608"/>
      <w:r/>
      <w:bookmarkEnd w:id="696"/>
      <w:r/>
      <w:bookmarkStart w:id="697" w:name="_Toc452502331"/>
      <w:r/>
      <w:bookmarkEnd w:id="697"/>
      <w:r/>
      <w:bookmarkStart w:id="698" w:name="_Toc452502355"/>
      <w:r/>
      <w:bookmarkEnd w:id="698"/>
      <w:r/>
      <w:bookmarkStart w:id="699" w:name="_Toc471745366"/>
      <w:r/>
      <w:bookmarkEnd w:id="699"/>
      <w:r/>
      <w:bookmarkStart w:id="700" w:name="_Toc452556533"/>
      <w:r/>
      <w:bookmarkEnd w:id="700"/>
      <w:r/>
      <w:bookmarkStart w:id="701" w:name="_Toc443332011"/>
      <w:r/>
      <w:bookmarkEnd w:id="701"/>
      <w:r/>
      <w:bookmarkStart w:id="702" w:name="_Toc452556583"/>
      <w:r/>
      <w:bookmarkEnd w:id="702"/>
      <w:r/>
      <w:bookmarkStart w:id="703" w:name="_Toc452556505"/>
      <w:r/>
      <w:bookmarkEnd w:id="703"/>
      <w:r/>
      <w:bookmarkStart w:id="704" w:name="_Toc452556557"/>
      <w:r/>
      <w:bookmarkEnd w:id="704"/>
      <w:r/>
      <w:bookmarkStart w:id="705" w:name="_Toc452502509"/>
      <w:r/>
      <w:bookmarkEnd w:id="705"/>
      <w:r/>
      <w:bookmarkStart w:id="706" w:name="_Toc402880643"/>
      <w:r/>
      <w:bookmarkEnd w:id="706"/>
      <w:r/>
      <w:bookmarkStart w:id="707" w:name="_Toc452502386"/>
      <w:r/>
      <w:bookmarkEnd w:id="707"/>
      <w:r/>
      <w:bookmarkStart w:id="708" w:name="_Toc452502341"/>
      <w:r/>
      <w:bookmarkEnd w:id="708"/>
      <w:r/>
      <w:bookmarkStart w:id="709" w:name="_Toc452556664"/>
      <w:r/>
      <w:bookmarkEnd w:id="709"/>
      <w:r/>
      <w:bookmarkStart w:id="710" w:name="_Toc452556594"/>
      <w:r/>
      <w:bookmarkEnd w:id="710"/>
      <w:r/>
      <w:bookmarkStart w:id="711" w:name="_Toc452556691"/>
      <w:r/>
      <w:bookmarkEnd w:id="711"/>
      <w:r/>
      <w:bookmarkStart w:id="712" w:name="_Toc388279016"/>
      <w:r/>
      <w:bookmarkEnd w:id="712"/>
      <w:r/>
      <w:bookmarkStart w:id="713" w:name="_Toc452556739"/>
      <w:r/>
      <w:bookmarkEnd w:id="713"/>
      <w:r/>
      <w:bookmarkStart w:id="714" w:name="_Toc452502446"/>
      <w:r/>
      <w:bookmarkEnd w:id="714"/>
      <w:r/>
      <w:bookmarkStart w:id="715" w:name="_Toc402880681"/>
      <w:r/>
      <w:bookmarkEnd w:id="715"/>
      <w:r/>
      <w:bookmarkStart w:id="716" w:name="_Toc452556576"/>
      <w:r/>
      <w:bookmarkEnd w:id="716"/>
      <w:r/>
      <w:bookmarkStart w:id="717" w:name="_Toc402880661"/>
      <w:r/>
      <w:bookmarkEnd w:id="717"/>
      <w:r/>
      <w:bookmarkStart w:id="718" w:name="_Toc452502466"/>
      <w:r/>
      <w:bookmarkEnd w:id="718"/>
      <w:r/>
      <w:bookmarkStart w:id="719" w:name="_Toc452556636"/>
      <w:r/>
      <w:bookmarkEnd w:id="719"/>
      <w:r/>
      <w:bookmarkStart w:id="720" w:name="_Toc452556535"/>
      <w:r/>
      <w:bookmarkEnd w:id="720"/>
      <w:r/>
      <w:bookmarkStart w:id="721" w:name="_Toc452556783"/>
      <w:r/>
      <w:bookmarkEnd w:id="721"/>
      <w:r/>
      <w:bookmarkStart w:id="722" w:name="_Toc452556523"/>
      <w:r/>
      <w:bookmarkEnd w:id="722"/>
      <w:r/>
      <w:bookmarkStart w:id="723" w:name="_Toc452502365"/>
      <w:r/>
      <w:bookmarkEnd w:id="723"/>
      <w:r/>
      <w:bookmarkStart w:id="724" w:name="_Toc402880659"/>
      <w:r/>
      <w:bookmarkEnd w:id="724"/>
      <w:r/>
      <w:bookmarkStart w:id="725" w:name="_Toc452556778"/>
      <w:r/>
      <w:bookmarkEnd w:id="725"/>
      <w:r/>
      <w:bookmarkStart w:id="726" w:name="_Toc402880662"/>
      <w:r/>
      <w:bookmarkEnd w:id="726"/>
      <w:r/>
      <w:bookmarkStart w:id="727" w:name="_Toc452556663"/>
      <w:r/>
      <w:bookmarkEnd w:id="727"/>
      <w:r/>
      <w:bookmarkStart w:id="728" w:name="_Toc452502556"/>
      <w:r/>
      <w:bookmarkEnd w:id="728"/>
      <w:r/>
      <w:bookmarkStart w:id="729" w:name="_Toc471745361"/>
      <w:r/>
      <w:bookmarkEnd w:id="729"/>
      <w:r/>
      <w:bookmarkStart w:id="730" w:name="_Toc452556790"/>
      <w:r/>
      <w:bookmarkEnd w:id="730"/>
      <w:r/>
      <w:bookmarkStart w:id="731" w:name="_Toc402880631"/>
      <w:r/>
      <w:bookmarkEnd w:id="731"/>
      <w:r/>
      <w:bookmarkStart w:id="732" w:name="_Toc381963373"/>
      <w:r/>
      <w:bookmarkEnd w:id="732"/>
      <w:r/>
      <w:bookmarkStart w:id="733" w:name="_Toc452556570"/>
      <w:r/>
      <w:bookmarkEnd w:id="733"/>
      <w:r/>
      <w:bookmarkStart w:id="734" w:name="_Toc452502495"/>
      <w:r/>
      <w:bookmarkEnd w:id="734"/>
      <w:r/>
      <w:bookmarkStart w:id="735" w:name="_Toc452556667"/>
      <w:r/>
      <w:bookmarkEnd w:id="735"/>
      <w:r/>
      <w:bookmarkStart w:id="736" w:name="_Toc400913980"/>
      <w:r/>
      <w:bookmarkEnd w:id="736"/>
      <w:r/>
      <w:bookmarkStart w:id="737" w:name="_Toc452502424"/>
      <w:r/>
      <w:bookmarkEnd w:id="737"/>
      <w:r/>
      <w:bookmarkStart w:id="738" w:name="_Toc452556546"/>
      <w:r/>
      <w:bookmarkEnd w:id="738"/>
      <w:r/>
      <w:bookmarkStart w:id="739" w:name="_Toc452556814"/>
      <w:r/>
      <w:bookmarkEnd w:id="739"/>
      <w:r/>
      <w:bookmarkStart w:id="740" w:name="_Toc452556810"/>
      <w:r/>
      <w:bookmarkEnd w:id="740"/>
      <w:r/>
      <w:bookmarkStart w:id="741" w:name="_Toc452556828"/>
      <w:r/>
      <w:bookmarkEnd w:id="741"/>
      <w:r/>
      <w:bookmarkStart w:id="742" w:name="_Toc471740933"/>
      <w:r/>
      <w:bookmarkEnd w:id="742"/>
      <w:r/>
      <w:bookmarkStart w:id="743" w:name="_Toc452556560"/>
      <w:r/>
      <w:bookmarkEnd w:id="743"/>
      <w:r/>
      <w:bookmarkStart w:id="744" w:name="_Toc443332029"/>
      <w:r/>
      <w:bookmarkEnd w:id="744"/>
      <w:r/>
      <w:bookmarkStart w:id="745" w:name="_Toc452556779"/>
      <w:r/>
      <w:bookmarkEnd w:id="745"/>
      <w:r/>
      <w:bookmarkStart w:id="746" w:name="_Toc452556764"/>
      <w:r/>
      <w:bookmarkEnd w:id="746"/>
      <w:r/>
      <w:bookmarkStart w:id="747" w:name="_Toc452556510"/>
      <w:r/>
      <w:bookmarkEnd w:id="747"/>
      <w:r/>
      <w:bookmarkStart w:id="748" w:name="_Toc452502474"/>
      <w:r/>
      <w:bookmarkEnd w:id="748"/>
      <w:r/>
      <w:bookmarkStart w:id="749" w:name="_Toc402880678"/>
      <w:r/>
      <w:bookmarkEnd w:id="749"/>
      <w:r/>
      <w:bookmarkStart w:id="750" w:name="_Toc471745865"/>
      <w:r/>
      <w:bookmarkEnd w:id="750"/>
      <w:r/>
      <w:bookmarkStart w:id="751" w:name="_Toc402880607"/>
      <w:r/>
      <w:bookmarkEnd w:id="751"/>
      <w:r/>
      <w:bookmarkStart w:id="752" w:name="_Toc452502571"/>
      <w:r/>
      <w:bookmarkEnd w:id="752"/>
      <w:r/>
      <w:bookmarkStart w:id="753" w:name="_Toc452556800"/>
      <w:r/>
      <w:bookmarkEnd w:id="753"/>
      <w:r/>
      <w:bookmarkStart w:id="754" w:name="_Toc452556805"/>
      <w:r/>
      <w:bookmarkEnd w:id="754"/>
      <w:r/>
      <w:bookmarkStart w:id="755" w:name="_Toc452556540"/>
      <w:r/>
      <w:bookmarkEnd w:id="755"/>
      <w:r/>
      <w:bookmarkStart w:id="756" w:name="_Toc402880685"/>
      <w:r/>
      <w:bookmarkEnd w:id="756"/>
      <w:r/>
      <w:bookmarkStart w:id="757" w:name="_Toc452502362"/>
      <w:r/>
      <w:bookmarkEnd w:id="757"/>
      <w:r/>
      <w:bookmarkStart w:id="758" w:name="_Toc471745861"/>
      <w:r/>
      <w:bookmarkEnd w:id="758"/>
      <w:r/>
      <w:bookmarkStart w:id="759" w:name="_Toc452502378"/>
      <w:r/>
      <w:bookmarkEnd w:id="759"/>
      <w:r/>
      <w:bookmarkStart w:id="760" w:name="_Toc388279022"/>
      <w:r/>
      <w:bookmarkEnd w:id="760"/>
      <w:r/>
      <w:bookmarkStart w:id="761" w:name="_Toc402880625"/>
      <w:r/>
      <w:bookmarkEnd w:id="761"/>
      <w:r/>
      <w:bookmarkStart w:id="762" w:name="_Toc452556645"/>
      <w:r/>
      <w:bookmarkEnd w:id="762"/>
      <w:r/>
      <w:bookmarkStart w:id="763" w:name="_Toc452556786"/>
      <w:r/>
      <w:bookmarkEnd w:id="763"/>
      <w:r/>
      <w:bookmarkStart w:id="764" w:name="_Toc402880670"/>
      <w:r/>
      <w:bookmarkEnd w:id="764"/>
      <w:r/>
      <w:bookmarkStart w:id="765" w:name="_Toc452556815"/>
      <w:r/>
      <w:bookmarkEnd w:id="765"/>
      <w:r/>
      <w:bookmarkStart w:id="766" w:name="_Toc452556632"/>
      <w:r/>
      <w:bookmarkEnd w:id="766"/>
      <w:r/>
      <w:bookmarkStart w:id="767" w:name="_Toc452556574"/>
      <w:r/>
      <w:bookmarkEnd w:id="767"/>
      <w:r/>
      <w:bookmarkStart w:id="768" w:name="_Toc452502418"/>
      <w:r/>
      <w:bookmarkEnd w:id="768"/>
      <w:r/>
      <w:bookmarkStart w:id="769" w:name="_Toc452556795"/>
      <w:r/>
      <w:bookmarkEnd w:id="769"/>
      <w:r/>
      <w:bookmarkStart w:id="770" w:name="_Toc452556657"/>
      <w:r/>
      <w:bookmarkEnd w:id="770"/>
      <w:r/>
      <w:bookmarkStart w:id="771" w:name="_Toc452502472"/>
      <w:r/>
      <w:bookmarkEnd w:id="771"/>
      <w:r/>
      <w:bookmarkStart w:id="772" w:name="_Toc443332005"/>
      <w:r/>
      <w:bookmarkEnd w:id="772"/>
      <w:r/>
      <w:bookmarkStart w:id="773" w:name="_Toc452556580"/>
      <w:r/>
      <w:bookmarkEnd w:id="773"/>
      <w:r/>
      <w:bookmarkStart w:id="774" w:name="_Toc452556506"/>
      <w:r/>
      <w:bookmarkEnd w:id="774"/>
      <w:r/>
      <w:bookmarkStart w:id="775" w:name="_Toc452556499"/>
      <w:r/>
      <w:bookmarkEnd w:id="775"/>
      <w:r/>
      <w:bookmarkStart w:id="776" w:name="_Toc452502391"/>
      <w:r/>
      <w:bookmarkEnd w:id="776"/>
      <w:r/>
      <w:r/>
    </w:p>
    <w:p>
      <w:pPr>
        <w:numPr>
          <w:ilvl w:val="0"/>
          <w:numId w:val="0"/>
        </w:numPr>
        <w:spacing w:line="360" w:lineRule="auto"/>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1、项目概况</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蠡湖地处无锡市区西南部，作为太湖伸入陆地的核心内湖，是太湖流域生态系统的重要组成部分，与太湖水域紧密连通，承担水体交换、生态调节等核心功能。依托涵盖 32 条</w:t>
      </w:r>
      <w:r>
        <w:rPr>
          <w:rFonts w:hint="eastAsia" w:ascii="宋体" w:hAnsi="宋体" w:eastAsia="宋体" w:cs="宋体"/>
          <w:b w:val="0"/>
          <w:bCs w:val="0"/>
          <w:color w:val="auto"/>
          <w:sz w:val="24"/>
          <w:szCs w:val="24"/>
          <w:highlight w:val="none"/>
          <w:lang w:val="en-US" w:eastAsia="zh-CN"/>
        </w:rPr>
        <w:t xml:space="preserve">入湖支流支浜的“湖—河—江”贯通水网体系，蠡湖切实发挥水资源调配、防洪排涝等重要作用，既是无锡“江南水乡”特色的核心载体，也是城市生态安全的关键屏障，其水生态环境质量直接关乎城市发展格局与群众切身利益。开展蠡湖水环境深度治理，是践行习近平生态文明思想的具体实践，是高标准打造蠡湖未来城、满足人民群众对高品质生态生活向往的重要举措。当前，蠡湖水环境治理仍面临动态监测精准度不足、跨部门数据壁垒尚未完全破除、污染溯源与应急响应能力有待提升等短板，亟须通过数字化手段构建全域覆盖、智能高效的治理支撑体系，破解治理难题。</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本项目建设旨在补齐蠡湖当前监测体系短板，聚焦湖区、主要入湖河流、非重点支流及排</w:t>
      </w:r>
      <w:r>
        <w:rPr>
          <w:rFonts w:hint="eastAsia" w:ascii="宋体" w:hAnsi="宋体" w:eastAsia="宋体" w:cs="宋体"/>
          <w:color w:val="auto"/>
          <w:sz w:val="24"/>
          <w:szCs w:val="24"/>
          <w:highlight w:val="none"/>
          <w:lang w:val="en-US" w:eastAsia="zh-CN"/>
        </w:rPr>
        <w:t xml:space="preserve">污口四大核心区域，通过浮船式水质监测站、微型水质自动监测站、智能无人岸边采样站、自动化实验室等技术手段搭建全域感知网，并辅以人工采样方式对蠡湖水生态现状进行调查，与现有监测能力形成互补，实现湖体生态环境状态的高效、全面跟踪监测，为蠡湖流域水生态环境精准治理、科学决策提供坚实数据支撑。通过本项目的实施，将有效提升蠡湖流域水生态环境监测的智能化、精细化水平，完善“监测-预警-溯源-治理-评估”的闭环管理机制，为蠡湖水环境深度治理、生态修复工程成效评估、蠡湖未来城生态基底筑牢及太湖流域水生态保护提供有力技术保障。</w:t>
      </w:r>
      <w:r/>
    </w:p>
    <w:p>
      <w:pPr>
        <w:numPr>
          <w:ilvl w:val="0"/>
          <w:numId w:val="21"/>
        </w:numPr>
        <w:spacing w:line="360" w:lineRule="auto"/>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采购清单</w:t>
      </w:r>
      <w:r/>
    </w:p>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表</w:t>
      </w:r>
      <w:r>
        <w:rPr>
          <w:rFonts w:hint="eastAsia" w:ascii="宋体" w:hAnsi="宋体" w:cs="宋体"/>
          <w:b/>
          <w:bCs/>
          <w:color w:val="auto"/>
          <w:sz w:val="24"/>
          <w:szCs w:val="24"/>
          <w:highlight w:val="none"/>
          <w:vertAlign w:val="baseline"/>
          <w:lang w:val="en-US" w:eastAsia="zh-CN"/>
        </w:rPr>
        <w:t xml:space="preserve"> </w:t>
      </w:r>
      <w:r>
        <w:rPr>
          <w:rFonts w:hint="eastAsia" w:ascii="宋体" w:hAnsi="宋体" w:eastAsia="宋体" w:cs="宋体"/>
          <w:b/>
          <w:bCs/>
          <w:color w:val="auto"/>
          <w:sz w:val="24"/>
          <w:szCs w:val="24"/>
          <w:highlight w:val="none"/>
          <w:vertAlign w:val="baseline"/>
          <w:lang w:val="en-US" w:eastAsia="zh-CN"/>
        </w:rPr>
        <w:t xml:space="preserve">采购清单</w:t>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117"/>
        <w:gridCol w:w="1117"/>
        <w:gridCol w:w="1015"/>
        <w:gridCol w:w="4552"/>
      </w:tblGrid>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设备</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数量</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备注</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微型固定式水质自动站</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13套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配置pH、浊度、溶解氧、水温、电导率、总磷、总氮、氨氮、高锰酸盐指数、化学需氧量等9项指标的岸边固定式水质自动在线监测站，占地面积不大于2m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vertAlign w:val="baseline"/>
                <w:lang w:val="en-US" w:eastAsia="zh-CN"/>
              </w:rPr>
              <w:t xml:space="preserve">。</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无人岸边采样站</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32套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可实现对地表水、排污口排水的智能采样设备，占地面积不大于1.5m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vertAlign w:val="baseline"/>
                <w:lang w:val="en-US" w:eastAsia="zh-CN"/>
              </w:rPr>
              <w:t xml:space="preserve">。</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五参数探头</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可集成到无人岸边采样站中的pH、浊度、溶解氧、水温、电导率的五参数水质分析仪。</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排口流量计</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20套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应用于监测排口流量的专用流量计。</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浮船式水质自动站</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配置pH、浊度、溶解氧、水温、电导率、总磷、总氮、氨氮、高锰酸盐指数、化学需氧量、藻密度、叶绿素a等指标，应用于湖泊水质监测的浮船式水质监测站。</w:t>
            </w:r>
            <w:r/>
          </w:p>
        </w:tc>
      </w:tr>
      <w:tr>
        <w:trPr>
          <w:trHeight w:val="310"/>
        </w:trPr>
        <w:tc>
          <w:tcPr>
            <w:tcW w:w="721" w:type="dxa"/>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1117" w:type="dxa"/>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自动化实验室仪器</w:t>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总磷水质分析模块</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可实现总磷、总氮、氨氮、高锰酸盐指数、化学需氧量等5项指标的自动化检测，并且配有软件系统可与现有实验室系统互联互通。</w:t>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总氮水质分析模块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氨氮水质分析模块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高锰酸盐指数水质分析模块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化学需氧量水质分析膜</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进样检测模块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5套</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样品瓶</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100个</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采水专用样品瓶，可独立在户外采样使用，也可以与无人岸边采样站、黑灯实验室等联动使用。</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水生态调查</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4次</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对蠡湖水生态现状进行调查，包括人类活动影响指数、大型底栖动物物种数鉴定、浮游动物群落结构鉴定、浮游植物群落结构鉴定、鱼类物种数鉴定、数据处理与评估、国控断面附近底泥监测等。</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vertAlign w:val="baseline"/>
          <w:lang w:val="en-US" w:eastAsia="zh-CN"/>
        </w:rPr>
        <w:t xml:space="preserve">表2各版块单项最高限价</w:t>
      </w:r>
      <w:r/>
    </w:p>
    <w:tbl>
      <w:tblPr>
        <w:tblStyle w:val="712"/>
        <w:tblW w:w="9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195"/>
        <w:gridCol w:w="2880"/>
        <w:gridCol w:w="3525"/>
      </w:tblGrid>
      <w:tr>
        <w:trPr>
          <w:trHeight w:val="315"/>
        </w:trPr>
        <w:tc>
          <w:tcPr>
            <w:gridSpan w:val="3"/>
            <w:shd w:val="clear" w:color="auto" w:fill="auto"/>
            <w:tcBorders>
              <w:top w:val="single" w:color="000000" w:sz="8" w:space="0"/>
              <w:left w:val="single" w:color="000000" w:sz="8" w:space="0"/>
              <w:bottom w:val="single" w:color="000000" w:sz="8" w:space="0"/>
              <w:right w:val="single" w:color="000000" w:sz="8" w:space="0"/>
            </w:tcBorders>
            <w:tcW w:w="9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市级（单项最高限价154.8万元）</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水生态采测</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gridSpan w:val="3"/>
            <w:shd w:val="clear" w:color="auto" w:fill="auto"/>
            <w:tcBorders>
              <w:top w:val="none" w:color="000000" w:sz="4" w:space="0"/>
              <w:left w:val="single" w:color="000000" w:sz="8" w:space="0"/>
              <w:bottom w:val="single" w:color="000000" w:sz="8" w:space="0"/>
              <w:right w:val="single" w:color="000000" w:sz="8" w:space="0"/>
            </w:tcBorders>
            <w:tcW w:w="9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滨湖区（单项最高限价607.04万元）</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微型水质监测站</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小渲河、蠡溪河、庙泾浜、陆典桥浜、1881半岛酒店内河、蠡湖公园内河、威尼斯横河</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浮船</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蠡湖湖区</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河道无人岸边采样站（含五参数）</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新胡田浜、连大桥浜、徐祥浜、王巷浜、美湖浜、山门口浜、湖玺庄园内河、琴山桥浜、充山河</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排口无人岸边采样站（含流量计）</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gridSpan w:val="3"/>
            <w:shd w:val="clear" w:color="auto" w:fill="auto"/>
            <w:tcBorders>
              <w:top w:val="none" w:color="000000" w:sz="4" w:space="0"/>
              <w:left w:val="single" w:color="000000" w:sz="8" w:space="0"/>
              <w:bottom w:val="single" w:color="000000" w:sz="8" w:space="0"/>
              <w:right w:val="single" w:color="000000" w:sz="8" w:space="0"/>
            </w:tcBorders>
            <w:tcW w:w="96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新吴区（含经开区）</w:t>
            </w:r>
            <w:r>
              <w:rPr>
                <w:rStyle w:val="997"/>
                <w:color w:val="auto"/>
                <w:highlight w:val="none"/>
                <w:lang w:val="en-US" w:eastAsia="zh-CN" w:bidi="ar"/>
              </w:rPr>
              <w:t xml:space="preserve">（单项最高限价374.38万元）</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微型水质监测站</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上风咀浜、圩田里河、山水湖滨内河、骂蠡港、芦村河、曹王泾</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河道无人岸边采样站（含五参数）</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尚风桥浜、东古巷浜、东湖外河</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排口无人岸边采样站（含流量计）</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①各版块所承担采购的部分由无锡市生态环境局统一招标，各个版块</w:t>
      </w:r>
      <w:r>
        <w:rPr>
          <w:rFonts w:hint="eastAsia" w:ascii="宋体" w:hAnsi="宋体" w:eastAsia="宋体" w:cs="宋体"/>
          <w:b/>
          <w:bCs/>
          <w:color w:val="auto"/>
          <w:sz w:val="24"/>
          <w:szCs w:val="24"/>
          <w:highlight w:val="none"/>
          <w:lang w:val="en-US" w:eastAsia="zh-CN"/>
        </w:rPr>
        <w:t xml:space="preserve">生态环境局</w:t>
      </w:r>
      <w:r>
        <w:rPr>
          <w:rFonts w:hint="eastAsia" w:ascii="宋体" w:hAnsi="宋体" w:eastAsia="宋体" w:cs="宋体"/>
          <w:b/>
          <w:bCs/>
          <w:color w:val="auto"/>
          <w:sz w:val="24"/>
          <w:szCs w:val="24"/>
          <w:highlight w:val="none"/>
        </w:rPr>
        <w:t xml:space="preserve">分别与中标单位签订合同；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②所有设备均包括现场基建、安装建设、一年运行维护、五年质保。</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3、说明与要求</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（1）湖区水环境常态化监测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目前，蠡湖仅有五里湖心1条浮船水质自动监测站，位于蠡湖湖区中心，湖区在现代化、智慧化感知网络建设方面具备一定基础条件，但西北部作为梁溪河、小渲河等众多支流入湖的关键区域，目前在常态化监测手段上依旧处于空白。因此，为进一步补充湖区监测能力，拟在蠡湖西北部布设1套浮船式水质自动在线监测设备，配置pH、溶解氧、浊度、水温、电导率、总磷、氨氮、总氮、高锰酸盐指数等常规水质监测指标</w:t>
      </w:r>
      <w:r>
        <w:rPr>
          <w:rFonts w:hint="eastAsia" w:ascii="宋体" w:hAnsi="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lang w:val="en-US" w:eastAsia="zh-CN"/>
        </w:rPr>
        <w:t xml:space="preserve">。</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）湖区水生态调查评估</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本项目在正式运行的一年内，开展蠡湖湖区的浮游植物和浮游动物的调查，具体需求如下：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　大型水生植物、大型底栖无脊椎动物鉴定结果至少在春、夏、秋季各获取1次；</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　水华面积比例拟采用卫星遥感数据分析，每月至少获取1次；</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　蠡湖边界范围内与水体联系紧密的挺水植物、浮叶植物、沉水植物和漂浮植物等水生植物的覆盖情况（扣除外来大型水生植物物种覆盖比例）拟采取遥感与人工现场调查数据相结合的分析方法，每季度获取1次；</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　针对太湖国控监测点周边范围（1.5公里区域）和蠡湖湖区，获取1次水下地形测量与淤泥探测数据，对比分析太湖与蠡湖湖底形态勘测与底泥状况差异，为深入研究水生动物、植物的生态价值和相互作用规律提供数据支撑。</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（3）出入湖河道水质监测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目前，蠡湖环湖入湖支流支浜共计32条，经前期考察，部分支流支浜已有监测站或不具备安装条件，故对剩下25条支流支浜进行常态化监测监管，具体河流如下：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13条重点入湖河流：陆典桥浜、小渲河、蠡溪河、庙泾浜、上风咀浜、威尼斯横河、圩田里河、山水湖滨内河、蠡湖公园内河、1881半岛酒店内河、骂蠡港、芦村河、曹王泾等建设水质自动站。</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12条其他入湖河流：琴山桥浜、充山河、尚风桥浜、东古巷浜、东湖外河、新胡田庄浜、连大桥浜、徐祥浜、王巷浜、美湖浜、山门口浜、湖玺庄园内河等建设无人岸边采样站。</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（4）重点入河排口专项监测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水体来源复杂，问题在水里，根子在岸上，本项目拟对排口进行专项监测，在蠡湖周边选取20个相对离湖区较近，且具有安装条件的入河排口，采用无人岸边采样站+流量传感设备的触发采样模式对排口进行监测（需安装简单，后续根据管理需求，可迁移至其他排口），通过人工采样的方式送至实验室分析。监测项目包括流量、化学需氧量、氨氮、总磷等。</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（5）自动化实验室扩容</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锡市生态环境监测监控中心已建有自动化实验室，但由于本项目现场新增了非重点管控支流支浜以及入河排口的场景监测，检测需求量增多，考虑到现有的自动化实验室已无余量再承接本项目的水样检测，又顾及新建自动化实验室带来的资源浪费。因此，综上考虑本项目拟在现有自动化实验室基础上，新增总磷、氨氮、总氮、高锰酸盐指数以及化学需氧量5个指标的检测设备（每个设备5台）以满足数字蠡湖项目的检测需求。</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投标人需认真分析现有设备情况，对拟新投入的设备做集成改造，保障新投入的设备可与现有系统联合运行。</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numPr>
          <w:ilvl w:val="0"/>
          <w:numId w:val="0"/>
        </w:numPr>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附件一：满足项目采购的详细要求</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3.1总体要求</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（1）投标人必须提供一年设备运维、五年设备质保，并提供稳定可靠的备品备件源。</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（2）投标人所提供的仪器设备的性能应达到或优于参考指标表中所列技术指标。</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（3）投标总报价包括满足本项目要求的所有产品及其配件、包装、运杂、安装调试及售后服务等从项目中标起到项目正式交付以及质保期内所发生的一切费用。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3.2设备参数及性能要求</w:t>
      </w:r>
      <w:r/>
    </w:p>
    <w:p>
      <w:pPr>
        <w:numPr>
          <w:ilvl w:val="0"/>
          <w:numId w:val="22"/>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微型固定式水质自动站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本项目采购的</w:t>
      </w:r>
      <w:r>
        <w:rPr>
          <w:rFonts w:hint="eastAsia" w:ascii="宋体" w:hAnsi="宋体" w:eastAsia="宋体" w:cs="宋体"/>
          <w:color w:val="auto"/>
          <w:sz w:val="24"/>
          <w:szCs w:val="24"/>
          <w:highlight w:val="none"/>
          <w:lang w:eastAsia="zh-CN"/>
        </w:rPr>
        <w:t xml:space="preserve">微型固定式水质自动站</w:t>
      </w:r>
      <w:r>
        <w:rPr>
          <w:rFonts w:hint="eastAsia" w:ascii="宋体" w:hAnsi="宋体" w:eastAsia="宋体" w:cs="宋体"/>
          <w:color w:val="auto"/>
          <w:sz w:val="24"/>
          <w:szCs w:val="24"/>
          <w:highlight w:val="none"/>
        </w:rPr>
        <w:t xml:space="preserve">需满足如下要求：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微型站用户外机柜集成各工作单元，</w:t>
      </w:r>
      <w:r>
        <w:rPr>
          <w:rFonts w:hint="eastAsia" w:ascii="宋体" w:hAnsi="宋体" w:eastAsia="宋体" w:cs="宋体"/>
          <w:color w:val="auto"/>
          <w:sz w:val="24"/>
          <w:szCs w:val="24"/>
          <w:highlight w:val="none"/>
          <w:lang w:val="en-US" w:eastAsia="zh-CN"/>
        </w:rPr>
        <w:t xml:space="preserve">并能</w:t>
      </w:r>
      <w:r>
        <w:rPr>
          <w:rFonts w:hint="eastAsia" w:ascii="宋体" w:hAnsi="宋体" w:eastAsia="宋体" w:cs="宋体"/>
          <w:color w:val="auto"/>
          <w:sz w:val="24"/>
          <w:szCs w:val="24"/>
          <w:highlight w:val="none"/>
        </w:rPr>
        <w:t xml:space="preserve">控制协调采水单元、配水单元、预处理单元、水质分析单元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数据采集/处理/传输单元</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，完成水样的检测并上传到指定平台。系统可连续自动监测被测水体的水质变化情况，客观地记录水质状况及时发现水质异常变化，进而实现对该水域或下游进行水质污染预报，研究水体扩散、自净规律等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同时系统标配主要污染物平行样、标准样和质控样等自动质控功能，监测过程全流程跟踪监控，保障监测数据</w:t>
      </w:r>
      <w:r>
        <w:rPr>
          <w:rFonts w:hint="eastAsia" w:ascii="宋体" w:hAnsi="宋体" w:eastAsia="宋体" w:cs="宋体"/>
          <w:color w:val="auto"/>
          <w:sz w:val="24"/>
          <w:szCs w:val="24"/>
          <w:highlight w:val="none"/>
          <w:lang w:eastAsia="zh-CN"/>
        </w:rPr>
        <w:t xml:space="preserve">可</w:t>
      </w:r>
      <w:r>
        <w:rPr>
          <w:rFonts w:hint="eastAsia" w:ascii="宋体" w:hAnsi="宋体" w:eastAsia="宋体" w:cs="宋体"/>
          <w:color w:val="auto"/>
          <w:sz w:val="24"/>
          <w:szCs w:val="24"/>
          <w:highlight w:val="none"/>
        </w:rPr>
        <w:t xml:space="preserve">靠性、溯源性。</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基于小微化设计，占地面积≤2</w:t>
      </w:r>
      <w:r>
        <w:rPr>
          <w:rFonts w:hint="eastAsia" w:ascii="宋体" w:hAnsi="宋体" w:eastAsia="宋体" w:cs="宋体"/>
          <w:color w:val="auto"/>
          <w:sz w:val="24"/>
          <w:szCs w:val="24"/>
          <w:highlight w:val="none"/>
          <w:lang w:eastAsia="zh-CN"/>
        </w:rPr>
        <w:t xml:space="preserve">平方</w:t>
      </w:r>
      <w:r>
        <w:rPr>
          <w:rFonts w:hint="eastAsia" w:ascii="宋体" w:hAnsi="宋体" w:eastAsia="宋体" w:cs="宋体"/>
          <w:color w:val="auto"/>
          <w:sz w:val="24"/>
          <w:szCs w:val="24"/>
          <w:highlight w:val="none"/>
        </w:rPr>
        <w:t xml:space="preserve">米。</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智能化温控系统，满足户外使用</w:t>
      </w:r>
      <w:r>
        <w:rPr>
          <w:rFonts w:hint="eastAsia" w:ascii="宋体" w:hAnsi="宋体" w:eastAsia="宋体" w:cs="宋体"/>
          <w:color w:val="auto"/>
          <w:sz w:val="24"/>
          <w:szCs w:val="24"/>
          <w:highlight w:val="none"/>
          <w:lang w:eastAsia="zh-CN"/>
        </w:rPr>
        <w:t xml:space="preserve">。</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机柜体积小、重量轻，前期部署方便，同时支持后期迁移监测。</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分析仪器参数可扩展性强、方法成熟、性能稳定、经济合理、运行费用低、维护工作量小。</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配有市电、风光互补等多种供电接口，供电系统提供多级防雷装置，对有线通讯系统配置防雷装置，保证供电系统和通讯系统的安全。</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自动化程度高，具有完善的数据质量控制与保证体系，监测数据可靠性高。</w:t>
      </w:r>
      <w:r/>
    </w:p>
    <w:p>
      <w:pPr>
        <w:numPr>
          <w:ilvl w:val="0"/>
          <w:numId w:val="23"/>
        </w:numPr>
        <w:spacing w:line="360" w:lineRule="auto"/>
        <w:rPr>
          <w:rFonts w:hint="eastAsia" w:ascii="宋体" w:hAnsi="宋体" w:eastAsia="宋体" w:cs="宋体"/>
          <w:color w:val="auto"/>
          <w:sz w:val="24"/>
          <w:szCs w:val="24"/>
          <w:highlight w:val="none"/>
        </w:rPr>
      </w:pPr>
      <w:r/>
      <w:bookmarkStart w:id="777" w:name="_Hlk164339626"/>
      <w:r>
        <w:rPr>
          <w:rFonts w:hint="eastAsia" w:ascii="宋体" w:hAnsi="宋体" w:eastAsia="宋体" w:cs="宋体"/>
          <w:color w:val="auto"/>
          <w:sz w:val="24"/>
          <w:szCs w:val="24"/>
          <w:highlight w:val="none"/>
        </w:rPr>
        <w:t xml:space="preserve">整个系统有仪器日志、系统日志等功能，方便数据查询及发现问题发生的原因，以便更快捷</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解决问题。</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具有时间设置功能，可根据需要设定监测频次与测试时间节点。</w:t>
      </w:r>
      <w:r/>
    </w:p>
    <w:p>
      <w:pPr>
        <w:numPr>
          <w:ilvl w:val="0"/>
          <w:numId w:val="23"/>
        </w:numPr>
        <w:spacing w:line="360" w:lineRule="auto"/>
        <w:rPr>
          <w:rFonts w:hint="eastAsia" w:ascii="宋体" w:hAnsi="宋体" w:eastAsia="宋体" w:cs="宋体"/>
          <w:color w:val="auto"/>
          <w:sz w:val="24"/>
          <w:szCs w:val="24"/>
          <w:highlight w:val="none"/>
        </w:rPr>
      </w:pP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rPr>
        <w:t xml:space="preserve">系统支持多种水样沉降模式，支持手动设置沉降时长，可按上层水样浊度阈值执行沉降，还能依据原水浊度区间智能匹配沉降时长。</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具备自动采集数据功能，包括自动采集水质自动分析仪器数据、集成控制数据</w:t>
      </w:r>
      <w:bookmarkEnd w:id="777"/>
      <w:r>
        <w:rPr>
          <w:rFonts w:hint="eastAsia" w:ascii="宋体" w:hAnsi="宋体" w:eastAsia="宋体" w:cs="宋体"/>
          <w:color w:val="auto"/>
          <w:sz w:val="24"/>
          <w:szCs w:val="24"/>
          <w:highlight w:val="none"/>
          <w:lang w:eastAsia="zh-CN"/>
        </w:rPr>
        <w:t xml:space="preserve">。</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兼容多种通信模式</w:t>
      </w:r>
      <w:r>
        <w:rPr>
          <w:rFonts w:hint="eastAsia" w:ascii="宋体" w:hAnsi="宋体" w:eastAsia="宋体" w:cs="宋体"/>
          <w:color w:val="auto"/>
          <w:sz w:val="24"/>
          <w:szCs w:val="24"/>
          <w:highlight w:val="none"/>
        </w:rPr>
        <w:t xml:space="preserve">。</w:t>
      </w:r>
      <w:r/>
    </w:p>
    <w:p>
      <w:pPr>
        <w:numPr>
          <w:ilvl w:val="0"/>
          <w:numId w:val="0"/>
        </w:numPr>
        <w:ind w:left="560"/>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表 仪器技术参数表</w:t>
      </w:r>
      <w:r/>
    </w:p>
    <w:tbl>
      <w:tblPr>
        <w:tblStyle w:val="9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833"/>
        <w:gridCol w:w="1588"/>
        <w:gridCol w:w="2414"/>
        <w:gridCol w:w="1589"/>
        <w:gridCol w:w="1612"/>
      </w:tblGrid>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总磷</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氨氮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高锰酸盐指数</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测定原理</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钼酸铵分光光度法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碱性过硫酸钾消解-紫外分光光度法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水杨酸分光光度法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高锰酸钾氧化法</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0～100mg/L（可拓展）</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零点漂移</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量程漂移</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重复性</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≤0.02mg/L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numPr>
          <w:ilvl w:val="0"/>
          <w:numId w:val="22"/>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无人岸边采样站</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本项目采购的</w:t>
      </w:r>
      <w:r>
        <w:rPr>
          <w:rFonts w:hint="eastAsia" w:ascii="宋体" w:hAnsi="宋体" w:eastAsia="宋体" w:cs="宋体"/>
          <w:color w:val="auto"/>
          <w:sz w:val="24"/>
          <w:szCs w:val="24"/>
          <w:highlight w:val="none"/>
          <w:lang w:val="en-US" w:eastAsia="zh-CN"/>
        </w:rPr>
        <w:t xml:space="preserve">无人岸边采样站</w:t>
      </w:r>
      <w:r>
        <w:rPr>
          <w:rFonts w:hint="eastAsia" w:ascii="宋体" w:hAnsi="宋体" w:eastAsia="宋体" w:cs="宋体"/>
          <w:bCs/>
          <w:color w:val="auto"/>
          <w:sz w:val="24"/>
          <w:szCs w:val="24"/>
          <w:highlight w:val="none"/>
        </w:rPr>
        <w:t xml:space="preserve">需满足如下要求：</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bookmarkStart w:id="778" w:name="_Hlk167369297"/>
      <w:r>
        <w:rPr>
          <w:rFonts w:hint="eastAsia" w:ascii="宋体" w:hAnsi="宋体" w:eastAsia="宋体" w:cs="宋体"/>
          <w:bCs/>
          <w:color w:val="auto"/>
          <w:sz w:val="24"/>
          <w:szCs w:val="24"/>
          <w:highlight w:val="none"/>
        </w:rPr>
        <w:t xml:space="preserve">该装置为自动采样设备，</w:t>
      </w:r>
      <w:r>
        <w:rPr>
          <w:rFonts w:hint="eastAsia" w:ascii="宋体" w:hAnsi="宋体" w:eastAsia="宋体" w:cs="宋体"/>
          <w:bCs/>
          <w:color w:val="auto"/>
          <w:sz w:val="24"/>
          <w:szCs w:val="24"/>
          <w:highlight w:val="none"/>
          <w:lang w:val="en-US" w:eastAsia="zh-CN"/>
        </w:rPr>
        <w:t xml:space="preserve">采样设备内有专用的采样瓶，</w:t>
      </w:r>
      <w:r>
        <w:rPr>
          <w:rFonts w:hint="eastAsia" w:ascii="宋体" w:hAnsi="宋体" w:eastAsia="宋体" w:cs="宋体"/>
          <w:bCs/>
          <w:color w:val="auto"/>
          <w:sz w:val="24"/>
          <w:szCs w:val="24"/>
          <w:highlight w:val="none"/>
        </w:rPr>
        <w:t xml:space="preserve">可根据现场情况与远程指令自动采集现场水样，水样保存在设备内，由专人统一收集送至实验室检测。</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基于小微型化设计，占地面积≤2</w:t>
      </w:r>
      <w:r>
        <w:rPr>
          <w:rFonts w:hint="eastAsia" w:ascii="宋体" w:hAnsi="宋体" w:eastAsia="宋体" w:cs="宋体"/>
          <w:bCs/>
          <w:color w:val="auto"/>
          <w:sz w:val="24"/>
          <w:szCs w:val="24"/>
          <w:highlight w:val="none"/>
          <w:lang w:eastAsia="zh-CN"/>
        </w:rPr>
        <w:t xml:space="preserve">平方</w:t>
      </w:r>
      <w:r>
        <w:rPr>
          <w:rFonts w:hint="eastAsia" w:ascii="宋体" w:hAnsi="宋体" w:eastAsia="宋体" w:cs="宋体"/>
          <w:bCs/>
          <w:color w:val="auto"/>
          <w:sz w:val="24"/>
          <w:szCs w:val="24"/>
          <w:highlight w:val="none"/>
        </w:rPr>
        <w:t xml:space="preserve">米。</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分瓶留样：仪器可实现≥</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瓶分瓶留样。</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多功能采样：可实现定时定量采样，定流定量采样，定时比例采样，超标触发采样等多种采样方式。</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当断电后来电，采样器能恢复掉电前的工作状态，所设定的参数应不改变。</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采样器具有流量计、雨量计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常规五参数</w:t>
      </w:r>
      <w:r>
        <w:rPr>
          <w:rFonts w:hint="eastAsia" w:ascii="宋体" w:hAnsi="宋体" w:eastAsia="宋体" w:cs="宋体"/>
          <w:bCs/>
          <w:color w:val="auto"/>
          <w:sz w:val="24"/>
          <w:szCs w:val="24"/>
          <w:highlight w:val="none"/>
        </w:rPr>
        <w:t xml:space="preserve">等外部设备接入的接口，</w:t>
      </w:r>
      <w:r>
        <w:rPr>
          <w:rFonts w:hint="eastAsia" w:ascii="宋体" w:hAnsi="宋体" w:eastAsia="宋体" w:cs="宋体"/>
          <w:bCs/>
          <w:color w:val="auto"/>
          <w:sz w:val="24"/>
          <w:szCs w:val="24"/>
          <w:highlight w:val="none"/>
          <w:lang w:val="en-US" w:eastAsia="zh-CN"/>
        </w:rPr>
        <w:t xml:space="preserve">当</w:t>
      </w:r>
      <w:r>
        <w:rPr>
          <w:rFonts w:hint="eastAsia" w:ascii="宋体" w:hAnsi="宋体" w:eastAsia="宋体" w:cs="宋体"/>
          <w:bCs/>
          <w:color w:val="auto"/>
          <w:sz w:val="24"/>
          <w:szCs w:val="24"/>
          <w:highlight w:val="none"/>
        </w:rPr>
        <w:t xml:space="preserve">流量、雨量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常规五参数超过预设的阈值，自动触发采样柜采样</w:t>
      </w:r>
      <w:r>
        <w:rPr>
          <w:rFonts w:hint="eastAsia" w:ascii="宋体" w:hAnsi="宋体" w:eastAsia="宋体" w:cs="宋体"/>
          <w:bCs/>
          <w:color w:val="auto"/>
          <w:sz w:val="24"/>
          <w:szCs w:val="24"/>
          <w:highlight w:val="none"/>
        </w:rPr>
        <w:t xml:space="preserve">。</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采样准确无污染：使用高效高精蠕动泵，管路内部不与仪器接触，避免二次污染样品</w:t>
      </w:r>
      <w:r>
        <w:rPr>
          <w:rFonts w:hint="eastAsia" w:ascii="宋体" w:hAnsi="宋体" w:eastAsia="宋体" w:cs="宋体"/>
          <w:bCs/>
          <w:color w:val="auto"/>
          <w:sz w:val="24"/>
          <w:szCs w:val="24"/>
          <w:highlight w:val="none"/>
          <w:lang w:eastAsia="zh-CN"/>
        </w:rPr>
        <w:t xml:space="preserve">。</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大容量记录：可记录每次采样的留样瓶号、留样时间、留样量</w:t>
      </w:r>
      <w:r>
        <w:rPr>
          <w:rFonts w:hint="eastAsia" w:ascii="宋体" w:hAnsi="宋体" w:eastAsia="宋体" w:cs="宋体"/>
          <w:bCs/>
          <w:color w:val="auto"/>
          <w:sz w:val="24"/>
          <w:szCs w:val="24"/>
          <w:highlight w:val="none"/>
          <w:lang w:eastAsia="zh-CN"/>
        </w:rPr>
        <w:t xml:space="preserve">，以及</w:t>
      </w:r>
      <w:r>
        <w:rPr>
          <w:rFonts w:hint="eastAsia" w:ascii="宋体" w:hAnsi="宋体" w:eastAsia="宋体" w:cs="宋体"/>
          <w:bCs/>
          <w:color w:val="auto"/>
          <w:sz w:val="24"/>
          <w:szCs w:val="24"/>
          <w:highlight w:val="none"/>
        </w:rPr>
        <w:t xml:space="preserve">样品参数</w:t>
      </w:r>
      <w:r>
        <w:rPr>
          <w:rFonts w:hint="eastAsia" w:ascii="宋体" w:hAnsi="宋体" w:eastAsia="宋体" w:cs="宋体"/>
          <w:bCs/>
          <w:color w:val="auto"/>
          <w:sz w:val="24"/>
          <w:szCs w:val="24"/>
          <w:highlight w:val="none"/>
          <w:lang w:eastAsia="zh-CN"/>
        </w:rPr>
        <w:t xml:space="preserve">。</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配置进样控制阀，进样结束后可自动关闭，实现密封防护。</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采样功能：当采样达到预设次数时，采样器自动终止采样以避免样品溢出；采样器可将不同时间采集的水样，分别注入不同采样瓶中。</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采样时</w:t>
      </w:r>
      <w:r>
        <w:rPr>
          <w:rFonts w:hint="eastAsia" w:ascii="宋体" w:hAnsi="宋体" w:eastAsia="宋体" w:cs="宋体"/>
          <w:bCs/>
          <w:color w:val="auto"/>
          <w:sz w:val="24"/>
          <w:szCs w:val="24"/>
          <w:highlight w:val="none"/>
        </w:rPr>
        <w:t xml:space="preserve">采样瓶可自动启闭阀门，采样完成后自动密封防篡改，可与系统管路快速插拔对接；瓶载</w:t>
      </w:r>
      <w:r>
        <w:rPr>
          <w:rFonts w:hint="eastAsia" w:ascii="宋体" w:hAnsi="宋体" w:eastAsia="宋体" w:cs="宋体"/>
          <w:bCs/>
          <w:color w:val="auto"/>
          <w:sz w:val="24"/>
          <w:szCs w:val="24"/>
          <w:highlight w:val="none"/>
          <w:lang w:val="en-US" w:eastAsia="zh-CN"/>
        </w:rPr>
        <w:t xml:space="preserve">信息存储载体</w:t>
      </w:r>
      <w:r>
        <w:rPr>
          <w:rFonts w:hint="eastAsia" w:ascii="宋体" w:hAnsi="宋体" w:eastAsia="宋体" w:cs="宋体"/>
          <w:bCs/>
          <w:color w:val="auto"/>
          <w:sz w:val="24"/>
          <w:szCs w:val="24"/>
          <w:highlight w:val="none"/>
        </w:rPr>
        <w:t xml:space="preserve">可存储样品编号、采样时间、采样点位、操作人员等信息。</w:t>
      </w:r>
      <w:r/>
    </w:p>
    <w:p>
      <w:pPr>
        <w:pStyle w:val="871"/>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lang w:val="en-US"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配套</w:t>
      </w:r>
      <w:r>
        <w:rPr>
          <w:rFonts w:hint="eastAsia" w:ascii="宋体" w:hAnsi="宋体" w:eastAsia="宋体" w:cs="宋体"/>
          <w:bCs/>
          <w:color w:val="auto"/>
          <w:sz w:val="24"/>
          <w:szCs w:val="24"/>
          <w:highlight w:val="none"/>
          <w:lang w:val="en-US" w:eastAsia="zh-CN"/>
        </w:rPr>
        <w:t xml:space="preserve">便携式操作系统（包括但不限于手机端APP，PC端程序等），</w:t>
      </w:r>
      <w:r>
        <w:rPr>
          <w:rFonts w:hint="eastAsia" w:ascii="宋体" w:hAnsi="宋体" w:eastAsia="宋体" w:cs="宋体"/>
          <w:bCs/>
          <w:color w:val="auto"/>
          <w:sz w:val="24"/>
          <w:szCs w:val="24"/>
          <w:highlight w:val="none"/>
        </w:rPr>
        <w:t xml:space="preserve">可实现防伪采样、空瓶更换、样品信息上传、采样参数配置、单点调试控制，可查询采样记录、交接记录与防伪溯源信息。</w:t>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750"/>
        <w:gridCol w:w="4230"/>
      </w:tblGrid>
      <w:tr>
        <w:trPr>
          <w:jc w:val="center"/>
          <w:trHeight w:val="340"/>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8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无人岸边采样站</w:t>
            </w:r>
            <w:r>
              <w:rPr>
                <w:rFonts w:hint="eastAsia" w:ascii="宋体" w:hAnsi="宋体" w:eastAsia="宋体" w:cs="宋体"/>
                <w:color w:val="auto"/>
                <w:sz w:val="24"/>
                <w:szCs w:val="24"/>
                <w:highlight w:val="none"/>
              </w:rPr>
              <w:t xml:space="preserve">性能参数</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单次采样量</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 ml</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采样间隔</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（5～9999） min</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采样垂直高度</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≥5m</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水平采样距离</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0m</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管路系统气密性</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Pa</w:t>
            </w:r>
            <w:bookmarkEnd w:id="778"/>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留样量重复性</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≤0.5%</w:t>
            </w:r>
            <w:r/>
          </w:p>
        </w:tc>
      </w:tr>
    </w:tbl>
    <w:p>
      <w:pPr>
        <w:numPr>
          <w:ilvl w:val="0"/>
          <w:numId w:val="22"/>
        </w:numPr>
        <w:ind w:left="0" w:firstLine="0"/>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五参数探头</w:t>
      </w:r>
      <w:r/>
    </w:p>
    <w:p>
      <w:pPr>
        <w:ind w:right="0" w:firstLine="480"/>
        <w:jc w:val="left"/>
        <w:pageBreakBefore w:val="0"/>
        <w:spacing w:line="360" w:lineRule="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en-US" w:eastAsia="zh-CN"/>
        </w:rPr>
        <w:t xml:space="preserve">五参数探头指水温、pH、溶解氧、电导率、浊度等五个参数</w:t>
      </w:r>
      <w:r>
        <w:rPr>
          <w:rFonts w:hint="eastAsia" w:ascii="宋体" w:hAnsi="宋体" w:eastAsia="宋体" w:cs="宋体"/>
          <w:b w:val="0"/>
          <w:bCs/>
          <w:color w:val="auto"/>
          <w:sz w:val="24"/>
          <w:szCs w:val="24"/>
          <w:highlight w:val="none"/>
        </w:rPr>
        <w:t xml:space="preserve">，可用于地表水的水质在线及便携监测。</w:t>
      </w:r>
      <w:r/>
    </w:p>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水温水质分析仪</w:t>
      </w:r>
      <w:r/>
    </w:p>
    <w:tbl>
      <w:tblPr>
        <w:tblStyle w:val="71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5684"/>
      </w:tblGrid>
      <w:tr>
        <w:trPr>
          <w:jc w:val="center"/>
          <w:trHeight w:val="363"/>
        </w:trPr>
        <w:tc>
          <w:tcPr>
            <w:tcW w:w="1924"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3075"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363"/>
        </w:trPr>
        <w:tc>
          <w:tcPr>
            <w:tcW w:w="1924"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3075"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热电阻</w:t>
            </w:r>
            <w:r/>
          </w:p>
        </w:tc>
      </w:tr>
      <w:tr>
        <w:trPr>
          <w:jc w:val="center"/>
          <w:trHeight w:val="363"/>
        </w:trPr>
        <w:tc>
          <w:tcPr>
            <w:tcW w:w="1924"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w:t>
            </w:r>
            <w:r/>
          </w:p>
        </w:tc>
        <w:tc>
          <w:tcPr>
            <w:tcW w:w="3075"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0℃，可调</w:t>
            </w:r>
            <w:r/>
          </w:p>
        </w:tc>
      </w:tr>
      <w:tr>
        <w:trPr>
          <w:jc w:val="center"/>
          <w:trHeight w:val="363"/>
        </w:trPr>
        <w:tc>
          <w:tcPr>
            <w:tcW w:w="1924"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测量误差</w:t>
            </w:r>
            <w:r/>
          </w:p>
        </w:tc>
        <w:tc>
          <w:tcPr>
            <w:tcW w:w="3075"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±0.5℃</w:t>
            </w:r>
            <w:r/>
          </w:p>
        </w:tc>
      </w:tr>
      <w:tr>
        <w:trPr>
          <w:jc w:val="center"/>
          <w:trHeight w:val="363"/>
        </w:trPr>
        <w:tc>
          <w:tcPr>
            <w:tcW w:w="1924"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3075"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 h/次</w:t>
            </w:r>
            <w:r/>
          </w:p>
        </w:tc>
      </w:tr>
    </w:tbl>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pH水质分析仪</w:t>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66"/>
        <w:gridCol w:w="5672"/>
      </w:tblGrid>
      <w:tr>
        <w:trPr>
          <w:jc w:val="center"/>
          <w:trHeight w:val="385"/>
          <w:tblHeader/>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411"/>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玻璃电极法</w:t>
            </w:r>
            <w:r/>
          </w:p>
        </w:tc>
      </w:tr>
      <w:tr>
        <w:trPr>
          <w:jc w:val="center"/>
          <w:trHeight w:val="417"/>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0～14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pH</w:t>
            </w:r>
            <w:r/>
          </w:p>
        </w:tc>
      </w:tr>
      <w:tr>
        <w:trPr>
          <w:jc w:val="center"/>
          <w:trHeight w:val="557"/>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漂移（pH=4、7、9）</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±0.1 pH</w:t>
            </w:r>
            <w:r/>
          </w:p>
        </w:tc>
      </w:tr>
      <w:tr>
        <w:trPr>
          <w:jc w:val="center"/>
          <w:trHeight w:val="415"/>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重复性</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±0.1 pH</w:t>
            </w:r>
            <w:r/>
          </w:p>
        </w:tc>
      </w:tr>
      <w:tr>
        <w:trPr>
          <w:jc w:val="center"/>
          <w:trHeight w:val="421"/>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响应时间</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 s</w:t>
            </w:r>
            <w:r/>
          </w:p>
        </w:tc>
      </w:tr>
      <w:tr>
        <w:trPr>
          <w:jc w:val="center"/>
          <w:trHeight w:val="414"/>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温度补偿精度</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±0.1 pH</w:t>
            </w:r>
            <w:r/>
          </w:p>
        </w:tc>
      </w:tr>
      <w:tr>
        <w:trPr>
          <w:jc w:val="center"/>
          <w:trHeight w:val="419"/>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 h/次</w:t>
            </w:r>
            <w:r/>
          </w:p>
        </w:tc>
      </w:tr>
      <w:tr>
        <w:trPr>
          <w:jc w:val="center"/>
          <w:trHeight w:val="419"/>
        </w:trPr>
        <w:tc>
          <w:tcPr>
            <w:tcW w:w="1930"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实际水样比对试验</w:t>
            </w:r>
            <w:r/>
          </w:p>
        </w:tc>
        <w:tc>
          <w:tcPr>
            <w:tcW w:w="3069"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±0.1 pH</w:t>
            </w:r>
            <w:r/>
          </w:p>
        </w:tc>
      </w:tr>
    </w:tbl>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溶解氧水质分析仪</w:t>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51"/>
        <w:gridCol w:w="5587"/>
      </w:tblGrid>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荧光法</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0～20 mg/L，可调</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零点漂移</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量程漂移</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重复性</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响应时间（T</w:t>
            </w:r>
            <w:r>
              <w:rPr>
                <w:rFonts w:hint="eastAsia" w:ascii="宋体" w:hAnsi="宋体" w:eastAsia="宋体" w:cs="宋体"/>
                <w:b w:val="0"/>
                <w:bCs/>
                <w:color w:val="auto"/>
                <w:sz w:val="24"/>
                <w:szCs w:val="24"/>
                <w:highlight w:val="none"/>
                <w:vertAlign w:val="subscript"/>
              </w:rPr>
              <w:t xml:space="preserve">90</w:t>
            </w:r>
            <w:r>
              <w:rPr>
                <w:rFonts w:hint="eastAsia" w:ascii="宋体" w:hAnsi="宋体" w:eastAsia="宋体" w:cs="宋体"/>
                <w:b w:val="0"/>
                <w:bCs/>
                <w:color w:val="auto"/>
                <w:sz w:val="24"/>
                <w:szCs w:val="24"/>
                <w:highlight w:val="none"/>
              </w:rPr>
              <w:t xml:space="preserve">）</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120</w:t>
            </w:r>
            <w:r>
              <w:rPr>
                <w:rFonts w:hint="eastAsia" w:ascii="宋体" w:hAnsi="宋体" w:eastAsia="宋体" w:cs="宋体"/>
                <w:b w:val="0"/>
                <w:bCs/>
                <w:color w:val="auto"/>
                <w:sz w:val="24"/>
                <w:szCs w:val="24"/>
                <w:highlight w:val="none"/>
              </w:rPr>
              <w:t xml:space="preserve">s</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温度补偿精度</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 h/次</w:t>
            </w:r>
            <w:r/>
          </w:p>
        </w:tc>
      </w:tr>
      <w:tr>
        <w:trPr>
          <w:jc w:val="center"/>
          <w:trHeight w:val="366"/>
        </w:trPr>
        <w:tc>
          <w:tcPr>
            <w:tcW w:w="1976"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实际水样比对试验</w:t>
            </w:r>
            <w:r/>
          </w:p>
        </w:tc>
        <w:tc>
          <w:tcPr>
            <w:tcW w:w="3023"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bl>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电导率水质分析仪</w:t>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00"/>
        <w:gridCol w:w="5538"/>
      </w:tblGrid>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电极法</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检测范围</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00 mS/</w:t>
            </w:r>
            <w:r>
              <w:rPr>
                <w:rFonts w:hint="eastAsia" w:ascii="宋体" w:hAnsi="宋体" w:eastAsia="宋体" w:cs="宋体"/>
                <w:b w:val="0"/>
                <w:bCs/>
                <w:color w:val="auto"/>
                <w:sz w:val="24"/>
                <w:szCs w:val="24"/>
                <w:highlight w:val="none"/>
                <w:lang w:val="en-US" w:eastAsia="zh-CN"/>
              </w:rPr>
              <w:t xml:space="preserve">c</w:t>
            </w:r>
            <w:r>
              <w:rPr>
                <w:rFonts w:hint="eastAsia" w:ascii="宋体" w:hAnsi="宋体" w:eastAsia="宋体" w:cs="宋体"/>
                <w:b w:val="0"/>
                <w:bCs/>
                <w:color w:val="auto"/>
                <w:sz w:val="24"/>
                <w:szCs w:val="24"/>
                <w:highlight w:val="none"/>
              </w:rPr>
              <w:t xml:space="preserve">m，可调</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重复性误差</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零点漂移</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量程漂移</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响应时间（T</w:t>
            </w:r>
            <w:r>
              <w:rPr>
                <w:rFonts w:hint="eastAsia" w:ascii="宋体" w:hAnsi="宋体" w:eastAsia="宋体" w:cs="宋体"/>
                <w:b w:val="0"/>
                <w:bCs/>
                <w:color w:val="auto"/>
                <w:sz w:val="24"/>
                <w:szCs w:val="24"/>
                <w:highlight w:val="none"/>
                <w:vertAlign w:val="subscript"/>
              </w:rPr>
              <w:t xml:space="preserve">90</w:t>
            </w:r>
            <w:r>
              <w:rPr>
                <w:rFonts w:hint="eastAsia" w:ascii="宋体" w:hAnsi="宋体" w:eastAsia="宋体" w:cs="宋体"/>
                <w:b w:val="0"/>
                <w:bCs/>
                <w:color w:val="auto"/>
                <w:sz w:val="24"/>
                <w:szCs w:val="24"/>
                <w:highlight w:val="none"/>
              </w:rPr>
              <w:t xml:space="preserve">）</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0s</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温度补偿精度</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≥1440h/次</w:t>
            </w:r>
            <w:r/>
          </w:p>
        </w:tc>
      </w:tr>
      <w:tr>
        <w:trPr>
          <w:jc w:val="center"/>
          <w:trHeight w:val="363"/>
        </w:trPr>
        <w:tc>
          <w:tcPr>
            <w:tcW w:w="200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实际水样比对试验</w:t>
            </w:r>
            <w:r/>
          </w:p>
        </w:tc>
        <w:tc>
          <w:tcPr>
            <w:tcW w:w="299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bl>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浊度水质分析仪</w:t>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0"/>
        <w:gridCol w:w="4938"/>
      </w:tblGrid>
      <w:tr>
        <w:trPr>
          <w:jc w:val="center"/>
          <w:trHeight w:val="363"/>
          <w:tblHeader/>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267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267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光散射法</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w:t>
            </w:r>
            <w:r/>
          </w:p>
        </w:tc>
        <w:tc>
          <w:tcPr>
            <w:tcW w:w="267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000NTU，可调</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重复性</w:t>
            </w:r>
            <w:r/>
          </w:p>
        </w:tc>
        <w:tc>
          <w:tcPr>
            <w:tcW w:w="2672" w:type="pct"/>
            <w:vAlign w:val="center"/>
            <w:textDirection w:val="lrTb"/>
            <w:noWrap w:val="false"/>
          </w:tcPr>
          <w:p>
            <w:pPr>
              <w:ind w:left="0" w:right="0"/>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零点漂移</w:t>
            </w:r>
            <w:r/>
          </w:p>
        </w:tc>
        <w:tc>
          <w:tcPr>
            <w:tcW w:w="2672" w:type="pct"/>
            <w:vAlign w:val="center"/>
            <w:textDirection w:val="lrTb"/>
            <w:noWrap w:val="false"/>
          </w:tcPr>
          <w:p>
            <w:pPr>
              <w:ind w:left="0" w:right="0"/>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量程漂移</w:t>
            </w:r>
            <w:r/>
          </w:p>
        </w:tc>
        <w:tc>
          <w:tcPr>
            <w:tcW w:w="2672" w:type="pct"/>
            <w:vAlign w:val="center"/>
            <w:textDirection w:val="lrTb"/>
            <w:noWrap w:val="false"/>
          </w:tcPr>
          <w:p>
            <w:pPr>
              <w:ind w:left="0" w:right="0"/>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线性误差</w:t>
            </w:r>
            <w:r/>
          </w:p>
        </w:tc>
        <w:tc>
          <w:tcPr>
            <w:tcW w:w="267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r>
      <w:tr>
        <w:trPr>
          <w:jc w:val="center"/>
          <w:trHeight w:val="363"/>
        </w:trPr>
        <w:tc>
          <w:tcPr>
            <w:tcW w:w="2327"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2672" w:type="pct"/>
            <w:vAlign w:val="center"/>
            <w:textDirection w:val="lrTb"/>
            <w:noWrap w:val="false"/>
          </w:tcPr>
          <w:p>
            <w:pPr>
              <w:pStyle w:val="880"/>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≥1440h/次</w:t>
            </w:r>
            <w:r/>
          </w:p>
        </w:tc>
      </w:tr>
    </w:tbl>
    <w:p>
      <w:pPr>
        <w:numPr>
          <w:ilvl w:val="-1"/>
          <w:numId w:val="0"/>
        </w:numPr>
        <w:ind w:firstLine="0"/>
        <w:jc w:val="left"/>
        <w:spacing w:line="36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（3）排口流量计</w:t>
      </w:r>
      <w:r/>
    </w:p>
    <w:p>
      <w:pPr>
        <w:numPr>
          <w:ilvl w:val="-1"/>
          <w:numId w:val="0"/>
        </w:numPr>
        <w:ind w:firstLine="480"/>
        <w:jc w:val="left"/>
        <w:spacing w:line="360" w:lineRule="auto"/>
        <w:widowControl/>
        <w:rPr>
          <w:rFonts w:hint="eastAsia" w:ascii="宋体" w:hAnsi="宋体" w:cs="宋体"/>
          <w:bCs/>
          <w:color w:val="auto"/>
          <w:sz w:val="24"/>
          <w:highlight w:val="none"/>
        </w:rPr>
        <w:outlineLvl w:val="9"/>
      </w:pPr>
      <w:r>
        <w:rPr>
          <w:rFonts w:hint="eastAsia" w:ascii="宋体" w:hAnsi="宋体" w:cs="宋体"/>
          <w:bCs/>
          <w:color w:val="auto"/>
          <w:sz w:val="24"/>
          <w:highlight w:val="none"/>
          <w:lang w:val="en-US" w:eastAsia="zh-CN"/>
        </w:rPr>
        <w:t xml:space="preserve">①</w:t>
      </w:r>
      <w:r>
        <w:rPr>
          <w:rFonts w:hint="eastAsia" w:ascii="宋体" w:hAnsi="宋体" w:cs="宋体"/>
          <w:bCs/>
          <w:color w:val="auto"/>
          <w:sz w:val="24"/>
          <w:highlight w:val="none"/>
        </w:rPr>
        <w:t xml:space="preserve">适用于排口安装的流量计，测速范围：0.03～20m/s；测速精度：±0.01m/s。</w:t>
      </w:r>
      <w:r/>
    </w:p>
    <w:p>
      <w:pPr>
        <w:numPr>
          <w:ilvl w:val="-1"/>
          <w:numId w:val="0"/>
        </w:numPr>
        <w:ind w:firstLine="480"/>
        <w:jc w:val="left"/>
        <w:spacing w:line="360" w:lineRule="auto"/>
        <w:widowControl/>
        <w:rPr>
          <w:rFonts w:hint="eastAsia" w:ascii="宋体" w:hAnsi="宋体" w:cs="宋体"/>
          <w:bCs/>
          <w:color w:val="auto"/>
          <w:sz w:val="24"/>
          <w:highlight w:val="none"/>
        </w:rPr>
        <w:outlineLvl w:val="9"/>
      </w:pPr>
      <w:r>
        <w:rPr>
          <w:rFonts w:hint="eastAsia" w:ascii="宋体" w:hAnsi="宋体" w:cs="宋体"/>
          <w:bCs/>
          <w:color w:val="auto"/>
          <w:sz w:val="24"/>
          <w:highlight w:val="none"/>
          <w:lang w:val="en-US" w:eastAsia="zh-CN"/>
        </w:rPr>
        <w:t xml:space="preserve">②</w:t>
      </w:r>
      <w:r>
        <w:rPr>
          <w:rFonts w:hint="eastAsia" w:ascii="宋体" w:hAnsi="宋体" w:cs="宋体"/>
          <w:bCs/>
          <w:color w:val="auto"/>
          <w:sz w:val="24"/>
          <w:highlight w:val="none"/>
        </w:rPr>
        <w:t xml:space="preserve">满足流量计通讯要求。采集频率：1～1440分钟/次，可远程进行采样周期设置；上传频率：1～1440分钟/次，可远程进行上传周期设置。</w:t>
      </w:r>
      <w:r/>
    </w:p>
    <w:p>
      <w:pPr>
        <w:numPr>
          <w:ilvl w:val="-1"/>
          <w:numId w:val="0"/>
        </w:numPr>
        <w:ind w:firstLine="480"/>
        <w:jc w:val="left"/>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bCs/>
          <w:color w:val="auto"/>
          <w:sz w:val="24"/>
          <w:highlight w:val="none"/>
          <w:lang w:val="en-US" w:eastAsia="zh-CN"/>
        </w:rPr>
        <w:t xml:space="preserve">③</w:t>
      </w:r>
      <w:r>
        <w:rPr>
          <w:rFonts w:hint="eastAsia" w:ascii="宋体" w:hAnsi="宋体" w:cs="宋体"/>
          <w:bCs/>
          <w:color w:val="auto"/>
          <w:sz w:val="24"/>
          <w:highlight w:val="none"/>
        </w:rPr>
        <w:t xml:space="preserve">在传感器5分钟采集一次数据的频次下，电池能连续使用三个月以上。</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（4）浮船式水质自动站</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基本技术要求：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（1）浮船式水站船体应设置踏板，方便维护人员进行维护；</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（2）船体需具有一定的保温和防晒功能，保证船舱内环境温度低于45℃；</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（3）能够采集蓄电池组电量信息，具有低电量报警功能；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（4）具有非法接近报警、舱室漏水报警、温度异常报警和开仓报警等功能；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（5）电气舱安装于浮船内，便于外界设备装卸和维护，可进行板盖密封性检查</w:t>
      </w:r>
      <w:r>
        <w:rPr>
          <w:rFonts w:hint="eastAsia" w:ascii="宋体" w:hAnsi="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（6）船体锚定方式可根据现场水深、水文条件选择合适的单锚八字锚或双八字锚等锚定方式；</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（7）锚系材料应防腐、防磨损，锚链断裂强度应不小于20千牛顿，便于浮船的拖曳和维护；</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（8）锚可根据地质条件选用合适重量的霍尔锚、三角锚、四角锚、沉石等；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（9）锚绳或锚链可选用合适粗细的尼龙生丝、铁制锚链、丙纶等材质，锚绳或锚链长度不低于1.5倍最大水深</w:t>
      </w:r>
      <w:r>
        <w:rPr>
          <w:rFonts w:hint="eastAsia" w:ascii="宋体" w:hAnsi="宋体" w:eastAsia="宋体" w:cs="宋体"/>
          <w:bCs/>
          <w:color w:val="auto"/>
          <w:sz w:val="24"/>
          <w:szCs w:val="24"/>
          <w:highlight w:val="none"/>
        </w:rPr>
        <w:t xml:space="preserve">。</w:t>
      </w:r>
      <w:r/>
    </w:p>
    <w:p>
      <w:pPr>
        <w:jc w:val="cente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  浮船式</w:t>
      </w:r>
      <w:r>
        <w:rPr>
          <w:rFonts w:hint="eastAsia" w:ascii="宋体" w:hAnsi="宋体" w:eastAsia="宋体" w:cs="宋体"/>
          <w:color w:val="auto"/>
          <w:sz w:val="24"/>
          <w:szCs w:val="24"/>
          <w:highlight w:val="none"/>
          <w:lang w:val="en-US" w:eastAsia="zh-CN"/>
        </w:rPr>
        <w:t xml:space="preserve">水质自动</w:t>
      </w:r>
      <w:r>
        <w:rPr>
          <w:rFonts w:hint="eastAsia" w:ascii="宋体" w:hAnsi="宋体" w:eastAsia="宋体" w:cs="宋体"/>
          <w:color w:val="auto"/>
          <w:sz w:val="24"/>
          <w:szCs w:val="24"/>
          <w:highlight w:val="none"/>
        </w:rPr>
        <w:t xml:space="preserve">站船体技术参数表</w:t>
      </w:r>
      <w:r/>
    </w:p>
    <w:tbl>
      <w:tblPr>
        <w:tblStyle w:val="712"/>
        <w:tblW w:w="46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3"/>
        <w:gridCol w:w="6020"/>
      </w:tblGrid>
      <w:tr>
        <w:trPr>
          <w:jc w:val="center"/>
          <w:trHeight w:val="445"/>
        </w:trPr>
        <w:tc>
          <w:tcPr>
            <w:tcW w:w="1509" w:type="dxa"/>
            <w:vAlign w:val="center"/>
            <w:textDirection w:val="lrTb"/>
            <w:noWrap w:val="false"/>
          </w:tcPr>
          <w:p>
            <w:pPr>
              <w:pStyle w:val="996"/>
              <w:ind w:firstLine="422"/>
              <w:spacing w:line="360" w:lineRule="auto"/>
              <w:rPr>
                <w:rFonts w:hint="eastAsia" w:ascii="宋体" w:hAnsi="宋体" w:eastAsia="宋体" w:cs="宋体"/>
                <w:b/>
                <w:bCs/>
                <w:color w:val="auto"/>
                <w:sz w:val="24"/>
                <w:szCs w:val="24"/>
                <w:highlight w:val="none"/>
              </w:rPr>
            </w:pPr>
            <w:r/>
            <w:bookmarkStart w:id="779" w:name="_Hlk511987017"/>
            <w:r/>
            <w:bookmarkStart w:id="780" w:name="_Hlk511987035"/>
            <w:r>
              <w:rPr>
                <w:rFonts w:hint="eastAsia" w:ascii="宋体" w:hAnsi="宋体" w:eastAsia="宋体" w:cs="宋体"/>
                <w:b/>
                <w:bCs/>
                <w:color w:val="auto"/>
                <w:sz w:val="24"/>
                <w:szCs w:val="24"/>
                <w:highlight w:val="none"/>
              </w:rPr>
              <w:t xml:space="preserve">参数名称</w:t>
            </w:r>
            <w:r/>
          </w:p>
        </w:tc>
        <w:tc>
          <w:tcPr>
            <w:tcW w:w="3490" w:type="dxa"/>
            <w:vAlign w:val="center"/>
            <w:textDirection w:val="lrTb"/>
            <w:noWrap w:val="false"/>
          </w:tcPr>
          <w:p>
            <w:pPr>
              <w:pStyle w:val="996"/>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参数要求</w:t>
            </w:r>
            <w:r/>
          </w:p>
        </w:tc>
      </w:tr>
      <w:tr>
        <w:trPr>
          <w:jc w:val="center"/>
          <w:trHeight w:val="409"/>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防护等级</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≥IP65</w:t>
            </w:r>
            <w:r/>
          </w:p>
        </w:tc>
      </w:tr>
      <w:tr>
        <w:trPr>
          <w:jc w:val="center"/>
          <w:trHeight w:val="445"/>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船体尺寸（L*W*H）</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长≥5m；宽≥4m</w:t>
            </w:r>
            <w:r/>
          </w:p>
        </w:tc>
      </w:tr>
      <w:tr>
        <w:trPr>
          <w:jc w:val="center"/>
          <w:trHeight w:val="385"/>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防风等级</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≥8级</w:t>
            </w:r>
            <w:r/>
          </w:p>
        </w:tc>
      </w:tr>
      <w:tr>
        <w:trPr>
          <w:jc w:val="center"/>
          <w:trHeight w:val="399"/>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船舱温度</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r>
      <w:tr>
        <w:trPr>
          <w:jc w:val="center"/>
          <w:trHeight w:val="469"/>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供电方式</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交流电、太阳能、风光互补</w:t>
            </w:r>
            <w:r/>
          </w:p>
        </w:tc>
      </w:tr>
      <w:tr>
        <w:trPr>
          <w:jc w:val="center"/>
          <w:trHeight w:val="469"/>
        </w:trPr>
        <w:tc>
          <w:tcPr>
            <w:tcW w:w="1509" w:type="dxa"/>
            <w:vAlign w:val="center"/>
            <w:textDirection w:val="lrTb"/>
            <w:noWrap w:val="false"/>
          </w:tcPr>
          <w:p>
            <w:pPr>
              <w:pStyle w:val="996"/>
              <w:ind w:firstLine="72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供电时间</w:t>
            </w:r>
            <w:r/>
          </w:p>
        </w:tc>
        <w:tc>
          <w:tcPr>
            <w:tcW w:w="349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天 阴雨天气</w:t>
            </w:r>
            <w:r/>
          </w:p>
        </w:tc>
      </w:tr>
      <w:tr>
        <w:trPr>
          <w:jc w:val="center"/>
          <w:trHeight w:val="469"/>
        </w:trPr>
        <w:tc>
          <w:tcPr>
            <w:tcW w:w="1509"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定位系统误差</w:t>
            </w:r>
            <w:r/>
          </w:p>
        </w:tc>
        <w:tc>
          <w:tcPr>
            <w:tcW w:w="349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m（95%概率）</w:t>
            </w:r>
            <w:r/>
          </w:p>
        </w:tc>
      </w:tr>
      <w:tr>
        <w:trPr>
          <w:jc w:val="center"/>
          <w:trHeight w:val="399"/>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船体使用寿命</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≥6年</w:t>
            </w:r>
            <w:r/>
          </w:p>
        </w:tc>
      </w:tr>
      <w:tr>
        <w:trPr>
          <w:jc w:val="center"/>
          <w:trHeight w:val="469"/>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蓄电池寿命</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≥2年</w:t>
            </w:r>
            <w:r/>
          </w:p>
        </w:tc>
      </w:tr>
      <w:tr>
        <w:trPr>
          <w:jc w:val="center"/>
          <w:trHeight w:val="469"/>
        </w:trPr>
        <w:tc>
          <w:tcPr>
            <w:tcW w:w="1509"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太阳能使用寿命</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≥5年</w:t>
            </w:r>
            <w:r/>
          </w:p>
        </w:tc>
      </w:tr>
      <w:tr>
        <w:trPr>
          <w:jc w:val="center"/>
          <w:trHeight w:val="469"/>
        </w:trPr>
        <w:tc>
          <w:tcPr>
            <w:tcW w:w="1509" w:type="dxa"/>
            <w:vAlign w:val="center"/>
            <w:textDirection w:val="lrTb"/>
            <w:noWrap w:val="false"/>
          </w:tcPr>
          <w:p>
            <w:pPr>
              <w:pStyle w:val="9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作业载荷要求</w:t>
            </w:r>
            <w:r/>
          </w:p>
        </w:tc>
        <w:tc>
          <w:tcPr>
            <w:tcW w:w="3490" w:type="dxa"/>
            <w:vAlign w:val="center"/>
            <w:textDirection w:val="lrTb"/>
            <w:noWrap w:val="false"/>
          </w:tcPr>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0kg）同时登船作业</w:t>
            </w:r>
            <w:bookmarkEnd w:id="779"/>
            <w:bookmarkEnd w:id="780"/>
            <w:r/>
          </w:p>
        </w:tc>
      </w:tr>
    </w:tbl>
    <w:p>
      <w:pPr>
        <w:jc w:val="center"/>
        <w:spacing w:after="16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表  浮船式水站</w:t>
      </w:r>
      <w:r>
        <w:rPr>
          <w:rFonts w:hint="eastAsia" w:ascii="宋体" w:hAnsi="宋体" w:eastAsia="宋体" w:cs="宋体"/>
          <w:color w:val="auto"/>
          <w:sz w:val="24"/>
          <w:szCs w:val="24"/>
          <w:highlight w:val="none"/>
          <w:lang w:val="en-US" w:eastAsia="zh-CN"/>
        </w:rPr>
        <w:t xml:space="preserve">仪器</w:t>
      </w:r>
      <w:r>
        <w:rPr>
          <w:rFonts w:hint="eastAsia" w:ascii="宋体" w:hAnsi="宋体" w:eastAsia="宋体" w:cs="宋体"/>
          <w:color w:val="auto"/>
          <w:sz w:val="24"/>
          <w:szCs w:val="24"/>
          <w:highlight w:val="none"/>
        </w:rPr>
        <w:t xml:space="preserve">技术参数表</w:t>
      </w:r>
      <w:r/>
    </w:p>
    <w:tbl>
      <w:tblPr>
        <w:tblStyle w:val="9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833"/>
        <w:gridCol w:w="1588"/>
        <w:gridCol w:w="2414"/>
        <w:gridCol w:w="1589"/>
        <w:gridCol w:w="1612"/>
      </w:tblGrid>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总磷</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氨氮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高锰酸盐指数</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测定原理</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钼酸铵分光光度法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碱性过硫酸钾消解-紫外分光光度法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水杨酸分光光度法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高锰酸钾氧化法</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0～100mg/L（可拓展）</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零点漂移</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量程漂移</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重复性</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≤0.02mg/L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浮船系统集成技术要求：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（1）具有仪器及系统运行周期（连续或间歇）设置功能，至少具备常规、应急、质控等多种运行模式。</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（2）系统集成管路具备断电再度通电后自动排空水样、自动清洗管路、自动复位到待机状态的功能。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系统可对高锰酸盐指数、氨氮、总磷、总氮水质自动分析仪开展自动标样核查、零点核查、跨度核查等质量控制操作。</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（4）具有仪器关键参数上传、远程设置功能，能接收远程控制指令；具体关键参数和指令参考《国家地表水监测系统通信协议技术要求》（总站水字〔2019〕649号）。</w:t>
      </w:r>
      <w:r/>
    </w:p>
    <w:p>
      <w:pPr>
        <w:numPr>
          <w:ilvl w:val="0"/>
          <w:numId w:val="0"/>
        </w:num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意外断电恢复供电后，系统可自动排空待测水样与试剂，可自动清洗管路并复位至待测状态；若断电前处于加热消解流程，复电后可自动冷却并复位。</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（6）采水单元要求：采水点位置应位于水下0.5～1米，采水箱应具有防堵塞装置和防生物附着措施。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（7）控制单元要求：控制单元对分析单元、船体、供电组件、视频单元、安防装置等进行控制，并实现数据采集与传输功能，保证系统连续、可靠和安全运行。</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（8）水质自动分析仪器（常规五参数、叶绿素a、藻密度外）须具有三级管理权限。</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（9）具备各仪器监测结果、状态参数、运行流程、报警信息等显示功能。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（10）具有监测数据查询、导出、自动备份功能，可分类查询水质周期数据、质控数据（空白测试数据、标样核查数据等）及其对应的仪器、系统日志流程信息。</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（11）具有监测数据查询功能、数据分类功能，存储不少于1年的原始数据和运行日志。</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（12）数据采集与传输要求：采集自动分析仪器和集成系统各单元的工作状态量，并可以运行日志的形式记录保存。同时具备对通信链路的自动诊断功能，具备超时补发功能。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（13）辅助单元要求：蓄电池具有交直流两用功能。配备交流电、太阳能等多种供电接口，满足24小时不间断供电</w:t>
      </w:r>
      <w:r>
        <w:rPr>
          <w:rFonts w:hint="eastAsia" w:ascii="宋体" w:hAnsi="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（14）供电单元采用太阳能或风光互补供电方式时，供电系统支持更换蓄电池或接入交流电，保证电力供应正常。</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（15）安防要求：供电单元应设置防雷设施，包含电源、信号三级电源防雷和通讯防雷，并符合防雷规范的要求。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（16）视频监控单元要求：具有实时远程监控功能，可实现全方位、多视角、全天候式监控</w:t>
      </w:r>
      <w:r>
        <w:rPr>
          <w:rFonts w:hint="eastAsia" w:ascii="宋体" w:hAnsi="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w:t>
      </w: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船载视频监控支持手机远程查看、移动侦测、动态分析、越界报警、区域入侵报警，非法闯入时可唤醒摄像机录制视频并清晰抓拍现场画面。</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（5）自动化实验室仪器</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本项目需在无锡市现有自动化实验室基础上，新增总磷、氨氮、总氮、高锰酸盐指数以及化学需氧量5个指标的检测设备，同时配备相应进样模块以满足项目的检测需求。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进样检测模块与分析模块为水样检测单位，</w:t>
      </w:r>
      <w:r>
        <w:rPr>
          <w:rFonts w:hint="eastAsia" w:ascii="宋体" w:hAnsi="宋体" w:eastAsia="宋体" w:cs="宋体"/>
          <w:color w:val="auto"/>
          <w:sz w:val="24"/>
          <w:szCs w:val="24"/>
          <w:highlight w:val="none"/>
        </w:rPr>
        <w:t xml:space="preserve">仪器需要按照模块化、小型化原则设计，精密度高。仪器需要实现全自动完成进样、试剂加入、自动反应、自动检测出结果。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仪器检测</w:t>
      </w:r>
      <w:r>
        <w:rPr>
          <w:rFonts w:hint="eastAsia" w:ascii="宋体" w:hAnsi="宋体" w:eastAsia="宋体" w:cs="宋体"/>
          <w:color w:val="auto"/>
          <w:sz w:val="24"/>
          <w:szCs w:val="24"/>
          <w:highlight w:val="none"/>
        </w:rPr>
        <w:t xml:space="preserve">分析方法</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依据国家标准、行业标准等。</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eastAsia="zh-CN"/>
        </w:rPr>
        <w:t xml:space="preserve">检测模块集成干扰抑制处理功能，可动态消除浊度、色度对检测结果的影响，具备良好的抗浊度、抗色度干扰能力；支持连续式进样检测模式，实现前序样品检测与后序样品前处理同步并行。</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w:t>
      </w: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val="en-US" w:eastAsia="zh-CN"/>
        </w:rPr>
        <w:t xml:space="preserve">具备关键部件异常保护功能，加样系统、驱动电机等核心部件出现连续故障达到限定次数时，设备自动停机保护；具备完善的异常报警与信息管理功能，可对部件故障、测量超量程、数据异常、试剂短缺等状态实时报警，并自动记录与上传报警信息。</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val="en-US" w:eastAsia="zh-CN"/>
        </w:rPr>
        <w:t xml:space="preserve">支持实验室全流程质量控制管理，可根据需求自定义质控方案，每批次检测可同步嵌入空白试验、准确度验证、抗干扰测试等质控措施。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⑤检测数据具备兼容实验室Lims系统扩展功能。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⑥支持连续进样检测模式，即后序样品预处理与前序样品的检测过程同步进行。</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总磷全自动分析仪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3"/>
        <w:gridCol w:w="4192"/>
      </w:tblGrid>
      <w:tr>
        <w:trPr>
          <w:jc w:val="center"/>
          <w:trHeight w:val="544"/>
        </w:trPr>
        <w:tc>
          <w:tcPr>
            <w:shd w:val="clear" w:color="auto" w:fill="bebebe"/>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总磷</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钼酸铵分光光度法</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mg/L（可</w:t>
            </w:r>
            <w:r>
              <w:rPr>
                <w:rFonts w:hint="eastAsia" w:ascii="宋体" w:hAnsi="宋体" w:eastAsia="宋体" w:cs="宋体"/>
                <w:color w:val="auto"/>
                <w:sz w:val="24"/>
                <w:szCs w:val="24"/>
                <w:highlight w:val="none"/>
                <w:lang w:val="en-US" w:eastAsia="zh-CN"/>
              </w:rPr>
              <w:t xml:space="preserve">进一步</w:t>
            </w:r>
            <w:r>
              <w:rPr>
                <w:rFonts w:hint="eastAsia" w:ascii="宋体" w:hAnsi="宋体" w:eastAsia="宋体" w:cs="宋体"/>
                <w:color w:val="auto"/>
                <w:sz w:val="24"/>
                <w:szCs w:val="24"/>
                <w:highlight w:val="none"/>
              </w:rPr>
              <w:t xml:space="preserve">扩展</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293"/>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氨氮全自动分析仪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51"/>
        <w:gridCol w:w="4924"/>
      </w:tblGrid>
      <w:tr>
        <w:trPr>
          <w:jc w:val="center"/>
          <w:trHeight w:val="544"/>
        </w:trPr>
        <w:tc>
          <w:tcPr>
            <w:shd w:val="clear" w:color="auto" w:fill="bebebe"/>
            <w:tcW w:w="325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924"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氨氮</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924"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水杨酸分光光度法</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0~20 mg/L（可</w:t>
            </w:r>
            <w:r>
              <w:rPr>
                <w:rFonts w:hint="eastAsia" w:ascii="宋体" w:hAnsi="宋体" w:eastAsia="宋体" w:cs="宋体"/>
                <w:color w:val="auto"/>
                <w:sz w:val="24"/>
                <w:szCs w:val="24"/>
                <w:highlight w:val="none"/>
                <w:lang w:val="en-US" w:eastAsia="zh-CN"/>
              </w:rPr>
              <w:t xml:space="preserve">进一步</w:t>
            </w:r>
            <w:r>
              <w:rPr>
                <w:rFonts w:hint="eastAsia" w:ascii="宋体" w:hAnsi="宋体" w:eastAsia="宋体" w:cs="宋体"/>
                <w:color w:val="auto"/>
                <w:sz w:val="24"/>
                <w:szCs w:val="24"/>
                <w:highlight w:val="none"/>
              </w:rPr>
              <w:t xml:space="preserve">扩展</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jc w:val="center"/>
          <w:trHeight w:val="293"/>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 mg/L</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924"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总氮全自动分析仪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3"/>
        <w:gridCol w:w="4192"/>
      </w:tblGrid>
      <w:tr>
        <w:trPr>
          <w:jc w:val="center"/>
          <w:trHeight w:val="544"/>
        </w:trPr>
        <w:tc>
          <w:tcPr>
            <w:shd w:val="clear" w:color="auto" w:fill="bebebe"/>
            <w:tcW w:w="3983"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192"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总氮</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碱性过硫酸钾消解-紫外分光光度法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 mg/L（可</w:t>
            </w:r>
            <w:r>
              <w:rPr>
                <w:rFonts w:hint="eastAsia" w:ascii="宋体" w:hAnsi="宋体" w:eastAsia="宋体" w:cs="宋体"/>
                <w:color w:val="auto"/>
                <w:sz w:val="24"/>
                <w:szCs w:val="24"/>
                <w:highlight w:val="none"/>
                <w:lang w:val="en-US" w:eastAsia="zh-CN"/>
              </w:rPr>
              <w:t xml:space="preserve">进一步</w:t>
            </w:r>
            <w:r>
              <w:rPr>
                <w:rFonts w:hint="eastAsia" w:ascii="宋体" w:hAnsi="宋体" w:eastAsia="宋体" w:cs="宋体"/>
                <w:color w:val="auto"/>
                <w:sz w:val="24"/>
                <w:szCs w:val="24"/>
                <w:highlight w:val="none"/>
              </w:rPr>
              <w:t xml:space="preserve">扩展</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293"/>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mg/L</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高锰酸盐指数全自动分析仪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3"/>
        <w:gridCol w:w="4192"/>
      </w:tblGrid>
      <w:tr>
        <w:trPr>
          <w:jc w:val="center"/>
          <w:trHeight w:val="544"/>
        </w:trPr>
        <w:tc>
          <w:tcPr>
            <w:shd w:val="clear" w:color="auto" w:fill="bebebe"/>
            <w:tcW w:w="3983"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192"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高锰酸盐指数</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高锰酸钾氧化法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 mg/L（可扩展）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293"/>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mg/L</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化学需氧量全自动分析仪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3"/>
        <w:gridCol w:w="4192"/>
      </w:tblGrid>
      <w:tr>
        <w:trPr>
          <w:jc w:val="center"/>
          <w:trHeight w:val="544"/>
        </w:trPr>
        <w:tc>
          <w:tcPr>
            <w:shd w:val="clear" w:color="auto" w:fill="bebebe"/>
            <w:tcW w:w="3983"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192"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化学需氧量</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重铬酸钾氧化分光光度法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 mg/L（可扩展）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293"/>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mg/L</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（6）样品瓶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val="en-US" w:eastAsia="zh-CN"/>
        </w:rPr>
        <w:t xml:space="preserve">支持至少两种采样模式，支持不同深度(≤3m)的采样需求；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②设有进样阀，进样完成后自动关闭，达到自动密封的目的。</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（7）水生态调查</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本项目每季度</w:t>
      </w:r>
      <w:r>
        <w:rPr>
          <w:rFonts w:hint="eastAsia" w:ascii="宋体" w:hAnsi="宋体" w:eastAsia="宋体" w:cs="宋体"/>
          <w:color w:val="auto"/>
          <w:sz w:val="24"/>
          <w:szCs w:val="24"/>
          <w:highlight w:val="none"/>
        </w:rPr>
        <w:t xml:space="preserve">至少</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1次蠡湖湖区的浮游植物和浮游动物</w:t>
      </w:r>
      <w:r>
        <w:rPr>
          <w:rFonts w:hint="eastAsia" w:ascii="宋体" w:hAnsi="宋体" w:eastAsia="宋体" w:cs="宋体"/>
          <w:color w:val="auto"/>
          <w:sz w:val="24"/>
          <w:szCs w:val="24"/>
          <w:highlight w:val="none"/>
          <w:lang w:val="en-US" w:eastAsia="zh-CN"/>
        </w:rPr>
        <w:t xml:space="preserve">的调查结果，具体需求如下：</w:t>
      </w:r>
      <w:r/>
    </w:p>
    <w:p>
      <w:pPr>
        <w:numPr>
          <w:ilvl w:val="0"/>
          <w:numId w:val="26"/>
        </w:numPr>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大型水生植物、大型底栖无脊椎动物鉴定结果至少在春、夏、秋季各</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1次；</w:t>
      </w:r>
      <w:r/>
    </w:p>
    <w:p>
      <w:pPr>
        <w:numPr>
          <w:ilvl w:val="0"/>
          <w:numId w:val="26"/>
        </w:numPr>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水华面积比例拟采用卫星遥感数据分析，每月至少获取1次；</w:t>
      </w:r>
      <w:r/>
    </w:p>
    <w:p>
      <w:pPr>
        <w:numPr>
          <w:ilvl w:val="0"/>
          <w:numId w:val="26"/>
        </w:numPr>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蠡湖边界范围内与水体联系紧密的挺水植物、浮叶植物、沉水植物和漂浮植物等水生植物的覆盖情况（扣除外来大型水生植物物种覆盖比例）拟采取遥感与人工现场调查数据相结合的分析方法，每季度获取1次</w:t>
      </w:r>
      <w:r>
        <w:rPr>
          <w:rFonts w:hint="eastAsia" w:ascii="宋体" w:hAnsi="宋体" w:eastAsia="宋体" w:cs="宋体"/>
          <w:color w:val="auto"/>
          <w:sz w:val="24"/>
          <w:szCs w:val="24"/>
          <w:highlight w:val="none"/>
          <w:lang w:eastAsia="zh-CN"/>
        </w:rPr>
        <w:t xml:space="preserve">；</w:t>
      </w:r>
      <w:r/>
    </w:p>
    <w:p>
      <w:pPr>
        <w:numPr>
          <w:ilvl w:val="0"/>
          <w:numId w:val="0"/>
        </w:numPr>
        <w:ind w:firstLine="480"/>
        <w:jc w:val="both"/>
        <w:spacing w:line="360" w:lineRule="auto"/>
        <w:rPr>
          <w:rFonts w:hint="eastAsia" w:ascii="宋体" w:hAnsi="宋体" w:cs="宋体"/>
          <w:b/>
          <w:bCs/>
          <w:color w:val="auto"/>
          <w:sz w:val="32"/>
          <w:szCs w:val="32"/>
          <w:highlight w:val="none"/>
        </w:rPr>
      </w:pPr>
      <w:r>
        <w:rPr>
          <w:rFonts w:hint="eastAsia" w:ascii="宋体" w:hAnsi="宋体" w:eastAsia="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lang w:val="en-US" w:eastAsia="zh-CN" w:bidi="ar"/>
        </w:rPr>
        <w:t xml:space="preserve">太湖国控监测点周边范围（1.5公里区域）和蠡湖湖区，获取1次水下地形测量与淤泥探测数据，</w:t>
      </w:r>
      <w:r>
        <w:rPr>
          <w:rFonts w:hint="eastAsia" w:ascii="宋体" w:hAnsi="宋体" w:eastAsia="宋体" w:cs="宋体"/>
          <w:color w:val="auto"/>
          <w:sz w:val="24"/>
          <w:szCs w:val="24"/>
          <w:highlight w:val="none"/>
          <w:lang w:val="en-US" w:eastAsia="zh-CN"/>
        </w:rPr>
        <w:t xml:space="preserve">对比分析太湖与蠡湖湖底形态勘测与底泥状况差异，</w:t>
      </w:r>
      <w:r>
        <w:rPr>
          <w:rFonts w:hint="eastAsia" w:ascii="宋体" w:hAnsi="宋体" w:eastAsia="宋体" w:cs="宋体"/>
          <w:color w:val="auto"/>
          <w:sz w:val="24"/>
          <w:szCs w:val="24"/>
          <w:highlight w:val="none"/>
          <w:lang w:val="en-US" w:eastAsia="zh-CN" w:bidi="ar"/>
        </w:rPr>
        <w:t xml:space="preserve">为深入研究水生动物、植物的生态价值和相互作用规律提供数据支撑。</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四</w:t>
      </w:r>
      <w:r>
        <w:rPr>
          <w:rFonts w:hint="eastAsia" w:ascii="黑体" w:hAnsi="黑体" w:eastAsia="黑体"/>
          <w:b/>
          <w:color w:val="auto"/>
          <w:sz w:val="32"/>
          <w:szCs w:val="32"/>
          <w:highlight w:val="none"/>
          <w:lang w:eastAsia="zh-CN"/>
        </w:rPr>
        <w:t xml:space="preserve">、</w:t>
      </w:r>
      <w:r>
        <w:rPr>
          <w:rFonts w:hint="eastAsia" w:ascii="黑体" w:hAnsi="黑体" w:eastAsia="黑体"/>
          <w:b/>
          <w:color w:val="auto"/>
          <w:sz w:val="32"/>
          <w:szCs w:val="32"/>
          <w:highlight w:val="none"/>
        </w:rPr>
        <w:t xml:space="preserve">合同书</w:t>
      </w:r>
      <w:bookmarkStart w:id="781" w:name="五．合同条款"/>
      <w:r/>
      <w:bookmarkEnd w:id="781"/>
      <w:r>
        <w:rPr>
          <w:rFonts w:hint="eastAsia" w:ascii="黑体" w:hAnsi="黑体" w:eastAsia="黑体"/>
          <w:b/>
          <w:color w:val="auto"/>
          <w:sz w:val="32"/>
          <w:szCs w:val="32"/>
          <w:highlight w:val="none"/>
        </w:rPr>
        <w:t xml:space="preserve">格式</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采购编号：</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采购内容：</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中标总金额：（大写）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质量和包装要求及验收标准：</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交货期/质保期：</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交货地点和方式：</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hAnsi="宋体" w:eastAsia="宋体" w:cs="Times New Roman"/>
          <w:bCs/>
          <w:color w:val="auto"/>
          <w:sz w:val="24"/>
          <w:highlight w:val="none"/>
          <w:u w:val="single"/>
        </w:rPr>
      </w:pPr>
      <w:r>
        <w:rPr>
          <w:rFonts w:hint="eastAsia" w:ascii="宋体" w:hAnsi="宋体"/>
          <w:bCs/>
          <w:color w:val="auto"/>
          <w:sz w:val="24"/>
          <w:highlight w:val="none"/>
        </w:rPr>
        <w:t xml:space="preserve">货款支付步骤和办法：</w:t>
      </w:r>
      <w:r>
        <w:rPr>
          <w:rFonts w:hint="eastAsia" w:ascii="宋体" w:hAnsi="宋体" w:eastAsia="宋体" w:cs="Times New Roman"/>
          <w:bCs/>
          <w:color w:val="auto"/>
          <w:sz w:val="24"/>
          <w:highlight w:val="none"/>
          <w:u w:val="single"/>
        </w:rPr>
        <w:t xml:space="preserve">合同签订生效后十个工作日内支付合同金额的30%，系统上线试运行后十个工作日内支付合同金额的30%，系统验收合格并审计完成后十个工作日内支付合同金额的30%，项目正式运行一年后十个工作日内支付合同金额的3%，正式运行两年后十个工作日内支付合同金额的3%，正式运行三年后十个工作日内支付合同金额的2%，正式运行四年后十个工作日内支付合同金额的1%，正式运行五年后十个工作日内支付合同金额的1%。</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售后服务：</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违约责任：</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color w:val="auto"/>
          <w:sz w:val="24"/>
          <w:highlight w:val="none"/>
        </w:rPr>
        <w:t xml:space="preserve">解决争议的方式：</w:t>
      </w:r>
      <w:r>
        <w:rPr>
          <w:rFonts w:ascii="宋体" w:hAnsi="宋体"/>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bCs/>
          <w:color w:val="auto"/>
          <w:sz w:val="24"/>
          <w:highlight w:val="none"/>
        </w:rPr>
      </w:pPr>
      <w:r>
        <w:rPr>
          <w:rFonts w:hint="eastAsia" w:ascii="宋体" w:hAnsi="宋体"/>
          <w:bCs/>
          <w:color w:val="auto"/>
          <w:sz w:val="24"/>
          <w:highlight w:val="none"/>
        </w:rPr>
        <w:t xml:space="preserve">招标文件、投标文件、合同条款及中标通知书，供方在投标、评标过程中所作其它有关承诺、声明、书面澄清等均为合同不可分割的部分，与主合同具有同等法律效力。</w:t>
      </w:r>
      <w:r/>
    </w:p>
    <w:p>
      <w:pPr>
        <w:numPr>
          <w:ilvl w:val="0"/>
          <w:numId w:val="27"/>
        </w:numPr>
        <w:ind w:left="0" w:firstLine="523"/>
        <w:spacing w:line="440" w:lineRule="exact"/>
        <w:tabs>
          <w:tab w:val="left" w:pos="210" w:leader="none"/>
          <w:tab w:val="clear" w:pos="45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合同一式伍份，供需双方各执贰份，普信国际工程咨询有限公司执壹份。</w:t>
      </w:r>
      <w:r/>
    </w:p>
    <w:p>
      <w:pPr>
        <w:numPr>
          <w:ilvl w:val="0"/>
          <w:numId w:val="27"/>
        </w:numPr>
        <w:ind w:left="0" w:firstLine="523"/>
        <w:spacing w:line="440" w:lineRule="exact"/>
        <w:tabs>
          <w:tab w:val="left" w:pos="210" w:leader="none"/>
          <w:tab w:val="clear" w:pos="45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本合同由供需双方签字、盖章，并经普信国际工程咨询有限公司见证后生效。</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rPr>
          <w:rFonts w:ascii="宋体" w:hAnsi="宋体"/>
          <w:bCs/>
          <w:color w:val="auto"/>
          <w:sz w:val="24"/>
          <w:highlight w:val="none"/>
        </w:rPr>
        <w:t xml:space="preserve">   </w:t>
      </w: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p>
    <w:p>
      <w:pPr>
        <w:spacing w:line="440" w:lineRule="exact"/>
        <w:rPr>
          <w:rFonts w:ascii="宋体"/>
          <w:bCs/>
          <w:color w:val="auto"/>
          <w:sz w:val="24"/>
          <w:highlight w:val="none"/>
          <w:u w:val="singl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见证方：普信国际工程咨询有限公司（盖章）</w:t>
      </w:r>
      <w:r>
        <w:rPr>
          <w:rFonts w:ascii="宋体" w:hAnsi="宋体"/>
          <w:bCs/>
          <w:color w:val="auto"/>
          <w:sz w:val="24"/>
          <w:highlight w:val="none"/>
        </w:rPr>
        <w:t xml:space="preserve">  </w:t>
      </w:r>
      <w:r>
        <w:rPr>
          <w:rFonts w:hint="eastAsia" w:ascii="宋体" w:hAnsi="宋体"/>
          <w:bCs/>
          <w:color w:val="auto"/>
          <w:sz w:val="24"/>
          <w:highlight w:val="none"/>
        </w:rPr>
        <w:t xml:space="preserve">供方户名：</w:t>
      </w:r>
      <w:r>
        <w:rPr>
          <w:rFonts w:ascii="宋体" w:hAnsi="宋体"/>
          <w:bCs/>
          <w:color w:val="auto"/>
          <w:sz w:val="24"/>
          <w:highlight w:val="none"/>
          <w:u w:val="single"/>
        </w:rPr>
        <w:t xml:space="preserve">                             </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见证人：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供方开户银行：</w:t>
      </w:r>
      <w:r>
        <w:rPr>
          <w:rFonts w:ascii="宋体" w:hAnsi="宋体"/>
          <w:bCs/>
          <w:color w:val="auto"/>
          <w:sz w:val="24"/>
          <w:highlight w:val="none"/>
          <w:u w:val="single"/>
        </w:rPr>
        <w:t xml:space="preserve">                         </w:t>
      </w:r>
      <w:r/>
    </w:p>
    <w:p>
      <w:pPr>
        <w:spacing w:line="440" w:lineRule="exact"/>
        <w:rPr>
          <w:rFonts w:ascii="宋体"/>
          <w:bCs/>
          <w:color w:val="auto"/>
          <w:sz w:val="24"/>
          <w:highlight w:val="none"/>
          <w:u w:val="single"/>
        </w:rPr>
      </w:pP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hint="eastAsia" w:ascii="宋体" w:hAnsi="宋体"/>
          <w:bCs/>
          <w:color w:val="auto"/>
          <w:sz w:val="24"/>
          <w:highlight w:val="none"/>
        </w:rPr>
        <w:t xml:space="preserve">供方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w:t>
      </w:r>
      <w:r>
        <w:rPr>
          <w:rFonts w:ascii="宋体" w:hAnsi="宋体"/>
          <w:bCs/>
          <w:color w:val="auto"/>
          <w:sz w:val="24"/>
          <w:highlight w:val="none"/>
          <w:u w:val="single"/>
        </w:rPr>
        <w:t xml:space="preserve">                             </w:t>
      </w:r>
      <w:r/>
    </w:p>
    <w:p>
      <w:pPr>
        <w:ind w:firstLine="1440"/>
        <w:spacing w:line="440" w:lineRule="exact"/>
        <w:rPr>
          <w:rFonts w:ascii="宋体"/>
          <w:bCs/>
          <w:color w:val="auto"/>
          <w:sz w:val="24"/>
          <w:highlight w:val="none"/>
        </w:rPr>
      </w:pPr>
      <w:r>
        <w:rPr>
          <w:rFonts w:ascii="宋体"/>
          <w:bCs/>
          <w:color w:val="auto"/>
          <w:sz w:val="24"/>
          <w:highlight w:val="none"/>
        </w:rPr>
      </w:r>
      <w:r/>
    </w:p>
    <w:p>
      <w:pPr>
        <w:jc w:val="left"/>
        <w:rPr>
          <w:rFonts w:ascii="宋体"/>
          <w:bCs/>
          <w:color w:val="auto"/>
          <w:sz w:val="24"/>
          <w:highlight w:val="none"/>
        </w:rPr>
      </w:pPr>
      <w:r>
        <w:rPr>
          <w:rFonts w:ascii="宋体"/>
          <w:bCs/>
          <w:color w:val="auto"/>
          <w:sz w:val="24"/>
          <w:highlight w:val="none"/>
        </w:rPr>
      </w:r>
      <w:r/>
    </w:p>
    <w:p>
      <w:pPr>
        <w:jc w:val="left"/>
        <w:rPr>
          <w:rFonts w:hint="eastAsia" w:ascii="宋体" w:hAnsi="宋体"/>
          <w:bCs/>
          <w:color w:val="auto"/>
          <w:sz w:val="24"/>
          <w:highlight w:val="none"/>
        </w:rPr>
      </w:pPr>
      <w:r>
        <w:rPr>
          <w:rFonts w:hint="eastAsia" w:ascii="宋体" w:hAnsi="宋体"/>
          <w:bCs/>
          <w:color w:val="auto"/>
          <w:sz w:val="24"/>
          <w:highlight w:val="none"/>
        </w:rPr>
        <w:t xml:space="preserve">★</w:t>
      </w:r>
      <w:r>
        <w:rPr>
          <w:rFonts w:asci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五．合同条款</w:t>
      </w:r>
      <w:r/>
    </w:p>
    <w:p>
      <w:pPr>
        <w:pStyle w:val="761"/>
        <w:ind w:firstLine="360"/>
        <w:jc w:val="both"/>
        <w:spacing w:before="0" w:beforeAutospacing="0" w:after="0" w:afterAutospacing="0" w:line="360" w:lineRule="auto"/>
        <w:rPr>
          <w:color w:val="auto"/>
          <w:highlight w:val="none"/>
        </w:rPr>
      </w:pPr>
      <w:r>
        <w:rPr>
          <w:color w:val="auto"/>
          <w:highlight w:val="none"/>
        </w:rPr>
        <w:t xml:space="preserve">根据编号</w:t>
      </w:r>
      <w:r>
        <w:rPr>
          <w:rFonts w:hint="eastAsia"/>
          <w:color w:val="auto"/>
          <w:highlight w:val="none"/>
          <w:u w:val="single"/>
          <w:lang w:val="en-US" w:eastAsia="zh-CN"/>
        </w:rPr>
        <w:t xml:space="preserve"> </w:t>
      </w:r>
      <w:r>
        <w:rPr>
          <w:rFonts w:hint="eastAsia" w:cs="Times New Roman"/>
          <w:color w:val="auto"/>
          <w:highlight w:val="none"/>
          <w:u w:val="single"/>
          <w:lang w:eastAsia="zh-CN"/>
        </w:rPr>
        <w:t xml:space="preserve">JSZC-320200-PXGJ-G2026-0032</w:t>
      </w:r>
      <w:r>
        <w:rPr>
          <w:rFonts w:hint="eastAsia" w:ascii="宋体" w:hAnsi="宋体" w:eastAsia="宋体" w:cs="Times New Roman"/>
          <w:color w:val="auto"/>
          <w:highlight w:val="none"/>
          <w:u w:val="single"/>
        </w:rPr>
        <w:t xml:space="preserve"> </w:t>
      </w:r>
      <w:r>
        <w:rPr>
          <w:color w:val="auto"/>
          <w:highlight w:val="none"/>
        </w:rPr>
        <w:t xml:space="preserve">招标文件和该文件的中标通知书及供方投标文件，供需双方就此次招标及相关问题，同意按下列条款规定执行。</w:t>
      </w:r>
      <w:r/>
    </w:p>
    <w:p>
      <w:pPr>
        <w:pStyle w:val="761"/>
        <w:jc w:val="both"/>
        <w:spacing w:before="0" w:beforeAutospacing="0" w:after="0" w:afterAutospacing="0" w:line="360" w:lineRule="auto"/>
        <w:rPr>
          <w:color w:val="auto"/>
          <w:highlight w:val="none"/>
        </w:rPr>
      </w:pPr>
      <w:r>
        <w:rPr>
          <w:color w:val="auto"/>
          <w:highlight w:val="none"/>
        </w:rPr>
        <w:t xml:space="preserve">（一） 合同内容： 需方向供方采购</w:t>
      </w:r>
      <w:r>
        <w:rPr>
          <w:rFonts w:hint="eastAsia"/>
          <w:color w:val="auto"/>
          <w:highlight w:val="non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t xml:space="preserve">。</w:t>
      </w:r>
      <w:r/>
    </w:p>
    <w:p>
      <w:pPr>
        <w:pStyle w:val="761"/>
        <w:jc w:val="both"/>
        <w:spacing w:before="0" w:beforeAutospacing="0" w:after="0" w:afterAutospacing="0" w:line="360" w:lineRule="auto"/>
        <w:rPr>
          <w:color w:val="auto"/>
          <w:highlight w:val="none"/>
        </w:rPr>
      </w:pPr>
      <w:r>
        <w:rPr>
          <w:color w:val="auto"/>
          <w:highlight w:val="none"/>
        </w:rPr>
        <w:t xml:space="preserve">（二） 价格及支付：</w:t>
      </w:r>
      <w:r/>
    </w:p>
    <w:p>
      <w:pPr>
        <w:pStyle w:val="761"/>
        <w:jc w:val="both"/>
        <w:spacing w:before="0" w:beforeAutospacing="0" w:after="0" w:afterAutospacing="0" w:line="360" w:lineRule="auto"/>
        <w:rPr>
          <w:color w:val="auto"/>
          <w:highlight w:val="none"/>
        </w:rPr>
      </w:pPr>
      <w:r>
        <w:rPr>
          <w:color w:val="auto"/>
          <w:highlight w:val="none"/>
        </w:rPr>
        <w:t xml:space="preserve">1．按此次成交价格执行：</w:t>
      </w:r>
      <w:r>
        <w:rPr>
          <w:rFonts w:hint="eastAsia" w:ascii="宋体" w:hAnsi="宋体"/>
          <w:bCs/>
          <w:color w:val="auto"/>
          <w:sz w:val="24"/>
          <w:highlight w:val="none"/>
        </w:rPr>
        <w:t xml:space="preserve">（大写）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rPr>
          <w:color w:val="auto"/>
          <w:highlight w:val="none"/>
        </w:rPr>
        <w:t xml:space="preserve">。</w:t>
      </w:r>
      <w:r/>
    </w:p>
    <w:p>
      <w:pPr>
        <w:pStyle w:val="761"/>
        <w:jc w:val="both"/>
        <w:spacing w:before="0" w:beforeAutospacing="0" w:after="0" w:afterAutospacing="0" w:line="360" w:lineRule="auto"/>
        <w:rPr>
          <w:b/>
          <w:bCs w:val="0"/>
          <w:color w:val="auto"/>
          <w:highlight w:val="none"/>
          <w:u w:val="none"/>
        </w:rPr>
      </w:pPr>
      <w:r>
        <w:rPr>
          <w:color w:val="auto"/>
          <w:highlight w:val="none"/>
        </w:rPr>
        <w:t xml:space="preserve">2. 付款方式：</w:t>
      </w:r>
      <w:r>
        <w:rPr>
          <w:rFonts w:hint="eastAsia" w:ascii="宋体" w:hAnsi="宋体" w:eastAsia="宋体" w:cs="Times New Roman"/>
          <w:b/>
          <w:bCs w:val="0"/>
          <w:color w:val="auto"/>
          <w:highlight w:val="none"/>
          <w:u w:val="none"/>
        </w:rPr>
        <w:t xml:space="preserve">合同签订生效后十个工作日内支付合同金额的30%，系统上线试运行后十个工作日内支付合同金额的30%，系统验收合格并审计完成后十个工作日内支付合同金额的30%，项目正式运行一年后十个工作日内支付合同金额的3%，正式运行两年后十个工作日内支付合同金额的3%，正式运行三年后十个工作日内支付合同金额的2%，正式运行四年后十个工作日内支付合同金额的1%，正式运行五年后十个工作日内支付合同金额的1%。</w:t>
      </w:r>
      <w:r/>
    </w:p>
    <w:p>
      <w:pPr>
        <w:pStyle w:val="761"/>
        <w:jc w:val="both"/>
        <w:spacing w:before="0" w:beforeAutospacing="0" w:after="0" w:afterAutospacing="0" w:line="360" w:lineRule="auto"/>
        <w:rPr>
          <w:color w:val="auto"/>
          <w:highlight w:val="none"/>
        </w:rPr>
      </w:pPr>
      <w:r>
        <w:rPr>
          <w:color w:val="auto"/>
          <w:highlight w:val="none"/>
        </w:rPr>
        <w:t xml:space="preserve">（</w:t>
      </w:r>
      <w:r>
        <w:rPr>
          <w:rFonts w:hint="eastAsia"/>
          <w:color w:val="auto"/>
          <w:highlight w:val="none"/>
        </w:rPr>
        <w:t xml:space="preserve">三</w:t>
      </w:r>
      <w:r>
        <w:rPr>
          <w:color w:val="auto"/>
          <w:highlight w:val="none"/>
        </w:rPr>
        <w:t xml:space="preserve">） 知识产权</w:t>
      </w:r>
      <w:r/>
    </w:p>
    <w:p>
      <w:pPr>
        <w:pStyle w:val="761"/>
        <w:ind w:firstLine="360"/>
        <w:jc w:val="both"/>
        <w:spacing w:before="0" w:beforeAutospacing="0" w:after="0" w:afterAutospacing="0" w:line="360" w:lineRule="auto"/>
        <w:rPr>
          <w:color w:val="auto"/>
          <w:highlight w:val="none"/>
        </w:rPr>
      </w:pPr>
      <w:r>
        <w:rPr>
          <w:color w:val="auto"/>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pStyle w:val="761"/>
        <w:jc w:val="both"/>
        <w:spacing w:before="0" w:beforeAutospacing="0" w:after="0" w:afterAutospacing="0" w:line="360" w:lineRule="auto"/>
        <w:rPr>
          <w:color w:val="auto"/>
          <w:highlight w:val="none"/>
        </w:rPr>
      </w:pPr>
      <w:r>
        <w:rPr>
          <w:color w:val="auto"/>
          <w:highlight w:val="none"/>
        </w:rPr>
        <w:t xml:space="preserve">（</w:t>
      </w:r>
      <w:r>
        <w:rPr>
          <w:rFonts w:hint="eastAsia"/>
          <w:color w:val="auto"/>
          <w:highlight w:val="none"/>
        </w:rPr>
        <w:t xml:space="preserve">四</w:t>
      </w:r>
      <w:r>
        <w:rPr>
          <w:color w:val="auto"/>
          <w:highlight w:val="none"/>
        </w:rPr>
        <w:t xml:space="preserve">） 质量与检验：</w:t>
      </w:r>
      <w:r/>
    </w:p>
    <w:p>
      <w:pPr>
        <w:pStyle w:val="761"/>
        <w:jc w:val="both"/>
        <w:spacing w:before="0" w:beforeAutospacing="0" w:after="0" w:afterAutospacing="0" w:line="360" w:lineRule="auto"/>
        <w:rPr>
          <w:color w:val="auto"/>
          <w:highlight w:val="none"/>
        </w:rPr>
      </w:pPr>
      <w:r>
        <w:rPr>
          <w:color w:val="auto"/>
          <w:highlight w:val="none"/>
        </w:rPr>
        <w:t xml:space="preserve">1．供方应严格按照招标文件的有关规定和供方投标文件提供合格的货物及服务。 </w:t>
      </w:r>
      <w:r/>
    </w:p>
    <w:p>
      <w:pPr>
        <w:pStyle w:val="761"/>
        <w:jc w:val="both"/>
        <w:spacing w:before="0" w:beforeAutospacing="0" w:after="0" w:afterAutospacing="0" w:line="360" w:lineRule="auto"/>
        <w:rPr>
          <w:color w:val="auto"/>
          <w:highlight w:val="none"/>
        </w:rPr>
      </w:pPr>
      <w:r>
        <w:rPr>
          <w:color w:val="auto"/>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pStyle w:val="761"/>
        <w:jc w:val="both"/>
        <w:spacing w:before="0" w:beforeAutospacing="0" w:after="0" w:afterAutospacing="0" w:line="360" w:lineRule="auto"/>
        <w:rPr>
          <w:color w:val="auto"/>
          <w:highlight w:val="none"/>
        </w:rPr>
      </w:pPr>
      <w:r>
        <w:rPr>
          <w:color w:val="auto"/>
          <w:highlight w:val="none"/>
        </w:rPr>
        <w:t xml:space="preserve">3．货物的到货验收包括：数量、外观、质量、性能、随机备件、装箱单、质量证书等随机资料及包装完整无破损。</w:t>
      </w:r>
      <w:r/>
    </w:p>
    <w:p>
      <w:pPr>
        <w:pStyle w:val="761"/>
        <w:jc w:val="both"/>
        <w:spacing w:before="0" w:beforeAutospacing="0" w:after="0" w:afterAutospacing="0" w:line="360" w:lineRule="auto"/>
        <w:rPr>
          <w:color w:val="auto"/>
          <w:highlight w:val="none"/>
        </w:rPr>
      </w:pPr>
      <w:r>
        <w:rPr>
          <w:color w:val="auto"/>
          <w:highlight w:val="none"/>
        </w:rPr>
        <w:t xml:space="preserve">4．货物和系统调试验收标准：按行业通行标准、厂方出厂标准、招标文件要求和供方投标文件的承诺，并不低于国家相关标准。</w:t>
      </w:r>
      <w:r/>
    </w:p>
    <w:p>
      <w:pPr>
        <w:pStyle w:val="761"/>
        <w:jc w:val="both"/>
        <w:spacing w:before="0" w:beforeAutospacing="0" w:after="0" w:afterAutospacing="0" w:line="360" w:lineRule="auto"/>
        <w:rPr>
          <w:color w:val="auto"/>
          <w:highlight w:val="none"/>
        </w:rPr>
      </w:pPr>
      <w:r>
        <w:rPr>
          <w:color w:val="auto"/>
          <w:highlight w:val="none"/>
        </w:rPr>
        <w:t xml:space="preserve">5．货物运到需方指定地点并经需方验证签收后，由于需方保管不善造成的质量问题，供方应负责修理，但有关费用由需方承担。</w:t>
      </w:r>
      <w:r/>
    </w:p>
    <w:p>
      <w:pPr>
        <w:pStyle w:val="761"/>
        <w:jc w:val="both"/>
        <w:spacing w:before="0" w:beforeAutospacing="0" w:after="0" w:afterAutospacing="0" w:line="360" w:lineRule="auto"/>
        <w:rPr>
          <w:color w:val="auto"/>
          <w:highlight w:val="none"/>
        </w:rPr>
      </w:pPr>
      <w:r>
        <w:rPr>
          <w:color w:val="auto"/>
          <w:highlight w:val="none"/>
        </w:rPr>
        <w:t xml:space="preserve">6. 需方应在货物运到并接到供方通知后及时按照招标文件要求和供方投标文件的约定组织验收。在验收过程中产生的质量及其他问题，需方须及时以书面形式提出异议,供方在接到需方书面异议后应立即整改，否则承担违约责任。</w:t>
      </w:r>
      <w:r/>
    </w:p>
    <w:p>
      <w:pPr>
        <w:pStyle w:val="761"/>
        <w:jc w:val="both"/>
        <w:spacing w:before="0" w:beforeAutospacing="0" w:after="0" w:afterAutospacing="0" w:line="360" w:lineRule="auto"/>
        <w:rPr>
          <w:color w:val="auto"/>
          <w:highlight w:val="none"/>
        </w:rPr>
      </w:pPr>
      <w:r>
        <w:rPr>
          <w:color w:val="auto"/>
          <w:highlight w:val="none"/>
        </w:rPr>
        <w:t xml:space="preserve">7. 需方不得擅自变更招标文件要求和供方投标文件约定的性能、指标等相关内容，如有变更应按《中华人民共和国政府采购法》的相关程序执行。</w:t>
      </w:r>
      <w:r/>
    </w:p>
    <w:p>
      <w:pPr>
        <w:pStyle w:val="761"/>
        <w:jc w:val="both"/>
        <w:spacing w:before="0" w:beforeAutospacing="0" w:after="0" w:afterAutospacing="0" w:line="360" w:lineRule="auto"/>
        <w:rPr>
          <w:color w:val="auto"/>
          <w:highlight w:val="none"/>
        </w:rPr>
      </w:pPr>
      <w:r>
        <w:rPr>
          <w:color w:val="auto"/>
          <w:highlight w:val="none"/>
        </w:rPr>
        <w:t xml:space="preserve">（五） 交货条件：</w:t>
      </w:r>
      <w:r/>
    </w:p>
    <w:p>
      <w:pPr>
        <w:pStyle w:val="761"/>
        <w:jc w:val="both"/>
        <w:spacing w:before="0" w:beforeAutospacing="0" w:after="0" w:afterAutospacing="0" w:line="360" w:lineRule="auto"/>
        <w:rPr>
          <w:color w:val="auto"/>
          <w:highlight w:val="none"/>
        </w:rPr>
      </w:pPr>
      <w:r>
        <w:rPr>
          <w:color w:val="auto"/>
          <w:highlight w:val="none"/>
        </w:rPr>
        <w:t xml:space="preserve">1．</w:t>
      </w:r>
      <w:r>
        <w:rPr>
          <w:rFonts w:hint="eastAsia" w:cs="宋体"/>
          <w:bCs/>
          <w:color w:val="auto"/>
          <w:highlight w:val="none"/>
          <w:lang w:eastAsia="zh-CN"/>
        </w:rPr>
        <w:t xml:space="preserve">供货</w:t>
      </w:r>
      <w:r>
        <w:rPr>
          <w:rFonts w:hint="eastAsia" w:cs="宋体"/>
          <w:bCs/>
          <w:color w:val="auto"/>
          <w:highlight w:val="none"/>
          <w:lang w:val="en-US" w:eastAsia="zh-CN"/>
        </w:rPr>
        <w:t xml:space="preserve">及安装期</w:t>
      </w:r>
      <w:r>
        <w:rPr>
          <w:rFonts w:hint="eastAsia" w:cs="宋体"/>
          <w:bCs/>
          <w:color w:val="auto"/>
          <w:highlight w:val="none"/>
        </w:rPr>
        <w:t xml:space="preserve">：</w:t>
      </w:r>
      <w:r>
        <w:rPr>
          <w:rFonts w:hint="eastAsia" w:hAnsi="宋体" w:cs="宋体"/>
          <w:color w:val="auto"/>
          <w:sz w:val="24"/>
          <w:szCs w:val="24"/>
          <w:highlight w:val="none"/>
          <w:lang w:val="en-US" w:eastAsia="zh-CN"/>
        </w:rPr>
        <w:t xml:space="preserve">本项目工期12个月（含试运行3个月），硬件部署、软件开发、软件功能测试和系统联调9个月，上线试运行3个月。</w:t>
      </w:r>
      <w:r/>
    </w:p>
    <w:p>
      <w:pPr>
        <w:pStyle w:val="761"/>
        <w:jc w:val="both"/>
        <w:spacing w:before="0" w:beforeAutospacing="0" w:after="0" w:afterAutospacing="0" w:line="360" w:lineRule="auto"/>
        <w:rPr>
          <w:color w:val="auto"/>
          <w:highlight w:val="none"/>
        </w:rPr>
      </w:pPr>
      <w:r>
        <w:rPr>
          <w:color w:val="auto"/>
          <w:highlight w:val="none"/>
        </w:rPr>
        <w:t xml:space="preserve">2．供方在验收时应先用信函、传真、电子邮件等书面方式通知需方。</w:t>
      </w:r>
      <w:r/>
    </w:p>
    <w:p>
      <w:pPr>
        <w:pStyle w:val="761"/>
        <w:jc w:val="both"/>
        <w:spacing w:before="0" w:beforeAutospacing="0" w:after="0" w:afterAutospacing="0" w:line="360" w:lineRule="auto"/>
        <w:rPr>
          <w:color w:val="auto"/>
          <w:highlight w:val="none"/>
        </w:rPr>
      </w:pPr>
      <w:r>
        <w:rPr>
          <w:color w:val="auto"/>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pStyle w:val="761"/>
        <w:jc w:val="both"/>
        <w:spacing w:before="0" w:beforeAutospacing="0" w:after="0" w:afterAutospacing="0" w:line="360" w:lineRule="auto"/>
        <w:rPr>
          <w:color w:val="auto"/>
          <w:highlight w:val="none"/>
        </w:rPr>
      </w:pPr>
      <w:r>
        <w:rPr>
          <w:color w:val="auto"/>
          <w:highlight w:val="none"/>
        </w:rPr>
        <w:t xml:space="preserve">4. 货物交货时，所有货物必须带有货物质量检验合格证书、中文质保单、装箱单、中文货物安装使用说明书。</w:t>
      </w:r>
      <w:r>
        <w:rPr>
          <w:rFonts w:hint="eastAsia"/>
          <w:color w:val="auto"/>
          <w:highlight w:val="none"/>
          <w:lang w:eastAsia="zh-CN"/>
        </w:rPr>
        <w:t xml:space="preserve">其他</w:t>
      </w:r>
      <w:r>
        <w:rPr>
          <w:color w:val="auto"/>
          <w:highlight w:val="none"/>
        </w:rPr>
        <w:t xml:space="preserve">附件所有部件必须原包装。</w:t>
      </w:r>
      <w:r/>
    </w:p>
    <w:p>
      <w:pPr>
        <w:pStyle w:val="761"/>
        <w:ind w:left="2"/>
        <w:jc w:val="both"/>
        <w:spacing w:before="0" w:beforeAutospacing="0" w:after="0" w:afterAutospacing="0" w:line="360" w:lineRule="auto"/>
        <w:rPr>
          <w:color w:val="auto"/>
          <w:highlight w:val="none"/>
        </w:rPr>
      </w:pPr>
      <w:r>
        <w:rPr>
          <w:color w:val="auto"/>
          <w:highlight w:val="none"/>
        </w:rPr>
        <w:t xml:space="preserve">5. 运输及到货地点：由供方负责办理运输并承担所有费用，直接送到需方指定地点，即：以合同书上的地点为准。 </w:t>
      </w:r>
      <w:r/>
    </w:p>
    <w:p>
      <w:pPr>
        <w:pStyle w:val="761"/>
        <w:jc w:val="both"/>
        <w:spacing w:before="0" w:beforeAutospacing="0" w:after="0" w:afterAutospacing="0" w:line="360" w:lineRule="auto"/>
        <w:rPr>
          <w:color w:val="auto"/>
          <w:highlight w:val="none"/>
        </w:rPr>
      </w:pPr>
      <w:r>
        <w:rPr>
          <w:color w:val="auto"/>
          <w:highlight w:val="none"/>
        </w:rPr>
        <w:t xml:space="preserve">（六） 安装调试及售后服务：</w:t>
      </w:r>
      <w:r/>
    </w:p>
    <w:p>
      <w:pPr>
        <w:pStyle w:val="761"/>
        <w:jc w:val="both"/>
        <w:spacing w:before="0" w:beforeAutospacing="0" w:after="0" w:afterAutospacing="0" w:line="360" w:lineRule="auto"/>
        <w:rPr>
          <w:color w:val="auto"/>
          <w:highlight w:val="none"/>
        </w:rPr>
      </w:pPr>
      <w:r>
        <w:rPr>
          <w:color w:val="auto"/>
          <w:highlight w:val="none"/>
        </w:rPr>
        <w:t xml:space="preserve">1. 非人为操作原因损坏，所投标的</w:t>
      </w:r>
      <w:r>
        <w:rPr>
          <w:rStyle w:val="770"/>
          <w:color w:val="auto"/>
          <w:highlight w:val="none"/>
        </w:rPr>
        <w:t xml:space="preserve">全部产品</w:t>
      </w:r>
      <w:r>
        <w:rPr>
          <w:color w:val="auto"/>
          <w:highlight w:val="none"/>
        </w:rPr>
        <w:t xml:space="preserve">必须随时免费更换服务。</w:t>
      </w:r>
      <w:r/>
    </w:p>
    <w:p>
      <w:pPr>
        <w:pStyle w:val="761"/>
        <w:jc w:val="both"/>
        <w:spacing w:before="0" w:beforeAutospacing="0" w:after="0" w:afterAutospacing="0" w:line="360" w:lineRule="auto"/>
        <w:rPr>
          <w:color w:val="auto"/>
          <w:highlight w:val="none"/>
        </w:rPr>
      </w:pPr>
      <w:r>
        <w:rPr>
          <w:color w:val="auto"/>
          <w:highlight w:val="none"/>
        </w:rPr>
        <w:t xml:space="preserve">2. 供方负责本项目的安装和调试，并保证其提供的货物符合国家、行业、地方、招标文件要求和供方投标文件及合同规定的质量、性能和标准，并正确且安全地安装。</w:t>
      </w:r>
      <w:r/>
    </w:p>
    <w:p>
      <w:pPr>
        <w:pStyle w:val="761"/>
        <w:jc w:val="both"/>
        <w:spacing w:before="0" w:beforeAutospacing="0" w:after="0" w:afterAutospacing="0" w:line="360" w:lineRule="auto"/>
        <w:rPr>
          <w:color w:val="auto"/>
          <w:highlight w:val="none"/>
        </w:rPr>
      </w:pPr>
      <w:r>
        <w:rPr>
          <w:color w:val="auto"/>
          <w:highlight w:val="none"/>
        </w:rPr>
        <w:t xml:space="preserve">3. 供方提供的服务全部按照国家有关法律法规规章和“三包”规定以及按招标文件要求和供方投标文件中的承诺执行。</w:t>
      </w:r>
      <w:r/>
    </w:p>
    <w:p>
      <w:pPr>
        <w:pStyle w:val="761"/>
        <w:jc w:val="both"/>
        <w:spacing w:before="0" w:beforeAutospacing="0" w:after="0" w:afterAutospacing="0" w:line="360" w:lineRule="auto"/>
        <w:rPr>
          <w:color w:val="auto"/>
          <w:highlight w:val="none"/>
        </w:rPr>
      </w:pPr>
      <w:r>
        <w:rPr>
          <w:color w:val="auto"/>
          <w:highlight w:val="none"/>
        </w:rPr>
        <w:t xml:space="preserve">4. 质保期后的货物维护由双方协商再定。</w:t>
      </w:r>
      <w:r/>
    </w:p>
    <w:p>
      <w:pPr>
        <w:pStyle w:val="761"/>
        <w:jc w:val="both"/>
        <w:spacing w:before="0" w:beforeAutospacing="0" w:after="0" w:afterAutospacing="0" w:line="360" w:lineRule="auto"/>
        <w:rPr>
          <w:color w:val="auto"/>
          <w:highlight w:val="none"/>
        </w:rPr>
      </w:pPr>
      <w:r>
        <w:rPr>
          <w:color w:val="auto"/>
          <w:highlight w:val="none"/>
        </w:rPr>
        <w:t xml:space="preserve">5. 需方应向供方现场调试的技术人员及维修人员提供方便条件，有关费用由供方负责。</w:t>
      </w:r>
      <w:r/>
    </w:p>
    <w:p>
      <w:pPr>
        <w:pStyle w:val="761"/>
        <w:jc w:val="both"/>
        <w:spacing w:before="0" w:beforeAutospacing="0" w:after="0" w:afterAutospacing="0" w:line="360" w:lineRule="auto"/>
        <w:rPr>
          <w:color w:val="auto"/>
          <w:highlight w:val="none"/>
        </w:rPr>
      </w:pPr>
      <w:r>
        <w:rPr>
          <w:color w:val="auto"/>
          <w:highlight w:val="none"/>
        </w:rPr>
        <w:t xml:space="preserve">6. 需方如要求供方提供招标文件及供方投标文件以外的</w:t>
      </w:r>
      <w:r>
        <w:rPr>
          <w:rFonts w:hint="eastAsia"/>
          <w:color w:val="auto"/>
          <w:highlight w:val="none"/>
          <w:lang w:eastAsia="zh-CN"/>
        </w:rPr>
        <w:t xml:space="preserve">其他</w:t>
      </w:r>
      <w:r>
        <w:rPr>
          <w:color w:val="auto"/>
          <w:highlight w:val="none"/>
        </w:rPr>
        <w:t xml:space="preserve">服务，其费用另定。</w:t>
      </w:r>
      <w:r/>
    </w:p>
    <w:p>
      <w:pPr>
        <w:pStyle w:val="761"/>
        <w:jc w:val="both"/>
        <w:spacing w:before="0" w:beforeAutospacing="0" w:after="0" w:afterAutospacing="0" w:line="360" w:lineRule="auto"/>
        <w:rPr>
          <w:color w:val="auto"/>
          <w:highlight w:val="none"/>
        </w:rPr>
      </w:pPr>
      <w:r>
        <w:rPr>
          <w:color w:val="auto"/>
          <w:highlight w:val="none"/>
        </w:rPr>
        <w:t xml:space="preserve">（七） 违约责任：</w:t>
      </w:r>
      <w:r/>
    </w:p>
    <w:p>
      <w:pPr>
        <w:pStyle w:val="761"/>
        <w:jc w:val="both"/>
        <w:spacing w:before="0" w:beforeAutospacing="0" w:after="0" w:afterAutospacing="0" w:line="360" w:lineRule="auto"/>
        <w:rPr>
          <w:color w:val="auto"/>
          <w:highlight w:val="none"/>
        </w:rPr>
      </w:pPr>
      <w:r>
        <w:rPr>
          <w:color w:val="auto"/>
          <w:highlight w:val="none"/>
        </w:rPr>
        <w:t xml:space="preserve">1． 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pStyle w:val="761"/>
        <w:jc w:val="both"/>
        <w:spacing w:before="0" w:beforeAutospacing="0" w:after="0" w:afterAutospacing="0" w:line="360" w:lineRule="auto"/>
        <w:rPr>
          <w:color w:val="auto"/>
          <w:highlight w:val="none"/>
        </w:rPr>
      </w:pPr>
      <w:r>
        <w:rPr>
          <w:color w:val="auto"/>
          <w:highlight w:val="none"/>
        </w:rPr>
        <w:t xml:space="preserve">2． 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20%向需方支付违约金，如给需方造成损失的，还应赔偿损失。</w:t>
      </w:r>
      <w:r/>
    </w:p>
    <w:p>
      <w:pPr>
        <w:pStyle w:val="761"/>
        <w:jc w:val="both"/>
        <w:spacing w:before="0" w:beforeAutospacing="0" w:after="0" w:afterAutospacing="0" w:line="360" w:lineRule="auto"/>
        <w:rPr>
          <w:color w:val="auto"/>
          <w:highlight w:val="none"/>
        </w:rPr>
      </w:pPr>
      <w:r>
        <w:rPr>
          <w:color w:val="auto"/>
          <w:highlight w:val="none"/>
        </w:rPr>
        <w:t xml:space="preserve">3． 需方无正当理由逾期付款时，每逾期一日，需方应按照逾期付款金额的万分之五的标准累计计算向供方支付违约金。</w:t>
      </w:r>
      <w:r/>
    </w:p>
    <w:p>
      <w:pPr>
        <w:pStyle w:val="761"/>
        <w:jc w:val="both"/>
        <w:spacing w:before="0" w:beforeAutospacing="0" w:after="0" w:afterAutospacing="0" w:line="360" w:lineRule="auto"/>
        <w:rPr>
          <w:color w:val="auto"/>
          <w:highlight w:val="none"/>
        </w:rPr>
      </w:pPr>
      <w:r>
        <w:rPr>
          <w:color w:val="auto"/>
          <w:highlight w:val="none"/>
        </w:rPr>
        <w:t xml:space="preserve">4． 由于需方的原因要求延期交货，需方应按规定承付货款，并承担供方提供的代为保管费。（有关仓储规定另议）</w:t>
      </w:r>
      <w:r/>
    </w:p>
    <w:p>
      <w:pPr>
        <w:pStyle w:val="761"/>
        <w:jc w:val="both"/>
        <w:spacing w:before="0" w:beforeAutospacing="0" w:after="0" w:afterAutospacing="0" w:line="360" w:lineRule="auto"/>
        <w:rPr>
          <w:color w:val="auto"/>
          <w:highlight w:val="none"/>
        </w:rPr>
      </w:pPr>
      <w:r>
        <w:rPr>
          <w:color w:val="auto"/>
          <w:highlight w:val="none"/>
        </w:rPr>
        <w:t xml:space="preserve">5． 供方如无不可抗力，又未履行招标文件、投标文件和合同条款的，一经查实，由供方赔偿由此给需方造成的损失，并按照合同总价的20%向需方支付违约金，因采购活动产生的其他责任及后果按招标文件的相关要求及处理方式执行。</w:t>
      </w:r>
      <w:r/>
    </w:p>
    <w:p>
      <w:pPr>
        <w:pStyle w:val="761"/>
        <w:jc w:val="both"/>
        <w:spacing w:before="0" w:beforeAutospacing="0" w:after="0" w:afterAutospacing="0" w:line="360" w:lineRule="auto"/>
        <w:rPr>
          <w:color w:val="auto"/>
          <w:highlight w:val="none"/>
        </w:rPr>
      </w:pPr>
      <w:r>
        <w:rPr>
          <w:color w:val="auto"/>
          <w:highlight w:val="none"/>
        </w:rPr>
        <w:t xml:space="preserve">6． 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10%向需方支付违约金，如给需方造成其他损失的，供方还应负责赔偿。</w:t>
      </w:r>
      <w:r/>
    </w:p>
    <w:p>
      <w:pPr>
        <w:pStyle w:val="761"/>
        <w:jc w:val="both"/>
        <w:spacing w:before="0" w:beforeAutospacing="0" w:after="0" w:afterAutospacing="0" w:line="360" w:lineRule="auto"/>
        <w:rPr>
          <w:color w:val="auto"/>
          <w:highlight w:val="none"/>
        </w:rPr>
      </w:pPr>
      <w:r>
        <w:rPr>
          <w:color w:val="auto"/>
          <w:highlight w:val="none"/>
        </w:rPr>
        <w:t xml:space="preserve">7． 如遭遇不可抗力事件，遭遇不可抗力的一方应尽快以书面形式将不可抗力的情况和原因通知另一方，并积极采取措施防止损失扩大。因不可抗力造成的损失，供、需双方按照法律规定处理。</w:t>
      </w:r>
      <w:r/>
    </w:p>
    <w:p>
      <w:pPr>
        <w:pStyle w:val="761"/>
        <w:jc w:val="both"/>
        <w:spacing w:before="0" w:beforeAutospacing="0" w:after="0" w:afterAutospacing="0" w:line="360" w:lineRule="auto"/>
        <w:rPr>
          <w:color w:val="auto"/>
          <w:highlight w:val="none"/>
        </w:rPr>
      </w:pPr>
      <w:r>
        <w:rPr>
          <w:color w:val="auto"/>
          <w:highlight w:val="none"/>
        </w:rPr>
        <w:t xml:space="preserve">8． 招标文件及合同中所述之“不可抗力”系指不可预见、不可避免、不可克服的事件，包括但不限于：战争、洪水、台风、地震及其他</w:t>
      </w:r>
      <w:r>
        <w:rPr>
          <w:rFonts w:hint="eastAsia"/>
          <w:color w:val="auto"/>
          <w:highlight w:val="none"/>
          <w:lang w:eastAsia="zh-CN"/>
        </w:rPr>
        <w:t xml:space="preserve">法律法规</w:t>
      </w:r>
      <w:r>
        <w:rPr>
          <w:color w:val="auto"/>
          <w:highlight w:val="none"/>
        </w:rPr>
        <w:t xml:space="preserve">规定的事件。</w:t>
      </w:r>
      <w:r/>
    </w:p>
    <w:p>
      <w:pPr>
        <w:pStyle w:val="761"/>
        <w:jc w:val="both"/>
        <w:spacing w:before="0" w:beforeAutospacing="0" w:after="0" w:afterAutospacing="0" w:line="360" w:lineRule="auto"/>
        <w:rPr>
          <w:color w:val="auto"/>
          <w:highlight w:val="none"/>
        </w:rPr>
      </w:pPr>
      <w:r>
        <w:rPr>
          <w:color w:val="auto"/>
          <w:highlight w:val="none"/>
        </w:rPr>
        <w:t xml:space="preserve">9． 如果供方在本合同履行完毕之前破产或无清偿能力，需方可在任何时候以书面形式通知供方，提出解除合同。该终止合同将不损害或影响需方已经采取或将要采取的任何行动或补救措施的权力。</w:t>
      </w:r>
      <w:r/>
    </w:p>
    <w:p>
      <w:pPr>
        <w:pStyle w:val="761"/>
        <w:jc w:val="both"/>
        <w:spacing w:before="0" w:beforeAutospacing="0" w:after="0" w:afterAutospacing="0" w:line="360" w:lineRule="auto"/>
        <w:rPr>
          <w:color w:val="auto"/>
          <w:highlight w:val="none"/>
        </w:rPr>
      </w:pPr>
      <w:r>
        <w:rPr>
          <w:color w:val="auto"/>
          <w:highlight w:val="none"/>
        </w:rPr>
        <w:t xml:space="preserve">（八） 合同生效及其它：</w:t>
      </w:r>
      <w:r/>
    </w:p>
    <w:p>
      <w:pPr>
        <w:pStyle w:val="761"/>
        <w:jc w:val="both"/>
        <w:spacing w:before="0" w:beforeAutospacing="0" w:after="0" w:afterAutospacing="0" w:line="360" w:lineRule="auto"/>
        <w:rPr>
          <w:color w:val="auto"/>
          <w:highlight w:val="none"/>
        </w:rPr>
      </w:pPr>
      <w:r>
        <w:rPr>
          <w:color w:val="auto"/>
          <w:highlight w:val="none"/>
        </w:rPr>
        <w:t xml:space="preserve">1． 合同经供需双方代表签字并盖章，且在需方收到供方提交的履约保证金后即生效。履约保证金在本项目保修期结束后无息退还。</w:t>
      </w:r>
      <w:r/>
    </w:p>
    <w:p>
      <w:pPr>
        <w:pStyle w:val="761"/>
        <w:jc w:val="both"/>
        <w:spacing w:before="0" w:beforeAutospacing="0" w:after="0" w:afterAutospacing="0" w:line="360" w:lineRule="auto"/>
        <w:rPr>
          <w:color w:val="auto"/>
          <w:highlight w:val="none"/>
        </w:rPr>
      </w:pPr>
      <w:r>
        <w:rPr>
          <w:color w:val="auto"/>
          <w:highlight w:val="none"/>
        </w:rPr>
        <w:t xml:space="preserve">2． 合同签订后供需双方即直接产生权利与义务的关系，合同执行过程中出现的问题应按照合同约定、法律法规的规定办理，在合同履行过程中，双方如有争议应协商解决。如协商不能解决，双方可向无锡仲裁委员会申请仲裁，仲裁期间，除仲裁委员会要求停止履行合同或出现一方确实无法继续履行合同的情形外，本合同应继续履行。</w:t>
      </w:r>
      <w:r/>
    </w:p>
    <w:p>
      <w:pPr>
        <w:pStyle w:val="761"/>
        <w:jc w:val="both"/>
        <w:spacing w:before="0" w:beforeAutospacing="0" w:after="0" w:afterAutospacing="0" w:line="360" w:lineRule="auto"/>
        <w:rPr>
          <w:color w:val="auto"/>
          <w:highlight w:val="none"/>
        </w:rPr>
      </w:pPr>
      <w:r>
        <w:rPr>
          <w:color w:val="auto"/>
          <w:highlight w:val="none"/>
        </w:rPr>
        <w:t xml:space="preserve">3． 合同在执行过程中出现的未尽事宜，双方在不违背本合同和招标文件的原则下协商解决，协商结果以书面形式签订补充协议，且补充协议与本合同具有同等效力。</w:t>
      </w:r>
      <w:r/>
    </w:p>
    <w:p>
      <w:pPr>
        <w:pStyle w:val="761"/>
        <w:jc w:val="both"/>
        <w:spacing w:before="0" w:beforeAutospacing="0" w:after="0" w:afterAutospacing="0" w:line="360" w:lineRule="auto"/>
        <w:rPr>
          <w:rFonts w:hint="eastAsia"/>
          <w:color w:val="auto"/>
          <w:highlight w:val="none"/>
          <w:lang w:eastAsia="zh-CN"/>
        </w:rPr>
      </w:pPr>
      <w:r>
        <w:rPr>
          <w:color w:val="auto"/>
          <w:highlight w:val="none"/>
        </w:rPr>
        <w:t xml:space="preserve">4． 供需双方确认：对本合同条款及后果均已知悉，一致确认不存在欺诈、胁迫、乘人之危、重大误解、显失公平等任何可能导致合同无效或被撤销的情形。</w:t>
      </w:r>
      <w:r/>
    </w:p>
    <w:p>
      <w:pPr>
        <w:pStyle w:val="726"/>
        <w:rPr>
          <w:rFonts w:hint="eastAsia"/>
          <w:color w:val="auto"/>
          <w:highlight w:val="none"/>
        </w:rPr>
      </w:pPr>
      <w:r>
        <w:rPr>
          <w:rFonts w:hint="eastAsia"/>
          <w:color w:val="auto"/>
          <w:highlight w:val="none"/>
        </w:rPr>
      </w:r>
      <w:r/>
    </w:p>
    <w:p>
      <w:pPr>
        <w:jc w:val="left"/>
        <w:spacing w:line="360" w:lineRule="auto"/>
        <w:rPr>
          <w:rFonts w:hint="eastAsia" w:ascii="黑体" w:hAnsi="黑体" w:eastAsia="黑体" w:cs="黑体"/>
          <w:b/>
          <w:color w:val="auto"/>
          <w:sz w:val="32"/>
          <w:szCs w:val="32"/>
          <w:highlight w:val="none"/>
        </w:rPr>
        <w:outlineLvl w:val="0"/>
      </w:pPr>
      <w:r>
        <w:rPr>
          <w:rFonts w:hint="eastAsia" w:ascii="黑体" w:eastAsia="黑体"/>
          <w:bCs/>
          <w:color w:val="auto"/>
          <w:sz w:val="28"/>
          <w:szCs w:val="28"/>
          <w:highlight w:val="none"/>
        </w:rPr>
        <w:br w:type="page" w:clear="all"/>
      </w:r>
      <w:r>
        <w:rPr>
          <w:rFonts w:hint="eastAsia" w:ascii="黑体" w:hAnsi="黑体" w:eastAsia="黑体" w:cs="黑体"/>
          <w:b/>
          <w:color w:val="auto"/>
          <w:sz w:val="32"/>
          <w:szCs w:val="32"/>
          <w:highlight w:val="none"/>
        </w:rPr>
        <w:t xml:space="preserve">五．投标文件格式</w:t>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t xml:space="preserve">（一）、封面格式：</w:t>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公开招标</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投标文件</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项目名称：</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投标文件内容：</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color w:val="auto"/>
          <w:sz w:val="28"/>
          <w:szCs w:val="28"/>
          <w:highlight w:val="none"/>
        </w:rPr>
      </w:pP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日</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时</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分</w:t>
      </w:r>
      <w:r>
        <w:rPr>
          <w:rFonts w:hint="eastAsia"/>
          <w:color w:val="auto"/>
          <w:sz w:val="28"/>
          <w:szCs w:val="28"/>
          <w:highlight w:val="none"/>
        </w:rPr>
        <w:t xml:space="preserve">开标，此时间以前不得开封；</w:t>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投标供应商：</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（盖公章）</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法定代表人或</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其委托代理人：</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（签字或盖章）</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日  期：</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年</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月</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日</w:t>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r>
      <w:r/>
    </w:p>
    <w:p>
      <w:pPr>
        <w:spacing w:line="360" w:lineRule="auto"/>
        <w:rPr>
          <w:rFonts w:hint="eastAsia" w:ascii="宋体" w:hAnsi="宋体"/>
          <w:bCs/>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附件1：                         </w:t>
      </w:r>
      <w:r>
        <w:rPr>
          <w:rFonts w:hint="eastAsia" w:ascii="宋体" w:hAnsi="宋体"/>
          <w:bCs/>
          <w:color w:val="auto"/>
          <w:sz w:val="24"/>
          <w:highlight w:val="none"/>
        </w:rPr>
        <w:t xml:space="preserve">投标函（格式）：</w:t>
      </w:r>
      <w:r/>
    </w:p>
    <w:p>
      <w:pP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
          <w:color w:val="auto"/>
          <w:sz w:val="24"/>
          <w:highlight w:val="none"/>
          <w:u w:val="single"/>
        </w:rPr>
        <w:t xml:space="preserve">（招标人）</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numPr>
          <w:ilvl w:val="0"/>
          <w:numId w:val="28"/>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我方收到贵单位编号     -  招标文件，经仔细阅读和研究，我方决定参加此次2023年度新吴公安分局辅助人员服装采购项目的投标。</w:t>
      </w:r>
      <w:r/>
    </w:p>
    <w:p>
      <w:pPr>
        <w:numPr>
          <w:ilvl w:val="0"/>
          <w:numId w:val="28"/>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我方愿意按照招标文件的一切要求，提供本项目的投标，投标总价见《开标一览表》。</w:t>
      </w:r>
      <w:r/>
    </w:p>
    <w:p>
      <w:pPr>
        <w:numPr>
          <w:ilvl w:val="0"/>
          <w:numId w:val="28"/>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774"/>
          <w:rFonts w:hint="eastAsia"/>
          <w:bCs/>
          <w:color w:val="auto"/>
          <w:highlight w:val="none"/>
        </w:rPr>
      </w:pPr>
      <w:r>
        <w:rPr>
          <w:rFonts w:hint="eastAsia" w:ascii="宋体" w:hAnsi="宋体"/>
          <w:bCs/>
          <w:color w:val="auto"/>
          <w:sz w:val="24"/>
          <w:highlight w:val="none"/>
        </w:rPr>
        <w:t xml:space="preserve">我方愿意提供</w:t>
      </w:r>
      <w:r>
        <w:rPr>
          <w:rFonts w:hint="eastAsia" w:ascii="宋体" w:hAnsi="宋体" w:cs="宋体"/>
          <w:color w:val="auto"/>
          <w:sz w:val="24"/>
          <w:highlight w:val="none"/>
        </w:rPr>
        <w:t xml:space="preserve">招标人/招标代理机构</w:t>
      </w:r>
      <w:r>
        <w:rPr>
          <w:rFonts w:hint="eastAsia" w:ascii="宋体" w:hAnsi="宋体"/>
          <w:bCs/>
          <w:color w:val="auto"/>
          <w:sz w:val="24"/>
          <w:highlight w:val="none"/>
        </w:rPr>
        <w:t xml:space="preserve">在招标文件中要求的文件、资料（具体内容如下）</w:t>
      </w:r>
      <w:r>
        <w:rPr>
          <w:rStyle w:val="774"/>
          <w:rFonts w:hint="eastAsia"/>
          <w:color w:val="auto"/>
          <w:highlight w:val="none"/>
        </w:rPr>
        <w:t xml:space="preserve">：</w:t>
      </w:r>
      <w:r/>
    </w:p>
    <w:p>
      <w:pPr>
        <w:numPr>
          <w:ilvl w:val="2"/>
          <w:numId w:val="29"/>
        </w:numPr>
        <w:ind w:left="0" w:firstLine="525"/>
        <w:spacing w:line="360" w:lineRule="auto"/>
        <w:tabs>
          <w:tab w:val="left" w:pos="945" w:leader="none"/>
          <w:tab w:val="left" w:pos="1575" w:leader="none"/>
        </w:tabs>
        <w:rPr>
          <w:rFonts w:hint="eastAsia" w:ascii="宋体" w:hAnsi="宋体"/>
          <w:bCs/>
          <w:color w:val="auto"/>
          <w:sz w:val="24"/>
          <w:highlight w:val="none"/>
        </w:rPr>
      </w:pPr>
      <w:r>
        <w:rPr>
          <w:rFonts w:hint="eastAsia" w:ascii="宋体" w:hAnsi="宋体"/>
          <w:bCs/>
          <w:color w:val="auto"/>
          <w:sz w:val="24"/>
          <w:highlight w:val="none"/>
        </w:rPr>
        <w:t xml:space="preserve">证明文件</w:t>
      </w:r>
      <w:r/>
    </w:p>
    <w:p>
      <w:pPr>
        <w:ind w:left="709"/>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（1）资格、资信证明文件；</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扫描后上传，身份证应为正、反面</w:t>
      </w:r>
      <w:r>
        <w:rPr>
          <w:rFonts w:hint="eastAsia" w:ascii="宋体" w:hAnsi="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关于资格的声明函</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（格式见附件）；</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投标供应商法定代表人授权委托书</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（法定代表人亲自参与投标的除外，格式见附件）；</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投标供应商法定代表人身份证</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及被授权代表身份证</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具有独立承担民事责任能力的投标供应商营业执照</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投标人近三个月中任意一个月份（不含投标当月）的依法缴纳税收的相关材料（提供相关主管部门证明或银行代扣证明）</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投标人近三个月中任意一个月份（不含投标当月）的依法缴纳社会保障资金的相关材料（提供相关主管部门证明或银行代扣证明）</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报价供应商近三个月中任意一个月份（不含投标当月）的财务状况报告（资产负债表、利润表）或由会计师事务所出具的202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或2025年度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审计报告</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hint="eastAsia" w:ascii="宋体"/>
          <w:color w:val="auto"/>
          <w:sz w:val="24"/>
          <w:highlight w:val="none"/>
        </w:rPr>
      </w:pPr>
      <w:r>
        <w:rPr>
          <w:rFonts w:hint="eastAsia" w:ascii="宋体" w:hAnsi="宋体" w:cs="宋体"/>
          <w:bCs/>
          <w:color w:val="auto"/>
          <w:sz w:val="24"/>
          <w:highlight w:val="none"/>
        </w:rPr>
        <w:t xml:space="preserve">承诺书原件扫描件（格式见附件）</w:t>
      </w:r>
      <w:r>
        <w:rPr>
          <w:rFonts w:hint="eastAsia" w:ascii="宋体" w:hAnsi="宋体" w:cs="宋体"/>
          <w:bCs/>
          <w:color w:val="auto"/>
          <w:sz w:val="24"/>
          <w:highlight w:val="none"/>
          <w:lang w:eastAsia="zh-CN"/>
        </w:rPr>
        <w:t xml:space="preserve">；</w:t>
      </w:r>
      <w:r/>
    </w:p>
    <w:p>
      <w:pPr>
        <w:numPr>
          <w:ilvl w:val="0"/>
          <w:numId w:val="30"/>
        </w:numPr>
        <w:spacing w:after="120" w:line="360" w:lineRule="auto"/>
        <w:tabs>
          <w:tab w:val="left" w:pos="1365" w:leader="none"/>
        </w:tabs>
        <w:rPr>
          <w:rFonts w:hint="eastAsia" w:ascii="宋体"/>
          <w:color w:val="auto"/>
          <w:sz w:val="24"/>
          <w:highlight w:val="none"/>
        </w:rPr>
      </w:pPr>
      <w:r>
        <w:rPr>
          <w:rFonts w:hint="eastAsia" w:ascii="宋体" w:hAnsi="宋体" w:cs="宋体"/>
          <w:bCs/>
          <w:color w:val="auto"/>
          <w:sz w:val="24"/>
          <w:highlight w:val="none"/>
        </w:rPr>
        <w:t xml:space="preserve">中小企业声明函原件扫描件（格式见附件）。</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细目报价表我方同意按招标文件中的规定，本投标文件投标的有效期限为开标之日起90天。</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如果我方的投标文件被接受，我方将履行招标文件中规定的每一项要求，按期、按质、按量，完成交货任务。</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我方认为贵单位有权决定中标者。</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我方愿意遵守《中华人民共和国政府采购法》，并</w:t>
      </w:r>
      <w:r>
        <w:rPr>
          <w:rFonts w:hint="eastAsia" w:ascii="宋体" w:hAnsi="宋体"/>
          <w:bCs/>
          <w:color w:val="auto"/>
          <w:sz w:val="24"/>
          <w:highlight w:val="none"/>
          <w:lang w:eastAsia="zh-CN"/>
        </w:rPr>
        <w:t xml:space="preserve">按照《中华人民共和国</w:t>
      </w:r>
      <w:r>
        <w:rPr>
          <w:rFonts w:hint="eastAsia" w:ascii="宋体" w:hAnsi="宋体"/>
          <w:bCs/>
          <w:color w:val="auto"/>
          <w:sz w:val="24"/>
          <w:highlight w:val="none"/>
        </w:rPr>
        <w:t xml:space="preserve">民法典》、财政部《政府采购货物和服务招标投标管理办法》</w:t>
      </w:r>
      <w:r>
        <w:rPr>
          <w:rFonts w:hint="eastAsia" w:ascii="宋体" w:hAnsi="宋体"/>
          <w:color w:val="auto"/>
          <w:sz w:val="24"/>
          <w:highlight w:val="none"/>
        </w:rPr>
        <w:t xml:space="preserve">和</w:t>
      </w:r>
      <w:r>
        <w:rPr>
          <w:rFonts w:hint="eastAsia" w:ascii="宋体" w:hAnsi="宋体"/>
          <w:bCs/>
          <w:color w:val="auto"/>
          <w:sz w:val="24"/>
          <w:highlight w:val="none"/>
        </w:rPr>
        <w:t xml:space="preserve">合同条款履行自己的全部责任。在合同履行过程中，双方如有争议，同意由普信国际工程咨询有限公司协调解决，并按相关法规和有关文件规定处理。</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我方认可并遵守招标文件的所有规定，放弃对招标文件提出质疑的权利。</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如果我方被确定为中标供应商，我方愿意在见证合同时按招标文件的规定交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投标人（盖章）：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电话：                              传真：</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通讯地址：                          邮编：</w:t>
      </w:r>
      <w:r/>
    </w:p>
    <w:p>
      <w:pPr>
        <w:spacing w:line="360" w:lineRule="auto"/>
        <w:rPr>
          <w:rFonts w:hint="eastAsia" w:ascii="宋体" w:hAnsi="宋体"/>
          <w:bCs/>
          <w:color w:val="auto"/>
          <w:sz w:val="24"/>
          <w:highlight w:val="none"/>
        </w:rPr>
        <w:outlineLvl w:val="0"/>
      </w:pPr>
      <w:r>
        <w:rPr>
          <w:rFonts w:ascii="宋体" w:hAnsi="宋体"/>
          <w:color w:val="auto"/>
          <w:sz w:val="24"/>
          <w:highlight w:val="none"/>
        </w:rPr>
        <w:br w:type="page" w:clear="all"/>
      </w:r>
      <w:r>
        <w:rPr>
          <w:rFonts w:hint="eastAsia" w:ascii="宋体" w:hAnsi="宋体"/>
          <w:bCs/>
          <w:color w:val="auto"/>
          <w:sz w:val="24"/>
          <w:highlight w:val="none"/>
        </w:rPr>
        <w:t xml:space="preserve">附件2（投标人）关于资格的声明函（格式）：</w:t>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关于资格的声明函</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jc w:val="center"/>
        <w:spacing w:line="360" w:lineRule="auto"/>
        <w:tabs>
          <w:tab w:val="left" w:pos="6300" w:leader="none"/>
        </w:tabs>
        <w:rPr>
          <w:rFonts w:hint="eastAsia" w:ascii="宋体" w:hAnsi="宋体"/>
          <w:bCs/>
          <w:color w:val="auto"/>
          <w:sz w:val="24"/>
          <w:highlight w:val="none"/>
        </w:rPr>
      </w:pPr>
      <w:r>
        <w:rPr>
          <w:rFonts w:hint="eastAsia" w:ascii="宋体" w:hAnsi="宋体"/>
          <w:bCs/>
          <w:color w:val="auto"/>
          <w:sz w:val="24"/>
          <w:highlight w:val="none"/>
        </w:rPr>
        <w:t xml:space="preserve">            日期：</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
          <w:color w:val="auto"/>
          <w:sz w:val="24"/>
          <w:highlight w:val="none"/>
          <w:u w:val="single"/>
        </w:rPr>
        <w:t xml:space="preserve">（招标人）</w:t>
      </w:r>
      <w:r>
        <w:rPr>
          <w:rFonts w:hint="eastAsia" w:ascii="宋体" w:hAnsi="宋体"/>
          <w:bCs/>
          <w:color w:val="auto"/>
          <w:sz w:val="24"/>
          <w:highlight w:val="none"/>
        </w:rPr>
        <w:t xml:space="preserve">：</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我公司在参加政府采购活动前三年内在经营活动中没有重大违法记录。</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我公司（单位）愿针对本次项目进行投标，投标文件中所有关于投标资格的文件、证明、陈述均是真实的、准确的。若有违背，我公司（单位）           愿意承担由此而产生的一切后果。</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336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投标人（盖章）：</w:t>
      </w:r>
      <w:r/>
    </w:p>
    <w:p>
      <w:pPr>
        <w:ind w:firstLine="42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                           法定代表人（签字或盖章）：</w:t>
      </w:r>
      <w:r/>
    </w:p>
    <w:p>
      <w:pPr>
        <w:pStyle w:val="704"/>
        <w:spacing w:line="360" w:lineRule="auto"/>
        <w:rPr>
          <w:rFonts w:ascii="宋体" w:hAnsi="宋体" w:eastAsia="宋体"/>
          <w:color w:val="auto"/>
          <w:sz w:val="24"/>
          <w:szCs w:val="24"/>
          <w:highlight w:val="none"/>
        </w:rPr>
      </w:pPr>
      <w:r>
        <w:rPr>
          <w:rFonts w:hint="eastAsia" w:ascii="宋体" w:hAnsi="宋体" w:eastAsia="宋体"/>
          <w:color w:val="auto"/>
          <w:sz w:val="44"/>
          <w:szCs w:val="44"/>
          <w:highlight w:val="none"/>
        </w:rPr>
        <w:br w:type="page" w:clear="all"/>
      </w:r>
      <w:r>
        <w:rPr>
          <w:rFonts w:hint="eastAsia" w:ascii="宋体" w:hAnsi="宋体" w:eastAsia="宋体"/>
          <w:b w:val="0"/>
          <w:color w:val="auto"/>
          <w:sz w:val="24"/>
          <w:szCs w:val="24"/>
          <w:highlight w:val="none"/>
        </w:rPr>
        <w:t xml:space="preserve">（2）投标单位情况表</w:t>
      </w:r>
      <w:r/>
    </w:p>
    <w:p>
      <w:pPr>
        <w:pStyle w:val="716"/>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投标单位情况表</w:t>
      </w:r>
      <w:r/>
    </w:p>
    <w:p>
      <w:pPr>
        <w:pStyle w:val="716"/>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712"/>
        <w:tblW w:w="9268"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2005"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61"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gridSpan w:val="2"/>
            <w:tcW w:w="3292"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企业地址</w:t>
            </w:r>
            <w:r/>
          </w:p>
        </w:tc>
        <w:tc>
          <w:tcPr>
            <w:tcW w:w="2005"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61"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注册资本</w:t>
            </w:r>
            <w:r/>
          </w:p>
        </w:tc>
        <w:tc>
          <w:tcPr>
            <w:gridSpan w:val="2"/>
            <w:tcW w:w="3292" w:type="dxa"/>
            <w:vAlign w:val="top"/>
            <w:textDirection w:val="lrTb"/>
            <w:noWrap w:val="false"/>
          </w:tcPr>
          <w:p>
            <w:pPr>
              <w:pStyle w:val="716"/>
              <w:ind w:firstLine="21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万元</w:t>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职工人数</w:t>
            </w:r>
            <w:r/>
          </w:p>
        </w:tc>
        <w:tc>
          <w:tcPr>
            <w:tcW w:w="2005"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2"/>
            <w:tcW w:w="3517"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其中：有中高级以上职称的人数</w:t>
            </w:r>
            <w:r/>
          </w:p>
        </w:tc>
        <w:tc>
          <w:tcPr>
            <w:tcW w:w="1236"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资产总计</w:t>
            </w:r>
            <w:r/>
          </w:p>
        </w:tc>
        <w:tc>
          <w:tcPr>
            <w:tcW w:w="2005" w:type="dxa"/>
            <w:vAlign w:val="center"/>
            <w:textDirection w:val="lrTb"/>
            <w:noWrap w:val="false"/>
          </w:tcPr>
          <w:p>
            <w:pPr>
              <w:pStyle w:val="716"/>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461"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净资产</w:t>
            </w:r>
            <w:r/>
          </w:p>
        </w:tc>
        <w:tc>
          <w:tcPr>
            <w:gridSpan w:val="2"/>
            <w:tcW w:w="3292" w:type="dxa"/>
            <w:vAlign w:val="center"/>
            <w:textDirection w:val="lrTb"/>
            <w:noWrap w:val="false"/>
          </w:tcPr>
          <w:p>
            <w:pPr>
              <w:pStyle w:val="716"/>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510"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股东权益</w:t>
            </w:r>
            <w:r/>
          </w:p>
        </w:tc>
        <w:tc>
          <w:tcPr>
            <w:tcW w:w="2005" w:type="dxa"/>
            <w:vAlign w:val="center"/>
            <w:textDirection w:val="lrTb"/>
            <w:noWrap w:val="false"/>
          </w:tcPr>
          <w:p>
            <w:pPr>
              <w:pStyle w:val="716"/>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461"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销售收入</w:t>
            </w:r>
            <w:r/>
          </w:p>
        </w:tc>
        <w:tc>
          <w:tcPr>
            <w:gridSpan w:val="2"/>
            <w:tcW w:w="3292"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万元</w:t>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实现利润</w:t>
            </w:r>
            <w:r/>
          </w:p>
        </w:tc>
        <w:tc>
          <w:tcPr>
            <w:tcW w:w="2005"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万元</w:t>
            </w:r>
            <w:r/>
          </w:p>
        </w:tc>
        <w:tc>
          <w:tcPr>
            <w:tcW w:w="1461"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2"/>
            <w:tcW w:w="3292"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营业面积（含厂房面积）</w:t>
            </w:r>
            <w:r/>
          </w:p>
        </w:tc>
        <w:tc>
          <w:tcPr>
            <w:tcW w:w="2005"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平方米</w:t>
            </w:r>
            <w:r/>
          </w:p>
        </w:tc>
        <w:tc>
          <w:tcPr>
            <w:tcW w:w="1461"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其中：</w:t>
            </w:r>
            <w:r/>
          </w:p>
        </w:tc>
        <w:tc>
          <w:tcPr>
            <w:gridSpan w:val="2"/>
            <w:tcW w:w="3292"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自有面积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承租面积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近三年来完成或正在履行的重大合同情况</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近三年来受行业主管部门考核评价及业主评价意见</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最近3年内有无因违纪或是其他原因被投诉或起诉的情况及说明</w:t>
            </w:r>
            <w:r/>
          </w:p>
        </w:tc>
        <w:tc>
          <w:tcPr>
            <w:gridSpan w:val="4"/>
            <w:tcW w:w="6758" w:type="dxa"/>
            <w:vAlign w:val="top"/>
            <w:textDirection w:val="lrTb"/>
            <w:noWrap w:val="false"/>
          </w:tcPr>
          <w:p>
            <w:pPr>
              <w:pStyle w:val="716"/>
              <w:ind w:firstLine="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（包括解决方式和结果）</w:t>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年内主要负责人有无因经济犯罪被司法机关追究的情况及说明</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560"/>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pStyle w:val="726"/>
        <w:spacing w:line="360" w:lineRule="auto"/>
        <w:rPr>
          <w:rFonts w:hint="eastAsia"/>
          <w:color w:val="auto"/>
          <w:sz w:val="24"/>
          <w:szCs w:val="24"/>
          <w:highlight w:val="none"/>
        </w:rPr>
      </w:pPr>
      <w:r>
        <w:rPr>
          <w:rFonts w:hint="eastAsia"/>
          <w:color w:val="auto"/>
          <w:sz w:val="24"/>
          <w:szCs w:val="24"/>
          <w:highlight w:val="none"/>
        </w:rPr>
      </w:r>
      <w:r/>
    </w:p>
    <w:p>
      <w:pPr>
        <w:spacing w:line="360" w:lineRule="auto"/>
        <w:rPr>
          <w:rFonts w:hint="eastAsia" w:ascii="宋体" w:hAnsi="宋体"/>
          <w:color w:val="auto"/>
          <w:sz w:val="24"/>
          <w:highlight w:val="none"/>
        </w:rPr>
        <w:outlineLvl w:val="0"/>
      </w:pPr>
      <w:r>
        <w:rPr>
          <w:rFonts w:ascii="宋体" w:hAnsi="宋体"/>
          <w:bCs/>
          <w:color w:val="auto"/>
          <w:sz w:val="24"/>
          <w:highlight w:val="none"/>
        </w:rPr>
        <w:br w:type="page" w:clear="all"/>
      </w:r>
      <w:r>
        <w:rPr>
          <w:rFonts w:hint="eastAsia" w:ascii="宋体" w:hAnsi="宋体"/>
          <w:bCs/>
          <w:color w:val="auto"/>
          <w:sz w:val="24"/>
          <w:highlight w:val="none"/>
        </w:rPr>
        <w:t xml:space="preserve">附件3法定代表人授权委托书（格式）</w:t>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法定代表人授权委托书</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日期：</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
          <w:color w:val="auto"/>
          <w:sz w:val="24"/>
          <w:highlight w:val="none"/>
          <w:u w:val="single"/>
        </w:rPr>
        <w:t xml:space="preserve">（招标人）</w:t>
      </w:r>
      <w:r>
        <w:rPr>
          <w:rFonts w:hint="eastAsia" w:ascii="宋体" w:hAnsi="宋体"/>
          <w:bCs/>
          <w:color w:val="auto"/>
          <w:sz w:val="24"/>
          <w:highlight w:val="none"/>
        </w:rPr>
        <w:t xml:space="preserve">：</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系中华人民共和国合法企业，特授权       代表我公司（单位）全权办理针对本项目的投标，参与评审、签约等具体工作，并签署全部有关的文件、协议及合同。</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被授权人签名：                单位名称（盖章）：</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2981325</wp:posOffset>
                </wp:positionH>
                <wp:positionV relativeFrom="paragraph">
                  <wp:posOffset>198120</wp:posOffset>
                </wp:positionV>
                <wp:extent cx="2867025" cy="1584960"/>
                <wp:effectExtent l="4445" t="4445" r="8890" b="10795"/>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授权代表身份证复印件</w:t>
                            </w:r>
                            <w:r/>
                          </w:p>
                        </w:txbxContent>
                      </wps:txbx>
                      <wps:bodyPr wrap="square" upright="1"/>
                    </wps:wsp>
                  </a:graphicData>
                </a:graphic>
              </wp:anchor>
            </w:drawing>
          </mc:Choice>
          <mc:Fallback>
            <w:pict>
              <v:shape id="shape 1" o:spid="_x0000_s1" o:spt="202" type="#_x0000_t202" style="position:absolute;z-index:251661312;o:allowoverlap:true;o:allowincell:true;mso-position-horizontal-relative:text;margin-left:234.8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授权代表身份证复印件</w:t>
                      </w:r>
                      <w:r/>
                    </w:p>
                  </w:txbxContent>
                </v:textbox>
              </v:shape>
            </w:pict>
          </mc:Fallback>
        </mc:AlternateContent>
      </w: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66675</wp:posOffset>
                </wp:positionH>
                <wp:positionV relativeFrom="paragraph">
                  <wp:posOffset>198120</wp:posOffset>
                </wp:positionV>
                <wp:extent cx="2867025" cy="1584960"/>
                <wp:effectExtent l="4445" t="4445" r="8890" b="10795"/>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法定代表人身份证复印件</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5.2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法定代表人身份证复印件</w:t>
                      </w:r>
                      <w:r/>
                    </w:p>
                  </w:txbxContent>
                </v:textbox>
              </v:shape>
            </w:pict>
          </mc:Fallback>
        </mc:AlternateConten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olor w:val="auto"/>
          <w:sz w:val="24"/>
          <w:highlight w:val="none"/>
        </w:rPr>
        <w:outlineLvl w:val="0"/>
      </w:pPr>
      <w:r>
        <w:rPr>
          <w:rFonts w:ascii="宋体" w:hAnsi="宋体"/>
          <w:bCs/>
          <w:color w:val="auto"/>
          <w:sz w:val="24"/>
          <w:highlight w:val="none"/>
        </w:rPr>
        <w:br w:type="page" w:clear="all"/>
      </w:r>
      <w:r>
        <w:rPr>
          <w:rFonts w:hint="eastAsia" w:ascii="宋体" w:hAnsi="宋体"/>
          <w:bCs/>
          <w:color w:val="auto"/>
          <w:sz w:val="24"/>
          <w:highlight w:val="none"/>
        </w:rPr>
        <w:t xml:space="preserve">附件4  承诺书（格式）</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承诺书一（格式）</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（投标人名称）在此承诺：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1. 本公司（单位）</w:t>
      </w:r>
      <w:r>
        <w:rPr>
          <w:rFonts w:hint="eastAsia" w:ascii="宋体" w:hAnsi="宋体" w:cs="宋体"/>
          <w:bCs/>
          <w:color w:val="auto"/>
          <w:sz w:val="24"/>
          <w:highlight w:val="none"/>
        </w:rPr>
        <w:t xml:space="preserve">对本项目（项目编号：      ）所提供的货物均为原厂全新合格品，提供的服务符合采购文件要求；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color w:val="auto"/>
          <w:sz w:val="24"/>
          <w:highlight w:val="none"/>
        </w:rPr>
        <w:t xml:space="preserve">本公司（单位）</w:t>
      </w:r>
      <w:r>
        <w:rPr>
          <w:rFonts w:hint="eastAsia" w:ascii="宋体" w:hAnsi="宋体" w:cs="宋体"/>
          <w:bCs/>
          <w:color w:val="auto"/>
          <w:sz w:val="24"/>
          <w:highlight w:val="none"/>
        </w:rPr>
        <w:t xml:space="preserve">具备履行合同所必需的设备和专业技术能力；</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3. </w:t>
      </w:r>
      <w:r>
        <w:rPr>
          <w:rFonts w:hint="eastAsia" w:ascii="宋体" w:hAnsi="宋体" w:cs="宋体"/>
          <w:color w:val="auto"/>
          <w:sz w:val="24"/>
          <w:highlight w:val="none"/>
        </w:rPr>
        <w:t xml:space="preserve">本公司未被“</w:t>
      </w:r>
      <w:r>
        <w:rPr>
          <w:rFonts w:hint="eastAsia" w:ascii="宋体" w:hAnsi="宋体" w:cs="宋体"/>
          <w:bCs/>
          <w:color w:val="auto"/>
          <w:sz w:val="24"/>
          <w:highlight w:val="none"/>
        </w:rPr>
        <w:t xml:space="preserve">信用中国</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网站（</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"http://www.creditchina.gov.cn" </w:instrText>
      </w:r>
      <w:r>
        <w:rPr>
          <w:rFonts w:hint="eastAsia" w:ascii="宋体" w:hAnsi="宋体" w:cs="宋体"/>
          <w:color w:val="auto"/>
          <w:sz w:val="24"/>
          <w:highlight w:val="none"/>
        </w:rPr>
        <w:fldChar w:fldCharType="separate"/>
      </w:r>
      <w:r>
        <w:rPr>
          <w:rStyle w:val="775"/>
          <w:rFonts w:hint="eastAsia" w:ascii="宋体" w:hAnsi="宋体" w:cs="宋体"/>
          <w:bCs/>
          <w:color w:val="auto"/>
          <w:sz w:val="24"/>
          <w:highlight w:val="none"/>
        </w:rPr>
        <w:t xml:space="preserve">www.creditchina.gov.cn</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中国政府采购网(www.ccgp.gov.cn)列入失信被执行人、重大税收违法案件当事人名单、政府采购严重违法失信行为记录名单。</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4.近五年</w:t>
      </w:r>
      <w:r>
        <w:rPr>
          <w:rFonts w:hint="eastAsia" w:ascii="宋体" w:hAnsi="宋体" w:cs="宋体"/>
          <w:b/>
          <w:bCs/>
          <w:color w:val="auto"/>
          <w:sz w:val="24"/>
          <w:highlight w:val="none"/>
        </w:rPr>
        <w:t xml:space="preserve">本公司</w:t>
      </w:r>
      <w:r>
        <w:rPr>
          <w:rFonts w:hint="eastAsia" w:ascii="宋体" w:hAnsi="宋体" w:eastAsia="宋体" w:cs="宋体"/>
          <w:b/>
          <w:bCs/>
          <w:color w:val="auto"/>
          <w:sz w:val="24"/>
          <w:highlight w:val="none"/>
        </w:rPr>
        <w:t xml:space="preserve">及员工不存在涉及环境监测数据弄虚作假行为被主管部门约谈或主管部门调查的情况，不存在提供虚假材料谋取中标的情况。</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如违背上述承诺，本公司</w:t>
      </w:r>
      <w:r>
        <w:rPr>
          <w:rFonts w:hint="eastAsia" w:ascii="宋体" w:hAnsi="宋体" w:cs="宋体"/>
          <w:color w:val="auto"/>
          <w:sz w:val="24"/>
          <w:highlight w:val="none"/>
        </w:rPr>
        <w:t xml:space="preserve">（单位）</w:t>
      </w:r>
      <w:r>
        <w:rPr>
          <w:rFonts w:hint="eastAsia" w:ascii="宋体" w:hAnsi="宋体" w:cs="宋体"/>
          <w:bCs/>
          <w:color w:val="auto"/>
          <w:sz w:val="24"/>
          <w:highlight w:val="none"/>
        </w:rPr>
        <w:t xml:space="preserve">将承担一切法律责任。</w:t>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516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供应商：（公章）</w:t>
      </w:r>
      <w:r/>
    </w:p>
    <w:p>
      <w:pPr>
        <w:ind w:firstLine="480"/>
        <w:jc w:val="right"/>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   （签字和盖章）          </w:t>
      </w:r>
      <w:r/>
    </w:p>
    <w:p>
      <w:pPr>
        <w:jc w:val="left"/>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                                              年    月    日</w:t>
      </w:r>
      <w:r/>
    </w:p>
    <w:p>
      <w:pPr>
        <w:jc w:val="left"/>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br w:type="page" w:clear="all"/>
      </w:r>
      <w:r>
        <w:rPr>
          <w:rFonts w:hint="eastAsia" w:ascii="宋体" w:hAnsi="宋体"/>
          <w:bCs/>
          <w:color w:val="auto"/>
          <w:sz w:val="24"/>
          <w:highlight w:val="none"/>
        </w:rPr>
        <w:t xml:space="preserve">附件5中小企业声明函（格式）：</w:t>
      </w:r>
      <w:r/>
    </w:p>
    <w:p>
      <w:pPr>
        <w:pStyle w:val="726"/>
        <w:jc w:val="center"/>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中小企业声明函</w:t>
      </w:r>
      <w:r/>
    </w:p>
    <w:p>
      <w:pPr>
        <w:ind w:firstLine="480"/>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本公司（联合体）郑重声明，根据《政府采购促进中小企业发展管理办法》（财库﹝2020﹞46 号）的规定，本公司（联合体）参加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采购活动，提供的货物全部由符合政策要求的中小企业制造。相关企业（含联合体中的中小企业、签订分包意向协议的中小企业） 的具体情况如下：</w:t>
      </w:r>
      <w:r/>
    </w:p>
    <w:p>
      <w:pPr>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 1.</w:t>
      </w:r>
      <w:r>
        <w:rPr>
          <w:rFonts w:hint="eastAsia" w:ascii="宋体" w:hAnsi="宋体" w:cs="宋体"/>
          <w:bCs/>
          <w:color w:val="auto"/>
          <w:sz w:val="24"/>
          <w:highlight w:val="none"/>
          <w:u w:val="single"/>
        </w:rPr>
        <w:t xml:space="preserve">（ 标 的 名 称 ）</w:t>
      </w:r>
      <w:r>
        <w:rPr>
          <w:rFonts w:hint="eastAsia" w:ascii="宋体" w:hAnsi="宋体" w:cs="宋体"/>
          <w:bCs/>
          <w:color w:val="auto"/>
          <w:sz w:val="24"/>
          <w:highlight w:val="none"/>
        </w:rPr>
        <w:t xml:space="preserve"> ， 属 于 </w:t>
      </w:r>
      <w:r>
        <w:rPr>
          <w:rFonts w:hint="eastAsia" w:ascii="宋体" w:hAnsi="宋体" w:cs="宋体"/>
          <w:bCs/>
          <w:color w:val="auto"/>
          <w:sz w:val="24"/>
          <w:highlight w:val="none"/>
          <w:u w:val="single"/>
        </w:rPr>
        <w:t xml:space="preserve">（ 采 购 文 件 中 明 确 的 所 属 行 业 ） </w:t>
      </w:r>
      <w:r>
        <w:rPr>
          <w:rFonts w:hint="eastAsia" w:ascii="宋体" w:hAnsi="宋体" w:cs="宋体"/>
          <w:bCs/>
          <w:color w:val="auto"/>
          <w:sz w:val="24"/>
          <w:highlight w:val="none"/>
        </w:rPr>
        <w:t xml:space="preserve">行业；制造商为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万元，属于（中型企业、小型企业、微型企业）；</w:t>
      </w:r>
      <w:r/>
    </w:p>
    <w:p>
      <w:pPr>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 2.</w:t>
      </w:r>
      <w:r>
        <w:rPr>
          <w:rFonts w:hint="eastAsia" w:ascii="宋体" w:hAnsi="宋体" w:cs="宋体"/>
          <w:bCs/>
          <w:color w:val="auto"/>
          <w:sz w:val="24"/>
          <w:highlight w:val="none"/>
          <w:u w:val="single"/>
        </w:rPr>
        <w:t xml:space="preserve">（ 标 的 名 称 ）</w:t>
      </w:r>
      <w:r>
        <w:rPr>
          <w:rFonts w:hint="eastAsia" w:ascii="宋体" w:hAnsi="宋体" w:cs="宋体"/>
          <w:bCs/>
          <w:color w:val="auto"/>
          <w:sz w:val="24"/>
          <w:highlight w:val="none"/>
        </w:rPr>
        <w:t xml:space="preserve"> ， 属 于 </w:t>
      </w:r>
      <w:r>
        <w:rPr>
          <w:rFonts w:hint="eastAsia" w:ascii="宋体" w:hAnsi="宋体" w:cs="宋体"/>
          <w:bCs/>
          <w:color w:val="auto"/>
          <w:sz w:val="24"/>
          <w:highlight w:val="none"/>
          <w:u w:val="single"/>
        </w:rPr>
        <w:t xml:space="preserve">（ 采 购 文 件 中 明 确 的 所 属 行 业 ） </w:t>
      </w:r>
      <w:r>
        <w:rPr>
          <w:rFonts w:hint="eastAsia" w:ascii="宋体" w:hAnsi="宋体" w:cs="宋体"/>
          <w:bCs/>
          <w:color w:val="auto"/>
          <w:sz w:val="24"/>
          <w:highlight w:val="none"/>
        </w:rPr>
        <w:t xml:space="preserve">行业；制造商为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万元，属于（中型企业、小型企业、微型企业）；</w:t>
      </w:r>
      <w:r/>
    </w:p>
    <w:p>
      <w:pPr>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w:t>
      </w:r>
      <w:r/>
    </w:p>
    <w:p>
      <w:pPr>
        <w:ind w:firstLine="720"/>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w:t>
      </w:r>
      <w:r/>
    </w:p>
    <w:p>
      <w:pPr>
        <w:ind w:firstLine="720"/>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本企业对上述声明内容的真实性负责。如有虚假，将依法承担相应责任。</w:t>
      </w:r>
      <w:r/>
    </w:p>
    <w:p>
      <w:pPr>
        <w:pStyle w:val="726"/>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26"/>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26"/>
        <w:spacing w:line="360" w:lineRule="auto"/>
        <w:rPr>
          <w:rFonts w:hint="eastAsia" w:ascii="宋体" w:hAnsi="Arial" w:eastAsia="宋体"/>
          <w:color w:val="auto"/>
          <w:sz w:val="24"/>
          <w:szCs w:val="24"/>
          <w:highlight w:val="none"/>
        </w:rPr>
      </w:pPr>
      <w:r>
        <w:rPr>
          <w:rFonts w:hint="eastAsia" w:ascii="宋体" w:hAnsi="Arial" w:eastAsia="宋体"/>
          <w:color w:val="auto"/>
          <w:sz w:val="24"/>
          <w:szCs w:val="24"/>
          <w:highlight w:val="none"/>
        </w:rPr>
        <w:t xml:space="preserve">注：1.从业人员、营业收入、资产总额填报上一年度数据，无上一年度数据的新成立企业可不填报。</w:t>
      </w:r>
      <w:r/>
    </w:p>
    <w:p>
      <w:pPr>
        <w:pStyle w:val="726"/>
        <w:ind w:left="357"/>
        <w:spacing w:line="360" w:lineRule="auto"/>
        <w:rPr>
          <w:rFonts w:ascii="宋体" w:hAnsi="Arial" w:eastAsia="宋体"/>
          <w:color w:val="auto"/>
          <w:sz w:val="24"/>
          <w:szCs w:val="24"/>
          <w:highlight w:val="none"/>
        </w:rPr>
      </w:pPr>
      <w:r>
        <w:rPr>
          <w:rFonts w:hint="eastAsia" w:ascii="宋体" w:hAnsi="Arial" w:eastAsia="宋体"/>
          <w:color w:val="auto"/>
          <w:sz w:val="24"/>
          <w:szCs w:val="24"/>
          <w:highlight w:val="none"/>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企业名称（盖章）：</w:t>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日　　　　　期：</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hAnsi="宋体"/>
          <w:bCs/>
          <w:color w:val="auto"/>
          <w:sz w:val="24"/>
          <w:highlight w:val="none"/>
        </w:rPr>
        <w:outlineLvl w:val="0"/>
      </w:pPr>
      <w:r>
        <w:rPr>
          <w:rFonts w:hint="eastAsia" w:ascii="Calibri" w:hAnsi="宋体"/>
          <w:bCs/>
          <w:color w:val="auto"/>
          <w:sz w:val="24"/>
          <w:highlight w:val="none"/>
        </w:rPr>
        <w:br w:type="page" w:clear="all"/>
      </w:r>
      <w:r>
        <w:rPr>
          <w:rFonts w:hint="eastAsia" w:ascii="Calibri" w:hAnsi="宋体"/>
          <w:bCs/>
          <w:color w:val="auto"/>
          <w:sz w:val="24"/>
          <w:highlight w:val="none"/>
        </w:rPr>
        <w:t xml:space="preserve">附件6 </w:t>
      </w:r>
      <w:r>
        <w:rPr>
          <w:rFonts w:hint="eastAsia" w:hAnsi="宋体"/>
          <w:bCs/>
          <w:color w:val="auto"/>
          <w:sz w:val="24"/>
          <w:highlight w:val="none"/>
        </w:rPr>
        <w:t xml:space="preserve">残疾人福利性单位声明函（格式）</w:t>
      </w:r>
      <w:r/>
    </w:p>
    <w:p>
      <w:pPr>
        <w:ind w:firstLine="360"/>
        <w:jc w:val="center"/>
        <w:spacing w:line="360" w:lineRule="auto"/>
        <w:rPr>
          <w:rFonts w:hint="eastAsia" w:hAnsi="宋体"/>
          <w:bCs/>
          <w:color w:val="auto"/>
          <w:sz w:val="24"/>
          <w:highlight w:val="none"/>
        </w:rPr>
        <w:outlineLvl w:val="0"/>
      </w:pPr>
      <w:r>
        <w:rPr>
          <w:rFonts w:hint="eastAsia" w:hAnsi="宋体"/>
          <w:bCs/>
          <w:color w:val="auto"/>
          <w:sz w:val="24"/>
          <w:highlight w:val="none"/>
        </w:rPr>
        <w:t xml:space="preserve">残疾人福利性单位声明函</w:t>
      </w:r>
      <w:r/>
    </w:p>
    <w:p>
      <w:pPr>
        <w:ind w:firstLine="600"/>
        <w:spacing w:line="360" w:lineRule="auto"/>
        <w:rPr>
          <w:rFonts w:hint="eastAsia" w:hAnsi="宋体" w:cs="宋体"/>
          <w:bCs/>
          <w:color w:val="auto"/>
          <w:sz w:val="24"/>
          <w:highlight w:val="none"/>
          <w:u w:val="single"/>
        </w:rPr>
        <w:outlineLvl w:val="0"/>
      </w:pPr>
      <w:r>
        <w:rPr>
          <w:rFonts w:hint="eastAsia" w:hAnsi="宋体"/>
          <w:bCs/>
          <w:color w:val="auto"/>
          <w:sz w:val="24"/>
          <w:highlight w:val="none"/>
        </w:rPr>
        <w:t xml:space="preserve">本公司郑重承诺，根据</w:t>
      </w:r>
      <w:r>
        <w:rPr>
          <w:rFonts w:hint="eastAsia" w:ascii="宋体" w:hAnsi="宋体" w:cs="宋体"/>
          <w:bCs/>
          <w:color w:val="auto"/>
          <w:sz w:val="24"/>
          <w:highlight w:val="none"/>
        </w:rPr>
        <w:t xml:space="preserve">《</w:t>
      </w:r>
      <w:r>
        <w:rPr>
          <w:rFonts w:hint="eastAsia" w:hAnsi="宋体" w:cs="宋体"/>
          <w:color w:val="auto"/>
          <w:sz w:val="24"/>
          <w:highlight w:val="none"/>
        </w:rPr>
        <w:t xml:space="preserve">财政部司法部中国残疾人联合会关于促进残疾人就业政府采购政策的通知</w:t>
      </w:r>
      <w:r>
        <w:rPr>
          <w:rFonts w:hint="eastAsia" w:ascii="宋体" w:hAnsi="宋体" w:cs="宋体"/>
          <w:color w:val="auto"/>
          <w:sz w:val="24"/>
          <w:highlight w:val="none"/>
        </w:rPr>
        <w:t xml:space="preserve">》</w:t>
      </w:r>
      <w:r>
        <w:rPr>
          <w:rFonts w:hint="eastAsia" w:hAnsi="宋体" w:cs="宋体"/>
          <w:color w:val="auto"/>
          <w:sz w:val="24"/>
          <w:highlight w:val="none"/>
        </w:rPr>
        <w:t xml:space="preserve">（财库</w:t>
      </w:r>
      <w:r>
        <w:rPr>
          <w:rFonts w:hint="eastAsia" w:hAnsi="宋体" w:cs="宋体"/>
          <w:color w:val="auto"/>
          <w:sz w:val="24"/>
          <w:highlight w:val="none"/>
          <w:lang w:eastAsia="zh-CN"/>
        </w:rPr>
        <w:t xml:space="preserve">〔2017〕141号</w:t>
      </w:r>
      <w:r>
        <w:rPr>
          <w:rFonts w:hint="eastAsia" w:hAnsi="宋体" w:cs="宋体"/>
          <w:color w:val="auto"/>
          <w:sz w:val="24"/>
          <w:highlight w:val="none"/>
        </w:rPr>
        <w:t xml:space="preserve">）</w:t>
      </w:r>
      <w:r>
        <w:rPr>
          <w:rFonts w:hint="eastAsia" w:hAnsi="宋体" w:cs="宋体"/>
          <w:bCs/>
          <w:color w:val="auto"/>
          <w:sz w:val="24"/>
          <w:highlight w:val="none"/>
        </w:rPr>
        <w:t xml:space="preserve">的规定，本单位为符合条件的残疾人福利性单位，且本单位参加</w:t>
      </w:r>
      <w:r>
        <w:rPr>
          <w:rFonts w:hint="eastAsia" w:hAnsi="宋体" w:cs="宋体"/>
          <w:bCs/>
          <w:color w:val="auto"/>
          <w:sz w:val="24"/>
          <w:highlight w:val="none"/>
          <w:u w:val="single"/>
        </w:rPr>
        <w:t xml:space="preserve">                </w:t>
      </w:r>
      <w:r>
        <w:rPr>
          <w:rFonts w:hint="eastAsia" w:hAnsi="宋体" w:cs="宋体"/>
          <w:bCs/>
          <w:color w:val="auto"/>
          <w:sz w:val="24"/>
          <w:highlight w:val="none"/>
        </w:rPr>
        <w:t xml:space="preserve"> 单位的 </w:t>
      </w:r>
      <w:r>
        <w:rPr>
          <w:rFonts w:hint="eastAsia" w:hAnsi="宋体" w:cs="宋体"/>
          <w:bCs/>
          <w:color w:val="auto"/>
          <w:sz w:val="24"/>
          <w:highlight w:val="none"/>
          <w:u w:val="single"/>
        </w:rPr>
        <w:t xml:space="preserve">          </w:t>
      </w:r>
      <w:r>
        <w:rPr>
          <w:rFonts w:hint="eastAsia" w:hAnsi="宋体" w:cs="宋体"/>
          <w:bCs/>
          <w:color w:val="auto"/>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ind w:firstLine="360"/>
        <w:jc w:val="left"/>
        <w:spacing w:line="360" w:lineRule="auto"/>
        <w:rPr>
          <w:rFonts w:hint="eastAsia" w:hAnsi="宋体"/>
          <w:bCs/>
          <w:color w:val="auto"/>
          <w:sz w:val="24"/>
          <w:highlight w:val="none"/>
        </w:rPr>
        <w:outlineLvl w:val="0"/>
      </w:pPr>
      <w:r>
        <w:rPr>
          <w:rFonts w:hint="eastAsia" w:hAnsi="宋体"/>
          <w:bCs/>
          <w:color w:val="auto"/>
          <w:sz w:val="24"/>
          <w:highlight w:val="none"/>
        </w:rPr>
      </w:r>
      <w:r/>
    </w:p>
    <w:p>
      <w:pPr>
        <w:ind w:firstLine="720"/>
        <w:spacing w:line="360" w:lineRule="auto"/>
        <w:rPr>
          <w:rFonts w:hint="eastAsia" w:hAnsi="宋体" w:cs="宋体"/>
          <w:bCs/>
          <w:color w:val="auto"/>
          <w:sz w:val="24"/>
          <w:highlight w:val="none"/>
        </w:rPr>
        <w:outlineLvl w:val="0"/>
      </w:pPr>
      <w:r>
        <w:rPr>
          <w:rFonts w:hint="eastAsia" w:hAnsi="宋体" w:cs="宋体"/>
          <w:bCs/>
          <w:color w:val="auto"/>
          <w:sz w:val="24"/>
          <w:highlight w:val="none"/>
        </w:rPr>
        <w:t xml:space="preserve">本公司对上述声明的真实性负责。如有虚假，将依法承担相应责任。</w:t>
      </w:r>
      <w:r/>
    </w:p>
    <w:p>
      <w:pPr>
        <w:ind w:firstLine="360"/>
        <w:jc w:val="center"/>
        <w:spacing w:line="360" w:lineRule="auto"/>
        <w:rPr>
          <w:rFonts w:hAnsi="宋体"/>
          <w:bCs/>
          <w:color w:val="auto"/>
          <w:sz w:val="24"/>
          <w:highlight w:val="none"/>
        </w:rPr>
        <w:outlineLvl w:val="0"/>
      </w:pPr>
      <w:r>
        <w:rPr>
          <w:rFonts w:hAnsi="宋体"/>
          <w:bCs/>
          <w:color w:val="auto"/>
          <w:sz w:val="24"/>
          <w:highlight w:val="none"/>
        </w:rPr>
      </w:r>
      <w:r/>
    </w:p>
    <w:p>
      <w:pPr>
        <w:ind w:firstLine="4800"/>
        <w:spacing w:line="360" w:lineRule="auto"/>
        <w:tabs>
          <w:tab w:val="left" w:pos="4116" w:leader="none"/>
        </w:tabs>
        <w:rPr>
          <w:rFonts w:hint="eastAsia" w:hAnsi="宋体"/>
          <w:bCs/>
          <w:color w:val="auto"/>
          <w:sz w:val="24"/>
          <w:highlight w:val="none"/>
        </w:rPr>
      </w:pPr>
      <w:r>
        <w:rPr>
          <w:rFonts w:hint="eastAsia" w:hAnsi="宋体"/>
          <w:bCs/>
          <w:color w:val="auto"/>
          <w:sz w:val="24"/>
          <w:highlight w:val="none"/>
        </w:rPr>
        <w:tab/>
      </w:r>
      <w:r/>
    </w:p>
    <w:p>
      <w:pPr>
        <w:ind w:firstLine="4800"/>
        <w:spacing w:line="360" w:lineRule="auto"/>
        <w:tabs>
          <w:tab w:val="left" w:pos="4116" w:leader="none"/>
        </w:tabs>
        <w:rPr>
          <w:rFonts w:hint="eastAsia" w:hAnsi="宋体"/>
          <w:bCs/>
          <w:color w:val="auto"/>
          <w:sz w:val="24"/>
          <w:highlight w:val="none"/>
        </w:rPr>
      </w:pPr>
      <w:r>
        <w:rPr>
          <w:rFonts w:hint="eastAsia" w:hAnsi="宋体"/>
          <w:bCs/>
          <w:color w:val="auto"/>
          <w:sz w:val="24"/>
          <w:highlight w:val="none"/>
        </w:rPr>
      </w:r>
      <w:r/>
    </w:p>
    <w:p>
      <w:pPr>
        <w:ind w:firstLine="6000"/>
        <w:spacing w:line="360" w:lineRule="auto"/>
        <w:tabs>
          <w:tab w:val="left" w:pos="4116" w:leader="none"/>
        </w:tabs>
        <w:rPr>
          <w:rFonts w:hAnsi="宋体"/>
          <w:bCs/>
          <w:color w:val="auto"/>
          <w:sz w:val="24"/>
          <w:highlight w:val="none"/>
        </w:rPr>
      </w:pPr>
      <w:r>
        <w:rPr>
          <w:rFonts w:hint="eastAsia" w:hAnsi="宋体"/>
          <w:bCs/>
          <w:color w:val="auto"/>
          <w:sz w:val="24"/>
          <w:highlight w:val="none"/>
        </w:rPr>
        <w:t xml:space="preserve">企业名称（盖章）：</w:t>
      </w:r>
      <w:r/>
    </w:p>
    <w:p>
      <w:pPr>
        <w:ind w:firstLine="4800"/>
        <w:spacing w:line="360" w:lineRule="auto"/>
        <w:rPr>
          <w:rFonts w:hAnsi="宋体"/>
          <w:bCs/>
          <w:color w:val="auto"/>
          <w:sz w:val="24"/>
          <w:highlight w:val="none"/>
        </w:rPr>
      </w:pPr>
      <w:r>
        <w:rPr>
          <w:rFonts w:hAnsi="宋体"/>
          <w:bCs/>
          <w:color w:val="auto"/>
          <w:sz w:val="24"/>
          <w:highlight w:val="none"/>
        </w:rPr>
      </w:r>
      <w:r/>
    </w:p>
    <w:p>
      <w:pPr>
        <w:ind w:firstLine="6000"/>
        <w:spacing w:line="360" w:lineRule="auto"/>
        <w:rPr>
          <w:rFonts w:hint="eastAsia" w:hAnsi="宋体"/>
          <w:bCs/>
          <w:color w:val="auto"/>
          <w:sz w:val="24"/>
          <w:highlight w:val="none"/>
        </w:rPr>
      </w:pPr>
      <w:r>
        <w:rPr>
          <w:rFonts w:hint="eastAsia" w:hAnsi="宋体"/>
          <w:bCs/>
          <w:color w:val="auto"/>
          <w:sz w:val="24"/>
          <w:highlight w:val="none"/>
        </w:rPr>
        <w:t xml:space="preserve">日　　　　　　期：</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hAnsi="宋体"/>
          <w:bCs/>
          <w:color w:val="auto"/>
          <w:sz w:val="24"/>
          <w:highlight w:val="none"/>
        </w:rPr>
        <w:outlineLvl w:val="0"/>
      </w:pPr>
      <w:r>
        <w:rPr>
          <w:rFonts w:hint="eastAsia"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ascii="宋体" w:hAnsi="宋体"/>
          <w:bCs/>
          <w:color w:val="auto"/>
          <w:sz w:val="24"/>
          <w:highlight w:val="none"/>
        </w:rPr>
        <w:br w:type="page" w:clear="all"/>
      </w:r>
      <w:r>
        <w:rPr>
          <w:rFonts w:hint="eastAsia" w:ascii="宋体" w:hAnsi="宋体"/>
          <w:bCs/>
          <w:color w:val="auto"/>
          <w:sz w:val="24"/>
          <w:highlight w:val="none"/>
        </w:rPr>
        <w:t xml:space="preserve">附件7开标一览表（格式）： </w:t>
      </w:r>
      <w:r/>
    </w:p>
    <w:p>
      <w:pPr>
        <w:jc w:val="center"/>
        <w:spacing w:line="360" w:lineRule="auto"/>
        <w:rPr>
          <w:rFonts w:hint="eastAsia" w:ascii="黑体" w:eastAsia="黑体"/>
          <w:bCs/>
          <w:color w:val="auto"/>
          <w:sz w:val="24"/>
          <w:highlight w:val="none"/>
        </w:rPr>
        <w:outlineLvl w:val="0"/>
      </w:pPr>
      <w:r>
        <w:rPr>
          <w:rFonts w:hint="eastAsia" w:ascii="黑体" w:eastAsia="黑体"/>
          <w:bCs/>
          <w:color w:val="auto"/>
          <w:sz w:val="24"/>
          <w:highlight w:val="none"/>
        </w:rPr>
        <w:t xml:space="preserve">开标一览表 </w:t>
      </w:r>
      <w:r/>
    </w:p>
    <w:p>
      <w:pPr>
        <w:spacing w:line="360" w:lineRule="auto"/>
        <w:rPr>
          <w:rFonts w:hint="eastAsia" w:ascii="黑体" w:eastAsia="黑体"/>
          <w:bCs/>
          <w:color w:val="auto"/>
          <w:sz w:val="24"/>
          <w:highlight w:val="none"/>
        </w:rPr>
      </w:pPr>
      <w:r>
        <w:rPr>
          <w:rFonts w:hint="eastAsia" w:ascii="黑体" w:eastAsia="黑体"/>
          <w:bCs/>
          <w:color w:val="auto"/>
          <w:sz w:val="24"/>
          <w:highlight w:val="none"/>
        </w:rPr>
      </w:r>
      <w:r/>
    </w:p>
    <w:p>
      <w:pPr>
        <w:spacing w:line="360" w:lineRule="auto"/>
        <w:rPr>
          <w:rFonts w:ascii="宋体" w:hAnsi="宋体"/>
          <w:color w:val="auto"/>
          <w:sz w:val="24"/>
          <w:highlight w:val="none"/>
          <w:u w:val="single"/>
        </w:rPr>
      </w:pPr>
      <w:r>
        <w:rPr>
          <w:rFonts w:hint="eastAsia" w:ascii="宋体" w:hAnsi="宋体"/>
          <w:color w:val="auto"/>
          <w:sz w:val="24"/>
          <w:highlight w:val="none"/>
        </w:rPr>
        <w:t xml:space="preserve">招标项目名称：</w:t>
      </w:r>
      <w:r>
        <w:rPr>
          <w:rFonts w:ascii="宋体" w:hAnsi="宋体"/>
          <w:color w:val="auto"/>
          <w:sz w:val="24"/>
          <w:highlight w:val="none"/>
          <w:u w:val="single"/>
        </w:rPr>
        <w:t xml:space="preserve">___________________</w:t>
      </w:r>
      <w:r>
        <w:rPr>
          <w:rFonts w:ascii="宋体" w:hAnsi="宋体"/>
          <w:color w:val="auto"/>
          <w:sz w:val="24"/>
          <w:highlight w:val="none"/>
        </w:rPr>
        <w:t xml:space="preserve">         </w:t>
      </w:r>
      <w:r>
        <w:rPr>
          <w:rFonts w:hint="eastAsia" w:ascii="宋体" w:hAnsi="宋体"/>
          <w:color w:val="auto"/>
          <w:sz w:val="24"/>
          <w:highlight w:val="none"/>
        </w:rPr>
        <w:t xml:space="preserve">招</w:t>
      </w:r>
      <w:r>
        <w:rPr>
          <w:rFonts w:ascii="宋体" w:hAnsi="宋体"/>
          <w:color w:val="auto"/>
          <w:sz w:val="24"/>
          <w:highlight w:val="none"/>
        </w:rPr>
        <w:t xml:space="preserve"> </w:t>
      </w:r>
      <w:r>
        <w:rPr>
          <w:rFonts w:hint="eastAsia" w:ascii="宋体" w:hAnsi="宋体"/>
          <w:color w:val="auto"/>
          <w:sz w:val="24"/>
          <w:highlight w:val="none"/>
        </w:rPr>
        <w:t xml:space="preserve">标</w:t>
      </w:r>
      <w:r>
        <w:rPr>
          <w:rFonts w:ascii="宋体" w:hAnsi="宋体"/>
          <w:color w:val="auto"/>
          <w:sz w:val="24"/>
          <w:highlight w:val="none"/>
        </w:rPr>
        <w:t xml:space="preserve"> </w:t>
      </w:r>
      <w:r>
        <w:rPr>
          <w:rFonts w:hint="eastAsia" w:ascii="宋体" w:hAnsi="宋体"/>
          <w:color w:val="auto"/>
          <w:spacing w:val="28"/>
          <w:sz w:val="24"/>
          <w:highlight w:val="none"/>
        </w:rPr>
        <w:t xml:space="preserve">编</w:t>
      </w:r>
      <w:r>
        <w:rPr>
          <w:rFonts w:ascii="宋体" w:hAnsi="宋体"/>
          <w:color w:val="auto"/>
          <w:spacing w:val="28"/>
          <w:sz w:val="24"/>
          <w:highlight w:val="none"/>
        </w:rPr>
        <w:t xml:space="preserve"> </w:t>
      </w:r>
      <w:r>
        <w:rPr>
          <w:rFonts w:hint="eastAsia" w:ascii="宋体" w:hAnsi="宋体"/>
          <w:color w:val="auto"/>
          <w:spacing w:val="28"/>
          <w:sz w:val="24"/>
          <w:highlight w:val="none"/>
        </w:rPr>
        <w:t xml:space="preserve">号</w:t>
      </w:r>
      <w:r>
        <w:rPr>
          <w:rFonts w:hint="eastAsia" w:ascii="宋体" w:hAnsi="宋体"/>
          <w:color w:val="auto"/>
          <w:sz w:val="24"/>
          <w:highlight w:val="none"/>
        </w:rPr>
        <w:t xml:space="preserve">：</w:t>
      </w:r>
      <w:r>
        <w:rPr>
          <w:rFonts w:ascii="宋体" w:hAnsi="宋体"/>
          <w:color w:val="auto"/>
          <w:sz w:val="24"/>
          <w:highlight w:val="none"/>
          <w:u w:val="single"/>
        </w:rPr>
        <w:t xml:space="preserve">___________________</w:t>
      </w:r>
      <w:r/>
    </w:p>
    <w:tbl>
      <w:tblPr>
        <w:tblStyle w:val="712"/>
        <w:tblW w:w="9380" w:type="dxa"/>
        <w:tblInd w:w="96"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项目总报价</w:t>
            </w:r>
            <w:r/>
          </w:p>
          <w:p>
            <w:pPr>
              <w:jc w:val="center"/>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（人民币）</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大写：</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小写：</w:t>
            </w:r>
            <w:r/>
          </w:p>
        </w:tc>
      </w:tr>
      <w:tr>
        <w:trPr>
          <w:trHeight w:val="93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供货及安装期</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93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eastAsia" w:ascii="宋体" w:hAnsi="宋体" w:eastAsia="宋体" w:cs="宋体"/>
                <w:color w:val="auto"/>
                <w:sz w:val="24"/>
                <w:szCs w:val="22"/>
                <w:highlight w:val="none"/>
                <w:lang w:eastAsia="zh-CN"/>
              </w:rPr>
            </w:pPr>
            <w:r>
              <w:rPr>
                <w:rFonts w:hint="eastAsia" w:ascii="宋体" w:hAnsi="宋体" w:cs="宋体"/>
                <w:color w:val="auto"/>
                <w:sz w:val="24"/>
                <w:highlight w:val="none"/>
              </w:rPr>
              <w:t xml:space="preserve">质量</w:t>
            </w:r>
            <w:r>
              <w:rPr>
                <w:rFonts w:hint="eastAsia" w:ascii="宋体" w:hAnsi="宋体" w:cs="宋体"/>
                <w:color w:val="auto"/>
                <w:sz w:val="24"/>
                <w:highlight w:val="none"/>
                <w:lang w:val="en-US" w:eastAsia="zh-CN"/>
              </w:rPr>
              <w:t xml:space="preserve">标准</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91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Cs/>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ind w:left="851" w:hanging="851"/>
        <w:spacing w:line="360" w:lineRule="auto"/>
        <w:rPr>
          <w:rFonts w:ascii="宋体"/>
          <w:bCs/>
          <w:color w:val="auto"/>
          <w:sz w:val="24"/>
          <w:highlight w:val="none"/>
          <w:u w:val="single"/>
        </w:rPr>
      </w:pPr>
      <w:r>
        <w:rPr>
          <w:rFonts w:ascii="宋体"/>
          <w:bCs/>
          <w:color w:val="auto"/>
          <w:sz w:val="24"/>
          <w:highlight w:val="none"/>
        </w:rPr>
        <w:t xml:space="preserve">    </w:t>
      </w:r>
      <w:r>
        <w:rPr>
          <w:rFonts w:hint="eastAsia" w:ascii="宋体"/>
          <w:bCs/>
          <w:color w:val="auto"/>
          <w:sz w:val="24"/>
          <w:highlight w:val="none"/>
        </w:rPr>
        <w:t xml:space="preserve">投标单位全称（盖章）：</w:t>
      </w:r>
      <w:r>
        <w:rPr>
          <w:rFonts w:ascii="宋体"/>
          <w:bCs/>
          <w:color w:val="auto"/>
          <w:sz w:val="24"/>
          <w:highlight w:val="none"/>
          <w:u w:val="single"/>
        </w:rPr>
        <w:t xml:space="preserve">                     </w:t>
      </w:r>
      <w:r/>
    </w:p>
    <w:p>
      <w:pPr>
        <w:ind w:left="851" w:hanging="851"/>
        <w:spacing w:line="360" w:lineRule="auto"/>
        <w:rPr>
          <w:rFonts w:ascii="宋体"/>
          <w:bCs/>
          <w:color w:val="auto"/>
          <w:sz w:val="24"/>
          <w:highlight w:val="none"/>
          <w:u w:val="single"/>
        </w:rPr>
      </w:pPr>
      <w:r>
        <w:rPr>
          <w:rFonts w:ascii="宋体"/>
          <w:bCs/>
          <w:color w:val="auto"/>
          <w:sz w:val="24"/>
          <w:highlight w:val="none"/>
        </w:rPr>
        <w:t xml:space="preserve">    </w:t>
      </w:r>
      <w:r>
        <w:rPr>
          <w:rFonts w:hint="eastAsia" w:ascii="宋体"/>
          <w:bCs/>
          <w:color w:val="auto"/>
          <w:sz w:val="24"/>
          <w:highlight w:val="none"/>
        </w:rPr>
        <w:t xml:space="preserve">授</w:t>
      </w:r>
      <w:r>
        <w:rPr>
          <w:rFonts w:ascii="宋体"/>
          <w:bCs/>
          <w:color w:val="auto"/>
          <w:sz w:val="24"/>
          <w:highlight w:val="none"/>
        </w:rPr>
        <w:t xml:space="preserve"> </w:t>
      </w:r>
      <w:r>
        <w:rPr>
          <w:rFonts w:hint="eastAsia" w:ascii="宋体"/>
          <w:bCs/>
          <w:color w:val="auto"/>
          <w:sz w:val="24"/>
          <w:highlight w:val="none"/>
        </w:rPr>
        <w:t xml:space="preserve">权</w:t>
      </w:r>
      <w:r>
        <w:rPr>
          <w:rFonts w:ascii="宋体"/>
          <w:bCs/>
          <w:color w:val="auto"/>
          <w:sz w:val="24"/>
          <w:highlight w:val="none"/>
        </w:rPr>
        <w:t xml:space="preserve"> </w:t>
      </w:r>
      <w:r>
        <w:rPr>
          <w:rFonts w:hint="eastAsia" w:ascii="宋体"/>
          <w:bCs/>
          <w:color w:val="auto"/>
          <w:sz w:val="24"/>
          <w:highlight w:val="none"/>
        </w:rPr>
        <w:t xml:space="preserve">代</w:t>
      </w:r>
      <w:r>
        <w:rPr>
          <w:rFonts w:ascii="宋体"/>
          <w:bCs/>
          <w:color w:val="auto"/>
          <w:sz w:val="24"/>
          <w:highlight w:val="none"/>
        </w:rPr>
        <w:t xml:space="preserve"> </w:t>
      </w:r>
      <w:r>
        <w:rPr>
          <w:rFonts w:hint="eastAsia" w:ascii="宋体"/>
          <w:bCs/>
          <w:color w:val="auto"/>
          <w:sz w:val="24"/>
          <w:highlight w:val="none"/>
        </w:rPr>
        <w:t xml:space="preserve">表（签字）：</w:t>
      </w:r>
      <w:r>
        <w:rPr>
          <w:rFonts w:ascii="宋体"/>
          <w:bCs/>
          <w:color w:val="auto"/>
          <w:sz w:val="24"/>
          <w:highlight w:val="none"/>
          <w:u w:val="single"/>
        </w:rPr>
        <w:t xml:space="preserve">                      </w:t>
      </w:r>
      <w:r/>
    </w:p>
    <w:p>
      <w:pPr>
        <w:jc w:val="left"/>
        <w:spacing w:line="360" w:lineRule="auto"/>
        <w:rPr>
          <w:color w:val="auto"/>
          <w:sz w:val="24"/>
          <w:highlight w:val="none"/>
        </w:rPr>
      </w:pPr>
      <w:r>
        <w:rPr>
          <w:rFonts w:ascii="宋体"/>
          <w:bCs/>
          <w:color w:val="auto"/>
          <w:sz w:val="24"/>
          <w:highlight w:val="none"/>
        </w:rPr>
        <w:t xml:space="preserve">    </w:t>
      </w:r>
      <w:r>
        <w:rPr>
          <w:rFonts w:hint="eastAsia" w:ascii="宋体"/>
          <w:bCs/>
          <w:color w:val="auto"/>
          <w:sz w:val="24"/>
          <w:highlight w:val="none"/>
        </w:rPr>
        <w:t xml:space="preserve">日</w:t>
      </w:r>
      <w:r>
        <w:rPr>
          <w:rFonts w:ascii="宋体"/>
          <w:bCs/>
          <w:color w:val="auto"/>
          <w:sz w:val="24"/>
          <w:highlight w:val="none"/>
        </w:rPr>
        <w:t xml:space="preserve">              </w:t>
      </w:r>
      <w:r>
        <w:rPr>
          <w:rFonts w:hint="eastAsia" w:ascii="宋体"/>
          <w:bCs/>
          <w:color w:val="auto"/>
          <w:sz w:val="24"/>
          <w:highlight w:val="none"/>
        </w:rPr>
        <w:t xml:space="preserve">期：</w:t>
      </w:r>
      <w:r>
        <w:rPr>
          <w:rFonts w:ascii="宋体"/>
          <w:bCs/>
          <w:color w:val="auto"/>
          <w:sz w:val="24"/>
          <w:highlight w:val="none"/>
          <w:u w:val="singl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s="宋体"/>
          <w:bCs/>
          <w:color w:val="auto"/>
          <w:sz w:val="24"/>
          <w:highlight w:val="none"/>
        </w:rPr>
        <w:outlineLvl w:val="0"/>
      </w:pPr>
      <w:r>
        <w:rPr>
          <w:rFonts w:ascii="宋体" w:hAnsi="宋体"/>
          <w:color w:val="auto"/>
          <w:sz w:val="24"/>
          <w:highlight w:val="none"/>
        </w:rPr>
        <w:br w:type="page" w:clear="all"/>
      </w:r>
      <w:r>
        <w:rPr>
          <w:rFonts w:hint="eastAsia" w:ascii="宋体" w:hAnsi="宋体"/>
          <w:bCs/>
          <w:color w:val="auto"/>
          <w:sz w:val="24"/>
          <w:highlight w:val="none"/>
        </w:rPr>
        <w:t xml:space="preserve">附件8</w:t>
      </w:r>
      <w:r>
        <w:rPr>
          <w:rFonts w:hint="eastAsia" w:ascii="宋体" w:hAnsi="宋体" w:cs="宋体"/>
          <w:bCs/>
          <w:color w:val="auto"/>
          <w:sz w:val="24"/>
          <w:highlight w:val="none"/>
        </w:rPr>
        <w:t xml:space="preserve">主要细目报价表（格式）</w:t>
      </w:r>
      <w:r/>
    </w:p>
    <w:p>
      <w:pPr>
        <w:spacing w:line="360" w:lineRule="auto"/>
        <w:rPr>
          <w:rFonts w:hint="eastAsia" w:hAnsi="宋体"/>
          <w:bCs/>
          <w:color w:val="auto"/>
          <w:sz w:val="24"/>
          <w:highlight w:val="none"/>
        </w:rPr>
      </w:pPr>
      <w:r>
        <w:rPr>
          <w:rFonts w:hint="eastAsia" w:hAnsi="宋体"/>
          <w:bCs/>
          <w:color w:val="auto"/>
          <w:sz w:val="24"/>
          <w:highlight w:val="none"/>
        </w:rPr>
        <w:t xml:space="preserve">投标供应商名称（盖章）                                  政府采购编号：</w:t>
      </w:r>
      <w:r/>
    </w:p>
    <w:p>
      <w:pPr>
        <w:spacing w:line="360" w:lineRule="auto"/>
        <w:rPr>
          <w:rFonts w:hint="eastAsia" w:hAnsi="宋体"/>
          <w:bCs/>
          <w:color w:val="auto"/>
          <w:sz w:val="24"/>
          <w:highlight w:val="none"/>
        </w:rPr>
      </w:pPr>
      <w:r>
        <w:rPr>
          <w:rFonts w:hint="eastAsia" w:hAnsi="宋体"/>
          <w:bCs/>
          <w:color w:val="auto"/>
          <w:sz w:val="24"/>
          <w:highlight w:val="none"/>
        </w:rPr>
        <w:t xml:space="preserve">授 权 代 表（签字）： </w:t>
      </w:r>
      <w:r>
        <w:rPr>
          <w:rFonts w:hint="eastAsia" w:hAnsi="宋体"/>
          <w:bCs/>
          <w:color w:val="auto"/>
          <w:sz w:val="24"/>
          <w:highlight w:val="none"/>
          <w:u w:val="single"/>
        </w:rPr>
        <w:t xml:space="preserve">              </w:t>
      </w:r>
      <w:r>
        <w:rPr>
          <w:rFonts w:hint="eastAsia" w:hAnsi="宋体"/>
          <w:bCs/>
          <w:color w:val="auto"/>
          <w:sz w:val="24"/>
          <w:highlight w:val="none"/>
        </w:rPr>
        <w:t xml:space="preserve"> </w:t>
      </w:r>
      <w:r/>
    </w:p>
    <w:p>
      <w:pPr>
        <w:spacing w:line="360" w:lineRule="auto"/>
        <w:rPr>
          <w:rFonts w:hint="eastAsia" w:hAnsi="宋体"/>
          <w:bCs/>
          <w:color w:val="auto"/>
          <w:sz w:val="24"/>
          <w:highlight w:val="none"/>
        </w:rPr>
      </w:pPr>
      <w:r>
        <w:rPr>
          <w:rFonts w:hint="eastAsia" w:hAnsi="宋体"/>
          <w:bCs/>
          <w:color w:val="auto"/>
          <w:sz w:val="24"/>
          <w:highlight w:val="none"/>
          <w:lang w:val="en-US" w:eastAsia="zh-CN"/>
        </w:rPr>
        <w:t xml:space="preserve">表一：</w:t>
      </w:r>
      <w:r>
        <w:rPr>
          <w:rFonts w:hint="eastAsia" w:hAnsi="宋体"/>
          <w:bCs/>
          <w:color w:val="auto"/>
          <w:sz w:val="24"/>
          <w:highlight w:val="none"/>
        </w:rPr>
        <w:t xml:space="preserve">     </w:t>
      </w:r>
      <w:r/>
    </w:p>
    <w:tbl>
      <w:tblPr>
        <w:tblStyle w:val="712"/>
        <w:tblW w:w="944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831"/>
        <w:gridCol w:w="1695"/>
        <w:gridCol w:w="1155"/>
        <w:gridCol w:w="1320"/>
        <w:gridCol w:w="3360"/>
      </w:tblGrid>
      <w:tr>
        <w:trPr>
          <w:trHeight w:val="315"/>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3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单价（元）</w:t>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微型固定式水质自动站</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配置pH、浊度、溶解氧、水温、电导率、总磷、总氮、氨氮、高锰酸盐指数、化学需氧量等9项指标的岸边固定式水质自动在线监测站，占地面积不大于2m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83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无人岸边采样站</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可实现对地表水、排污口排水的智能采样设备，占地面积不大于1.5m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9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五参数探头</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可集成到无人岸边采样站中的pH、浊度、溶解氧、水温、电导率的五参数水质分析仪。</w:t>
            </w:r>
            <w:r/>
          </w:p>
        </w:tc>
      </w:tr>
      <w:tr>
        <w:trPr>
          <w:trHeight w:val="86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排口流量计</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应用于监测排口流量的专用流量计。</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浮船式水质自动站</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配置pH、浊度、溶解氧、水温、电导率、总磷、总氮、氨氮、高锰酸盐指数、化学需氧量、藻密度、叶绿素a等指标，应用于湖泊水质监测的浮船式水质监测站。</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自动化实验室仪器</w:t>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总磷水质分析模块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可实现总磷、总氮、氨氮、高锰酸盐指数、化学需氧量等5项指标的自动化检测，并且配有软件系统可与现有实验室系统互联互通。</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总氮水质分析模块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氨氮水质分析模块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高锰酸盐指数水质分析模块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化学需氧量水质分析膜</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进样检测模块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样品瓶</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100个</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采水专用样品瓶，可独立在户外采样使用，也可以与无人岸边采样站、黑灯实验室等联动使用。</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水生态调查</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4次</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对蠡湖水生态现状进行调查，包括人类活动影响指数、大型底栖动物物种数鉴定、浮游动物群落结构鉴定、浮游植物群落结构鉴定、鱼类物种数鉴定、数据处理与评估、国控断面附近底泥监测等。</w:t>
            </w:r>
            <w:r/>
          </w:p>
        </w:tc>
      </w:tr>
    </w:tbl>
    <w:p>
      <w:pPr>
        <w:spacing w:line="360" w:lineRule="auto"/>
        <w:rPr>
          <w:rFonts w:hint="eastAsia" w:hAnsi="宋体"/>
          <w:bCs/>
          <w:color w:val="auto"/>
          <w:sz w:val="24"/>
          <w:highlight w:val="none"/>
        </w:rPr>
      </w:pPr>
      <w:r>
        <w:rPr>
          <w:rFonts w:hint="eastAsia" w:hAnsi="宋体"/>
          <w:bCs/>
          <w:color w:val="auto"/>
          <w:sz w:val="24"/>
          <w:highlight w:val="none"/>
        </w:rPr>
      </w:r>
      <w:r/>
    </w:p>
    <w:p>
      <w:pPr>
        <w:spacing w:line="360" w:lineRule="auto"/>
        <w:rPr>
          <w:rFonts w:hint="default" w:hAnsi="宋体" w:eastAsia="宋体"/>
          <w:bCs/>
          <w:color w:val="auto"/>
          <w:sz w:val="24"/>
          <w:highlight w:val="none"/>
          <w:lang w:val="en-US" w:eastAsia="zh-CN"/>
        </w:rPr>
      </w:pPr>
      <w:r>
        <w:rPr>
          <w:rFonts w:hint="eastAsia" w:hAnsi="宋体"/>
          <w:bCs/>
          <w:color w:val="auto"/>
          <w:sz w:val="24"/>
          <w:highlight w:val="none"/>
        </w:rPr>
        <w:t xml:space="preserve"> </w:t>
      </w:r>
      <w:r>
        <w:rPr>
          <w:rFonts w:hint="eastAsia" w:hAnsi="宋体"/>
          <w:bCs/>
          <w:color w:val="auto"/>
          <w:sz w:val="24"/>
          <w:highlight w:val="none"/>
          <w:lang w:val="en-US" w:eastAsia="zh-CN"/>
        </w:rPr>
        <w:t xml:space="preserve">表二：</w:t>
      </w:r>
      <w:r/>
    </w:p>
    <w:tbl>
      <w:tblPr>
        <w:tblStyle w:val="712"/>
        <w:tblW w:w="96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195"/>
        <w:gridCol w:w="1485"/>
        <w:gridCol w:w="1485"/>
        <w:gridCol w:w="3525"/>
      </w:tblGrid>
      <w:tr>
        <w:trPr>
          <w:trHeight w:val="315"/>
        </w:trPr>
        <w:tc>
          <w:tcPr>
            <w:gridSpan w:val="4"/>
            <w:shd w:val="clear" w:color="auto" w:fill="auto"/>
            <w:tcBorders>
              <w:top w:val="single" w:color="000000" w:sz="8" w:space="0"/>
              <w:left w:val="single" w:color="000000" w:sz="8" w:space="0"/>
              <w:bottom w:val="single" w:color="000000" w:sz="8" w:space="0"/>
              <w:right w:val="single" w:color="000000" w:sz="8" w:space="0"/>
            </w:tcBorders>
            <w:tcW w:w="96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市级（单项最高限价154.8万元）</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分项报价（元）</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水生态采测</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gridSpan w:val="2"/>
            <w:shd w:val="clear" w:color="auto" w:fill="auto"/>
            <w:tcBorders>
              <w:top w:val="none" w:color="000000" w:sz="4"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gridSpan w:val="2"/>
            <w:shd w:val="clear" w:color="auto" w:fill="auto"/>
            <w:tcBorders>
              <w:top w:val="none" w:color="000000" w:sz="4" w:space="0"/>
              <w:left w:val="none" w:color="000000" w:sz="4" w:space="0"/>
              <w:bottom w:val="single" w:color="000000" w:sz="8" w:space="0"/>
              <w:right w:val="single" w:color="000000" w:sz="8" w:space="0"/>
            </w:tcBorders>
            <w:tcW w:w="501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元</w:t>
            </w:r>
            <w:r/>
          </w:p>
        </w:tc>
      </w:tr>
      <w:tr>
        <w:trPr>
          <w:trHeight w:val="315"/>
        </w:trPr>
        <w:tc>
          <w:tcPr>
            <w:gridSpan w:val="4"/>
            <w:shd w:val="clear" w:color="auto" w:fill="auto"/>
            <w:tcBorders>
              <w:top w:val="none" w:color="000000" w:sz="4" w:space="0"/>
              <w:left w:val="single" w:color="000000" w:sz="8" w:space="0"/>
              <w:bottom w:val="single" w:color="000000" w:sz="8" w:space="0"/>
              <w:right w:val="single" w:color="000000" w:sz="8" w:space="0"/>
            </w:tcBorders>
            <w:tcW w:w="96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滨湖区（单项最高限价607.04万元）</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分项报价（元）</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微型水质监测站</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小渲河、蠡溪河、庙泾浜、陆典桥浜、1881半岛酒店内河、蠡湖公园内河、威尼斯横河</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浮船</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蠡湖湖区</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河道无人岸边采样站（含五参数）</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新胡田浜、连大桥浜、徐祥浜、王巷浜、美湖浜、山门口浜、湖玺庄园内河、琴山桥浜、充山河</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排口无人岸边采样站（含流量计）</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85"/>
        </w:trPr>
        <w:tc>
          <w:tcPr>
            <w:gridSpan w:val="2"/>
            <w:shd w:val="clear" w:color="auto" w:fill="auto"/>
            <w:tcBorders>
              <w:top w:val="none" w:color="000000" w:sz="4"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gridSpan w:val="2"/>
            <w:shd w:val="clear" w:color="auto" w:fill="auto"/>
            <w:tcBorders>
              <w:top w:val="none" w:color="000000" w:sz="4" w:space="0"/>
              <w:left w:val="none" w:color="000000" w:sz="4" w:space="0"/>
              <w:bottom w:val="single" w:color="000000" w:sz="8" w:space="0"/>
              <w:right w:val="single" w:color="000000" w:sz="8" w:space="0"/>
            </w:tcBorders>
            <w:tcW w:w="501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元</w:t>
            </w:r>
            <w:r/>
          </w:p>
        </w:tc>
      </w:tr>
      <w:tr>
        <w:trPr>
          <w:trHeight w:val="315"/>
        </w:trPr>
        <w:tc>
          <w:tcPr>
            <w:gridSpan w:val="4"/>
            <w:shd w:val="clear" w:color="auto" w:fill="auto"/>
            <w:tcBorders>
              <w:top w:val="none" w:color="000000" w:sz="4" w:space="0"/>
              <w:left w:val="single" w:color="000000" w:sz="8" w:space="0"/>
              <w:bottom w:val="single" w:color="000000" w:sz="8" w:space="0"/>
              <w:right w:val="single" w:color="000000" w:sz="8" w:space="0"/>
            </w:tcBorders>
            <w:tcW w:w="9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新吴区（含经开区）</w:t>
            </w:r>
            <w:r>
              <w:rPr>
                <w:rFonts w:hint="eastAsia" w:ascii="宋体" w:hAnsi="宋体" w:eastAsia="宋体" w:cs="宋体"/>
                <w:i w:val="0"/>
                <w:iCs w:val="0"/>
                <w:color w:val="auto"/>
                <w:sz w:val="24"/>
                <w:szCs w:val="24"/>
                <w:highlight w:val="none"/>
                <w:u w:val="none"/>
                <w:lang w:val="en-US" w:eastAsia="zh-CN" w:bidi="ar"/>
              </w:rPr>
              <w:t xml:space="preserve">（单项最高限价374.38万元）</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分项报价（元）</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微型水质监测站</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上风咀浜、圩田里河、山水湖滨内河、骂蠡港、芦村河、曹王泾</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河道无人岸边采样站（含五参数）</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尚风桥浜、东古巷浜、东湖外河</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排口无人岸边采样站（含流量计）</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85"/>
        </w:trPr>
        <w:tc>
          <w:tcPr>
            <w:gridSpan w:val="2"/>
            <w:shd w:val="clear" w:color="auto" w:fill="auto"/>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5010"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元</w:t>
            </w:r>
            <w:r/>
          </w:p>
        </w:tc>
      </w:tr>
      <w:tr>
        <w:trPr>
          <w:trHeight w:val="585"/>
        </w:trPr>
        <w:tc>
          <w:tcPr>
            <w:gridSpan w:val="2"/>
            <w:shd w:val="clear" w:color="auto" w:fill="auto"/>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本项目合计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501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元</w:t>
            </w:r>
            <w:r/>
          </w:p>
        </w:tc>
      </w:tr>
    </w:tbl>
    <w:p>
      <w:pPr>
        <w:ind w:firstLine="361"/>
        <w:spacing w:line="360" w:lineRule="auto"/>
        <w:rPr>
          <w:rFonts w:hint="eastAsia" w:hAnsi="宋体"/>
          <w:bCs/>
          <w:color w:val="auto"/>
          <w:sz w:val="24"/>
          <w:highlight w:val="none"/>
        </w:rPr>
        <w:outlineLvl w:val="0"/>
      </w:pPr>
      <w:r>
        <w:rPr>
          <w:rFonts w:hint="eastAsia" w:hAnsi="宋体"/>
          <w:b/>
          <w:color w:val="auto"/>
          <w:sz w:val="24"/>
          <w:highlight w:val="none"/>
        </w:rPr>
        <w:t xml:space="preserve">注：</w:t>
      </w:r>
      <w:r>
        <w:rPr>
          <w:rFonts w:hint="eastAsia" w:hAnsi="宋体"/>
          <w:bCs/>
          <w:color w:val="auto"/>
          <w:sz w:val="24"/>
          <w:highlight w:val="none"/>
        </w:rPr>
        <w:t xml:space="preserve">（1）报价人应当根据“项目技术要求和有关说明”的内容在上表中详细填写，包含但不限于以上内容，请各供应商自行补充完善。</w:t>
      </w:r>
      <w:r/>
    </w:p>
    <w:p>
      <w:pPr>
        <w:numPr>
          <w:ilvl w:val="0"/>
          <w:numId w:val="31"/>
        </w:numPr>
        <w:ind w:left="270" w:firstLine="360"/>
        <w:spacing w:line="360" w:lineRule="auto"/>
        <w:rPr>
          <w:rFonts w:hint="eastAsia" w:hAnsi="宋体"/>
          <w:bCs/>
          <w:color w:val="auto"/>
          <w:sz w:val="24"/>
          <w:highlight w:val="none"/>
        </w:rPr>
        <w:outlineLvl w:val="0"/>
      </w:pPr>
      <w:r>
        <w:rPr>
          <w:rFonts w:hint="eastAsia" w:hAnsi="宋体"/>
          <w:bCs/>
          <w:color w:val="auto"/>
          <w:sz w:val="24"/>
          <w:highlight w:val="none"/>
        </w:rPr>
        <w:t xml:space="preserve">表格不够可自行延长。</w:t>
      </w:r>
      <w:r/>
    </w:p>
    <w:p>
      <w:pPr>
        <w:numPr>
          <w:ilvl w:val="0"/>
          <w:numId w:val="31"/>
        </w:numPr>
        <w:ind w:left="270" w:firstLine="360"/>
        <w:spacing w:line="360" w:lineRule="auto"/>
        <w:rPr>
          <w:rFonts w:hint="eastAsia" w:hAnsi="宋体"/>
          <w:bCs/>
          <w:color w:val="auto"/>
          <w:sz w:val="24"/>
          <w:highlight w:val="none"/>
        </w:rPr>
        <w:outlineLvl w:val="0"/>
      </w:pPr>
      <w:r>
        <w:rPr>
          <w:rFonts w:hint="eastAsia" w:hAnsi="宋体"/>
          <w:bCs/>
          <w:color w:val="auto"/>
          <w:sz w:val="24"/>
          <w:highlight w:val="none"/>
        </w:rPr>
        <w:t xml:space="preserve">本表所填内容和附件中列表</w:t>
      </w:r>
      <w:r>
        <w:rPr>
          <w:rFonts w:hint="eastAsia" w:hAnsi="宋体"/>
          <w:bCs/>
          <w:color w:val="auto"/>
          <w:sz w:val="24"/>
          <w:highlight w:val="none"/>
          <w:lang w:eastAsia="zh-CN"/>
        </w:rPr>
        <w:t xml:space="preserve">内容</w:t>
      </w:r>
      <w:r>
        <w:rPr>
          <w:rFonts w:hint="eastAsia" w:hAnsi="宋体"/>
          <w:bCs/>
          <w:color w:val="auto"/>
          <w:sz w:val="24"/>
          <w:highlight w:val="none"/>
        </w:rPr>
        <w:t xml:space="preserve">并不冲突，请供应商认真填写本表及附件列表。</w:t>
      </w:r>
      <w:r/>
    </w:p>
    <w:p>
      <w:pPr>
        <w:ind w:firstLine="360"/>
        <w:spacing w:line="360" w:lineRule="auto"/>
        <w:rPr>
          <w:rFonts w:hint="eastAsia" w:hAnsi="宋体"/>
          <w:bCs/>
          <w:color w:val="auto"/>
          <w:sz w:val="24"/>
          <w:highlight w:val="none"/>
        </w:rPr>
      </w:pPr>
      <w:r>
        <w:rPr>
          <w:rFonts w:hint="eastAsia" w:hAnsi="宋体"/>
          <w:bCs/>
          <w:color w:val="auto"/>
          <w:sz w:val="24"/>
          <w:highlight w:val="none"/>
        </w:rPr>
        <w:t xml:space="preserve">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ind w:firstLine="422"/>
        <w:spacing w:line="360" w:lineRule="auto"/>
        <w:rPr>
          <w:rFonts w:hint="eastAsia" w:ascii="宋体" w:hAnsi="宋体"/>
          <w:bCs/>
          <w:color w:val="auto"/>
          <w:sz w:val="24"/>
          <w:highlight w:val="none"/>
        </w:rPr>
        <w:outlineLvl w:val="0"/>
      </w:pPr>
      <w:r>
        <w:rPr>
          <w:rFonts w:hint="eastAsia" w:ascii="宋体" w:hAnsi="宋体"/>
          <w:b/>
          <w:color w:val="auto"/>
          <w:sz w:val="24"/>
          <w:highlight w:val="none"/>
        </w:rPr>
        <w:t xml:space="preserve">附件9 </w:t>
      </w:r>
      <w:r>
        <w:rPr>
          <w:rFonts w:hint="eastAsia" w:ascii="宋体" w:hAnsi="宋体" w:cs="宋体"/>
          <w:b/>
          <w:color w:val="auto"/>
          <w:sz w:val="24"/>
          <w:highlight w:val="none"/>
        </w:rPr>
        <w:t xml:space="preserve">偏离表</w:t>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采购项目编号：</w:t>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24"/>
        <w:gridCol w:w="2212"/>
        <w:gridCol w:w="1440"/>
        <w:gridCol w:w="1173"/>
      </w:tblGrid>
      <w:tr>
        <w:trPr>
          <w:cantSplit/>
          <w:jc w:val="center"/>
          <w:trHeight w:val="575"/>
        </w:trPr>
        <w:tc>
          <w:tcPr>
            <w:tcW w:w="98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72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采购要求</w:t>
            </w:r>
            <w:r/>
          </w:p>
        </w:tc>
        <w:tc>
          <w:tcPr>
            <w:tcW w:w="221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投标响应</w:t>
            </w:r>
            <w:r/>
          </w:p>
        </w:tc>
        <w:tc>
          <w:tcPr>
            <w:tcW w:w="144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符合或偏离</w:t>
            </w:r>
            <w:r/>
          </w:p>
        </w:tc>
        <w:tc>
          <w:tcPr>
            <w:tcW w:w="117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原因</w:t>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20"/>
        <w:spacing w:line="360" w:lineRule="auto"/>
        <w:rPr>
          <w:rFonts w:ascii="宋体" w:hAnsi="宋体"/>
          <w:bCs/>
          <w:color w:val="auto"/>
          <w:sz w:val="24"/>
          <w:highlight w:val="none"/>
        </w:rPr>
        <w:outlineLvl w:val="0"/>
      </w:pPr>
      <w:r>
        <w:rPr>
          <w:rFonts w:hint="eastAsia" w:ascii="宋体" w:hAnsi="宋体"/>
          <w:bCs/>
          <w:color w:val="auto"/>
          <w:sz w:val="24"/>
          <w:highlight w:val="none"/>
        </w:rPr>
        <w:t xml:space="preserve">注：（</w:t>
      </w:r>
      <w:r>
        <w:rPr>
          <w:rFonts w:ascii="宋体" w:hAnsi="宋体"/>
          <w:bCs/>
          <w:color w:val="auto"/>
          <w:sz w:val="24"/>
          <w:highlight w:val="none"/>
        </w:rPr>
        <w:t xml:space="preserve">1</w:t>
      </w:r>
      <w:r>
        <w:rPr>
          <w:rFonts w:hint="eastAsia" w:ascii="宋体" w:hAnsi="宋体"/>
          <w:bCs/>
          <w:color w:val="auto"/>
          <w:sz w:val="24"/>
          <w:highlight w:val="none"/>
        </w:rPr>
        <w:t xml:space="preserve">）本表不得删除；</w:t>
      </w:r>
      <w:r/>
    </w:p>
    <w:p>
      <w:pPr>
        <w:ind w:firstLine="420"/>
        <w:spacing w:line="360" w:lineRule="auto"/>
        <w:rPr>
          <w:rFonts w:hint="eastAsia" w:ascii="宋体" w:hAnsi="宋体"/>
          <w:bCs/>
          <w:color w:val="auto"/>
          <w:sz w:val="24"/>
          <w:highlight w:val="none"/>
        </w:rPr>
        <w:outlineLvl w:val="0"/>
      </w:pPr>
      <w:r>
        <w:rPr>
          <w:rFonts w:ascii="宋体" w:hAnsi="宋体"/>
          <w:bCs/>
          <w:color w:val="auto"/>
          <w:sz w:val="24"/>
          <w:highlight w:val="none"/>
        </w:rPr>
        <w:t xml:space="preserve">   </w:t>
      </w:r>
      <w:r>
        <w:rPr>
          <w:rFonts w:hint="eastAsia" w:ascii="宋体" w:hAnsi="宋体"/>
          <w:bCs/>
          <w:color w:val="auto"/>
          <w:sz w:val="24"/>
          <w:highlight w:val="none"/>
        </w:rPr>
        <w:t xml:space="preserve">（</w:t>
      </w:r>
      <w:r>
        <w:rPr>
          <w:rFonts w:ascii="宋体" w:hAnsi="宋体"/>
          <w:bCs/>
          <w:color w:val="auto"/>
          <w:sz w:val="24"/>
          <w:highlight w:val="none"/>
        </w:rPr>
        <w:t xml:space="preserve">2</w:t>
      </w:r>
      <w:r>
        <w:rPr>
          <w:rFonts w:hint="eastAsia" w:ascii="宋体" w:hAnsi="宋体"/>
          <w:bCs/>
          <w:color w:val="auto"/>
          <w:sz w:val="24"/>
          <w:highlight w:val="none"/>
        </w:rPr>
        <w:t xml:space="preserve">）如无任何技术偏离，请于本表 “偏离说明”中注明“无偏离”；</w:t>
      </w:r>
      <w:r/>
    </w:p>
    <w:p>
      <w:pPr>
        <w:ind w:firstLine="420"/>
        <w:spacing w:line="360" w:lineRule="auto"/>
        <w:rPr>
          <w:rFonts w:ascii="宋体"/>
          <w:bCs/>
          <w:color w:val="auto"/>
          <w:sz w:val="24"/>
          <w:highlight w:val="none"/>
        </w:rPr>
        <w:outlineLvl w:val="0"/>
      </w:pPr>
      <w:r>
        <w:rPr>
          <w:rFonts w:hint="eastAsia" w:ascii="宋体" w:hAnsi="宋体"/>
          <w:bCs/>
          <w:color w:val="auto"/>
          <w:sz w:val="24"/>
          <w:highlight w:val="none"/>
        </w:rPr>
        <w:t xml:space="preserve">   （3）如有技术偏离项，请于本表中列明偏离内容，如需要可自行延长，其余无偏离内容</w:t>
      </w:r>
      <w:r>
        <w:rPr>
          <w:rFonts w:hint="eastAsia" w:ascii="宋体" w:hAnsi="宋体"/>
          <w:bCs/>
          <w:color w:val="auto"/>
          <w:sz w:val="24"/>
          <w:highlight w:val="none"/>
          <w:lang w:eastAsia="zh-CN"/>
        </w:rPr>
        <w:t xml:space="preserve">无需</w:t>
      </w:r>
      <w:r>
        <w:rPr>
          <w:rFonts w:hint="eastAsia" w:ascii="宋体" w:hAnsi="宋体"/>
          <w:bCs/>
          <w:color w:val="auto"/>
          <w:sz w:val="24"/>
          <w:highlight w:val="none"/>
        </w:rPr>
        <w:t xml:space="preserve">赘述。</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sectPr>
      <w:footnotePr/>
      <w:endnotePr/>
      <w:type w:val="nextPage"/>
      <w:pgSz w:w="11906" w:h="16838" w:orient="portrait"/>
      <w:pgMar w:top="1240" w:right="1440" w:bottom="1318"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隶书">
    <w:panose1 w:val="02010509060101010101"/>
  </w:font>
  <w:font w:name="文鼎CS中宋">
    <w:panose1 w:val="020B0503020202020204"/>
  </w:font>
  <w:font w:name="Tahoma">
    <w:panose1 w:val="020B0604030504040204"/>
  </w:font>
  <w:font w:name="_x000B__x000C_">
    <w:panose1 w:val="020B0503020202020204"/>
  </w:font>
  <w:font w:name="Symbol">
    <w:panose1 w:val="05050102010706020507"/>
  </w:font>
  <w:font w:name="新宋体">
    <w:panose1 w:val="02010609030101010101"/>
  </w:font>
  <w:font w:name="Calibri">
    <w:panose1 w:val="020F0502020204030204"/>
  </w:font>
  <w:font w:name="微软雅黑">
    <w:panose1 w:val="020B0503020204020204"/>
  </w:font>
  <w:font w:name="Cambria">
    <w:panose1 w:val="02040503050406030204"/>
  </w:font>
  <w:font w:name="Adobe 仿宋 Std R">
    <w:panose1 w:val="020B0503020202020204"/>
  </w:font>
  <w:font w:name="Garamond">
    <w:panose1 w:val="02020404030301010803"/>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rPr>
        <w:rFonts w:hint="eastAsia"/>
      </w:rPr>
      <w:t xml:space="preserve">-</w:t>
    </w:r>
    <w:r>
      <w:fldChar w:fldCharType="begin"/>
    </w:r>
    <w:r>
      <w:instrText xml:space="preserve"> PAGE   \* MERGEFORMAT </w:instrText>
    </w:r>
    <w:r>
      <w:fldChar w:fldCharType="separate"/>
    </w:r>
    <w:r>
      <w:t xml:space="preserve">14</w:t>
    </w:r>
    <w:r>
      <w:fldChar w:fldCharType="end"/>
    </w:r>
    <w:r>
      <w:rPr>
        <w:rFonts w:hint="eastAsia"/>
      </w:rPr>
      <w:t xml:space="preserve">-</w:t>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Fonts w:hint="eastAsia"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1">
    <w:multiLevelType w:val="hybridMultilevel"/>
    <w:lvl w:ilvl="0">
      <w:start w:val="1"/>
      <w:numFmt w:val="bullet"/>
      <w:isLgl w:val="false"/>
      <w:suff w:val="tab"/>
      <w:lvlText w:val=""/>
      <w:lvlJc w:val="left"/>
      <w:pPr>
        <w:ind w:left="1000" w:hanging="440"/>
      </w:pPr>
      <w:rPr>
        <w:rFonts w:hint="default" w:ascii="Wingdings" w:hAnsi="Wingdings"/>
      </w:rPr>
    </w:lvl>
    <w:lvl w:ilvl="1">
      <w:start w:val="1"/>
      <w:numFmt w:val="bullet"/>
      <w:isLgl w:val="false"/>
      <w:suff w:val="tab"/>
      <w:lvlText w:val=""/>
      <w:lvlJc w:val="left"/>
      <w:pPr>
        <w:ind w:left="1440" w:hanging="440"/>
      </w:pPr>
      <w:rPr>
        <w:rFonts w:hint="default" w:ascii="Wingdings" w:hAnsi="Wingdings"/>
      </w:rPr>
    </w:lvl>
    <w:lvl w:ilvl="2">
      <w:start w:val="1"/>
      <w:numFmt w:val="bullet"/>
      <w:isLgl w:val="false"/>
      <w:suff w:val="tab"/>
      <w:lvlText w:val=""/>
      <w:lvlJc w:val="left"/>
      <w:pPr>
        <w:ind w:left="1880" w:hanging="440"/>
      </w:pPr>
      <w:rPr>
        <w:rFonts w:hint="default" w:ascii="Wingdings" w:hAnsi="Wingdings"/>
      </w:rPr>
    </w:lvl>
    <w:lvl w:ilvl="3">
      <w:start w:val="1"/>
      <w:numFmt w:val="bullet"/>
      <w:isLgl w:val="false"/>
      <w:suff w:val="tab"/>
      <w:lvlText w:val=""/>
      <w:lvlJc w:val="left"/>
      <w:pPr>
        <w:ind w:left="2320" w:hanging="440"/>
      </w:pPr>
      <w:rPr>
        <w:rFonts w:hint="default" w:ascii="Wingdings" w:hAnsi="Wingdings"/>
      </w:rPr>
    </w:lvl>
    <w:lvl w:ilvl="4">
      <w:start w:val="1"/>
      <w:numFmt w:val="bullet"/>
      <w:isLgl w:val="false"/>
      <w:suff w:val="tab"/>
      <w:lvlText w:val=""/>
      <w:lvlJc w:val="left"/>
      <w:pPr>
        <w:ind w:left="2760" w:hanging="440"/>
      </w:pPr>
      <w:rPr>
        <w:rFonts w:hint="default" w:ascii="Wingdings" w:hAnsi="Wingdings"/>
      </w:rPr>
    </w:lvl>
    <w:lvl w:ilvl="5">
      <w:start w:val="1"/>
      <w:numFmt w:val="bullet"/>
      <w:isLgl w:val="false"/>
      <w:suff w:val="tab"/>
      <w:lvlText w:val=""/>
      <w:lvlJc w:val="left"/>
      <w:pPr>
        <w:ind w:left="3200" w:hanging="440"/>
      </w:pPr>
      <w:rPr>
        <w:rFonts w:hint="default" w:ascii="Wingdings" w:hAnsi="Wingdings"/>
      </w:rPr>
    </w:lvl>
    <w:lvl w:ilvl="6">
      <w:start w:val="1"/>
      <w:numFmt w:val="bullet"/>
      <w:isLgl w:val="false"/>
      <w:suff w:val="tab"/>
      <w:lvlText w:val=""/>
      <w:lvlJc w:val="left"/>
      <w:pPr>
        <w:ind w:left="3640" w:hanging="440"/>
      </w:pPr>
      <w:rPr>
        <w:rFonts w:hint="default" w:ascii="Wingdings" w:hAnsi="Wingdings"/>
      </w:rPr>
    </w:lvl>
    <w:lvl w:ilvl="7">
      <w:start w:val="1"/>
      <w:numFmt w:val="bullet"/>
      <w:isLgl w:val="false"/>
      <w:suff w:val="tab"/>
      <w:lvlText w:val=""/>
      <w:lvlJc w:val="left"/>
      <w:pPr>
        <w:ind w:left="4080" w:hanging="440"/>
      </w:pPr>
      <w:rPr>
        <w:rFonts w:hint="default" w:ascii="Wingdings" w:hAnsi="Wingdings"/>
      </w:rPr>
    </w:lvl>
    <w:lvl w:ilvl="8">
      <w:start w:val="1"/>
      <w:numFmt w:val="bullet"/>
      <w:isLgl w:val="false"/>
      <w:suff w:val="tab"/>
      <w:lvlText w:val=""/>
      <w:lvlJc w:val="left"/>
      <w:pPr>
        <w:ind w:left="4520" w:hanging="440"/>
      </w:pPr>
      <w:rPr>
        <w:rFonts w:hint="default" w:ascii="Wingdings" w:hAnsi="Wingdings"/>
      </w:rPr>
    </w:lvl>
  </w:abstractNum>
  <w:abstractNum w:abstractNumId="2">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3">
    <w:multiLevelType w:val="hybridMultilevel"/>
    <w:lvl w:ilvl="0">
      <w:start w:val="2"/>
      <w:numFmt w:val="decimal"/>
      <w:isLgl w:val="false"/>
      <w:suff w:val="nothing"/>
      <w:lvlText w:val="（%1）"/>
      <w:lvlJc w:val="left"/>
      <w:pPr>
        <w:ind w:left="2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702"/>
      <w:isLgl w:val="false"/>
      <w:suff w:val="tab"/>
      <w:lvlText w:val="第%1部分"/>
      <w:lvlJc w:val="left"/>
      <w:pPr>
        <w:ind w:left="425" w:hanging="425"/>
        <w:tabs>
          <w:tab w:val="left" w:pos="1800" w:leader="none"/>
        </w:tabs>
      </w:pPr>
      <w:rPr>
        <w:rFonts w:hint="eastAsia"/>
      </w:rPr>
    </w:lvl>
    <w:lvl w:ilvl="1">
      <w:start w:val="1"/>
      <w:numFmt w:val="decimal"/>
      <w:pStyle w:val="703"/>
      <w:isLgl/>
      <w:suff w:val="tab"/>
      <w:lvlText w:val="%1.%2"/>
      <w:lvlJc w:val="left"/>
      <w:pPr>
        <w:ind w:left="567" w:hanging="567"/>
        <w:tabs>
          <w:tab w:val="left" w:pos="567" w:leader="none"/>
        </w:tabs>
      </w:pPr>
      <w:rPr>
        <w:rFonts w:hint="eastAsia"/>
      </w:rPr>
    </w:lvl>
    <w:lvl w:ilvl="2">
      <w:start w:val="1"/>
      <w:numFmt w:val="decimal"/>
      <w:pStyle w:val="875"/>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05"/>
      <w:isLgl/>
      <w:suff w:val="tab"/>
      <w:lvlText w:val="%1.%2.%3.%4.%5"/>
      <w:lvlJc w:val="left"/>
      <w:pPr>
        <w:ind w:left="992" w:hanging="992"/>
        <w:tabs>
          <w:tab w:val="left" w:pos="1080" w:leader="none"/>
        </w:tabs>
      </w:pPr>
      <w:rPr>
        <w:rFonts w:hint="eastAsia"/>
      </w:rPr>
    </w:lvl>
    <w:lvl w:ilvl="5">
      <w:start w:val="1"/>
      <w:numFmt w:val="decimal"/>
      <w:pStyle w:val="706"/>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87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2">
    <w:multiLevelType w:val="hybridMultilevel"/>
    <w:lvl w:ilvl="0">
      <w:start w:val="1"/>
      <w:numFmt w:val="bullet"/>
      <w:pStyle w:val="74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3">
    <w:multiLevelType w:val="hybridMultilevel"/>
    <w:lvl w:ilvl="0">
      <w:start w:val="1"/>
      <w:numFmt w:val="bullet"/>
      <w:pStyle w:val="73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89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840"/>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ind w:left="567" w:hanging="87"/>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1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color w:val="000000"/>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lvl>
    <w:lvl w:ilvl="7">
      <w:start w:val="1"/>
      <w:numFmt w:val="decimalEnclosedCircle"/>
      <w:isLgl w:val="false"/>
      <w:suff w:val="tab"/>
      <w:lvlText w:val="%8"/>
      <w:lvlJc w:val="left"/>
      <w:pPr>
        <w:ind w:left="3300" w:hanging="360"/>
        <w:tabs>
          <w:tab w:val="left" w:pos="3300" w:leader="none"/>
        </w:tabs>
      </w:pPr>
    </w:lvl>
    <w:lvl w:ilvl="8">
      <w:start w:val="1"/>
      <w:numFmt w:val="lowerRoman"/>
      <w:isLgl w:val="false"/>
      <w:suff w:val="tab"/>
      <w:lvlText w:val="%9."/>
      <w:lvlJc w:val="right"/>
      <w:pPr>
        <w:ind w:left="3780" w:hanging="420"/>
        <w:tabs>
          <w:tab w:val="left" w:pos="3780" w:leader="none"/>
        </w:tabs>
      </w:pPr>
    </w:lvl>
  </w:abstractNum>
  <w:abstractNum w:abstractNumId="21">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22">
    <w:multiLevelType w:val="hybridMultilevel"/>
    <w:lvl w:ilvl="0">
      <w:start w:val="1"/>
      <w:numFmt w:val="decimal"/>
      <w:isLgl w:val="false"/>
      <w:suff w:val="space"/>
      <w:lvlText w:val="（%1）"/>
      <w:lvlJc w:val="left"/>
      <w:pPr>
        <w:ind w:left="84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space"/>
      <w:lvlText w:val="（%1）"/>
      <w:lvlJc w:val="left"/>
      <w:pPr>
        <w:ind w:left="84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nothing"/>
      <w:lvlText w:val="%1）"/>
      <w:lvlJc w:val="left"/>
      <w:pPr>
        <w:ind w:left="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japaneseCounting"/>
      <w:isLgl w:val="false"/>
      <w:suff w:val="tab"/>
      <w:lvlText w:val="（%1）"/>
      <w:lvlJc w:val="left"/>
      <w:pPr>
        <w:ind w:left="1138" w:hanging="855"/>
        <w:tabs>
          <w:tab w:val="left" w:pos="1138" w:leader="none"/>
        </w:tabs>
      </w:pPr>
      <w:rPr>
        <w:rFonts w:hint="eastAsia"/>
      </w:rPr>
    </w:lvl>
    <w:lvl w:ilvl="1">
      <w:start w:val="3"/>
      <w:numFmt w:val="decimal"/>
      <w:isLgl w:val="false"/>
      <w:suff w:val="tab"/>
      <w:lvlText w:val="%2."/>
      <w:lvlJc w:val="left"/>
      <w:pPr>
        <w:ind w:left="1408" w:hanging="705"/>
        <w:tabs>
          <w:tab w:val="left" w:pos="1408" w:leader="none"/>
        </w:tabs>
      </w:pPr>
      <w:rPr>
        <w:rFonts w:hint="default"/>
      </w:rPr>
    </w:lvl>
    <w:lvl w:ilvl="2">
      <w:start w:val="1"/>
      <w:numFmt w:val="decimal"/>
      <w:isLgl w:val="false"/>
      <w:suff w:val="tab"/>
      <w:lvlText w:val="%3."/>
      <w:lvlJc w:val="left"/>
      <w:pPr>
        <w:ind w:left="2023" w:hanging="900"/>
        <w:tabs>
          <w:tab w:val="left" w:pos="2023" w:leader="none"/>
        </w:tabs>
      </w:pPr>
      <w:rPr>
        <w:rFonts w:hint="eastAsia"/>
      </w:rPr>
    </w:lvl>
    <w:lvl w:ilvl="3">
      <w:start w:val="1"/>
      <w:numFmt w:val="decimal"/>
      <w:isLgl w:val="false"/>
      <w:suff w:val="tab"/>
      <w:lvlText w:val="（%4）"/>
      <w:lvlJc w:val="left"/>
      <w:pPr>
        <w:ind w:left="2263" w:hanging="720"/>
        <w:tabs>
          <w:tab w:val="left" w:pos="2263" w:leader="none"/>
        </w:tabs>
      </w:pPr>
      <w:rPr>
        <w:rFonts w:hint="eastAsia" w:ascii="宋体" w:hAnsi="宋体" w:eastAsia="宋体"/>
        <w:sz w:val="24"/>
        <w:szCs w:val="24"/>
      </w:rPr>
    </w:lvl>
    <w:lvl w:ilvl="4">
      <w:start w:val="1"/>
      <w:numFmt w:val="lowerLetter"/>
      <w:isLgl w:val="false"/>
      <w:suff w:val="tab"/>
      <w:lvlText w:val="%5."/>
      <w:lvlJc w:val="left"/>
      <w:pPr>
        <w:ind w:left="2323" w:hanging="360"/>
        <w:tabs>
          <w:tab w:val="left" w:pos="2323" w:leader="none"/>
        </w:tabs>
      </w:pPr>
      <w:rPr>
        <w:rFonts w:hint="eastAsia"/>
      </w:rPr>
    </w:lvl>
    <w:lvl w:ilvl="5">
      <w:start w:val="1"/>
      <w:numFmt w:val="decimal"/>
      <w:isLgl w:val="false"/>
      <w:suff w:val="tab"/>
      <w:lvlText w:val="%6．"/>
      <w:lvlJc w:val="left"/>
      <w:pPr>
        <w:ind w:left="3103" w:hanging="720"/>
        <w:tabs>
          <w:tab w:val="left" w:pos="3103" w:leader="none"/>
        </w:tabs>
      </w:pPr>
      <w:rPr>
        <w:rFonts w:hint="eastAsia"/>
      </w:rPr>
    </w:lvl>
    <w:lvl w:ilvl="6">
      <w:start w:val="1"/>
      <w:numFmt w:val="decimal"/>
      <w:isLgl w:val="false"/>
      <w:suff w:val="tab"/>
      <w:lvlText w:val="%7."/>
      <w:lvlJc w:val="left"/>
      <w:pPr>
        <w:ind w:left="3223" w:hanging="420"/>
        <w:tabs>
          <w:tab w:val="left" w:pos="3223" w:leader="none"/>
        </w:tabs>
      </w:pPr>
    </w:lvl>
    <w:lvl w:ilvl="7">
      <w:start w:val="1"/>
      <w:numFmt w:val="lowerLetter"/>
      <w:isLgl w:val="false"/>
      <w:suff w:val="tab"/>
      <w:lvlText w:val="%8)"/>
      <w:lvlJc w:val="left"/>
      <w:pPr>
        <w:ind w:left="3643" w:hanging="420"/>
        <w:tabs>
          <w:tab w:val="left" w:pos="3643" w:leader="none"/>
        </w:tabs>
      </w:pPr>
    </w:lvl>
    <w:lvl w:ilvl="8">
      <w:start w:val="1"/>
      <w:numFmt w:val="lowerRoman"/>
      <w:isLgl w:val="false"/>
      <w:suff w:val="tab"/>
      <w:lvlText w:val="%9."/>
      <w:lvlJc w:val="right"/>
      <w:pPr>
        <w:ind w:left="4063" w:hanging="420"/>
        <w:tabs>
          <w:tab w:val="left" w:pos="4063" w:leader="none"/>
        </w:tabs>
      </w:pPr>
    </w:lvl>
  </w:abstractNum>
  <w:abstractNum w:abstractNumId="26">
    <w:multiLevelType w:val="hybridMultilevel"/>
    <w:lvl w:ilvl="0">
      <w:start w:val="7"/>
      <w:numFmt w:val="japaneseCounting"/>
      <w:isLgl w:val="false"/>
      <w:suff w:val="tab"/>
      <w:lvlText w:val="（%1）"/>
      <w:lvlJc w:val="left"/>
      <w:pPr>
        <w:ind w:left="1200" w:hanging="720"/>
        <w:tabs>
          <w:tab w:val="left" w:pos="12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7">
    <w:multiLevelType w:val="hybridMultilevel"/>
    <w:lvl w:ilvl="0">
      <w:start w:val="3"/>
      <w:numFmt w:val="chineseCounting"/>
      <w:isLgl w:val="false"/>
      <w:suff w:val="nothing"/>
      <w:lvlText w:val="%1．"/>
      <w:lvlJc w:val="left"/>
      <w:pPr>
        <w:ind w:left="1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
      <w:numFmt w:val="decimal"/>
      <w:isLgl w:val="false"/>
      <w:suff w:val="tab"/>
      <w:lvlText w:val="%1．"/>
      <w:lvlJc w:val="left"/>
      <w:pPr>
        <w:ind w:left="943" w:hanging="420"/>
      </w:pPr>
      <w:rPr>
        <w:rFonts w:hint="eastAsia"/>
      </w:rPr>
    </w:lvl>
    <w:lvl w:ilvl="1">
      <w:start w:val="1"/>
      <w:numFmt w:val="lowerLetter"/>
      <w:isLgl w:val="false"/>
      <w:suff w:val="tab"/>
      <w:lvlText w:val="%2)"/>
      <w:lvlJc w:val="left"/>
      <w:pPr>
        <w:ind w:left="1363" w:hanging="420"/>
      </w:pPr>
    </w:lvl>
    <w:lvl w:ilvl="2">
      <w:start w:val="1"/>
      <w:numFmt w:val="lowerRoman"/>
      <w:isLgl w:val="false"/>
      <w:suff w:val="tab"/>
      <w:lvlText w:val="%3."/>
      <w:lvlJc w:val="right"/>
      <w:pPr>
        <w:ind w:left="1783" w:hanging="420"/>
      </w:pPr>
    </w:lvl>
    <w:lvl w:ilvl="3">
      <w:start w:val="1"/>
      <w:numFmt w:val="decimal"/>
      <w:isLgl w:val="false"/>
      <w:suff w:val="tab"/>
      <w:lvlText w:val="%4."/>
      <w:lvlJc w:val="left"/>
      <w:pPr>
        <w:ind w:left="2203" w:hanging="420"/>
      </w:pPr>
    </w:lvl>
    <w:lvl w:ilvl="4">
      <w:start w:val="1"/>
      <w:numFmt w:val="lowerLetter"/>
      <w:isLgl w:val="false"/>
      <w:suff w:val="tab"/>
      <w:lvlText w:val="%5)"/>
      <w:lvlJc w:val="left"/>
      <w:pPr>
        <w:ind w:left="2623" w:hanging="420"/>
      </w:pPr>
    </w:lvl>
    <w:lvl w:ilvl="5">
      <w:start w:val="1"/>
      <w:numFmt w:val="lowerRoman"/>
      <w:isLgl w:val="false"/>
      <w:suff w:val="tab"/>
      <w:lvlText w:val="%6."/>
      <w:lvlJc w:val="right"/>
      <w:pPr>
        <w:ind w:left="3043" w:hanging="420"/>
      </w:pPr>
    </w:lvl>
    <w:lvl w:ilvl="6">
      <w:start w:val="1"/>
      <w:numFmt w:val="decimal"/>
      <w:isLgl w:val="false"/>
      <w:suff w:val="tab"/>
      <w:lvlText w:val="%7."/>
      <w:lvlJc w:val="left"/>
      <w:pPr>
        <w:ind w:left="3463" w:hanging="420"/>
      </w:pPr>
    </w:lvl>
    <w:lvl w:ilvl="7">
      <w:start w:val="1"/>
      <w:numFmt w:val="lowerLetter"/>
      <w:isLgl w:val="false"/>
      <w:suff w:val="tab"/>
      <w:lvlText w:val="%8)"/>
      <w:lvlJc w:val="left"/>
      <w:pPr>
        <w:ind w:left="3883" w:hanging="420"/>
      </w:pPr>
    </w:lvl>
    <w:lvl w:ilvl="8">
      <w:start w:val="1"/>
      <w:numFmt w:val="lowerRoman"/>
      <w:isLgl w:val="false"/>
      <w:suff w:val="tab"/>
      <w:lvlText w:val="%9."/>
      <w:lvlJc w:val="right"/>
      <w:pPr>
        <w:ind w:left="4303" w:hanging="420"/>
      </w:pPr>
    </w:lvl>
  </w:abstractNum>
  <w:abstractNum w:abstractNumId="30">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0"/>
  </w:num>
  <w:num w:numId="2">
    <w:abstractNumId w:val="13"/>
  </w:num>
  <w:num w:numId="3">
    <w:abstractNumId w:val="12"/>
  </w:num>
  <w:num w:numId="4">
    <w:abstractNumId w:val="15"/>
  </w:num>
  <w:num w:numId="5">
    <w:abstractNumId w:val="11"/>
  </w:num>
  <w:num w:numId="6">
    <w:abstractNumId w:val="14"/>
  </w:num>
  <w:num w:numId="7">
    <w:abstractNumId w:val="24"/>
  </w:num>
  <w:num w:numId="8">
    <w:abstractNumId w:val="20"/>
  </w:num>
  <w:num w:numId="9">
    <w:abstractNumId w:val="29"/>
  </w:num>
  <w:num w:numId="10">
    <w:abstractNumId w:val="16"/>
  </w:num>
  <w:num w:numId="11">
    <w:abstractNumId w:val="2"/>
  </w:num>
  <w:num w:numId="12">
    <w:abstractNumId w:val="21"/>
  </w:num>
  <w:num w:numId="13">
    <w:abstractNumId w:val="22"/>
  </w:num>
  <w:num w:numId="14">
    <w:abstractNumId w:val="23"/>
  </w:num>
  <w:num w:numId="15">
    <w:abstractNumId w:val="26"/>
  </w:num>
  <w:num w:numId="16">
    <w:abstractNumId w:val="7"/>
  </w:num>
  <w:num w:numId="17">
    <w:abstractNumId w:val="19"/>
  </w:num>
  <w:num w:numId="18">
    <w:abstractNumId w:val="9"/>
  </w:num>
  <w:num w:numId="19">
    <w:abstractNumId w:val="27"/>
  </w:num>
  <w:num w:numId="20">
    <w:abstractNumId w:val="5"/>
  </w:num>
  <w:num w:numId="21">
    <w:abstractNumId w:val="17"/>
  </w:num>
  <w:num w:numId="22">
    <w:abstractNumId w:val="6"/>
  </w:num>
  <w:num w:numId="23">
    <w:abstractNumId w:val="1"/>
  </w:num>
  <w:num w:numId="24">
    <w:abstractNumId w:val="18"/>
  </w:num>
  <w:num w:numId="25">
    <w:abstractNumId w:val="4"/>
  </w:num>
  <w:num w:numId="26">
    <w:abstractNumId w:val="8"/>
  </w:num>
  <w:num w:numId="27">
    <w:abstractNumId w:val="30"/>
  </w:num>
  <w:num w:numId="28">
    <w:abstractNumId w:val="28"/>
  </w:num>
  <w:num w:numId="29">
    <w:abstractNumId w:val="25"/>
  </w:num>
  <w:num w:numId="30">
    <w:abstractNumId w:val="0"/>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1"/>
    <w:link w:val="702"/>
    <w:uiPriority w:val="9"/>
    <w:rPr>
      <w:rFonts w:ascii="Arial" w:hAnsi="Arial" w:eastAsia="Arial" w:cs="Arial"/>
      <w:sz w:val="40"/>
      <w:szCs w:val="40"/>
    </w:rPr>
  </w:style>
  <w:style w:type="character" w:styleId="15">
    <w:name w:val="Heading 2 Char"/>
    <w:basedOn w:val="711"/>
    <w:link w:val="703"/>
    <w:uiPriority w:val="9"/>
    <w:rPr>
      <w:rFonts w:ascii="Arial" w:hAnsi="Arial" w:eastAsia="Arial" w:cs="Arial"/>
      <w:sz w:val="34"/>
    </w:rPr>
  </w:style>
  <w:style w:type="character" w:styleId="17">
    <w:name w:val="Heading 3 Char"/>
    <w:basedOn w:val="711"/>
    <w:link w:val="704"/>
    <w:uiPriority w:val="9"/>
    <w:rPr>
      <w:rFonts w:ascii="Arial" w:hAnsi="Arial" w:eastAsia="Arial" w:cs="Arial"/>
      <w:sz w:val="30"/>
      <w:szCs w:val="30"/>
    </w:rPr>
  </w:style>
  <w:style w:type="character" w:styleId="19">
    <w:name w:val="Heading 4 Char"/>
    <w:basedOn w:val="711"/>
    <w:link w:val="705"/>
    <w:uiPriority w:val="9"/>
    <w:rPr>
      <w:rFonts w:ascii="Arial" w:hAnsi="Arial" w:eastAsia="Arial" w:cs="Arial"/>
      <w:b/>
      <w:bCs/>
      <w:sz w:val="26"/>
      <w:szCs w:val="26"/>
    </w:rPr>
  </w:style>
  <w:style w:type="character" w:styleId="21">
    <w:name w:val="Heading 5 Char"/>
    <w:basedOn w:val="711"/>
    <w:link w:val="706"/>
    <w:uiPriority w:val="9"/>
    <w:rPr>
      <w:rFonts w:ascii="Arial" w:hAnsi="Arial" w:eastAsia="Arial" w:cs="Arial"/>
      <w:b/>
      <w:bCs/>
      <w:sz w:val="24"/>
      <w:szCs w:val="24"/>
    </w:rPr>
  </w:style>
  <w:style w:type="character" w:styleId="23">
    <w:name w:val="Heading 6 Char"/>
    <w:basedOn w:val="711"/>
    <w:link w:val="707"/>
    <w:uiPriority w:val="9"/>
    <w:rPr>
      <w:rFonts w:ascii="Arial" w:hAnsi="Arial" w:eastAsia="Arial" w:cs="Arial"/>
      <w:b/>
      <w:bCs/>
      <w:sz w:val="22"/>
      <w:szCs w:val="22"/>
    </w:rPr>
  </w:style>
  <w:style w:type="character" w:styleId="25">
    <w:name w:val="Heading 7 Char"/>
    <w:basedOn w:val="711"/>
    <w:link w:val="708"/>
    <w:uiPriority w:val="9"/>
    <w:rPr>
      <w:rFonts w:ascii="Arial" w:hAnsi="Arial" w:eastAsia="Arial" w:cs="Arial"/>
      <w:b/>
      <w:bCs/>
      <w:i/>
      <w:iCs/>
      <w:sz w:val="22"/>
      <w:szCs w:val="22"/>
    </w:rPr>
  </w:style>
  <w:style w:type="character" w:styleId="27">
    <w:name w:val="Heading 8 Char"/>
    <w:basedOn w:val="711"/>
    <w:link w:val="709"/>
    <w:uiPriority w:val="9"/>
    <w:rPr>
      <w:rFonts w:ascii="Arial" w:hAnsi="Arial" w:eastAsia="Arial" w:cs="Arial"/>
      <w:i/>
      <w:iCs/>
      <w:sz w:val="22"/>
      <w:szCs w:val="22"/>
    </w:rPr>
  </w:style>
  <w:style w:type="character" w:styleId="29">
    <w:name w:val="Heading 9 Char"/>
    <w:basedOn w:val="711"/>
    <w:link w:val="710"/>
    <w:uiPriority w:val="9"/>
    <w:rPr>
      <w:rFonts w:ascii="Arial" w:hAnsi="Arial" w:eastAsia="Arial" w:cs="Arial"/>
      <w:i/>
      <w:iCs/>
      <w:sz w:val="21"/>
      <w:szCs w:val="21"/>
    </w:rPr>
  </w:style>
  <w:style w:type="character" w:styleId="34">
    <w:name w:val="Title Char"/>
    <w:basedOn w:val="711"/>
    <w:link w:val="765"/>
    <w:uiPriority w:val="10"/>
    <w:rPr>
      <w:sz w:val="48"/>
      <w:szCs w:val="48"/>
    </w:rPr>
  </w:style>
  <w:style w:type="paragraph" w:styleId="35">
    <w:name w:val="Subtitle"/>
    <w:basedOn w:val="897"/>
    <w:next w:val="897"/>
    <w:link w:val="36"/>
    <w:uiPriority w:val="11"/>
    <w:qFormat/>
    <w:pPr>
      <w:spacing w:before="200" w:after="200"/>
    </w:pPr>
    <w:rPr>
      <w:sz w:val="24"/>
      <w:szCs w:val="24"/>
    </w:rPr>
  </w:style>
  <w:style w:type="character" w:styleId="36">
    <w:name w:val="Subtitle Char"/>
    <w:basedOn w:val="711"/>
    <w:link w:val="35"/>
    <w:uiPriority w:val="11"/>
    <w:rPr>
      <w:sz w:val="24"/>
      <w:szCs w:val="24"/>
    </w:rPr>
  </w:style>
  <w:style w:type="paragraph" w:styleId="37">
    <w:name w:val="Quote"/>
    <w:basedOn w:val="897"/>
    <w:next w:val="897"/>
    <w:link w:val="38"/>
    <w:uiPriority w:val="29"/>
    <w:qFormat/>
    <w:pPr>
      <w:ind w:left="720" w:right="720"/>
    </w:pPr>
    <w:rPr>
      <w:i/>
    </w:rPr>
  </w:style>
  <w:style w:type="character" w:styleId="38">
    <w:name w:val="Quote Char"/>
    <w:link w:val="37"/>
    <w:uiPriority w:val="29"/>
    <w:rPr>
      <w:i/>
    </w:rPr>
  </w:style>
  <w:style w:type="paragraph" w:styleId="39">
    <w:name w:val="Intense Quote"/>
    <w:basedOn w:val="897"/>
    <w:next w:val="8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1"/>
    <w:link w:val="744"/>
    <w:uiPriority w:val="99"/>
  </w:style>
  <w:style w:type="character" w:styleId="44">
    <w:name w:val="Footer Char"/>
    <w:basedOn w:val="711"/>
    <w:link w:val="743"/>
    <w:uiPriority w:val="99"/>
  </w:style>
  <w:style w:type="character" w:styleId="46">
    <w:name w:val="Caption Char"/>
    <w:basedOn w:val="717"/>
    <w:link w:val="743"/>
    <w:uiPriority w:val="99"/>
  </w:style>
  <w:style w:type="table" w:styleId="48">
    <w:name w:val="Table Grid Light"/>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48"/>
    <w:uiPriority w:val="99"/>
    <w:rPr>
      <w:sz w:val="18"/>
    </w:rPr>
  </w:style>
  <w:style w:type="paragraph" w:styleId="177">
    <w:name w:val="endnote text"/>
    <w:basedOn w:val="8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1"/>
    <w:uiPriority w:val="99"/>
    <w:semiHidden/>
    <w:unhideWhenUsed/>
    <w:rPr>
      <w:vertAlign w:val="superscript"/>
    </w:rPr>
  </w:style>
  <w:style w:type="paragraph" w:styleId="189">
    <w:name w:val="TOC Heading"/>
    <w:uiPriority w:val="39"/>
    <w:unhideWhenUsed/>
  </w:style>
  <w:style w:type="paragraph" w:styleId="190">
    <w:name w:val="table of figures"/>
    <w:basedOn w:val="897"/>
    <w:next w:val="897"/>
    <w:uiPriority w:val="99"/>
    <w:unhideWhenUsed/>
    <w:pPr>
      <w:spacing w:after="0" w:afterAutospacing="0"/>
    </w:pPr>
  </w:style>
  <w:style w:type="paragraph" w:styleId="70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2">
    <w:name w:val="Heading 1"/>
    <w:basedOn w:val="701"/>
    <w:next w:val="701"/>
    <w:link w:val="779"/>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703">
    <w:name w:val="Heading 2"/>
    <w:basedOn w:val="701"/>
    <w:next w:val="701"/>
    <w:link w:val="780"/>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704">
    <w:name w:val="Heading 3"/>
    <w:basedOn w:val="701"/>
    <w:next w:val="701"/>
    <w:link w:val="781"/>
    <w:uiPriority w:val="0"/>
    <w:qFormat/>
    <w:pPr>
      <w:keepLines/>
      <w:keepNext/>
      <w:spacing w:before="260" w:after="260" w:line="416" w:lineRule="auto"/>
      <w:outlineLvl w:val="2"/>
    </w:pPr>
    <w:rPr>
      <w:rFonts w:ascii="黑体" w:eastAsia="黑体"/>
      <w:b/>
      <w:bCs/>
      <w:sz w:val="32"/>
      <w:szCs w:val="32"/>
    </w:rPr>
  </w:style>
  <w:style w:type="paragraph" w:styleId="705">
    <w:name w:val="Heading 4"/>
    <w:basedOn w:val="701"/>
    <w:next w:val="701"/>
    <w:link w:val="782"/>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06">
    <w:name w:val="Heading 5"/>
    <w:basedOn w:val="701"/>
    <w:next w:val="701"/>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707">
    <w:name w:val="Heading 6"/>
    <w:basedOn w:val="701"/>
    <w:next w:val="701"/>
    <w:link w:val="783"/>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08">
    <w:name w:val="Heading 7"/>
    <w:basedOn w:val="701"/>
    <w:next w:val="701"/>
    <w:link w:val="784"/>
    <w:uiPriority w:val="0"/>
    <w:qFormat/>
    <w:pPr>
      <w:ind w:left="1296" w:hanging="1296"/>
      <w:keepLines/>
      <w:keepNext/>
      <w:spacing w:before="240" w:after="64" w:line="320" w:lineRule="atLeast"/>
      <w:tabs>
        <w:tab w:val="left" w:pos="1296" w:leader="none"/>
      </w:tabs>
      <w:outlineLvl w:val="6"/>
    </w:pPr>
    <w:rPr>
      <w:b/>
      <w:sz w:val="24"/>
    </w:rPr>
  </w:style>
  <w:style w:type="paragraph" w:styleId="709">
    <w:name w:val="Heading 8"/>
    <w:basedOn w:val="701"/>
    <w:next w:val="701"/>
    <w:link w:val="785"/>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10">
    <w:name w:val="Heading 9"/>
    <w:basedOn w:val="701"/>
    <w:next w:val="701"/>
    <w:link w:val="786"/>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11" w:default="1">
    <w:name w:val="Default Paragraph Font"/>
    <w:uiPriority w:val="0"/>
    <w:qFormat/>
  </w:style>
  <w:style w:type="table" w:styleId="712" w:default="1">
    <w:name w:val="Normal Table"/>
    <w:uiPriority w:val="99"/>
    <w:unhideWhenUsed/>
    <w:qFormat/>
    <w:tblPr>
      <w:tblCellMar>
        <w:left w:w="108" w:type="dxa"/>
        <w:top w:w="0" w:type="dxa"/>
        <w:right w:w="108" w:type="dxa"/>
        <w:bottom w:w="0" w:type="dxa"/>
      </w:tblCellMar>
    </w:tblPr>
  </w:style>
  <w:style w:type="paragraph" w:styleId="713">
    <w:name w:val="List 3"/>
    <w:basedOn w:val="701"/>
    <w:uiPriority w:val="0"/>
    <w:qFormat/>
    <w:pPr>
      <w:ind w:left="1260" w:hanging="420"/>
    </w:pPr>
    <w:rPr>
      <w:rFonts w:hAnsi="宋体"/>
      <w:color w:val="000000"/>
      <w:spacing w:val="-8"/>
      <w:szCs w:val="20"/>
    </w:rPr>
  </w:style>
  <w:style w:type="paragraph" w:styleId="714">
    <w:name w:val="toc 7"/>
    <w:basedOn w:val="701"/>
    <w:next w:val="701"/>
    <w:uiPriority w:val="0"/>
    <w:qFormat/>
    <w:pPr>
      <w:ind w:left="1260" w:firstLine="420"/>
      <w:jc w:val="left"/>
      <w:spacing w:line="288" w:lineRule="auto"/>
    </w:pPr>
    <w:rPr>
      <w:sz w:val="18"/>
      <w:szCs w:val="18"/>
    </w:rPr>
  </w:style>
  <w:style w:type="paragraph" w:styleId="715">
    <w:name w:val="index 8"/>
    <w:basedOn w:val="701"/>
    <w:next w:val="701"/>
    <w:uiPriority w:val="0"/>
    <w:qFormat/>
    <w:pPr>
      <w:ind w:left="1400"/>
    </w:pPr>
    <w:rPr>
      <w:szCs w:val="20"/>
    </w:rPr>
  </w:style>
  <w:style w:type="paragraph" w:styleId="716">
    <w:name w:val="Normal Indent"/>
    <w:basedOn w:val="701"/>
    <w:link w:val="787"/>
    <w:uiPriority w:val="0"/>
    <w:qFormat/>
    <w:pPr>
      <w:ind w:firstLine="420"/>
      <w:jc w:val="left"/>
      <w:widowControl/>
    </w:pPr>
    <w:rPr>
      <w:sz w:val="20"/>
      <w:szCs w:val="20"/>
    </w:rPr>
  </w:style>
  <w:style w:type="paragraph" w:styleId="717">
    <w:name w:val="Caption"/>
    <w:basedOn w:val="701"/>
    <w:next w:val="701"/>
    <w:uiPriority w:val="0"/>
    <w:qFormat/>
    <w:rPr>
      <w:rFonts w:ascii="Arial" w:hAnsi="Arial" w:eastAsia="黑体" w:cs="Arial"/>
      <w:sz w:val="20"/>
      <w:szCs w:val="20"/>
    </w:rPr>
  </w:style>
  <w:style w:type="paragraph" w:styleId="718">
    <w:name w:val="index 5"/>
    <w:basedOn w:val="701"/>
    <w:next w:val="701"/>
    <w:uiPriority w:val="0"/>
    <w:qFormat/>
    <w:pPr>
      <w:ind w:left="800"/>
    </w:pPr>
    <w:rPr>
      <w:szCs w:val="20"/>
    </w:rPr>
  </w:style>
  <w:style w:type="paragraph" w:styleId="719">
    <w:name w:val="List Bullet"/>
    <w:basedOn w:val="701"/>
    <w:uiPriority w:val="0"/>
    <w:qFormat/>
    <w:pPr>
      <w:ind w:left="360" w:firstLine="200"/>
      <w:tabs>
        <w:tab w:val="left" w:pos="360" w:leader="none"/>
      </w:tabs>
    </w:pPr>
    <w:rPr>
      <w:rFonts w:hAnsi="宋体"/>
      <w:color w:val="000000"/>
      <w:spacing w:val="-8"/>
      <w:szCs w:val="20"/>
    </w:rPr>
  </w:style>
  <w:style w:type="paragraph" w:styleId="720">
    <w:name w:val="Document Map"/>
    <w:basedOn w:val="701"/>
    <w:link w:val="788"/>
    <w:uiPriority w:val="0"/>
    <w:qFormat/>
    <w:pPr>
      <w:shd w:val="clear" w:color="auto" w:fill="000080"/>
    </w:pPr>
  </w:style>
  <w:style w:type="paragraph" w:styleId="721">
    <w:name w:val="annotation text"/>
    <w:basedOn w:val="701"/>
    <w:link w:val="789"/>
    <w:uiPriority w:val="0"/>
    <w:qFormat/>
    <w:pPr>
      <w:jc w:val="left"/>
    </w:pPr>
  </w:style>
  <w:style w:type="paragraph" w:styleId="722">
    <w:name w:val="index 6"/>
    <w:basedOn w:val="701"/>
    <w:next w:val="701"/>
    <w:uiPriority w:val="0"/>
    <w:qFormat/>
    <w:pPr>
      <w:ind w:left="1000"/>
    </w:pPr>
    <w:rPr>
      <w:szCs w:val="20"/>
    </w:rPr>
  </w:style>
  <w:style w:type="paragraph" w:styleId="723">
    <w:name w:val="Salutation"/>
    <w:basedOn w:val="701"/>
    <w:next w:val="701"/>
    <w:link w:val="790"/>
    <w:uiPriority w:val="0"/>
    <w:qFormat/>
    <w:pPr>
      <w:ind w:firstLine="420"/>
      <w:spacing w:after="20" w:line="288" w:lineRule="auto"/>
    </w:pPr>
    <w:rPr>
      <w:sz w:val="28"/>
    </w:rPr>
  </w:style>
  <w:style w:type="paragraph" w:styleId="724">
    <w:name w:val="Body Text 3"/>
    <w:basedOn w:val="701"/>
    <w:uiPriority w:val="0"/>
    <w:qFormat/>
    <w:pPr>
      <w:jc w:val="center"/>
      <w:spacing w:after="20" w:line="288" w:lineRule="auto"/>
    </w:pPr>
    <w:rPr>
      <w:sz w:val="24"/>
      <w:szCs w:val="24"/>
    </w:rPr>
  </w:style>
  <w:style w:type="paragraph" w:styleId="725">
    <w:name w:val="Closing"/>
    <w:basedOn w:val="701"/>
    <w:link w:val="791"/>
    <w:uiPriority w:val="0"/>
    <w:qFormat/>
    <w:pPr>
      <w:ind w:left="100" w:firstLine="420"/>
      <w:spacing w:after="20" w:line="288" w:lineRule="auto"/>
    </w:pPr>
    <w:rPr>
      <w:sz w:val="28"/>
    </w:rPr>
  </w:style>
  <w:style w:type="paragraph" w:styleId="726">
    <w:name w:val="Body Text"/>
    <w:basedOn w:val="701"/>
    <w:uiPriority w:val="0"/>
    <w:qFormat/>
    <w:rPr>
      <w:rFonts w:ascii="仿宋_GB2312" w:eastAsia="仿宋_GB2312"/>
      <w:sz w:val="28"/>
      <w:szCs w:val="20"/>
    </w:rPr>
  </w:style>
  <w:style w:type="paragraph" w:styleId="727">
    <w:name w:val="Body Text Indent"/>
    <w:basedOn w:val="701"/>
    <w:next w:val="728"/>
    <w:link w:val="792"/>
    <w:uiPriority w:val="0"/>
    <w:qFormat/>
    <w:pPr>
      <w:ind w:left="156"/>
      <w:spacing w:line="300" w:lineRule="auto"/>
      <w:widowControl/>
    </w:pPr>
    <w:rPr>
      <w:rFonts w:ascii="仿宋_GB2312" w:eastAsia="仿宋_GB2312"/>
      <w:sz w:val="28"/>
      <w:szCs w:val="20"/>
    </w:rPr>
  </w:style>
  <w:style w:type="paragraph" w:styleId="728">
    <w:name w:val="envelope return"/>
    <w:basedOn w:val="701"/>
    <w:uiPriority w:val="0"/>
    <w:unhideWhenUsed/>
    <w:qFormat/>
    <w:rPr>
      <w:rFonts w:ascii="Arial" w:hAnsi="Arial"/>
    </w:rPr>
  </w:style>
  <w:style w:type="paragraph" w:styleId="729">
    <w:name w:val="List 2"/>
    <w:basedOn w:val="701"/>
    <w:uiPriority w:val="0"/>
    <w:qFormat/>
    <w:pPr>
      <w:ind w:left="840" w:hanging="420"/>
    </w:pPr>
    <w:rPr>
      <w:rFonts w:hAnsi="宋体"/>
      <w:color w:val="000000"/>
      <w:spacing w:val="-8"/>
      <w:szCs w:val="20"/>
    </w:rPr>
  </w:style>
  <w:style w:type="paragraph" w:styleId="730">
    <w:name w:val="List Continue"/>
    <w:basedOn w:val="701"/>
    <w:uiPriority w:val="0"/>
    <w:qFormat/>
    <w:pPr>
      <w:ind w:left="420" w:firstLine="448"/>
      <w:spacing w:after="120"/>
    </w:pPr>
    <w:rPr>
      <w:rFonts w:hAnsi="宋体"/>
      <w:color w:val="000000"/>
      <w:spacing w:val="-8"/>
      <w:szCs w:val="20"/>
    </w:rPr>
  </w:style>
  <w:style w:type="paragraph" w:styleId="731">
    <w:name w:val="Block Text"/>
    <w:basedOn w:val="701"/>
    <w:uiPriority w:val="0"/>
    <w:qFormat/>
    <w:pPr>
      <w:ind w:left="420" w:right="33"/>
      <w:jc w:val="left"/>
    </w:pPr>
    <w:rPr>
      <w:sz w:val="24"/>
      <w:szCs w:val="20"/>
    </w:rPr>
  </w:style>
  <w:style w:type="paragraph" w:styleId="732">
    <w:name w:val="List Bullet 2"/>
    <w:basedOn w:val="701"/>
    <w:uiPriority w:val="0"/>
    <w:qFormat/>
    <w:pPr>
      <w:ind w:left="780" w:firstLine="200"/>
      <w:tabs>
        <w:tab w:val="left" w:pos="780" w:leader="none"/>
      </w:tabs>
    </w:pPr>
    <w:rPr>
      <w:rFonts w:hAnsi="宋体"/>
      <w:color w:val="000000"/>
      <w:spacing w:val="-8"/>
      <w:szCs w:val="20"/>
    </w:rPr>
  </w:style>
  <w:style w:type="paragraph" w:styleId="733">
    <w:name w:val="index 4"/>
    <w:basedOn w:val="701"/>
    <w:next w:val="701"/>
    <w:uiPriority w:val="0"/>
    <w:qFormat/>
    <w:pPr>
      <w:ind w:left="600"/>
    </w:pPr>
    <w:rPr>
      <w:szCs w:val="20"/>
    </w:rPr>
  </w:style>
  <w:style w:type="paragraph" w:styleId="734">
    <w:name w:val="toc 5"/>
    <w:basedOn w:val="701"/>
    <w:next w:val="701"/>
    <w:uiPriority w:val="0"/>
    <w:qFormat/>
    <w:pPr>
      <w:ind w:left="840" w:firstLine="420"/>
      <w:jc w:val="left"/>
      <w:spacing w:line="288" w:lineRule="auto"/>
    </w:pPr>
    <w:rPr>
      <w:sz w:val="18"/>
      <w:szCs w:val="18"/>
    </w:rPr>
  </w:style>
  <w:style w:type="paragraph" w:styleId="735">
    <w:name w:val="toc 3"/>
    <w:basedOn w:val="701"/>
    <w:next w:val="701"/>
    <w:uiPriority w:val="0"/>
    <w:qFormat/>
    <w:pPr>
      <w:ind w:left="420" w:firstLine="420"/>
      <w:jc w:val="left"/>
      <w:spacing w:line="288" w:lineRule="auto"/>
    </w:pPr>
    <w:rPr>
      <w:iCs/>
      <w:sz w:val="20"/>
      <w:szCs w:val="20"/>
    </w:rPr>
  </w:style>
  <w:style w:type="paragraph" w:styleId="736">
    <w:name w:val="Plain Text"/>
    <w:basedOn w:val="701"/>
    <w:link w:val="793"/>
    <w:uiPriority w:val="0"/>
    <w:qFormat/>
    <w:rPr>
      <w:rFonts w:ascii="宋体" w:hAnsi="Courier New"/>
      <w:szCs w:val="21"/>
    </w:rPr>
  </w:style>
  <w:style w:type="paragraph" w:styleId="737">
    <w:name w:val="List Bullet 5"/>
    <w:basedOn w:val="701"/>
    <w:uiPriority w:val="0"/>
    <w:qFormat/>
    <w:pPr>
      <w:numPr>
        <w:ilvl w:val="0"/>
        <w:numId w:val="2"/>
      </w:numPr>
      <w:spacing w:line="360" w:lineRule="exact"/>
      <w:widowControl/>
    </w:pPr>
    <w:rPr>
      <w:rFonts w:eastAsia="楷体_GB2312"/>
      <w:sz w:val="24"/>
      <w:szCs w:val="20"/>
    </w:rPr>
  </w:style>
  <w:style w:type="paragraph" w:styleId="738">
    <w:name w:val="toc 8"/>
    <w:basedOn w:val="701"/>
    <w:next w:val="701"/>
    <w:uiPriority w:val="0"/>
    <w:qFormat/>
    <w:pPr>
      <w:ind w:left="1470" w:firstLine="420"/>
      <w:jc w:val="left"/>
      <w:spacing w:line="288" w:lineRule="auto"/>
    </w:pPr>
    <w:rPr>
      <w:sz w:val="18"/>
      <w:szCs w:val="18"/>
    </w:rPr>
  </w:style>
  <w:style w:type="paragraph" w:styleId="739">
    <w:name w:val="index 3"/>
    <w:basedOn w:val="701"/>
    <w:next w:val="701"/>
    <w:uiPriority w:val="0"/>
    <w:qFormat/>
    <w:pPr>
      <w:ind w:left="400"/>
    </w:pPr>
    <w:rPr>
      <w:szCs w:val="20"/>
    </w:rPr>
  </w:style>
  <w:style w:type="paragraph" w:styleId="740">
    <w:name w:val="Date"/>
    <w:basedOn w:val="701"/>
    <w:next w:val="701"/>
    <w:uiPriority w:val="0"/>
    <w:qFormat/>
    <w:pPr>
      <w:ind w:left="100"/>
    </w:pPr>
    <w:rPr>
      <w:rFonts w:ascii="楷体_GB2312" w:eastAsia="楷体_GB2312"/>
      <w:b/>
      <w:sz w:val="28"/>
    </w:rPr>
  </w:style>
  <w:style w:type="paragraph" w:styleId="741">
    <w:name w:val="Body Text Indent 2"/>
    <w:basedOn w:val="701"/>
    <w:link w:val="794"/>
    <w:uiPriority w:val="0"/>
    <w:qFormat/>
    <w:pPr>
      <w:ind w:firstLine="559"/>
      <w:spacing w:line="400" w:lineRule="exact"/>
      <w:tabs>
        <w:tab w:val="left" w:pos="0" w:leader="none"/>
        <w:tab w:val="left" w:pos="1134" w:leader="none"/>
      </w:tabs>
    </w:pPr>
    <w:rPr>
      <w:rFonts w:ascii="楷体_GB2312" w:eastAsia="楷体_GB2312"/>
      <w:sz w:val="24"/>
    </w:rPr>
  </w:style>
  <w:style w:type="paragraph" w:styleId="742">
    <w:name w:val="Balloon Text"/>
    <w:basedOn w:val="701"/>
    <w:link w:val="795"/>
    <w:uiPriority w:val="0"/>
    <w:qFormat/>
    <w:rPr>
      <w:sz w:val="18"/>
      <w:szCs w:val="18"/>
    </w:rPr>
  </w:style>
  <w:style w:type="paragraph" w:styleId="743">
    <w:name w:val="Footer"/>
    <w:basedOn w:val="701"/>
    <w:link w:val="796"/>
    <w:uiPriority w:val="0"/>
    <w:qFormat/>
    <w:pPr>
      <w:jc w:val="left"/>
      <w:tabs>
        <w:tab w:val="center" w:pos="4153" w:leader="none"/>
        <w:tab w:val="right" w:pos="8306" w:leader="none"/>
      </w:tabs>
    </w:pPr>
    <w:rPr>
      <w:sz w:val="18"/>
      <w:szCs w:val="18"/>
    </w:rPr>
  </w:style>
  <w:style w:type="paragraph" w:styleId="744">
    <w:name w:val="Header"/>
    <w:basedOn w:val="701"/>
    <w:link w:val="797"/>
    <w:uiPriority w:val="0"/>
    <w:qFormat/>
    <w:pPr>
      <w:jc w:val="center"/>
      <w:tabs>
        <w:tab w:val="center" w:pos="4153" w:leader="none"/>
        <w:tab w:val="right" w:pos="8306" w:leader="none"/>
      </w:tabs>
      <w:pBdr>
        <w:bottom w:val="single" w:color="auto" w:sz="6" w:space="1"/>
      </w:pBdr>
    </w:pPr>
    <w:rPr>
      <w:sz w:val="18"/>
      <w:szCs w:val="18"/>
    </w:rPr>
  </w:style>
  <w:style w:type="paragraph" w:styleId="745">
    <w:name w:val="toc 1"/>
    <w:basedOn w:val="701"/>
    <w:next w:val="701"/>
    <w:link w:val="798"/>
    <w:uiPriority w:val="0"/>
    <w:qFormat/>
    <w:pPr>
      <w:spacing w:before="120" w:after="120" w:line="288" w:lineRule="auto"/>
      <w:tabs>
        <w:tab w:val="right" w:pos="8296" w:leader="dot"/>
      </w:tabs>
    </w:pPr>
    <w:rPr>
      <w:rFonts w:ascii="黑体" w:hAnsi="宋体" w:eastAsia="黑体"/>
      <w:caps/>
      <w:sz w:val="30"/>
      <w:szCs w:val="30"/>
    </w:rPr>
  </w:style>
  <w:style w:type="paragraph" w:styleId="746">
    <w:name w:val="toc 4"/>
    <w:basedOn w:val="701"/>
    <w:next w:val="701"/>
    <w:uiPriority w:val="0"/>
    <w:qFormat/>
    <w:pPr>
      <w:ind w:left="630" w:firstLine="420"/>
      <w:jc w:val="left"/>
      <w:spacing w:line="288" w:lineRule="auto"/>
    </w:pPr>
    <w:rPr>
      <w:sz w:val="18"/>
      <w:szCs w:val="18"/>
    </w:rPr>
  </w:style>
  <w:style w:type="paragraph" w:styleId="747">
    <w:name w:val="List"/>
    <w:basedOn w:val="701"/>
    <w:uiPriority w:val="0"/>
    <w:qFormat/>
    <w:pPr>
      <w:numPr>
        <w:ilvl w:val="0"/>
        <w:numId w:val="3"/>
      </w:numPr>
      <w:spacing w:after="20" w:line="288" w:lineRule="auto"/>
    </w:pPr>
    <w:rPr>
      <w:szCs w:val="20"/>
      <w:lang w:val="en-GB"/>
    </w:rPr>
  </w:style>
  <w:style w:type="paragraph" w:styleId="748">
    <w:name w:val="footnote text"/>
    <w:basedOn w:val="701"/>
    <w:link w:val="799"/>
    <w:uiPriority w:val="0"/>
    <w:qFormat/>
    <w:pPr>
      <w:ind w:firstLine="425"/>
      <w:jc w:val="left"/>
      <w:spacing w:after="60" w:line="360" w:lineRule="exact"/>
    </w:pPr>
    <w:rPr>
      <w:sz w:val="18"/>
      <w:szCs w:val="18"/>
    </w:rPr>
  </w:style>
  <w:style w:type="paragraph" w:styleId="749">
    <w:name w:val="toc 6"/>
    <w:basedOn w:val="701"/>
    <w:next w:val="701"/>
    <w:uiPriority w:val="0"/>
    <w:qFormat/>
    <w:pPr>
      <w:ind w:left="1050" w:firstLine="420"/>
      <w:jc w:val="left"/>
      <w:spacing w:line="288" w:lineRule="auto"/>
    </w:pPr>
    <w:rPr>
      <w:sz w:val="18"/>
      <w:szCs w:val="18"/>
    </w:rPr>
  </w:style>
  <w:style w:type="paragraph" w:styleId="750">
    <w:name w:val="List 5"/>
    <w:basedOn w:val="701"/>
    <w:uiPriority w:val="0"/>
    <w:qFormat/>
    <w:pPr>
      <w:ind w:left="2100" w:hanging="420"/>
    </w:pPr>
    <w:rPr>
      <w:rFonts w:hAnsi="宋体"/>
      <w:color w:val="000000"/>
      <w:spacing w:val="-8"/>
      <w:szCs w:val="20"/>
    </w:rPr>
  </w:style>
  <w:style w:type="paragraph" w:styleId="751">
    <w:name w:val="Body Text Indent 3"/>
    <w:basedOn w:val="701"/>
    <w:uiPriority w:val="0"/>
    <w:qFormat/>
    <w:pPr>
      <w:ind w:firstLine="698"/>
      <w:jc w:val="left"/>
      <w:spacing w:line="360" w:lineRule="auto"/>
    </w:pPr>
    <w:rPr>
      <w:rFonts w:ascii="仿宋_GB2312" w:eastAsia="仿宋_GB2312"/>
      <w:sz w:val="32"/>
      <w:szCs w:val="20"/>
    </w:rPr>
  </w:style>
  <w:style w:type="paragraph" w:styleId="752">
    <w:name w:val="index 7"/>
    <w:basedOn w:val="701"/>
    <w:next w:val="701"/>
    <w:uiPriority w:val="0"/>
    <w:qFormat/>
    <w:pPr>
      <w:ind w:left="1200"/>
    </w:pPr>
    <w:rPr>
      <w:szCs w:val="20"/>
    </w:rPr>
  </w:style>
  <w:style w:type="paragraph" w:styleId="753">
    <w:name w:val="index 9"/>
    <w:basedOn w:val="701"/>
    <w:next w:val="701"/>
    <w:uiPriority w:val="0"/>
    <w:qFormat/>
    <w:pPr>
      <w:ind w:left="1600"/>
    </w:pPr>
    <w:rPr>
      <w:szCs w:val="20"/>
    </w:rPr>
  </w:style>
  <w:style w:type="paragraph" w:styleId="754">
    <w:name w:val="toc 2"/>
    <w:basedOn w:val="701"/>
    <w:next w:val="701"/>
    <w:uiPriority w:val="0"/>
    <w:qFormat/>
    <w:pPr>
      <w:ind w:left="210" w:firstLine="420"/>
      <w:jc w:val="left"/>
      <w:spacing w:line="288" w:lineRule="auto"/>
    </w:pPr>
    <w:rPr>
      <w:smallCaps/>
      <w:sz w:val="20"/>
      <w:szCs w:val="20"/>
    </w:rPr>
  </w:style>
  <w:style w:type="paragraph" w:styleId="755">
    <w:name w:val="toc 9"/>
    <w:basedOn w:val="701"/>
    <w:next w:val="701"/>
    <w:uiPriority w:val="0"/>
    <w:qFormat/>
    <w:pPr>
      <w:ind w:left="1680" w:firstLine="420"/>
      <w:jc w:val="left"/>
      <w:spacing w:line="288" w:lineRule="auto"/>
    </w:pPr>
    <w:rPr>
      <w:sz w:val="18"/>
      <w:szCs w:val="18"/>
    </w:rPr>
  </w:style>
  <w:style w:type="paragraph" w:styleId="756">
    <w:name w:val="Body Text 2"/>
    <w:basedOn w:val="701"/>
    <w:link w:val="800"/>
    <w:uiPriority w:val="0"/>
    <w:qFormat/>
    <w:pPr>
      <w:ind w:firstLine="420"/>
      <w:spacing w:after="20" w:line="720" w:lineRule="auto"/>
    </w:pPr>
    <w:rPr>
      <w:sz w:val="30"/>
    </w:rPr>
  </w:style>
  <w:style w:type="paragraph" w:styleId="757">
    <w:name w:val="List 4"/>
    <w:basedOn w:val="701"/>
    <w:uiPriority w:val="0"/>
    <w:qFormat/>
    <w:pPr>
      <w:ind w:left="1680" w:hanging="420"/>
    </w:pPr>
    <w:rPr>
      <w:rFonts w:hAnsi="宋体"/>
      <w:color w:val="000000"/>
      <w:spacing w:val="-8"/>
      <w:szCs w:val="20"/>
    </w:rPr>
  </w:style>
  <w:style w:type="paragraph" w:styleId="758">
    <w:name w:val="List Continue 2"/>
    <w:basedOn w:val="701"/>
    <w:uiPriority w:val="0"/>
    <w:qFormat/>
    <w:pPr>
      <w:ind w:left="840" w:firstLine="448"/>
      <w:spacing w:after="120"/>
    </w:pPr>
    <w:rPr>
      <w:rFonts w:hAnsi="宋体"/>
      <w:color w:val="000000"/>
      <w:spacing w:val="-8"/>
      <w:szCs w:val="20"/>
    </w:rPr>
  </w:style>
  <w:style w:type="paragraph" w:styleId="759">
    <w:name w:val="Message Header"/>
    <w:basedOn w:val="726"/>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760">
    <w:name w:val="HTML Preformatted"/>
    <w:basedOn w:val="701"/>
    <w:link w:val="80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61">
    <w:name w:val="Normal (Web)"/>
    <w:basedOn w:val="701"/>
    <w:link w:val="802"/>
    <w:uiPriority w:val="0"/>
    <w:qFormat/>
    <w:pPr>
      <w:ind w:firstLine="420"/>
      <w:jc w:val="left"/>
      <w:spacing w:before="100" w:beforeAutospacing="1" w:after="100" w:afterAutospacing="1" w:line="288" w:lineRule="auto"/>
      <w:widowControl/>
    </w:pPr>
    <w:rPr>
      <w:rFonts w:ascii="宋体" w:hAnsi="宋体"/>
      <w:sz w:val="24"/>
    </w:rPr>
  </w:style>
  <w:style w:type="paragraph" w:styleId="762">
    <w:name w:val="List Continue 3"/>
    <w:basedOn w:val="701"/>
    <w:uiPriority w:val="0"/>
    <w:qFormat/>
    <w:pPr>
      <w:ind w:left="1260" w:firstLine="448"/>
      <w:spacing w:after="120"/>
    </w:pPr>
    <w:rPr>
      <w:rFonts w:hAnsi="宋体"/>
      <w:color w:val="000000"/>
      <w:spacing w:val="-8"/>
      <w:szCs w:val="20"/>
    </w:rPr>
  </w:style>
  <w:style w:type="paragraph" w:styleId="763">
    <w:name w:val="index 1"/>
    <w:basedOn w:val="701"/>
    <w:next w:val="701"/>
    <w:uiPriority w:val="0"/>
    <w:qFormat/>
    <w:rPr>
      <w:szCs w:val="20"/>
    </w:rPr>
  </w:style>
  <w:style w:type="paragraph" w:styleId="764">
    <w:name w:val="index 2"/>
    <w:basedOn w:val="701"/>
    <w:next w:val="701"/>
    <w:uiPriority w:val="0"/>
    <w:qFormat/>
    <w:pPr>
      <w:ind w:left="200"/>
    </w:pPr>
    <w:rPr>
      <w:szCs w:val="20"/>
    </w:rPr>
  </w:style>
  <w:style w:type="paragraph" w:styleId="765">
    <w:name w:val="Title"/>
    <w:basedOn w:val="701"/>
    <w:link w:val="803"/>
    <w:uiPriority w:val="0"/>
    <w:qFormat/>
    <w:pPr>
      <w:ind w:firstLine="420"/>
      <w:jc w:val="center"/>
      <w:spacing w:before="240" w:after="60" w:line="288" w:lineRule="auto"/>
      <w:outlineLvl w:val="0"/>
    </w:pPr>
    <w:rPr>
      <w:rFonts w:ascii="Arial" w:hAnsi="Arial"/>
      <w:b/>
      <w:bCs/>
      <w:sz w:val="32"/>
      <w:szCs w:val="32"/>
    </w:rPr>
  </w:style>
  <w:style w:type="paragraph" w:styleId="766">
    <w:name w:val="annotation subject"/>
    <w:basedOn w:val="721"/>
    <w:next w:val="721"/>
    <w:link w:val="804"/>
    <w:uiPriority w:val="0"/>
    <w:qFormat/>
    <w:rPr>
      <w:b/>
      <w:bCs/>
    </w:rPr>
  </w:style>
  <w:style w:type="paragraph" w:styleId="767">
    <w:name w:val="Body Text First Indent"/>
    <w:basedOn w:val="726"/>
    <w:link w:val="805"/>
    <w:uiPriority w:val="0"/>
    <w:qFormat/>
    <w:pPr>
      <w:ind w:firstLine="420"/>
      <w:spacing w:after="120"/>
    </w:pPr>
    <w:rPr>
      <w:color w:val="000000"/>
      <w:spacing w:val="-8"/>
      <w:sz w:val="21"/>
    </w:rPr>
  </w:style>
  <w:style w:type="paragraph" w:styleId="768">
    <w:name w:val="Body Text First Indent 2"/>
    <w:basedOn w:val="727"/>
    <w:uiPriority w:val="0"/>
    <w:qFormat/>
    <w:pPr>
      <w:ind w:left="0" w:firstLine="210"/>
      <w:spacing w:after="120" w:line="240" w:lineRule="auto"/>
      <w:widowControl w:val="off"/>
    </w:pPr>
    <w:rPr>
      <w:rFonts w:hAnsi="宋体"/>
      <w:color w:val="000000"/>
      <w:spacing w:val="-8"/>
      <w:sz w:val="21"/>
    </w:rPr>
  </w:style>
  <w:style w:type="table" w:styleId="769">
    <w:name w:val="Table Grid"/>
    <w:basedOn w:val="71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uiPriority w:val="0"/>
    <w:qFormat/>
    <w:rPr>
      <w:b/>
      <w:bCs/>
    </w:rPr>
  </w:style>
  <w:style w:type="character" w:styleId="771">
    <w:name w:val="page number"/>
    <w:uiPriority w:val="0"/>
    <w:qFormat/>
  </w:style>
  <w:style w:type="character" w:styleId="772">
    <w:name w:val="FollowedHyperlink"/>
    <w:uiPriority w:val="0"/>
    <w:qFormat/>
    <w:rPr>
      <w:color w:val="auto"/>
      <w:u w:val="none"/>
    </w:rPr>
  </w:style>
  <w:style w:type="character" w:styleId="773">
    <w:name w:val="Emphasis"/>
    <w:uiPriority w:val="0"/>
    <w:qFormat/>
    <w:rPr>
      <w:i/>
    </w:rPr>
  </w:style>
  <w:style w:type="character" w:styleId="774">
    <w:name w:val="HTML Typewriter"/>
    <w:uiPriority w:val="0"/>
    <w:qFormat/>
    <w:rPr>
      <w:rFonts w:ascii="宋体" w:hAnsi="宋体" w:eastAsia="宋体" w:cs="宋体"/>
      <w:sz w:val="24"/>
      <w:szCs w:val="24"/>
    </w:rPr>
  </w:style>
  <w:style w:type="character" w:styleId="775">
    <w:name w:val="Hyperlink"/>
    <w:uiPriority w:val="0"/>
    <w:qFormat/>
    <w:rPr>
      <w:color w:val="0000ff"/>
      <w:u w:val="single"/>
    </w:rPr>
  </w:style>
  <w:style w:type="character" w:styleId="776">
    <w:name w:val="HTML Code"/>
    <w:uiPriority w:val="99"/>
    <w:unhideWhenUsed/>
    <w:qFormat/>
    <w:rPr>
      <w:rFonts w:ascii="Courier New" w:hAnsi="Courier New"/>
      <w:sz w:val="20"/>
    </w:rPr>
  </w:style>
  <w:style w:type="character" w:styleId="777">
    <w:name w:val="annotation reference"/>
    <w:uiPriority w:val="0"/>
    <w:qFormat/>
    <w:rPr>
      <w:sz w:val="21"/>
      <w:szCs w:val="21"/>
    </w:rPr>
  </w:style>
  <w:style w:type="character" w:styleId="778">
    <w:name w:val="footnote reference"/>
    <w:uiPriority w:val="0"/>
    <w:qFormat/>
    <w:rPr>
      <w:rFonts w:ascii="宋体" w:hAnsi="宋体" w:eastAsia="宋体"/>
      <w:vertAlign w:val="superscript"/>
    </w:rPr>
  </w:style>
  <w:style w:type="character" w:styleId="779" w:customStyle="1">
    <w:name w:val="标题 1 Char"/>
    <w:link w:val="702"/>
    <w:uiPriority w:val="0"/>
    <w:qFormat/>
    <w:rPr>
      <w:rFonts w:ascii="黑体" w:eastAsia="黑体"/>
      <w:b/>
      <w:bCs/>
      <w:sz w:val="44"/>
      <w:szCs w:val="44"/>
    </w:rPr>
  </w:style>
  <w:style w:type="character" w:styleId="780" w:customStyle="1">
    <w:name w:val="标题 2 Char"/>
    <w:link w:val="703"/>
    <w:uiPriority w:val="0"/>
    <w:qFormat/>
    <w:rPr>
      <w:rFonts w:ascii="Arial" w:hAnsi="Arial" w:eastAsia="黑体"/>
      <w:b/>
      <w:bCs/>
      <w:sz w:val="32"/>
      <w:szCs w:val="32"/>
    </w:rPr>
  </w:style>
  <w:style w:type="character" w:styleId="781" w:customStyle="1">
    <w:name w:val="标题 3 Char"/>
    <w:link w:val="704"/>
    <w:uiPriority w:val="0"/>
    <w:qFormat/>
    <w:rPr>
      <w:rFonts w:ascii="黑体" w:eastAsia="黑体"/>
      <w:b/>
      <w:bCs/>
      <w:sz w:val="32"/>
      <w:szCs w:val="32"/>
      <w:lang w:val="en-US" w:eastAsia="zh-CN" w:bidi="ar-SA"/>
    </w:rPr>
  </w:style>
  <w:style w:type="character" w:styleId="782" w:customStyle="1">
    <w:name w:val="标题 4 Char"/>
    <w:link w:val="705"/>
    <w:uiPriority w:val="0"/>
    <w:qFormat/>
    <w:rPr>
      <w:rFonts w:ascii="Arial" w:hAnsi="Arial" w:eastAsia="黑体"/>
      <w:b/>
      <w:bCs/>
      <w:sz w:val="28"/>
      <w:szCs w:val="28"/>
    </w:rPr>
  </w:style>
  <w:style w:type="character" w:styleId="783" w:customStyle="1">
    <w:name w:val="标题 6 Char"/>
    <w:link w:val="707"/>
    <w:uiPriority w:val="0"/>
    <w:qFormat/>
    <w:rPr>
      <w:rFonts w:ascii="Arial" w:hAnsi="Arial" w:eastAsia="黑体"/>
      <w:b/>
      <w:sz w:val="24"/>
      <w:szCs w:val="24"/>
    </w:rPr>
  </w:style>
  <w:style w:type="character" w:styleId="784" w:customStyle="1">
    <w:name w:val="标题 7 Char"/>
    <w:link w:val="708"/>
    <w:uiPriority w:val="0"/>
    <w:qFormat/>
    <w:rPr>
      <w:b/>
      <w:sz w:val="24"/>
      <w:szCs w:val="24"/>
    </w:rPr>
  </w:style>
  <w:style w:type="character" w:styleId="785" w:customStyle="1">
    <w:name w:val="标题 8 Char"/>
    <w:link w:val="709"/>
    <w:uiPriority w:val="0"/>
    <w:qFormat/>
    <w:rPr>
      <w:rFonts w:ascii="Arial" w:hAnsi="Arial" w:eastAsia="黑体"/>
      <w:sz w:val="24"/>
      <w:szCs w:val="24"/>
    </w:rPr>
  </w:style>
  <w:style w:type="character" w:styleId="786" w:customStyle="1">
    <w:name w:val="标题 9 Char"/>
    <w:link w:val="710"/>
    <w:uiPriority w:val="0"/>
    <w:qFormat/>
    <w:rPr>
      <w:rFonts w:ascii="Arial" w:hAnsi="Arial" w:eastAsia="黑体"/>
      <w:sz w:val="21"/>
      <w:szCs w:val="24"/>
    </w:rPr>
  </w:style>
  <w:style w:type="character" w:styleId="787" w:customStyle="1">
    <w:name w:val="正文缩进 Char"/>
    <w:link w:val="716"/>
    <w:uiPriority w:val="0"/>
    <w:qFormat/>
    <w:rPr>
      <w:rFonts w:eastAsia="宋体"/>
      <w:lang w:val="en-US" w:eastAsia="zh-CN" w:bidi="ar-SA"/>
    </w:rPr>
  </w:style>
  <w:style w:type="character" w:styleId="788" w:customStyle="1">
    <w:name w:val="文档结构图 Char"/>
    <w:link w:val="720"/>
    <w:uiPriority w:val="0"/>
    <w:qFormat/>
    <w:rPr>
      <w:rFonts w:eastAsia="宋体"/>
      <w:sz w:val="21"/>
      <w:szCs w:val="24"/>
      <w:lang w:val="en-US" w:eastAsia="zh-CN" w:bidi="ar-SA"/>
    </w:rPr>
  </w:style>
  <w:style w:type="character" w:styleId="789" w:customStyle="1">
    <w:name w:val="批注文字 Char"/>
    <w:link w:val="721"/>
    <w:uiPriority w:val="0"/>
    <w:qFormat/>
    <w:rPr>
      <w:sz w:val="21"/>
      <w:szCs w:val="24"/>
    </w:rPr>
  </w:style>
  <w:style w:type="character" w:styleId="790" w:customStyle="1">
    <w:name w:val="称呼 Char"/>
    <w:link w:val="723"/>
    <w:uiPriority w:val="0"/>
    <w:qFormat/>
    <w:rPr>
      <w:sz w:val="28"/>
      <w:szCs w:val="24"/>
    </w:rPr>
  </w:style>
  <w:style w:type="character" w:styleId="791" w:customStyle="1">
    <w:name w:val="结束语 Char"/>
    <w:link w:val="725"/>
    <w:uiPriority w:val="0"/>
    <w:qFormat/>
    <w:rPr>
      <w:sz w:val="28"/>
      <w:szCs w:val="24"/>
    </w:rPr>
  </w:style>
  <w:style w:type="character" w:styleId="792" w:customStyle="1">
    <w:name w:val="正文文本缩进 Char"/>
    <w:link w:val="727"/>
    <w:uiPriority w:val="0"/>
    <w:qFormat/>
    <w:rPr>
      <w:rFonts w:ascii="仿宋_GB2312" w:eastAsia="仿宋_GB2312"/>
      <w:sz w:val="28"/>
      <w:lang w:val="en-US" w:eastAsia="zh-CN" w:bidi="ar-SA"/>
    </w:rPr>
  </w:style>
  <w:style w:type="character" w:styleId="793" w:customStyle="1">
    <w:name w:val="纯文本 Char"/>
    <w:link w:val="736"/>
    <w:uiPriority w:val="0"/>
    <w:qFormat/>
    <w:rPr>
      <w:rFonts w:ascii="宋体" w:hAnsi="Courier New"/>
      <w:sz w:val="21"/>
      <w:szCs w:val="21"/>
    </w:rPr>
  </w:style>
  <w:style w:type="character" w:styleId="794" w:customStyle="1">
    <w:name w:val="正文文本缩进 2 Char"/>
    <w:link w:val="741"/>
    <w:uiPriority w:val="0"/>
    <w:qFormat/>
    <w:rPr>
      <w:rFonts w:ascii="楷体_GB2312" w:eastAsia="楷体_GB2312"/>
      <w:sz w:val="24"/>
      <w:szCs w:val="24"/>
      <w:lang w:val="en-US" w:eastAsia="zh-CN" w:bidi="ar-SA"/>
    </w:rPr>
  </w:style>
  <w:style w:type="character" w:styleId="795" w:customStyle="1">
    <w:name w:val="批注框文本 Char"/>
    <w:link w:val="742"/>
    <w:uiPriority w:val="0"/>
    <w:qFormat/>
    <w:rPr>
      <w:sz w:val="18"/>
      <w:szCs w:val="18"/>
    </w:rPr>
  </w:style>
  <w:style w:type="character" w:styleId="796" w:customStyle="1">
    <w:name w:val="页脚 Char"/>
    <w:link w:val="743"/>
    <w:uiPriority w:val="0"/>
    <w:qFormat/>
    <w:rPr>
      <w:sz w:val="18"/>
      <w:szCs w:val="18"/>
    </w:rPr>
  </w:style>
  <w:style w:type="character" w:styleId="797" w:customStyle="1">
    <w:name w:val="页眉 Char"/>
    <w:link w:val="744"/>
    <w:uiPriority w:val="0"/>
    <w:qFormat/>
    <w:rPr>
      <w:sz w:val="18"/>
      <w:szCs w:val="18"/>
    </w:rPr>
  </w:style>
  <w:style w:type="character" w:styleId="798" w:customStyle="1">
    <w:name w:val="目录 1 Char"/>
    <w:link w:val="745"/>
    <w:uiPriority w:val="0"/>
    <w:qFormat/>
    <w:rPr>
      <w:rFonts w:ascii="黑体" w:hAnsi="宋体" w:eastAsia="黑体"/>
      <w:caps/>
      <w:sz w:val="30"/>
      <w:szCs w:val="30"/>
      <w:lang w:val="en-US" w:eastAsia="zh-CN" w:bidi="ar-SA"/>
    </w:rPr>
  </w:style>
  <w:style w:type="character" w:styleId="799" w:customStyle="1">
    <w:name w:val="脚注文本 Char"/>
    <w:link w:val="748"/>
    <w:uiPriority w:val="0"/>
    <w:qFormat/>
    <w:rPr>
      <w:sz w:val="18"/>
      <w:szCs w:val="18"/>
    </w:rPr>
  </w:style>
  <w:style w:type="character" w:styleId="800" w:customStyle="1">
    <w:name w:val="正文文本 2 Char"/>
    <w:link w:val="756"/>
    <w:uiPriority w:val="0"/>
    <w:qFormat/>
    <w:rPr>
      <w:sz w:val="30"/>
      <w:szCs w:val="24"/>
    </w:rPr>
  </w:style>
  <w:style w:type="character" w:styleId="801" w:customStyle="1">
    <w:name w:val="HTML 预设格式 Char"/>
    <w:link w:val="760"/>
    <w:uiPriority w:val="0"/>
    <w:qFormat/>
    <w:rPr>
      <w:rFonts w:ascii="黑体" w:hAnsi="Courier New" w:eastAsia="黑体"/>
    </w:rPr>
  </w:style>
  <w:style w:type="character" w:styleId="802" w:customStyle="1">
    <w:name w:val="普通(网站) Char"/>
    <w:link w:val="761"/>
    <w:uiPriority w:val="0"/>
    <w:qFormat/>
    <w:rPr>
      <w:rFonts w:ascii="宋体" w:hAnsi="宋体"/>
      <w:sz w:val="24"/>
      <w:szCs w:val="24"/>
    </w:rPr>
  </w:style>
  <w:style w:type="character" w:styleId="803" w:customStyle="1">
    <w:name w:val="标题 Char"/>
    <w:link w:val="765"/>
    <w:uiPriority w:val="0"/>
    <w:qFormat/>
    <w:rPr>
      <w:rFonts w:ascii="Arial" w:hAnsi="Arial" w:cs="Arial"/>
      <w:b/>
      <w:bCs/>
      <w:sz w:val="32"/>
      <w:szCs w:val="32"/>
    </w:rPr>
  </w:style>
  <w:style w:type="character" w:styleId="804" w:customStyle="1">
    <w:name w:val="批注主题 Char"/>
    <w:link w:val="766"/>
    <w:uiPriority w:val="0"/>
    <w:qFormat/>
    <w:rPr>
      <w:b/>
      <w:bCs/>
      <w:sz w:val="21"/>
      <w:szCs w:val="24"/>
    </w:rPr>
  </w:style>
  <w:style w:type="character" w:styleId="805" w:customStyle="1">
    <w:name w:val="正文首行缩进 Char"/>
    <w:link w:val="767"/>
    <w:uiPriority w:val="0"/>
    <w:qFormat/>
    <w:rPr>
      <w:rFonts w:ascii="仿宋_GB2312" w:eastAsia="仿宋_GB2312"/>
      <w:color w:val="000000"/>
      <w:spacing w:val="-8"/>
      <w:sz w:val="21"/>
      <w:lang w:bidi="ar-SA"/>
    </w:rPr>
  </w:style>
  <w:style w:type="paragraph" w:styleId="806" w:customStyle="1">
    <w:name w:val="样式 表格正文 + 两端对齐"/>
    <w:basedOn w:val="701"/>
    <w:next w:val="807"/>
    <w:uiPriority w:val="99"/>
    <w:qFormat/>
    <w:pPr>
      <w:spacing w:line="300" w:lineRule="auto"/>
    </w:pPr>
  </w:style>
  <w:style w:type="paragraph" w:styleId="807" w:customStyle="1">
    <w:name w:val="正文1"/>
    <w:basedOn w:val="720"/>
    <w:next w:val="701"/>
    <w:uiPriority w:val="0"/>
    <w:qFormat/>
    <w:pPr>
      <w:contextualSpacing/>
      <w:ind w:firstLine="200"/>
      <w:spacing w:before="120" w:after="120" w:line="180" w:lineRule="auto"/>
    </w:pPr>
    <w:rPr>
      <w:rFonts w:eastAsia="Adobe 仿宋 Std R"/>
      <w:sz w:val="21"/>
      <w:szCs w:val="21"/>
      <w:lang w:val="en-US" w:eastAsia="zh-CN" w:bidi="ar-SA"/>
    </w:rPr>
  </w:style>
  <w:style w:type="paragraph" w:styleId="808" w:customStyle="1">
    <w:name w:val="_Style 1"/>
    <w:basedOn w:val="701"/>
    <w:uiPriority w:val="0"/>
    <w:qFormat/>
    <w:pPr>
      <w:ind w:firstLine="420"/>
      <w:spacing w:line="360" w:lineRule="auto"/>
    </w:pPr>
    <w:rPr>
      <w:rFonts w:ascii="Calibri" w:hAnsi="Calibri"/>
      <w:sz w:val="24"/>
      <w:szCs w:val="22"/>
    </w:rPr>
  </w:style>
  <w:style w:type="paragraph" w:styleId="809" w:customStyle="1">
    <w:name w:val="段"/>
    <w:uiPriority w:val="0"/>
    <w:qFormat/>
    <w:pPr>
      <w:ind w:firstLine="200"/>
      <w:jc w:val="both"/>
    </w:pPr>
    <w:rPr>
      <w:rFonts w:ascii="宋体" w:hAnsi="Times New Roman" w:eastAsia="宋体" w:cs="Times New Roman"/>
      <w:sz w:val="21"/>
      <w:lang w:val="en-US" w:eastAsia="zh-CN" w:bidi="ar-SA"/>
    </w:rPr>
  </w:style>
  <w:style w:type="character" w:styleId="810" w:customStyle="1">
    <w:name w:val="Char Char Char Char Char Char Char Char Char Char"/>
    <w:uiPriority w:val="0"/>
    <w:qFormat/>
    <w:rPr>
      <w:rFonts w:eastAsia="宋体"/>
      <w:b/>
      <w:bCs/>
      <w:sz w:val="32"/>
      <w:szCs w:val="44"/>
      <w:lang w:val="en-US" w:eastAsia="zh-CN" w:bidi="ar-SA"/>
    </w:rPr>
  </w:style>
  <w:style w:type="character" w:styleId="811" w:customStyle="1">
    <w:name w:val=" Char Char28"/>
    <w:uiPriority w:val="0"/>
    <w:qFormat/>
    <w:rPr>
      <w:rFonts w:ascii="黑体" w:eastAsia="黑体"/>
      <w:b/>
      <w:bCs/>
      <w:sz w:val="32"/>
      <w:szCs w:val="32"/>
    </w:rPr>
  </w:style>
  <w:style w:type="character" w:styleId="812" w:customStyle="1">
    <w:name w:val="普通正文 Char Char"/>
    <w:link w:val="813"/>
    <w:uiPriority w:val="0"/>
    <w:qFormat/>
    <w:rPr>
      <w:rFonts w:ascii="Arial" w:hAnsi="Arial"/>
      <w:sz w:val="24"/>
      <w:szCs w:val="24"/>
      <w:lang w:bidi="ar-SA"/>
    </w:rPr>
  </w:style>
  <w:style w:type="paragraph" w:styleId="813" w:customStyle="1">
    <w:name w:val="普通正文"/>
    <w:basedOn w:val="701"/>
    <w:link w:val="812"/>
    <w:uiPriority w:val="0"/>
    <w:qFormat/>
    <w:pPr>
      <w:ind w:firstLine="480"/>
      <w:spacing w:before="120" w:after="120" w:line="500" w:lineRule="exact"/>
    </w:pPr>
    <w:rPr>
      <w:rFonts w:ascii="Arial" w:hAnsi="Arial"/>
      <w:sz w:val="24"/>
    </w:rPr>
  </w:style>
  <w:style w:type="character" w:styleId="814" w:customStyle="1">
    <w:name w:val="Char Char4"/>
    <w:uiPriority w:val="0"/>
    <w:qFormat/>
    <w:rPr>
      <w:sz w:val="18"/>
      <w:szCs w:val="18"/>
    </w:rPr>
  </w:style>
  <w:style w:type="character" w:styleId="815" w:customStyle="1">
    <w:name w:val="Char Char Char Char Char Char Char Char Char Char Char Char Char"/>
    <w:uiPriority w:val="0"/>
    <w:qFormat/>
    <w:rPr>
      <w:rFonts w:eastAsia="宋体"/>
      <w:b/>
      <w:bCs/>
      <w:sz w:val="32"/>
      <w:szCs w:val="44"/>
      <w:lang w:val="en-US" w:eastAsia="zh-CN" w:bidi="ar-SA"/>
    </w:rPr>
  </w:style>
  <w:style w:type="character" w:styleId="816" w:customStyle="1">
    <w:name w:val="正文 + 宋体 Char"/>
    <w:link w:val="817"/>
    <w:uiPriority w:val="0"/>
    <w:qFormat/>
    <w:rPr>
      <w:rFonts w:ascii="新宋体" w:hAnsi="宋体" w:eastAsia="黑体"/>
      <w:b/>
      <w:bCs/>
      <w:sz w:val="28"/>
      <w:szCs w:val="28"/>
      <w:lang w:bidi="ar-SA"/>
    </w:rPr>
  </w:style>
  <w:style w:type="paragraph" w:styleId="817" w:customStyle="1">
    <w:name w:val="正文 + 宋体"/>
    <w:basedOn w:val="702"/>
    <w:link w:val="816"/>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818" w:customStyle="1">
    <w:name w:val=" Char Char24"/>
    <w:uiPriority w:val="0"/>
    <w:qFormat/>
    <w:rPr>
      <w:rFonts w:ascii="Arial" w:hAnsi="Arial" w:eastAsia="黑体"/>
      <w:sz w:val="24"/>
      <w:szCs w:val="24"/>
    </w:rPr>
  </w:style>
  <w:style w:type="character" w:styleId="819" w:customStyle="1">
    <w:name w:val="style331"/>
    <w:uiPriority w:val="0"/>
    <w:qFormat/>
    <w:rPr>
      <w:color w:val="9900ff"/>
      <w:sz w:val="18"/>
      <w:szCs w:val="18"/>
    </w:rPr>
  </w:style>
  <w:style w:type="character" w:styleId="820" w:customStyle="1">
    <w:name w:val=" Char Char23"/>
    <w:uiPriority w:val="0"/>
    <w:qFormat/>
    <w:rPr>
      <w:rFonts w:ascii="Arial" w:hAnsi="Arial" w:eastAsia="黑体"/>
      <w:sz w:val="21"/>
      <w:szCs w:val="24"/>
    </w:rPr>
  </w:style>
  <w:style w:type="character" w:styleId="821" w:customStyle="1">
    <w:name w:val="+正文 Char3"/>
    <w:link w:val="822"/>
    <w:uiPriority w:val="0"/>
    <w:qFormat/>
    <w:rPr>
      <w:sz w:val="24"/>
      <w:szCs w:val="28"/>
      <w:lang w:bidi="ar-SA"/>
    </w:rPr>
  </w:style>
  <w:style w:type="paragraph" w:styleId="822" w:customStyle="1">
    <w:name w:val="+正文"/>
    <w:basedOn w:val="701"/>
    <w:link w:val="821"/>
    <w:uiPriority w:val="0"/>
    <w:qFormat/>
    <w:pPr>
      <w:ind w:firstLine="200"/>
      <w:spacing w:line="360" w:lineRule="auto"/>
    </w:pPr>
    <w:rPr>
      <w:sz w:val="24"/>
      <w:szCs w:val="28"/>
    </w:rPr>
  </w:style>
  <w:style w:type="character" w:styleId="823" w:customStyle="1">
    <w:name w:val="Char Char9"/>
    <w:uiPriority w:val="0"/>
    <w:qFormat/>
    <w:rPr>
      <w:rFonts w:ascii="Cambria" w:hAnsi="Cambria" w:eastAsia="宋体" w:cs="Times New Roman"/>
      <w:b/>
      <w:bCs/>
      <w:sz w:val="32"/>
      <w:szCs w:val="32"/>
    </w:rPr>
  </w:style>
  <w:style w:type="character" w:styleId="824" w:customStyle="1">
    <w:name w:val="文档结构图 Char Char"/>
    <w:uiPriority w:val="0"/>
    <w:qFormat/>
    <w:rPr>
      <w:rFonts w:ascii="宋体"/>
      <w:sz w:val="18"/>
      <w:szCs w:val="18"/>
    </w:rPr>
  </w:style>
  <w:style w:type="character" w:styleId="825" w:customStyle="1">
    <w:name w:val="表格正文 Char Char"/>
    <w:link w:val="826"/>
    <w:uiPriority w:val="0"/>
    <w:qFormat/>
    <w:rPr>
      <w:sz w:val="21"/>
      <w:szCs w:val="24"/>
    </w:rPr>
  </w:style>
  <w:style w:type="paragraph" w:styleId="826" w:customStyle="1">
    <w:name w:val="表格正文"/>
    <w:basedOn w:val="701"/>
    <w:link w:val="825"/>
    <w:uiPriority w:val="0"/>
    <w:qFormat/>
  </w:style>
  <w:style w:type="character" w:styleId="827" w:customStyle="1">
    <w:name w:val="Char Char14"/>
    <w:uiPriority w:val="0"/>
    <w:qFormat/>
    <w:rPr>
      <w:rFonts w:ascii="楷体_GB2312" w:hAnsi="Arial" w:eastAsia="楷体_GB2312" w:cs="Times New Roman"/>
      <w:sz w:val="28"/>
      <w:szCs w:val="24"/>
    </w:rPr>
  </w:style>
  <w:style w:type="character" w:styleId="828" w:customStyle="1">
    <w:name w:val="l15 Char Char"/>
    <w:link w:val="829"/>
    <w:uiPriority w:val="0"/>
    <w:qFormat/>
    <w:rPr>
      <w:rFonts w:ascii="_x000B__x000C_" w:hAnsi="_x000B__x000C_"/>
      <w:color w:val="000000"/>
      <w:sz w:val="23"/>
      <w:szCs w:val="23"/>
    </w:rPr>
  </w:style>
  <w:style w:type="paragraph" w:styleId="829" w:customStyle="1">
    <w:name w:val="l15"/>
    <w:basedOn w:val="701"/>
    <w:link w:val="828"/>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830" w:customStyle="1">
    <w:name w:val=" Char Char26"/>
    <w:uiPriority w:val="0"/>
    <w:qFormat/>
    <w:rPr>
      <w:rFonts w:ascii="Arial" w:hAnsi="Arial" w:eastAsia="黑体"/>
      <w:b/>
      <w:sz w:val="24"/>
      <w:szCs w:val="24"/>
    </w:rPr>
  </w:style>
  <w:style w:type="character" w:styleId="831" w:customStyle="1">
    <w:name w:val="普通(Web)1 Char"/>
    <w:uiPriority w:val="0"/>
    <w:qFormat/>
    <w:rPr>
      <w:rFonts w:ascii="宋体" w:hAnsi="宋体"/>
      <w:sz w:val="24"/>
      <w:szCs w:val="24"/>
    </w:rPr>
  </w:style>
  <w:style w:type="character" w:styleId="832" w:customStyle="1">
    <w:name w:val="一般文字 字元 Char"/>
    <w:uiPriority w:val="0"/>
    <w:qFormat/>
    <w:rPr>
      <w:rFonts w:ascii="宋体" w:hAnsi="Courier New" w:eastAsia="宋体"/>
      <w:sz w:val="21"/>
      <w:lang w:val="en-US" w:eastAsia="zh-CN" w:bidi="ar-SA"/>
    </w:rPr>
  </w:style>
  <w:style w:type="character" w:styleId="833" w:customStyle="1">
    <w:name w:val="Char Char7"/>
    <w:uiPriority w:val="0"/>
    <w:qFormat/>
    <w:rPr>
      <w:rFonts w:ascii="Times New Roman" w:hAnsi="Times New Roman" w:eastAsia="宋体" w:cs="Times New Roman"/>
      <w:b/>
      <w:bCs/>
      <w:szCs w:val="21"/>
    </w:rPr>
  </w:style>
  <w:style w:type="character" w:styleId="834" w:customStyle="1">
    <w:name w:val="font"/>
    <w:uiPriority w:val="0"/>
    <w:qFormat/>
  </w:style>
  <w:style w:type="character" w:styleId="835" w:customStyle="1">
    <w:name w:val="tw4winTerm"/>
    <w:uiPriority w:val="0"/>
    <w:qFormat/>
    <w:rPr>
      <w:color w:val="0000ff"/>
    </w:rPr>
  </w:style>
  <w:style w:type="character" w:styleId="836" w:customStyle="1">
    <w:name w:val=" Char Char17"/>
    <w:uiPriority w:val="0"/>
    <w:qFormat/>
    <w:rPr>
      <w:rFonts w:ascii="黑体" w:hAnsi="Courier New" w:eastAsia="黑体"/>
    </w:rPr>
  </w:style>
  <w:style w:type="character" w:styleId="837" w:customStyle="1">
    <w:name w:val="text_list1"/>
    <w:uiPriority w:val="0"/>
    <w:qFormat/>
    <w:rPr>
      <w:rFonts w:hint="default" w:ascii="Arial" w:hAnsi="Arial" w:cs="Arial"/>
      <w:color w:val="000000"/>
      <w:spacing w:val="272"/>
      <w:sz w:val="16"/>
      <w:szCs w:val="16"/>
    </w:rPr>
  </w:style>
  <w:style w:type="character" w:styleId="838" w:customStyle="1">
    <w:name w:val="Para head"/>
    <w:uiPriority w:val="0"/>
    <w:qFormat/>
    <w:rPr>
      <w:rFonts w:ascii="Arial" w:hAnsi="Arial" w:eastAsia="Times New Roman"/>
      <w:sz w:val="20"/>
    </w:rPr>
  </w:style>
  <w:style w:type="character" w:styleId="839" w:customStyle="1">
    <w:name w:val=" Char Char Char"/>
    <w:link w:val="840"/>
    <w:uiPriority w:val="0"/>
    <w:qFormat/>
    <w:rPr>
      <w:sz w:val="24"/>
      <w:szCs w:val="24"/>
    </w:rPr>
  </w:style>
  <w:style w:type="paragraph" w:styleId="840" w:customStyle="1">
    <w:name w:val=" Char"/>
    <w:basedOn w:val="701"/>
    <w:link w:val="839"/>
    <w:uiPriority w:val="0"/>
    <w:qFormat/>
    <w:pPr>
      <w:numPr>
        <w:ilvl w:val="0"/>
        <w:numId w:val="4"/>
      </w:numPr>
      <w:tabs>
        <w:tab w:val="clear" w:pos="552" w:leader="none"/>
        <w:tab w:val="left" w:pos="1080" w:leader="none"/>
      </w:tabs>
    </w:pPr>
    <w:rPr>
      <w:sz w:val="24"/>
    </w:rPr>
  </w:style>
  <w:style w:type="character" w:styleId="841" w:customStyle="1">
    <w:name w:val="样式 三号 下划线"/>
    <w:uiPriority w:val="0"/>
    <w:qFormat/>
    <w:rPr>
      <w:sz w:val="28"/>
      <w:u w:val="single"/>
    </w:rPr>
  </w:style>
  <w:style w:type="character" w:styleId="842" w:customStyle="1">
    <w:name w:val="apple-converted-space"/>
    <w:uiPriority w:val="0"/>
    <w:qFormat/>
  </w:style>
  <w:style w:type="character" w:styleId="843" w:customStyle="1">
    <w:name w:val="itm1"/>
    <w:uiPriority w:val="0"/>
    <w:qFormat/>
    <w:rPr>
      <w:rFonts w:hint="eastAsia" w:ascii="宋体" w:hAnsi="宋体" w:eastAsia="宋体"/>
      <w:sz w:val="21"/>
      <w:szCs w:val="21"/>
    </w:rPr>
  </w:style>
  <w:style w:type="character" w:styleId="844" w:customStyle="1">
    <w:name w:val="Char Char15"/>
    <w:uiPriority w:val="0"/>
    <w:qFormat/>
    <w:rPr>
      <w:rFonts w:ascii="仿宋_GB2312" w:hAnsi="Times New Roman" w:eastAsia="宋体" w:cs="Times New Roman"/>
      <w:sz w:val="24"/>
      <w:szCs w:val="24"/>
      <w:shd w:val="clear" w:color="auto" w:fill="000080"/>
    </w:rPr>
  </w:style>
  <w:style w:type="character" w:styleId="845" w:customStyle="1">
    <w:name w:val=" Char Char25"/>
    <w:uiPriority w:val="0"/>
    <w:qFormat/>
    <w:rPr>
      <w:b/>
      <w:sz w:val="24"/>
      <w:szCs w:val="24"/>
    </w:rPr>
  </w:style>
  <w:style w:type="character" w:styleId="846" w:customStyle="1">
    <w:name w:val="正文文本 Char Char"/>
    <w:uiPriority w:val="0"/>
    <w:qFormat/>
    <w:rPr>
      <w:rFonts w:ascii="楷体_GB2312" w:hAnsi="Arial" w:eastAsia="楷体_GB2312" w:cs="Times New Roman"/>
      <w:sz w:val="28"/>
      <w:szCs w:val="28"/>
    </w:rPr>
  </w:style>
  <w:style w:type="character" w:styleId="847" w:customStyle="1">
    <w:name w:val="apple-style-span"/>
    <w:uiPriority w:val="0"/>
    <w:qFormat/>
  </w:style>
  <w:style w:type="character" w:styleId="848" w:customStyle="1">
    <w:name w:val="表格 Char Char"/>
    <w:link w:val="849"/>
    <w:uiPriority w:val="0"/>
    <w:qFormat/>
    <w:rPr>
      <w:rFonts w:eastAsia="宋体"/>
      <w:sz w:val="21"/>
      <w:szCs w:val="21"/>
      <w:lang w:val="en-US" w:eastAsia="zh-CN" w:bidi="ar-SA"/>
    </w:rPr>
  </w:style>
  <w:style w:type="paragraph" w:styleId="849" w:customStyle="1">
    <w:name w:val="表格"/>
    <w:basedOn w:val="701"/>
    <w:link w:val="848"/>
    <w:uiPriority w:val="0"/>
    <w:qFormat/>
    <w:pPr>
      <w:jc w:val="center"/>
    </w:pPr>
    <w:rPr>
      <w:szCs w:val="21"/>
    </w:rPr>
  </w:style>
  <w:style w:type="character" w:styleId="850" w:customStyle="1">
    <w:name w:val="Char Char13"/>
    <w:uiPriority w:val="0"/>
    <w:qFormat/>
    <w:rPr>
      <w:rFonts w:ascii="仿宋_GB2312" w:hAnsi="Times New Roman" w:eastAsia="宋体" w:cs="Times New Roman"/>
      <w:sz w:val="18"/>
      <w:szCs w:val="18"/>
    </w:rPr>
  </w:style>
  <w:style w:type="character" w:styleId="851" w:customStyle="1">
    <w:name w:val="b"/>
    <w:uiPriority w:val="0"/>
    <w:qFormat/>
  </w:style>
  <w:style w:type="character" w:styleId="852" w:customStyle="1">
    <w:name w:val=" Char Char19"/>
    <w:uiPriority w:val="0"/>
    <w:qFormat/>
    <w:rPr>
      <w:rFonts w:ascii="Arial" w:hAnsi="Arial" w:cs="Arial"/>
      <w:b/>
      <w:bCs/>
      <w:sz w:val="32"/>
      <w:szCs w:val="32"/>
    </w:rPr>
  </w:style>
  <w:style w:type="character" w:styleId="853" w:customStyle="1">
    <w:name w:val="Char Char8"/>
    <w:uiPriority w:val="0"/>
    <w:qFormat/>
    <w:rPr>
      <w:rFonts w:ascii="Times New Roman" w:hAnsi="Times New Roman"/>
      <w:b/>
      <w:bCs/>
      <w:sz w:val="44"/>
      <w:szCs w:val="44"/>
    </w:rPr>
  </w:style>
  <w:style w:type="character" w:styleId="854" w:customStyle="1">
    <w:name w:val="标题 31"/>
    <w:uiPriority w:val="0"/>
    <w:qFormat/>
    <w:rPr>
      <w:rFonts w:hint="eastAsia" w:ascii="黑体" w:hAnsi="ˎ̥" w:eastAsia="黑体"/>
      <w:sz w:val="28"/>
    </w:rPr>
  </w:style>
  <w:style w:type="character" w:styleId="855" w:customStyle="1">
    <w:name w:val="unnamed21"/>
    <w:uiPriority w:val="0"/>
    <w:qFormat/>
    <w:rPr>
      <w:b/>
      <w:bCs/>
      <w:color w:val="ff6600"/>
      <w:sz w:val="21"/>
      <w:szCs w:val="21"/>
      <w:u w:val="none"/>
    </w:rPr>
  </w:style>
  <w:style w:type="paragraph" w:styleId="856" w:customStyle="1">
    <w:name w:val="表头"/>
    <w:basedOn w:val="701"/>
    <w:uiPriority w:val="0"/>
    <w:qFormat/>
    <w:pPr>
      <w:jc w:val="center"/>
      <w:spacing w:line="320" w:lineRule="atLeast"/>
    </w:pPr>
    <w:rPr>
      <w:rFonts w:eastAsia="黑体"/>
      <w:spacing w:val="-10"/>
      <w:szCs w:val="20"/>
    </w:rPr>
  </w:style>
  <w:style w:type="paragraph" w:styleId="857" w:customStyle="1">
    <w:name w:val="p0"/>
    <w:basedOn w:val="701"/>
    <w:uiPriority w:val="0"/>
    <w:qFormat/>
    <w:pPr>
      <w:widowControl/>
    </w:pPr>
    <w:rPr>
      <w:rFonts w:ascii="Calibri" w:hAnsi="Calibri" w:cs="宋体"/>
      <w:szCs w:val="21"/>
    </w:rPr>
  </w:style>
  <w:style w:type="paragraph" w:styleId="858" w:customStyle="1">
    <w:name w:val="xl49"/>
    <w:basedOn w:val="701"/>
    <w:uiPriority w:val="0"/>
    <w:qFormat/>
    <w:pPr>
      <w:jc w:val="center"/>
      <w:spacing w:before="100" w:beforeAutospacing="1" w:after="100" w:afterAutospacing="1"/>
      <w:widowControl/>
    </w:pPr>
    <w:rPr>
      <w:rFonts w:ascii="宋体" w:hAnsi="宋体"/>
      <w:b/>
      <w:bCs/>
      <w:color w:val="000000"/>
      <w:sz w:val="40"/>
      <w:szCs w:val="40"/>
    </w:rPr>
  </w:style>
  <w:style w:type="paragraph" w:styleId="859" w:customStyle="1">
    <w:name w:val="样式 标题 1 + 加粗"/>
    <w:basedOn w:val="702"/>
    <w:uiPriority w:val="0"/>
    <w:qFormat/>
    <w:pPr>
      <w:numPr>
        <w:ilvl w:val="0"/>
        <w:numId w:val="0"/>
      </w:numPr>
      <w:spacing w:before="120" w:after="120" w:line="240" w:lineRule="auto"/>
      <w:widowControl/>
      <w:tabs>
        <w:tab w:val="clear" w:pos="1800" w:leader="none"/>
      </w:tabs>
    </w:pPr>
    <w:rPr>
      <w:rFonts w:ascii="新宋体" w:hAnsi="宋体"/>
      <w:sz w:val="28"/>
      <w:szCs w:val="28"/>
    </w:rPr>
  </w:style>
  <w:style w:type="paragraph" w:styleId="860" w:customStyle="1">
    <w:name w:val="xl36"/>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861" w:customStyle="1">
    <w:name w:val="标题2"/>
    <w:basedOn w:val="703"/>
    <w:next w:val="701"/>
    <w:uiPriority w:val="0"/>
    <w:qFormat/>
    <w:pPr>
      <w:numPr>
        <w:ilvl w:val="1"/>
        <w:numId w:val="0"/>
      </w:numPr>
      <w:ind w:firstLine="448"/>
      <w:jc w:val="left"/>
      <w:spacing w:before="120" w:after="120" w:line="360" w:lineRule="auto"/>
    </w:pPr>
    <w:rPr>
      <w:b w:val="0"/>
      <w:bCs w:val="0"/>
      <w:color w:val="000000"/>
      <w:spacing w:val="-8"/>
      <w:sz w:val="24"/>
      <w:szCs w:val="20"/>
    </w:rPr>
  </w:style>
  <w:style w:type="paragraph" w:styleId="862" w:customStyle="1">
    <w:name w:val="Char Char Char Char Char Char Char Char Char Char Char"/>
    <w:basedOn w:val="720"/>
    <w:uiPriority w:val="0"/>
    <w:qFormat/>
    <w:pPr>
      <w:ind w:firstLine="420"/>
    </w:pPr>
    <w:rPr>
      <w:rFonts w:hAnsi="宋体"/>
      <w:color w:val="000000"/>
      <w:spacing w:val="-8"/>
      <w:szCs w:val="20"/>
      <w:shd w:val="clear" w:color="auto" w:fill="000080"/>
    </w:rPr>
  </w:style>
  <w:style w:type="paragraph" w:styleId="863" w:customStyle="1">
    <w:name w:val="列表_名词"/>
    <w:basedOn w:val="864"/>
    <w:uiPriority w:val="0"/>
    <w:qFormat/>
    <w:pPr>
      <w:ind w:left="2745" w:hanging="420"/>
      <w:tabs>
        <w:tab w:val="left" w:pos="2745" w:leader="none"/>
      </w:tabs>
    </w:pPr>
  </w:style>
  <w:style w:type="paragraph" w:styleId="864" w:customStyle="1">
    <w:name w:val="名词解释11"/>
    <w:basedOn w:val="865"/>
    <w:uiPriority w:val="0"/>
    <w:qFormat/>
    <w:pPr>
      <w:ind w:firstLine="0"/>
      <w:spacing w:after="0"/>
    </w:pPr>
  </w:style>
  <w:style w:type="paragraph" w:styleId="865" w:customStyle="1">
    <w:name w:val="名词解释"/>
    <w:basedOn w:val="701"/>
    <w:uiPriority w:val="0"/>
    <w:qFormat/>
    <w:pPr>
      <w:ind w:left="2325" w:hanging="2325"/>
      <w:spacing w:after="20" w:line="288" w:lineRule="auto"/>
    </w:pPr>
    <w:rPr>
      <w:szCs w:val="20"/>
    </w:rPr>
  </w:style>
  <w:style w:type="paragraph" w:styleId="866" w:customStyle="1">
    <w:name w:val="菲页2"/>
    <w:basedOn w:val="704"/>
    <w:uiPriority w:val="0"/>
    <w:qFormat/>
    <w:pPr>
      <w:ind w:left="720" w:hanging="720"/>
      <w:jc w:val="center"/>
      <w:spacing w:before="120" w:after="120" w:line="360" w:lineRule="auto"/>
      <w:widowControl/>
    </w:pPr>
    <w:rPr>
      <w:rFonts w:hAnsi="宋体"/>
      <w:b w:val="0"/>
      <w:bCs w:val="0"/>
      <w:sz w:val="44"/>
      <w:szCs w:val="20"/>
    </w:rPr>
  </w:style>
  <w:style w:type="paragraph" w:styleId="867" w:customStyle="1">
    <w:name w:val="Char Char Char Char Char Char"/>
    <w:basedOn w:val="701"/>
    <w:uiPriority w:val="0"/>
    <w:qFormat/>
    <w:pPr>
      <w:jc w:val="left"/>
      <w:spacing w:after="160" w:line="240" w:lineRule="exact"/>
      <w:widowControl/>
    </w:pPr>
    <w:rPr>
      <w:rFonts w:ascii="黑体" w:hAnsi="Verdana" w:eastAsia="黑体"/>
      <w:sz w:val="32"/>
      <w:szCs w:val="32"/>
    </w:rPr>
  </w:style>
  <w:style w:type="paragraph" w:styleId="868" w:customStyle="1">
    <w:name w:val="Preformatted"/>
    <w:basedOn w:val="70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869" w:customStyle="1">
    <w:name w:val="重点"/>
    <w:basedOn w:val="701"/>
    <w:uiPriority w:val="0"/>
    <w:qFormat/>
    <w:pPr>
      <w:ind w:firstLine="420"/>
      <w:spacing w:after="20" w:line="288" w:lineRule="auto"/>
      <w:shd w:val="pct10" w:color="auto" w:fill="auto"/>
    </w:pPr>
    <w:rPr>
      <w:rFonts w:eastAsia="黑体"/>
      <w:b/>
    </w:rPr>
  </w:style>
  <w:style w:type="paragraph" w:styleId="870" w:customStyle="1">
    <w:name w:val="font5"/>
    <w:basedOn w:val="701"/>
    <w:uiPriority w:val="0"/>
    <w:qFormat/>
    <w:pPr>
      <w:jc w:val="left"/>
      <w:spacing w:before="100" w:beforeAutospacing="1" w:after="100" w:afterAutospacing="1"/>
      <w:widowControl/>
    </w:pPr>
    <w:rPr>
      <w:rFonts w:hint="eastAsia" w:ascii="宋体" w:hAnsi="宋体"/>
      <w:sz w:val="18"/>
      <w:szCs w:val="18"/>
    </w:rPr>
  </w:style>
  <w:style w:type="paragraph" w:styleId="871">
    <w:name w:val="List Paragraph"/>
    <w:basedOn w:val="701"/>
    <w:uiPriority w:val="99"/>
    <w:qFormat/>
    <w:pPr>
      <w:ind w:firstLine="420"/>
    </w:pPr>
    <w:rPr>
      <w:rFonts w:ascii="Calibri" w:hAnsi="Calibri"/>
      <w:szCs w:val="22"/>
    </w:rPr>
  </w:style>
  <w:style w:type="paragraph" w:styleId="872"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873" w:customStyle="1">
    <w:name w:val="章标题"/>
    <w:next w:val="701"/>
    <w:uiPriority w:val="0"/>
    <w:qFormat/>
    <w:pPr>
      <w:numPr>
        <w:ilvl w:val="1"/>
        <w:numId w:val="5"/>
      </w:numPr>
      <w:jc w:val="both"/>
      <w:spacing w:before="156" w:after="156"/>
      <w:outlineLvl w:val="1"/>
    </w:pPr>
    <w:rPr>
      <w:rFonts w:ascii="黑体" w:hAnsi="Times New Roman" w:eastAsia="黑体" w:cs="Times New Roman"/>
      <w:sz w:val="21"/>
      <w:lang w:val="en-US" w:eastAsia="zh-CN" w:bidi="ar-SA"/>
    </w:rPr>
  </w:style>
  <w:style w:type="paragraph" w:styleId="874" w:customStyle="1">
    <w:name w:val="whs5"/>
    <w:basedOn w:val="701"/>
    <w:uiPriority w:val="0"/>
    <w:qFormat/>
    <w:pPr>
      <w:ind w:left="115" w:right="130" w:firstLine="448"/>
      <w:widowControl/>
    </w:pPr>
    <w:rPr>
      <w:rFonts w:hAnsi="宋体"/>
      <w:color w:val="000000"/>
      <w:spacing w:val="-8"/>
      <w:sz w:val="18"/>
      <w:szCs w:val="18"/>
      <w:lang w:eastAsia="en-US"/>
    </w:rPr>
  </w:style>
  <w:style w:type="paragraph" w:styleId="875" w:customStyle="1">
    <w:name w:val="样式一"/>
    <w:basedOn w:val="701"/>
    <w:uiPriority w:val="0"/>
    <w:qFormat/>
    <w:pPr>
      <w:numPr>
        <w:ilvl w:val="2"/>
        <w:numId w:val="1"/>
      </w:numPr>
      <w:spacing w:before="100" w:after="100" w:line="360" w:lineRule="exact"/>
    </w:pPr>
    <w:rPr>
      <w:rFonts w:ascii="宋体" w:hAnsi="宋体" w:eastAsia="黑体"/>
      <w:sz w:val="24"/>
      <w:szCs w:val="20"/>
      <w:lang w:val="en-GB"/>
    </w:rPr>
  </w:style>
  <w:style w:type="paragraph" w:styleId="876" w:customStyle="1">
    <w:name w:val="Char Char Char Char Char Char Char Char Char Char Char Char Char Char Char Char"/>
    <w:basedOn w:val="701"/>
    <w:uiPriority w:val="0"/>
    <w:qFormat/>
    <w:pPr>
      <w:tabs>
        <w:tab w:val="left" w:pos="360" w:leader="none"/>
      </w:tabs>
    </w:pPr>
    <w:rPr>
      <w:sz w:val="24"/>
    </w:rPr>
  </w:style>
  <w:style w:type="paragraph" w:styleId="877" w:customStyle="1">
    <w:name w:val="xl71"/>
    <w:basedOn w:val="701"/>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878" w:customStyle="1">
    <w:name w:val="函数注释1"/>
    <w:basedOn w:val="701"/>
    <w:uiPriority w:val="0"/>
    <w:qFormat/>
    <w:pPr>
      <w:ind w:left="1678" w:right="210" w:hanging="1049"/>
      <w:jc w:val="left"/>
      <w:spacing w:after="20" w:line="320" w:lineRule="exact"/>
    </w:pPr>
    <w:rPr>
      <w:szCs w:val="20"/>
    </w:rPr>
  </w:style>
  <w:style w:type="paragraph" w:styleId="879" w:customStyle="1">
    <w:name w:val="样式3"/>
    <w:basedOn w:val="736"/>
    <w:uiPriority w:val="0"/>
    <w:qFormat/>
    <w:pPr>
      <w:ind w:firstLine="448"/>
    </w:pPr>
    <w:rPr>
      <w:rFonts w:cs="Courier New"/>
      <w:color w:val="000000"/>
      <w:spacing w:val="-8"/>
    </w:rPr>
  </w:style>
  <w:style w:type="paragraph" w:styleId="880">
    <w:name w:val="No Spacing"/>
    <w:uiPriority w:val="0"/>
    <w:qFormat/>
    <w:pPr>
      <w:jc w:val="both"/>
      <w:widowControl w:val="off"/>
    </w:pPr>
    <w:rPr>
      <w:rFonts w:ascii="Calibri" w:hAnsi="Calibri" w:eastAsia="宋体" w:cs="Times New Roman"/>
      <w:sz w:val="21"/>
      <w:szCs w:val="22"/>
      <w:lang w:val="en-US" w:eastAsia="zh-CN" w:bidi="ar-SA"/>
    </w:rPr>
  </w:style>
  <w:style w:type="paragraph" w:styleId="881" w:customStyle="1">
    <w:name w:val="xl64"/>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882" w:customStyle="1">
    <w:name w:val="列出段落1"/>
    <w:basedOn w:val="701"/>
    <w:uiPriority w:val="0"/>
    <w:qFormat/>
    <w:pPr>
      <w:ind w:firstLine="420"/>
    </w:pPr>
    <w:rPr>
      <w:rFonts w:ascii="Calibri" w:hAnsi="Calibri"/>
      <w:color w:val="000000"/>
      <w:spacing w:val="-8"/>
      <w:szCs w:val="22"/>
    </w:rPr>
  </w:style>
  <w:style w:type="paragraph" w:styleId="883" w:customStyle="1">
    <w:name w:val="目录"/>
    <w:basedOn w:val="701"/>
    <w:next w:val="701"/>
    <w:uiPriority w:val="0"/>
    <w:qFormat/>
    <w:pPr>
      <w:ind w:firstLine="420"/>
      <w:jc w:val="center"/>
      <w:spacing w:before="360" w:after="360" w:line="360" w:lineRule="auto"/>
    </w:pPr>
    <w:rPr>
      <w:b/>
      <w:spacing w:val="200"/>
      <w:sz w:val="36"/>
      <w:szCs w:val="20"/>
    </w:rPr>
  </w:style>
  <w:style w:type="paragraph" w:styleId="884" w:customStyle="1">
    <w:name w:val="程序代码"/>
    <w:basedOn w:val="701"/>
    <w:uiPriority w:val="0"/>
    <w:qFormat/>
    <w:pPr>
      <w:ind w:left="839" w:firstLine="420"/>
      <w:spacing w:after="20" w:line="288" w:lineRule="auto"/>
    </w:pPr>
    <w:rPr>
      <w:rFonts w:eastAsia="仿宋_GB2312"/>
    </w:rPr>
  </w:style>
  <w:style w:type="paragraph" w:styleId="885" w:customStyle="1">
    <w:name w:val="标准式样"/>
    <w:basedOn w:val="754"/>
    <w:uiPriority w:val="0"/>
    <w:qFormat/>
  </w:style>
  <w:style w:type="paragraph" w:styleId="886" w:customStyle="1">
    <w:name w:val="Char Char Char Char Char Char Char1 Char"/>
    <w:basedOn w:val="701"/>
    <w:uiPriority w:val="0"/>
    <w:qFormat/>
    <w:rPr>
      <w:rFonts w:ascii="Tahoma" w:hAnsi="Tahoma"/>
      <w:sz w:val="24"/>
      <w:szCs w:val="20"/>
    </w:rPr>
  </w:style>
  <w:style w:type="paragraph" w:styleId="887" w:customStyle="1">
    <w:name w:val="xl46"/>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888" w:customStyle="1">
    <w:name w:val="正文1)"/>
    <w:basedOn w:val="70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889" w:customStyle="1">
    <w:name w:val="Char Char Char1 Char Char Char"/>
    <w:basedOn w:val="701"/>
    <w:uiPriority w:val="0"/>
    <w:qFormat/>
    <w:pPr>
      <w:ind w:firstLine="200"/>
    </w:pPr>
    <w:rPr>
      <w:rFonts w:ascii="Tahoma" w:hAnsi="Tahoma"/>
      <w:sz w:val="24"/>
      <w:szCs w:val="20"/>
    </w:rPr>
  </w:style>
  <w:style w:type="paragraph" w:styleId="890" w:customStyle="1">
    <w:name w:val="xl28"/>
    <w:basedOn w:val="701"/>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91" w:customStyle="1">
    <w:name w:val="页眉1"/>
    <w:basedOn w:val="701"/>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892" w:customStyle="1">
    <w:name w:val="xl4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893" w:customStyle="1">
    <w:name w:val="简介正文"/>
    <w:basedOn w:val="701"/>
    <w:uiPriority w:val="0"/>
    <w:qFormat/>
    <w:pPr>
      <w:numPr>
        <w:ilvl w:val="0"/>
        <w:numId w:val="6"/>
      </w:numPr>
      <w:ind w:left="1701" w:hanging="1701"/>
      <w:spacing w:after="20" w:line="520" w:lineRule="exact"/>
      <w:tabs>
        <w:tab w:val="clear" w:pos="425" w:leader="none"/>
      </w:tabs>
    </w:pPr>
    <w:rPr>
      <w:sz w:val="24"/>
      <w:szCs w:val="20"/>
    </w:rPr>
  </w:style>
  <w:style w:type="paragraph" w:styleId="894" w:customStyle="1">
    <w:name w:val="xl43"/>
    <w:basedOn w:val="701"/>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895" w:customStyle="1">
    <w:name w:val=" Char Char Char Char1"/>
    <w:basedOn w:val="701"/>
    <w:uiPriority w:val="0"/>
    <w:qFormat/>
  </w:style>
  <w:style w:type="paragraph" w:styleId="896" w:customStyle="1">
    <w:name w:val="菲页(卷)"/>
    <w:basedOn w:val="702"/>
    <w:next w:val="897"/>
    <w:uiPriority w:val="0"/>
    <w:qFormat/>
    <w:pPr>
      <w:ind w:left="432" w:hanging="432"/>
      <w:keepLines w:val="0"/>
      <w:spacing w:before="0" w:after="0" w:line="240" w:lineRule="auto"/>
      <w:widowControl/>
      <w:outlineLvl w:val="1"/>
    </w:pPr>
    <w:rPr>
      <w:b w:val="0"/>
      <w:bCs w:val="0"/>
      <w:sz w:val="52"/>
      <w:szCs w:val="20"/>
    </w:rPr>
  </w:style>
  <w:style w:type="paragraph" w:styleId="897" w:default="1" w:customStyle="1">
    <w:name w:val="Normal"/>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898" w:customStyle="1">
    <w:name w:val="正文(缩进)"/>
    <w:basedOn w:val="701"/>
    <w:uiPriority w:val="0"/>
    <w:qFormat/>
    <w:pPr>
      <w:ind w:firstLine="200"/>
      <w:spacing w:line="360" w:lineRule="auto"/>
      <w:widowControl/>
    </w:pPr>
    <w:rPr>
      <w:rFonts w:eastAsia="仿宋_GB2312"/>
      <w:sz w:val="24"/>
      <w:szCs w:val="20"/>
    </w:rPr>
  </w:style>
  <w:style w:type="paragraph" w:styleId="899" w:customStyle="1">
    <w:name w:val="xl42"/>
    <w:basedOn w:val="701"/>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900" w:customStyle="1">
    <w:name w:val="Char1"/>
    <w:basedOn w:val="701"/>
    <w:uiPriority w:val="0"/>
    <w:qFormat/>
    <w:pPr>
      <w:ind w:firstLine="448"/>
    </w:pPr>
    <w:rPr>
      <w:rFonts w:ascii="宋体" w:hAnsi="宋体" w:eastAsia="仿宋_GB2312"/>
      <w:b/>
      <w:color w:val="000000"/>
      <w:spacing w:val="-8"/>
      <w:sz w:val="32"/>
      <w:szCs w:val="32"/>
    </w:rPr>
  </w:style>
  <w:style w:type="paragraph" w:styleId="901" w:customStyle="1">
    <w:name w:val="xl69"/>
    <w:basedOn w:val="701"/>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902" w:customStyle="1">
    <w:name w:val="xl38"/>
    <w:basedOn w:val="701"/>
    <w:uiPriority w:val="0"/>
    <w:qFormat/>
    <w:pPr>
      <w:jc w:val="center"/>
      <w:spacing w:before="100" w:beforeAutospacing="1" w:after="100" w:afterAutospacing="1"/>
      <w:widowControl/>
    </w:pPr>
    <w:rPr>
      <w:rFonts w:hint="eastAsia" w:ascii="隶书" w:hAnsi="宋体" w:eastAsia="隶书"/>
      <w:b/>
      <w:bCs/>
      <w:sz w:val="48"/>
      <w:szCs w:val="48"/>
    </w:rPr>
  </w:style>
  <w:style w:type="paragraph" w:styleId="903" w:customStyle="1">
    <w:name w:val="函数注释2"/>
    <w:basedOn w:val="701"/>
    <w:uiPriority w:val="0"/>
    <w:qFormat/>
    <w:pPr>
      <w:ind w:left="1680" w:firstLine="420"/>
      <w:spacing w:after="20" w:line="288" w:lineRule="auto"/>
    </w:pPr>
  </w:style>
  <w:style w:type="paragraph" w:styleId="904" w:customStyle="1">
    <w:name w:val="xl39"/>
    <w:basedOn w:val="7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905" w:customStyle="1">
    <w:name w:val="样式2"/>
    <w:basedOn w:val="704"/>
    <w:uiPriority w:val="0"/>
    <w:qFormat/>
    <w:pPr>
      <w:ind w:firstLine="448"/>
      <w:spacing w:before="0" w:after="0"/>
    </w:pPr>
    <w:rPr>
      <w:rFonts w:ascii="Times New Roman" w:hAnsi="宋体" w:eastAsia="宋体"/>
      <w:color w:val="000000"/>
      <w:spacing w:val="-8"/>
      <w:sz w:val="24"/>
    </w:rPr>
  </w:style>
  <w:style w:type="paragraph" w:styleId="906" w:customStyle="1">
    <w:name w:val="附录1层"/>
    <w:basedOn w:val="701"/>
    <w:next w:val="701"/>
    <w:uiPriority w:val="0"/>
    <w:qFormat/>
    <w:pPr>
      <w:ind w:firstLine="448"/>
      <w:jc w:val="center"/>
      <w:spacing w:line="440" w:lineRule="exact"/>
    </w:pPr>
    <w:rPr>
      <w:rFonts w:ascii="黑体" w:hAnsi="宋体" w:eastAsia="黑体"/>
      <w:color w:val="000000"/>
      <w:spacing w:val="-8"/>
      <w:sz w:val="24"/>
      <w:szCs w:val="20"/>
    </w:rPr>
  </w:style>
  <w:style w:type="paragraph" w:styleId="907" w:customStyle="1">
    <w:name w:val="Char Char Char Char"/>
    <w:basedOn w:val="701"/>
    <w:uiPriority w:val="0"/>
    <w:qFormat/>
    <w:rPr>
      <w:rFonts w:ascii="Tahoma" w:hAnsi="Tahoma"/>
      <w:sz w:val="24"/>
      <w:szCs w:val="20"/>
    </w:rPr>
  </w:style>
  <w:style w:type="paragraph" w:styleId="908" w:customStyle="1">
    <w:name w:val="xl22"/>
    <w:basedOn w:val="70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909" w:customStyle="1">
    <w:name w:val="xl74"/>
    <w:basedOn w:val="70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910" w:customStyle="1">
    <w:name w:val="并列项-点"/>
    <w:basedOn w:val="701"/>
    <w:uiPriority w:val="0"/>
    <w:qFormat/>
    <w:pPr>
      <w:ind w:left="851" w:hanging="284"/>
      <w:spacing w:before="120" w:line="360" w:lineRule="auto"/>
      <w:widowControl/>
      <w:tabs>
        <w:tab w:val="left" w:pos="851" w:leader="none"/>
        <w:tab w:val="left" w:pos="927" w:leader="none"/>
      </w:tabs>
    </w:pPr>
    <w:rPr>
      <w:sz w:val="24"/>
      <w:szCs w:val="20"/>
    </w:rPr>
  </w:style>
  <w:style w:type="paragraph" w:styleId="911" w:customStyle="1">
    <w:name w:val="xl27"/>
    <w:basedOn w:val="701"/>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912" w:customStyle="1">
    <w:name w:val="目录文字"/>
    <w:basedOn w:val="701"/>
    <w:uiPriority w:val="0"/>
    <w:qFormat/>
    <w:pPr>
      <w:jc w:val="left"/>
      <w:spacing w:line="480" w:lineRule="auto"/>
      <w:widowControl/>
    </w:pPr>
    <w:rPr>
      <w:rFonts w:ascii="宋体" w:hAnsi="宋体"/>
      <w:sz w:val="24"/>
      <w:szCs w:val="20"/>
    </w:rPr>
  </w:style>
  <w:style w:type="paragraph" w:styleId="913" w:customStyle="1">
    <w:name w:val="xl34"/>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14" w:customStyle="1">
    <w:name w:val="复选框1"/>
    <w:basedOn w:val="701"/>
    <w:uiPriority w:val="0"/>
    <w:qFormat/>
    <w:pPr>
      <w:ind w:firstLine="448"/>
      <w:spacing w:before="360" w:after="360"/>
      <w:widowControl/>
    </w:pPr>
    <w:rPr>
      <w:rFonts w:hAnsi="宋体"/>
      <w:color w:val="000000"/>
      <w:spacing w:val="-8"/>
      <w:sz w:val="20"/>
      <w:szCs w:val="20"/>
    </w:rPr>
  </w:style>
  <w:style w:type="paragraph" w:styleId="915" w:customStyle="1">
    <w:name w:val="xl70"/>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916" w:customStyle="1">
    <w:name w:val="列表2"/>
    <w:basedOn w:val="701"/>
    <w:uiPriority w:val="0"/>
    <w:qFormat/>
    <w:pPr>
      <w:ind w:left="1469" w:hanging="420"/>
      <w:spacing w:after="20" w:line="288" w:lineRule="auto"/>
      <w:tabs>
        <w:tab w:val="left" w:pos="1470" w:leader="none"/>
      </w:tabs>
    </w:pPr>
  </w:style>
  <w:style w:type="paragraph" w:styleId="917" w:customStyle="1">
    <w:name w:val="表中"/>
    <w:basedOn w:val="701"/>
    <w:uiPriority w:val="0"/>
    <w:qFormat/>
    <w:pPr>
      <w:jc w:val="center"/>
      <w:spacing w:line="360" w:lineRule="atLeast"/>
    </w:pPr>
    <w:rPr>
      <w:szCs w:val="20"/>
    </w:rPr>
  </w:style>
  <w:style w:type="paragraph" w:styleId="918" w:customStyle="1">
    <w:name w:val="xl26"/>
    <w:basedOn w:val="701"/>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919" w:customStyle="1">
    <w:name w:val="xl41"/>
    <w:basedOn w:val="701"/>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920" w:customStyle="1">
    <w:name w:val="表蕊"/>
    <w:basedOn w:val="701"/>
    <w:uiPriority w:val="0"/>
    <w:qFormat/>
    <w:pPr>
      <w:jc w:val="left"/>
      <w:spacing w:line="320" w:lineRule="atLeast"/>
    </w:pPr>
    <w:rPr>
      <w:rFonts w:eastAsia="楷体_GB2312"/>
      <w:spacing w:val="-10"/>
      <w:szCs w:val="20"/>
    </w:rPr>
  </w:style>
  <w:style w:type="paragraph" w:styleId="921" w:customStyle="1">
    <w:name w:val="产品型号"/>
    <w:basedOn w:val="701"/>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922" w:customStyle="1">
    <w:name w:val="xl37"/>
    <w:basedOn w:val="70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923" w:customStyle="1">
    <w:name w:val="xl44"/>
    <w:basedOn w:val="701"/>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924" w:customStyle="1">
    <w:name w:val="Javis"/>
    <w:basedOn w:val="701"/>
    <w:uiPriority w:val="0"/>
    <w:qFormat/>
    <w:pPr>
      <w:ind w:right="210"/>
    </w:pPr>
    <w:rPr>
      <w:rFonts w:cs="宋体"/>
      <w:sz w:val="24"/>
      <w:szCs w:val="20"/>
    </w:rPr>
  </w:style>
  <w:style w:type="paragraph" w:styleId="925" w:customStyle="1">
    <w:name w:val="标准文字"/>
    <w:basedOn w:val="701"/>
    <w:uiPriority w:val="0"/>
    <w:qFormat/>
    <w:pPr>
      <w:ind w:firstLine="420"/>
      <w:spacing w:after="20" w:line="360" w:lineRule="auto"/>
    </w:pPr>
  </w:style>
  <w:style w:type="paragraph" w:styleId="926" w:customStyle="1">
    <w:name w:val="xl63"/>
    <w:basedOn w:val="701"/>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927" w:customStyle="1">
    <w:name w:val="xl67"/>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928" w:customStyle="1">
    <w:name w:val="table_lines"/>
    <w:basedOn w:val="701"/>
    <w:uiPriority w:val="0"/>
    <w:qFormat/>
    <w:pPr>
      <w:jc w:val="left"/>
      <w:widowControl/>
    </w:pPr>
    <w:rPr>
      <w:sz w:val="20"/>
      <w:szCs w:val="20"/>
      <w:lang w:val="de-DE" w:eastAsia="de-DE"/>
    </w:rPr>
  </w:style>
  <w:style w:type="paragraph" w:styleId="929" w:customStyle="1">
    <w:name w:val="图形"/>
    <w:basedOn w:val="701"/>
    <w:uiPriority w:val="0"/>
    <w:qFormat/>
    <w:pPr>
      <w:ind w:firstLine="420"/>
      <w:jc w:val="center"/>
      <w:spacing w:after="20" w:line="288" w:lineRule="auto"/>
    </w:pPr>
  </w:style>
  <w:style w:type="paragraph" w:styleId="930" w:customStyle="1">
    <w:name w:val="List Paragraph1"/>
    <w:basedOn w:val="701"/>
    <w:uiPriority w:val="0"/>
    <w:qFormat/>
    <w:pPr>
      <w:ind w:firstLine="420"/>
    </w:pPr>
    <w:rPr>
      <w:rFonts w:ascii="Calibri" w:hAnsi="Calibri" w:cs="Calibri"/>
      <w:szCs w:val="21"/>
    </w:rPr>
  </w:style>
  <w:style w:type="paragraph" w:styleId="931" w:customStyle="1">
    <w:name w:val="xl52"/>
    <w:basedOn w:val="70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932" w:customStyle="1">
    <w:name w:val="菲页1"/>
    <w:basedOn w:val="703"/>
    <w:uiPriority w:val="0"/>
    <w:qFormat/>
    <w:pPr>
      <w:numPr>
        <w:ilvl w:val="1"/>
        <w:numId w:val="0"/>
      </w:numPr>
      <w:jc w:val="center"/>
      <w:widowControl/>
    </w:pPr>
    <w:rPr>
      <w:rFonts w:ascii="黑体" w:hAnsi="宋体"/>
      <w:b w:val="0"/>
      <w:bCs w:val="0"/>
      <w:sz w:val="52"/>
      <w:szCs w:val="20"/>
    </w:rPr>
  </w:style>
  <w:style w:type="paragraph" w:styleId="933" w:customStyle="1">
    <w:name w:val="xl29"/>
    <w:basedOn w:val="701"/>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934" w:customStyle="1">
    <w:name w:val="xl50"/>
    <w:basedOn w:val="701"/>
    <w:uiPriority w:val="0"/>
    <w:qFormat/>
    <w:pPr>
      <w:jc w:val="center"/>
      <w:spacing w:before="100" w:beforeAutospacing="1" w:after="100" w:afterAutospacing="1"/>
      <w:widowControl/>
    </w:pPr>
    <w:rPr>
      <w:rFonts w:ascii="宋体" w:hAnsi="宋体"/>
      <w:b/>
      <w:bCs/>
      <w:sz w:val="40"/>
      <w:szCs w:val="40"/>
    </w:rPr>
  </w:style>
  <w:style w:type="paragraph" w:styleId="935" w:customStyle="1">
    <w:name w:val="xl68"/>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936" w:customStyle="1">
    <w:name w:val="办公自动化专用正文"/>
    <w:basedOn w:val="701"/>
    <w:uiPriority w:val="0"/>
    <w:qFormat/>
    <w:pPr>
      <w:ind w:firstLine="624"/>
      <w:spacing w:line="500" w:lineRule="atLeast"/>
    </w:pPr>
    <w:rPr>
      <w:rFonts w:hAnsi="宋体" w:eastAsia="楷体_GB2312"/>
      <w:color w:val="000000"/>
      <w:spacing w:val="-8"/>
      <w:sz w:val="32"/>
      <w:szCs w:val="20"/>
    </w:rPr>
  </w:style>
  <w:style w:type="paragraph" w:styleId="937" w:customStyle="1">
    <w:name w:val="样式1"/>
    <w:basedOn w:val="701"/>
    <w:uiPriority w:val="0"/>
    <w:qFormat/>
    <w:pPr>
      <w:spacing w:before="120" w:after="120" w:line="300" w:lineRule="auto"/>
    </w:pPr>
    <w:rPr>
      <w:rFonts w:ascii="宋体" w:hAnsi="宋体"/>
      <w:b/>
      <w:sz w:val="24"/>
      <w:szCs w:val="20"/>
    </w:rPr>
  </w:style>
  <w:style w:type="paragraph" w:styleId="938" w:customStyle="1">
    <w:name w:val="回信地址"/>
    <w:basedOn w:val="701"/>
    <w:uiPriority w:val="0"/>
    <w:qFormat/>
    <w:pPr>
      <w:ind w:right="-120" w:firstLine="420"/>
      <w:jc w:val="left"/>
      <w:keepLines/>
      <w:spacing w:after="20" w:line="200" w:lineRule="atLeast"/>
      <w:widowControl/>
    </w:pPr>
    <w:rPr>
      <w:sz w:val="16"/>
      <w:szCs w:val="20"/>
    </w:rPr>
  </w:style>
  <w:style w:type="paragraph" w:styleId="939" w:customStyle="1">
    <w:name w:val="xl33"/>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40" w:customStyle="1">
    <w:name w:val="xl23"/>
    <w:basedOn w:val="70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941" w:customStyle="1">
    <w:name w:val="xl65"/>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942" w:customStyle="1">
    <w:name w:val="xl24"/>
    <w:basedOn w:val="701"/>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943" w:customStyle="1">
    <w:name w:val="font7"/>
    <w:basedOn w:val="701"/>
    <w:uiPriority w:val="0"/>
    <w:qFormat/>
    <w:pPr>
      <w:ind w:firstLine="420"/>
      <w:jc w:val="left"/>
      <w:spacing w:before="100" w:beforeAutospacing="1" w:after="100" w:afterAutospacing="1" w:line="288" w:lineRule="auto"/>
      <w:widowControl/>
    </w:pPr>
    <w:rPr>
      <w:b/>
      <w:bCs/>
      <w:sz w:val="24"/>
    </w:rPr>
  </w:style>
  <w:style w:type="paragraph" w:styleId="944" w:customStyle="1">
    <w:name w:val="xl40"/>
    <w:basedOn w:val="7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945" w:customStyle="1">
    <w:name w:val="List Paragraph[858D7CFB-ED40-4347-BF05-701D383B685F][858D7CFB-ED40-4347-BF05-701D383B685F]"/>
    <w:basedOn w:val="701"/>
    <w:uiPriority w:val="0"/>
    <w:qFormat/>
    <w:pPr>
      <w:ind w:firstLine="420"/>
    </w:pPr>
    <w:rPr>
      <w:rFonts w:ascii="Calibri" w:hAnsi="Calibri"/>
      <w:color w:val="000000"/>
      <w:spacing w:val="-8"/>
      <w:szCs w:val="22"/>
    </w:rPr>
  </w:style>
  <w:style w:type="paragraph" w:styleId="946" w:customStyle="1">
    <w:name w:val="样式 标题 2标题 2 Char Char + (西文) 仿宋_GB2312"/>
    <w:basedOn w:val="703"/>
    <w:uiPriority w:val="0"/>
    <w:qFormat/>
    <w:pPr>
      <w:numPr>
        <w:ilvl w:val="1"/>
        <w:numId w:val="0"/>
      </w:numPr>
      <w:ind w:right="-226" w:firstLine="448"/>
      <w:spacing w:before="120" w:after="120" w:line="500" w:lineRule="exact"/>
    </w:pPr>
    <w:rPr>
      <w:rFonts w:ascii="仿宋_GB2312" w:hAnsi="仿宋_GB2312"/>
      <w:color w:val="000000"/>
      <w:spacing w:val="-8"/>
      <w:sz w:val="28"/>
      <w:szCs w:val="28"/>
    </w:rPr>
  </w:style>
  <w:style w:type="paragraph" w:styleId="947" w:customStyle="1">
    <w:name w:val="xl72"/>
    <w:basedOn w:val="701"/>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948" w:customStyle="1">
    <w:name w:val="xl51"/>
    <w:basedOn w:val="70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949" w:customStyle="1">
    <w:name w:val="二级目录"/>
    <w:next w:val="701"/>
    <w:uiPriority w:val="0"/>
    <w:qFormat/>
    <w:pPr>
      <w:ind w:left="425" w:hanging="425"/>
      <w:tabs>
        <w:tab w:val="left" w:pos="720" w:leader="none"/>
      </w:tabs>
      <w:outlineLvl w:val="1"/>
    </w:pPr>
    <w:rPr>
      <w:rFonts w:ascii="Times New Roman" w:hAnsi="Times New Roman" w:eastAsia="宋体" w:cs="Times New Roman"/>
      <w:b/>
      <w:sz w:val="30"/>
      <w:szCs w:val="28"/>
      <w:lang w:val="en-US" w:eastAsia="zh-CN" w:bidi="ar-SA"/>
    </w:rPr>
  </w:style>
  <w:style w:type="paragraph" w:styleId="950" w:customStyle="1">
    <w:name w:val="样式 小四 段前: 5 磅 段后: 5 磅 首行缩进:  2 字符"/>
    <w:basedOn w:val="701"/>
    <w:uiPriority w:val="0"/>
    <w:qFormat/>
    <w:pPr>
      <w:spacing w:line="360" w:lineRule="auto"/>
    </w:pPr>
    <w:rPr>
      <w:rFonts w:ascii="宋体" w:hAnsi="宋体"/>
      <w:szCs w:val="21"/>
    </w:rPr>
  </w:style>
  <w:style w:type="paragraph" w:styleId="951" w:customStyle="1">
    <w:name w:val="xl66"/>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952" w:customStyle="1">
    <w:name w:val="表格文字"/>
    <w:basedOn w:val="701"/>
    <w:uiPriority w:val="0"/>
    <w:qFormat/>
    <w:pPr>
      <w:jc w:val="left"/>
      <w:spacing w:line="288" w:lineRule="auto"/>
    </w:pPr>
    <w:rPr>
      <w:szCs w:val="20"/>
    </w:rPr>
  </w:style>
  <w:style w:type="paragraph" w:styleId="953" w:customStyle="1">
    <w:name w:val="xl35"/>
    <w:basedOn w:val="70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54" w:customStyle="1">
    <w:name w:val="xl45"/>
    <w:basedOn w:val="70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955" w:customStyle="1">
    <w:name w:val="表格标题"/>
    <w:basedOn w:val="701"/>
    <w:uiPriority w:val="0"/>
    <w:qFormat/>
    <w:pPr>
      <w:jc w:val="center"/>
      <w:spacing w:before="120" w:line="400" w:lineRule="exact"/>
    </w:pPr>
    <w:rPr>
      <w:rFonts w:eastAsia="文鼎CS中宋"/>
      <w:spacing w:val="8"/>
      <w:sz w:val="24"/>
      <w:szCs w:val="20"/>
    </w:rPr>
  </w:style>
  <w:style w:type="paragraph" w:styleId="956" w:customStyle="1">
    <w:name w:val="Char"/>
    <w:basedOn w:val="701"/>
    <w:uiPriority w:val="0"/>
    <w:qFormat/>
    <w:rPr>
      <w:rFonts w:ascii="仿宋_GB2312" w:eastAsia="仿宋_GB2312"/>
      <w:b/>
      <w:sz w:val="32"/>
      <w:szCs w:val="32"/>
    </w:rPr>
  </w:style>
  <w:style w:type="paragraph" w:styleId="957" w:customStyle="1">
    <w:name w:val="文档标签"/>
    <w:next w:val="701"/>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958" w:customStyle="1">
    <w:name w:val="xl25"/>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959" w:customStyle="1">
    <w:name w:val="text"/>
    <w:basedOn w:val="701"/>
    <w:uiPriority w:val="0"/>
    <w:qFormat/>
    <w:pPr>
      <w:ind w:left="1098" w:hanging="2"/>
      <w:spacing w:before="312" w:after="60" w:line="264" w:lineRule="auto"/>
      <w:widowControl/>
      <w:tabs>
        <w:tab w:val="left" w:pos="1020" w:leader="none"/>
        <w:tab w:val="left" w:pos="1090" w:leader="none"/>
      </w:tabs>
    </w:pPr>
    <w:rPr>
      <w:sz w:val="24"/>
    </w:rPr>
  </w:style>
  <w:style w:type="paragraph" w:styleId="960" w:customStyle="1">
    <w:name w:val="xl73"/>
    <w:basedOn w:val="70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961" w:customStyle="1">
    <w:name w:val="样式 标题 3 + (西文) 宋体 黑色"/>
    <w:basedOn w:val="704"/>
    <w:uiPriority w:val="0"/>
    <w:qFormat/>
    <w:pPr>
      <w:ind w:right="-94" w:firstLine="448"/>
      <w:spacing w:before="156" w:after="156" w:line="415" w:lineRule="auto"/>
    </w:pPr>
    <w:rPr>
      <w:rFonts w:ascii="宋体" w:hAnsi="宋体"/>
      <w:b w:val="0"/>
      <w:bCs w:val="0"/>
      <w:color w:val="000000"/>
      <w:spacing w:val="-8"/>
      <w:sz w:val="28"/>
      <w:szCs w:val="21"/>
    </w:rPr>
  </w:style>
  <w:style w:type="paragraph" w:styleId="962" w:customStyle="1">
    <w:name w:val="xl47"/>
    <w:basedOn w:val="70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963" w:customStyle="1">
    <w:name w:val="xl32"/>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64" w:customStyle="1">
    <w:name w:val="样式 纯文本 + 楷体_GB2312 小四 行距: 固定值 20 磅1"/>
    <w:basedOn w:val="736"/>
    <w:uiPriority w:val="0"/>
    <w:qFormat/>
    <w:pPr>
      <w:ind w:firstLine="200"/>
      <w:spacing w:line="400" w:lineRule="exact"/>
    </w:pPr>
    <w:rPr>
      <w:rFonts w:ascii="楷体_GB2312" w:eastAsia="楷体_GB2312"/>
      <w:sz w:val="24"/>
      <w:szCs w:val="20"/>
    </w:rPr>
  </w:style>
  <w:style w:type="paragraph" w:styleId="965" w:customStyle="1">
    <w:name w:val=" Char Char Char Char Char Char Char Char Char Char1"/>
    <w:basedOn w:val="701"/>
    <w:uiPriority w:val="0"/>
    <w:qFormat/>
    <w:pPr>
      <w:ind w:left="425" w:hanging="425"/>
      <w:tabs>
        <w:tab w:val="left" w:pos="425" w:leader="none"/>
      </w:tabs>
    </w:pPr>
    <w:rPr>
      <w:sz w:val="28"/>
      <w:szCs w:val="20"/>
    </w:rPr>
  </w:style>
  <w:style w:type="paragraph" w:styleId="966" w:customStyle="1">
    <w:name w:val="标题0"/>
    <w:basedOn w:val="765"/>
    <w:next w:val="765"/>
    <w:uiPriority w:val="0"/>
    <w:qFormat/>
    <w:rPr>
      <w:sz w:val="52"/>
    </w:rPr>
  </w:style>
  <w:style w:type="paragraph" w:styleId="967" w:customStyle="1">
    <w:name w:val="_Style 266"/>
    <w:uiPriority w:val="99"/>
    <w:semiHidden/>
    <w:qFormat/>
    <w:rPr>
      <w:rFonts w:ascii="Times New Roman" w:hAnsi="Times New Roman" w:eastAsia="宋体" w:cs="Times New Roman"/>
      <w:sz w:val="21"/>
      <w:szCs w:val="24"/>
      <w:lang w:val="en-US" w:eastAsia="zh-CN" w:bidi="ar-SA"/>
    </w:rPr>
  </w:style>
  <w:style w:type="paragraph" w:styleId="968" w:customStyle="1">
    <w:name w:val="font0"/>
    <w:basedOn w:val="701"/>
    <w:uiPriority w:val="0"/>
    <w:qFormat/>
    <w:pPr>
      <w:jc w:val="left"/>
      <w:spacing w:before="100" w:beforeAutospacing="1" w:after="100" w:afterAutospacing="1"/>
      <w:widowControl/>
    </w:pPr>
    <w:rPr>
      <w:rFonts w:hint="eastAsia" w:ascii="宋体" w:hAnsi="宋体"/>
      <w:sz w:val="18"/>
      <w:szCs w:val="18"/>
    </w:rPr>
  </w:style>
  <w:style w:type="paragraph" w:styleId="969" w:customStyle="1">
    <w:name w:val="yyn"/>
    <w:basedOn w:val="701"/>
    <w:uiPriority w:val="0"/>
    <w:qFormat/>
    <w:pPr>
      <w:ind w:right="562" w:firstLine="576"/>
      <w:keepNext/>
      <w:spacing w:line="360" w:lineRule="auto"/>
      <w:widowControl/>
    </w:pPr>
    <w:rPr>
      <w:rFonts w:ascii="宋体"/>
      <w:sz w:val="28"/>
      <w:szCs w:val="20"/>
    </w:rPr>
  </w:style>
  <w:style w:type="paragraph" w:styleId="970" w:customStyle="1">
    <w:name w:val="xl30"/>
    <w:basedOn w:val="701"/>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971" w:customStyle="1">
    <w:name w:val="xl31"/>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2" w:customStyle="1">
    <w:name w:val="font6"/>
    <w:basedOn w:val="701"/>
    <w:uiPriority w:val="0"/>
    <w:qFormat/>
    <w:pPr>
      <w:ind w:firstLine="420"/>
      <w:jc w:val="left"/>
      <w:spacing w:before="100" w:beforeAutospacing="1" w:after="100" w:afterAutospacing="1" w:line="288" w:lineRule="auto"/>
      <w:widowControl/>
    </w:pPr>
    <w:rPr>
      <w:sz w:val="24"/>
    </w:rPr>
  </w:style>
  <w:style w:type="paragraph" w:styleId="973" w:customStyle="1">
    <w:name w:val="04-正文"/>
    <w:basedOn w:val="701"/>
    <w:uiPriority w:val="0"/>
    <w:qFormat/>
    <w:pPr>
      <w:ind w:firstLine="482"/>
      <w:spacing w:line="360" w:lineRule="auto"/>
    </w:pPr>
    <w:rPr>
      <w:rFonts w:ascii="宋体" w:hAnsi="宋体"/>
      <w:sz w:val="24"/>
      <w:szCs w:val="24"/>
    </w:rPr>
  </w:style>
  <w:style w:type="paragraph" w:styleId="974" w:customStyle="1">
    <w:name w:val="普通文字"/>
    <w:basedOn w:val="701"/>
    <w:next w:val="701"/>
    <w:uiPriority w:val="0"/>
    <w:qFormat/>
    <w:rPr>
      <w:rFonts w:ascii="宋体"/>
      <w:sz w:val="24"/>
      <w:szCs w:val="20"/>
      <w:u w:val="none"/>
    </w:rPr>
  </w:style>
  <w:style w:type="paragraph" w:styleId="975" w:customStyle="1">
    <w:name w:val="Andy_正文"/>
    <w:basedOn w:val="701"/>
    <w:uiPriority w:val="0"/>
    <w:qFormat/>
    <w:pPr>
      <w:ind w:firstLine="480"/>
      <w:spacing w:line="360" w:lineRule="auto"/>
    </w:pPr>
    <w:rPr>
      <w:rFonts w:ascii="Calibri" w:hAnsi="Calibri" w:eastAsia="宋体"/>
      <w:sz w:val="24"/>
      <w:szCs w:val="24"/>
    </w:rPr>
  </w:style>
  <w:style w:type="paragraph" w:styleId="976" w:customStyle="1">
    <w:name w:val="List Paragraph2"/>
    <w:basedOn w:val="701"/>
    <w:uiPriority w:val="0"/>
    <w:qFormat/>
    <w:pPr>
      <w:ind w:firstLine="420"/>
    </w:pPr>
    <w:rPr>
      <w:rFonts w:ascii="Calibri"/>
      <w:szCs w:val="21"/>
    </w:rPr>
  </w:style>
  <w:style w:type="character" w:styleId="977" w:customStyle="1">
    <w:name w:val="页眉 字符1"/>
    <w:uiPriority w:val="0"/>
    <w:qFormat/>
    <w:rPr>
      <w:rFonts w:ascii="Times New Roman" w:hAnsi="Times New Roman" w:eastAsia="宋体" w:cs="Times New Roman"/>
      <w:sz w:val="18"/>
      <w:szCs w:val="18"/>
    </w:rPr>
  </w:style>
  <w:style w:type="character" w:styleId="978" w:customStyle="1">
    <w:name w:val="tit12"/>
    <w:uiPriority w:val="0"/>
    <w:qFormat/>
    <w:rPr>
      <w:color w:val="db2200"/>
    </w:rPr>
  </w:style>
  <w:style w:type="character" w:styleId="979" w:customStyle="1">
    <w:name w:val="more6"/>
    <w:uiPriority w:val="0"/>
    <w:qFormat/>
  </w:style>
  <w:style w:type="character" w:styleId="980" w:customStyle="1">
    <w:name w:val="font21"/>
    <w:uiPriority w:val="0"/>
    <w:qFormat/>
    <w:rPr>
      <w:rFonts w:ascii="Arial" w:hAnsi="Arial" w:cs="Arial"/>
      <w:color w:val="000000"/>
      <w:sz w:val="24"/>
      <w:szCs w:val="24"/>
      <w:u w:val="none"/>
    </w:rPr>
  </w:style>
  <w:style w:type="character" w:styleId="981" w:customStyle="1">
    <w:name w:val="font11"/>
    <w:uiPriority w:val="0"/>
    <w:qFormat/>
    <w:rPr>
      <w:rFonts w:hint="eastAsia" w:ascii="宋体" w:hAnsi="宋体" w:eastAsia="宋体" w:cs="宋体"/>
      <w:color w:val="000000"/>
      <w:sz w:val="20"/>
      <w:szCs w:val="20"/>
      <w:u w:val="none"/>
    </w:rPr>
  </w:style>
  <w:style w:type="character" w:styleId="982" w:customStyle="1">
    <w:name w:val="font31"/>
    <w:uiPriority w:val="0"/>
    <w:qFormat/>
    <w:rPr>
      <w:rFonts w:hint="eastAsia" w:ascii="宋体" w:hAnsi="宋体" w:eastAsia="宋体" w:cs="宋体"/>
      <w:color w:val="000000"/>
      <w:sz w:val="20"/>
      <w:szCs w:val="20"/>
      <w:u w:val="none"/>
    </w:rPr>
  </w:style>
  <w:style w:type="character" w:styleId="983" w:customStyle="1">
    <w:name w:val="font41"/>
    <w:uiPriority w:val="0"/>
    <w:qFormat/>
    <w:rPr>
      <w:rFonts w:ascii="Arial" w:hAnsi="Arial" w:cs="Arial"/>
      <w:color w:val="000000"/>
      <w:sz w:val="20"/>
      <w:szCs w:val="20"/>
      <w:u w:val="none"/>
    </w:rPr>
  </w:style>
  <w:style w:type="paragraph" w:styleId="984" w:customStyle="1">
    <w:name w:val="Fließtext"/>
    <w:basedOn w:val="701"/>
    <w:uiPriority w:val="99"/>
    <w:qFormat/>
  </w:style>
  <w:style w:type="character" w:styleId="985" w:customStyle="1">
    <w:name w:val="font51"/>
    <w:uiPriority w:val="0"/>
    <w:qFormat/>
    <w:rPr>
      <w:rFonts w:ascii="宋体" w:hAnsi="宋体" w:eastAsia="宋体" w:cs="宋体"/>
      <w:color w:val="000000"/>
      <w:sz w:val="20"/>
      <w:szCs w:val="20"/>
      <w:u w:val="none"/>
    </w:rPr>
  </w:style>
  <w:style w:type="paragraph" w:styleId="98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87" w:customStyle="1">
    <w:name w:val="DAS正文"/>
    <w:basedOn w:val="701"/>
    <w:uiPriority w:val="0"/>
    <w:qFormat/>
    <w:pPr>
      <w:ind w:right="181" w:firstLine="480"/>
      <w:spacing w:line="360" w:lineRule="auto"/>
    </w:pPr>
    <w:rPr>
      <w:rFonts w:ascii="Verdana" w:hAnsi="Verdana"/>
      <w:sz w:val="24"/>
      <w:szCs w:val="24"/>
    </w:rPr>
  </w:style>
  <w:style w:type="table" w:styleId="988" w:customStyle="1">
    <w:name w:val="网格型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9" w:customStyle="1">
    <w:name w:val="网格型64"/>
    <w:basedOn w:val="712"/>
    <w:uiPriority w:val="99"/>
    <w:qFormat/>
    <w:pPr>
      <w:jc w:val="both"/>
      <w:widowControl w:val="off"/>
    </w:pPr>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0" w:customStyle="1">
    <w:name w:val="网格型101"/>
    <w:uiPriority w:val="99"/>
    <w:qFormat/>
    <w:pPr>
      <w:jc w:val="both"/>
      <w:widowControl w:val="off"/>
    </w:pPr>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1" w:customStyle="1">
    <w:name w:val="网格型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2" w:customStyle="1">
    <w:name w:val="网格型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3" w:customStyle="1">
    <w:name w:val="网格型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4" w:customStyle="1">
    <w:name w:val="Table Normal"/>
    <w:uiPriority w:val="0"/>
    <w:unhideWhenUsed/>
    <w:qFormat/>
    <w:rPr>
      <w:rFonts w:ascii="Arial" w:hAnsi="Arial" w:eastAsia="宋体" w:cs="Arial"/>
      <w:color w:val="000000"/>
      <w:sz w:val="21"/>
      <w:szCs w:val="21"/>
      <w:lang w:eastAsia="en-US"/>
    </w:rPr>
    <w:tblPr>
      <w:tblCellMar>
        <w:left w:w="0" w:type="dxa"/>
        <w:top w:w="0" w:type="dxa"/>
        <w:right w:w="0" w:type="dxa"/>
        <w:bottom w:w="0" w:type="dxa"/>
      </w:tblCellMar>
    </w:tblPr>
  </w:style>
  <w:style w:type="paragraph" w:styleId="995" w:customStyle="1">
    <w:name w:val="Table Text"/>
    <w:basedOn w:val="701"/>
    <w:uiPriority w:val="0"/>
    <w:semiHidden/>
    <w:qFormat/>
    <w:pPr>
      <w:jc w:val="left"/>
      <w:widowControl/>
    </w:pPr>
    <w:rPr>
      <w:rFonts w:ascii="宋体" w:hAnsi="宋体" w:cs="宋体"/>
      <w:color w:val="000000"/>
      <w:sz w:val="23"/>
      <w:szCs w:val="23"/>
      <w:lang w:eastAsia="en-US"/>
    </w:rPr>
  </w:style>
  <w:style w:type="paragraph" w:styleId="996" w:customStyle="1">
    <w:name w:val="图表"/>
    <w:next w:val="701"/>
    <w:uiPriority w:val="0"/>
    <w:qFormat/>
    <w:pPr>
      <w:jc w:val="center"/>
    </w:pPr>
    <w:rPr>
      <w:rFonts w:hint="default" w:ascii="Times New Roman" w:hAnsi="Times New Roman" w:eastAsia="宋体" w:cs="Times New Roman"/>
      <w:sz w:val="21"/>
      <w:szCs w:val="24"/>
      <w:lang w:val="en-US" w:eastAsia="zh-CN" w:bidi="ar-SA"/>
    </w:rPr>
  </w:style>
  <w:style w:type="character" w:styleId="997" w:customStyle="1">
    <w:name w:val="font01"/>
    <w:basedOn w:val="711"/>
    <w:uiPriority w:val="0"/>
    <w:qFormat/>
    <w:rPr>
      <w:rFonts w:hint="eastAsia" w:ascii="宋体" w:hAnsi="宋体" w:eastAsia="宋体" w:cs="宋体"/>
      <w:color w:val="000000"/>
      <w:sz w:val="24"/>
      <w:szCs w:val="24"/>
      <w:u w:val="none"/>
    </w:rPr>
  </w:style>
  <w:style w:type="numbering" w:styleId="148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972e598d-8414-4fa6-ac9c-ebf8aa8594c1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5EA81AD0</paraID>
      <start>0</start>
      <end>2</end>
      <status>unmodified</status>
      <modifiedWord/>
      <trackRevisions>false</trackRevisions>
    </reviewItem>
    <reviewItem>
      <errorID>e46d93ac-d35e-4613-97cc-3e81a744746f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E66B475</paraID>
      <start>0</start>
      <end>2</end>
      <status>unmodified</status>
      <modifiedWord/>
      <trackRevisions>false</trackRevisions>
    </reviewItem>
    <reviewItem>
      <errorID>6811601a-0db6-4775-b262-d0cdd83cb998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3F1ACB4E</paraID>
      <start>0</start>
      <end>2</end>
      <status>unmodified</status>
      <modifiedWord/>
      <trackRevisions>false</trackRevisions>
    </reviewItem>
    <reviewItem>
      <errorID>94b02f29-7136-4c85-8c71-34a96bd48b4d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32FC53C2</paraID>
      <start>0</start>
      <end>2</end>
      <status>unmodified</status>
      <modifiedWord/>
      <trackRevisions>false</trackRevisions>
    </reviewItem>
    <reviewItem>
      <errorID>21556d64-d19a-4121-b63d-7b8e8f9fabcf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7C95ABA6</paraID>
      <start>0</start>
      <end>2</end>
      <status>unmodified</status>
      <modifiedWord/>
      <trackRevisions>false</trackRevisions>
    </reviewItem>
    <reviewItem>
      <errorID>3d4d20f7-1705-4b5f-8a6c-bab5807d97c1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791F3CC</paraID>
      <start>0</start>
      <end>2</end>
      <status>unmodified</status>
      <modifiedWord/>
      <trackRevisions>false</trackRevisions>
    </reviewItem>
    <reviewItem>
      <errorID>82c4c6e0-4064-4ece-83e2-1f79886d17dd</errorID>
      <errorWord>-</errorWord>
      <group>L1_Format</group>
      <groupName>格式问题</groupName>
      <ability>L2_HalfPunc</ability>
      <abilityName>全半角检查</abilityName>
      <candidateList>
        <item>－</item>
      </candidateList>
      <explain>文本全半角错误。</explain>
      <paraID>  DEDC69</paraID>
      <start>230</start>
      <end>231</end>
      <status>unmodified</status>
      <modifiedWord/>
      <trackRevisions>false</trackRevisions>
    </reviewItem>
    <reviewItem>
      <errorID>882296c7-a97e-4724-b168-b59d6872c3fc</errorID>
      <errorWord>-</errorWord>
      <group>L1_Format</group>
      <groupName>格式问题</groupName>
      <ability>L2_HalfPunc</ability>
      <abilityName>全半角检查</abilityName>
      <candidateList>
        <item>－</item>
      </candidateList>
      <explain>文本全半角错误。</explain>
      <paraID>  DEDC69</paraID>
      <start>233</start>
      <end>234</end>
      <status>unmodified</status>
      <modifiedWord/>
      <trackRevisions>false</trackRevisions>
    </reviewItem>
    <reviewItem>
      <errorID>35c5eba4-6d66-406f-8e28-0a4fe7357dfd</errorID>
      <errorWord>-</errorWord>
      <group>L1_Format</group>
      <groupName>格式问题</groupName>
      <ability>L2_HalfPunc</ability>
      <abilityName>全半角检查</abilityName>
      <candidateList>
        <item>－</item>
      </candidateList>
      <explain>文本全半角错误。</explain>
      <paraID>  DEDC69</paraID>
      <start>236</start>
      <end>237</end>
      <status>unmodified</status>
      <modifiedWord/>
      <trackRevisions>false</trackRevisions>
    </reviewItem>
    <reviewItem>
      <errorID>e7d72227-4fa8-4e0f-b4cd-47d6d9d00194</errorID>
      <errorWord>-</errorWord>
      <group>L1_Format</group>
      <groupName>格式问题</groupName>
      <ability>L2_HalfPunc</ability>
      <abilityName>全半角检查</abilityName>
      <candidateList>
        <item>－</item>
      </candidateList>
      <explain>文本全半角错误。</explain>
      <paraID>  DEDC69</paraID>
      <start>239</start>
      <end>240</end>
      <status>unmodified</status>
      <modifiedWord/>
      <trackRevisions>false</trackRevisions>
    </reviewItem>
    <reviewItem>
      <errorID>c5b50dde-300b-4246-9feb-e7025f9280d9</errorID>
      <errorWord>后</errorWord>
      <group>L1_Word</group>
      <groupName>字词问题</groupName>
      <ability>L2_Typo</ability>
      <abilityName>字词错误</abilityName>
      <candidateList>
        <item>后在</item>
      </candidateList>
      <explain/>
      <paraID>725E9A42</paraID>
      <start>37</start>
      <end>38</end>
      <status>unmodified</status>
      <modifiedWord/>
      <trackRevisions>false</trackRevisions>
    </reviewItem>
    <reviewItem>
      <errorID>9478231d-8777-4707-9300-a9f3c52d1929</errorID>
      <errorWord>：</errorWord>
      <group>L1_Format</group>
      <groupName>格式问题</groupName>
      <ability>L2_HalfPunc</ability>
      <abilityName>全半角检查</abilityName>
      <candidateList>
        <item>:</item>
      </candidateList>
      <explain>文本全半角错误。</explain>
      <paraID>5D32967A</paraID>
      <start>17</start>
      <end>18</end>
      <status>unmodified</status>
      <modifiedWord/>
      <trackRevisions>false</trackRevisions>
    </reviewItem>
    <reviewItem>
      <errorID>34ca4116-50da-4f7a-bcde-8ebd6163252c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45FD2CD0</paraID>
      <start>0</start>
      <end>2</end>
      <status>unmodified</status>
      <modifiedWord/>
      <trackRevisions>false</trackRevisions>
    </reviewItem>
    <reviewItem>
      <errorID>a362c103-cf38-4f23-a9d2-a6d25aed5b06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20DFDA20</paraID>
      <start>0</start>
      <end>2</end>
      <status>unmodified</status>
      <modifiedWord/>
      <trackRevisions>false</trackRevisions>
    </reviewItem>
    <reviewItem>
      <errorID>d87a03c3-fd00-42c1-9743-d010da8a5f08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7C94792F</paraID>
      <start>0</start>
      <end>2</end>
      <status>unmodified</status>
      <modifiedWord/>
      <trackRevisions>false</trackRevisions>
    </reviewItem>
    <reviewItem>
      <errorID>dd631488-dba6-48fc-a766-8f5c4071c815</errorID>
      <errorWord>,</errorWord>
      <group>L1_Format</group>
      <groupName>格式问题</groupName>
      <ability>L2_HalfPunc</ability>
      <abilityName>全半角检查</abilityName>
      <candidateList>
        <item>，</item>
      </candidateList>
      <explain>文本全半角错误。</explain>
      <paraID>563B1517</paraID>
      <start>15</start>
      <end>16</end>
      <status>unmodified</status>
      <modifiedWord/>
      <trackRevisions>false</trackRevisions>
    </reviewItem>
    <reviewItem>
      <errorID>a8b78891-d602-48cd-8ff2-3744d240b9df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49FA989D</paraID>
      <start>0</start>
      <end>2</end>
      <status>unmodified</status>
      <modifiedWord/>
      <trackRevisions>false</trackRevisions>
    </reviewItem>
    <reviewItem>
      <errorID>1d588ba6-ffc1-4ab1-9a1a-6d6d2914d4a1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3F790E01</paraID>
      <start>0</start>
      <end>2</end>
      <status>unmodified</status>
      <modifiedWord/>
      <trackRevisions>false</trackRevisions>
    </reviewItem>
    <reviewItem>
      <errorID>97f9fb9d-cbcf-47da-a0a9-5d9047017314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74FB9B5B</paraID>
      <start>0</start>
      <end>2</end>
      <status>unmodified</status>
      <modifiedWord/>
      <trackRevisions>false</trackRevisions>
    </reviewItem>
    <reviewItem>
      <errorID>c85a806b-d10b-439a-a795-16c78c2eb4c0</errorID>
      <errorWord>表</errorWord>
      <group>L1_Word</group>
      <groupName>字词问题</groupName>
      <ability>L2_Typo</ability>
      <abilityName>字词错误</abilityName>
      <candidateList>
        <item>表人</item>
      </candidateList>
      <explain/>
      <paraID>11EC5642</paraID>
      <start>23</start>
      <end>24</end>
      <status>unmodified</status>
      <modifiedWord/>
      <trackRevisions>false</trackRevisions>
    </reviewItem>
    <reviewItem>
      <errorID>06356ee8-0308-448c-a377-5a11e52faca7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20318143</paraID>
      <start>0</start>
      <end>2</end>
      <status>unmodified</status>
      <modifiedWord/>
      <trackRevisions>false</trackRevisions>
    </reviewItem>
    <reviewItem>
      <errorID>38e5401f-521c-4f0f-8c2f-ab9e43ee5722</errorID>
      <errorWord>*</errorWord>
      <group>L1_Punc</group>
      <groupName>标点问题</groupName>
      <ability>L2_Punc</ability>
      <abilityName>标点符号检查</abilityName>
      <candidateList/>
      <explain/>
      <paraID>5DCC59D3</paraID>
      <start>0</start>
      <end>1</end>
      <status>unmodified</status>
      <modifiedWord/>
      <trackRevisions>false</trackRevisions>
    </reviewItem>
    <reviewItem>
      <errorID>1dc42bc3-ce8c-47bc-984a-8c35f4c89c02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16600E73</paraID>
      <start>0</start>
      <end>2</end>
      <status>unmodified</status>
      <modifiedWord/>
      <trackRevisions>false</trackRevisions>
    </reviewItem>
    <reviewItem>
      <errorID>9faeb869-cf6f-48b1-b324-91fc5cfde251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10F1221D</paraID>
      <start>0</start>
      <end>2</end>
      <status>unmodified</status>
      <modifiedWord/>
      <trackRevisions>false</trackRevisions>
    </reviewItem>
    <reviewItem>
      <errorID>3e6c1854-9d7b-4d1d-9c2c-2680d412c2b8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823269</paraID>
      <start>0</start>
      <end>2</end>
      <status>unmodified</status>
      <modifiedWord/>
      <trackRevisions>false</trackRevisions>
    </reviewItem>
    <reviewItem>
      <errorID>41466c53-eae2-4250-a184-329aaba7804c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D05BFCB</paraID>
      <start>0</start>
      <end>2</end>
      <status>unmodified</status>
      <modifiedWord/>
      <trackRevisions>false</trackRevisions>
    </reviewItem>
    <reviewItem>
      <errorID>d064b533-375b-4de7-bbbc-711d0745d933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6D6DFA17</paraID>
      <start>0</start>
      <end>2</end>
      <status>unmodified</status>
      <modifiedWord/>
      <trackRevisions>false</trackRevisions>
    </reviewItem>
    <reviewItem>
      <errorID>6b514f5c-e11b-4fac-8bc6-eeea3e5621b3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7E5B0515</paraID>
      <start>0</start>
      <end>2</end>
      <status>unmodified</status>
      <modifiedWord/>
      <trackRevisions>false</trackRevisions>
    </reviewItem>
    <reviewItem>
      <errorID>44687dae-a607-43cd-9896-01c111969015</errorID>
      <errorWord>（</errorWord>
      <group>L1_Punc</group>
      <groupName>标点问题</groupName>
      <ability>L2_Punc</ability>
      <abilityName>标点符号检查</abilityName>
      <candidateList/>
      <explain>同一形式括号套用。</explain>
      <paraID>7E5B0515</paraID>
      <start>79</start>
      <end>80</end>
      <status>unmodified</status>
      <modifiedWord/>
      <trackRevisions>false</trackRevisions>
    </reviewItem>
    <reviewItem>
      <errorID>c62f67c9-7432-4595-a691-e43604666c73</errorID>
      <errorWord>）</errorWord>
      <group>L1_Punc</group>
      <groupName>标点问题</groupName>
      <ability>L2_Punc</ability>
      <abilityName>标点符号检查</abilityName>
      <candidateList/>
      <explain>同一形式括号套用。</explain>
      <paraID>7E5B0515</paraID>
      <start>83</start>
      <end>84</end>
      <status>unmodified</status>
      <modifiedWord/>
      <trackRevisions>false</trackRevisions>
    </reviewItem>
    <reviewItem>
      <errorID>0b6e2384-cecb-4acc-9a41-7c932acddfd5</errorID>
      <errorWord>会</errorWord>
      <group>L1_Word</group>
      <groupName>字词问题</groupName>
      <ability>L2_Typo</ability>
      <abilityName>字词错误</abilityName>
      <candidateList>
        <item>会应</item>
      </candidateList>
      <explain/>
      <paraID>7E5B0515</paraID>
      <start>134</start>
      <end>135</end>
      <status>unmodified</status>
      <modifiedWord/>
      <trackRevisions>false</trackRevisions>
    </reviewItem>
    <reviewItem>
      <errorID>80acc9b7-3eaa-45e4-ae66-e4bf7a557872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868209B</paraID>
      <start>0</start>
      <end>2</end>
      <status>unmodified</status>
      <modifiedWord/>
      <trackRevisions>false</trackRevisions>
    </reviewItem>
    <reviewItem>
      <errorID>f5c1da01-927e-47ef-bd9b-7d0ff699ab55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2E07D31C</paraID>
      <start>0</start>
      <end>2</end>
      <status>unmodified</status>
      <modifiedWord/>
      <trackRevisions>false</trackRevisions>
    </reviewItem>
    <reviewItem>
      <errorID>ed0d04f9-e326-47fe-a4db-f6b2caeebf75</errorID>
      <errorWord>)</errorWord>
      <group>L1_Format</group>
      <groupName>格式问题</groupName>
      <ability>L2_HalfPunc</ability>
      <abilityName>全半角检查</abilityName>
      <candidateList>
        <item>）</item>
      </candidateList>
      <explain>文本全半角错误。</explain>
      <paraID> 7341608</paraID>
      <start>2</start>
      <end>3</end>
      <status>unmodified</status>
      <modifiedWord/>
      <trackRevisions>false</trackRevisions>
    </reviewItem>
    <reviewItem>
      <errorID>47d777b1-fd99-4d6b-b0c5-650cc73ed555</errorID>
      <errorWord>)</errorWord>
      <group>L1_Format</group>
      <groupName>格式问题</groupName>
      <ability>L2_HalfPunc</ability>
      <abilityName>全半角检查</abilityName>
      <candidateList>
        <item>）</item>
      </candidateList>
      <explain>文本全半角错误。</explain>
      <paraID>44BD5BB0</paraID>
      <start>2</start>
      <end>3</end>
      <status>unmodified</status>
      <modifiedWord/>
      <trackRevisions>false</trackRevisions>
    </reviewItem>
    <reviewItem>
      <errorID>25ea930a-69f5-4e37-9117-233b8204c46c</errorID>
      <errorWord>(</errorWord>
      <group>L1_Format</group>
      <groupName>格式问题</groupName>
      <ability>L2_HalfPunc</ability>
      <abilityName>全半角检查</abilityName>
      <candidateList>
        <item>（</item>
      </candidateList>
      <explain>文本全半角错误。</explain>
      <paraID> 8AB13B0</paraID>
      <start>7</start>
      <end>8</end>
      <status>unmodified</status>
      <modifiedWord/>
      <trackRevisions>false</trackRevisions>
    </reviewItem>
    <reviewItem>
      <errorID>91a804ca-a617-4bd3-8e2b-7e724f8955b0</errorID>
      <errorWord>)</errorWord>
      <group>L1_Format</group>
      <groupName>格式问题</groupName>
      <ability>L2_HalfPunc</ability>
      <abilityName>全半角检查</abilityName>
      <candidateList>
        <item>）</item>
      </candidateList>
      <explain>文本全半角错误。</explain>
      <paraID> 8AB13B0</paraID>
      <start>18</start>
      <end>19</end>
      <status>unmodified</status>
      <modifiedWord/>
      <trackRevisions>false</trackRevisions>
    </reviewItem>
    <reviewItem>
      <errorID>c98c9ac6-59e2-4313-803e-eb71adde64ed</errorID>
      <errorWord>(</errorWord>
      <group>L1_Format</group>
      <groupName>格式问题</groupName>
      <ability>L2_HalfPunc</ability>
      <abilityName>全半角检查</abilityName>
      <candidateList>
        <item>（</item>
      </candidateList>
      <explain>文本全半角错误。</explain>
      <paraID>61765FE5</paraID>
      <start>69</start>
      <end>70</end>
      <status>unmodified</status>
      <modifiedWord/>
      <trackRevisions>false</trackRevisions>
    </reviewItem>
    <reviewItem>
      <errorID>840e2c43-a813-4eb2-b3c6-d4d4b8a43130</errorID>
      <errorWord>)</errorWord>
      <group>L1_Format</group>
      <groupName>格式问题</groupName>
      <ability>L2_HalfPunc</ability>
      <abilityName>全半角检查</abilityName>
      <candidateList>
        <item>）</item>
      </candidateList>
      <explain>文本全半角错误。</explain>
      <paraID>61765FE5</paraID>
      <start>79</start>
      <end>80</end>
      <status>unmodified</status>
      <modifiedWord/>
      <trackRevisions>false</trackRevisions>
    </reviewItem>
    <reviewItem>
      <errorID>958b8634-eabb-4fbb-b6b0-60c19dedd27a</errorID>
      <errorWord>&lt;</errorWord>
      <group>L1_Format</group>
      <groupName>格式问题</groupName>
      <ability>L2_HalfPunc</ability>
      <abilityName>全半角检查</abilityName>
      <candidateList>
        <item>〈</item>
      </candidateList>
      <explain>文本全半角错误。</explain>
      <paraID>2CED1CF8</paraID>
      <start>48</start>
      <end>49</end>
      <status>unmodified</status>
      <modifiedWord/>
      <trackRevisions>false</trackRevisions>
    </reviewItem>
    <reviewItem>
      <errorID>1a1bf83e-b164-40e6-91d3-bffec912e678</errorID>
      <errorWord>&lt;</errorWord>
      <group>L1_Format</group>
      <groupName>格式问题</groupName>
      <ability>L2_HalfPunc</ability>
      <abilityName>全半角检查</abilityName>
      <candidateList>
        <item>〈</item>
      </candidateList>
      <explain>文本全半角错误。</explain>
      <paraID>7C9D16E4</paraID>
      <start>48</start>
      <end>49</end>
      <status>unmodified</status>
      <modifiedWord/>
      <trackRevisions>false</trackRevisions>
    </reviewItem>
    <reviewItem>
      <errorID>8dad1a12-3522-46eb-af72-65bb14c826c8</errorID>
      <errorWord>&lt;</errorWord>
      <group>L1_Format</group>
      <groupName>格式问题</groupName>
      <ability>L2_HalfPunc</ability>
      <abilityName>全半角检查</abilityName>
      <candidateList>
        <item>〈</item>
      </candidateList>
      <explain>文本全半角错误。</explain>
      <paraID>3FF4D32C</paraID>
      <start>33</start>
      <end>34</end>
      <status>unmodified</status>
      <modifiedWord/>
      <trackRevisions>false</trackRevisions>
    </reviewItem>
    <reviewItem>
      <errorID>9b293996-6858-424c-81cf-ca182aea4dd4</errorID>
      <errorWord>，</errorWord>
      <group>L1_Word</group>
      <groupName>字词问题</groupName>
      <ability>L2_Typo</ability>
      <abilityName>字词错误</abilityName>
      <candidateList>
        <item>，并</item>
      </candidateList>
      <explain/>
      <paraID>2B5578EE</paraID>
      <start>71</start>
      <end>72</end>
      <status>unmodified</status>
      <modifiedWord/>
      <trackRevisions>false</trackRevisions>
    </reviewItem>
    <reviewItem>
      <errorID>7b84a679-e41a-42fa-a951-6ab703aaf739</errorID>
      <errorWord>一</errorWord>
      <group>L1_Word</group>
      <groupName>字词问题</groupName>
      <ability>L2_Typo</ability>
      <abilityName>字词错误</abilityName>
      <candidateList>
        <item>一个</item>
      </candidateList>
      <explain/>
      <paraID>3F154802</paraID>
      <start>171</start>
      <end>172</end>
      <status>unmodified</status>
      <modifiedWord/>
      <trackRevisions>false</trackRevisions>
    </reviewItem>
    <reviewItem>
      <errorID>76fd5053-114b-4d29-aaf2-a1f2e6b7dab5</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77A75190</paraID>
      <start>47</start>
      <end>50</end>
      <status>unmodified</status>
      <modifiedWord/>
      <trackRevisions>false</trackRevisions>
    </reviewItem>
    <reviewItem>
      <errorID>d30aaac7-5f75-4a57-ad02-9e671ffe127a</errorID>
      <errorWord>(</errorWord>
      <group>L1_Format</group>
      <groupName>格式问题</groupName>
      <ability>L2_HalfPunc</ability>
      <abilityName>全半角检查</abilityName>
      <candidateList>
        <item>（</item>
      </candidateList>
      <explain>文本全半角错误。</explain>
      <paraID>3B0844BE</paraID>
      <start>19</start>
      <end>20</end>
      <status>unmodified</status>
      <modifiedWord/>
      <trackRevisions>false</trackRevisions>
    </reviewItem>
    <reviewItem>
      <errorID>25438e96-b2e1-4c09-83b0-ec19eadf7867</errorID>
      <errorWord>)</errorWord>
      <group>L1_Format</group>
      <groupName>格式问题</groupName>
      <ability>L2_HalfPunc</ability>
      <abilityName>全半角检查</abilityName>
      <candidateList>
        <item>）</item>
      </candidateList>
      <explain>文本全半角错误。</explain>
      <paraID>3B0844BE</paraID>
      <start>23</start>
      <end>24</end>
      <status>unmodified</status>
      <modifiedWord/>
      <trackRevisions>false</trackRevisions>
    </reviewItem>
    <reviewItem>
      <errorID>83c3f677-747c-426a-8796-b502f8087ba1</errorID>
      <errorWord>、</errorWord>
      <group>L1_Word</group>
      <groupName>字词问题</groupName>
      <ability>L2_Typo</ability>
      <abilityName>字词错误</abilityName>
      <candidateList>
        <item>、具</item>
      </candidateList>
      <explain/>
      <paraID>5E6A1C42</paraID>
      <start>8</start>
      <end>9</end>
      <status>unmodified</status>
      <modifiedWord/>
      <trackRevisions>false</trackRevisions>
    </reviewItem>
    <reviewItem>
      <errorID>38584e6a-8788-4d1e-a2e2-5a346800c116</errorID>
      <errorWord>(</errorWord>
      <group>L1_Format</group>
      <groupName>格式问题</groupName>
      <ability>L2_HalfPunc</ability>
      <abilityName>全半角检查</abilityName>
      <candidateList>
        <item>（</item>
      </candidateList>
      <explain>文本全半角错误。</explain>
      <paraID>533504F9</paraID>
      <start>20</start>
      <end>21</end>
      <status>unmodified</status>
      <modifiedWord/>
      <trackRevisions>false</trackRevisions>
    </reviewItem>
    <reviewItem>
      <errorID>dd41f595-acb8-4166-bb38-52590aa01524</errorID>
      <errorWord>详实</errorWord>
      <group>L1_Word</group>
      <groupName>字词问题</groupName>
      <ability>L2_Typo</ability>
      <abilityName>字词错误</abilityName>
      <candidateList>
        <item>翔实</item>
      </candidateList>
      <explain/>
      <paraID>2B334A1A</paraID>
      <start>6</start>
      <end>8</end>
      <status>unmodified</status>
      <modifiedWord/>
      <trackRevisions>false</trackRevisions>
    </reviewItem>
    <reviewItem>
      <errorID>962cd928-97c3-4fef-8a8f-3f476525b37b</errorID>
      <errorWord>(</errorWord>
      <group>L1_Format</group>
      <groupName>格式问题</groupName>
      <ability>L2_HalfPunc</ability>
      <abilityName>全半角检查</abilityName>
      <candidateList>
        <item>（</item>
      </candidateList>
      <explain>文本全半角错误。</explain>
      <paraID>3ECC55E0</paraID>
      <start>19</start>
      <end>20</end>
      <status>unmodified</status>
      <modifiedWord/>
      <trackRevisions>false</trackRevisions>
    </reviewItem>
    <reviewItem>
      <errorID>87941380-615d-48ea-9bdb-e4e9a507d187</errorID>
      <errorWord>详实</errorWord>
      <group>L1_Word</group>
      <groupName>字词问题</groupName>
      <ability>L2_Typo</ability>
      <abilityName>字词错误</abilityName>
      <candidateList>
        <item>翔实</item>
      </candidateList>
      <explain/>
      <paraID>231D67AE</paraID>
      <start>6</start>
      <end>8</end>
      <status>unmodified</status>
      <modifiedWord/>
      <trackRevisions>false</trackRevisions>
    </reviewItem>
    <reviewItem>
      <errorID>6ee816b6-dd7b-4177-a94d-2edcb2c1a140</errorID>
      <errorWord>属</errorWord>
      <group>L1_Word</group>
      <groupName>字词问题</groupName>
      <ability>L2_Typo</ability>
      <abilityName>字词错误</abilityName>
      <candidateList>
        <item>属于</item>
      </candidateList>
      <explain/>
      <paraID> DE88353</paraID>
      <start>55</start>
      <end>56</end>
      <status>unmodified</status>
      <modifiedWord/>
      <trackRevisions>false</trackRevisions>
    </reviewItem>
    <reviewItem>
      <errorID>f59f41be-d13c-4f7e-a974-a65b107d1163</errorID>
      <errorWord>--</errorWord>
      <group>L1_Punc</group>
      <groupName>标点问题</groupName>
      <ability>L2_Punc</ability>
      <abilityName>标点符号检查</abilityName>
      <candidateList>
        <item>——</item>
      </candidateList>
      <explain>破折号或连接号疑似使用错误。</explain>
      <paraID>5D680A7D</paraID>
      <start>24</start>
      <end>26</end>
      <status>unmodified</status>
      <modifiedWord/>
      <trackRevisions>false</trackRevisions>
    </reviewItem>
    <reviewItem>
      <errorID>b69ad840-6aa0-45f5-8190-4ac2454968b1</errorID>
      <errorWord>,</errorWord>
      <group>L1_Format</group>
      <groupName>格式问题</groupName>
      <ability>L2_HalfPunc</ability>
      <abilityName>全半角检查</abilityName>
      <candidateList>
        <item>，</item>
      </candidateList>
      <explain>文本全半角错误。</explain>
      <paraID>283424F2</paraID>
      <start>76</start>
      <end>77</end>
      <status>unmodified</status>
      <modifiedWord/>
      <trackRevisions>false</trackRevisions>
    </reviewItem>
    <reviewItem>
      <errorID>a77ae3ae-ef86-4491-b64b-018bf46c3733</errorID>
      <errorWord>100万以下</errorWord>
      <group>L1_Word</group>
      <groupName>字词问题</groupName>
      <ability>L2_Typo</ability>
      <abilityName>字词错误</abilityName>
      <candidateList>
        <item>100万元以下</item>
      </candidateList>
      <explain/>
      <paraID>435AC1C4</paraID>
      <start>75</start>
      <end>81</end>
      <status>unmodified</status>
      <modifiedWord/>
      <trackRevisions>false</trackRevisions>
    </reviewItem>
    <reviewItem>
      <errorID>31c36b3d-4007-4681-8719-be5622cf659b</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435AC1C4</paraID>
      <start>96</start>
      <end>104</end>
      <status>unmodified</status>
      <modifiedWord/>
      <trackRevisions>false</trackRevisions>
    </reviewItem>
    <reviewItem>
      <errorID>e47f5d32-f07a-42d4-806a-e9e1a9bdd0f9</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435AC1C4</paraID>
      <start>120</start>
      <end>129</end>
      <status>unmodified</status>
      <modifiedWord/>
      <trackRevisions>false</trackRevisions>
    </reviewItem>
    <reviewItem>
      <errorID>7e53c584-aeee-440a-91e1-371b7368a8db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435AC1C4</paraID>
      <start>145</start>
      <end>155</end>
      <status>unmodified</status>
      <modifiedWord/>
      <trackRevisions>false</trackRevisions>
    </reviewItem>
    <reviewItem>
      <errorID>b213965c-3148-44b6-8639-8c7152691ee9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3DB3B0D6</paraID>
      <start>0</start>
      <end>2</end>
      <status>unmodified</status>
      <modifiedWord/>
      <trackRevisions>false</trackRevisions>
    </reviewItem>
    <reviewItem>
      <errorID>f0544a31-f4cd-46e2-b4b4-3200f592ee7b</errorID>
      <errorWord>-</errorWord>
      <group>L1_Format</group>
      <groupName>格式问题</groupName>
      <ability>L2_HalfPunc</ability>
      <abilityName>全半角检查</abilityName>
      <candidateList>
        <item>－</item>
      </candidateList>
      <explain>文本全半角错误。</explain>
      <paraID>19E970F6</paraID>
      <start>222</start>
      <end>223</end>
      <status>unmodified</status>
      <modifiedWord/>
      <trackRevisions>false</trackRevisions>
    </reviewItem>
    <reviewItem>
      <errorID>b0d4504a-4953-4b02-a12f-bc17bd097bc7</errorID>
      <errorWord>-</errorWord>
      <group>L1_Format</group>
      <groupName>格式问题</groupName>
      <ability>L2_HalfPunc</ability>
      <abilityName>全半角检查</abilityName>
      <candidateList>
        <item>－</item>
      </candidateList>
      <explain>文本全半角错误。</explain>
      <paraID>19E970F6</paraID>
      <start>225</start>
      <end>226</end>
      <status>unmodified</status>
      <modifiedWord/>
      <trackRevisions>false</trackRevisions>
    </reviewItem>
    <reviewItem>
      <errorID>af39f0d9-366d-46ec-87af-d493b4b322cc</errorID>
      <errorWord>-</errorWord>
      <group>L1_Format</group>
      <groupName>格式问题</groupName>
      <ability>L2_HalfPunc</ability>
      <abilityName>全半角检查</abilityName>
      <candidateList>
        <item>－</item>
      </candidateList>
      <explain>文本全半角错误。</explain>
      <paraID>19E970F6</paraID>
      <start>228</start>
      <end>229</end>
      <status>unmodified</status>
      <modifiedWord/>
      <trackRevisions>false</trackRevisions>
    </reviewItem>
    <reviewItem>
      <errorID>51776065-47c4-4168-a098-fd497b451acb</errorID>
      <errorWord>-</errorWord>
      <group>L1_Format</group>
      <groupName>格式问题</groupName>
      <ability>L2_HalfPunc</ability>
      <abilityName>全半角检查</abilityName>
      <candidateList>
        <item>－</item>
      </candidateList>
      <explain>文本全半角错误。</explain>
      <paraID>19E970F6</paraID>
      <start>231</start>
      <end>232</end>
      <status>unmodified</status>
      <modifiedWord/>
      <trackRevisions>false</trackRevisions>
    </reviewItem>
    <reviewItem>
      <errorID>4daf6402-de9d-43cf-8fe0-2c8b449e18f6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360371BA</paraID>
      <start>0</start>
      <end>2</end>
      <status>unmodified</status>
      <modifiedWord/>
      <trackRevisions>false</trackRevisions>
    </reviewItem>
    <reviewItem>
      <errorID>d5725c3a-931e-4083-8bf8-77c2b9a4bae4</errorID>
      <errorWord>（</errorWord>
      <group>L1_Format</group>
      <groupName>格式问题</groupName>
      <ability>L2_HalfPunc</ability>
      <abilityName>全半角检查</abilityName>
      <candidateList>
        <item>(</item>
      </candidateList>
      <explain>文本全半角错误。</explain>
      <paraID>14A6D4AD</paraID>
      <start>0</start>
      <end>1</end>
      <status>unmodified</status>
      <modifiedWord/>
      <trackRevisions>false</trackRevisions>
    </reviewItem>
    <reviewItem>
      <errorID>87c6caac-fb26-4a9d-98f5-17de6c0ac6d6</errorID>
      <errorWord>～</errorWord>
      <group>L1_Format</group>
      <groupName>格式问题</groupName>
      <ability>L2_HalfPunc</ability>
      <abilityName>全半角检查</abilityName>
      <candidateList>
        <item>~</item>
      </candidateList>
      <explain>文本全半角错误。</explain>
      <paraID>14A6D4AD</paraID>
      <start>3</start>
      <end>4</end>
      <status>unmodified</status>
      <modifiedWord/>
      <trackRevisions>false</trackRevisions>
    </reviewItem>
    <reviewItem>
      <errorID>d2efc0cb-56f7-4cd8-8735-1a0594afb2b3</errorID>
      <errorWord>）</errorWord>
      <group>L1_Format</group>
      <groupName>格式问题</groupName>
      <ability>L2_HalfPunc</ability>
      <abilityName>全半角检查</abilityName>
      <candidateList>
        <item>)</item>
      </candidateList>
      <explain>文本全半角错误。</explain>
      <paraID>14A6D4AD</paraID>
      <start>7</start>
      <end>8</end>
      <status>unmodified</status>
      <modifiedWord/>
      <trackRevisions>false</trackRevisions>
    </reviewItem>
    <reviewItem>
      <errorID>72321647-6551-404f-a12e-9e7388779842</errorID>
      <errorWord>（</errorWord>
      <group>L1_Format</group>
      <groupName>格式问题</groupName>
      <ability>L2_HalfPunc</ability>
      <abilityName>全半角检查</abilityName>
      <candidateList>
        <item>(</item>
      </candidateList>
      <explain>文本全半角错误。</explain>
      <paraID>4748EF2C</paraID>
      <start>0</start>
      <end>1</end>
      <status>unmodified</status>
      <modifiedWord/>
      <trackRevisions>false</trackRevisions>
    </reviewItem>
    <reviewItem>
      <errorID>71e49d87-e26c-4a71-b0a5-5b6907f530cf</errorID>
      <errorWord>～</errorWord>
      <group>L1_Format</group>
      <groupName>格式问题</groupName>
      <ability>L2_HalfPunc</ability>
      <abilityName>全半角检查</abilityName>
      <candidateList>
        <item>~</item>
      </candidateList>
      <explain>文本全半角错误。</explain>
      <paraID>4748EF2C</paraID>
      <start>2</start>
      <end>3</end>
      <status>unmodified</status>
      <modifiedWord/>
      <trackRevisions>false</trackRevisions>
    </reviewItem>
    <reviewItem>
      <errorID>9e3bc78d-b531-4dd7-b385-537610146a76</errorID>
      <errorWord>）</errorWord>
      <group>L1_Format</group>
      <groupName>格式问题</groupName>
      <ability>L2_HalfPunc</ability>
      <abilityName>全半角检查</abilityName>
      <candidateList>
        <item>)</item>
      </candidateList>
      <explain>文本全半角错误。</explain>
      <paraID>4748EF2C</paraID>
      <start>7</start>
      <end>8</end>
      <status>unmodified</status>
      <modifiedWord/>
      <trackRevisions>false</trackRevisions>
    </reviewItem>
    <reviewItem>
      <errorID>ffb19e68-b4e6-4815-bea5-89e42c7791f1</errorID>
      <errorWord>（</errorWord>
      <group>L1_Format</group>
      <groupName>格式问题</groupName>
      <ability>L2_HalfPunc</ability>
      <abilityName>全半角检查</abilityName>
      <candidateList>
        <item>(</item>
      </candidateList>
      <explain>文本全半角错误。</explain>
      <paraID>79DDB3B3</paraID>
      <start>0</start>
      <end>1</end>
      <status>unmodified</status>
      <modifiedWord/>
      <trackRevisions>false</trackRevisions>
    </reviewItem>
    <reviewItem>
      <errorID>2478b564-3f34-44f5-ad13-e9f56f533fc3</errorID>
      <errorWord>～</errorWord>
      <group>L1_Format</group>
      <groupName>格式问题</groupName>
      <ability>L2_HalfPunc</ability>
      <abilityName>全半角检查</abilityName>
      <candidateList>
        <item>~</item>
      </candidateList>
      <explain>文本全半角错误。</explain>
      <paraID>79DDB3B3</paraID>
      <start>2</start>
      <end>3</end>
      <status>unmodified</status>
      <modifiedWord/>
      <trackRevisions>false</trackRevisions>
    </reviewItem>
    <reviewItem>
      <errorID>b7fb16dd-e6b3-4d5f-98b8-5635012dd340</errorID>
      <errorWord>）</errorWord>
      <group>L1_Format</group>
      <groupName>格式问题</groupName>
      <ability>L2_HalfPunc</ability>
      <abilityName>全半角检查</abilityName>
      <candidateList>
        <item>)</item>
      </candidateList>
      <explain>文本全半角错误。</explain>
      <paraID>79DDB3B3</paraID>
      <start>5</start>
      <end>6</end>
      <status>unmodified</status>
      <modifiedWord/>
      <trackRevisions>false</trackRevisions>
    </reviewItem>
    <reviewItem>
      <errorID>a7abab38-e481-4e19-80b7-cdb0d3297393</errorID>
      <errorWord>需</errorWord>
      <group>L1_Word</group>
      <groupName>字词问题</groupName>
      <ability>L2_Typo</ability>
      <abilityName>字词错误</abilityName>
      <candidateList>
        <item>须</item>
      </candidateList>
      <explain>存在发音相同字词的误用。</explain>
      <paraID>22AD5106</paraID>
      <start>5</start>
      <end>6</end>
      <status>unmodified</status>
      <modifiedWord/>
      <trackRevisions>false</trackRevisions>
    </reviewItem>
    <reviewItem>
      <errorID>90aa74a4-b487-47e4-b048-fb98d5364424</errorID>
      <errorWord>20千</errorWord>
      <group>L1_Knowledge</group>
      <groupName>知识性问题</groupName>
      <ability>L2_Knowledge</ability>
      <abilityName>其他知识</abilityName>
      <candidateList>
        <item>20000</item>
      </candidateList>
      <explain/>
      <paraID>7BD5F0C5</paraID>
      <start>25</start>
      <end>28</end>
      <status>unmodified</status>
      <modifiedWord/>
      <trackRevisions>false</trackRevisions>
    </reviewItem>
    <reviewItem>
      <errorID>78030d6e-57c5-4bdb-825e-32620ba21a9d</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28D86E3F</paraID>
      <start>48</start>
      <end>51</end>
      <status>unmodified</status>
      <modifiedWord/>
      <trackRevisions>false</trackRevisions>
    </reviewItem>
    <reviewItem>
      <errorID>855fcf20-9baa-47a8-850f-3e3a31aeb335</errorID>
      <errorWord>(</errorWord>
      <group>L1_Format</group>
      <groupName>格式问题</groupName>
      <ability>L2_HalfPunc</ability>
      <abilityName>全半角检查</abilityName>
      <candidateList>
        <item>（</item>
      </candidateList>
      <explain>文本全半角错误。</explain>
      <paraID> 8AF0EB2</paraID>
      <start>19</start>
      <end>20</end>
      <status>unmodified</status>
      <modifiedWord/>
      <trackRevisions>false</trackRevisions>
    </reviewItem>
    <reviewItem>
      <errorID>59de3bd1-489a-4261-a824-1e4453daff1c</errorID>
      <errorWord>)</errorWord>
      <group>L1_Format</group>
      <groupName>格式问题</groupName>
      <ability>L2_HalfPunc</ability>
      <abilityName>全半角检查</abilityName>
      <candidateList>
        <item>）</item>
      </candidateList>
      <explain>文本全半角错误。</explain>
      <paraID> 8AF0EB2</paraID>
      <start>23</start>
      <end>24</end>
      <status>unmodified</status>
      <modifiedWord/>
      <trackRevisions>false</trackRevisions>
    </reviewItem>
    <reviewItem>
      <errorID>c2541abb-f828-4d8b-abac-d286c4f41854</errorID>
      <errorWord>.</errorWord>
      <group>L1_Format</group>
      <groupName>格式问题</groupName>
      <ability>L2_HalfPunc</ability>
      <abilityName>全半角检查</abilityName>
      <candidateList>
        <item>。</item>
      </candidateList>
      <explain>文本全半角错误。</explain>
      <paraID>675D4F11</paraID>
      <start>1</start>
      <end>2</end>
      <status>unmodified</status>
      <modifiedWord/>
      <trackRevisions>false</trackRevisions>
    </reviewItem>
    <reviewItem>
      <errorID>7699156f-ce59-4c6d-9182-5651012e003b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22E652DC</paraID>
      <start>1</start>
      <end>3</end>
      <status>unmodified</status>
      <modifiedWord/>
      <trackRevisions>false</trackRevisions>
    </reviewItem>
    <reviewItem>
      <errorID>5c1a5e62-bae9-4c70-b1c9-548a353c1e22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879190E</paraID>
      <start>0</start>
      <end>2</end>
      <status>unmodified</status>
      <modifiedWord/>
      <trackRevisions>false</trackRevisions>
    </reviewItem>
    <reviewItem>
      <errorID>e5f89a88-edf3-4fae-b581-7237158412fa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774F6A5</paraID>
      <start>0</start>
      <end>2</end>
      <status>unmodified</status>
      <modifiedWord/>
      <trackRevisions>false</trackRevisions>
    </reviewItem>
    <reviewItem>
      <errorID>8213fc57-2c51-48ac-889a-d9d0fe20096d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541D39EF</paraID>
      <start>0</start>
      <end>2</end>
      <status>unmodified</status>
      <modifiedWord/>
      <trackRevisions>false</trackRevisions>
    </reviewItem>
    <reviewItem>
      <errorID>0e7d3ab7-617e-4f8b-948f-5a3060fd1003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74077C78</paraID>
      <start>0</start>
      <end>2</end>
      <status>unmodified</status>
      <modifiedWord/>
      <trackRevisions>false</trackRevisions>
    </reviewItem>
    <reviewItem>
      <errorID>45004fe9-916b-4819-a894-b16488e67755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14D3AF5</paraID>
      <start>0</start>
      <end>2</end>
      <status>unmodified</status>
      <modifiedWord/>
      <trackRevisions>false</trackRevisions>
    </reviewItem>
    <reviewItem>
      <errorID>0ebdadfa-b0dd-42bb-9914-72e8d03cfb8a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356DFB7</paraID>
      <start>0</start>
      <end>2</end>
      <status>unmodified</status>
      <modifiedWord/>
      <trackRevisions>false</trackRevisions>
    </reviewItem>
    <reviewItem>
      <errorID>4548ffe7-a9db-4756-bf2f-5da106be2b16</errorID>
      <errorWord>,</errorWord>
      <group>L1_Format</group>
      <groupName>格式问题</groupName>
      <ability>L2_HalfPunc</ability>
      <abilityName>全半角检查</abilityName>
      <candidateList>
        <item>，</item>
      </candidateList>
      <explain>文本全半角错误。</explain>
      <paraID>63EE08F5</paraID>
      <start>75</start>
      <end>76</end>
      <status>unmodified</status>
      <modifiedWord/>
      <trackRevisions>false</trackRevisions>
    </reviewItem>
    <reviewItem>
      <errorID>0e6ba0f8-c78e-402a-88db-efd1da1f954a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7AC27C63</paraID>
      <start>0</start>
      <end>2</end>
      <status>unmodified</status>
      <modifiedWord/>
      <trackRevisions>false</trackRevisions>
    </reviewItem>
    <reviewItem>
      <errorID>4fef4de6-9a3c-47eb-a486-3e2bd29e4b4e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51161C27</paraID>
      <start>0</start>
      <end>2</end>
      <status>unmodified</status>
      <modifiedWord/>
      <trackRevisions>false</trackRevisions>
    </reviewItem>
    <reviewItem>
      <errorID>3fca9723-3f48-4c02-9b52-e3b3286fc2e7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1711E4AF</paraID>
      <start>0</start>
      <end>2</end>
      <status>unmodified</status>
      <modifiedWord/>
      <trackRevisions>false</trackRevisions>
    </reviewItem>
    <reviewItem>
      <errorID>ed509a76-37dd-4542-8c2f-588f82821466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136979CA</paraID>
      <start>0</start>
      <end>2</end>
      <status>unmodified</status>
      <modifiedWord/>
      <trackRevisions>false</trackRevisions>
    </reviewItem>
    <reviewItem>
      <errorID>f7b30899-7759-4735-b35f-3cb6064b07d0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33E66A05</paraID>
      <start>0</start>
      <end>2</end>
      <status>unmodified</status>
      <modifiedWord/>
      <trackRevisions>false</trackRevisions>
    </reviewItem>
    <reviewItem>
      <errorID>32974840-e727-49dc-8c5f-05b1840ea156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5F61CE8B</paraID>
      <start>0</start>
      <end>2</end>
      <status>unmodified</status>
      <modifiedWord/>
      <trackRevisions>false</trackRevisions>
    </reviewItem>
    <reviewItem>
      <errorID>3848be0d-fef3-46a5-8aea-c1f2065750f6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243A8F59</paraID>
      <start>0</start>
      <end>2</end>
      <status>unmodified</status>
      <modifiedWord/>
      <trackRevisions>false</trackRevisions>
    </reviewItem>
    <reviewItem>
      <errorID>6bf54774-a1c6-4674-8124-569fd2e7076d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60C02F93</paraID>
      <start>0</start>
      <end>2</end>
      <status>unmodified</status>
      <modifiedWord/>
      <trackRevisions>false</trackRevisions>
    </reviewItem>
    <reviewItem>
      <errorID>ba816245-61a2-44a5-9f5c-a13c245cc12a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442FCB8C</paraID>
      <start>0</start>
      <end>2</end>
      <status>unmodified</status>
      <modifiedWord/>
      <trackRevisions>false</trackRevisions>
    </reviewItem>
    <reviewItem>
      <errorID>3d763048-53cc-41e4-adac-603c7354d375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5E91B91A</paraID>
      <start>0</start>
      <end>2</end>
      <status>unmodified</status>
      <modifiedWord/>
      <trackRevisions>false</trackRevisions>
    </reviewItem>
    <reviewItem>
      <errorID>6ff241fe-4505-4f1a-aec4-d62fdf7ada29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7E339D15</paraID>
      <start>0</start>
      <end>2</end>
      <status>unmodified</status>
      <modifiedWord/>
      <trackRevisions>false</trackRevisions>
    </reviewItem>
    <reviewItem>
      <errorID>a6f5268e-edd1-4e21-b162-8efff217f38a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4582A675</paraID>
      <start>0</start>
      <end>2</end>
      <status>unmodified</status>
      <modifiedWord/>
      <trackRevisions>false</trackRevisions>
    </reviewItem>
    <reviewItem>
      <errorID>f4daff1f-05ba-44fc-8e64-e5a214897b50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797CDC0F</paraID>
      <start>0</start>
      <end>2</end>
      <status>unmodified</status>
      <modifiedWord/>
      <trackRevisions>false</trackRevisions>
    </reviewItem>
    <reviewItem>
      <errorID>a1cc8cf3-337b-4a08-b5cb-4190f5f6b126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435275B7</paraID>
      <start>0</start>
      <end>2</end>
      <status>unmodified</status>
      <modifiedWord/>
      <trackRevisions>false</trackRevisions>
    </reviewItem>
    <reviewItem>
      <errorID>736403e7-1326-4dec-a709-efa3c4ea4d68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44213D2</paraID>
      <start>0</start>
      <end>2</end>
      <status>unmodified</status>
      <modifiedWord/>
      <trackRevisions>false</trackRevisions>
    </reviewItem>
    <reviewItem>
      <errorID>46089bbe-d8ec-4df7-abf9-c6604768575a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6C2C05B0</paraID>
      <start>1</start>
      <end>3</end>
      <status>unmodified</status>
      <modifiedWord/>
      <trackRevisions>false</trackRevisions>
    </reviewItem>
    <reviewItem>
      <errorID>8ad021b5-4f15-437b-92dc-450ccda83686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6748E208</paraID>
      <start>0</start>
      <end>4</end>
      <status>unmodified</status>
      <modifiedWord/>
      <trackRevisions>false</trackRevisions>
    </reviewItem>
    <reviewItem>
      <errorID>c85a806b-d10b-439a-a795-16c78c2eb4c0</errorID>
      <errorWord>表</errorWord>
      <group>L1_Word</group>
      <groupName>字词问题</groupName>
      <ability>L2_Typo</ability>
      <abilityName>字词错误</abilityName>
      <candidateList>
        <item>表人</item>
      </candidateList>
      <explain/>
      <paraID>1499F72C</paraID>
      <start>23</start>
      <end>24</end>
      <status>unmodified</status>
      <modifiedWord/>
      <trackRevisions>false</trackRevisions>
    </reviewItem>
    <reviewItem>
      <errorID>85c6d979-9866-4272-bda7-995d2d85a09a</errorID>
      <errorWord>(</errorWord>
      <group>L1_Format</group>
      <groupName>格式问题</groupName>
      <ability>L2_HalfPunc</ability>
      <abilityName>全半角检查</abilityName>
      <candidateList>
        <item>（</item>
      </candidateList>
      <explain>文本全半角错误。</explain>
      <paraID>283AAD2E</paraID>
      <start>94</start>
      <end>95</end>
      <status>unmodified</status>
      <modifiedWord/>
      <trackRevisions>false</trackRevisions>
    </reviewItem>
    <reviewItem>
      <errorID>d53aa1fe-1bbf-4926-bfb4-4c40a00cd40f</errorID>
      <errorWord>)</errorWord>
      <group>L1_Format</group>
      <groupName>格式问题</groupName>
      <ability>L2_HalfPunc</ability>
      <abilityName>全半角检查</abilityName>
      <candidateList>
        <item>）</item>
      </candidateList>
      <explain>文本全半角错误。</explain>
      <paraID>283AAD2E</paraID>
      <start>110</start>
      <end>111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22F0930-4A7E-47A5-8E93-E6AAADD1B3D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dc:creator>
  <cp:lastModifiedBy>王圆逸</cp:lastModifiedBy>
  <cp:revision>1</cp:revision>
  <dcterms:created xsi:type="dcterms:W3CDTF">2024-04-25T06:45:00Z</dcterms:created>
  <dcterms:modified xsi:type="dcterms:W3CDTF">2026-05-18T02:43:01Z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AC2153BCE5354496871F393C9F90F578_13</vt:lpwstr>
  </property>
  <property fmtid="{D5CDD505-2E9C-101B-9397-08002B2CF9AE}" pid="4" name="commondata">
    <vt:lpwstr>eyJoZGlkIjoiZDQyOWNkMzE2M2VmOGQ1YzgzZjA5ZmIxMWI5NmU4M2QifQ==</vt:lpwstr>
  </property>
  <property fmtid="{D5CDD505-2E9C-101B-9397-08002B2CF9AE}" pid="5" name="KSOTemplateDocerSaveRecord">
    <vt:lpwstr>eyJoZGlkIjoiZWJiMzM5ZGJhYWY5MjE2MDE5MWZmMTUzZmZjYzM4YzgiLCJ1c2VySWQiOiI0OTM0MzQ3NjAifQ==</vt:lpwstr>
  </property>
</Properties>
</file>